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60F5" w14:textId="44035873" w:rsidR="00D82C56" w:rsidRDefault="00D82C56">
      <w:pPr>
        <w:rPr>
          <w:rFonts w:ascii="Arial" w:hAnsi="Arial" w:cs="Arial"/>
          <w:sz w:val="22"/>
          <w:szCs w:val="22"/>
        </w:rPr>
      </w:pPr>
    </w:p>
    <w:p w14:paraId="4F65085F" w14:textId="77777777" w:rsidR="0015548B" w:rsidRDefault="0015548B">
      <w:pPr>
        <w:rPr>
          <w:rFonts w:ascii="Arial" w:hAnsi="Arial" w:cs="Arial"/>
          <w:sz w:val="22"/>
          <w:szCs w:val="22"/>
        </w:rPr>
      </w:pPr>
    </w:p>
    <w:p w14:paraId="0657525A" w14:textId="04167842" w:rsidR="00E829C9" w:rsidRPr="0015548B" w:rsidRDefault="0015548B" w:rsidP="00E829C9">
      <w:pPr>
        <w:jc w:val="center"/>
        <w:rPr>
          <w:rFonts w:ascii="Arial" w:hAnsi="Arial" w:cs="Arial"/>
          <w:b/>
          <w:sz w:val="22"/>
          <w:szCs w:val="22"/>
          <w:lang w:val="es-ES"/>
        </w:rPr>
      </w:pPr>
      <w:r>
        <w:rPr>
          <w:rFonts w:ascii="Arial" w:hAnsi="Arial" w:cs="Arial"/>
          <w:b/>
          <w:sz w:val="22"/>
          <w:szCs w:val="22"/>
          <w:lang w:val="es-ES"/>
        </w:rPr>
        <w:t>EXAMEN DEL ESTADO DE CONSERVACION DE LAS ESPECIES MIGRATORIAS</w:t>
      </w:r>
    </w:p>
    <w:p w14:paraId="77BA811D" w14:textId="683CA16B"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25358F">
        <w:rPr>
          <w:rFonts w:ascii="Arial" w:hAnsi="Arial" w:cs="Arial"/>
          <w:sz w:val="22"/>
          <w:szCs w:val="22"/>
          <w:lang w:val="es-ES"/>
        </w:rPr>
        <w:t>24</w:t>
      </w:r>
    </w:p>
    <w:p w14:paraId="48F82B79" w14:textId="77777777" w:rsidR="00D82C56" w:rsidRPr="0058757D" w:rsidRDefault="00D82C56" w:rsidP="00E829C9">
      <w:pPr>
        <w:jc w:val="center"/>
        <w:rPr>
          <w:rFonts w:ascii="Arial" w:hAnsi="Arial" w:cs="Arial"/>
          <w:sz w:val="22"/>
          <w:szCs w:val="22"/>
          <w:lang w:val="es-ES"/>
        </w:rPr>
      </w:pPr>
    </w:p>
    <w:p w14:paraId="73A89732" w14:textId="6D41CA13"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8610E5">
        <w:rPr>
          <w:rFonts w:ascii="Arial" w:hAnsi="Arial" w:cs="Arial"/>
          <w:i/>
          <w:sz w:val="22"/>
          <w:szCs w:val="22"/>
          <w:lang w:val="es-ES"/>
        </w:rPr>
        <w:t>el</w:t>
      </w:r>
      <w:r w:rsidR="00CA00CB">
        <w:rPr>
          <w:rFonts w:ascii="Arial" w:hAnsi="Arial" w:cs="Arial"/>
          <w:i/>
          <w:sz w:val="22"/>
          <w:szCs w:val="22"/>
          <w:lang w:val="es-ES"/>
        </w:rPr>
        <w:t xml:space="preserve">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B3AB69D" w14:textId="7691ADF8" w:rsidR="0025358F" w:rsidRPr="0025358F" w:rsidRDefault="0025358F" w:rsidP="0025358F">
      <w:pPr>
        <w:widowControl/>
        <w:suppressAutoHyphens w:val="0"/>
        <w:autoSpaceDE/>
        <w:autoSpaceDN/>
        <w:jc w:val="center"/>
        <w:textAlignment w:val="auto"/>
        <w:rPr>
          <w:rFonts w:ascii="Arial" w:eastAsiaTheme="minorHAnsi" w:hAnsi="Arial" w:cs="Arial"/>
          <w:sz w:val="22"/>
          <w:szCs w:val="22"/>
          <w:lang w:val="es-PE"/>
        </w:rPr>
      </w:pPr>
      <w:bookmarkStart w:id="0" w:name="_Hlk27513770"/>
      <w:r w:rsidRPr="0025358F">
        <w:rPr>
          <w:rFonts w:ascii="Arial" w:eastAsiaTheme="minorHAnsi" w:hAnsi="Arial" w:cs="Arial"/>
          <w:sz w:val="22"/>
          <w:szCs w:val="22"/>
          <w:lang w:val="es-PE"/>
        </w:rPr>
        <w:t>PROYECTO DE DECISIÓN</w:t>
      </w:r>
    </w:p>
    <w:p w14:paraId="767C9E6A" w14:textId="71FF011F" w:rsidR="0025358F" w:rsidRDefault="0025358F" w:rsidP="0025358F">
      <w:pPr>
        <w:widowControl/>
        <w:suppressAutoHyphens w:val="0"/>
        <w:autoSpaceDE/>
        <w:autoSpaceDN/>
        <w:jc w:val="center"/>
        <w:textAlignment w:val="auto"/>
        <w:rPr>
          <w:rFonts w:ascii="Arial" w:eastAsiaTheme="minorHAnsi" w:hAnsi="Arial" w:cs="Arial"/>
          <w:sz w:val="22"/>
          <w:szCs w:val="22"/>
          <w:lang w:val="es-PE"/>
        </w:rPr>
      </w:pPr>
    </w:p>
    <w:p w14:paraId="5EDAEF95" w14:textId="77777777" w:rsidR="0015548B" w:rsidRDefault="0015548B" w:rsidP="0025358F">
      <w:pPr>
        <w:widowControl/>
        <w:suppressAutoHyphens w:val="0"/>
        <w:autoSpaceDE/>
        <w:autoSpaceDN/>
        <w:jc w:val="center"/>
        <w:textAlignment w:val="auto"/>
        <w:rPr>
          <w:rFonts w:ascii="Arial" w:eastAsiaTheme="minorHAnsi" w:hAnsi="Arial" w:cs="Arial"/>
          <w:sz w:val="22"/>
          <w:szCs w:val="22"/>
          <w:lang w:val="es-PE"/>
        </w:rPr>
      </w:pPr>
      <w:bookmarkStart w:id="1" w:name="_GoBack"/>
      <w:bookmarkEnd w:id="1"/>
    </w:p>
    <w:p w14:paraId="5F84B2E9" w14:textId="77777777" w:rsidR="0015548B" w:rsidRPr="0025358F" w:rsidRDefault="0015548B" w:rsidP="0015548B">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s-PE"/>
        </w:rPr>
      </w:pPr>
      <w:r w:rsidRPr="0025358F">
        <w:rPr>
          <w:rFonts w:ascii="Arial" w:eastAsiaTheme="minorHAnsi" w:hAnsi="Arial" w:cs="Arial"/>
          <w:b/>
          <w:sz w:val="22"/>
          <w:szCs w:val="22"/>
          <w:lang w:val="es-PE"/>
        </w:rPr>
        <w:t>ESTADO DE CONSERVACIÓN DE LAS ESPECIES MIGRATORIA</w:t>
      </w:r>
      <w:r>
        <w:rPr>
          <w:rFonts w:ascii="Arial" w:eastAsiaTheme="minorHAnsi" w:hAnsi="Arial" w:cs="Arial"/>
          <w:b/>
          <w:sz w:val="22"/>
          <w:szCs w:val="22"/>
          <w:lang w:val="es-PE"/>
        </w:rPr>
        <w:t>S</w:t>
      </w:r>
      <w:r w:rsidRPr="0025358F">
        <w:rPr>
          <w:rFonts w:ascii="Arial" w:eastAsiaTheme="minorHAnsi" w:hAnsi="Arial" w:cs="Arial"/>
          <w:b/>
          <w:caps/>
          <w:sz w:val="22"/>
          <w:szCs w:val="22"/>
          <w:lang w:val="es-PE"/>
        </w:rPr>
        <w:t xml:space="preserve"> </w:t>
      </w:r>
    </w:p>
    <w:p w14:paraId="2A2BAECB" w14:textId="77777777" w:rsidR="0025358F" w:rsidRPr="0025358F" w:rsidRDefault="0025358F" w:rsidP="0025358F">
      <w:pPr>
        <w:widowControl/>
        <w:suppressAutoHyphens w:val="0"/>
        <w:autoSpaceDE/>
        <w:autoSpaceDN/>
        <w:jc w:val="both"/>
        <w:textAlignment w:val="auto"/>
        <w:rPr>
          <w:rFonts w:ascii="Arial" w:eastAsiaTheme="minorHAnsi" w:hAnsi="Arial" w:cs="Arial"/>
          <w:b/>
          <w:i/>
          <w:sz w:val="22"/>
          <w:szCs w:val="22"/>
          <w:lang w:val="es-PE"/>
        </w:rPr>
      </w:pPr>
    </w:p>
    <w:p w14:paraId="68DD7B35" w14:textId="77777777" w:rsidR="0025358F" w:rsidRPr="0025358F" w:rsidRDefault="0025358F" w:rsidP="0025358F">
      <w:pPr>
        <w:widowControl/>
        <w:suppressAutoHyphens w:val="0"/>
        <w:autoSpaceDE/>
        <w:autoSpaceDN/>
        <w:jc w:val="both"/>
        <w:textAlignment w:val="auto"/>
        <w:rPr>
          <w:rFonts w:ascii="Arial" w:eastAsiaTheme="minorHAnsi" w:hAnsi="Arial" w:cs="Arial"/>
          <w:b/>
          <w:i/>
          <w:sz w:val="22"/>
          <w:szCs w:val="22"/>
          <w:lang w:val="es-PE"/>
        </w:rPr>
      </w:pPr>
    </w:p>
    <w:p w14:paraId="13CC9BD0" w14:textId="77777777" w:rsidR="0025358F" w:rsidRPr="0025358F" w:rsidRDefault="0025358F" w:rsidP="0025358F">
      <w:pPr>
        <w:widowControl/>
        <w:suppressAutoHyphens w:val="0"/>
        <w:autoSpaceDE/>
        <w:autoSpaceDN/>
        <w:jc w:val="both"/>
        <w:textAlignment w:val="auto"/>
        <w:rPr>
          <w:rFonts w:ascii="Arial" w:eastAsiaTheme="minorHAnsi" w:hAnsi="Arial" w:cs="Arial"/>
          <w:b/>
          <w:i/>
          <w:sz w:val="22"/>
          <w:szCs w:val="22"/>
          <w:lang w:val="es-PE"/>
        </w:rPr>
      </w:pPr>
      <w:r w:rsidRPr="0025358F">
        <w:rPr>
          <w:rFonts w:ascii="Arial" w:eastAsiaTheme="minorHAnsi" w:hAnsi="Arial" w:cs="Arial"/>
          <w:b/>
          <w:i/>
          <w:sz w:val="22"/>
          <w:szCs w:val="22"/>
          <w:lang w:val="es-PE"/>
        </w:rPr>
        <w:t xml:space="preserve">Dirigido a la Secretaría </w:t>
      </w:r>
    </w:p>
    <w:p w14:paraId="2B824232" w14:textId="77777777" w:rsidR="0025358F" w:rsidRPr="0025358F" w:rsidRDefault="0025358F" w:rsidP="0025358F">
      <w:pPr>
        <w:widowControl/>
        <w:suppressAutoHyphens w:val="0"/>
        <w:autoSpaceDE/>
        <w:autoSpaceDN/>
        <w:jc w:val="both"/>
        <w:textAlignment w:val="auto"/>
        <w:rPr>
          <w:rFonts w:ascii="Arial" w:eastAsiaTheme="minorHAnsi" w:hAnsi="Arial" w:cs="Arial"/>
          <w:sz w:val="22"/>
          <w:szCs w:val="22"/>
          <w:lang w:val="es-PE"/>
        </w:rPr>
      </w:pPr>
    </w:p>
    <w:p w14:paraId="3F324484" w14:textId="6409D173" w:rsidR="0025358F" w:rsidRPr="0025358F" w:rsidRDefault="0025358F" w:rsidP="0025358F">
      <w:pPr>
        <w:widowControl/>
        <w:suppressAutoHyphens w:val="0"/>
        <w:autoSpaceDE/>
        <w:autoSpaceDN/>
        <w:ind w:left="851" w:hanging="851"/>
        <w:jc w:val="both"/>
        <w:textAlignment w:val="auto"/>
        <w:rPr>
          <w:rFonts w:ascii="Arial" w:eastAsiaTheme="minorHAnsi" w:hAnsi="Arial" w:cs="Arial"/>
          <w:iCs/>
          <w:sz w:val="22"/>
          <w:szCs w:val="22"/>
          <w:lang w:val="es-PE"/>
        </w:rPr>
      </w:pPr>
      <w:r w:rsidRPr="0025358F">
        <w:rPr>
          <w:rFonts w:ascii="Arial" w:eastAsiaTheme="minorHAnsi" w:hAnsi="Arial" w:cs="Arial"/>
          <w:sz w:val="22"/>
          <w:szCs w:val="22"/>
          <w:lang w:val="es-PE"/>
        </w:rPr>
        <w:t>13.AA</w:t>
      </w:r>
      <w:r w:rsidRPr="0025358F">
        <w:rPr>
          <w:rFonts w:ascii="Arial" w:eastAsiaTheme="minorHAnsi" w:hAnsi="Arial" w:cs="Arial"/>
          <w:sz w:val="22"/>
          <w:szCs w:val="22"/>
          <w:lang w:val="es-PE"/>
        </w:rPr>
        <w:tab/>
      </w:r>
      <w:r w:rsidR="00CA00CB">
        <w:rPr>
          <w:rFonts w:ascii="Arial" w:eastAsiaTheme="minorHAnsi" w:hAnsi="Arial" w:cs="Arial"/>
          <w:sz w:val="22"/>
          <w:szCs w:val="22"/>
          <w:lang w:val="es-PE"/>
        </w:rPr>
        <w:t>Se soliciata a la</w:t>
      </w:r>
      <w:r w:rsidRPr="0025358F">
        <w:rPr>
          <w:rFonts w:ascii="Arial" w:eastAsiaTheme="minorHAnsi" w:hAnsi="Arial" w:cs="Arial"/>
          <w:sz w:val="22"/>
          <w:szCs w:val="22"/>
          <w:lang w:val="es-PE"/>
        </w:rPr>
        <w:t xml:space="preserve"> Secretaría, </w:t>
      </w:r>
      <w:r w:rsidR="00CA00CB">
        <w:rPr>
          <w:rFonts w:ascii="Arial" w:eastAsiaTheme="minorHAnsi" w:hAnsi="Arial" w:cs="Arial"/>
          <w:sz w:val="22"/>
          <w:szCs w:val="22"/>
          <w:lang w:val="es-PE"/>
        </w:rPr>
        <w:t>que con sujeción</w:t>
      </w:r>
      <w:r w:rsidRPr="0025358F">
        <w:rPr>
          <w:rFonts w:ascii="Arial" w:eastAsiaTheme="minorHAnsi" w:hAnsi="Arial" w:cs="Arial"/>
          <w:sz w:val="22"/>
          <w:szCs w:val="22"/>
          <w:lang w:val="es-PE"/>
        </w:rPr>
        <w:t xml:space="preserve"> a la disponibilidad de recursos:</w:t>
      </w:r>
    </w:p>
    <w:p w14:paraId="067B5951" w14:textId="77777777" w:rsidR="0025358F" w:rsidRPr="0025358F" w:rsidRDefault="0025358F" w:rsidP="0025358F">
      <w:pPr>
        <w:widowControl/>
        <w:suppressAutoHyphens w:val="0"/>
        <w:autoSpaceDE/>
        <w:autoSpaceDN/>
        <w:ind w:left="720" w:hanging="720"/>
        <w:jc w:val="both"/>
        <w:textAlignment w:val="auto"/>
        <w:rPr>
          <w:rFonts w:ascii="Arial" w:eastAsiaTheme="minorHAnsi" w:hAnsi="Arial" w:cs="Arial"/>
          <w:iCs/>
          <w:sz w:val="22"/>
          <w:szCs w:val="22"/>
          <w:lang w:val="es-PE"/>
        </w:rPr>
      </w:pPr>
    </w:p>
    <w:p w14:paraId="451E3857" w14:textId="2B3924B2" w:rsidR="0025358F" w:rsidRPr="0025358F" w:rsidRDefault="00CA00CB" w:rsidP="0025358F">
      <w:pPr>
        <w:widowControl/>
        <w:numPr>
          <w:ilvl w:val="0"/>
          <w:numId w:val="1"/>
        </w:numPr>
        <w:suppressAutoHyphens w:val="0"/>
        <w:autoSpaceDE/>
        <w:autoSpaceDN/>
        <w:adjustRightInd w:val="0"/>
        <w:ind w:left="1418" w:hanging="567"/>
        <w:jc w:val="both"/>
        <w:textAlignment w:val="auto"/>
        <w:rPr>
          <w:rFonts w:ascii="Arial" w:eastAsiaTheme="minorHAnsi" w:hAnsi="Arial" w:cs="Arial"/>
          <w:iCs/>
          <w:sz w:val="22"/>
          <w:szCs w:val="22"/>
          <w:lang w:val="es-PE"/>
        </w:rPr>
      </w:pPr>
      <w:r>
        <w:rPr>
          <w:rFonts w:ascii="Arial" w:eastAsiaTheme="minorHAnsi" w:hAnsi="Arial" w:cs="Arial"/>
          <w:iCs/>
          <w:sz w:val="22"/>
          <w:szCs w:val="22"/>
          <w:lang w:val="es-PE"/>
        </w:rPr>
        <w:t>siga</w:t>
      </w:r>
      <w:r w:rsidR="0025358F" w:rsidRPr="0025358F">
        <w:rPr>
          <w:rFonts w:ascii="Arial" w:eastAsiaTheme="minorHAnsi" w:hAnsi="Arial" w:cs="Arial"/>
          <w:iCs/>
          <w:sz w:val="22"/>
          <w:szCs w:val="22"/>
          <w:lang w:val="es-PE"/>
        </w:rPr>
        <w:t xml:space="preserve"> desarrollando el análisis preliminar del estado de conservación de las especies migratorias presentado a la COP13 en el documento UNEP/CMS/COP13/Doc.24, en estrecha consulta con el Consejo Científico y en colaboración con las organizaciones competentes;</w:t>
      </w:r>
    </w:p>
    <w:p w14:paraId="3364391F" w14:textId="77777777" w:rsidR="0025358F" w:rsidRPr="0025358F" w:rsidRDefault="0025358F" w:rsidP="0025358F">
      <w:pPr>
        <w:widowControl/>
        <w:suppressAutoHyphens w:val="0"/>
        <w:autoSpaceDE/>
        <w:autoSpaceDN/>
        <w:ind w:left="1134" w:hanging="283"/>
        <w:jc w:val="both"/>
        <w:textAlignment w:val="auto"/>
        <w:rPr>
          <w:rFonts w:ascii="Arial" w:eastAsiaTheme="minorHAnsi" w:hAnsi="Arial" w:cs="Arial"/>
          <w:iCs/>
          <w:sz w:val="22"/>
          <w:szCs w:val="22"/>
          <w:lang w:val="es-PE"/>
        </w:rPr>
      </w:pPr>
    </w:p>
    <w:p w14:paraId="26F03A19" w14:textId="7BC263F3" w:rsidR="0025358F" w:rsidRDefault="0025358F" w:rsidP="0025358F">
      <w:pPr>
        <w:widowControl/>
        <w:numPr>
          <w:ilvl w:val="0"/>
          <w:numId w:val="1"/>
        </w:numPr>
        <w:suppressAutoHyphens w:val="0"/>
        <w:autoSpaceDE/>
        <w:autoSpaceDN/>
        <w:adjustRightInd w:val="0"/>
        <w:ind w:left="1418" w:hanging="567"/>
        <w:jc w:val="both"/>
        <w:textAlignment w:val="auto"/>
        <w:rPr>
          <w:rFonts w:ascii="Arial" w:eastAsiaTheme="minorHAnsi" w:hAnsi="Arial" w:cs="Arial"/>
          <w:iCs/>
          <w:sz w:val="22"/>
          <w:szCs w:val="22"/>
          <w:lang w:val="es-PE"/>
        </w:rPr>
      </w:pPr>
      <w:r w:rsidRPr="0025358F">
        <w:rPr>
          <w:rFonts w:ascii="Arial" w:eastAsiaTheme="minorHAnsi" w:hAnsi="Arial" w:cs="Arial"/>
          <w:iCs/>
          <w:sz w:val="22"/>
          <w:szCs w:val="22"/>
          <w:lang w:val="es-PE"/>
        </w:rPr>
        <w:t>inici</w:t>
      </w:r>
      <w:r w:rsidR="00CA00CB">
        <w:rPr>
          <w:rFonts w:ascii="Arial" w:eastAsiaTheme="minorHAnsi" w:hAnsi="Arial" w:cs="Arial"/>
          <w:iCs/>
          <w:sz w:val="22"/>
          <w:szCs w:val="22"/>
          <w:lang w:val="es-PE"/>
        </w:rPr>
        <w:t>e</w:t>
      </w:r>
      <w:r w:rsidRPr="0025358F">
        <w:rPr>
          <w:rFonts w:ascii="Arial" w:eastAsiaTheme="minorHAnsi" w:hAnsi="Arial" w:cs="Arial"/>
          <w:iCs/>
          <w:sz w:val="22"/>
          <w:szCs w:val="22"/>
          <w:lang w:val="es-PE"/>
        </w:rPr>
        <w:t xml:space="preserve">, en consulta con el Consejo Científico y en colaboración con las organizaciones competentes, una revisión en profundidad del estado de conservación de las especies </w:t>
      </w:r>
      <w:r w:rsidR="00CA00CB">
        <w:rPr>
          <w:rFonts w:ascii="Arial" w:eastAsiaTheme="minorHAnsi" w:hAnsi="Arial" w:cs="Arial"/>
          <w:iCs/>
          <w:sz w:val="22"/>
          <w:szCs w:val="22"/>
          <w:lang w:val="es-PE"/>
        </w:rPr>
        <w:t xml:space="preserve">individuales </w:t>
      </w:r>
      <w:r w:rsidRPr="0025358F">
        <w:rPr>
          <w:rFonts w:ascii="Arial" w:eastAsiaTheme="minorHAnsi" w:hAnsi="Arial" w:cs="Arial"/>
          <w:iCs/>
          <w:sz w:val="22"/>
          <w:szCs w:val="22"/>
          <w:lang w:val="es-PE"/>
        </w:rPr>
        <w:t>incluidas en l</w:t>
      </w:r>
      <w:r w:rsidR="00CA00CB">
        <w:rPr>
          <w:rFonts w:ascii="Arial" w:eastAsiaTheme="minorHAnsi" w:hAnsi="Arial" w:cs="Arial"/>
          <w:iCs/>
          <w:sz w:val="22"/>
          <w:szCs w:val="22"/>
          <w:lang w:val="es-PE"/>
        </w:rPr>
        <w:t>as listas,</w:t>
      </w:r>
      <w:r w:rsidRPr="0025358F">
        <w:rPr>
          <w:rFonts w:ascii="Arial" w:eastAsiaTheme="minorHAnsi" w:hAnsi="Arial" w:cs="Arial"/>
          <w:iCs/>
          <w:sz w:val="22"/>
          <w:szCs w:val="22"/>
          <w:lang w:val="es-PE"/>
        </w:rPr>
        <w:t xml:space="preserve"> comenzando por las especies </w:t>
      </w:r>
      <w:r w:rsidR="00CA00CB">
        <w:rPr>
          <w:rFonts w:ascii="Arial" w:eastAsiaTheme="minorHAnsi" w:hAnsi="Arial" w:cs="Arial"/>
          <w:iCs/>
          <w:sz w:val="22"/>
          <w:szCs w:val="22"/>
          <w:lang w:val="es-PE"/>
        </w:rPr>
        <w:t xml:space="preserve">incluidas en el </w:t>
      </w:r>
      <w:r w:rsidR="00CA00CB" w:rsidRPr="0025358F">
        <w:rPr>
          <w:rFonts w:ascii="Arial" w:eastAsiaTheme="minorHAnsi" w:hAnsi="Arial" w:cs="Arial"/>
          <w:iCs/>
          <w:sz w:val="22"/>
          <w:szCs w:val="22"/>
          <w:lang w:val="es-PE"/>
        </w:rPr>
        <w:t>Apéndice I</w:t>
      </w:r>
      <w:r w:rsidR="00CA00CB">
        <w:rPr>
          <w:rFonts w:ascii="Arial" w:eastAsiaTheme="minorHAnsi" w:hAnsi="Arial" w:cs="Arial"/>
          <w:iCs/>
          <w:sz w:val="22"/>
          <w:szCs w:val="22"/>
          <w:lang w:val="es-PE"/>
        </w:rPr>
        <w:t xml:space="preserve"> </w:t>
      </w:r>
      <w:r w:rsidRPr="0025358F">
        <w:rPr>
          <w:rFonts w:ascii="Arial" w:eastAsiaTheme="minorHAnsi" w:hAnsi="Arial" w:cs="Arial"/>
          <w:iCs/>
          <w:sz w:val="22"/>
          <w:szCs w:val="22"/>
          <w:lang w:val="es-PE"/>
        </w:rPr>
        <w:t xml:space="preserve">clasificadas </w:t>
      </w:r>
      <w:r w:rsidR="00CA00CB">
        <w:rPr>
          <w:rFonts w:ascii="Arial" w:eastAsiaTheme="minorHAnsi" w:hAnsi="Arial" w:cs="Arial"/>
          <w:iCs/>
          <w:sz w:val="22"/>
          <w:szCs w:val="22"/>
          <w:lang w:val="es-PE"/>
        </w:rPr>
        <w:t>e</w:t>
      </w:r>
      <w:r w:rsidRPr="0025358F">
        <w:rPr>
          <w:rFonts w:ascii="Arial" w:eastAsiaTheme="minorHAnsi" w:hAnsi="Arial" w:cs="Arial"/>
          <w:iCs/>
          <w:sz w:val="22"/>
          <w:szCs w:val="22"/>
          <w:lang w:val="es-PE"/>
        </w:rPr>
        <w:t>n las categorías de menor amenaza de extinción de la Lista Roja de Especies Amenazadas de la UICN,</w:t>
      </w:r>
      <w:r w:rsidR="008610E5">
        <w:rPr>
          <w:rFonts w:ascii="Arial" w:eastAsiaTheme="minorHAnsi" w:hAnsi="Arial" w:cs="Arial"/>
          <w:iCs/>
          <w:sz w:val="22"/>
          <w:szCs w:val="22"/>
          <w:lang w:val="es-PE"/>
        </w:rPr>
        <w:t xml:space="preserve"> y cuyo estado de conservación haya mejorado desde su inclusión en la lista, y las especies incluidas en el Apéndice II clasificadas en las categorías de En Peligro, En Peligro Crítico y Extintas en Estado Silvestre, </w:t>
      </w:r>
      <w:r w:rsidRPr="0025358F">
        <w:rPr>
          <w:rFonts w:ascii="Arial" w:eastAsiaTheme="minorHAnsi" w:hAnsi="Arial" w:cs="Arial"/>
          <w:iCs/>
          <w:sz w:val="22"/>
          <w:szCs w:val="22"/>
          <w:lang w:val="es-PE"/>
        </w:rPr>
        <w:t xml:space="preserve"> con el fin de determinar, entre otr</w:t>
      </w:r>
      <w:r w:rsidR="00CA00CB">
        <w:rPr>
          <w:rFonts w:ascii="Arial" w:eastAsiaTheme="minorHAnsi" w:hAnsi="Arial" w:cs="Arial"/>
          <w:iCs/>
          <w:sz w:val="22"/>
          <w:szCs w:val="22"/>
          <w:lang w:val="es-PE"/>
        </w:rPr>
        <w:t>os</w:t>
      </w:r>
      <w:r w:rsidRPr="0025358F">
        <w:rPr>
          <w:rFonts w:ascii="Arial" w:eastAsiaTheme="minorHAnsi" w:hAnsi="Arial" w:cs="Arial"/>
          <w:iCs/>
          <w:sz w:val="22"/>
          <w:szCs w:val="22"/>
          <w:lang w:val="es-PE"/>
        </w:rPr>
        <w:t>:</w:t>
      </w:r>
    </w:p>
    <w:p w14:paraId="1DD89161" w14:textId="77777777" w:rsidR="0025358F" w:rsidRPr="0025358F" w:rsidRDefault="0025358F" w:rsidP="0025358F">
      <w:pPr>
        <w:widowControl/>
        <w:suppressAutoHyphens w:val="0"/>
        <w:autoSpaceDE/>
        <w:autoSpaceDN/>
        <w:adjustRightInd w:val="0"/>
        <w:jc w:val="both"/>
        <w:textAlignment w:val="auto"/>
        <w:rPr>
          <w:rFonts w:ascii="Arial" w:eastAsiaTheme="minorHAnsi" w:hAnsi="Arial" w:cs="Arial"/>
          <w:iCs/>
          <w:sz w:val="22"/>
          <w:szCs w:val="22"/>
          <w:lang w:val="es-PE"/>
        </w:rPr>
      </w:pPr>
    </w:p>
    <w:p w14:paraId="68F190C5" w14:textId="73BE7355" w:rsidR="0025358F" w:rsidRPr="0025358F" w:rsidRDefault="0025358F" w:rsidP="0025358F">
      <w:pPr>
        <w:widowControl/>
        <w:numPr>
          <w:ilvl w:val="0"/>
          <w:numId w:val="3"/>
        </w:numPr>
        <w:suppressAutoHyphens w:val="0"/>
        <w:autoSpaceDE/>
        <w:autoSpaceDN/>
        <w:adjustRightInd w:val="0"/>
        <w:contextualSpacing/>
        <w:jc w:val="both"/>
        <w:textAlignment w:val="auto"/>
        <w:rPr>
          <w:rFonts w:ascii="Arial" w:eastAsiaTheme="minorHAnsi" w:hAnsi="Arial" w:cs="Arial"/>
          <w:iCs/>
          <w:sz w:val="22"/>
          <w:szCs w:val="22"/>
          <w:lang w:val="es-PE"/>
        </w:rPr>
      </w:pPr>
      <w:r w:rsidRPr="0025358F">
        <w:rPr>
          <w:rFonts w:ascii="Arial" w:eastAsiaTheme="minorHAnsi" w:hAnsi="Arial" w:cs="Arial"/>
          <w:iCs/>
          <w:sz w:val="22"/>
          <w:szCs w:val="22"/>
          <w:lang w:val="es-PE"/>
        </w:rPr>
        <w:t xml:space="preserve">diferencias en el estado de conservación de poblaciones </w:t>
      </w:r>
      <w:r w:rsidR="00CA00CB">
        <w:rPr>
          <w:rFonts w:ascii="Arial" w:eastAsiaTheme="minorHAnsi" w:hAnsi="Arial" w:cs="Arial"/>
          <w:iCs/>
          <w:sz w:val="22"/>
          <w:szCs w:val="22"/>
          <w:lang w:val="es-PE"/>
        </w:rPr>
        <w:t xml:space="preserve">individuales </w:t>
      </w:r>
      <w:r w:rsidRPr="0025358F">
        <w:rPr>
          <w:rFonts w:ascii="Arial" w:eastAsiaTheme="minorHAnsi" w:hAnsi="Arial" w:cs="Arial"/>
          <w:iCs/>
          <w:sz w:val="22"/>
          <w:szCs w:val="22"/>
          <w:lang w:val="es-PE"/>
        </w:rPr>
        <w:t>o unidades de gestión;</w:t>
      </w:r>
    </w:p>
    <w:p w14:paraId="164BBE8B" w14:textId="77777777" w:rsidR="0025358F" w:rsidRPr="0025358F" w:rsidRDefault="0025358F" w:rsidP="0025358F">
      <w:pPr>
        <w:widowControl/>
        <w:numPr>
          <w:ilvl w:val="0"/>
          <w:numId w:val="3"/>
        </w:numPr>
        <w:suppressAutoHyphens w:val="0"/>
        <w:autoSpaceDE/>
        <w:autoSpaceDN/>
        <w:adjustRightInd w:val="0"/>
        <w:contextualSpacing/>
        <w:jc w:val="both"/>
        <w:textAlignment w:val="auto"/>
        <w:rPr>
          <w:rFonts w:ascii="Arial" w:eastAsiaTheme="minorHAnsi" w:hAnsi="Arial" w:cs="Arial"/>
          <w:iCs/>
          <w:sz w:val="22"/>
          <w:szCs w:val="22"/>
          <w:lang w:val="es-PE"/>
        </w:rPr>
      </w:pPr>
      <w:r w:rsidRPr="0025358F">
        <w:rPr>
          <w:rFonts w:ascii="Arial" w:eastAsiaTheme="minorHAnsi" w:hAnsi="Arial" w:cs="Arial"/>
          <w:iCs/>
          <w:sz w:val="22"/>
          <w:szCs w:val="22"/>
          <w:lang w:val="es-PE"/>
        </w:rPr>
        <w:t>la importancia de la protección que brinda la inclusión en el Apéndice I para la conservación de la especie y sus poblaciones individuales;</w:t>
      </w:r>
    </w:p>
    <w:p w14:paraId="72D9A054" w14:textId="77777777" w:rsidR="0025358F" w:rsidRPr="0025358F" w:rsidRDefault="0025358F" w:rsidP="0025358F">
      <w:pPr>
        <w:widowControl/>
        <w:suppressAutoHyphens w:val="0"/>
        <w:autoSpaceDE/>
        <w:autoSpaceDN/>
        <w:ind w:left="720"/>
        <w:contextualSpacing/>
        <w:textAlignment w:val="auto"/>
        <w:rPr>
          <w:rFonts w:ascii="Arial" w:eastAsiaTheme="minorHAnsi" w:hAnsi="Arial" w:cs="Arial"/>
          <w:iCs/>
          <w:sz w:val="22"/>
          <w:szCs w:val="22"/>
          <w:lang w:val="es-PE"/>
        </w:rPr>
      </w:pPr>
    </w:p>
    <w:p w14:paraId="21E89B72" w14:textId="77777777" w:rsidR="0025358F" w:rsidRPr="0025358F" w:rsidRDefault="0025358F" w:rsidP="0025358F">
      <w:pPr>
        <w:widowControl/>
        <w:numPr>
          <w:ilvl w:val="0"/>
          <w:numId w:val="1"/>
        </w:numPr>
        <w:suppressAutoHyphens w:val="0"/>
        <w:autoSpaceDE/>
        <w:autoSpaceDN/>
        <w:adjustRightInd w:val="0"/>
        <w:ind w:left="1418" w:hanging="567"/>
        <w:jc w:val="both"/>
        <w:textAlignment w:val="auto"/>
        <w:rPr>
          <w:rFonts w:ascii="Arial" w:eastAsiaTheme="minorHAnsi" w:hAnsi="Arial" w:cs="Arial"/>
          <w:iCs/>
          <w:sz w:val="22"/>
          <w:szCs w:val="22"/>
          <w:lang w:val="es-PE"/>
        </w:rPr>
      </w:pPr>
      <w:r w:rsidRPr="0025358F">
        <w:rPr>
          <w:rFonts w:ascii="Arial" w:eastAsiaTheme="minorHAnsi" w:hAnsi="Arial" w:cs="Arial"/>
          <w:iCs/>
          <w:sz w:val="22"/>
          <w:szCs w:val="22"/>
          <w:lang w:val="es-PE"/>
        </w:rPr>
        <w:t>emprender, en consulta con el Consejo Científico y en colaboración con las organizaciones competentes, y en sinergia con otras iniciativas pertinentes en el marco de la Convención, una evaluación del impacto del uso directo en el estado de conservación de las especies incluidas en el Apéndice I;</w:t>
      </w:r>
    </w:p>
    <w:p w14:paraId="73A031AA" w14:textId="77777777" w:rsidR="0025358F" w:rsidRPr="0025358F" w:rsidRDefault="0025358F" w:rsidP="0025358F">
      <w:pPr>
        <w:suppressAutoHyphens w:val="0"/>
        <w:adjustRightInd w:val="0"/>
        <w:ind w:left="1418"/>
        <w:jc w:val="both"/>
        <w:textAlignment w:val="auto"/>
        <w:rPr>
          <w:rFonts w:ascii="Arial" w:eastAsiaTheme="minorHAnsi" w:hAnsi="Arial" w:cs="Arial"/>
          <w:iCs/>
          <w:sz w:val="22"/>
          <w:szCs w:val="22"/>
          <w:lang w:val="es-PE"/>
        </w:rPr>
      </w:pPr>
    </w:p>
    <w:p w14:paraId="639E2B03" w14:textId="77777777" w:rsidR="0025358F" w:rsidRPr="0025358F" w:rsidRDefault="0025358F" w:rsidP="0025358F">
      <w:pPr>
        <w:widowControl/>
        <w:numPr>
          <w:ilvl w:val="0"/>
          <w:numId w:val="1"/>
        </w:numPr>
        <w:suppressAutoHyphens w:val="0"/>
        <w:autoSpaceDE/>
        <w:autoSpaceDN/>
        <w:adjustRightInd w:val="0"/>
        <w:ind w:left="1418" w:hanging="567"/>
        <w:jc w:val="both"/>
        <w:textAlignment w:val="auto"/>
        <w:rPr>
          <w:rFonts w:ascii="Arial" w:eastAsiaTheme="minorHAnsi" w:hAnsi="Arial" w:cs="Arial"/>
          <w:iCs/>
          <w:sz w:val="22"/>
          <w:szCs w:val="22"/>
          <w:lang w:val="es-PE"/>
        </w:rPr>
      </w:pPr>
      <w:r w:rsidRPr="0025358F">
        <w:rPr>
          <w:rFonts w:ascii="Arial" w:eastAsiaTheme="minorHAnsi" w:hAnsi="Arial" w:cs="Arial"/>
          <w:iCs/>
          <w:sz w:val="22"/>
          <w:szCs w:val="22"/>
          <w:lang w:val="es-PE"/>
        </w:rPr>
        <w:t>informar sobre los progresos realizados en la aplicación de la presente decisión al Comité del Período de Sesiones del Consejo Científico en sus reuniones entre períodos de sesiones de la COP13 y la COP14 y a la Conferencia de las Partes en su 14ª reunión.</w:t>
      </w:r>
    </w:p>
    <w:p w14:paraId="45E4ED6D" w14:textId="77777777" w:rsidR="0025358F" w:rsidRPr="0025358F" w:rsidRDefault="0025358F" w:rsidP="0025358F">
      <w:pPr>
        <w:widowControl/>
        <w:suppressAutoHyphens w:val="0"/>
        <w:autoSpaceDE/>
        <w:autoSpaceDN/>
        <w:jc w:val="both"/>
        <w:textAlignment w:val="auto"/>
        <w:rPr>
          <w:rFonts w:ascii="Arial" w:eastAsiaTheme="minorHAnsi" w:hAnsi="Arial" w:cs="Arial"/>
          <w:sz w:val="22"/>
          <w:szCs w:val="22"/>
          <w:lang w:val="es-PE"/>
        </w:rPr>
      </w:pPr>
    </w:p>
    <w:p w14:paraId="7A75588B" w14:textId="77777777" w:rsidR="0025358F" w:rsidRPr="0025358F" w:rsidRDefault="0025358F" w:rsidP="0025358F">
      <w:pPr>
        <w:widowControl/>
        <w:suppressAutoHyphens w:val="0"/>
        <w:autoSpaceDE/>
        <w:autoSpaceDN/>
        <w:jc w:val="both"/>
        <w:textAlignment w:val="auto"/>
        <w:rPr>
          <w:rFonts w:ascii="Arial" w:eastAsiaTheme="minorHAnsi" w:hAnsi="Arial" w:cs="Arial"/>
          <w:b/>
          <w:i/>
          <w:sz w:val="22"/>
          <w:szCs w:val="22"/>
          <w:lang w:val="es-PE"/>
        </w:rPr>
      </w:pPr>
      <w:r w:rsidRPr="0025358F">
        <w:rPr>
          <w:rFonts w:ascii="Arial" w:eastAsiaTheme="minorHAnsi" w:hAnsi="Arial" w:cs="Arial"/>
          <w:b/>
          <w:i/>
          <w:sz w:val="22"/>
          <w:szCs w:val="22"/>
          <w:lang w:val="es-PE"/>
        </w:rPr>
        <w:t>Dirigido a las Partes y a las organizaciones intergubernamentales y no gubernamentales</w:t>
      </w:r>
    </w:p>
    <w:p w14:paraId="02D2C68F" w14:textId="77777777" w:rsidR="0025358F" w:rsidRPr="0025358F" w:rsidRDefault="0025358F" w:rsidP="0025358F">
      <w:pPr>
        <w:widowControl/>
        <w:suppressAutoHyphens w:val="0"/>
        <w:autoSpaceDE/>
        <w:autoSpaceDN/>
        <w:jc w:val="both"/>
        <w:textAlignment w:val="auto"/>
        <w:rPr>
          <w:rFonts w:ascii="Arial" w:eastAsiaTheme="minorHAnsi" w:hAnsi="Arial" w:cs="Arial"/>
          <w:sz w:val="22"/>
          <w:szCs w:val="22"/>
          <w:lang w:val="es-PE"/>
        </w:rPr>
      </w:pPr>
    </w:p>
    <w:p w14:paraId="6B180B60" w14:textId="77777777" w:rsidR="0025358F" w:rsidRPr="0025358F" w:rsidRDefault="0025358F" w:rsidP="0025358F">
      <w:pPr>
        <w:widowControl/>
        <w:suppressAutoHyphens w:val="0"/>
        <w:autoSpaceDE/>
        <w:autoSpaceDN/>
        <w:ind w:left="851" w:hanging="851"/>
        <w:jc w:val="both"/>
        <w:textAlignment w:val="auto"/>
        <w:rPr>
          <w:rFonts w:ascii="Arial" w:eastAsiaTheme="minorHAnsi" w:hAnsi="Arial" w:cs="Arial"/>
          <w:sz w:val="22"/>
          <w:szCs w:val="22"/>
          <w:lang w:val="es-PE"/>
        </w:rPr>
      </w:pPr>
      <w:r w:rsidRPr="0025358F">
        <w:rPr>
          <w:rFonts w:ascii="Arial" w:eastAsiaTheme="minorHAnsi" w:hAnsi="Arial" w:cs="Arial"/>
          <w:sz w:val="22"/>
          <w:szCs w:val="22"/>
          <w:lang w:val="es-PE"/>
        </w:rPr>
        <w:t>13.BB</w:t>
      </w:r>
      <w:r w:rsidRPr="0025358F">
        <w:rPr>
          <w:rFonts w:ascii="Arial" w:eastAsiaTheme="minorHAnsi" w:hAnsi="Arial" w:cs="Arial"/>
          <w:sz w:val="22"/>
          <w:szCs w:val="22"/>
          <w:lang w:val="es-PE"/>
        </w:rPr>
        <w:tab/>
        <w:t>Se anima a las Partes y a las organizaciones intergubernamentales y no gubernamentales a respaldar financiera y técnicamente a la Secretaría en la realización de las actividades previstas en la Decisión 13. AA a-c.</w:t>
      </w:r>
    </w:p>
    <w:p w14:paraId="14796142" w14:textId="77777777" w:rsidR="0025358F" w:rsidRPr="0025358F" w:rsidRDefault="0025358F" w:rsidP="0025358F">
      <w:pPr>
        <w:widowControl/>
        <w:suppressAutoHyphens w:val="0"/>
        <w:autoSpaceDE/>
        <w:autoSpaceDN/>
        <w:jc w:val="both"/>
        <w:textAlignment w:val="auto"/>
        <w:rPr>
          <w:rFonts w:ascii="Arial" w:eastAsiaTheme="minorHAnsi" w:hAnsi="Arial" w:cs="Arial"/>
          <w:b/>
          <w:i/>
          <w:sz w:val="22"/>
          <w:szCs w:val="22"/>
          <w:lang w:val="es-PE"/>
        </w:rPr>
      </w:pPr>
    </w:p>
    <w:p w14:paraId="5B3C5E16" w14:textId="77777777" w:rsidR="0025358F" w:rsidRDefault="0025358F">
      <w:pPr>
        <w:widowControl/>
        <w:suppressAutoHyphens w:val="0"/>
        <w:autoSpaceDE/>
        <w:spacing w:after="160" w:line="254" w:lineRule="auto"/>
        <w:rPr>
          <w:rFonts w:ascii="Arial" w:eastAsiaTheme="minorHAnsi" w:hAnsi="Arial" w:cs="Arial"/>
          <w:b/>
          <w:i/>
          <w:sz w:val="22"/>
          <w:szCs w:val="22"/>
          <w:lang w:val="es-PE"/>
        </w:rPr>
      </w:pPr>
      <w:r>
        <w:rPr>
          <w:rFonts w:ascii="Arial" w:eastAsiaTheme="minorHAnsi" w:hAnsi="Arial" w:cs="Arial"/>
          <w:b/>
          <w:i/>
          <w:sz w:val="22"/>
          <w:szCs w:val="22"/>
          <w:lang w:val="es-PE"/>
        </w:rPr>
        <w:br w:type="page"/>
      </w:r>
    </w:p>
    <w:p w14:paraId="0F94E371" w14:textId="7FE3A4F6" w:rsidR="0025358F" w:rsidRPr="0025358F" w:rsidRDefault="0025358F" w:rsidP="0025358F">
      <w:pPr>
        <w:widowControl/>
        <w:suppressAutoHyphens w:val="0"/>
        <w:autoSpaceDE/>
        <w:autoSpaceDN/>
        <w:jc w:val="both"/>
        <w:textAlignment w:val="auto"/>
        <w:rPr>
          <w:rFonts w:ascii="Arial" w:eastAsiaTheme="minorHAnsi" w:hAnsi="Arial" w:cs="Arial"/>
          <w:b/>
          <w:i/>
          <w:sz w:val="22"/>
          <w:szCs w:val="22"/>
          <w:lang w:val="es-PE"/>
        </w:rPr>
      </w:pPr>
      <w:r w:rsidRPr="0025358F">
        <w:rPr>
          <w:rFonts w:ascii="Arial" w:eastAsiaTheme="minorHAnsi" w:hAnsi="Arial" w:cs="Arial"/>
          <w:b/>
          <w:i/>
          <w:sz w:val="22"/>
          <w:szCs w:val="22"/>
          <w:lang w:val="es-PE"/>
        </w:rPr>
        <w:lastRenderedPageBreak/>
        <w:t>Dirigido al Consejo Científico</w:t>
      </w:r>
    </w:p>
    <w:p w14:paraId="5DE61DF2" w14:textId="77777777" w:rsidR="0025358F" w:rsidRPr="0025358F" w:rsidRDefault="0025358F" w:rsidP="0025358F">
      <w:pPr>
        <w:widowControl/>
        <w:suppressAutoHyphens w:val="0"/>
        <w:autoSpaceDE/>
        <w:autoSpaceDN/>
        <w:jc w:val="both"/>
        <w:textAlignment w:val="auto"/>
        <w:rPr>
          <w:rFonts w:ascii="Arial" w:eastAsiaTheme="minorHAnsi" w:hAnsi="Arial" w:cs="Arial"/>
          <w:sz w:val="22"/>
          <w:szCs w:val="22"/>
          <w:lang w:val="es-PE"/>
        </w:rPr>
      </w:pPr>
    </w:p>
    <w:p w14:paraId="6017BA15" w14:textId="77777777" w:rsidR="0025358F" w:rsidRPr="0025358F" w:rsidRDefault="0025358F" w:rsidP="0025358F">
      <w:pPr>
        <w:widowControl/>
        <w:suppressAutoHyphens w:val="0"/>
        <w:autoSpaceDE/>
        <w:autoSpaceDN/>
        <w:ind w:left="851" w:hanging="851"/>
        <w:jc w:val="both"/>
        <w:textAlignment w:val="auto"/>
        <w:rPr>
          <w:rFonts w:ascii="Arial" w:eastAsiaTheme="minorHAnsi" w:hAnsi="Arial" w:cs="Arial"/>
          <w:sz w:val="22"/>
          <w:szCs w:val="22"/>
          <w:lang w:val="es-PE"/>
        </w:rPr>
      </w:pPr>
      <w:r w:rsidRPr="0025358F">
        <w:rPr>
          <w:rFonts w:ascii="Arial" w:eastAsiaTheme="minorHAnsi" w:hAnsi="Arial" w:cs="Arial"/>
          <w:sz w:val="22"/>
          <w:szCs w:val="22"/>
          <w:lang w:val="es-PE"/>
        </w:rPr>
        <w:t>13.CC</w:t>
      </w:r>
      <w:r w:rsidRPr="0025358F">
        <w:rPr>
          <w:rFonts w:ascii="Arial" w:eastAsiaTheme="minorHAnsi" w:hAnsi="Arial" w:cs="Arial"/>
          <w:sz w:val="22"/>
          <w:szCs w:val="22"/>
          <w:lang w:val="es-PE"/>
        </w:rPr>
        <w:tab/>
        <w:t>Se pide al Consejo Científico que:</w:t>
      </w:r>
    </w:p>
    <w:p w14:paraId="094AAA6C" w14:textId="77777777" w:rsidR="0025358F" w:rsidRPr="0025358F" w:rsidRDefault="0025358F" w:rsidP="0025358F">
      <w:pPr>
        <w:widowControl/>
        <w:suppressAutoHyphens w:val="0"/>
        <w:autoSpaceDE/>
        <w:autoSpaceDN/>
        <w:jc w:val="both"/>
        <w:textAlignment w:val="auto"/>
        <w:rPr>
          <w:rFonts w:ascii="Arial" w:eastAsiaTheme="minorHAnsi" w:hAnsi="Arial" w:cs="Arial"/>
          <w:sz w:val="22"/>
          <w:szCs w:val="22"/>
          <w:lang w:val="es-PE"/>
        </w:rPr>
      </w:pPr>
    </w:p>
    <w:p w14:paraId="1078AF34" w14:textId="77777777" w:rsidR="0025358F" w:rsidRPr="0025358F" w:rsidRDefault="0025358F" w:rsidP="0025358F">
      <w:pPr>
        <w:widowControl/>
        <w:numPr>
          <w:ilvl w:val="0"/>
          <w:numId w:val="2"/>
        </w:numPr>
        <w:suppressAutoHyphens w:val="0"/>
        <w:autoSpaceDE/>
        <w:autoSpaceDN/>
        <w:adjustRightInd w:val="0"/>
        <w:ind w:left="1418" w:hanging="567"/>
        <w:jc w:val="both"/>
        <w:textAlignment w:val="auto"/>
        <w:rPr>
          <w:rFonts w:ascii="Arial" w:eastAsiaTheme="minorHAnsi" w:hAnsi="Arial" w:cs="Arial"/>
          <w:sz w:val="22"/>
          <w:szCs w:val="22"/>
          <w:lang w:val="es-PE"/>
        </w:rPr>
      </w:pPr>
      <w:r w:rsidRPr="0025358F">
        <w:rPr>
          <w:rFonts w:ascii="Arial" w:eastAsiaTheme="minorHAnsi" w:hAnsi="Arial" w:cs="Arial"/>
          <w:sz w:val="22"/>
          <w:szCs w:val="22"/>
          <w:lang w:val="es-PE"/>
        </w:rPr>
        <w:t>proporcionar apoyo y orientación a la Secretaría en la realización de las actividades previstas en la Decisión 13. AA a-c;</w:t>
      </w:r>
    </w:p>
    <w:p w14:paraId="00E619B0" w14:textId="77777777" w:rsidR="0025358F" w:rsidRPr="0025358F" w:rsidRDefault="0025358F" w:rsidP="0025358F">
      <w:pPr>
        <w:widowControl/>
        <w:suppressAutoHyphens w:val="0"/>
        <w:autoSpaceDE/>
        <w:autoSpaceDN/>
        <w:ind w:left="1418" w:hanging="567"/>
        <w:jc w:val="both"/>
        <w:textAlignment w:val="auto"/>
        <w:rPr>
          <w:rFonts w:ascii="Arial" w:eastAsiaTheme="minorHAnsi" w:hAnsi="Arial" w:cs="Arial"/>
          <w:sz w:val="22"/>
          <w:szCs w:val="22"/>
          <w:lang w:val="es-PE"/>
        </w:rPr>
      </w:pPr>
    </w:p>
    <w:p w14:paraId="16742678" w14:textId="33D05670" w:rsidR="0025358F" w:rsidRPr="0025358F" w:rsidRDefault="0025358F" w:rsidP="0025358F">
      <w:pPr>
        <w:widowControl/>
        <w:numPr>
          <w:ilvl w:val="0"/>
          <w:numId w:val="2"/>
        </w:numPr>
        <w:suppressAutoHyphens w:val="0"/>
        <w:autoSpaceDE/>
        <w:autoSpaceDN/>
        <w:adjustRightInd w:val="0"/>
        <w:ind w:left="1418" w:hanging="567"/>
        <w:jc w:val="both"/>
        <w:textAlignment w:val="auto"/>
        <w:rPr>
          <w:rFonts w:ascii="Arial" w:eastAsiaTheme="minorHAnsi" w:hAnsi="Arial" w:cs="Arial"/>
          <w:sz w:val="22"/>
          <w:szCs w:val="22"/>
          <w:lang w:val="es-PE"/>
        </w:rPr>
      </w:pPr>
      <w:r w:rsidRPr="0025358F">
        <w:rPr>
          <w:rFonts w:ascii="Arial" w:eastAsiaTheme="minorHAnsi" w:hAnsi="Arial" w:cs="Arial"/>
          <w:sz w:val="22"/>
          <w:szCs w:val="22"/>
          <w:lang w:val="es-PE"/>
        </w:rPr>
        <w:t xml:space="preserve">examinar los informes presentados por la Secretaría en aplicación de la presente Decisión y formular recomendaciones, según proceda, a la </w:t>
      </w:r>
      <w:r w:rsidR="008610E5">
        <w:rPr>
          <w:rFonts w:ascii="Arial" w:eastAsiaTheme="minorHAnsi" w:hAnsi="Arial" w:cs="Arial"/>
          <w:sz w:val="22"/>
          <w:szCs w:val="22"/>
          <w:lang w:val="es-PE"/>
        </w:rPr>
        <w:t>14</w:t>
      </w:r>
      <w:r w:rsidR="008610E5" w:rsidRPr="008610E5">
        <w:rPr>
          <w:rFonts w:ascii="Arial" w:eastAsiaTheme="minorHAnsi" w:hAnsi="Arial" w:cs="Arial"/>
          <w:sz w:val="22"/>
          <w:szCs w:val="22"/>
          <w:vertAlign w:val="superscript"/>
          <w:lang w:val="es-PE"/>
        </w:rPr>
        <w:t xml:space="preserve">a </w:t>
      </w:r>
      <w:r w:rsidRPr="0025358F">
        <w:rPr>
          <w:rFonts w:ascii="Arial" w:eastAsiaTheme="minorHAnsi" w:hAnsi="Arial" w:cs="Arial"/>
          <w:sz w:val="22"/>
          <w:szCs w:val="22"/>
          <w:lang w:val="es-PE"/>
        </w:rPr>
        <w:t>Conferencia de las Partes</w:t>
      </w:r>
      <w:r w:rsidR="008610E5">
        <w:rPr>
          <w:rFonts w:ascii="Arial" w:eastAsiaTheme="minorHAnsi" w:hAnsi="Arial" w:cs="Arial"/>
          <w:sz w:val="22"/>
          <w:szCs w:val="22"/>
          <w:lang w:val="es-PE"/>
        </w:rPr>
        <w:t>,</w:t>
      </w:r>
      <w:r w:rsidRPr="0025358F">
        <w:rPr>
          <w:rFonts w:ascii="Arial" w:eastAsiaTheme="minorHAnsi" w:hAnsi="Arial" w:cs="Arial"/>
          <w:sz w:val="22"/>
          <w:szCs w:val="22"/>
          <w:lang w:val="es-PE"/>
        </w:rPr>
        <w:t xml:space="preserve"> </w:t>
      </w:r>
      <w:r w:rsidR="008610E5">
        <w:rPr>
          <w:rFonts w:ascii="Arial" w:eastAsiaTheme="minorHAnsi" w:hAnsi="Arial" w:cs="Arial"/>
          <w:sz w:val="22"/>
          <w:szCs w:val="22"/>
          <w:lang w:val="es-PE"/>
        </w:rPr>
        <w:t>en relación con las</w:t>
      </w:r>
      <w:r w:rsidRPr="0025358F">
        <w:rPr>
          <w:rFonts w:ascii="Arial" w:eastAsiaTheme="minorHAnsi" w:hAnsi="Arial" w:cs="Arial"/>
          <w:sz w:val="22"/>
          <w:szCs w:val="22"/>
          <w:lang w:val="es-PE"/>
        </w:rPr>
        <w:t xml:space="preserve"> acciones de conservación respaldadas por los informes.</w:t>
      </w:r>
      <w:bookmarkEnd w:id="0"/>
    </w:p>
    <w:p w14:paraId="00F47F8C" w14:textId="77777777" w:rsidR="0025358F" w:rsidRPr="0025358F" w:rsidRDefault="0025358F" w:rsidP="0025358F">
      <w:pPr>
        <w:ind w:left="567"/>
        <w:contextualSpacing/>
        <w:jc w:val="both"/>
        <w:rPr>
          <w:rFonts w:ascii="Arial" w:hAnsi="Arial" w:cs="Arial"/>
          <w:sz w:val="22"/>
          <w:szCs w:val="22"/>
          <w:lang w:val="es-PE" w:eastAsia="es-ES"/>
        </w:rPr>
      </w:pPr>
    </w:p>
    <w:sectPr w:rsidR="0025358F" w:rsidRPr="0025358F">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2BA3323B"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25358F">
      <w:rPr>
        <w:rFonts w:ascii="Arial" w:hAnsi="Arial" w:cs="Arial"/>
        <w:i/>
        <w:szCs w:val="20"/>
        <w:lang w:val="en-GB"/>
      </w:rPr>
      <w:t>24</w:t>
    </w:r>
  </w:p>
  <w:p w14:paraId="50B9F4CC" w14:textId="77777777" w:rsidR="00A16E93" w:rsidRDefault="00155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155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12E361AD"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25358F">
      <w:rPr>
        <w:rFonts w:ascii="Arial" w:hAnsi="Arial" w:cs="Arial"/>
        <w:bCs/>
        <w:i/>
        <w:iCs/>
        <w:szCs w:val="20"/>
        <w:lang w:val="en-GB"/>
      </w:rPr>
      <w:t>24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54DB2BE1"/>
    <w:multiLevelType w:val="hybridMultilevel"/>
    <w:tmpl w:val="17D4909C"/>
    <w:lvl w:ilvl="0" w:tplc="3DD46146">
      <w:start w:val="1"/>
      <w:numFmt w:val="lowerRoman"/>
      <w:lvlText w:val="(%1)"/>
      <w:lvlJc w:val="left"/>
      <w:pPr>
        <w:ind w:left="2138" w:hanging="72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5548B"/>
    <w:rsid w:val="0025358F"/>
    <w:rsid w:val="003F1AD8"/>
    <w:rsid w:val="0043102F"/>
    <w:rsid w:val="005645C4"/>
    <w:rsid w:val="0058757D"/>
    <w:rsid w:val="005D43E4"/>
    <w:rsid w:val="005F0639"/>
    <w:rsid w:val="007A1066"/>
    <w:rsid w:val="008610E5"/>
    <w:rsid w:val="00AA138B"/>
    <w:rsid w:val="00B8512D"/>
    <w:rsid w:val="00CA00CB"/>
    <w:rsid w:val="00D82C56"/>
    <w:rsid w:val="00E829C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25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2020-02-21T14:03:00Z</dcterms:created>
  <dcterms:modified xsi:type="dcterms:W3CDTF">2020-02-21T14:03:00Z</dcterms:modified>
</cp:coreProperties>
</file>