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278"/>
        <w:gridCol w:w="4230"/>
        <w:gridCol w:w="3814"/>
      </w:tblGrid>
      <w:tr w:rsidR="00CC2968" w:rsidRPr="00B23D51" w:rsidTr="004556F3">
        <w:trPr>
          <w:cantSplit/>
          <w:trHeight w:val="397"/>
        </w:trPr>
        <w:tc>
          <w:tcPr>
            <w:tcW w:w="9322" w:type="dxa"/>
            <w:gridSpan w:val="3"/>
            <w:tcBorders>
              <w:bottom w:val="single" w:sz="12" w:space="0" w:color="auto"/>
            </w:tcBorders>
          </w:tcPr>
          <w:p w:rsidR="00CC2968" w:rsidRPr="00B23D51" w:rsidRDefault="004F56CD" w:rsidP="004556F3">
            <w:pPr>
              <w:tabs>
                <w:tab w:val="right" w:pos="9106"/>
              </w:tabs>
              <w:rPr>
                <w:lang w:val="fr-FR"/>
              </w:rPr>
            </w:pPr>
            <w:r>
              <w:rPr>
                <w:noProof/>
                <w:szCs w:val="24"/>
              </w:rPr>
              <w:drawing>
                <wp:inline distT="0" distB="0" distL="0" distR="0" wp14:anchorId="0DF365B9" wp14:editId="4D921331">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14:anchorId="77F72659" wp14:editId="5F872595">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20955" w:rsidTr="00B22C5E">
        <w:trPr>
          <w:trHeight w:val="1860"/>
        </w:trPr>
        <w:tc>
          <w:tcPr>
            <w:tcW w:w="1278" w:type="dxa"/>
            <w:tcBorders>
              <w:top w:val="single" w:sz="12" w:space="0" w:color="auto"/>
              <w:bottom w:val="single" w:sz="12" w:space="0" w:color="auto"/>
              <w:right w:val="nil"/>
            </w:tcBorders>
          </w:tcPr>
          <w:p w:rsidR="00CC2968" w:rsidRPr="00B23D51" w:rsidRDefault="004F56CD" w:rsidP="00EB4FAC">
            <w:pPr>
              <w:rPr>
                <w:lang w:val="fr-FR"/>
              </w:rPr>
            </w:pPr>
            <w:r>
              <w:rPr>
                <w:noProof/>
                <w:szCs w:val="24"/>
              </w:rPr>
              <w:drawing>
                <wp:inline distT="0" distB="0" distL="0" distR="0" wp14:anchorId="69352754" wp14:editId="3732A24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230" w:type="dxa"/>
            <w:tcBorders>
              <w:top w:val="single" w:sz="12" w:space="0" w:color="auto"/>
              <w:left w:val="nil"/>
              <w:bottom w:val="single" w:sz="12" w:space="0" w:color="auto"/>
              <w:right w:val="nil"/>
            </w:tcBorders>
          </w:tcPr>
          <w:p w:rsidR="00CC2968" w:rsidRPr="00413EE7"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13EE7">
              <w:rPr>
                <w:rFonts w:ascii="Arial" w:hAnsi="Arial" w:cs="Arial"/>
                <w:bCs w:val="0"/>
                <w:sz w:val="44"/>
                <w:szCs w:val="44"/>
                <w:lang w:val="fr-FR"/>
              </w:rPr>
              <w:t>CONVENTION SUR</w:t>
            </w:r>
          </w:p>
          <w:p w:rsidR="00CC2968" w:rsidRPr="00413EE7"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13EE7">
              <w:rPr>
                <w:rFonts w:ascii="Arial" w:hAnsi="Arial" w:cs="Arial"/>
                <w:bCs w:val="0"/>
                <w:sz w:val="44"/>
                <w:szCs w:val="44"/>
                <w:lang w:val="fr-FR"/>
              </w:rPr>
              <w:t>LES ESP</w:t>
            </w:r>
            <w:r w:rsidR="009E75A4" w:rsidRPr="00413EE7">
              <w:rPr>
                <w:rFonts w:ascii="Arial" w:hAnsi="Arial" w:cs="Arial"/>
                <w:bCs w:val="0"/>
                <w:sz w:val="44"/>
                <w:szCs w:val="44"/>
                <w:lang w:val="fr-FR"/>
              </w:rPr>
              <w:t>È</w:t>
            </w:r>
            <w:r w:rsidRPr="00413EE7">
              <w:rPr>
                <w:rFonts w:ascii="Arial" w:hAnsi="Arial" w:cs="Arial"/>
                <w:bCs w:val="0"/>
                <w:sz w:val="44"/>
                <w:szCs w:val="44"/>
                <w:lang w:val="fr-FR"/>
              </w:rPr>
              <w:t>CES</w:t>
            </w:r>
          </w:p>
          <w:p w:rsidR="00CC2968" w:rsidRPr="00413EE7"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13EE7">
              <w:rPr>
                <w:rFonts w:ascii="Arial" w:hAnsi="Arial" w:cs="Arial"/>
                <w:bCs w:val="0"/>
                <w:sz w:val="44"/>
                <w:szCs w:val="44"/>
                <w:lang w:val="fr-FR"/>
              </w:rPr>
              <w:t>MIGRATRICES</w:t>
            </w:r>
          </w:p>
        </w:tc>
        <w:tc>
          <w:tcPr>
            <w:tcW w:w="3814" w:type="dxa"/>
            <w:tcBorders>
              <w:top w:val="single" w:sz="12" w:space="0" w:color="auto"/>
              <w:left w:val="nil"/>
              <w:bottom w:val="single" w:sz="12" w:space="0" w:color="auto"/>
            </w:tcBorders>
          </w:tcPr>
          <w:p w:rsidR="00CC2968" w:rsidRPr="00413EE7" w:rsidRDefault="00CC2968" w:rsidP="00D52B1D">
            <w:pPr>
              <w:rPr>
                <w:rFonts w:ascii="Arial" w:hAnsi="Arial" w:cs="Arial"/>
                <w:sz w:val="22"/>
                <w:lang w:val="fr-FR"/>
              </w:rPr>
            </w:pPr>
            <w:r w:rsidRPr="00413EE7">
              <w:rPr>
                <w:rFonts w:ascii="Arial" w:hAnsi="Arial" w:cs="Arial"/>
                <w:sz w:val="22"/>
                <w:lang w:val="fr-FR"/>
              </w:rPr>
              <w:t>Distribution: Générale</w:t>
            </w:r>
          </w:p>
          <w:p w:rsidR="00CC2968" w:rsidRPr="00413EE7" w:rsidRDefault="00CC2968" w:rsidP="00D52B1D">
            <w:pPr>
              <w:rPr>
                <w:rFonts w:ascii="Arial" w:hAnsi="Arial" w:cs="Arial"/>
                <w:sz w:val="22"/>
                <w:lang w:val="fr-FR"/>
              </w:rPr>
            </w:pPr>
          </w:p>
          <w:p w:rsidR="00CC2968" w:rsidRPr="00413EE7" w:rsidRDefault="00CC2968" w:rsidP="00D52B1D">
            <w:pPr>
              <w:rPr>
                <w:rFonts w:ascii="Arial" w:hAnsi="Arial" w:cs="Arial"/>
                <w:sz w:val="22"/>
                <w:lang w:val="fr-FR"/>
              </w:rPr>
            </w:pPr>
            <w:r w:rsidRPr="00413EE7">
              <w:rPr>
                <w:rFonts w:ascii="Arial" w:hAnsi="Arial" w:cs="Arial"/>
                <w:sz w:val="22"/>
                <w:lang w:val="fr-FR"/>
              </w:rPr>
              <w:t>PNUE/CMS/</w:t>
            </w:r>
            <w:r w:rsidR="00D20955" w:rsidRPr="00413EE7">
              <w:rPr>
                <w:rFonts w:ascii="Arial" w:hAnsi="Arial" w:cs="Arial"/>
                <w:sz w:val="22"/>
                <w:lang w:val="fr-FR"/>
              </w:rPr>
              <w:t>COP11/Doc.</w:t>
            </w:r>
            <w:r w:rsidR="00413EE7" w:rsidRPr="00413EE7">
              <w:rPr>
                <w:rFonts w:ascii="Arial" w:hAnsi="Arial" w:cs="Arial"/>
                <w:spacing w:val="-4"/>
                <w:sz w:val="22"/>
                <w:lang w:val="en-GB"/>
              </w:rPr>
              <w:t>18.3</w:t>
            </w:r>
            <w:r w:rsidR="00B22C5E">
              <w:rPr>
                <w:rFonts w:ascii="Arial" w:hAnsi="Arial" w:cs="Arial"/>
                <w:spacing w:val="-4"/>
                <w:sz w:val="22"/>
                <w:lang w:val="en-GB"/>
              </w:rPr>
              <w:t>/Rev.1</w:t>
            </w:r>
          </w:p>
          <w:p w:rsidR="00CC2968" w:rsidRPr="00413EE7" w:rsidRDefault="00B22C5E" w:rsidP="00D52B1D">
            <w:pPr>
              <w:rPr>
                <w:rFonts w:ascii="Arial" w:hAnsi="Arial" w:cs="Arial"/>
                <w:sz w:val="22"/>
                <w:lang w:val="fr-FR"/>
              </w:rPr>
            </w:pPr>
            <w:r>
              <w:rPr>
                <w:rFonts w:ascii="Arial" w:hAnsi="Arial" w:cs="Arial"/>
                <w:sz w:val="22"/>
                <w:lang w:val="fr-FR"/>
              </w:rPr>
              <w:t xml:space="preserve">2 octobre </w:t>
            </w:r>
            <w:r w:rsidR="00CC2968" w:rsidRPr="00413EE7">
              <w:rPr>
                <w:rFonts w:ascii="Arial" w:hAnsi="Arial" w:cs="Arial"/>
                <w:sz w:val="22"/>
                <w:lang w:val="fr-FR"/>
              </w:rPr>
              <w:t>201</w:t>
            </w:r>
            <w:r w:rsidR="00A83B6F" w:rsidRPr="00413EE7">
              <w:rPr>
                <w:rFonts w:ascii="Arial" w:hAnsi="Arial" w:cs="Arial"/>
                <w:sz w:val="22"/>
                <w:lang w:val="fr-FR"/>
              </w:rPr>
              <w:t>4</w:t>
            </w:r>
          </w:p>
          <w:p w:rsidR="00CC2968" w:rsidRPr="00413EE7" w:rsidRDefault="00CC2968" w:rsidP="00D52B1D">
            <w:pPr>
              <w:rPr>
                <w:rFonts w:ascii="Arial" w:hAnsi="Arial" w:cs="Arial"/>
                <w:sz w:val="22"/>
                <w:lang w:val="fr-FR"/>
              </w:rPr>
            </w:pPr>
          </w:p>
          <w:p w:rsidR="00CC2968" w:rsidRPr="00413EE7" w:rsidRDefault="00CC2968" w:rsidP="00D52B1D">
            <w:pPr>
              <w:rPr>
                <w:rFonts w:ascii="Arial" w:hAnsi="Arial" w:cs="Arial"/>
                <w:sz w:val="22"/>
                <w:lang w:val="fr-FR"/>
              </w:rPr>
            </w:pPr>
            <w:r w:rsidRPr="00413EE7">
              <w:rPr>
                <w:rFonts w:ascii="Arial" w:hAnsi="Arial" w:cs="Arial"/>
                <w:sz w:val="22"/>
                <w:lang w:val="fr-FR"/>
              </w:rPr>
              <w:t>Français</w:t>
            </w:r>
          </w:p>
          <w:p w:rsidR="00CC2968" w:rsidRPr="00413EE7" w:rsidRDefault="00CC2968" w:rsidP="00D52B1D">
            <w:pPr>
              <w:rPr>
                <w:lang w:val="fr-FR"/>
              </w:rPr>
            </w:pPr>
            <w:r w:rsidRPr="00413EE7">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413EE7" w:rsidRPr="00B40E1D">
        <w:rPr>
          <w:iCs/>
          <w:sz w:val="22"/>
          <w:lang w:val="en-GB"/>
        </w:rPr>
        <w:t>18.3</w:t>
      </w:r>
      <w:r w:rsidRPr="00B607B3">
        <w:rPr>
          <w:noProof/>
          <w:sz w:val="22"/>
          <w:lang w:val="fr-FR"/>
        </w:rPr>
        <w:t xml:space="preserve"> de l’ordre du jour</w:t>
      </w:r>
    </w:p>
    <w:p w:rsidR="00C87CFD" w:rsidRPr="00B23D51" w:rsidRDefault="00C87CFD" w:rsidP="00C87CFD">
      <w:pPr>
        <w:snapToGrid w:val="0"/>
        <w:rPr>
          <w:lang w:val="fr-FR"/>
        </w:rPr>
      </w:pPr>
    </w:p>
    <w:p w:rsidR="00CC2968" w:rsidRDefault="00CC2968" w:rsidP="00D52B1D">
      <w:pPr>
        <w:rPr>
          <w:szCs w:val="24"/>
          <w:lang w:val="fr-FR"/>
        </w:rPr>
      </w:pPr>
    </w:p>
    <w:p w:rsidR="009F5470" w:rsidRDefault="009F5470" w:rsidP="00D52B1D">
      <w:pPr>
        <w:rPr>
          <w:szCs w:val="24"/>
          <w:lang w:val="fr-FR"/>
        </w:rPr>
      </w:pPr>
    </w:p>
    <w:p w:rsidR="009F5470" w:rsidRPr="00F72256" w:rsidRDefault="009F5470" w:rsidP="009F5470">
      <w:pPr>
        <w:jc w:val="center"/>
        <w:rPr>
          <w:szCs w:val="24"/>
          <w:lang w:val="fr-FR"/>
        </w:rPr>
      </w:pPr>
      <w:r w:rsidRPr="00F72256">
        <w:rPr>
          <w:b/>
          <w:szCs w:val="24"/>
          <w:lang w:val="fr-FR"/>
        </w:rPr>
        <w:t xml:space="preserve">AMÉLIORER L’EFFICACITÉ DE LA </w:t>
      </w:r>
      <w:r>
        <w:rPr>
          <w:b/>
          <w:szCs w:val="24"/>
          <w:lang w:val="fr-FR"/>
        </w:rPr>
        <w:t>CONVENTION PAR LE BIAIS D’UN PROCESSUS D’EXAMEN DE LA MISE EN ŒUVRE</w:t>
      </w:r>
    </w:p>
    <w:p w:rsidR="009F5470" w:rsidRDefault="009F5470" w:rsidP="009F5470">
      <w:pPr>
        <w:jc w:val="center"/>
        <w:rPr>
          <w:szCs w:val="24"/>
          <w:lang w:val="fr-FR"/>
        </w:rPr>
      </w:pPr>
    </w:p>
    <w:p w:rsidR="009F5470" w:rsidRPr="001764E6" w:rsidRDefault="009F5470" w:rsidP="009F5470">
      <w:pPr>
        <w:jc w:val="both"/>
      </w:pPr>
    </w:p>
    <w:p w:rsidR="009F5470" w:rsidRPr="001764E6" w:rsidRDefault="009F5470" w:rsidP="009F547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53975</wp:posOffset>
                </wp:positionV>
                <wp:extent cx="4394200" cy="37846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784600"/>
                        </a:xfrm>
                        <a:prstGeom prst="rect">
                          <a:avLst/>
                        </a:prstGeom>
                        <a:solidFill>
                          <a:srgbClr val="FFFFFF"/>
                        </a:solidFill>
                        <a:ln w="25400">
                          <a:solidFill>
                            <a:srgbClr val="000000"/>
                          </a:solidFill>
                          <a:miter lim="800000"/>
                          <a:headEnd/>
                          <a:tailEnd/>
                        </a:ln>
                      </wps:spPr>
                      <wps:txbx>
                        <w:txbxContent>
                          <w:p w:rsidR="009F5470" w:rsidRDefault="009F5470" w:rsidP="009F5470">
                            <w:pPr>
                              <w:jc w:val="both"/>
                              <w:rPr>
                                <w:rStyle w:val="hps"/>
                                <w:lang w:val="fr-FR"/>
                              </w:rPr>
                            </w:pPr>
                            <w:bookmarkStart w:id="0" w:name="_GoBack"/>
                            <w:r>
                              <w:rPr>
                                <w:rStyle w:val="hps"/>
                                <w:lang w:val="fr-FR"/>
                              </w:rPr>
                              <w:t>Résumé :</w:t>
                            </w:r>
                          </w:p>
                          <w:p w:rsidR="009F5470" w:rsidRDefault="009F5470" w:rsidP="009F5470">
                            <w:pPr>
                              <w:jc w:val="both"/>
                              <w:rPr>
                                <w:rStyle w:val="hps"/>
                                <w:lang w:val="fr-FR"/>
                              </w:rPr>
                            </w:pPr>
                          </w:p>
                          <w:p w:rsidR="009F5470" w:rsidRDefault="009F5470" w:rsidP="009F5470">
                            <w:pPr>
                              <w:jc w:val="both"/>
                              <w:rPr>
                                <w:rStyle w:val="hps"/>
                                <w:lang w:val="fr-FR"/>
                              </w:rPr>
                            </w:pPr>
                            <w:r>
                              <w:rPr>
                                <w:rStyle w:val="hps"/>
                                <w:lang w:val="fr-FR"/>
                              </w:rPr>
                              <w:t>Alors que</w:t>
                            </w:r>
                            <w:r>
                              <w:rPr>
                                <w:lang w:val="fr-FR"/>
                              </w:rPr>
                              <w:t xml:space="preserve"> </w:t>
                            </w:r>
                            <w:r>
                              <w:rPr>
                                <w:rStyle w:val="hps"/>
                                <w:lang w:val="fr-FR"/>
                              </w:rPr>
                              <w:t xml:space="preserve">la plupart des </w:t>
                            </w:r>
                            <w:r w:rsidR="007922DF" w:rsidRPr="00413EE7">
                              <w:rPr>
                                <w:szCs w:val="24"/>
                                <w:lang w:val="fr-FR"/>
                              </w:rPr>
                              <w:t>accords multilatéraux sur l’environnement (AME)</w:t>
                            </w:r>
                            <w:r>
                              <w:rPr>
                                <w:lang w:val="fr-FR"/>
                              </w:rPr>
                              <w:t xml:space="preserve"> </w:t>
                            </w:r>
                            <w:r w:rsidR="007922DF" w:rsidRPr="00413EE7">
                              <w:rPr>
                                <w:szCs w:val="24"/>
                                <w:lang w:val="fr-FR"/>
                              </w:rPr>
                              <w:t>disposent d’un processus d’examen du respect et de la mise en œuvre des ac</w:t>
                            </w:r>
                            <w:r w:rsidR="007922DF">
                              <w:rPr>
                                <w:rStyle w:val="hps"/>
                                <w:lang w:val="fr-FR"/>
                              </w:rPr>
                              <w:t xml:space="preserve">cords, </w:t>
                            </w:r>
                            <w:r>
                              <w:rPr>
                                <w:rStyle w:val="hps"/>
                                <w:lang w:val="fr-FR"/>
                              </w:rPr>
                              <w:t>la Convention</w:t>
                            </w:r>
                            <w:r>
                              <w:rPr>
                                <w:lang w:val="fr-FR"/>
                              </w:rPr>
                              <w:t xml:space="preserve"> </w:t>
                            </w:r>
                            <w:r>
                              <w:rPr>
                                <w:rStyle w:val="hps"/>
                                <w:lang w:val="fr-FR"/>
                              </w:rPr>
                              <w:t>sur les espèces migratrices</w:t>
                            </w:r>
                            <w:r>
                              <w:rPr>
                                <w:lang w:val="fr-FR"/>
                              </w:rPr>
                              <w:t xml:space="preserve"> </w:t>
                            </w:r>
                            <w:r>
                              <w:rPr>
                                <w:rStyle w:val="hps"/>
                                <w:lang w:val="fr-FR"/>
                              </w:rPr>
                              <w:t>n’en a pas.</w:t>
                            </w:r>
                            <w:r>
                              <w:rPr>
                                <w:lang w:val="fr-FR"/>
                              </w:rPr>
                              <w:t xml:space="preserve"> </w:t>
                            </w:r>
                            <w:r>
                              <w:rPr>
                                <w:rStyle w:val="hps"/>
                                <w:lang w:val="fr-FR"/>
                              </w:rPr>
                              <w:t>Pour initier</w:t>
                            </w:r>
                            <w:r>
                              <w:rPr>
                                <w:lang w:val="fr-FR"/>
                              </w:rPr>
                              <w:t xml:space="preserve"> </w:t>
                            </w:r>
                            <w:r>
                              <w:rPr>
                                <w:rStyle w:val="hps"/>
                                <w:lang w:val="fr-FR"/>
                              </w:rPr>
                              <w:t>une discussion</w:t>
                            </w:r>
                            <w:r>
                              <w:rPr>
                                <w:lang w:val="fr-FR"/>
                              </w:rPr>
                              <w:t xml:space="preserve"> </w:t>
                            </w:r>
                            <w:r>
                              <w:rPr>
                                <w:rStyle w:val="hps"/>
                                <w:lang w:val="fr-FR"/>
                              </w:rPr>
                              <w:t>concernant le développement</w:t>
                            </w:r>
                            <w:r>
                              <w:rPr>
                                <w:lang w:val="fr-FR"/>
                              </w:rPr>
                              <w:t xml:space="preserve"> </w:t>
                            </w:r>
                            <w:r>
                              <w:rPr>
                                <w:rStyle w:val="hps"/>
                                <w:lang w:val="fr-FR"/>
                              </w:rPr>
                              <w:t>d'un tel processus</w:t>
                            </w:r>
                            <w:r>
                              <w:rPr>
                                <w:lang w:val="fr-FR"/>
                              </w:rPr>
                              <w:t xml:space="preserve"> au sein de l</w:t>
                            </w:r>
                            <w:r>
                              <w:rPr>
                                <w:rStyle w:val="hps"/>
                                <w:lang w:val="fr-FR"/>
                              </w:rPr>
                              <w:t>a Convention</w:t>
                            </w:r>
                            <w:r>
                              <w:rPr>
                                <w:lang w:val="fr-FR"/>
                              </w:rPr>
                              <w:t xml:space="preserve">, </w:t>
                            </w:r>
                            <w:r>
                              <w:rPr>
                                <w:rStyle w:val="hps"/>
                                <w:lang w:val="fr-FR"/>
                              </w:rPr>
                              <w:t>ce document</w:t>
                            </w:r>
                            <w:r>
                              <w:rPr>
                                <w:lang w:val="fr-FR"/>
                              </w:rPr>
                              <w:t xml:space="preserve"> </w:t>
                            </w:r>
                            <w:r>
                              <w:rPr>
                                <w:rStyle w:val="hps"/>
                                <w:lang w:val="fr-FR"/>
                              </w:rPr>
                              <w:t>résume les</w:t>
                            </w:r>
                            <w:r>
                              <w:rPr>
                                <w:lang w:val="fr-FR"/>
                              </w:rPr>
                              <w:t xml:space="preserve"> </w:t>
                            </w:r>
                            <w:r>
                              <w:rPr>
                                <w:rStyle w:val="hps"/>
                                <w:lang w:val="fr-FR"/>
                              </w:rPr>
                              <w:t>procédés utilisés</w:t>
                            </w:r>
                            <w:r>
                              <w:rPr>
                                <w:lang w:val="fr-FR"/>
                              </w:rPr>
                              <w:t xml:space="preserve"> </w:t>
                            </w:r>
                            <w:r>
                              <w:rPr>
                                <w:rStyle w:val="hps"/>
                                <w:lang w:val="fr-FR"/>
                              </w:rPr>
                              <w:t>par</w:t>
                            </w:r>
                            <w:r>
                              <w:rPr>
                                <w:lang w:val="fr-FR"/>
                              </w:rPr>
                              <w:t xml:space="preserve"> </w:t>
                            </w:r>
                            <w:r>
                              <w:rPr>
                                <w:rStyle w:val="hps"/>
                                <w:lang w:val="fr-FR"/>
                              </w:rPr>
                              <w:t>les AME et</w:t>
                            </w:r>
                            <w:r>
                              <w:rPr>
                                <w:lang w:val="fr-FR"/>
                              </w:rPr>
                              <w:t xml:space="preserve"> </w:t>
                            </w:r>
                            <w:r>
                              <w:rPr>
                                <w:rStyle w:val="hps"/>
                                <w:lang w:val="fr-FR"/>
                              </w:rPr>
                              <w:t>autres accords</w:t>
                            </w:r>
                            <w:r>
                              <w:rPr>
                                <w:lang w:val="fr-FR"/>
                              </w:rPr>
                              <w:t xml:space="preserve"> </w:t>
                            </w:r>
                            <w:r>
                              <w:rPr>
                                <w:rStyle w:val="hps"/>
                                <w:lang w:val="fr-FR"/>
                              </w:rPr>
                              <w:t>pertinents pour renforcer</w:t>
                            </w:r>
                            <w:r>
                              <w:rPr>
                                <w:lang w:val="fr-FR"/>
                              </w:rPr>
                              <w:t xml:space="preserve"> </w:t>
                            </w:r>
                            <w:r>
                              <w:rPr>
                                <w:rStyle w:val="hps"/>
                                <w:lang w:val="fr-FR"/>
                              </w:rPr>
                              <w:t>la mise en œuvre</w:t>
                            </w:r>
                            <w:r>
                              <w:rPr>
                                <w:lang w:val="fr-FR"/>
                              </w:rPr>
                              <w:t xml:space="preserve"> </w:t>
                            </w:r>
                            <w:r>
                              <w:rPr>
                                <w:rStyle w:val="hps"/>
                                <w:lang w:val="fr-FR"/>
                              </w:rPr>
                              <w:t>et</w:t>
                            </w:r>
                            <w:r w:rsidR="007922DF">
                              <w:rPr>
                                <w:rStyle w:val="hps"/>
                                <w:lang w:val="fr-FR"/>
                              </w:rPr>
                              <w:t xml:space="preserve"> le respect des accords</w:t>
                            </w:r>
                            <w:r>
                              <w:rPr>
                                <w:rStyle w:val="hps"/>
                                <w:lang w:val="fr-FR"/>
                              </w:rPr>
                              <w:t>.</w:t>
                            </w:r>
                          </w:p>
                          <w:p w:rsidR="009F5470" w:rsidRDefault="009F5470" w:rsidP="009F5470">
                            <w:pPr>
                              <w:jc w:val="both"/>
                              <w:rPr>
                                <w:lang w:val="fr-FR"/>
                              </w:rPr>
                            </w:pPr>
                          </w:p>
                          <w:p w:rsidR="007922DF" w:rsidRPr="007922DF" w:rsidRDefault="009F5470" w:rsidP="007922DF">
                            <w:pPr>
                              <w:contextualSpacing/>
                              <w:jc w:val="both"/>
                              <w:rPr>
                                <w:bCs/>
                                <w:szCs w:val="24"/>
                                <w:lang w:val="fr-FR"/>
                              </w:rPr>
                            </w:pPr>
                            <w:r w:rsidRPr="007922DF">
                              <w:rPr>
                                <w:rStyle w:val="hps"/>
                                <w:lang w:val="fr-FR"/>
                              </w:rPr>
                              <w:t>La Conférence</w:t>
                            </w:r>
                            <w:r w:rsidRPr="007922DF">
                              <w:rPr>
                                <w:lang w:val="fr-FR"/>
                              </w:rPr>
                              <w:t xml:space="preserve"> </w:t>
                            </w:r>
                            <w:r w:rsidRPr="007922DF">
                              <w:rPr>
                                <w:rStyle w:val="hps"/>
                                <w:lang w:val="fr-FR"/>
                              </w:rPr>
                              <w:t>des Parties</w:t>
                            </w:r>
                            <w:r w:rsidRPr="007922DF">
                              <w:rPr>
                                <w:lang w:val="fr-FR"/>
                              </w:rPr>
                              <w:t xml:space="preserve"> </w:t>
                            </w:r>
                            <w:r w:rsidRPr="007922DF">
                              <w:rPr>
                                <w:rStyle w:val="hps"/>
                                <w:lang w:val="fr-FR"/>
                              </w:rPr>
                              <w:t>est invitée à examiner</w:t>
                            </w:r>
                            <w:r w:rsidRPr="007922DF">
                              <w:rPr>
                                <w:lang w:val="fr-FR"/>
                              </w:rPr>
                              <w:t xml:space="preserve"> </w:t>
                            </w:r>
                            <w:r w:rsidRPr="007922DF">
                              <w:rPr>
                                <w:rStyle w:val="hps"/>
                                <w:lang w:val="fr-FR"/>
                              </w:rPr>
                              <w:t>pour</w:t>
                            </w:r>
                            <w:r w:rsidRPr="007922DF">
                              <w:rPr>
                                <w:lang w:val="fr-FR"/>
                              </w:rPr>
                              <w:t xml:space="preserve"> </w:t>
                            </w:r>
                            <w:r w:rsidRPr="007922DF">
                              <w:rPr>
                                <w:rStyle w:val="hps"/>
                                <w:lang w:val="fr-FR"/>
                              </w:rPr>
                              <w:t>adoption</w:t>
                            </w:r>
                            <w:r w:rsidRPr="007922DF">
                              <w:rPr>
                                <w:lang w:val="fr-FR"/>
                              </w:rPr>
                              <w:t xml:space="preserve"> </w:t>
                            </w:r>
                            <w:r w:rsidRPr="007922DF">
                              <w:rPr>
                                <w:rStyle w:val="hps"/>
                                <w:lang w:val="fr-FR"/>
                              </w:rPr>
                              <w:t>le projet de résolution</w:t>
                            </w:r>
                            <w:r w:rsidRPr="007922DF">
                              <w:rPr>
                                <w:lang w:val="fr-FR"/>
                              </w:rPr>
                              <w:t xml:space="preserve"> </w:t>
                            </w:r>
                            <w:r w:rsidRPr="007922DF">
                              <w:rPr>
                                <w:rStyle w:val="hps"/>
                                <w:lang w:val="fr-FR"/>
                              </w:rPr>
                              <w:t>inclus dans</w:t>
                            </w:r>
                            <w:r w:rsidRPr="007922DF">
                              <w:rPr>
                                <w:lang w:val="fr-FR"/>
                              </w:rPr>
                              <w:t xml:space="preserve"> </w:t>
                            </w:r>
                            <w:r w:rsidRPr="007922DF">
                              <w:rPr>
                                <w:rStyle w:val="hps"/>
                                <w:lang w:val="fr-FR"/>
                              </w:rPr>
                              <w:t>l'annexe</w:t>
                            </w:r>
                            <w:r w:rsidRPr="007922DF">
                              <w:rPr>
                                <w:lang w:val="fr-FR"/>
                              </w:rPr>
                              <w:t xml:space="preserve">, </w:t>
                            </w:r>
                            <w:r w:rsidRPr="007922DF">
                              <w:rPr>
                                <w:rStyle w:val="hps"/>
                                <w:lang w:val="fr-FR"/>
                              </w:rPr>
                              <w:t>qui</w:t>
                            </w:r>
                            <w:r w:rsidRPr="007922DF">
                              <w:rPr>
                                <w:lang w:val="fr-FR"/>
                              </w:rPr>
                              <w:t xml:space="preserve"> </w:t>
                            </w:r>
                            <w:r w:rsidRPr="007922DF">
                              <w:rPr>
                                <w:rStyle w:val="hps"/>
                                <w:lang w:val="fr-FR"/>
                              </w:rPr>
                              <w:t>établit un processus</w:t>
                            </w:r>
                            <w:r w:rsidRPr="007922DF">
                              <w:rPr>
                                <w:lang w:val="fr-FR"/>
                              </w:rPr>
                              <w:t xml:space="preserve"> </w:t>
                            </w:r>
                            <w:r w:rsidR="007922DF" w:rsidRPr="007922DF">
                              <w:rPr>
                                <w:bCs/>
                                <w:szCs w:val="24"/>
                                <w:lang w:val="fr-FR"/>
                              </w:rPr>
                              <w:t>pour l’élaboration d’un processus d’examen de la Convention.</w:t>
                            </w:r>
                          </w:p>
                          <w:p w:rsidR="009F5470" w:rsidRDefault="009F5470" w:rsidP="009F5470">
                            <w:pPr>
                              <w:jc w:val="both"/>
                              <w:rPr>
                                <w:lang w:val="fr-FR"/>
                              </w:rPr>
                            </w:pPr>
                          </w:p>
                          <w:p w:rsidR="00977587" w:rsidRPr="007922DF" w:rsidRDefault="00977587" w:rsidP="009F5470">
                            <w:pPr>
                              <w:jc w:val="both"/>
                              <w:rPr>
                                <w:lang w:val="fr-FR"/>
                              </w:rPr>
                            </w:pPr>
                            <w:r>
                              <w:rPr>
                                <w:rStyle w:val="hps"/>
                                <w:lang w:val="fr-FR"/>
                              </w:rPr>
                              <w:t>Ce</w:t>
                            </w:r>
                            <w:r>
                              <w:rPr>
                                <w:lang w:val="fr-FR"/>
                              </w:rPr>
                              <w:t xml:space="preserve"> </w:t>
                            </w:r>
                            <w:r>
                              <w:rPr>
                                <w:rStyle w:val="hps"/>
                                <w:lang w:val="fr-FR"/>
                              </w:rPr>
                              <w:t>document a été révisé</w:t>
                            </w:r>
                            <w:r>
                              <w:rPr>
                                <w:lang w:val="fr-FR"/>
                              </w:rPr>
                              <w:t xml:space="preserve"> </w:t>
                            </w:r>
                            <w:r>
                              <w:rPr>
                                <w:lang w:val="fr-FR"/>
                              </w:rPr>
                              <w:t xml:space="preserve">uniquement </w:t>
                            </w:r>
                            <w:r>
                              <w:rPr>
                                <w:rStyle w:val="hps"/>
                                <w:lang w:val="fr-FR"/>
                              </w:rPr>
                              <w:t>pour indiquer</w:t>
                            </w:r>
                            <w:r>
                              <w:rPr>
                                <w:lang w:val="fr-FR"/>
                              </w:rPr>
                              <w:t xml:space="preserve"> </w:t>
                            </w:r>
                            <w:r>
                              <w:rPr>
                                <w:rStyle w:val="hps"/>
                                <w:lang w:val="fr-FR"/>
                              </w:rPr>
                              <w:t>que</w:t>
                            </w:r>
                            <w:r>
                              <w:rPr>
                                <w:lang w:val="fr-FR"/>
                              </w:rPr>
                              <w:t xml:space="preserve">, </w:t>
                            </w:r>
                            <w:r>
                              <w:rPr>
                                <w:rStyle w:val="hps"/>
                                <w:lang w:val="fr-FR"/>
                              </w:rPr>
                              <w:t>dans le troisième</w:t>
                            </w:r>
                            <w:r>
                              <w:rPr>
                                <w:lang w:val="fr-FR"/>
                              </w:rPr>
                              <w:t xml:space="preserve"> </w:t>
                            </w:r>
                            <w:r>
                              <w:rPr>
                                <w:rStyle w:val="hps"/>
                                <w:lang w:val="fr-FR"/>
                              </w:rPr>
                              <w:t>paragraphe du préambule</w:t>
                            </w:r>
                            <w:r>
                              <w:rPr>
                                <w:lang w:val="fr-FR"/>
                              </w:rPr>
                              <w:t xml:space="preserve"> </w:t>
                            </w:r>
                            <w:r>
                              <w:rPr>
                                <w:rStyle w:val="hps"/>
                                <w:lang w:val="fr-FR"/>
                              </w:rPr>
                              <w:t>du projet de résolution</w:t>
                            </w:r>
                            <w:r>
                              <w:rPr>
                                <w:lang w:val="fr-FR"/>
                              </w:rPr>
                              <w:t xml:space="preserve">, </w:t>
                            </w:r>
                            <w:r>
                              <w:rPr>
                                <w:rStyle w:val="hps"/>
                                <w:lang w:val="fr-FR"/>
                              </w:rPr>
                              <w:t>l'Accord sur</w:t>
                            </w:r>
                            <w:r>
                              <w:rPr>
                                <w:lang w:val="fr-FR"/>
                              </w:rPr>
                              <w:t xml:space="preserve"> </w:t>
                            </w:r>
                            <w:r>
                              <w:rPr>
                                <w:rStyle w:val="hps"/>
                                <w:lang w:val="fr-FR"/>
                              </w:rPr>
                              <w:t>la Conservation des Cétacés</w:t>
                            </w:r>
                            <w:r>
                              <w:rPr>
                                <w:lang w:val="fr-FR"/>
                              </w:rPr>
                              <w:t xml:space="preserve"> </w:t>
                            </w:r>
                            <w:r>
                              <w:rPr>
                                <w:rStyle w:val="hps"/>
                                <w:lang w:val="fr-FR"/>
                              </w:rPr>
                              <w:t>de la Mer Noire</w:t>
                            </w:r>
                            <w:r>
                              <w:rPr>
                                <w:lang w:val="fr-FR"/>
                              </w:rPr>
                              <w:t xml:space="preserve">, de la Méditerranée </w:t>
                            </w:r>
                            <w:r>
                              <w:rPr>
                                <w:rStyle w:val="hps"/>
                                <w:lang w:val="fr-FR"/>
                              </w:rPr>
                              <w:t>et</w:t>
                            </w:r>
                            <w:r>
                              <w:rPr>
                                <w:lang w:val="fr-FR"/>
                              </w:rPr>
                              <w:t xml:space="preserve"> </w:t>
                            </w:r>
                            <w:r>
                              <w:rPr>
                                <w:rStyle w:val="hps"/>
                                <w:lang w:val="fr-FR"/>
                              </w:rPr>
                              <w:t>de la zone Atlantique</w:t>
                            </w:r>
                            <w:r>
                              <w:rPr>
                                <w:lang w:val="fr-FR"/>
                              </w:rPr>
                              <w:t xml:space="preserve"> </w:t>
                            </w:r>
                            <w:r>
                              <w:rPr>
                                <w:rStyle w:val="hps"/>
                                <w:lang w:val="fr-FR"/>
                              </w:rPr>
                              <w:t>adjacente</w:t>
                            </w:r>
                            <w:r>
                              <w:rPr>
                                <w:lang w:val="fr-FR"/>
                              </w:rPr>
                              <w:t xml:space="preserve"> </w:t>
                            </w:r>
                            <w:r>
                              <w:rPr>
                                <w:rStyle w:val="hps"/>
                                <w:lang w:val="fr-FR"/>
                              </w:rPr>
                              <w:t>(ACCOBAMS</w:t>
                            </w:r>
                            <w:r>
                              <w:rPr>
                                <w:lang w:val="fr-FR"/>
                              </w:rPr>
                              <w:t xml:space="preserve">) </w:t>
                            </w:r>
                            <w:r>
                              <w:rPr>
                                <w:rStyle w:val="hps"/>
                                <w:lang w:val="fr-FR"/>
                              </w:rPr>
                              <w:t>a également un</w:t>
                            </w:r>
                            <w:r>
                              <w:rPr>
                                <w:lang w:val="fr-FR"/>
                              </w:rPr>
                              <w:t xml:space="preserve"> </w:t>
                            </w:r>
                            <w:r>
                              <w:rPr>
                                <w:rStyle w:val="hps"/>
                                <w:lang w:val="fr-FR"/>
                              </w:rPr>
                              <w:t>processus d'examen de</w:t>
                            </w:r>
                            <w:r>
                              <w:rPr>
                                <w:lang w:val="fr-FR"/>
                              </w:rPr>
                              <w:t xml:space="preserve"> </w:t>
                            </w:r>
                            <w:r>
                              <w:rPr>
                                <w:rStyle w:val="hps"/>
                                <w:lang w:val="fr-FR"/>
                              </w:rPr>
                              <w:t>l’</w:t>
                            </w:r>
                            <w:r>
                              <w:rPr>
                                <w:rStyle w:val="hps"/>
                                <w:lang w:val="fr-FR"/>
                              </w:rPr>
                              <w:t>efficacité des mesures</w:t>
                            </w:r>
                            <w:r>
                              <w:rPr>
                                <w:lang w:val="fr-FR"/>
                              </w:rPr>
                              <w:t xml:space="preserve"> </w:t>
                            </w:r>
                            <w:r>
                              <w:rPr>
                                <w:rStyle w:val="hps"/>
                                <w:lang w:val="fr-FR"/>
                              </w:rPr>
                              <w:t>de mise en œuvre</w:t>
                            </w:r>
                            <w:r>
                              <w:rPr>
                                <w:lang w:val="fr-FR"/>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1.1pt;margin-top:4.25pt;width:346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" strokeweight="2pt">
                <v:textbox>
                  <w:txbxContent>
                    <w:p w:rsidR="009F5470" w:rsidRDefault="009F5470" w:rsidP="009F5470">
                      <w:pPr>
                        <w:jc w:val="both"/>
                        <w:rPr>
                          <w:rStyle w:val="hps"/>
                          <w:lang w:val="fr-FR"/>
                        </w:rPr>
                      </w:pPr>
                      <w:bookmarkStart w:id="1" w:name="_GoBack"/>
                      <w:r>
                        <w:rPr>
                          <w:rStyle w:val="hps"/>
                          <w:lang w:val="fr-FR"/>
                        </w:rPr>
                        <w:t>Résumé :</w:t>
                      </w:r>
                    </w:p>
                    <w:p w:rsidR="009F5470" w:rsidRDefault="009F5470" w:rsidP="009F5470">
                      <w:pPr>
                        <w:jc w:val="both"/>
                        <w:rPr>
                          <w:rStyle w:val="hps"/>
                          <w:lang w:val="fr-FR"/>
                        </w:rPr>
                      </w:pPr>
                    </w:p>
                    <w:p w:rsidR="009F5470" w:rsidRDefault="009F5470" w:rsidP="009F5470">
                      <w:pPr>
                        <w:jc w:val="both"/>
                        <w:rPr>
                          <w:rStyle w:val="hps"/>
                          <w:lang w:val="fr-FR"/>
                        </w:rPr>
                      </w:pPr>
                      <w:r>
                        <w:rPr>
                          <w:rStyle w:val="hps"/>
                          <w:lang w:val="fr-FR"/>
                        </w:rPr>
                        <w:t>Alors que</w:t>
                      </w:r>
                      <w:r>
                        <w:rPr>
                          <w:lang w:val="fr-FR"/>
                        </w:rPr>
                        <w:t xml:space="preserve"> </w:t>
                      </w:r>
                      <w:r>
                        <w:rPr>
                          <w:rStyle w:val="hps"/>
                          <w:lang w:val="fr-FR"/>
                        </w:rPr>
                        <w:t xml:space="preserve">la plupart des </w:t>
                      </w:r>
                      <w:r w:rsidR="007922DF" w:rsidRPr="00413EE7">
                        <w:rPr>
                          <w:szCs w:val="24"/>
                          <w:lang w:val="fr-FR"/>
                        </w:rPr>
                        <w:t>accords multilatéraux sur l’environnement (AME)</w:t>
                      </w:r>
                      <w:r>
                        <w:rPr>
                          <w:lang w:val="fr-FR"/>
                        </w:rPr>
                        <w:t xml:space="preserve"> </w:t>
                      </w:r>
                      <w:r w:rsidR="007922DF" w:rsidRPr="00413EE7">
                        <w:rPr>
                          <w:szCs w:val="24"/>
                          <w:lang w:val="fr-FR"/>
                        </w:rPr>
                        <w:t>disposent d’un processus d’examen du respect et de la mise en œuvre des ac</w:t>
                      </w:r>
                      <w:r w:rsidR="007922DF">
                        <w:rPr>
                          <w:rStyle w:val="hps"/>
                          <w:lang w:val="fr-FR"/>
                        </w:rPr>
                        <w:t xml:space="preserve">cords, </w:t>
                      </w:r>
                      <w:r>
                        <w:rPr>
                          <w:rStyle w:val="hps"/>
                          <w:lang w:val="fr-FR"/>
                        </w:rPr>
                        <w:t>la Convention</w:t>
                      </w:r>
                      <w:r>
                        <w:rPr>
                          <w:lang w:val="fr-FR"/>
                        </w:rPr>
                        <w:t xml:space="preserve"> </w:t>
                      </w:r>
                      <w:r>
                        <w:rPr>
                          <w:rStyle w:val="hps"/>
                          <w:lang w:val="fr-FR"/>
                        </w:rPr>
                        <w:t>sur les espèces migratrices</w:t>
                      </w:r>
                      <w:r>
                        <w:rPr>
                          <w:lang w:val="fr-FR"/>
                        </w:rPr>
                        <w:t xml:space="preserve"> </w:t>
                      </w:r>
                      <w:r>
                        <w:rPr>
                          <w:rStyle w:val="hps"/>
                          <w:lang w:val="fr-FR"/>
                        </w:rPr>
                        <w:t>n’en a pas.</w:t>
                      </w:r>
                      <w:r>
                        <w:rPr>
                          <w:lang w:val="fr-FR"/>
                        </w:rPr>
                        <w:t xml:space="preserve"> </w:t>
                      </w:r>
                      <w:r>
                        <w:rPr>
                          <w:rStyle w:val="hps"/>
                          <w:lang w:val="fr-FR"/>
                        </w:rPr>
                        <w:t>Pour initier</w:t>
                      </w:r>
                      <w:r>
                        <w:rPr>
                          <w:lang w:val="fr-FR"/>
                        </w:rPr>
                        <w:t xml:space="preserve"> </w:t>
                      </w:r>
                      <w:r>
                        <w:rPr>
                          <w:rStyle w:val="hps"/>
                          <w:lang w:val="fr-FR"/>
                        </w:rPr>
                        <w:t>une discussion</w:t>
                      </w:r>
                      <w:r>
                        <w:rPr>
                          <w:lang w:val="fr-FR"/>
                        </w:rPr>
                        <w:t xml:space="preserve"> </w:t>
                      </w:r>
                      <w:r>
                        <w:rPr>
                          <w:rStyle w:val="hps"/>
                          <w:lang w:val="fr-FR"/>
                        </w:rPr>
                        <w:t>concernant le développement</w:t>
                      </w:r>
                      <w:r>
                        <w:rPr>
                          <w:lang w:val="fr-FR"/>
                        </w:rPr>
                        <w:t xml:space="preserve"> </w:t>
                      </w:r>
                      <w:r>
                        <w:rPr>
                          <w:rStyle w:val="hps"/>
                          <w:lang w:val="fr-FR"/>
                        </w:rPr>
                        <w:t>d'un tel processus</w:t>
                      </w:r>
                      <w:r>
                        <w:rPr>
                          <w:lang w:val="fr-FR"/>
                        </w:rPr>
                        <w:t xml:space="preserve"> au sein de l</w:t>
                      </w:r>
                      <w:r>
                        <w:rPr>
                          <w:rStyle w:val="hps"/>
                          <w:lang w:val="fr-FR"/>
                        </w:rPr>
                        <w:t>a Convention</w:t>
                      </w:r>
                      <w:r>
                        <w:rPr>
                          <w:lang w:val="fr-FR"/>
                        </w:rPr>
                        <w:t xml:space="preserve">, </w:t>
                      </w:r>
                      <w:r>
                        <w:rPr>
                          <w:rStyle w:val="hps"/>
                          <w:lang w:val="fr-FR"/>
                        </w:rPr>
                        <w:t>ce document</w:t>
                      </w:r>
                      <w:r>
                        <w:rPr>
                          <w:lang w:val="fr-FR"/>
                        </w:rPr>
                        <w:t xml:space="preserve"> </w:t>
                      </w:r>
                      <w:r>
                        <w:rPr>
                          <w:rStyle w:val="hps"/>
                          <w:lang w:val="fr-FR"/>
                        </w:rPr>
                        <w:t>résume les</w:t>
                      </w:r>
                      <w:r>
                        <w:rPr>
                          <w:lang w:val="fr-FR"/>
                        </w:rPr>
                        <w:t xml:space="preserve"> </w:t>
                      </w:r>
                      <w:r>
                        <w:rPr>
                          <w:rStyle w:val="hps"/>
                          <w:lang w:val="fr-FR"/>
                        </w:rPr>
                        <w:t>procédés utilisés</w:t>
                      </w:r>
                      <w:r>
                        <w:rPr>
                          <w:lang w:val="fr-FR"/>
                        </w:rPr>
                        <w:t xml:space="preserve"> </w:t>
                      </w:r>
                      <w:r>
                        <w:rPr>
                          <w:rStyle w:val="hps"/>
                          <w:lang w:val="fr-FR"/>
                        </w:rPr>
                        <w:t>par</w:t>
                      </w:r>
                      <w:r>
                        <w:rPr>
                          <w:lang w:val="fr-FR"/>
                        </w:rPr>
                        <w:t xml:space="preserve"> </w:t>
                      </w:r>
                      <w:r>
                        <w:rPr>
                          <w:rStyle w:val="hps"/>
                          <w:lang w:val="fr-FR"/>
                        </w:rPr>
                        <w:t>les AME et</w:t>
                      </w:r>
                      <w:r>
                        <w:rPr>
                          <w:lang w:val="fr-FR"/>
                        </w:rPr>
                        <w:t xml:space="preserve"> </w:t>
                      </w:r>
                      <w:r>
                        <w:rPr>
                          <w:rStyle w:val="hps"/>
                          <w:lang w:val="fr-FR"/>
                        </w:rPr>
                        <w:t>autres accords</w:t>
                      </w:r>
                      <w:r>
                        <w:rPr>
                          <w:lang w:val="fr-FR"/>
                        </w:rPr>
                        <w:t xml:space="preserve"> </w:t>
                      </w:r>
                      <w:r>
                        <w:rPr>
                          <w:rStyle w:val="hps"/>
                          <w:lang w:val="fr-FR"/>
                        </w:rPr>
                        <w:t>pertinents pour renforcer</w:t>
                      </w:r>
                      <w:r>
                        <w:rPr>
                          <w:lang w:val="fr-FR"/>
                        </w:rPr>
                        <w:t xml:space="preserve"> </w:t>
                      </w:r>
                      <w:r>
                        <w:rPr>
                          <w:rStyle w:val="hps"/>
                          <w:lang w:val="fr-FR"/>
                        </w:rPr>
                        <w:t>la mise en œuvre</w:t>
                      </w:r>
                      <w:r>
                        <w:rPr>
                          <w:lang w:val="fr-FR"/>
                        </w:rPr>
                        <w:t xml:space="preserve"> </w:t>
                      </w:r>
                      <w:r>
                        <w:rPr>
                          <w:rStyle w:val="hps"/>
                          <w:lang w:val="fr-FR"/>
                        </w:rPr>
                        <w:t>et</w:t>
                      </w:r>
                      <w:r w:rsidR="007922DF">
                        <w:rPr>
                          <w:rStyle w:val="hps"/>
                          <w:lang w:val="fr-FR"/>
                        </w:rPr>
                        <w:t xml:space="preserve"> le respect des accords</w:t>
                      </w:r>
                      <w:r>
                        <w:rPr>
                          <w:rStyle w:val="hps"/>
                          <w:lang w:val="fr-FR"/>
                        </w:rPr>
                        <w:t>.</w:t>
                      </w:r>
                    </w:p>
                    <w:p w:rsidR="009F5470" w:rsidRDefault="009F5470" w:rsidP="009F5470">
                      <w:pPr>
                        <w:jc w:val="both"/>
                        <w:rPr>
                          <w:lang w:val="fr-FR"/>
                        </w:rPr>
                      </w:pPr>
                    </w:p>
                    <w:p w:rsidR="007922DF" w:rsidRPr="007922DF" w:rsidRDefault="009F5470" w:rsidP="007922DF">
                      <w:pPr>
                        <w:contextualSpacing/>
                        <w:jc w:val="both"/>
                        <w:rPr>
                          <w:bCs/>
                          <w:szCs w:val="24"/>
                          <w:lang w:val="fr-FR"/>
                        </w:rPr>
                      </w:pPr>
                      <w:r w:rsidRPr="007922DF">
                        <w:rPr>
                          <w:rStyle w:val="hps"/>
                          <w:lang w:val="fr-FR"/>
                        </w:rPr>
                        <w:t>La Conférence</w:t>
                      </w:r>
                      <w:r w:rsidRPr="007922DF">
                        <w:rPr>
                          <w:lang w:val="fr-FR"/>
                        </w:rPr>
                        <w:t xml:space="preserve"> </w:t>
                      </w:r>
                      <w:r w:rsidRPr="007922DF">
                        <w:rPr>
                          <w:rStyle w:val="hps"/>
                          <w:lang w:val="fr-FR"/>
                        </w:rPr>
                        <w:t>des Parties</w:t>
                      </w:r>
                      <w:r w:rsidRPr="007922DF">
                        <w:rPr>
                          <w:lang w:val="fr-FR"/>
                        </w:rPr>
                        <w:t xml:space="preserve"> </w:t>
                      </w:r>
                      <w:r w:rsidRPr="007922DF">
                        <w:rPr>
                          <w:rStyle w:val="hps"/>
                          <w:lang w:val="fr-FR"/>
                        </w:rPr>
                        <w:t>est invitée à examiner</w:t>
                      </w:r>
                      <w:r w:rsidRPr="007922DF">
                        <w:rPr>
                          <w:lang w:val="fr-FR"/>
                        </w:rPr>
                        <w:t xml:space="preserve"> </w:t>
                      </w:r>
                      <w:r w:rsidRPr="007922DF">
                        <w:rPr>
                          <w:rStyle w:val="hps"/>
                          <w:lang w:val="fr-FR"/>
                        </w:rPr>
                        <w:t>pour</w:t>
                      </w:r>
                      <w:r w:rsidRPr="007922DF">
                        <w:rPr>
                          <w:lang w:val="fr-FR"/>
                        </w:rPr>
                        <w:t xml:space="preserve"> </w:t>
                      </w:r>
                      <w:r w:rsidRPr="007922DF">
                        <w:rPr>
                          <w:rStyle w:val="hps"/>
                          <w:lang w:val="fr-FR"/>
                        </w:rPr>
                        <w:t>adoption</w:t>
                      </w:r>
                      <w:r w:rsidRPr="007922DF">
                        <w:rPr>
                          <w:lang w:val="fr-FR"/>
                        </w:rPr>
                        <w:t xml:space="preserve"> </w:t>
                      </w:r>
                      <w:r w:rsidRPr="007922DF">
                        <w:rPr>
                          <w:rStyle w:val="hps"/>
                          <w:lang w:val="fr-FR"/>
                        </w:rPr>
                        <w:t>le projet de résolution</w:t>
                      </w:r>
                      <w:r w:rsidRPr="007922DF">
                        <w:rPr>
                          <w:lang w:val="fr-FR"/>
                        </w:rPr>
                        <w:t xml:space="preserve"> </w:t>
                      </w:r>
                      <w:r w:rsidRPr="007922DF">
                        <w:rPr>
                          <w:rStyle w:val="hps"/>
                          <w:lang w:val="fr-FR"/>
                        </w:rPr>
                        <w:t>inclus dans</w:t>
                      </w:r>
                      <w:r w:rsidRPr="007922DF">
                        <w:rPr>
                          <w:lang w:val="fr-FR"/>
                        </w:rPr>
                        <w:t xml:space="preserve"> </w:t>
                      </w:r>
                      <w:r w:rsidRPr="007922DF">
                        <w:rPr>
                          <w:rStyle w:val="hps"/>
                          <w:lang w:val="fr-FR"/>
                        </w:rPr>
                        <w:t>l'annexe</w:t>
                      </w:r>
                      <w:r w:rsidRPr="007922DF">
                        <w:rPr>
                          <w:lang w:val="fr-FR"/>
                        </w:rPr>
                        <w:t xml:space="preserve">, </w:t>
                      </w:r>
                      <w:r w:rsidRPr="007922DF">
                        <w:rPr>
                          <w:rStyle w:val="hps"/>
                          <w:lang w:val="fr-FR"/>
                        </w:rPr>
                        <w:t>qui</w:t>
                      </w:r>
                      <w:r w:rsidRPr="007922DF">
                        <w:rPr>
                          <w:lang w:val="fr-FR"/>
                        </w:rPr>
                        <w:t xml:space="preserve"> </w:t>
                      </w:r>
                      <w:r w:rsidRPr="007922DF">
                        <w:rPr>
                          <w:rStyle w:val="hps"/>
                          <w:lang w:val="fr-FR"/>
                        </w:rPr>
                        <w:t>établit un processus</w:t>
                      </w:r>
                      <w:r w:rsidRPr="007922DF">
                        <w:rPr>
                          <w:lang w:val="fr-FR"/>
                        </w:rPr>
                        <w:t xml:space="preserve"> </w:t>
                      </w:r>
                      <w:r w:rsidR="007922DF" w:rsidRPr="007922DF">
                        <w:rPr>
                          <w:bCs/>
                          <w:szCs w:val="24"/>
                          <w:lang w:val="fr-FR"/>
                        </w:rPr>
                        <w:t>pour l’élaboration d’un processus d’examen de la Convention.</w:t>
                      </w:r>
                    </w:p>
                    <w:p w:rsidR="009F5470" w:rsidRDefault="009F5470" w:rsidP="009F5470">
                      <w:pPr>
                        <w:jc w:val="both"/>
                        <w:rPr>
                          <w:lang w:val="fr-FR"/>
                        </w:rPr>
                      </w:pPr>
                    </w:p>
                    <w:p w:rsidR="00977587" w:rsidRPr="007922DF" w:rsidRDefault="00977587" w:rsidP="009F5470">
                      <w:pPr>
                        <w:jc w:val="both"/>
                        <w:rPr>
                          <w:lang w:val="fr-FR"/>
                        </w:rPr>
                      </w:pPr>
                      <w:r>
                        <w:rPr>
                          <w:rStyle w:val="hps"/>
                          <w:lang w:val="fr-FR"/>
                        </w:rPr>
                        <w:t>Ce</w:t>
                      </w:r>
                      <w:r>
                        <w:rPr>
                          <w:lang w:val="fr-FR"/>
                        </w:rPr>
                        <w:t xml:space="preserve"> </w:t>
                      </w:r>
                      <w:r>
                        <w:rPr>
                          <w:rStyle w:val="hps"/>
                          <w:lang w:val="fr-FR"/>
                        </w:rPr>
                        <w:t>document a été révisé</w:t>
                      </w:r>
                      <w:r>
                        <w:rPr>
                          <w:lang w:val="fr-FR"/>
                        </w:rPr>
                        <w:t xml:space="preserve"> </w:t>
                      </w:r>
                      <w:r>
                        <w:rPr>
                          <w:lang w:val="fr-FR"/>
                        </w:rPr>
                        <w:t xml:space="preserve">uniquement </w:t>
                      </w:r>
                      <w:r>
                        <w:rPr>
                          <w:rStyle w:val="hps"/>
                          <w:lang w:val="fr-FR"/>
                        </w:rPr>
                        <w:t>pour indiquer</w:t>
                      </w:r>
                      <w:r>
                        <w:rPr>
                          <w:lang w:val="fr-FR"/>
                        </w:rPr>
                        <w:t xml:space="preserve"> </w:t>
                      </w:r>
                      <w:r>
                        <w:rPr>
                          <w:rStyle w:val="hps"/>
                          <w:lang w:val="fr-FR"/>
                        </w:rPr>
                        <w:t>que</w:t>
                      </w:r>
                      <w:r>
                        <w:rPr>
                          <w:lang w:val="fr-FR"/>
                        </w:rPr>
                        <w:t xml:space="preserve">, </w:t>
                      </w:r>
                      <w:r>
                        <w:rPr>
                          <w:rStyle w:val="hps"/>
                          <w:lang w:val="fr-FR"/>
                        </w:rPr>
                        <w:t>dans le troisième</w:t>
                      </w:r>
                      <w:r>
                        <w:rPr>
                          <w:lang w:val="fr-FR"/>
                        </w:rPr>
                        <w:t xml:space="preserve"> </w:t>
                      </w:r>
                      <w:r>
                        <w:rPr>
                          <w:rStyle w:val="hps"/>
                          <w:lang w:val="fr-FR"/>
                        </w:rPr>
                        <w:t>paragraphe du préambule</w:t>
                      </w:r>
                      <w:r>
                        <w:rPr>
                          <w:lang w:val="fr-FR"/>
                        </w:rPr>
                        <w:t xml:space="preserve"> </w:t>
                      </w:r>
                      <w:r>
                        <w:rPr>
                          <w:rStyle w:val="hps"/>
                          <w:lang w:val="fr-FR"/>
                        </w:rPr>
                        <w:t>du projet de résolution</w:t>
                      </w:r>
                      <w:r>
                        <w:rPr>
                          <w:lang w:val="fr-FR"/>
                        </w:rPr>
                        <w:t xml:space="preserve">, </w:t>
                      </w:r>
                      <w:r>
                        <w:rPr>
                          <w:rStyle w:val="hps"/>
                          <w:lang w:val="fr-FR"/>
                        </w:rPr>
                        <w:t>l'Accord sur</w:t>
                      </w:r>
                      <w:r>
                        <w:rPr>
                          <w:lang w:val="fr-FR"/>
                        </w:rPr>
                        <w:t xml:space="preserve"> </w:t>
                      </w:r>
                      <w:r>
                        <w:rPr>
                          <w:rStyle w:val="hps"/>
                          <w:lang w:val="fr-FR"/>
                        </w:rPr>
                        <w:t>la Conservation des Cétacés</w:t>
                      </w:r>
                      <w:r>
                        <w:rPr>
                          <w:lang w:val="fr-FR"/>
                        </w:rPr>
                        <w:t xml:space="preserve"> </w:t>
                      </w:r>
                      <w:r>
                        <w:rPr>
                          <w:rStyle w:val="hps"/>
                          <w:lang w:val="fr-FR"/>
                        </w:rPr>
                        <w:t>de la Mer Noire</w:t>
                      </w:r>
                      <w:r>
                        <w:rPr>
                          <w:lang w:val="fr-FR"/>
                        </w:rPr>
                        <w:t xml:space="preserve">, de la Méditerranée </w:t>
                      </w:r>
                      <w:r>
                        <w:rPr>
                          <w:rStyle w:val="hps"/>
                          <w:lang w:val="fr-FR"/>
                        </w:rPr>
                        <w:t>et</w:t>
                      </w:r>
                      <w:r>
                        <w:rPr>
                          <w:lang w:val="fr-FR"/>
                        </w:rPr>
                        <w:t xml:space="preserve"> </w:t>
                      </w:r>
                      <w:r>
                        <w:rPr>
                          <w:rStyle w:val="hps"/>
                          <w:lang w:val="fr-FR"/>
                        </w:rPr>
                        <w:t>de la zone Atlantique</w:t>
                      </w:r>
                      <w:r>
                        <w:rPr>
                          <w:lang w:val="fr-FR"/>
                        </w:rPr>
                        <w:t xml:space="preserve"> </w:t>
                      </w:r>
                      <w:r>
                        <w:rPr>
                          <w:rStyle w:val="hps"/>
                          <w:lang w:val="fr-FR"/>
                        </w:rPr>
                        <w:t>adjacente</w:t>
                      </w:r>
                      <w:r>
                        <w:rPr>
                          <w:lang w:val="fr-FR"/>
                        </w:rPr>
                        <w:t xml:space="preserve"> </w:t>
                      </w:r>
                      <w:r>
                        <w:rPr>
                          <w:rStyle w:val="hps"/>
                          <w:lang w:val="fr-FR"/>
                        </w:rPr>
                        <w:t>(ACCOBAMS</w:t>
                      </w:r>
                      <w:r>
                        <w:rPr>
                          <w:lang w:val="fr-FR"/>
                        </w:rPr>
                        <w:t xml:space="preserve">) </w:t>
                      </w:r>
                      <w:r>
                        <w:rPr>
                          <w:rStyle w:val="hps"/>
                          <w:lang w:val="fr-FR"/>
                        </w:rPr>
                        <w:t>a également un</w:t>
                      </w:r>
                      <w:r>
                        <w:rPr>
                          <w:lang w:val="fr-FR"/>
                        </w:rPr>
                        <w:t xml:space="preserve"> </w:t>
                      </w:r>
                      <w:r>
                        <w:rPr>
                          <w:rStyle w:val="hps"/>
                          <w:lang w:val="fr-FR"/>
                        </w:rPr>
                        <w:t>processus d'examen de</w:t>
                      </w:r>
                      <w:r>
                        <w:rPr>
                          <w:lang w:val="fr-FR"/>
                        </w:rPr>
                        <w:t xml:space="preserve"> </w:t>
                      </w:r>
                      <w:r>
                        <w:rPr>
                          <w:rStyle w:val="hps"/>
                          <w:lang w:val="fr-FR"/>
                        </w:rPr>
                        <w:t>l’</w:t>
                      </w:r>
                      <w:r>
                        <w:rPr>
                          <w:rStyle w:val="hps"/>
                          <w:lang w:val="fr-FR"/>
                        </w:rPr>
                        <w:t>efficacité des mesures</w:t>
                      </w:r>
                      <w:r>
                        <w:rPr>
                          <w:lang w:val="fr-FR"/>
                        </w:rPr>
                        <w:t xml:space="preserve"> </w:t>
                      </w:r>
                      <w:r>
                        <w:rPr>
                          <w:rStyle w:val="hps"/>
                          <w:lang w:val="fr-FR"/>
                        </w:rPr>
                        <w:t>de mise en œuvre</w:t>
                      </w:r>
                      <w:r>
                        <w:rPr>
                          <w:lang w:val="fr-FR"/>
                        </w:rPr>
                        <w:t>.</w:t>
                      </w:r>
                      <w:bookmarkEnd w:id="1"/>
                    </w:p>
                  </w:txbxContent>
                </v:textbox>
              </v:shape>
            </w:pict>
          </mc:Fallback>
        </mc:AlternateContent>
      </w: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Default="009F5470" w:rsidP="009F5470">
      <w:pPr>
        <w:jc w:val="both"/>
      </w:pPr>
    </w:p>
    <w:p w:rsidR="009F5470" w:rsidRDefault="009F5470" w:rsidP="009F5470">
      <w:pPr>
        <w:jc w:val="both"/>
      </w:pPr>
    </w:p>
    <w:p w:rsidR="009F5470" w:rsidRDefault="009F5470" w:rsidP="009F5470">
      <w:pPr>
        <w:jc w:val="both"/>
      </w:pPr>
    </w:p>
    <w:p w:rsidR="009F5470" w:rsidRDefault="009F5470" w:rsidP="009F5470">
      <w:pPr>
        <w:jc w:val="both"/>
      </w:pPr>
    </w:p>
    <w:p w:rsidR="009F5470" w:rsidRDefault="009F5470" w:rsidP="009F5470">
      <w:pPr>
        <w:jc w:val="both"/>
      </w:pPr>
    </w:p>
    <w:p w:rsidR="009F5470"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Pr="001764E6" w:rsidRDefault="009F5470" w:rsidP="009F5470">
      <w:pPr>
        <w:jc w:val="both"/>
      </w:pPr>
    </w:p>
    <w:p w:rsidR="009F5470" w:rsidRDefault="009F5470" w:rsidP="00D52B1D">
      <w:pPr>
        <w:rPr>
          <w:szCs w:val="24"/>
          <w:lang w:val="fr-FR"/>
        </w:rPr>
      </w:pPr>
    </w:p>
    <w:p w:rsidR="009F5470" w:rsidRPr="009F5470" w:rsidRDefault="009F5470" w:rsidP="00D52B1D">
      <w:pPr>
        <w:rPr>
          <w:szCs w:val="24"/>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pPr>
    </w:p>
    <w:p w:rsidR="009F5470" w:rsidRDefault="009F5470" w:rsidP="00D52B1D">
      <w:pPr>
        <w:rPr>
          <w:szCs w:val="24"/>
          <w:lang w:val="fr-FR"/>
        </w:rPr>
        <w:sectPr w:rsidR="009F5470"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9F5470" w:rsidRDefault="009F5470" w:rsidP="00D52B1D">
      <w:pPr>
        <w:rPr>
          <w:szCs w:val="24"/>
          <w:lang w:val="fr-FR"/>
        </w:rPr>
      </w:pPr>
    </w:p>
    <w:p w:rsidR="009F5470" w:rsidRPr="00D52B1D" w:rsidRDefault="009F5470" w:rsidP="00D52B1D">
      <w:pPr>
        <w:rPr>
          <w:szCs w:val="24"/>
          <w:lang w:val="fr-FR"/>
        </w:rPr>
      </w:pPr>
    </w:p>
    <w:p w:rsidR="00413EE7" w:rsidRPr="00F72256" w:rsidRDefault="00413EE7" w:rsidP="00413EE7">
      <w:pPr>
        <w:jc w:val="center"/>
        <w:rPr>
          <w:szCs w:val="24"/>
          <w:lang w:val="fr-FR"/>
        </w:rPr>
      </w:pPr>
      <w:r w:rsidRPr="00F72256">
        <w:rPr>
          <w:b/>
          <w:szCs w:val="24"/>
          <w:lang w:val="fr-FR"/>
        </w:rPr>
        <w:t xml:space="preserve">AMÉLIORER L’EFFICACITÉ DE LA </w:t>
      </w:r>
      <w:r>
        <w:rPr>
          <w:b/>
          <w:szCs w:val="24"/>
          <w:lang w:val="fr-FR"/>
        </w:rPr>
        <w:t>CONVENTION PAR LE BIAIS D’UN PROCESSUS D’EXAMEN DE LA MISE EN ŒUVRE</w:t>
      </w:r>
    </w:p>
    <w:p w:rsidR="00413EE7" w:rsidRPr="00413EE7" w:rsidRDefault="00413EE7" w:rsidP="00413EE7">
      <w:pPr>
        <w:jc w:val="center"/>
        <w:rPr>
          <w:i/>
          <w:iCs/>
          <w:sz w:val="16"/>
          <w:szCs w:val="16"/>
          <w:lang w:val="fr-FR"/>
        </w:rPr>
      </w:pPr>
    </w:p>
    <w:p w:rsidR="00413EE7" w:rsidRPr="00F72256" w:rsidRDefault="00413EE7" w:rsidP="00413EE7">
      <w:pPr>
        <w:jc w:val="center"/>
        <w:rPr>
          <w:i/>
          <w:iCs/>
          <w:szCs w:val="24"/>
          <w:lang w:val="fr-FR"/>
        </w:rPr>
      </w:pPr>
      <w:r w:rsidRPr="00F72256">
        <w:rPr>
          <w:i/>
          <w:iCs/>
          <w:szCs w:val="24"/>
          <w:lang w:val="fr-FR"/>
        </w:rPr>
        <w:t>(Pré</w:t>
      </w:r>
      <w:r>
        <w:rPr>
          <w:i/>
          <w:iCs/>
          <w:szCs w:val="24"/>
          <w:lang w:val="fr-FR"/>
        </w:rPr>
        <w:t xml:space="preserve">paré par </w:t>
      </w:r>
      <w:r w:rsidRPr="00F72256">
        <w:rPr>
          <w:i/>
          <w:iCs/>
          <w:szCs w:val="24"/>
          <w:lang w:val="fr-FR"/>
        </w:rPr>
        <w:t xml:space="preserve">le </w:t>
      </w:r>
      <w:r>
        <w:rPr>
          <w:i/>
          <w:iCs/>
          <w:szCs w:val="24"/>
          <w:lang w:val="fr-FR"/>
        </w:rPr>
        <w:t>Secré</w:t>
      </w:r>
      <w:r w:rsidRPr="00F72256">
        <w:rPr>
          <w:i/>
          <w:iCs/>
          <w:szCs w:val="24"/>
          <w:lang w:val="fr-FR"/>
        </w:rPr>
        <w:t>tariat</w:t>
      </w:r>
      <w:r>
        <w:rPr>
          <w:i/>
          <w:iCs/>
          <w:szCs w:val="24"/>
          <w:lang w:val="fr-FR"/>
        </w:rPr>
        <w:t xml:space="preserve"> </w:t>
      </w:r>
      <w:r w:rsidRPr="00F72256">
        <w:rPr>
          <w:i/>
          <w:iCs/>
          <w:szCs w:val="24"/>
          <w:lang w:val="fr-FR"/>
        </w:rPr>
        <w:t>P</w:t>
      </w:r>
      <w:r>
        <w:rPr>
          <w:i/>
          <w:iCs/>
          <w:szCs w:val="24"/>
          <w:lang w:val="fr-FR"/>
        </w:rPr>
        <w:t>NUE</w:t>
      </w:r>
      <w:r w:rsidRPr="00F72256">
        <w:rPr>
          <w:i/>
          <w:iCs/>
          <w:szCs w:val="24"/>
          <w:lang w:val="fr-FR"/>
        </w:rPr>
        <w:t>/CMS)</w:t>
      </w:r>
    </w:p>
    <w:p w:rsidR="007F7154" w:rsidRDefault="007F7154" w:rsidP="00761732">
      <w:pPr>
        <w:rPr>
          <w:lang w:val="fr-FR"/>
        </w:rPr>
      </w:pPr>
    </w:p>
    <w:p w:rsidR="00A22EEC" w:rsidRDefault="00A22EEC" w:rsidP="00761732">
      <w:pPr>
        <w:rPr>
          <w:lang w:val="fr-FR"/>
        </w:rPr>
      </w:pPr>
    </w:p>
    <w:p w:rsidR="00413EE7" w:rsidRPr="00413EE7" w:rsidRDefault="00413EE7" w:rsidP="00413EE7">
      <w:pPr>
        <w:jc w:val="both"/>
        <w:rPr>
          <w:b/>
          <w:bCs/>
          <w:szCs w:val="24"/>
          <w:lang w:val="en-GB"/>
        </w:rPr>
      </w:pPr>
      <w:r w:rsidRPr="00413EE7">
        <w:rPr>
          <w:b/>
          <w:bCs/>
          <w:szCs w:val="24"/>
          <w:lang w:val="en-GB"/>
        </w:rPr>
        <w:t>Portée et but du présent document</w:t>
      </w:r>
    </w:p>
    <w:p w:rsidR="004556F3" w:rsidRDefault="004556F3" w:rsidP="00761732">
      <w:pPr>
        <w:rPr>
          <w:lang w:val="fr-FR"/>
        </w:rPr>
      </w:pPr>
    </w:p>
    <w:p w:rsidR="00413EE7" w:rsidRPr="00413EE7" w:rsidRDefault="00413EE7" w:rsidP="00CD46D6">
      <w:pPr>
        <w:numPr>
          <w:ilvl w:val="0"/>
          <w:numId w:val="13"/>
        </w:numPr>
        <w:tabs>
          <w:tab w:val="left" w:pos="720"/>
        </w:tabs>
        <w:ind w:left="0" w:firstLine="0"/>
        <w:contextualSpacing/>
        <w:jc w:val="both"/>
        <w:rPr>
          <w:szCs w:val="24"/>
          <w:lang w:val="fr-FR"/>
        </w:rPr>
      </w:pPr>
      <w:r w:rsidRPr="00413EE7">
        <w:rPr>
          <w:spacing w:val="-3"/>
          <w:szCs w:val="24"/>
          <w:lang w:val="fr-FR"/>
        </w:rPr>
        <w:t xml:space="preserve">Le Programme des Nations Unies pour l’environnement (2002) a identifié « le renforcement du respect des </w:t>
      </w:r>
      <w:r w:rsidRPr="00413EE7">
        <w:rPr>
          <w:szCs w:val="24"/>
          <w:lang w:val="fr-FR"/>
        </w:rPr>
        <w:t xml:space="preserve">accords multilatéraux sur l’environnement (…) comme une question essentielle ». Bien que la plupart des accords multilatéraux sur l’environnement (AME) disposent d’un processus d’examen du respect et de la mise en œuvre des accords, la Convention sur les espèces migratrices ne dispose pas d’une telle procédure. Étant donné le besoin inhérent de coopération et d’action concertée entre tous les </w:t>
      </w:r>
      <w:r w:rsidRPr="00413EE7">
        <w:rPr>
          <w:spacing w:val="-3"/>
          <w:szCs w:val="24"/>
          <w:lang w:val="fr-FR"/>
        </w:rPr>
        <w:t xml:space="preserve">États de l’aire de répartition des espèces migratrices, pour assurer la conservation et la gestion efficace de ces espèces, la Convention pourrait tirer parti d’un processus visant à faciliter la mise en œuvre et à fournir un appui aux Parties qui rencontrent des difficultés dans l’application de la Convention. Pour ouvrir un débat sur l’élaboration d’un tel </w:t>
      </w:r>
      <w:r w:rsidRPr="00413EE7">
        <w:rPr>
          <w:szCs w:val="24"/>
          <w:lang w:val="fr-FR"/>
        </w:rPr>
        <w:t>processus au titre de la Convention,</w:t>
      </w:r>
      <w:r w:rsidRPr="00413EE7">
        <w:rPr>
          <w:spacing w:val="-3"/>
          <w:szCs w:val="24"/>
          <w:lang w:val="fr-FR"/>
        </w:rPr>
        <w:t xml:space="preserve"> le présent document résume les </w:t>
      </w:r>
      <w:r w:rsidRPr="00413EE7">
        <w:rPr>
          <w:szCs w:val="24"/>
          <w:lang w:val="fr-FR"/>
        </w:rPr>
        <w:t>processus utilisés par les AME et d’autres accords pertinents afin d’améliorer la mise en œuvre et le respect des accords.</w:t>
      </w:r>
    </w:p>
    <w:p w:rsidR="004556F3" w:rsidRDefault="004556F3" w:rsidP="00761732">
      <w:pPr>
        <w:rPr>
          <w:lang w:val="fr-FR"/>
        </w:rPr>
      </w:pPr>
    </w:p>
    <w:p w:rsidR="00413EE7" w:rsidRPr="00413EE7" w:rsidRDefault="00413EE7" w:rsidP="00413EE7">
      <w:pPr>
        <w:contextualSpacing/>
        <w:jc w:val="both"/>
        <w:rPr>
          <w:szCs w:val="24"/>
          <w:lang w:val="fr-FR"/>
        </w:rPr>
      </w:pPr>
      <w:r w:rsidRPr="00413EE7">
        <w:rPr>
          <w:b/>
          <w:szCs w:val="24"/>
          <w:lang w:val="fr-FR"/>
        </w:rPr>
        <w:t>Un aperçu des mécanismes de respect d’autres accords</w:t>
      </w:r>
    </w:p>
    <w:p w:rsidR="004556F3" w:rsidRDefault="004556F3" w:rsidP="00761732">
      <w:pPr>
        <w:rPr>
          <w:lang w:val="fr-FR"/>
        </w:rPr>
      </w:pPr>
    </w:p>
    <w:p w:rsidR="00413EE7" w:rsidRPr="00BE52AB" w:rsidRDefault="00413EE7" w:rsidP="00413EE7">
      <w:pPr>
        <w:pStyle w:val="ListParagraph"/>
        <w:numPr>
          <w:ilvl w:val="0"/>
          <w:numId w:val="13"/>
        </w:numPr>
        <w:ind w:left="0" w:firstLine="0"/>
        <w:contextualSpacing/>
        <w:jc w:val="both"/>
        <w:rPr>
          <w:szCs w:val="24"/>
          <w:lang w:val="fr-FR"/>
        </w:rPr>
      </w:pPr>
      <w:r w:rsidRPr="00BE52AB">
        <w:rPr>
          <w:szCs w:val="24"/>
          <w:lang w:val="fr-FR"/>
        </w:rPr>
        <w:t xml:space="preserve">Les AME et d’autres accords </w:t>
      </w:r>
      <w:r>
        <w:rPr>
          <w:szCs w:val="24"/>
          <w:lang w:val="fr-FR"/>
        </w:rPr>
        <w:t>ont mis en place toute une gamme de</w:t>
      </w:r>
      <w:r w:rsidRPr="00BE52AB">
        <w:rPr>
          <w:szCs w:val="24"/>
          <w:lang w:val="fr-FR"/>
        </w:rPr>
        <w:t xml:space="preserve"> </w:t>
      </w:r>
      <w:r>
        <w:rPr>
          <w:szCs w:val="24"/>
          <w:lang w:val="fr-FR"/>
        </w:rPr>
        <w:t xml:space="preserve">processus visant à traiter les questions de </w:t>
      </w:r>
      <w:r w:rsidRPr="00BE52AB">
        <w:rPr>
          <w:szCs w:val="24"/>
          <w:lang w:val="fr-FR"/>
        </w:rPr>
        <w:t xml:space="preserve">mise en </w:t>
      </w:r>
      <w:r>
        <w:rPr>
          <w:szCs w:val="24"/>
          <w:lang w:val="fr-FR"/>
        </w:rPr>
        <w:t>œuvre et de respect</w:t>
      </w:r>
      <w:r w:rsidRPr="00BE52AB">
        <w:rPr>
          <w:szCs w:val="24"/>
          <w:lang w:val="fr-FR"/>
        </w:rPr>
        <w:t xml:space="preserve">. </w:t>
      </w:r>
      <w:r>
        <w:rPr>
          <w:szCs w:val="24"/>
          <w:lang w:val="fr-FR"/>
        </w:rPr>
        <w:t xml:space="preserve">Le présent document résume cinq </w:t>
      </w:r>
      <w:r w:rsidRPr="00BE52AB">
        <w:rPr>
          <w:szCs w:val="24"/>
          <w:lang w:val="fr-FR"/>
        </w:rPr>
        <w:t xml:space="preserve">types de </w:t>
      </w:r>
      <w:r>
        <w:rPr>
          <w:szCs w:val="24"/>
          <w:lang w:val="fr-FR"/>
        </w:rPr>
        <w:t>processus</w:t>
      </w:r>
      <w:r w:rsidRPr="00BE52AB">
        <w:rPr>
          <w:szCs w:val="24"/>
          <w:lang w:val="fr-FR"/>
        </w:rPr>
        <w:t xml:space="preserve">, </w:t>
      </w:r>
      <w:r>
        <w:rPr>
          <w:szCs w:val="24"/>
          <w:lang w:val="fr-FR"/>
        </w:rPr>
        <w:t>souvent appelés « mécanisme</w:t>
      </w:r>
      <w:r w:rsidRPr="00BE52AB">
        <w:rPr>
          <w:szCs w:val="24"/>
          <w:lang w:val="fr-FR"/>
        </w:rPr>
        <w:t xml:space="preserve">s </w:t>
      </w:r>
      <w:r>
        <w:rPr>
          <w:szCs w:val="24"/>
          <w:lang w:val="fr-FR"/>
        </w:rPr>
        <w:t>de respect »</w:t>
      </w:r>
      <w:r w:rsidRPr="00BE52AB">
        <w:rPr>
          <w:szCs w:val="24"/>
          <w:lang w:val="fr-FR"/>
        </w:rPr>
        <w:t>. L</w:t>
      </w:r>
      <w:r>
        <w:rPr>
          <w:szCs w:val="24"/>
          <w:lang w:val="fr-FR"/>
        </w:rPr>
        <w:t>a plupart des</w:t>
      </w:r>
      <w:r w:rsidRPr="00BE52AB">
        <w:rPr>
          <w:szCs w:val="24"/>
          <w:lang w:val="fr-FR"/>
        </w:rPr>
        <w:t xml:space="preserve"> AME ont </w:t>
      </w:r>
      <w:r>
        <w:rPr>
          <w:szCs w:val="24"/>
          <w:lang w:val="fr-FR"/>
        </w:rPr>
        <w:t xml:space="preserve">adopté un seul type de </w:t>
      </w:r>
      <w:r w:rsidRPr="00BE52AB">
        <w:rPr>
          <w:szCs w:val="24"/>
          <w:lang w:val="fr-FR"/>
        </w:rPr>
        <w:t xml:space="preserve">mécanisme </w:t>
      </w:r>
      <w:r>
        <w:rPr>
          <w:szCs w:val="24"/>
          <w:lang w:val="fr-FR"/>
        </w:rPr>
        <w:t>de respect</w:t>
      </w:r>
      <w:r w:rsidRPr="00BE52AB">
        <w:rPr>
          <w:szCs w:val="24"/>
          <w:lang w:val="fr-FR"/>
        </w:rPr>
        <w:t xml:space="preserve">. Ces </w:t>
      </w:r>
      <w:r>
        <w:rPr>
          <w:szCs w:val="24"/>
          <w:lang w:val="fr-FR"/>
        </w:rPr>
        <w:t>processus</w:t>
      </w:r>
      <w:r w:rsidRPr="00BE52AB">
        <w:rPr>
          <w:szCs w:val="24"/>
          <w:lang w:val="fr-FR"/>
        </w:rPr>
        <w:t>, cependant, ne s’</w:t>
      </w:r>
      <w:r>
        <w:rPr>
          <w:szCs w:val="24"/>
          <w:lang w:val="fr-FR"/>
        </w:rPr>
        <w:t xml:space="preserve">excluent pas forcément </w:t>
      </w:r>
      <w:r w:rsidRPr="00BE52AB">
        <w:rPr>
          <w:szCs w:val="24"/>
          <w:lang w:val="fr-FR"/>
        </w:rPr>
        <w:t xml:space="preserve">mutuellement. </w:t>
      </w:r>
      <w:r>
        <w:rPr>
          <w:szCs w:val="24"/>
          <w:lang w:val="fr-FR"/>
        </w:rPr>
        <w:t>Le Protocole de Kyoto, par exe</w:t>
      </w:r>
      <w:r w:rsidRPr="00BE52AB">
        <w:rPr>
          <w:szCs w:val="24"/>
          <w:lang w:val="fr-FR"/>
        </w:rPr>
        <w:t xml:space="preserve">mple, </w:t>
      </w:r>
      <w:r>
        <w:rPr>
          <w:szCs w:val="24"/>
          <w:lang w:val="fr-FR"/>
        </w:rPr>
        <w:t>dispose d’un</w:t>
      </w:r>
      <w:r w:rsidRPr="00BE52AB">
        <w:rPr>
          <w:szCs w:val="24"/>
          <w:lang w:val="fr-FR"/>
        </w:rPr>
        <w:t xml:space="preserve"> mécanisme </w:t>
      </w:r>
      <w:r>
        <w:rPr>
          <w:szCs w:val="24"/>
          <w:lang w:val="fr-FR"/>
        </w:rPr>
        <w:t>de respect de ses dispositions qui conjugue les deux premiers processus décrits ci-dessous</w:t>
      </w:r>
      <w:r w:rsidRPr="00BE52AB">
        <w:rPr>
          <w:szCs w:val="24"/>
          <w:lang w:val="fr-FR"/>
        </w:rPr>
        <w:t>.</w:t>
      </w:r>
    </w:p>
    <w:p w:rsidR="00413EE7" w:rsidRPr="00BE52AB" w:rsidRDefault="00413EE7" w:rsidP="00413EE7">
      <w:pPr>
        <w:jc w:val="both"/>
        <w:rPr>
          <w:szCs w:val="24"/>
          <w:lang w:val="fr-FR"/>
        </w:rPr>
      </w:pPr>
    </w:p>
    <w:p w:rsidR="00413EE7" w:rsidRPr="00521014" w:rsidRDefault="00413EE7" w:rsidP="00413EE7">
      <w:pPr>
        <w:jc w:val="both"/>
        <w:rPr>
          <w:szCs w:val="24"/>
          <w:lang w:val="fr-FR"/>
        </w:rPr>
      </w:pPr>
      <w:r>
        <w:rPr>
          <w:i/>
          <w:szCs w:val="24"/>
          <w:lang w:val="fr-FR"/>
        </w:rPr>
        <w:t>L’approche fondée sur</w:t>
      </w:r>
      <w:r w:rsidRPr="00521014">
        <w:rPr>
          <w:i/>
          <w:szCs w:val="24"/>
          <w:lang w:val="fr-FR"/>
        </w:rPr>
        <w:t xml:space="preserve"> </w:t>
      </w:r>
      <w:r>
        <w:rPr>
          <w:i/>
          <w:szCs w:val="24"/>
          <w:lang w:val="fr-FR"/>
        </w:rPr>
        <w:t xml:space="preserve">« la </w:t>
      </w:r>
      <w:r w:rsidRPr="00521014">
        <w:rPr>
          <w:i/>
          <w:szCs w:val="24"/>
          <w:lang w:val="fr-FR"/>
        </w:rPr>
        <w:t xml:space="preserve">carotte et </w:t>
      </w:r>
      <w:r>
        <w:rPr>
          <w:i/>
          <w:szCs w:val="24"/>
          <w:lang w:val="fr-FR"/>
        </w:rPr>
        <w:t>le bâton »</w:t>
      </w:r>
    </w:p>
    <w:p w:rsidR="00413EE7" w:rsidRPr="00521014" w:rsidRDefault="00413EE7" w:rsidP="00413EE7">
      <w:pPr>
        <w:jc w:val="both"/>
        <w:rPr>
          <w:szCs w:val="24"/>
          <w:lang w:val="fr-FR"/>
        </w:rPr>
      </w:pPr>
    </w:p>
    <w:p w:rsidR="00413EE7" w:rsidRDefault="00413EE7" w:rsidP="00413EE7">
      <w:pPr>
        <w:pStyle w:val="ListParagraph"/>
        <w:numPr>
          <w:ilvl w:val="0"/>
          <w:numId w:val="13"/>
        </w:numPr>
        <w:ind w:left="0" w:firstLine="0"/>
        <w:contextualSpacing/>
        <w:jc w:val="both"/>
        <w:rPr>
          <w:szCs w:val="24"/>
          <w:lang w:val="fr-FR"/>
        </w:rPr>
      </w:pPr>
      <w:r w:rsidRPr="0068225D">
        <w:rPr>
          <w:szCs w:val="24"/>
          <w:lang w:val="fr-FR"/>
        </w:rPr>
        <w:t xml:space="preserve">Dans le cadre du premier type de </w:t>
      </w:r>
      <w:r>
        <w:rPr>
          <w:szCs w:val="24"/>
          <w:lang w:val="fr-FR"/>
        </w:rPr>
        <w:t>processus</w:t>
      </w:r>
      <w:r w:rsidRPr="0068225D">
        <w:rPr>
          <w:szCs w:val="24"/>
          <w:lang w:val="fr-FR"/>
        </w:rPr>
        <w:t xml:space="preserve">, un organe chargé </w:t>
      </w:r>
      <w:r>
        <w:rPr>
          <w:szCs w:val="24"/>
          <w:lang w:val="fr-FR"/>
        </w:rPr>
        <w:t>de l’application examine les questions</w:t>
      </w:r>
      <w:r w:rsidRPr="0068225D">
        <w:rPr>
          <w:szCs w:val="24"/>
          <w:lang w:val="fr-FR"/>
        </w:rPr>
        <w:t xml:space="preserve"> de non-respect </w:t>
      </w:r>
      <w:r>
        <w:rPr>
          <w:szCs w:val="24"/>
          <w:lang w:val="fr-FR"/>
        </w:rPr>
        <w:t>et recommande certaines mesures pour aider la Partie contrevenante à respecter ses engagements, en envoyant par exemple une mission pour aider la Partie</w:t>
      </w:r>
      <w:r w:rsidRPr="0068225D">
        <w:rPr>
          <w:szCs w:val="24"/>
          <w:lang w:val="fr-FR"/>
        </w:rPr>
        <w:t xml:space="preserve"> </w:t>
      </w:r>
      <w:r>
        <w:rPr>
          <w:szCs w:val="24"/>
          <w:lang w:val="fr-FR"/>
        </w:rPr>
        <w:t>à mettre en place une lé</w:t>
      </w:r>
      <w:r w:rsidRPr="0068225D">
        <w:rPr>
          <w:szCs w:val="24"/>
          <w:lang w:val="fr-FR"/>
        </w:rPr>
        <w:t>gislation</w:t>
      </w:r>
      <w:r>
        <w:rPr>
          <w:szCs w:val="24"/>
          <w:lang w:val="fr-FR"/>
        </w:rPr>
        <w:t xml:space="preserve"> adéquate qui applique l’accord en question. Si la situation de non-respect se poursuit, l’organe chargé de l’application peut alors adresser une mise en garde formelle ou recommander la suspension d’avantages</w:t>
      </w:r>
      <w:r w:rsidRPr="009A2D1B">
        <w:rPr>
          <w:szCs w:val="24"/>
          <w:lang w:val="fr-FR"/>
        </w:rPr>
        <w:t xml:space="preserve">. </w:t>
      </w:r>
    </w:p>
    <w:p w:rsidR="00B75D83" w:rsidRPr="009A2D1B" w:rsidRDefault="00B75D83" w:rsidP="00B75D83">
      <w:pPr>
        <w:pStyle w:val="ListParagraph"/>
        <w:ind w:left="0"/>
        <w:contextualSpacing/>
        <w:jc w:val="both"/>
        <w:rPr>
          <w:szCs w:val="24"/>
          <w:lang w:val="fr-FR"/>
        </w:rPr>
      </w:pPr>
    </w:p>
    <w:p w:rsidR="00413EE7" w:rsidRPr="00C93584" w:rsidRDefault="00413EE7" w:rsidP="00413EE7">
      <w:pPr>
        <w:pStyle w:val="ListParagraph"/>
        <w:numPr>
          <w:ilvl w:val="0"/>
          <w:numId w:val="13"/>
        </w:numPr>
        <w:ind w:left="0" w:firstLine="0"/>
        <w:contextualSpacing/>
        <w:jc w:val="both"/>
        <w:rPr>
          <w:szCs w:val="24"/>
          <w:lang w:val="fr-FR"/>
        </w:rPr>
      </w:pPr>
      <w:r w:rsidRPr="00097B05">
        <w:rPr>
          <w:szCs w:val="24"/>
          <w:lang w:val="fr-FR"/>
        </w:rPr>
        <w:t xml:space="preserve">Ces </w:t>
      </w:r>
      <w:r>
        <w:rPr>
          <w:szCs w:val="24"/>
          <w:lang w:val="fr-FR"/>
        </w:rPr>
        <w:t>processus</w:t>
      </w:r>
      <w:r w:rsidRPr="00097B05">
        <w:rPr>
          <w:szCs w:val="24"/>
          <w:lang w:val="fr-FR"/>
        </w:rPr>
        <w:t xml:space="preserve"> </w:t>
      </w:r>
      <w:r>
        <w:rPr>
          <w:szCs w:val="24"/>
          <w:lang w:val="fr-FR"/>
        </w:rPr>
        <w:t>sont engagés lorsque des questions</w:t>
      </w:r>
      <w:r w:rsidRPr="00097B05">
        <w:rPr>
          <w:szCs w:val="24"/>
          <w:lang w:val="fr-FR"/>
        </w:rPr>
        <w:t xml:space="preserve"> de non-respect</w:t>
      </w:r>
      <w:r>
        <w:rPr>
          <w:szCs w:val="24"/>
          <w:lang w:val="fr-FR"/>
        </w:rPr>
        <w:t xml:space="preserve"> des dispositions de l’accord sont portées à l’attention des </w:t>
      </w:r>
      <w:r w:rsidRPr="00097B05">
        <w:rPr>
          <w:szCs w:val="24"/>
          <w:lang w:val="fr-FR"/>
        </w:rPr>
        <w:t>Parties o</w:t>
      </w:r>
      <w:r>
        <w:rPr>
          <w:szCs w:val="24"/>
          <w:lang w:val="fr-FR"/>
        </w:rPr>
        <w:t>u du secré</w:t>
      </w:r>
      <w:r w:rsidRPr="00097B05">
        <w:rPr>
          <w:szCs w:val="24"/>
          <w:lang w:val="fr-FR"/>
        </w:rPr>
        <w:t>tariat</w:t>
      </w:r>
      <w:r>
        <w:rPr>
          <w:szCs w:val="24"/>
          <w:lang w:val="fr-FR"/>
        </w:rPr>
        <w:t xml:space="preserve"> de l’accord</w:t>
      </w:r>
      <w:r w:rsidRPr="00097B05">
        <w:rPr>
          <w:szCs w:val="24"/>
          <w:lang w:val="fr-FR"/>
        </w:rPr>
        <w:t>. Selon l’accord</w:t>
      </w:r>
      <w:r>
        <w:rPr>
          <w:szCs w:val="24"/>
          <w:lang w:val="fr-FR"/>
        </w:rPr>
        <w:t xml:space="preserve"> considéré</w:t>
      </w:r>
      <w:r w:rsidRPr="00097B05">
        <w:rPr>
          <w:szCs w:val="24"/>
          <w:lang w:val="fr-FR"/>
        </w:rPr>
        <w:t>, une Partie peut se signaler elle-m</w:t>
      </w:r>
      <w:r>
        <w:rPr>
          <w:szCs w:val="24"/>
          <w:lang w:val="fr-FR"/>
        </w:rPr>
        <w:t xml:space="preserve">ême, ou une autre </w:t>
      </w:r>
      <w:r w:rsidRPr="00097B05">
        <w:rPr>
          <w:szCs w:val="24"/>
          <w:lang w:val="fr-FR"/>
        </w:rPr>
        <w:t>Partie</w:t>
      </w:r>
      <w:r>
        <w:rPr>
          <w:szCs w:val="24"/>
          <w:lang w:val="fr-FR"/>
        </w:rPr>
        <w:t xml:space="preserve"> ou le Secré</w:t>
      </w:r>
      <w:r w:rsidRPr="00097B05">
        <w:rPr>
          <w:szCs w:val="24"/>
          <w:lang w:val="fr-FR"/>
        </w:rPr>
        <w:t>tariat</w:t>
      </w:r>
      <w:r>
        <w:rPr>
          <w:szCs w:val="24"/>
          <w:lang w:val="fr-FR"/>
        </w:rPr>
        <w:t xml:space="preserve"> peut soulever une question de </w:t>
      </w:r>
      <w:r w:rsidRPr="00097B05">
        <w:rPr>
          <w:szCs w:val="24"/>
          <w:lang w:val="fr-FR"/>
        </w:rPr>
        <w:t>non-respect. Da</w:t>
      </w:r>
      <w:r>
        <w:rPr>
          <w:szCs w:val="24"/>
          <w:lang w:val="fr-FR"/>
        </w:rPr>
        <w:t>ns tous les cas, un sous-ensemble</w:t>
      </w:r>
      <w:r w:rsidRPr="00097B05">
        <w:rPr>
          <w:szCs w:val="24"/>
          <w:lang w:val="fr-FR"/>
        </w:rPr>
        <w:t xml:space="preserve"> de Parties </w:t>
      </w:r>
      <w:r>
        <w:rPr>
          <w:szCs w:val="24"/>
          <w:lang w:val="fr-FR"/>
        </w:rPr>
        <w:t>entend</w:t>
      </w:r>
      <w:r w:rsidRPr="00097B05">
        <w:rPr>
          <w:szCs w:val="24"/>
          <w:lang w:val="fr-FR"/>
        </w:rPr>
        <w:t xml:space="preserve"> les points de vue des Parties, </w:t>
      </w:r>
      <w:r>
        <w:rPr>
          <w:szCs w:val="24"/>
          <w:lang w:val="fr-FR"/>
        </w:rPr>
        <w:t xml:space="preserve">y compris de la </w:t>
      </w:r>
      <w:r w:rsidRPr="00097B05">
        <w:rPr>
          <w:szCs w:val="24"/>
          <w:lang w:val="fr-FR"/>
        </w:rPr>
        <w:t xml:space="preserve">Partie </w:t>
      </w:r>
      <w:r>
        <w:rPr>
          <w:szCs w:val="24"/>
          <w:lang w:val="fr-FR"/>
        </w:rPr>
        <w:t xml:space="preserve">qui serait dans une situation de </w:t>
      </w:r>
      <w:r w:rsidRPr="00097B05">
        <w:rPr>
          <w:szCs w:val="24"/>
          <w:lang w:val="fr-FR"/>
        </w:rPr>
        <w:t xml:space="preserve">non-respect, </w:t>
      </w:r>
      <w:r>
        <w:rPr>
          <w:szCs w:val="24"/>
          <w:lang w:val="fr-FR"/>
        </w:rPr>
        <w:t xml:space="preserve">puis détermine quelles mesures devraient être prises pour renforcer l’application de l’accord considéré. Généralement, des efforts substantiels sont déployés pour aider la </w:t>
      </w:r>
      <w:r w:rsidRPr="00C93584">
        <w:rPr>
          <w:szCs w:val="24"/>
          <w:lang w:val="fr-FR"/>
        </w:rPr>
        <w:t>Partie</w:t>
      </w:r>
      <w:r>
        <w:rPr>
          <w:szCs w:val="24"/>
          <w:lang w:val="fr-FR"/>
        </w:rPr>
        <w:t xml:space="preserve"> à respecter ses engagements, en utilisant des méthodes de facilitation. C’est seulement en dernier ressort que les </w:t>
      </w:r>
      <w:r w:rsidRPr="00C93584">
        <w:rPr>
          <w:szCs w:val="24"/>
          <w:lang w:val="fr-FR"/>
        </w:rPr>
        <w:t xml:space="preserve">Parties </w:t>
      </w:r>
      <w:r>
        <w:rPr>
          <w:szCs w:val="24"/>
          <w:lang w:val="fr-FR"/>
        </w:rPr>
        <w:t>recomma</w:t>
      </w:r>
      <w:r w:rsidRPr="00C93584">
        <w:rPr>
          <w:szCs w:val="24"/>
          <w:lang w:val="fr-FR"/>
        </w:rPr>
        <w:t>nd</w:t>
      </w:r>
      <w:r>
        <w:rPr>
          <w:szCs w:val="24"/>
          <w:lang w:val="fr-FR"/>
        </w:rPr>
        <w:t>ent des mesures</w:t>
      </w:r>
      <w:r w:rsidRPr="00C93584">
        <w:rPr>
          <w:szCs w:val="24"/>
          <w:lang w:val="fr-FR"/>
        </w:rPr>
        <w:t xml:space="preserve"> punitive</w:t>
      </w:r>
      <w:r>
        <w:rPr>
          <w:szCs w:val="24"/>
          <w:lang w:val="fr-FR"/>
        </w:rPr>
        <w:t xml:space="preserve">s, telles que des </w:t>
      </w:r>
      <w:r w:rsidRPr="00C93584">
        <w:rPr>
          <w:szCs w:val="24"/>
          <w:lang w:val="fr-FR"/>
        </w:rPr>
        <w:t>sanctions</w:t>
      </w:r>
      <w:r>
        <w:rPr>
          <w:szCs w:val="24"/>
          <w:lang w:val="fr-FR"/>
        </w:rPr>
        <w:t xml:space="preserve"> commerciales</w:t>
      </w:r>
      <w:r w:rsidRPr="00C93584">
        <w:rPr>
          <w:szCs w:val="24"/>
          <w:lang w:val="fr-FR"/>
        </w:rPr>
        <w:t xml:space="preserve">. </w:t>
      </w:r>
    </w:p>
    <w:p w:rsidR="004556F3" w:rsidRDefault="004556F3" w:rsidP="00761732">
      <w:pPr>
        <w:rPr>
          <w:lang w:val="fr-FR"/>
        </w:rPr>
      </w:pPr>
    </w:p>
    <w:p w:rsidR="00413EE7" w:rsidRPr="00C64FEE" w:rsidRDefault="00413EE7" w:rsidP="00413EE7">
      <w:pPr>
        <w:pStyle w:val="ListParagraph"/>
        <w:numPr>
          <w:ilvl w:val="0"/>
          <w:numId w:val="13"/>
        </w:numPr>
        <w:ind w:left="0" w:firstLine="0"/>
        <w:contextualSpacing/>
        <w:jc w:val="both"/>
        <w:rPr>
          <w:bCs/>
          <w:szCs w:val="24"/>
          <w:lang w:val="fr-FR"/>
        </w:rPr>
      </w:pPr>
      <w:r>
        <w:rPr>
          <w:szCs w:val="24"/>
          <w:lang w:val="fr-FR"/>
        </w:rPr>
        <w:lastRenderedPageBreak/>
        <w:t>Dans le cadre de la</w:t>
      </w:r>
      <w:r w:rsidRPr="0002115F">
        <w:rPr>
          <w:szCs w:val="24"/>
          <w:lang w:val="fr-FR"/>
        </w:rPr>
        <w:t xml:space="preserve"> Convention sur le commerce international des espèces de faune et de flore sauvages menac</w:t>
      </w:r>
      <w:r>
        <w:rPr>
          <w:szCs w:val="24"/>
          <w:lang w:val="fr-FR"/>
        </w:rPr>
        <w:t>é</w:t>
      </w:r>
      <w:r w:rsidRPr="0002115F">
        <w:rPr>
          <w:szCs w:val="24"/>
          <w:lang w:val="fr-FR"/>
        </w:rPr>
        <w:t>es d’extinction</w:t>
      </w:r>
      <w:r>
        <w:rPr>
          <w:szCs w:val="24"/>
          <w:lang w:val="fr-FR"/>
        </w:rPr>
        <w:t xml:space="preserve"> </w:t>
      </w:r>
      <w:r w:rsidRPr="0002115F">
        <w:rPr>
          <w:szCs w:val="24"/>
          <w:lang w:val="fr-FR"/>
        </w:rPr>
        <w:t xml:space="preserve">(CITES), </w:t>
      </w:r>
      <w:r>
        <w:rPr>
          <w:szCs w:val="24"/>
          <w:lang w:val="fr-FR"/>
        </w:rPr>
        <w:t>l</w:t>
      </w:r>
      <w:r w:rsidRPr="0002115F">
        <w:rPr>
          <w:szCs w:val="24"/>
          <w:lang w:val="fr-FR"/>
        </w:rPr>
        <w:t xml:space="preserve">e </w:t>
      </w:r>
      <w:r>
        <w:rPr>
          <w:szCs w:val="24"/>
          <w:lang w:val="fr-FR"/>
        </w:rPr>
        <w:t>Comité permanent</w:t>
      </w:r>
      <w:r w:rsidRPr="0002115F">
        <w:rPr>
          <w:szCs w:val="24"/>
          <w:lang w:val="fr-FR"/>
        </w:rPr>
        <w:t xml:space="preserve">, </w:t>
      </w:r>
      <w:r>
        <w:rPr>
          <w:szCs w:val="24"/>
          <w:lang w:val="fr-FR"/>
        </w:rPr>
        <w:t xml:space="preserve">qui est constitué d’un sous-ensemble de </w:t>
      </w:r>
      <w:r w:rsidRPr="0002115F">
        <w:rPr>
          <w:szCs w:val="24"/>
          <w:lang w:val="fr-FR"/>
        </w:rPr>
        <w:t xml:space="preserve">19 Parties, </w:t>
      </w:r>
      <w:r>
        <w:rPr>
          <w:szCs w:val="24"/>
          <w:lang w:val="fr-FR"/>
        </w:rPr>
        <w:t xml:space="preserve">traite des questions </w:t>
      </w:r>
      <w:r w:rsidRPr="0002115F">
        <w:rPr>
          <w:szCs w:val="24"/>
          <w:lang w:val="fr-FR"/>
        </w:rPr>
        <w:t xml:space="preserve">non-respect. </w:t>
      </w:r>
      <w:r>
        <w:rPr>
          <w:szCs w:val="24"/>
          <w:lang w:val="fr-FR"/>
        </w:rPr>
        <w:t>Les question</w:t>
      </w:r>
      <w:r w:rsidRPr="00986CE1">
        <w:rPr>
          <w:szCs w:val="24"/>
          <w:lang w:val="fr-FR"/>
        </w:rPr>
        <w:t>s de non-respect sont portées à l’</w:t>
      </w:r>
      <w:r>
        <w:rPr>
          <w:szCs w:val="24"/>
          <w:lang w:val="fr-FR"/>
        </w:rPr>
        <w:t xml:space="preserve">attention du </w:t>
      </w:r>
      <w:r w:rsidRPr="00986CE1">
        <w:rPr>
          <w:szCs w:val="24"/>
          <w:lang w:val="fr-FR"/>
        </w:rPr>
        <w:t>Comité permanent</w:t>
      </w:r>
      <w:r>
        <w:rPr>
          <w:szCs w:val="24"/>
          <w:lang w:val="fr-FR"/>
        </w:rPr>
        <w:t xml:space="preserve"> par les Parties ou, plus souvent, par le Secrétariat</w:t>
      </w:r>
      <w:r w:rsidRPr="00986CE1">
        <w:rPr>
          <w:szCs w:val="24"/>
          <w:lang w:val="fr-FR"/>
        </w:rPr>
        <w:t xml:space="preserve">. </w:t>
      </w:r>
      <w:r>
        <w:rPr>
          <w:szCs w:val="24"/>
          <w:lang w:val="fr-FR"/>
        </w:rPr>
        <w:t>Les questions</w:t>
      </w:r>
      <w:r w:rsidRPr="00986CE1">
        <w:rPr>
          <w:szCs w:val="24"/>
          <w:lang w:val="fr-FR"/>
        </w:rPr>
        <w:t xml:space="preserve"> de non-respect cou</w:t>
      </w:r>
      <w:r>
        <w:rPr>
          <w:szCs w:val="24"/>
          <w:lang w:val="fr-FR"/>
        </w:rPr>
        <w:t>vrent un grand nombre de manquements</w:t>
      </w:r>
      <w:r w:rsidRPr="00986CE1">
        <w:rPr>
          <w:szCs w:val="24"/>
          <w:lang w:val="fr-FR"/>
        </w:rPr>
        <w:t>,</w:t>
      </w:r>
      <w:r>
        <w:rPr>
          <w:szCs w:val="24"/>
          <w:lang w:val="fr-FR"/>
        </w:rPr>
        <w:t xml:space="preserve"> tel</w:t>
      </w:r>
      <w:r w:rsidRPr="00986CE1">
        <w:rPr>
          <w:szCs w:val="24"/>
          <w:lang w:val="fr-FR"/>
        </w:rPr>
        <w:t>s que</w:t>
      </w:r>
      <w:r>
        <w:rPr>
          <w:szCs w:val="24"/>
          <w:lang w:val="fr-FR"/>
        </w:rPr>
        <w:t xml:space="preserve"> l’absence de communication de rapports, l’absence de mise en place d’une lé</w:t>
      </w:r>
      <w:r w:rsidRPr="00986CE1">
        <w:rPr>
          <w:szCs w:val="24"/>
          <w:lang w:val="fr-FR"/>
        </w:rPr>
        <w:t>gislation</w:t>
      </w:r>
      <w:r>
        <w:rPr>
          <w:szCs w:val="24"/>
          <w:lang w:val="fr-FR"/>
        </w:rPr>
        <w:t xml:space="preserve"> adéquate venant appliquer l’accord</w:t>
      </w:r>
      <w:r w:rsidRPr="00986CE1">
        <w:rPr>
          <w:szCs w:val="24"/>
          <w:lang w:val="fr-FR"/>
        </w:rPr>
        <w:t xml:space="preserve">, </w:t>
      </w:r>
      <w:r>
        <w:rPr>
          <w:szCs w:val="24"/>
          <w:lang w:val="fr-FR"/>
        </w:rPr>
        <w:t xml:space="preserve">l’absence de mise en œuvre des dispositions de la </w:t>
      </w:r>
      <w:r w:rsidRPr="00986CE1">
        <w:rPr>
          <w:szCs w:val="24"/>
          <w:lang w:val="fr-FR"/>
        </w:rPr>
        <w:t>C</w:t>
      </w:r>
      <w:r>
        <w:rPr>
          <w:szCs w:val="24"/>
          <w:lang w:val="fr-FR"/>
        </w:rPr>
        <w:t xml:space="preserve">ITES concernant des </w:t>
      </w:r>
      <w:r w:rsidRPr="00986CE1">
        <w:rPr>
          <w:szCs w:val="24"/>
          <w:lang w:val="fr-FR"/>
        </w:rPr>
        <w:t>espèces</w:t>
      </w:r>
      <w:r>
        <w:rPr>
          <w:szCs w:val="24"/>
          <w:lang w:val="fr-FR"/>
        </w:rPr>
        <w:t xml:space="preserve"> particulières</w:t>
      </w:r>
      <w:r w:rsidRPr="00986CE1">
        <w:rPr>
          <w:szCs w:val="24"/>
          <w:lang w:val="fr-FR"/>
        </w:rPr>
        <w:t xml:space="preserve">, </w:t>
      </w:r>
      <w:r>
        <w:rPr>
          <w:szCs w:val="24"/>
          <w:lang w:val="fr-FR"/>
        </w:rPr>
        <w:t>et d’autres questions encore</w:t>
      </w:r>
      <w:r w:rsidRPr="00986CE1">
        <w:rPr>
          <w:szCs w:val="24"/>
          <w:lang w:val="fr-FR"/>
        </w:rPr>
        <w:t xml:space="preserve">. </w:t>
      </w:r>
      <w:r w:rsidRPr="002B2A7E">
        <w:rPr>
          <w:szCs w:val="24"/>
          <w:lang w:val="fr-FR"/>
        </w:rPr>
        <w:t>Voir la</w:t>
      </w:r>
      <w:r w:rsidRPr="002B2A7E">
        <w:rPr>
          <w:i/>
          <w:szCs w:val="24"/>
          <w:lang w:val="fr-FR"/>
        </w:rPr>
        <w:t xml:space="preserve"> </w:t>
      </w:r>
      <w:r>
        <w:rPr>
          <w:szCs w:val="24"/>
          <w:lang w:val="fr-FR"/>
        </w:rPr>
        <w:t>Résolution</w:t>
      </w:r>
      <w:r w:rsidRPr="00C64FEE">
        <w:rPr>
          <w:szCs w:val="24"/>
          <w:lang w:val="fr-FR"/>
        </w:rPr>
        <w:t xml:space="preserve"> Conf.</w:t>
      </w:r>
      <w:r w:rsidRPr="00C64FEE">
        <w:rPr>
          <w:bCs/>
          <w:szCs w:val="24"/>
          <w:lang w:val="fr-FR"/>
        </w:rPr>
        <w:t>14.3 de la CITES</w:t>
      </w:r>
      <w:r>
        <w:rPr>
          <w:bCs/>
          <w:szCs w:val="24"/>
          <w:lang w:val="fr-FR"/>
        </w:rPr>
        <w:t>,</w:t>
      </w:r>
      <w:r w:rsidRPr="00C64FEE">
        <w:rPr>
          <w:bCs/>
          <w:i/>
          <w:szCs w:val="24"/>
          <w:lang w:val="fr-FR"/>
        </w:rPr>
        <w:t xml:space="preserve"> Procédures</w:t>
      </w:r>
      <w:r>
        <w:rPr>
          <w:bCs/>
          <w:i/>
          <w:szCs w:val="24"/>
          <w:lang w:val="fr-FR"/>
        </w:rPr>
        <w:t xml:space="preserve"> CITES pour le </w:t>
      </w:r>
      <w:r w:rsidRPr="00C64FEE">
        <w:rPr>
          <w:bCs/>
          <w:i/>
          <w:szCs w:val="24"/>
          <w:lang w:val="fr-FR"/>
        </w:rPr>
        <w:t>resp</w:t>
      </w:r>
      <w:r>
        <w:rPr>
          <w:bCs/>
          <w:i/>
          <w:szCs w:val="24"/>
          <w:lang w:val="fr-FR"/>
        </w:rPr>
        <w:t>ect de la Convention</w:t>
      </w:r>
      <w:r w:rsidRPr="00C64FEE">
        <w:rPr>
          <w:bCs/>
          <w:szCs w:val="24"/>
          <w:lang w:val="fr-FR"/>
        </w:rPr>
        <w:t>.</w:t>
      </w:r>
    </w:p>
    <w:p w:rsidR="00413EE7" w:rsidRPr="00C64FEE" w:rsidRDefault="00413EE7" w:rsidP="00413EE7">
      <w:pPr>
        <w:pStyle w:val="ListParagraph"/>
        <w:ind w:left="0"/>
        <w:rPr>
          <w:szCs w:val="24"/>
          <w:lang w:val="fr-FR"/>
        </w:rPr>
      </w:pPr>
    </w:p>
    <w:p w:rsidR="00413EE7" w:rsidRPr="009F3F72" w:rsidRDefault="00413EE7" w:rsidP="00413EE7">
      <w:pPr>
        <w:pStyle w:val="ListParagraph"/>
        <w:numPr>
          <w:ilvl w:val="0"/>
          <w:numId w:val="13"/>
        </w:numPr>
        <w:ind w:left="0" w:firstLine="0"/>
        <w:contextualSpacing/>
        <w:jc w:val="both"/>
        <w:rPr>
          <w:szCs w:val="24"/>
          <w:lang w:val="fr-FR"/>
        </w:rPr>
      </w:pPr>
      <w:r>
        <w:rPr>
          <w:szCs w:val="24"/>
          <w:lang w:val="fr-FR"/>
        </w:rPr>
        <w:t xml:space="preserve">Généralement dans le cadre de la </w:t>
      </w:r>
      <w:r w:rsidRPr="009F3F72">
        <w:rPr>
          <w:szCs w:val="24"/>
          <w:lang w:val="fr-FR"/>
        </w:rPr>
        <w:t>CITES, le Secrétariat</w:t>
      </w:r>
      <w:r>
        <w:rPr>
          <w:szCs w:val="24"/>
          <w:lang w:val="fr-FR"/>
        </w:rPr>
        <w:t xml:space="preserve"> e</w:t>
      </w:r>
      <w:r w:rsidRPr="009F3F72">
        <w:rPr>
          <w:szCs w:val="24"/>
          <w:lang w:val="fr-FR"/>
        </w:rPr>
        <w:t>s</w:t>
      </w:r>
      <w:r>
        <w:rPr>
          <w:szCs w:val="24"/>
          <w:lang w:val="fr-FR"/>
        </w:rPr>
        <w:t xml:space="preserve">t le premier à prendre connaissance des questions de </w:t>
      </w:r>
      <w:r w:rsidRPr="009F3F72">
        <w:rPr>
          <w:szCs w:val="24"/>
          <w:lang w:val="fr-FR"/>
        </w:rPr>
        <w:t xml:space="preserve">non-respect. </w:t>
      </w:r>
      <w:r>
        <w:rPr>
          <w:szCs w:val="24"/>
          <w:lang w:val="fr-FR"/>
        </w:rPr>
        <w:t>A ce moment-là, l</w:t>
      </w:r>
      <w:r w:rsidRPr="009F3F72">
        <w:rPr>
          <w:szCs w:val="24"/>
          <w:lang w:val="fr-FR"/>
        </w:rPr>
        <w:t xml:space="preserve">e Secrétariat </w:t>
      </w:r>
      <w:r>
        <w:rPr>
          <w:szCs w:val="24"/>
          <w:lang w:val="fr-FR"/>
        </w:rPr>
        <w:t xml:space="preserve">évalue et communique à la </w:t>
      </w:r>
      <w:r w:rsidRPr="009F3F72">
        <w:rPr>
          <w:szCs w:val="24"/>
          <w:lang w:val="fr-FR"/>
        </w:rPr>
        <w:t>Partie</w:t>
      </w:r>
      <w:r>
        <w:rPr>
          <w:szCs w:val="24"/>
          <w:lang w:val="fr-FR"/>
        </w:rPr>
        <w:t xml:space="preserve"> concernée des</w:t>
      </w:r>
      <w:r w:rsidRPr="009F3F72">
        <w:rPr>
          <w:szCs w:val="24"/>
          <w:lang w:val="fr-FR"/>
        </w:rPr>
        <w:t xml:space="preserve"> information</w:t>
      </w:r>
      <w:r>
        <w:rPr>
          <w:szCs w:val="24"/>
          <w:lang w:val="fr-FR"/>
        </w:rPr>
        <w:t xml:space="preserve">s sur le non-respect de la Convention par cette </w:t>
      </w:r>
      <w:r w:rsidRPr="009F3F72">
        <w:rPr>
          <w:szCs w:val="24"/>
          <w:lang w:val="fr-FR"/>
        </w:rPr>
        <w:t>Partie. Le Secrétariat</w:t>
      </w:r>
      <w:r>
        <w:rPr>
          <w:szCs w:val="24"/>
          <w:lang w:val="fr-FR"/>
        </w:rPr>
        <w:t xml:space="preserve"> conseille </w:t>
      </w:r>
      <w:r w:rsidRPr="009F3F72">
        <w:rPr>
          <w:szCs w:val="24"/>
          <w:lang w:val="fr-FR"/>
        </w:rPr>
        <w:t xml:space="preserve">et aide </w:t>
      </w:r>
      <w:r>
        <w:rPr>
          <w:szCs w:val="24"/>
          <w:lang w:val="fr-FR"/>
        </w:rPr>
        <w:t xml:space="preserve">également </w:t>
      </w:r>
      <w:r w:rsidRPr="009F3F72">
        <w:rPr>
          <w:szCs w:val="24"/>
          <w:lang w:val="fr-FR"/>
        </w:rPr>
        <w:t xml:space="preserve">la Partie </w:t>
      </w:r>
      <w:r>
        <w:rPr>
          <w:szCs w:val="24"/>
          <w:lang w:val="fr-FR"/>
        </w:rPr>
        <w:t xml:space="preserve">à s’acquitter de ses obligations au titre de la </w:t>
      </w:r>
      <w:r w:rsidRPr="009F3F72">
        <w:rPr>
          <w:szCs w:val="24"/>
          <w:lang w:val="fr-FR"/>
        </w:rPr>
        <w:t>Convention</w:t>
      </w:r>
      <w:r>
        <w:rPr>
          <w:szCs w:val="24"/>
          <w:lang w:val="fr-FR"/>
        </w:rPr>
        <w:t xml:space="preserve"> et formule des recomma</w:t>
      </w:r>
      <w:r w:rsidRPr="009F3F72">
        <w:rPr>
          <w:szCs w:val="24"/>
          <w:lang w:val="fr-FR"/>
        </w:rPr>
        <w:t xml:space="preserve">ndations </w:t>
      </w:r>
      <w:r>
        <w:rPr>
          <w:szCs w:val="24"/>
          <w:lang w:val="fr-FR"/>
        </w:rPr>
        <w:t>pour parvenir à une situation de respect</w:t>
      </w:r>
      <w:r w:rsidRPr="009F3F72">
        <w:rPr>
          <w:szCs w:val="24"/>
          <w:lang w:val="fr-FR"/>
        </w:rPr>
        <w:t>.</w:t>
      </w:r>
    </w:p>
    <w:p w:rsidR="00413EE7" w:rsidRPr="009F3F72" w:rsidRDefault="00413EE7" w:rsidP="00413EE7">
      <w:pPr>
        <w:pStyle w:val="NormalWeb"/>
        <w:spacing w:after="0"/>
        <w:rPr>
          <w:lang w:val="fr-FR"/>
        </w:rPr>
      </w:pPr>
    </w:p>
    <w:p w:rsidR="00413EE7" w:rsidRPr="00180A4C" w:rsidRDefault="00413EE7" w:rsidP="00413EE7">
      <w:pPr>
        <w:pStyle w:val="ListParagraph"/>
        <w:numPr>
          <w:ilvl w:val="0"/>
          <w:numId w:val="13"/>
        </w:numPr>
        <w:ind w:left="0" w:firstLine="0"/>
        <w:contextualSpacing/>
        <w:jc w:val="both"/>
        <w:rPr>
          <w:bCs/>
          <w:szCs w:val="24"/>
          <w:lang w:val="fr-FR"/>
        </w:rPr>
      </w:pPr>
      <w:r>
        <w:rPr>
          <w:szCs w:val="24"/>
          <w:lang w:val="fr-FR"/>
        </w:rPr>
        <w:t>Si la question</w:t>
      </w:r>
      <w:r w:rsidRPr="009F3F72">
        <w:rPr>
          <w:szCs w:val="24"/>
          <w:lang w:val="fr-FR"/>
        </w:rPr>
        <w:t xml:space="preserve"> ne peut pas être résolu</w:t>
      </w:r>
      <w:r>
        <w:rPr>
          <w:szCs w:val="24"/>
          <w:lang w:val="fr-FR"/>
        </w:rPr>
        <w:t>e</w:t>
      </w:r>
      <w:r w:rsidRPr="009F3F72">
        <w:rPr>
          <w:szCs w:val="24"/>
          <w:lang w:val="fr-FR"/>
        </w:rPr>
        <w:t xml:space="preserve"> par le</w:t>
      </w:r>
      <w:r>
        <w:rPr>
          <w:szCs w:val="24"/>
          <w:lang w:val="fr-FR"/>
        </w:rPr>
        <w:t xml:space="preserve"> </w:t>
      </w:r>
      <w:r w:rsidRPr="009F3F72">
        <w:rPr>
          <w:szCs w:val="24"/>
          <w:lang w:val="fr-FR"/>
        </w:rPr>
        <w:t>Secrétariat</w:t>
      </w:r>
      <w:r>
        <w:rPr>
          <w:szCs w:val="24"/>
          <w:lang w:val="fr-FR"/>
        </w:rPr>
        <w:t xml:space="preserve">, alors le Secrétariat saisit le </w:t>
      </w:r>
      <w:r w:rsidRPr="009F3F72">
        <w:rPr>
          <w:szCs w:val="24"/>
          <w:lang w:val="fr-FR"/>
        </w:rPr>
        <w:t xml:space="preserve">Comité permanent. </w:t>
      </w:r>
      <w:r w:rsidRPr="00180A4C">
        <w:rPr>
          <w:szCs w:val="24"/>
          <w:lang w:val="fr-FR"/>
        </w:rPr>
        <w:t>Le Comité permanent év</w:t>
      </w:r>
      <w:r>
        <w:rPr>
          <w:szCs w:val="24"/>
          <w:lang w:val="fr-FR"/>
        </w:rPr>
        <w:t>alue la question</w:t>
      </w:r>
      <w:r w:rsidRPr="00180A4C">
        <w:rPr>
          <w:szCs w:val="24"/>
          <w:lang w:val="fr-FR"/>
        </w:rPr>
        <w:t xml:space="preserve"> de non-respect et, s’il </w:t>
      </w:r>
      <w:r>
        <w:rPr>
          <w:szCs w:val="24"/>
          <w:lang w:val="fr-FR"/>
        </w:rPr>
        <w:t>dé</w:t>
      </w:r>
      <w:r w:rsidRPr="00180A4C">
        <w:rPr>
          <w:szCs w:val="24"/>
          <w:lang w:val="fr-FR"/>
        </w:rPr>
        <w:t xml:space="preserve">cide qu’un </w:t>
      </w:r>
      <w:r>
        <w:rPr>
          <w:szCs w:val="24"/>
          <w:lang w:val="fr-FR"/>
        </w:rPr>
        <w:t xml:space="preserve">pays se trouve dans une situation de </w:t>
      </w:r>
      <w:r w:rsidRPr="00180A4C">
        <w:rPr>
          <w:szCs w:val="24"/>
          <w:lang w:val="fr-FR"/>
        </w:rPr>
        <w:t>non-respect</w:t>
      </w:r>
      <w:r>
        <w:rPr>
          <w:szCs w:val="24"/>
          <w:lang w:val="fr-FR"/>
        </w:rPr>
        <w:t>, il peut recomma</w:t>
      </w:r>
      <w:r w:rsidRPr="00180A4C">
        <w:rPr>
          <w:szCs w:val="24"/>
          <w:lang w:val="fr-FR"/>
        </w:rPr>
        <w:t>nd</w:t>
      </w:r>
      <w:r>
        <w:rPr>
          <w:szCs w:val="24"/>
          <w:lang w:val="fr-FR"/>
        </w:rPr>
        <w:t xml:space="preserve">er une ou plusieurs mesures ci-après </w:t>
      </w:r>
      <w:r w:rsidRPr="00180A4C">
        <w:rPr>
          <w:szCs w:val="24"/>
          <w:lang w:val="fr-FR"/>
        </w:rPr>
        <w:t>:</w:t>
      </w:r>
    </w:p>
    <w:p w:rsidR="004556F3" w:rsidRDefault="004556F3" w:rsidP="00761732">
      <w:pPr>
        <w:rPr>
          <w:lang w:val="fr-FR"/>
        </w:rPr>
      </w:pPr>
    </w:p>
    <w:p w:rsidR="00413EE7" w:rsidRPr="00413EE7" w:rsidRDefault="00413EE7" w:rsidP="00413EE7">
      <w:pPr>
        <w:numPr>
          <w:ilvl w:val="0"/>
          <w:numId w:val="14"/>
        </w:numPr>
        <w:spacing w:after="240"/>
        <w:ind w:hanging="720"/>
        <w:contextualSpacing/>
        <w:jc w:val="both"/>
        <w:rPr>
          <w:bCs/>
          <w:szCs w:val="24"/>
          <w:lang w:val="fr-FR"/>
        </w:rPr>
      </w:pPr>
      <w:r w:rsidRPr="00413EE7">
        <w:rPr>
          <w:bCs/>
          <w:szCs w:val="24"/>
          <w:lang w:val="fr-FR"/>
        </w:rPr>
        <w:t>Conseiller la Partie concernée, l’informer et lui offrir une assistance appropriée et tout autre renforcement de ses capacités;</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Demander un rapport spécial à la Partie concernée;</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Adresser par écrit une mise en garde en demandant une réponse et en offrant une assistance;</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Recommander à la Partie concernée d’entreprendre des actions spécifiques de renforcement des capacités;</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Assurer une assistance, une évaluation technique et une mission de vérification dans le pays à l’invitation de la Partie concernée;</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Faire envoyer par le Secrétariat une notification à toutes les Parties les informant que des questions de respect de la Convention ont été portées à l’attention d’une Partie et  que, jusqu’à présent, celle-ci n’a pas donné de réponse satisfaisante ni entrepris d’action satisfaisante;</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 xml:space="preserve">Adresser une mise en garde à la Partie concernée en lui indiquant qu’elle ne respecte pas la Convention – pour ce qui est, par exemple, de ses rapports nationaux et/ou du projet sur les législations nationales; </w:t>
      </w:r>
    </w:p>
    <w:p w:rsidR="00413EE7" w:rsidRPr="00413EE7" w:rsidRDefault="00413EE7" w:rsidP="00413EE7">
      <w:pPr>
        <w:numPr>
          <w:ilvl w:val="0"/>
          <w:numId w:val="14"/>
        </w:numPr>
        <w:ind w:hanging="720"/>
        <w:contextualSpacing/>
        <w:jc w:val="both"/>
        <w:rPr>
          <w:bCs/>
          <w:szCs w:val="24"/>
          <w:lang w:val="fr-FR"/>
        </w:rPr>
      </w:pPr>
      <w:r w:rsidRPr="00413EE7">
        <w:rPr>
          <w:bCs/>
          <w:szCs w:val="24"/>
          <w:lang w:val="fr-FR"/>
        </w:rPr>
        <w:t>Demander à la Partie concernée de soumettre au Comité permanent un plan d’action en vue du respect de la Convention, indiquant les mesures appropriées, un calendrier pour les mener à bien, et les moyens d’évaluer leur réalisation satisfaisante.</w:t>
      </w:r>
    </w:p>
    <w:p w:rsidR="004556F3" w:rsidRDefault="004556F3" w:rsidP="00761732">
      <w:pPr>
        <w:rPr>
          <w:lang w:val="fr-FR"/>
        </w:rPr>
      </w:pPr>
    </w:p>
    <w:p w:rsidR="00413EE7" w:rsidRPr="00C2355C" w:rsidRDefault="00413EE7" w:rsidP="00413EE7">
      <w:pPr>
        <w:pStyle w:val="ListParagraph"/>
        <w:numPr>
          <w:ilvl w:val="0"/>
          <w:numId w:val="13"/>
        </w:numPr>
        <w:ind w:left="0" w:firstLine="0"/>
        <w:contextualSpacing/>
        <w:jc w:val="both"/>
        <w:rPr>
          <w:bCs/>
          <w:szCs w:val="24"/>
          <w:lang w:val="fr-FR"/>
        </w:rPr>
      </w:pPr>
      <w:r w:rsidRPr="00C2355C">
        <w:rPr>
          <w:szCs w:val="24"/>
          <w:lang w:val="fr-FR"/>
        </w:rPr>
        <w:t>Si la question de respect</w:t>
      </w:r>
      <w:r>
        <w:rPr>
          <w:szCs w:val="24"/>
          <w:lang w:val="fr-FR"/>
        </w:rPr>
        <w:t xml:space="preserve"> de la Convention demeure</w:t>
      </w:r>
      <w:r w:rsidRPr="00C2355C">
        <w:rPr>
          <w:szCs w:val="24"/>
          <w:lang w:val="fr-FR"/>
        </w:rPr>
        <w:t xml:space="preserve"> non résolue et persi</w:t>
      </w:r>
      <w:r>
        <w:rPr>
          <w:szCs w:val="24"/>
          <w:lang w:val="fr-FR"/>
        </w:rPr>
        <w:t>s</w:t>
      </w:r>
      <w:r w:rsidRPr="00C2355C">
        <w:rPr>
          <w:szCs w:val="24"/>
          <w:lang w:val="fr-FR"/>
        </w:rPr>
        <w:t>te, et que la Partie</w:t>
      </w:r>
      <w:r>
        <w:rPr>
          <w:szCs w:val="24"/>
          <w:lang w:val="fr-FR"/>
        </w:rPr>
        <w:t xml:space="preserve"> ne montre aucune </w:t>
      </w:r>
      <w:r w:rsidRPr="00C2355C">
        <w:rPr>
          <w:szCs w:val="24"/>
          <w:lang w:val="fr-FR"/>
        </w:rPr>
        <w:t xml:space="preserve">intention </w:t>
      </w:r>
      <w:r>
        <w:rPr>
          <w:szCs w:val="24"/>
          <w:lang w:val="fr-FR"/>
        </w:rPr>
        <w:t>d’assurer le respect de ses obligations, alors l</w:t>
      </w:r>
      <w:r w:rsidRPr="00C2355C">
        <w:rPr>
          <w:szCs w:val="24"/>
          <w:lang w:val="fr-FR"/>
        </w:rPr>
        <w:t>e Comité permanent</w:t>
      </w:r>
      <w:r>
        <w:rPr>
          <w:szCs w:val="24"/>
          <w:lang w:val="fr-FR"/>
        </w:rPr>
        <w:t xml:space="preserve"> peut</w:t>
      </w:r>
      <w:r w:rsidRPr="00C2355C">
        <w:rPr>
          <w:szCs w:val="24"/>
          <w:lang w:val="fr-FR"/>
        </w:rPr>
        <w:t xml:space="preserve"> rec</w:t>
      </w:r>
      <w:r>
        <w:rPr>
          <w:szCs w:val="24"/>
          <w:lang w:val="fr-FR"/>
        </w:rPr>
        <w:t>omma</w:t>
      </w:r>
      <w:r w:rsidRPr="00C2355C">
        <w:rPr>
          <w:szCs w:val="24"/>
          <w:lang w:val="fr-FR"/>
        </w:rPr>
        <w:t>nd</w:t>
      </w:r>
      <w:r>
        <w:rPr>
          <w:szCs w:val="24"/>
          <w:lang w:val="fr-FR"/>
        </w:rPr>
        <w:t xml:space="preserve">er que les </w:t>
      </w:r>
      <w:r w:rsidRPr="00C2355C">
        <w:rPr>
          <w:szCs w:val="24"/>
          <w:lang w:val="fr-FR"/>
        </w:rPr>
        <w:t>Parties suspend</w:t>
      </w:r>
      <w:r>
        <w:rPr>
          <w:szCs w:val="24"/>
          <w:lang w:val="fr-FR"/>
        </w:rPr>
        <w:t>ent le commerce avec la</w:t>
      </w:r>
      <w:r w:rsidRPr="00C2355C">
        <w:rPr>
          <w:szCs w:val="24"/>
          <w:lang w:val="fr-FR"/>
        </w:rPr>
        <w:t xml:space="preserve"> Partie </w:t>
      </w:r>
      <w:r>
        <w:rPr>
          <w:szCs w:val="24"/>
          <w:lang w:val="fr-FR"/>
        </w:rPr>
        <w:t>contrevenante de spécimens d’espèces inscrites aux annexes de la CITES</w:t>
      </w:r>
      <w:r w:rsidRPr="00C2355C">
        <w:rPr>
          <w:szCs w:val="24"/>
          <w:lang w:val="fr-FR"/>
        </w:rPr>
        <w:t>.</w:t>
      </w:r>
    </w:p>
    <w:p w:rsidR="00413EE7" w:rsidRPr="00C2355C" w:rsidRDefault="00413EE7" w:rsidP="00413EE7">
      <w:pPr>
        <w:pStyle w:val="ListParagraph"/>
        <w:ind w:left="0"/>
        <w:jc w:val="both"/>
        <w:rPr>
          <w:szCs w:val="24"/>
          <w:lang w:val="fr-FR"/>
        </w:rPr>
      </w:pPr>
    </w:p>
    <w:p w:rsidR="00413EE7" w:rsidRPr="007953CF" w:rsidRDefault="00413EE7" w:rsidP="00413EE7">
      <w:pPr>
        <w:pStyle w:val="ListParagraph"/>
        <w:numPr>
          <w:ilvl w:val="0"/>
          <w:numId w:val="13"/>
        </w:numPr>
        <w:ind w:left="0" w:firstLine="0"/>
        <w:contextualSpacing/>
        <w:jc w:val="both"/>
        <w:rPr>
          <w:szCs w:val="24"/>
          <w:lang w:val="fr-FR"/>
        </w:rPr>
      </w:pPr>
      <w:r w:rsidRPr="00EA0AAD">
        <w:rPr>
          <w:szCs w:val="24"/>
          <w:lang w:val="fr-FR"/>
        </w:rPr>
        <w:t>Dans le cadre du Protocole de Montré</w:t>
      </w:r>
      <w:r>
        <w:rPr>
          <w:szCs w:val="24"/>
          <w:lang w:val="fr-FR"/>
        </w:rPr>
        <w:t>al relatif</w:t>
      </w:r>
      <w:r w:rsidRPr="00EA0AAD">
        <w:rPr>
          <w:szCs w:val="24"/>
          <w:lang w:val="fr-FR"/>
        </w:rPr>
        <w:t xml:space="preserve"> à des s</w:t>
      </w:r>
      <w:r>
        <w:rPr>
          <w:szCs w:val="24"/>
          <w:lang w:val="fr-FR"/>
        </w:rPr>
        <w:t>ubstances qui appauvrissent la couche d’ozone,</w:t>
      </w:r>
      <w:r w:rsidRPr="00EA0AAD">
        <w:rPr>
          <w:szCs w:val="24"/>
          <w:lang w:val="fr-FR"/>
        </w:rPr>
        <w:t xml:space="preserve"> </w:t>
      </w:r>
      <w:r>
        <w:rPr>
          <w:szCs w:val="24"/>
          <w:lang w:val="fr-FR"/>
        </w:rPr>
        <w:t>le Comité d’application</w:t>
      </w:r>
      <w:r w:rsidRPr="00EA0AAD">
        <w:rPr>
          <w:szCs w:val="24"/>
          <w:lang w:val="fr-FR"/>
        </w:rPr>
        <w:t xml:space="preserve">, </w:t>
      </w:r>
      <w:r>
        <w:rPr>
          <w:szCs w:val="24"/>
          <w:lang w:val="fr-FR"/>
        </w:rPr>
        <w:t xml:space="preserve">qui est constitué d’un sous-ensemble de dix </w:t>
      </w:r>
      <w:r w:rsidRPr="00EA0AAD">
        <w:rPr>
          <w:szCs w:val="24"/>
          <w:lang w:val="fr-FR"/>
        </w:rPr>
        <w:t xml:space="preserve">Parties, </w:t>
      </w:r>
      <w:r>
        <w:rPr>
          <w:szCs w:val="24"/>
          <w:lang w:val="fr-FR"/>
        </w:rPr>
        <w:t xml:space="preserve">traite des questions </w:t>
      </w:r>
      <w:r w:rsidRPr="00EA0AAD">
        <w:rPr>
          <w:szCs w:val="24"/>
          <w:lang w:val="fr-FR"/>
        </w:rPr>
        <w:t xml:space="preserve">non-respect </w:t>
      </w:r>
      <w:r>
        <w:rPr>
          <w:szCs w:val="24"/>
          <w:lang w:val="fr-FR"/>
        </w:rPr>
        <w:t xml:space="preserve">qui sont portées à son attention par la </w:t>
      </w:r>
      <w:r w:rsidRPr="00EA0AAD">
        <w:rPr>
          <w:szCs w:val="24"/>
          <w:lang w:val="fr-FR"/>
        </w:rPr>
        <w:t>Partie</w:t>
      </w:r>
      <w:r>
        <w:rPr>
          <w:szCs w:val="24"/>
          <w:lang w:val="fr-FR"/>
        </w:rPr>
        <w:t xml:space="preserve"> contrevenante</w:t>
      </w:r>
      <w:r w:rsidRPr="00EA0AAD">
        <w:rPr>
          <w:szCs w:val="24"/>
          <w:lang w:val="fr-FR"/>
        </w:rPr>
        <w:t>,</w:t>
      </w:r>
      <w:r>
        <w:rPr>
          <w:szCs w:val="24"/>
          <w:lang w:val="fr-FR"/>
        </w:rPr>
        <w:t xml:space="preserve"> ou par une autre </w:t>
      </w:r>
      <w:r w:rsidRPr="00EA0AAD">
        <w:rPr>
          <w:szCs w:val="24"/>
          <w:lang w:val="fr-FR"/>
        </w:rPr>
        <w:t>Partie</w:t>
      </w:r>
      <w:r>
        <w:rPr>
          <w:szCs w:val="24"/>
          <w:lang w:val="fr-FR"/>
        </w:rPr>
        <w:t xml:space="preserve">, ou par le </w:t>
      </w:r>
      <w:r w:rsidRPr="00EA0AAD">
        <w:rPr>
          <w:szCs w:val="24"/>
          <w:lang w:val="fr-FR"/>
        </w:rPr>
        <w:t xml:space="preserve">Secrétariat. </w:t>
      </w:r>
      <w:r w:rsidRPr="007953CF">
        <w:rPr>
          <w:szCs w:val="24"/>
          <w:lang w:val="fr-FR"/>
        </w:rPr>
        <w:t>Le Comité d’application peut faire les recommandations ci-après :</w:t>
      </w:r>
    </w:p>
    <w:p w:rsidR="004556F3" w:rsidRDefault="004556F3" w:rsidP="00761732">
      <w:pPr>
        <w:rPr>
          <w:lang w:val="fr-FR"/>
        </w:rPr>
      </w:pPr>
    </w:p>
    <w:p w:rsidR="00413EE7" w:rsidRPr="00413EE7" w:rsidRDefault="00413EE7" w:rsidP="00413EE7">
      <w:pPr>
        <w:autoSpaceDE w:val="0"/>
        <w:autoSpaceDN w:val="0"/>
        <w:adjustRightInd w:val="0"/>
        <w:ind w:left="720" w:hanging="720"/>
        <w:contextualSpacing/>
        <w:jc w:val="both"/>
        <w:rPr>
          <w:color w:val="000000"/>
          <w:szCs w:val="24"/>
          <w:lang w:val="fr-FR"/>
        </w:rPr>
      </w:pPr>
      <w:r w:rsidRPr="00413EE7">
        <w:rPr>
          <w:color w:val="000000"/>
          <w:szCs w:val="24"/>
          <w:lang w:val="fr-FR"/>
        </w:rPr>
        <w:t>a)</w:t>
      </w:r>
      <w:r w:rsidRPr="00413EE7">
        <w:rPr>
          <w:color w:val="000000"/>
          <w:szCs w:val="24"/>
          <w:lang w:val="fr-FR"/>
        </w:rPr>
        <w:tab/>
        <w:t xml:space="preserve">Fournir une assistance appropriée, notamment pour la collecte et la communication des données, une assistance technique, un transfert de technologie et une assistance financière, un transfert de renseignements et une formation; </w:t>
      </w:r>
    </w:p>
    <w:p w:rsidR="00413EE7" w:rsidRPr="00413EE7" w:rsidRDefault="00413EE7" w:rsidP="00413EE7">
      <w:pPr>
        <w:autoSpaceDE w:val="0"/>
        <w:autoSpaceDN w:val="0"/>
        <w:adjustRightInd w:val="0"/>
        <w:ind w:left="720" w:hanging="720"/>
        <w:contextualSpacing/>
        <w:jc w:val="both"/>
        <w:rPr>
          <w:color w:val="000000"/>
          <w:szCs w:val="24"/>
          <w:lang w:val="fr-FR"/>
        </w:rPr>
      </w:pPr>
      <w:r w:rsidRPr="00413EE7">
        <w:rPr>
          <w:color w:val="000000"/>
          <w:szCs w:val="24"/>
          <w:lang w:val="fr-FR"/>
        </w:rPr>
        <w:t>b)</w:t>
      </w:r>
      <w:r w:rsidRPr="00413EE7">
        <w:rPr>
          <w:color w:val="000000"/>
          <w:szCs w:val="24"/>
          <w:lang w:val="fr-FR"/>
        </w:rPr>
        <w:tab/>
        <w:t xml:space="preserve">Adresser une mise en garde; </w:t>
      </w:r>
    </w:p>
    <w:p w:rsidR="00413EE7" w:rsidRPr="00413EE7" w:rsidRDefault="00413EE7" w:rsidP="00413EE7">
      <w:pPr>
        <w:autoSpaceDE w:val="0"/>
        <w:autoSpaceDN w:val="0"/>
        <w:adjustRightInd w:val="0"/>
        <w:ind w:left="720" w:hanging="720"/>
        <w:contextualSpacing/>
        <w:jc w:val="both"/>
        <w:rPr>
          <w:color w:val="000000"/>
          <w:szCs w:val="24"/>
          <w:lang w:val="fr-FR"/>
        </w:rPr>
      </w:pPr>
      <w:r w:rsidRPr="00413EE7">
        <w:rPr>
          <w:color w:val="000000"/>
          <w:szCs w:val="24"/>
          <w:lang w:val="fr-FR"/>
        </w:rPr>
        <w:t>c)</w:t>
      </w:r>
      <w:r w:rsidRPr="00413EE7">
        <w:rPr>
          <w:color w:val="000000"/>
          <w:szCs w:val="24"/>
          <w:lang w:val="fr-FR"/>
        </w:rPr>
        <w:tab/>
        <w:t xml:space="preserve">Suspendre, conformément aux dispositions du droit international applicable à la suspension des effets d’un traité, de droits et de privilèges spécifiques découlant du  Protocole, pour une durée limitée ou illimitée, notamment ceux concernant la rationalisation industrielle, la production, la consommation, les échanges, le transfert de technologie, les mécanismes de financement et les arrangements institutionnels. </w:t>
      </w:r>
    </w:p>
    <w:p w:rsidR="004556F3" w:rsidRDefault="004556F3" w:rsidP="00761732">
      <w:pPr>
        <w:rPr>
          <w:lang w:val="fr-FR"/>
        </w:rPr>
      </w:pPr>
    </w:p>
    <w:p w:rsidR="00DE5465" w:rsidRPr="00267143" w:rsidRDefault="00DE5465" w:rsidP="00DE5465">
      <w:pPr>
        <w:pStyle w:val="ListParagraph"/>
        <w:numPr>
          <w:ilvl w:val="0"/>
          <w:numId w:val="13"/>
        </w:numPr>
        <w:ind w:left="0" w:firstLine="0"/>
        <w:contextualSpacing/>
        <w:jc w:val="both"/>
        <w:rPr>
          <w:szCs w:val="24"/>
          <w:lang w:val="fr-FR"/>
        </w:rPr>
      </w:pPr>
      <w:r w:rsidRPr="006D667A">
        <w:rPr>
          <w:szCs w:val="24"/>
          <w:lang w:val="fr-FR"/>
        </w:rPr>
        <w:t>Le Comité d’application du Protocole de Montréal</w:t>
      </w:r>
      <w:r>
        <w:rPr>
          <w:szCs w:val="24"/>
          <w:lang w:val="fr-FR"/>
        </w:rPr>
        <w:t xml:space="preserve"> recommande</w:t>
      </w:r>
      <w:r w:rsidRPr="006D667A">
        <w:rPr>
          <w:szCs w:val="24"/>
          <w:lang w:val="fr-FR"/>
        </w:rPr>
        <w:t>,</w:t>
      </w:r>
      <w:r>
        <w:rPr>
          <w:szCs w:val="24"/>
          <w:lang w:val="fr-FR"/>
        </w:rPr>
        <w:t xml:space="preserve"> dans un premier temps</w:t>
      </w:r>
      <w:r w:rsidRPr="006D667A">
        <w:rPr>
          <w:szCs w:val="24"/>
          <w:lang w:val="fr-FR"/>
        </w:rPr>
        <w:t xml:space="preserve">, </w:t>
      </w:r>
      <w:r>
        <w:rPr>
          <w:szCs w:val="24"/>
          <w:lang w:val="fr-FR"/>
        </w:rPr>
        <w:t xml:space="preserve">de fournir </w:t>
      </w:r>
      <w:r w:rsidRPr="006D667A">
        <w:rPr>
          <w:szCs w:val="24"/>
          <w:lang w:val="fr-FR"/>
        </w:rPr>
        <w:t>un appui en matièr</w:t>
      </w:r>
      <w:r>
        <w:rPr>
          <w:szCs w:val="24"/>
          <w:lang w:val="fr-FR"/>
        </w:rPr>
        <w:t xml:space="preserve">e de renforcement des capacités à </w:t>
      </w:r>
      <w:r w:rsidRPr="006D667A">
        <w:rPr>
          <w:szCs w:val="24"/>
          <w:lang w:val="fr-FR"/>
        </w:rPr>
        <w:t xml:space="preserve">la Partie contrevenante </w:t>
      </w:r>
      <w:r>
        <w:rPr>
          <w:szCs w:val="24"/>
          <w:lang w:val="fr-FR"/>
        </w:rPr>
        <w:t>qui n’a pas, par exemple, communiqué de données sur sa production ou sa</w:t>
      </w:r>
      <w:r w:rsidRPr="006D667A">
        <w:rPr>
          <w:szCs w:val="24"/>
          <w:lang w:val="fr-FR"/>
        </w:rPr>
        <w:t xml:space="preserve"> </w:t>
      </w:r>
      <w:r>
        <w:rPr>
          <w:szCs w:val="24"/>
          <w:lang w:val="fr-FR"/>
        </w:rPr>
        <w:t>consommation</w:t>
      </w:r>
      <w:r w:rsidRPr="006D667A">
        <w:rPr>
          <w:szCs w:val="24"/>
          <w:lang w:val="fr-FR"/>
        </w:rPr>
        <w:t xml:space="preserve"> </w:t>
      </w:r>
      <w:r>
        <w:rPr>
          <w:szCs w:val="24"/>
          <w:lang w:val="fr-FR"/>
        </w:rPr>
        <w:t>de</w:t>
      </w:r>
      <w:r w:rsidRPr="006D667A">
        <w:rPr>
          <w:szCs w:val="24"/>
          <w:lang w:val="fr-FR"/>
        </w:rPr>
        <w:t xml:space="preserve"> </w:t>
      </w:r>
      <w:r>
        <w:rPr>
          <w:szCs w:val="24"/>
          <w:lang w:val="fr-FR"/>
        </w:rPr>
        <w:t>substances qui appauvrissent la couche d’ozone</w:t>
      </w:r>
      <w:r w:rsidRPr="006D667A">
        <w:rPr>
          <w:szCs w:val="24"/>
          <w:lang w:val="fr-FR"/>
        </w:rPr>
        <w:t xml:space="preserve">. </w:t>
      </w:r>
      <w:r w:rsidRPr="00AB2B35">
        <w:rPr>
          <w:szCs w:val="24"/>
          <w:lang w:val="fr-FR"/>
        </w:rPr>
        <w:t>Si la Partie ne comm</w:t>
      </w:r>
      <w:r>
        <w:rPr>
          <w:szCs w:val="24"/>
          <w:lang w:val="fr-FR"/>
        </w:rPr>
        <w:t>unique pas les données concernée</w:t>
      </w:r>
      <w:r w:rsidRPr="00AB2B35">
        <w:rPr>
          <w:szCs w:val="24"/>
          <w:lang w:val="fr-FR"/>
        </w:rPr>
        <w:t>s, alors le Comité d’application</w:t>
      </w:r>
      <w:r>
        <w:rPr>
          <w:szCs w:val="24"/>
          <w:lang w:val="fr-FR"/>
        </w:rPr>
        <w:t xml:space="preserve"> peut recomma</w:t>
      </w:r>
      <w:r w:rsidRPr="00AB2B35">
        <w:rPr>
          <w:szCs w:val="24"/>
          <w:lang w:val="fr-FR"/>
        </w:rPr>
        <w:t>nd</w:t>
      </w:r>
      <w:r>
        <w:rPr>
          <w:szCs w:val="24"/>
          <w:lang w:val="fr-FR"/>
        </w:rPr>
        <w:t xml:space="preserve">er qu’un pays en développement </w:t>
      </w:r>
      <w:r w:rsidRPr="00AB2B35">
        <w:rPr>
          <w:szCs w:val="24"/>
          <w:lang w:val="fr-FR"/>
        </w:rPr>
        <w:t xml:space="preserve">Partie </w:t>
      </w:r>
      <w:r>
        <w:rPr>
          <w:szCs w:val="24"/>
          <w:lang w:val="fr-FR"/>
        </w:rPr>
        <w:t xml:space="preserve">n’ait plus accès aux financements du Fonds multilatéral du </w:t>
      </w:r>
      <w:r w:rsidRPr="00AB2B35">
        <w:rPr>
          <w:szCs w:val="24"/>
          <w:lang w:val="fr-FR"/>
        </w:rPr>
        <w:t xml:space="preserve">Protocole de Montréal. </w:t>
      </w:r>
      <w:r>
        <w:rPr>
          <w:szCs w:val="24"/>
          <w:lang w:val="fr-FR"/>
        </w:rPr>
        <w:t xml:space="preserve">Les </w:t>
      </w:r>
      <w:r w:rsidRPr="00267143">
        <w:rPr>
          <w:szCs w:val="24"/>
          <w:lang w:val="fr-FR"/>
        </w:rPr>
        <w:t xml:space="preserve">Parties </w:t>
      </w:r>
      <w:r>
        <w:rPr>
          <w:szCs w:val="24"/>
          <w:lang w:val="fr-FR"/>
        </w:rPr>
        <w:t xml:space="preserve">peuvent aussi se voir refuser la possibilité de commercialiser des </w:t>
      </w:r>
      <w:r w:rsidRPr="00267143">
        <w:rPr>
          <w:szCs w:val="24"/>
          <w:lang w:val="fr-FR"/>
        </w:rPr>
        <w:t xml:space="preserve">substances qui appauvrissent la couche d’ozone. </w:t>
      </w:r>
      <w:r w:rsidRPr="00E1012D">
        <w:rPr>
          <w:i/>
          <w:szCs w:val="24"/>
          <w:lang w:val="fr-FR"/>
        </w:rPr>
        <w:t xml:space="preserve">Voir </w:t>
      </w:r>
      <w:r>
        <w:rPr>
          <w:szCs w:val="24"/>
          <w:lang w:val="fr-FR"/>
        </w:rPr>
        <w:t>le P</w:t>
      </w:r>
      <w:r w:rsidRPr="00267143">
        <w:rPr>
          <w:szCs w:val="24"/>
          <w:lang w:val="fr-FR"/>
        </w:rPr>
        <w:t xml:space="preserve">rotocole de Montréal, </w:t>
      </w:r>
      <w:r>
        <w:rPr>
          <w:szCs w:val="24"/>
          <w:lang w:val="fr-FR"/>
        </w:rPr>
        <w:t xml:space="preserve">Annexe IV, </w:t>
      </w:r>
      <w:r>
        <w:rPr>
          <w:i/>
          <w:szCs w:val="24"/>
          <w:lang w:val="fr-FR"/>
        </w:rPr>
        <w:t>Procé</w:t>
      </w:r>
      <w:r w:rsidRPr="00267143">
        <w:rPr>
          <w:i/>
          <w:szCs w:val="24"/>
          <w:lang w:val="fr-FR"/>
        </w:rPr>
        <w:t>dure</w:t>
      </w:r>
      <w:r>
        <w:rPr>
          <w:i/>
          <w:szCs w:val="24"/>
          <w:lang w:val="fr-FR"/>
        </w:rPr>
        <w:t xml:space="preserve"> applicable en cas de non-respect</w:t>
      </w:r>
      <w:r w:rsidRPr="00267143">
        <w:rPr>
          <w:szCs w:val="24"/>
          <w:lang w:val="fr-FR"/>
        </w:rPr>
        <w:t>.</w:t>
      </w:r>
    </w:p>
    <w:p w:rsidR="00DE5465" w:rsidRPr="00267143" w:rsidRDefault="00DE5465" w:rsidP="00DE5465">
      <w:pPr>
        <w:pStyle w:val="ListParagraph"/>
        <w:ind w:left="0"/>
        <w:jc w:val="both"/>
        <w:rPr>
          <w:szCs w:val="24"/>
          <w:lang w:val="fr-FR"/>
        </w:rPr>
      </w:pPr>
    </w:p>
    <w:p w:rsidR="00DE5465" w:rsidRPr="00322390" w:rsidRDefault="00DE5465" w:rsidP="00DE5465">
      <w:pPr>
        <w:pStyle w:val="ListParagraph"/>
        <w:numPr>
          <w:ilvl w:val="0"/>
          <w:numId w:val="13"/>
        </w:numPr>
        <w:ind w:left="0" w:firstLine="0"/>
        <w:contextualSpacing/>
        <w:jc w:val="both"/>
        <w:rPr>
          <w:szCs w:val="24"/>
          <w:lang w:val="fr-FR"/>
        </w:rPr>
      </w:pPr>
      <w:r>
        <w:rPr>
          <w:szCs w:val="24"/>
          <w:lang w:val="fr-FR"/>
        </w:rPr>
        <w:t>Les observat</w:t>
      </w:r>
      <w:r w:rsidRPr="00EC17CF">
        <w:rPr>
          <w:szCs w:val="24"/>
          <w:lang w:val="fr-FR"/>
        </w:rPr>
        <w:t>eurs</w:t>
      </w:r>
      <w:r>
        <w:rPr>
          <w:szCs w:val="24"/>
          <w:lang w:val="fr-FR"/>
        </w:rPr>
        <w:t xml:space="preserve"> </w:t>
      </w:r>
      <w:r w:rsidRPr="00EC17CF">
        <w:rPr>
          <w:szCs w:val="24"/>
          <w:lang w:val="fr-FR"/>
        </w:rPr>
        <w:t xml:space="preserve">ont signalé que les mécanismes </w:t>
      </w:r>
      <w:r>
        <w:rPr>
          <w:szCs w:val="24"/>
          <w:lang w:val="fr-FR"/>
        </w:rPr>
        <w:t xml:space="preserve">de respect des dispositions de la CITES et du </w:t>
      </w:r>
      <w:r w:rsidRPr="00EC17CF">
        <w:rPr>
          <w:szCs w:val="24"/>
          <w:lang w:val="fr-FR"/>
        </w:rPr>
        <w:t xml:space="preserve">Protocole de Montréal </w:t>
      </w:r>
      <w:r>
        <w:rPr>
          <w:szCs w:val="24"/>
          <w:lang w:val="fr-FR"/>
        </w:rPr>
        <w:t>ont été efficaces dans certains cas, et moins efficaces dans d’autres cas</w:t>
      </w:r>
      <w:r w:rsidRPr="00EC17CF">
        <w:rPr>
          <w:szCs w:val="24"/>
          <w:lang w:val="fr-FR"/>
        </w:rPr>
        <w:t xml:space="preserve">. </w:t>
      </w:r>
      <w:r>
        <w:rPr>
          <w:szCs w:val="24"/>
          <w:lang w:val="fr-FR"/>
        </w:rPr>
        <w:t>S’agissant du</w:t>
      </w:r>
      <w:r w:rsidRPr="003F7EDD">
        <w:rPr>
          <w:szCs w:val="24"/>
          <w:lang w:val="fr-FR"/>
        </w:rPr>
        <w:t xml:space="preserve"> Protocole de Montréal, Victor (1998) a indiqué que le Comité d’application </w:t>
      </w:r>
      <w:r>
        <w:rPr>
          <w:szCs w:val="24"/>
          <w:lang w:val="fr-FR"/>
        </w:rPr>
        <w:t xml:space="preserve">a appliqué le plus souvent une </w:t>
      </w:r>
      <w:r w:rsidRPr="003F7EDD">
        <w:rPr>
          <w:szCs w:val="24"/>
          <w:lang w:val="fr-FR"/>
        </w:rPr>
        <w:t>approche de facili</w:t>
      </w:r>
      <w:r>
        <w:rPr>
          <w:szCs w:val="24"/>
          <w:lang w:val="fr-FR"/>
        </w:rPr>
        <w:t>ta</w:t>
      </w:r>
      <w:r w:rsidRPr="003F7EDD">
        <w:rPr>
          <w:szCs w:val="24"/>
          <w:lang w:val="fr-FR"/>
        </w:rPr>
        <w:t>tion, mais</w:t>
      </w:r>
      <w:r>
        <w:rPr>
          <w:szCs w:val="24"/>
          <w:lang w:val="fr-FR"/>
        </w:rPr>
        <w:t xml:space="preserve"> qu’</w:t>
      </w:r>
      <w:r w:rsidRPr="003F7EDD">
        <w:rPr>
          <w:szCs w:val="24"/>
          <w:lang w:val="fr-FR"/>
        </w:rPr>
        <w:t xml:space="preserve"> </w:t>
      </w:r>
      <w:r>
        <w:rPr>
          <w:szCs w:val="24"/>
          <w:lang w:val="fr-FR"/>
        </w:rPr>
        <w:t>« </w:t>
      </w:r>
      <w:r w:rsidRPr="003F7EDD">
        <w:rPr>
          <w:szCs w:val="24"/>
          <w:lang w:val="fr-FR"/>
        </w:rPr>
        <w:t>il a été efficace dans les cas de non-respect</w:t>
      </w:r>
      <w:r w:rsidRPr="00921D4C">
        <w:rPr>
          <w:szCs w:val="24"/>
          <w:lang w:val="fr-FR"/>
        </w:rPr>
        <w:t xml:space="preserve"> </w:t>
      </w:r>
      <w:r w:rsidRPr="003F7EDD">
        <w:rPr>
          <w:szCs w:val="24"/>
          <w:lang w:val="fr-FR"/>
        </w:rPr>
        <w:t>les plus difficiles, uniquement parce qu’i</w:t>
      </w:r>
      <w:r>
        <w:rPr>
          <w:szCs w:val="24"/>
          <w:lang w:val="fr-FR"/>
        </w:rPr>
        <w:t>l a accès à des outils de conditionnalité un peu plus</w:t>
      </w:r>
      <w:r w:rsidRPr="003F7EDD">
        <w:rPr>
          <w:szCs w:val="24"/>
          <w:lang w:val="fr-FR"/>
        </w:rPr>
        <w:t xml:space="preserve"> ‘durs</w:t>
      </w:r>
      <w:r>
        <w:rPr>
          <w:szCs w:val="24"/>
          <w:lang w:val="fr-FR"/>
        </w:rPr>
        <w:t>’ »</w:t>
      </w:r>
      <w:r w:rsidRPr="003F7EDD">
        <w:rPr>
          <w:szCs w:val="24"/>
          <w:lang w:val="fr-FR"/>
        </w:rPr>
        <w:t>,</w:t>
      </w:r>
      <w:r>
        <w:rPr>
          <w:szCs w:val="24"/>
          <w:lang w:val="fr-FR"/>
        </w:rPr>
        <w:t xml:space="preserve"> tels que la perte de financements provenant du Fonds multilatéral</w:t>
      </w:r>
      <w:r w:rsidRPr="003F7EDD">
        <w:rPr>
          <w:szCs w:val="24"/>
          <w:lang w:val="fr-FR"/>
        </w:rPr>
        <w:t xml:space="preserve">. </w:t>
      </w:r>
      <w:proofErr w:type="spellStart"/>
      <w:r w:rsidRPr="00322390">
        <w:rPr>
          <w:szCs w:val="24"/>
          <w:lang w:val="fr-FR"/>
        </w:rPr>
        <w:t>Reeve</w:t>
      </w:r>
      <w:proofErr w:type="spellEnd"/>
      <w:r w:rsidRPr="00322390">
        <w:rPr>
          <w:szCs w:val="24"/>
          <w:lang w:val="fr-FR"/>
        </w:rPr>
        <w:t xml:space="preserve"> (2002) a souligné que le régime applicable en cas de non-respect</w:t>
      </w:r>
      <w:r w:rsidRPr="00921D4C">
        <w:rPr>
          <w:szCs w:val="24"/>
          <w:lang w:val="fr-FR"/>
        </w:rPr>
        <w:t xml:space="preserve"> </w:t>
      </w:r>
      <w:r w:rsidRPr="00322390">
        <w:rPr>
          <w:szCs w:val="24"/>
          <w:lang w:val="fr-FR"/>
        </w:rPr>
        <w:t xml:space="preserve">de </w:t>
      </w:r>
      <w:r>
        <w:rPr>
          <w:szCs w:val="24"/>
          <w:lang w:val="fr-FR"/>
        </w:rPr>
        <w:t>la CITES « a été remarquablement efficace à l’encontre des pays indifférents qui ont de gros problèmes de mise en œuvre », mais qu’il a été moins efficace en ce qui concerne l’absence de communication des rapports annuels</w:t>
      </w:r>
      <w:r w:rsidRPr="00322390">
        <w:rPr>
          <w:szCs w:val="24"/>
          <w:lang w:val="fr-FR"/>
        </w:rPr>
        <w:t>.</w:t>
      </w:r>
    </w:p>
    <w:p w:rsidR="00DE5465" w:rsidRDefault="00DE5465" w:rsidP="00DE5465">
      <w:pPr>
        <w:jc w:val="both"/>
        <w:rPr>
          <w:szCs w:val="24"/>
          <w:lang w:val="fr-FR"/>
        </w:rPr>
      </w:pPr>
    </w:p>
    <w:p w:rsidR="00A1231A" w:rsidRDefault="00A1231A" w:rsidP="00DE5465">
      <w:pPr>
        <w:jc w:val="both"/>
        <w:rPr>
          <w:szCs w:val="24"/>
          <w:lang w:val="fr-FR"/>
        </w:rPr>
      </w:pPr>
    </w:p>
    <w:p w:rsidR="00A1231A" w:rsidRPr="00322390" w:rsidRDefault="00A1231A" w:rsidP="00DE5465">
      <w:pPr>
        <w:jc w:val="both"/>
        <w:rPr>
          <w:szCs w:val="24"/>
          <w:lang w:val="fr-FR"/>
        </w:rPr>
      </w:pPr>
    </w:p>
    <w:p w:rsidR="00DE5465" w:rsidRPr="00C75924" w:rsidRDefault="00DE5465" w:rsidP="00DE5465">
      <w:pPr>
        <w:jc w:val="both"/>
        <w:rPr>
          <w:szCs w:val="24"/>
          <w:lang w:val="fr-FR"/>
        </w:rPr>
      </w:pPr>
      <w:r>
        <w:rPr>
          <w:i/>
          <w:szCs w:val="24"/>
          <w:lang w:val="fr-FR"/>
        </w:rPr>
        <w:t xml:space="preserve">L’approche fondée sur </w:t>
      </w:r>
      <w:r w:rsidRPr="00C75924">
        <w:rPr>
          <w:i/>
          <w:szCs w:val="24"/>
          <w:lang w:val="fr-FR"/>
        </w:rPr>
        <w:t>la carotte</w:t>
      </w:r>
      <w:r>
        <w:rPr>
          <w:i/>
          <w:szCs w:val="24"/>
          <w:lang w:val="fr-FR"/>
        </w:rPr>
        <w:t xml:space="preserve"> uniquement</w:t>
      </w:r>
    </w:p>
    <w:p w:rsidR="00DE5465" w:rsidRPr="00C75924" w:rsidRDefault="00DE5465" w:rsidP="00DE5465">
      <w:pPr>
        <w:jc w:val="both"/>
        <w:rPr>
          <w:szCs w:val="24"/>
          <w:lang w:val="fr-FR"/>
        </w:rPr>
      </w:pPr>
    </w:p>
    <w:p w:rsidR="00DE5465" w:rsidRPr="002E3B66" w:rsidRDefault="00DE5465" w:rsidP="00DE5465">
      <w:pPr>
        <w:pStyle w:val="ListParagraph"/>
        <w:numPr>
          <w:ilvl w:val="0"/>
          <w:numId w:val="13"/>
        </w:numPr>
        <w:ind w:left="0" w:firstLine="0"/>
        <w:contextualSpacing/>
        <w:jc w:val="both"/>
        <w:rPr>
          <w:szCs w:val="24"/>
          <w:lang w:val="fr-FR"/>
        </w:rPr>
      </w:pPr>
      <w:r w:rsidRPr="00C75924">
        <w:rPr>
          <w:szCs w:val="24"/>
          <w:lang w:val="fr-FR"/>
        </w:rPr>
        <w:t xml:space="preserve">Le deuxième type de </w:t>
      </w:r>
      <w:r>
        <w:rPr>
          <w:szCs w:val="24"/>
          <w:lang w:val="fr-FR"/>
        </w:rPr>
        <w:t>processus</w:t>
      </w:r>
      <w:r w:rsidRPr="00C75924">
        <w:rPr>
          <w:szCs w:val="24"/>
          <w:lang w:val="fr-FR"/>
        </w:rPr>
        <w:t xml:space="preserve"> est très sembl</w:t>
      </w:r>
      <w:r>
        <w:rPr>
          <w:szCs w:val="24"/>
          <w:lang w:val="fr-FR"/>
        </w:rPr>
        <w:t xml:space="preserve">able au premier, mais il se distingue de </w:t>
      </w:r>
      <w:r w:rsidRPr="00C75924">
        <w:rPr>
          <w:szCs w:val="24"/>
          <w:lang w:val="fr-FR"/>
        </w:rPr>
        <w:t>celui</w:t>
      </w:r>
      <w:r>
        <w:rPr>
          <w:szCs w:val="24"/>
          <w:lang w:val="fr-FR"/>
        </w:rPr>
        <w:t>-ci</w:t>
      </w:r>
      <w:r w:rsidRPr="00C75924">
        <w:rPr>
          <w:szCs w:val="24"/>
          <w:lang w:val="fr-FR"/>
        </w:rPr>
        <w:t xml:space="preserve"> en excluant </w:t>
      </w:r>
      <w:r>
        <w:rPr>
          <w:szCs w:val="24"/>
          <w:lang w:val="fr-FR"/>
        </w:rPr>
        <w:t>le recours à des mesures punitive</w:t>
      </w:r>
      <w:r w:rsidRPr="00C75924">
        <w:rPr>
          <w:szCs w:val="24"/>
          <w:lang w:val="fr-FR"/>
        </w:rPr>
        <w:t xml:space="preserve">s, </w:t>
      </w:r>
      <w:r>
        <w:rPr>
          <w:szCs w:val="24"/>
          <w:lang w:val="fr-FR"/>
        </w:rPr>
        <w:t xml:space="preserve">telles que des </w:t>
      </w:r>
      <w:r w:rsidRPr="00C75924">
        <w:rPr>
          <w:szCs w:val="24"/>
          <w:lang w:val="fr-FR"/>
        </w:rPr>
        <w:t>sanctions</w:t>
      </w:r>
      <w:r>
        <w:rPr>
          <w:szCs w:val="24"/>
          <w:lang w:val="fr-FR"/>
        </w:rPr>
        <w:t xml:space="preserve"> commerciales</w:t>
      </w:r>
      <w:r w:rsidRPr="00C75924">
        <w:rPr>
          <w:szCs w:val="24"/>
          <w:lang w:val="fr-FR"/>
        </w:rPr>
        <w:t xml:space="preserve">. </w:t>
      </w:r>
      <w:r w:rsidRPr="006C4823">
        <w:rPr>
          <w:szCs w:val="24"/>
          <w:lang w:val="fr-FR"/>
        </w:rPr>
        <w:t>La Convention de Bâle sur le contrôle des mouvement</w:t>
      </w:r>
      <w:r>
        <w:rPr>
          <w:szCs w:val="24"/>
          <w:lang w:val="fr-FR"/>
        </w:rPr>
        <w:t>s transfrontières de déchets dangereux et de leur élimination</w:t>
      </w:r>
      <w:r w:rsidRPr="006C4823">
        <w:rPr>
          <w:szCs w:val="24"/>
          <w:lang w:val="fr-FR"/>
        </w:rPr>
        <w:t xml:space="preserve"> </w:t>
      </w:r>
      <w:r>
        <w:rPr>
          <w:szCs w:val="24"/>
          <w:lang w:val="fr-FR"/>
        </w:rPr>
        <w:t>fournit un bon exemple d’un tel processus</w:t>
      </w:r>
      <w:r w:rsidRPr="006C4823">
        <w:rPr>
          <w:szCs w:val="24"/>
          <w:lang w:val="fr-FR"/>
        </w:rPr>
        <w:t xml:space="preserve">. </w:t>
      </w:r>
      <w:r w:rsidRPr="002D42CD">
        <w:rPr>
          <w:szCs w:val="24"/>
          <w:lang w:val="fr-FR"/>
        </w:rPr>
        <w:t xml:space="preserve">Les Parties à la Convention de Bâle </w:t>
      </w:r>
      <w:r>
        <w:rPr>
          <w:szCs w:val="24"/>
          <w:lang w:val="fr-FR"/>
        </w:rPr>
        <w:t>ont mis en place le Comité</w:t>
      </w:r>
      <w:r w:rsidRPr="002D42CD">
        <w:rPr>
          <w:szCs w:val="24"/>
          <w:lang w:val="fr-FR"/>
        </w:rPr>
        <w:t xml:space="preserve"> </w:t>
      </w:r>
      <w:r>
        <w:rPr>
          <w:szCs w:val="24"/>
          <w:lang w:val="fr-FR"/>
        </w:rPr>
        <w:t xml:space="preserve">chargé d’administrer le </w:t>
      </w:r>
      <w:r w:rsidRPr="002D42CD">
        <w:rPr>
          <w:szCs w:val="24"/>
          <w:lang w:val="fr-FR"/>
        </w:rPr>
        <w:t xml:space="preserve">Mécanisme </w:t>
      </w:r>
      <w:r>
        <w:rPr>
          <w:szCs w:val="24"/>
          <w:lang w:val="fr-FR"/>
        </w:rPr>
        <w:t>visant à favoriser l’exécution et le r</w:t>
      </w:r>
      <w:r w:rsidRPr="002D42CD">
        <w:rPr>
          <w:szCs w:val="24"/>
          <w:lang w:val="fr-FR"/>
        </w:rPr>
        <w:t>espect</w:t>
      </w:r>
      <w:r>
        <w:rPr>
          <w:szCs w:val="24"/>
          <w:lang w:val="fr-FR"/>
        </w:rPr>
        <w:t xml:space="preserve"> des obligations</w:t>
      </w:r>
      <w:r w:rsidRPr="002D42CD">
        <w:rPr>
          <w:szCs w:val="24"/>
          <w:lang w:val="fr-FR"/>
        </w:rPr>
        <w:t xml:space="preserve">. </w:t>
      </w:r>
      <w:r>
        <w:rPr>
          <w:szCs w:val="24"/>
          <w:lang w:val="fr-FR"/>
        </w:rPr>
        <w:t>Le Comité se compose</w:t>
      </w:r>
      <w:r w:rsidRPr="002D42CD">
        <w:rPr>
          <w:szCs w:val="24"/>
          <w:lang w:val="fr-FR"/>
        </w:rPr>
        <w:t xml:space="preserve"> de 15 membres nommés par les</w:t>
      </w:r>
      <w:r>
        <w:rPr>
          <w:szCs w:val="24"/>
          <w:lang w:val="fr-FR"/>
        </w:rPr>
        <w:t xml:space="preserve"> </w:t>
      </w:r>
      <w:r w:rsidRPr="002D42CD">
        <w:rPr>
          <w:szCs w:val="24"/>
          <w:lang w:val="fr-FR"/>
        </w:rPr>
        <w:t xml:space="preserve">Parties, </w:t>
      </w:r>
      <w:r>
        <w:rPr>
          <w:szCs w:val="24"/>
          <w:lang w:val="fr-FR"/>
        </w:rPr>
        <w:t>qui siègent à titre personnel</w:t>
      </w:r>
      <w:r w:rsidRPr="002D42CD">
        <w:rPr>
          <w:szCs w:val="24"/>
          <w:lang w:val="fr-FR"/>
        </w:rPr>
        <w:t xml:space="preserve">. </w:t>
      </w:r>
      <w:r w:rsidRPr="00B33680">
        <w:rPr>
          <w:szCs w:val="24"/>
          <w:lang w:val="fr-FR"/>
        </w:rPr>
        <w:t xml:space="preserve">Les membres du Comité </w:t>
      </w:r>
      <w:r>
        <w:rPr>
          <w:szCs w:val="24"/>
          <w:lang w:val="fr-FR"/>
        </w:rPr>
        <w:t>ne doivent pas nécessaire</w:t>
      </w:r>
      <w:r w:rsidRPr="00B33680">
        <w:rPr>
          <w:szCs w:val="24"/>
          <w:lang w:val="fr-FR"/>
        </w:rPr>
        <w:t>ment travailler pour le go</w:t>
      </w:r>
      <w:r>
        <w:rPr>
          <w:szCs w:val="24"/>
          <w:lang w:val="fr-FR"/>
        </w:rPr>
        <w:t>u</w:t>
      </w:r>
      <w:r w:rsidRPr="00B33680">
        <w:rPr>
          <w:szCs w:val="24"/>
          <w:lang w:val="fr-FR"/>
        </w:rPr>
        <w:t>vern</w:t>
      </w:r>
      <w:r>
        <w:rPr>
          <w:szCs w:val="24"/>
          <w:lang w:val="fr-FR"/>
        </w:rPr>
        <w:t>e</w:t>
      </w:r>
      <w:r w:rsidRPr="00B33680">
        <w:rPr>
          <w:szCs w:val="24"/>
          <w:lang w:val="fr-FR"/>
        </w:rPr>
        <w:t xml:space="preserve">ment. La </w:t>
      </w:r>
      <w:r>
        <w:rPr>
          <w:szCs w:val="24"/>
          <w:lang w:val="fr-FR"/>
        </w:rPr>
        <w:t>dé</w:t>
      </w:r>
      <w:r w:rsidRPr="00B33680">
        <w:rPr>
          <w:szCs w:val="24"/>
          <w:lang w:val="fr-FR"/>
        </w:rPr>
        <w:t xml:space="preserve">cision </w:t>
      </w:r>
      <w:r>
        <w:rPr>
          <w:szCs w:val="24"/>
          <w:lang w:val="fr-FR"/>
        </w:rPr>
        <w:t>qui a mis</w:t>
      </w:r>
      <w:r w:rsidRPr="00B33680">
        <w:rPr>
          <w:szCs w:val="24"/>
          <w:lang w:val="fr-FR"/>
        </w:rPr>
        <w:t xml:space="preserve"> en place le Comité prévoit spécifiquement que le mécanisme</w:t>
      </w:r>
      <w:r>
        <w:rPr>
          <w:szCs w:val="24"/>
          <w:lang w:val="fr-FR"/>
        </w:rPr>
        <w:t xml:space="preserve"> de respect « est non contentieux, </w:t>
      </w:r>
      <w:r w:rsidRPr="00B33680">
        <w:rPr>
          <w:szCs w:val="24"/>
          <w:lang w:val="fr-FR"/>
        </w:rPr>
        <w:t>transparent,</w:t>
      </w:r>
      <w:r>
        <w:rPr>
          <w:szCs w:val="24"/>
          <w:lang w:val="fr-FR"/>
        </w:rPr>
        <w:t xml:space="preserve"> performant, à caractère préventif</w:t>
      </w:r>
      <w:r w:rsidRPr="00B33680">
        <w:rPr>
          <w:szCs w:val="24"/>
          <w:lang w:val="fr-FR"/>
        </w:rPr>
        <w:t xml:space="preserve">, simple, </w:t>
      </w:r>
      <w:r>
        <w:rPr>
          <w:szCs w:val="24"/>
          <w:lang w:val="fr-FR"/>
        </w:rPr>
        <w:t>souple, non contraignant et destiné à aider les P</w:t>
      </w:r>
      <w:r w:rsidRPr="00B33680">
        <w:rPr>
          <w:szCs w:val="24"/>
          <w:lang w:val="fr-FR"/>
        </w:rPr>
        <w:t>arties</w:t>
      </w:r>
      <w:r>
        <w:rPr>
          <w:szCs w:val="24"/>
          <w:lang w:val="fr-FR"/>
        </w:rPr>
        <w:t xml:space="preserve"> à mettre en œuvre les dispositions de</w:t>
      </w:r>
      <w:r w:rsidRPr="00B33680">
        <w:rPr>
          <w:szCs w:val="24"/>
          <w:lang w:val="fr-FR"/>
        </w:rPr>
        <w:t xml:space="preserve"> la Convention de Bâle</w:t>
      </w:r>
      <w:r>
        <w:rPr>
          <w:szCs w:val="24"/>
          <w:lang w:val="fr-FR"/>
        </w:rPr>
        <w:t> »</w:t>
      </w:r>
      <w:r w:rsidRPr="00B33680">
        <w:rPr>
          <w:szCs w:val="24"/>
          <w:lang w:val="fr-FR"/>
        </w:rPr>
        <w:t xml:space="preserve">. </w:t>
      </w:r>
      <w:r>
        <w:rPr>
          <w:i/>
          <w:szCs w:val="24"/>
          <w:lang w:val="fr-FR"/>
        </w:rPr>
        <w:t>Voir</w:t>
      </w:r>
      <w:r w:rsidRPr="004A1C8D">
        <w:rPr>
          <w:i/>
          <w:szCs w:val="24"/>
          <w:lang w:val="fr-FR"/>
        </w:rPr>
        <w:t xml:space="preserve"> </w:t>
      </w:r>
      <w:r w:rsidRPr="004A1C8D">
        <w:rPr>
          <w:szCs w:val="24"/>
          <w:lang w:val="fr-FR"/>
        </w:rPr>
        <w:t xml:space="preserve">la </w:t>
      </w:r>
      <w:r>
        <w:rPr>
          <w:szCs w:val="24"/>
          <w:lang w:val="fr-FR"/>
        </w:rPr>
        <w:t>d</w:t>
      </w:r>
      <w:r w:rsidRPr="004A1C8D">
        <w:rPr>
          <w:szCs w:val="24"/>
          <w:lang w:val="fr-FR"/>
        </w:rPr>
        <w:t>écision BC-10/11</w:t>
      </w:r>
      <w:r>
        <w:rPr>
          <w:szCs w:val="24"/>
          <w:lang w:val="fr-FR"/>
        </w:rPr>
        <w:t xml:space="preserve"> </w:t>
      </w:r>
      <w:r w:rsidRPr="004A1C8D">
        <w:rPr>
          <w:szCs w:val="24"/>
          <w:lang w:val="fr-FR"/>
        </w:rPr>
        <w:t xml:space="preserve">de la Convention de Bâle. </w:t>
      </w:r>
      <w:r>
        <w:rPr>
          <w:szCs w:val="24"/>
          <w:lang w:val="fr-FR"/>
        </w:rPr>
        <w:t>En conséquence</w:t>
      </w:r>
      <w:r w:rsidRPr="0036327D">
        <w:rPr>
          <w:szCs w:val="24"/>
          <w:lang w:val="fr-FR"/>
        </w:rPr>
        <w:t xml:space="preserve">, le Comité peut seulement </w:t>
      </w:r>
      <w:r>
        <w:rPr>
          <w:szCs w:val="24"/>
          <w:lang w:val="fr-FR"/>
        </w:rPr>
        <w:t>recomma</w:t>
      </w:r>
      <w:r w:rsidRPr="0036327D">
        <w:rPr>
          <w:szCs w:val="24"/>
          <w:lang w:val="fr-FR"/>
        </w:rPr>
        <w:t>nder des mesures</w:t>
      </w:r>
      <w:r>
        <w:rPr>
          <w:szCs w:val="24"/>
          <w:lang w:val="fr-FR"/>
        </w:rPr>
        <w:t>, telles qu’</w:t>
      </w:r>
      <w:r w:rsidRPr="0036327D">
        <w:rPr>
          <w:szCs w:val="24"/>
          <w:lang w:val="fr-FR"/>
        </w:rPr>
        <w:t>un appui en matière de renforcement des capacités</w:t>
      </w:r>
      <w:r>
        <w:rPr>
          <w:szCs w:val="24"/>
          <w:lang w:val="fr-FR"/>
        </w:rPr>
        <w:t>,</w:t>
      </w:r>
      <w:r w:rsidRPr="0036327D">
        <w:rPr>
          <w:szCs w:val="24"/>
          <w:lang w:val="fr-FR"/>
        </w:rPr>
        <w:t xml:space="preserve"> pour faci</w:t>
      </w:r>
      <w:r>
        <w:rPr>
          <w:szCs w:val="24"/>
          <w:lang w:val="fr-FR"/>
        </w:rPr>
        <w:t>liter le respect de la Convention</w:t>
      </w:r>
      <w:r w:rsidRPr="0036327D">
        <w:rPr>
          <w:szCs w:val="24"/>
          <w:lang w:val="fr-FR"/>
        </w:rPr>
        <w:t xml:space="preserve">. </w:t>
      </w:r>
      <w:r>
        <w:rPr>
          <w:szCs w:val="24"/>
          <w:lang w:val="fr-FR"/>
        </w:rPr>
        <w:t>Au total, le</w:t>
      </w:r>
      <w:r w:rsidRPr="0036327D">
        <w:rPr>
          <w:szCs w:val="24"/>
          <w:lang w:val="fr-FR"/>
        </w:rPr>
        <w:t xml:space="preserve"> mécanisme de respect de la Convention de Bâle</w:t>
      </w:r>
      <w:r>
        <w:rPr>
          <w:szCs w:val="24"/>
          <w:lang w:val="fr-FR"/>
        </w:rPr>
        <w:t xml:space="preserve"> a examiné dix communications portant sur l’absence de respect des obligations concernant l’établissement de rapports</w:t>
      </w:r>
      <w:r w:rsidRPr="0036327D">
        <w:rPr>
          <w:szCs w:val="24"/>
          <w:lang w:val="fr-FR"/>
        </w:rPr>
        <w:t xml:space="preserve">. </w:t>
      </w:r>
      <w:r w:rsidRPr="002E3B66">
        <w:rPr>
          <w:szCs w:val="24"/>
          <w:lang w:val="fr-FR"/>
        </w:rPr>
        <w:t>A</w:t>
      </w:r>
      <w:r>
        <w:rPr>
          <w:szCs w:val="24"/>
          <w:lang w:val="fr-FR"/>
        </w:rPr>
        <w:t xml:space="preserve"> ce jour, il ne semble pas que le mécanisme de respect de </w:t>
      </w:r>
      <w:r w:rsidRPr="002E3B66">
        <w:rPr>
          <w:szCs w:val="24"/>
          <w:lang w:val="fr-FR"/>
        </w:rPr>
        <w:t>la Convention de Bâle</w:t>
      </w:r>
      <w:r>
        <w:rPr>
          <w:szCs w:val="24"/>
          <w:lang w:val="fr-FR"/>
        </w:rPr>
        <w:t xml:space="preserve"> ait permis d’améliorer de manière substantielle le respect des </w:t>
      </w:r>
      <w:r w:rsidRPr="002E3B66">
        <w:rPr>
          <w:szCs w:val="24"/>
          <w:lang w:val="fr-FR"/>
        </w:rPr>
        <w:t>obligations</w:t>
      </w:r>
      <w:r>
        <w:rPr>
          <w:szCs w:val="24"/>
          <w:lang w:val="fr-FR"/>
        </w:rPr>
        <w:t xml:space="preserve"> concernant l’établissement de rapports</w:t>
      </w:r>
      <w:r w:rsidRPr="002E3B66">
        <w:rPr>
          <w:szCs w:val="24"/>
          <w:lang w:val="fr-FR"/>
        </w:rPr>
        <w:t>.</w:t>
      </w:r>
    </w:p>
    <w:p w:rsidR="004556F3" w:rsidRDefault="004556F3" w:rsidP="00761732">
      <w:pPr>
        <w:rPr>
          <w:lang w:val="fr-FR"/>
        </w:rPr>
      </w:pPr>
    </w:p>
    <w:p w:rsidR="00DE5465" w:rsidRPr="00E90775" w:rsidRDefault="00DE5465" w:rsidP="00DE5465">
      <w:pPr>
        <w:pStyle w:val="ListParagraph"/>
        <w:numPr>
          <w:ilvl w:val="0"/>
          <w:numId w:val="13"/>
        </w:numPr>
        <w:ind w:left="0" w:firstLine="0"/>
        <w:contextualSpacing/>
        <w:jc w:val="both"/>
        <w:rPr>
          <w:szCs w:val="24"/>
          <w:lang w:val="fr-FR"/>
        </w:rPr>
      </w:pPr>
      <w:r>
        <w:rPr>
          <w:szCs w:val="24"/>
          <w:lang w:val="fr-FR"/>
        </w:rPr>
        <w:t>Outre l’examen des communications spécifiques concernant des cas de</w:t>
      </w:r>
      <w:r w:rsidRPr="002E3B66">
        <w:rPr>
          <w:szCs w:val="24"/>
          <w:lang w:val="fr-FR"/>
        </w:rPr>
        <w:t xml:space="preserve"> non-respect</w:t>
      </w:r>
      <w:r>
        <w:rPr>
          <w:szCs w:val="24"/>
          <w:lang w:val="fr-FR"/>
        </w:rPr>
        <w:t xml:space="preserve">, </w:t>
      </w:r>
      <w:r w:rsidRPr="002E3B66">
        <w:rPr>
          <w:szCs w:val="24"/>
          <w:lang w:val="fr-FR"/>
        </w:rPr>
        <w:t xml:space="preserve">le Comité </w:t>
      </w:r>
      <w:r>
        <w:rPr>
          <w:szCs w:val="24"/>
          <w:lang w:val="fr-FR"/>
        </w:rPr>
        <w:t xml:space="preserve">chargé du respect de </w:t>
      </w:r>
      <w:r w:rsidRPr="002E3B66">
        <w:rPr>
          <w:szCs w:val="24"/>
          <w:lang w:val="fr-FR"/>
        </w:rPr>
        <w:t>la Convention de Bâle</w:t>
      </w:r>
      <w:r>
        <w:rPr>
          <w:szCs w:val="24"/>
          <w:lang w:val="fr-FR"/>
        </w:rPr>
        <w:t xml:space="preserve"> est compétent également pour examiner plus généralement les questions de mise en œuvre, afin d’aider les</w:t>
      </w:r>
      <w:r w:rsidRPr="002E3B66">
        <w:rPr>
          <w:szCs w:val="24"/>
          <w:lang w:val="fr-FR"/>
        </w:rPr>
        <w:t xml:space="preserve"> Parties</w:t>
      </w:r>
      <w:r>
        <w:rPr>
          <w:szCs w:val="24"/>
          <w:lang w:val="fr-FR"/>
        </w:rPr>
        <w:t xml:space="preserve"> à s’acquitter de leurs </w:t>
      </w:r>
      <w:r w:rsidRPr="002E3B66">
        <w:rPr>
          <w:szCs w:val="24"/>
          <w:lang w:val="fr-FR"/>
        </w:rPr>
        <w:t>obligations</w:t>
      </w:r>
      <w:r>
        <w:rPr>
          <w:szCs w:val="24"/>
          <w:lang w:val="fr-FR"/>
        </w:rPr>
        <w:t xml:space="preserve"> au titre de la Convention</w:t>
      </w:r>
      <w:r w:rsidRPr="002E3B66">
        <w:rPr>
          <w:szCs w:val="24"/>
          <w:lang w:val="fr-FR"/>
        </w:rPr>
        <w:t xml:space="preserve">. </w:t>
      </w:r>
      <w:r w:rsidRPr="00C16CFC">
        <w:rPr>
          <w:szCs w:val="24"/>
          <w:lang w:val="fr-FR"/>
        </w:rPr>
        <w:t xml:space="preserve">Ces questions, </w:t>
      </w:r>
      <w:r>
        <w:rPr>
          <w:szCs w:val="24"/>
          <w:lang w:val="fr-FR"/>
        </w:rPr>
        <w:t xml:space="preserve">telles que </w:t>
      </w:r>
      <w:r w:rsidRPr="00C16CFC">
        <w:rPr>
          <w:szCs w:val="24"/>
          <w:lang w:val="fr-FR"/>
        </w:rPr>
        <w:t>précisées par les Parties, incluent</w:t>
      </w:r>
      <w:r>
        <w:rPr>
          <w:szCs w:val="24"/>
          <w:lang w:val="fr-FR"/>
        </w:rPr>
        <w:t> </w:t>
      </w:r>
      <w:r w:rsidRPr="00C16CFC">
        <w:rPr>
          <w:szCs w:val="24"/>
          <w:lang w:val="fr-FR"/>
        </w:rPr>
        <w:t>d’assurer la gestion et l’élimination écologiquem</w:t>
      </w:r>
      <w:r>
        <w:rPr>
          <w:szCs w:val="24"/>
          <w:lang w:val="fr-FR"/>
        </w:rPr>
        <w:t>ent ration</w:t>
      </w:r>
      <w:r w:rsidRPr="00C16CFC">
        <w:rPr>
          <w:szCs w:val="24"/>
          <w:lang w:val="fr-FR"/>
        </w:rPr>
        <w:t xml:space="preserve">nelles des déchets dangereux et d’autres déchets; </w:t>
      </w:r>
      <w:r>
        <w:rPr>
          <w:szCs w:val="24"/>
          <w:lang w:val="fr-FR"/>
        </w:rPr>
        <w:t>la définition et la mise en place de moyens permettant de détecter et d’éliminer le trafic illicite, y compris par voie d’enquêtes, d’échantillonnages et de tests</w:t>
      </w:r>
      <w:r w:rsidRPr="00C16CFC">
        <w:rPr>
          <w:szCs w:val="24"/>
          <w:lang w:val="fr-FR"/>
        </w:rPr>
        <w:t xml:space="preserve">; </w:t>
      </w:r>
      <w:r>
        <w:rPr>
          <w:szCs w:val="24"/>
          <w:lang w:val="fr-FR"/>
        </w:rPr>
        <w:t>et la surveillance, l’évaluation et la facilitation des rapports</w:t>
      </w:r>
      <w:r w:rsidRPr="00C16CFC">
        <w:rPr>
          <w:szCs w:val="24"/>
          <w:lang w:val="fr-FR"/>
        </w:rPr>
        <w:t xml:space="preserve">. </w:t>
      </w:r>
      <w:r>
        <w:rPr>
          <w:szCs w:val="24"/>
          <w:lang w:val="fr-FR"/>
        </w:rPr>
        <w:t>Lors</w:t>
      </w:r>
      <w:r w:rsidRPr="00EB58EA">
        <w:rPr>
          <w:szCs w:val="24"/>
          <w:lang w:val="fr-FR"/>
        </w:rPr>
        <w:t xml:space="preserve">que le Comité </w:t>
      </w:r>
      <w:r>
        <w:rPr>
          <w:szCs w:val="24"/>
          <w:lang w:val="fr-FR"/>
        </w:rPr>
        <w:t xml:space="preserve">parvient à une </w:t>
      </w:r>
      <w:r w:rsidRPr="00EB58EA">
        <w:rPr>
          <w:szCs w:val="24"/>
          <w:lang w:val="fr-FR"/>
        </w:rPr>
        <w:t>conc</w:t>
      </w:r>
      <w:r>
        <w:rPr>
          <w:szCs w:val="24"/>
          <w:lang w:val="fr-FR"/>
        </w:rPr>
        <w:t xml:space="preserve">lusion ou formule une </w:t>
      </w:r>
      <w:r w:rsidRPr="00EB58EA">
        <w:rPr>
          <w:szCs w:val="24"/>
          <w:lang w:val="fr-FR"/>
        </w:rPr>
        <w:t>recommandation</w:t>
      </w:r>
      <w:r>
        <w:rPr>
          <w:szCs w:val="24"/>
          <w:lang w:val="fr-FR"/>
        </w:rPr>
        <w:t>, il rend compte de ses résultats à la Conférence des Parties</w:t>
      </w:r>
      <w:r w:rsidRPr="00EB58EA">
        <w:rPr>
          <w:szCs w:val="24"/>
          <w:lang w:val="fr-FR"/>
        </w:rPr>
        <w:t xml:space="preserve">. </w:t>
      </w:r>
      <w:r w:rsidRPr="00E90775">
        <w:rPr>
          <w:szCs w:val="24"/>
          <w:lang w:val="fr-FR"/>
        </w:rPr>
        <w:t xml:space="preserve">Si besoin, le Comité peut faire des suggestions </w:t>
      </w:r>
      <w:r>
        <w:rPr>
          <w:szCs w:val="24"/>
          <w:lang w:val="fr-FR"/>
        </w:rPr>
        <w:t xml:space="preserve">également concernant </w:t>
      </w:r>
      <w:r w:rsidRPr="00E90775">
        <w:rPr>
          <w:szCs w:val="24"/>
          <w:lang w:val="fr-FR"/>
        </w:rPr>
        <w:t>des travaux supplémentaires qui seront peut-</w:t>
      </w:r>
      <w:r>
        <w:rPr>
          <w:szCs w:val="24"/>
          <w:lang w:val="fr-FR"/>
        </w:rPr>
        <w:t xml:space="preserve">être nécessaires pour résoudre des questions générales liées au </w:t>
      </w:r>
      <w:r w:rsidRPr="00E90775">
        <w:rPr>
          <w:szCs w:val="24"/>
          <w:lang w:val="fr-FR"/>
        </w:rPr>
        <w:t>respect</w:t>
      </w:r>
      <w:r>
        <w:rPr>
          <w:szCs w:val="24"/>
          <w:lang w:val="fr-FR"/>
        </w:rPr>
        <w:t xml:space="preserve"> et à </w:t>
      </w:r>
      <w:r w:rsidRPr="00E90775">
        <w:rPr>
          <w:szCs w:val="24"/>
          <w:lang w:val="fr-FR"/>
        </w:rPr>
        <w:t xml:space="preserve">la mise en </w:t>
      </w:r>
      <w:r>
        <w:rPr>
          <w:szCs w:val="24"/>
          <w:lang w:val="fr-FR"/>
        </w:rPr>
        <w:t>œuvre</w:t>
      </w:r>
      <w:r w:rsidRPr="00E90775">
        <w:rPr>
          <w:szCs w:val="24"/>
          <w:lang w:val="fr-FR"/>
        </w:rPr>
        <w:t>.</w:t>
      </w:r>
    </w:p>
    <w:p w:rsidR="00DE5465" w:rsidRPr="00E90775" w:rsidRDefault="00DE5465" w:rsidP="00DE5465">
      <w:pPr>
        <w:jc w:val="both"/>
        <w:rPr>
          <w:szCs w:val="24"/>
          <w:lang w:val="fr-FR"/>
        </w:rPr>
      </w:pPr>
    </w:p>
    <w:p w:rsidR="00DE5465" w:rsidRPr="00E90775" w:rsidRDefault="00DE5465" w:rsidP="00DE5465">
      <w:pPr>
        <w:jc w:val="both"/>
        <w:rPr>
          <w:szCs w:val="24"/>
          <w:lang w:val="fr-FR"/>
        </w:rPr>
      </w:pPr>
      <w:r w:rsidRPr="00E90775">
        <w:rPr>
          <w:i/>
          <w:szCs w:val="24"/>
          <w:lang w:val="fr-FR"/>
        </w:rPr>
        <w:t>L</w:t>
      </w:r>
      <w:r>
        <w:rPr>
          <w:i/>
          <w:szCs w:val="24"/>
          <w:lang w:val="fr-FR"/>
        </w:rPr>
        <w:t>’</w:t>
      </w:r>
      <w:r w:rsidRPr="00E90775">
        <w:rPr>
          <w:i/>
          <w:szCs w:val="24"/>
          <w:lang w:val="fr-FR"/>
        </w:rPr>
        <w:t>approche fondée sur l’efficacité</w:t>
      </w:r>
    </w:p>
    <w:p w:rsidR="00DE5465" w:rsidRPr="00E90775" w:rsidRDefault="00DE5465" w:rsidP="00DE5465">
      <w:pPr>
        <w:jc w:val="both"/>
        <w:rPr>
          <w:szCs w:val="24"/>
          <w:lang w:val="fr-FR"/>
        </w:rPr>
      </w:pPr>
    </w:p>
    <w:p w:rsidR="00DE5465" w:rsidRPr="0025188A" w:rsidRDefault="00DE5465" w:rsidP="00DE5465">
      <w:pPr>
        <w:pStyle w:val="ListParagraph"/>
        <w:numPr>
          <w:ilvl w:val="0"/>
          <w:numId w:val="13"/>
        </w:numPr>
        <w:ind w:left="0" w:firstLine="0"/>
        <w:contextualSpacing/>
        <w:jc w:val="both"/>
        <w:rPr>
          <w:szCs w:val="24"/>
          <w:lang w:val="fr-FR"/>
        </w:rPr>
      </w:pPr>
      <w:r w:rsidRPr="0068288D">
        <w:rPr>
          <w:szCs w:val="24"/>
          <w:lang w:val="fr-FR"/>
        </w:rPr>
        <w:t xml:space="preserve">Le troisième type de </w:t>
      </w:r>
      <w:r>
        <w:rPr>
          <w:szCs w:val="24"/>
          <w:lang w:val="fr-FR"/>
        </w:rPr>
        <w:t>processus</w:t>
      </w:r>
      <w:r w:rsidRPr="0068288D">
        <w:rPr>
          <w:szCs w:val="24"/>
          <w:lang w:val="fr-FR"/>
        </w:rPr>
        <w:t xml:space="preserve"> </w:t>
      </w:r>
      <w:r>
        <w:rPr>
          <w:szCs w:val="24"/>
          <w:lang w:val="fr-FR"/>
        </w:rPr>
        <w:t>est ax</w:t>
      </w:r>
      <w:r w:rsidRPr="0068288D">
        <w:rPr>
          <w:szCs w:val="24"/>
          <w:lang w:val="fr-FR"/>
        </w:rPr>
        <w:t>é sur l’efficacité des mesures</w:t>
      </w:r>
      <w:r>
        <w:rPr>
          <w:szCs w:val="24"/>
          <w:lang w:val="fr-FR"/>
        </w:rPr>
        <w:t xml:space="preserve"> prises</w:t>
      </w:r>
      <w:r w:rsidRPr="0068288D">
        <w:rPr>
          <w:szCs w:val="24"/>
          <w:lang w:val="fr-FR"/>
        </w:rPr>
        <w:t xml:space="preserve"> par une</w:t>
      </w:r>
      <w:r>
        <w:rPr>
          <w:szCs w:val="24"/>
          <w:lang w:val="fr-FR"/>
        </w:rPr>
        <w:t xml:space="preserve"> </w:t>
      </w:r>
      <w:r w:rsidRPr="0068288D">
        <w:rPr>
          <w:szCs w:val="24"/>
          <w:lang w:val="fr-FR"/>
        </w:rPr>
        <w:t>Partie</w:t>
      </w:r>
      <w:r>
        <w:rPr>
          <w:szCs w:val="24"/>
          <w:lang w:val="fr-FR"/>
        </w:rPr>
        <w:t>,</w:t>
      </w:r>
      <w:r w:rsidRPr="0068288D">
        <w:rPr>
          <w:szCs w:val="24"/>
          <w:lang w:val="fr-FR"/>
        </w:rPr>
        <w:t xml:space="preserve"> </w:t>
      </w:r>
      <w:r>
        <w:rPr>
          <w:szCs w:val="24"/>
          <w:lang w:val="fr-FR"/>
        </w:rPr>
        <w:t>plutôt que sur le respect des obligations prévues par l’</w:t>
      </w:r>
      <w:r w:rsidRPr="0068288D">
        <w:rPr>
          <w:szCs w:val="24"/>
          <w:lang w:val="fr-FR"/>
        </w:rPr>
        <w:t xml:space="preserve">accord. </w:t>
      </w:r>
      <w:r w:rsidRPr="00DE7DF3">
        <w:rPr>
          <w:szCs w:val="24"/>
          <w:lang w:val="fr-FR"/>
        </w:rPr>
        <w:t>L’Accord sur la conservation des oiseaux d’eau migrateurs d’</w:t>
      </w:r>
      <w:r>
        <w:rPr>
          <w:szCs w:val="24"/>
          <w:lang w:val="fr-FR"/>
        </w:rPr>
        <w:t>Afrique-Eurasie</w:t>
      </w:r>
      <w:r w:rsidRPr="00DE7DF3">
        <w:rPr>
          <w:szCs w:val="24"/>
          <w:lang w:val="fr-FR"/>
        </w:rPr>
        <w:t xml:space="preserve"> (AEWA) </w:t>
      </w:r>
      <w:r>
        <w:rPr>
          <w:szCs w:val="24"/>
          <w:lang w:val="fr-FR"/>
        </w:rPr>
        <w:t>illustre bien un tel</w:t>
      </w:r>
      <w:r w:rsidRPr="00DE7DF3">
        <w:rPr>
          <w:szCs w:val="24"/>
          <w:lang w:val="fr-FR"/>
        </w:rPr>
        <w:t xml:space="preserve"> </w:t>
      </w:r>
      <w:r>
        <w:rPr>
          <w:szCs w:val="24"/>
          <w:lang w:val="fr-FR"/>
        </w:rPr>
        <w:t>processus</w:t>
      </w:r>
      <w:r w:rsidRPr="00DE7DF3">
        <w:rPr>
          <w:szCs w:val="24"/>
          <w:lang w:val="fr-FR"/>
        </w:rPr>
        <w:t xml:space="preserve">. </w:t>
      </w:r>
      <w:r w:rsidRPr="0025188A">
        <w:rPr>
          <w:szCs w:val="24"/>
          <w:lang w:val="fr-FR"/>
        </w:rPr>
        <w:t xml:space="preserve">L’AEWA </w:t>
      </w:r>
      <w:r>
        <w:rPr>
          <w:szCs w:val="24"/>
          <w:lang w:val="fr-FR"/>
        </w:rPr>
        <w:t>prévoit</w:t>
      </w:r>
      <w:r w:rsidRPr="0025188A">
        <w:rPr>
          <w:szCs w:val="24"/>
          <w:lang w:val="fr-FR"/>
        </w:rPr>
        <w:t xml:space="preserve"> que les Parties </w:t>
      </w:r>
      <w:r>
        <w:rPr>
          <w:szCs w:val="24"/>
          <w:lang w:val="fr-FR"/>
        </w:rPr>
        <w:t>doivent prendre</w:t>
      </w:r>
      <w:r w:rsidRPr="0025188A">
        <w:rPr>
          <w:szCs w:val="24"/>
          <w:lang w:val="fr-FR"/>
        </w:rPr>
        <w:t xml:space="preserve"> toute une gamme de mesures de conservation </w:t>
      </w:r>
      <w:r>
        <w:rPr>
          <w:szCs w:val="24"/>
          <w:lang w:val="fr-FR"/>
        </w:rPr>
        <w:t xml:space="preserve">pour protéger </w:t>
      </w:r>
      <w:r w:rsidRPr="0025188A">
        <w:rPr>
          <w:szCs w:val="24"/>
          <w:lang w:val="fr-FR"/>
        </w:rPr>
        <w:t xml:space="preserve">255 </w:t>
      </w:r>
      <w:r>
        <w:rPr>
          <w:szCs w:val="24"/>
          <w:lang w:val="fr-FR"/>
        </w:rPr>
        <w:t>espèces d’oiseaux d’eau migrateurs dans toute l’</w:t>
      </w:r>
      <w:r w:rsidRPr="0025188A">
        <w:rPr>
          <w:szCs w:val="24"/>
          <w:lang w:val="fr-FR"/>
        </w:rPr>
        <w:t xml:space="preserve">Europe, </w:t>
      </w:r>
      <w:r>
        <w:rPr>
          <w:szCs w:val="24"/>
          <w:lang w:val="fr-FR"/>
        </w:rPr>
        <w:t>plusieurs parties d’Asie et du Canada, le Moyen Orient et l’Afrique</w:t>
      </w:r>
      <w:r w:rsidRPr="0025188A">
        <w:rPr>
          <w:szCs w:val="24"/>
          <w:lang w:val="fr-FR"/>
        </w:rPr>
        <w:t>. Le</w:t>
      </w:r>
      <w:r>
        <w:rPr>
          <w:szCs w:val="24"/>
          <w:lang w:val="fr-FR"/>
        </w:rPr>
        <w:t xml:space="preserve"> Plan d’action de l’AEWA dispose</w:t>
      </w:r>
      <w:r w:rsidRPr="0025188A">
        <w:rPr>
          <w:szCs w:val="24"/>
          <w:lang w:val="fr-FR"/>
        </w:rPr>
        <w:t xml:space="preserve"> également que les Parties </w:t>
      </w:r>
      <w:r>
        <w:rPr>
          <w:szCs w:val="24"/>
          <w:lang w:val="fr-FR"/>
        </w:rPr>
        <w:t>doivent prendre des</w:t>
      </w:r>
      <w:r w:rsidRPr="0025188A">
        <w:rPr>
          <w:szCs w:val="24"/>
          <w:lang w:val="fr-FR"/>
        </w:rPr>
        <w:t xml:space="preserve"> mesures </w:t>
      </w:r>
      <w:r>
        <w:rPr>
          <w:szCs w:val="24"/>
          <w:lang w:val="fr-FR"/>
        </w:rPr>
        <w:t xml:space="preserve">relatives à la conservation des </w:t>
      </w:r>
      <w:r w:rsidRPr="0025188A">
        <w:rPr>
          <w:szCs w:val="24"/>
          <w:lang w:val="fr-FR"/>
        </w:rPr>
        <w:t>espèces</w:t>
      </w:r>
      <w:r>
        <w:rPr>
          <w:szCs w:val="24"/>
          <w:lang w:val="fr-FR"/>
        </w:rPr>
        <w:t xml:space="preserve"> et des </w:t>
      </w:r>
      <w:r w:rsidRPr="0025188A">
        <w:rPr>
          <w:szCs w:val="24"/>
          <w:lang w:val="fr-FR"/>
        </w:rPr>
        <w:t>habitat</w:t>
      </w:r>
      <w:r>
        <w:rPr>
          <w:szCs w:val="24"/>
          <w:lang w:val="fr-FR"/>
        </w:rPr>
        <w:t>s</w:t>
      </w:r>
      <w:r w:rsidRPr="0025188A">
        <w:rPr>
          <w:szCs w:val="24"/>
          <w:lang w:val="fr-FR"/>
        </w:rPr>
        <w:t xml:space="preserve">, </w:t>
      </w:r>
      <w:r>
        <w:rPr>
          <w:szCs w:val="24"/>
          <w:lang w:val="fr-FR"/>
        </w:rPr>
        <w:t xml:space="preserve">la </w:t>
      </w:r>
      <w:r w:rsidRPr="0025188A">
        <w:rPr>
          <w:szCs w:val="24"/>
          <w:lang w:val="fr-FR"/>
        </w:rPr>
        <w:t>gestion</w:t>
      </w:r>
      <w:r>
        <w:rPr>
          <w:szCs w:val="24"/>
          <w:lang w:val="fr-FR"/>
        </w:rPr>
        <w:t xml:space="preserve"> des activités humaines</w:t>
      </w:r>
      <w:r w:rsidRPr="0025188A">
        <w:rPr>
          <w:szCs w:val="24"/>
          <w:lang w:val="fr-FR"/>
        </w:rPr>
        <w:t xml:space="preserve">, </w:t>
      </w:r>
      <w:r>
        <w:rPr>
          <w:szCs w:val="24"/>
          <w:lang w:val="fr-FR"/>
        </w:rPr>
        <w:t>la recherche et la surveillance continue, et l’éducation et l’</w:t>
      </w:r>
      <w:r w:rsidRPr="0025188A">
        <w:rPr>
          <w:szCs w:val="24"/>
          <w:lang w:val="fr-FR"/>
        </w:rPr>
        <w:t xml:space="preserve">information. </w:t>
      </w:r>
      <w:r>
        <w:rPr>
          <w:szCs w:val="24"/>
          <w:lang w:val="fr-FR"/>
        </w:rPr>
        <w:t>En dépit de</w:t>
      </w:r>
      <w:r w:rsidRPr="0025188A">
        <w:rPr>
          <w:szCs w:val="24"/>
          <w:lang w:val="fr-FR"/>
        </w:rPr>
        <w:t xml:space="preserve"> ces exigences, les populations de 41% des espèces</w:t>
      </w:r>
      <w:r>
        <w:rPr>
          <w:szCs w:val="24"/>
          <w:lang w:val="fr-FR"/>
        </w:rPr>
        <w:t xml:space="preserve"> visées par l’AEWA sont en déclin</w:t>
      </w:r>
      <w:r w:rsidRPr="0025188A">
        <w:rPr>
          <w:szCs w:val="24"/>
          <w:lang w:val="fr-FR"/>
        </w:rPr>
        <w:t xml:space="preserve">. </w:t>
      </w:r>
      <w:r>
        <w:rPr>
          <w:szCs w:val="24"/>
          <w:lang w:val="fr-FR"/>
        </w:rPr>
        <w:t>Pour aider à inverser ces tendances, les Parties à l’</w:t>
      </w:r>
      <w:r w:rsidRPr="0025188A">
        <w:rPr>
          <w:szCs w:val="24"/>
          <w:lang w:val="fr-FR"/>
        </w:rPr>
        <w:t xml:space="preserve">AEWA </w:t>
      </w:r>
      <w:r>
        <w:rPr>
          <w:szCs w:val="24"/>
          <w:lang w:val="fr-FR"/>
        </w:rPr>
        <w:t xml:space="preserve">ont mis en place la Procédure d’évaluation de la </w:t>
      </w:r>
      <w:r w:rsidRPr="0025188A">
        <w:rPr>
          <w:szCs w:val="24"/>
          <w:lang w:val="fr-FR"/>
        </w:rPr>
        <w:t xml:space="preserve">mise en </w:t>
      </w:r>
      <w:r>
        <w:rPr>
          <w:szCs w:val="24"/>
          <w:lang w:val="fr-FR"/>
        </w:rPr>
        <w:t xml:space="preserve">œuvre </w:t>
      </w:r>
      <w:r w:rsidRPr="0025188A">
        <w:rPr>
          <w:szCs w:val="24"/>
          <w:lang w:val="fr-FR"/>
        </w:rPr>
        <w:t>(IRP)</w:t>
      </w:r>
      <w:r>
        <w:rPr>
          <w:szCs w:val="24"/>
          <w:lang w:val="fr-FR"/>
        </w:rPr>
        <w:t xml:space="preserve">, qui met l’accent sur la prévention des conséquences défavorables ou des conséquences potentiellement défavorables pour les </w:t>
      </w:r>
      <w:r w:rsidRPr="0025188A">
        <w:rPr>
          <w:szCs w:val="24"/>
          <w:lang w:val="fr-FR"/>
        </w:rPr>
        <w:t>oiseaux d’eau migrateurs</w:t>
      </w:r>
      <w:r>
        <w:rPr>
          <w:szCs w:val="24"/>
          <w:lang w:val="fr-FR"/>
        </w:rPr>
        <w:t xml:space="preserve"> ou leurs habitats,</w:t>
      </w:r>
      <w:r w:rsidRPr="005973DE">
        <w:rPr>
          <w:szCs w:val="24"/>
          <w:lang w:val="fr-FR"/>
        </w:rPr>
        <w:t xml:space="preserve"> </w:t>
      </w:r>
      <w:r>
        <w:rPr>
          <w:szCs w:val="24"/>
          <w:lang w:val="fr-FR"/>
        </w:rPr>
        <w:t>résultant des activités humaines</w:t>
      </w:r>
      <w:r w:rsidRPr="0025188A">
        <w:rPr>
          <w:szCs w:val="24"/>
          <w:lang w:val="fr-FR"/>
        </w:rPr>
        <w:t>.</w:t>
      </w:r>
    </w:p>
    <w:p w:rsidR="00DE5465" w:rsidRPr="0025188A" w:rsidRDefault="00DE5465" w:rsidP="00DE5465">
      <w:pPr>
        <w:pStyle w:val="ListParagraph"/>
        <w:ind w:left="0"/>
        <w:jc w:val="both"/>
        <w:rPr>
          <w:szCs w:val="24"/>
          <w:lang w:val="fr-FR"/>
        </w:rPr>
      </w:pPr>
    </w:p>
    <w:p w:rsidR="00DE5465" w:rsidRPr="002C6A80" w:rsidRDefault="00DE5465" w:rsidP="00DE5465">
      <w:pPr>
        <w:pStyle w:val="ListParagraph"/>
        <w:numPr>
          <w:ilvl w:val="0"/>
          <w:numId w:val="13"/>
        </w:numPr>
        <w:ind w:left="0" w:firstLine="0"/>
        <w:contextualSpacing/>
        <w:jc w:val="both"/>
        <w:rPr>
          <w:szCs w:val="24"/>
          <w:lang w:val="fr-FR"/>
        </w:rPr>
      </w:pPr>
      <w:r w:rsidRPr="0029258F">
        <w:rPr>
          <w:szCs w:val="24"/>
          <w:lang w:val="fr-FR"/>
        </w:rPr>
        <w:t>La procédure est engagée lorsque le Secrétariat p</w:t>
      </w:r>
      <w:r>
        <w:rPr>
          <w:szCs w:val="24"/>
          <w:lang w:val="fr-FR"/>
        </w:rPr>
        <w:t>rend connaissance d’un problème,</w:t>
      </w:r>
      <w:r w:rsidRPr="0029258F">
        <w:rPr>
          <w:szCs w:val="24"/>
          <w:lang w:val="fr-FR"/>
        </w:rPr>
        <w:t xml:space="preserve"> ou lorsqu’</w:t>
      </w:r>
      <w:r>
        <w:rPr>
          <w:szCs w:val="24"/>
          <w:lang w:val="fr-FR"/>
        </w:rPr>
        <w:t>une Partie concernée remet une F</w:t>
      </w:r>
      <w:r w:rsidRPr="0029258F">
        <w:rPr>
          <w:szCs w:val="24"/>
          <w:lang w:val="fr-FR"/>
        </w:rPr>
        <w:t>iche</w:t>
      </w:r>
      <w:r>
        <w:rPr>
          <w:szCs w:val="24"/>
          <w:lang w:val="fr-FR"/>
        </w:rPr>
        <w:t xml:space="preserve"> d’information relative à des cas</w:t>
      </w:r>
      <w:r w:rsidRPr="0029258F">
        <w:rPr>
          <w:szCs w:val="24"/>
          <w:lang w:val="fr-FR"/>
        </w:rPr>
        <w:t xml:space="preserve"> </w:t>
      </w:r>
      <w:r>
        <w:rPr>
          <w:szCs w:val="24"/>
          <w:lang w:val="fr-FR"/>
        </w:rPr>
        <w:t>p</w:t>
      </w:r>
      <w:r w:rsidRPr="0029258F">
        <w:rPr>
          <w:szCs w:val="24"/>
          <w:lang w:val="fr-FR"/>
        </w:rPr>
        <w:t>ossibl</w:t>
      </w:r>
      <w:r>
        <w:rPr>
          <w:szCs w:val="24"/>
          <w:lang w:val="fr-FR"/>
        </w:rPr>
        <w:t xml:space="preserve">es au </w:t>
      </w:r>
      <w:r w:rsidRPr="0029258F">
        <w:rPr>
          <w:szCs w:val="24"/>
          <w:lang w:val="fr-FR"/>
        </w:rPr>
        <w:t xml:space="preserve">Secrétariat </w:t>
      </w:r>
      <w:r>
        <w:rPr>
          <w:szCs w:val="24"/>
          <w:lang w:val="fr-FR"/>
        </w:rPr>
        <w:t>de l’</w:t>
      </w:r>
      <w:r w:rsidRPr="0029258F">
        <w:rPr>
          <w:szCs w:val="24"/>
          <w:lang w:val="fr-FR"/>
        </w:rPr>
        <w:t>AEWA</w:t>
      </w:r>
      <w:r>
        <w:rPr>
          <w:szCs w:val="24"/>
          <w:lang w:val="fr-FR"/>
        </w:rPr>
        <w:t>, décrivant « des conséquences défavorables ou des conséquences potentiellement défavorables »</w:t>
      </w:r>
      <w:r w:rsidRPr="0029258F">
        <w:rPr>
          <w:szCs w:val="24"/>
          <w:lang w:val="fr-FR"/>
        </w:rPr>
        <w:t xml:space="preserve"> </w:t>
      </w:r>
      <w:r>
        <w:rPr>
          <w:szCs w:val="24"/>
          <w:lang w:val="fr-FR"/>
        </w:rPr>
        <w:t xml:space="preserve">pour les oiseaux </w:t>
      </w:r>
      <w:proofErr w:type="gramStart"/>
      <w:r>
        <w:rPr>
          <w:szCs w:val="24"/>
          <w:lang w:val="fr-FR"/>
        </w:rPr>
        <w:t xml:space="preserve">d’eau </w:t>
      </w:r>
      <w:r w:rsidRPr="0029258F">
        <w:rPr>
          <w:szCs w:val="24"/>
          <w:lang w:val="fr-FR"/>
        </w:rPr>
        <w:t>migrateurs</w:t>
      </w:r>
      <w:proofErr w:type="gramEnd"/>
      <w:r>
        <w:rPr>
          <w:szCs w:val="24"/>
          <w:lang w:val="fr-FR"/>
        </w:rPr>
        <w:t xml:space="preserve"> ou leurs habitats, ré</w:t>
      </w:r>
      <w:r w:rsidRPr="0029258F">
        <w:rPr>
          <w:szCs w:val="24"/>
          <w:lang w:val="fr-FR"/>
        </w:rPr>
        <w:t>sult</w:t>
      </w:r>
      <w:r>
        <w:rPr>
          <w:szCs w:val="24"/>
          <w:lang w:val="fr-FR"/>
        </w:rPr>
        <w:t xml:space="preserve">ant des </w:t>
      </w:r>
      <w:r w:rsidRPr="0029258F">
        <w:rPr>
          <w:szCs w:val="24"/>
          <w:lang w:val="fr-FR"/>
        </w:rPr>
        <w:t>activités</w:t>
      </w:r>
      <w:r>
        <w:rPr>
          <w:szCs w:val="24"/>
          <w:lang w:val="fr-FR"/>
        </w:rPr>
        <w:t xml:space="preserve"> humaines</w:t>
      </w:r>
      <w:r w:rsidRPr="0029258F">
        <w:rPr>
          <w:szCs w:val="24"/>
          <w:lang w:val="fr-FR"/>
        </w:rPr>
        <w:t xml:space="preserve">. </w:t>
      </w:r>
      <w:r>
        <w:rPr>
          <w:szCs w:val="24"/>
          <w:lang w:val="fr-FR"/>
        </w:rPr>
        <w:t>L</w:t>
      </w:r>
      <w:r w:rsidRPr="00B344BD">
        <w:rPr>
          <w:szCs w:val="24"/>
          <w:lang w:val="fr-FR"/>
        </w:rPr>
        <w:t xml:space="preserve">e Secrétariat de l’AEWA </w:t>
      </w:r>
      <w:r>
        <w:rPr>
          <w:szCs w:val="24"/>
          <w:lang w:val="fr-FR"/>
        </w:rPr>
        <w:t>transmet alors la Fiche d’information relative à des cas p</w:t>
      </w:r>
      <w:r w:rsidRPr="00B344BD">
        <w:rPr>
          <w:szCs w:val="24"/>
          <w:lang w:val="fr-FR"/>
        </w:rPr>
        <w:t>ossible</w:t>
      </w:r>
      <w:r>
        <w:rPr>
          <w:szCs w:val="24"/>
          <w:lang w:val="fr-FR"/>
        </w:rPr>
        <w:t xml:space="preserve">s au </w:t>
      </w:r>
      <w:r w:rsidRPr="00B344BD">
        <w:rPr>
          <w:szCs w:val="24"/>
          <w:lang w:val="fr-FR"/>
        </w:rPr>
        <w:t>Comité permanent</w:t>
      </w:r>
      <w:r>
        <w:rPr>
          <w:szCs w:val="24"/>
          <w:lang w:val="fr-FR"/>
        </w:rPr>
        <w:t xml:space="preserve"> de l’</w:t>
      </w:r>
      <w:r w:rsidRPr="00B344BD">
        <w:rPr>
          <w:szCs w:val="24"/>
          <w:lang w:val="fr-FR"/>
        </w:rPr>
        <w:t xml:space="preserve">AEWA. </w:t>
      </w:r>
      <w:r w:rsidRPr="002C6A80">
        <w:rPr>
          <w:szCs w:val="24"/>
          <w:lang w:val="fr-FR"/>
        </w:rPr>
        <w:t xml:space="preserve">La </w:t>
      </w:r>
      <w:r>
        <w:rPr>
          <w:szCs w:val="24"/>
          <w:lang w:val="fr-FR"/>
        </w:rPr>
        <w:t>Résolution elle-même ne décrit pas une procédure à suivre</w:t>
      </w:r>
      <w:r w:rsidRPr="002C6A80">
        <w:rPr>
          <w:szCs w:val="24"/>
          <w:lang w:val="fr-FR"/>
        </w:rPr>
        <w:t xml:space="preserve"> pour </w:t>
      </w:r>
      <w:r>
        <w:rPr>
          <w:szCs w:val="24"/>
          <w:lang w:val="fr-FR"/>
        </w:rPr>
        <w:t xml:space="preserve">décider s’il convient ou non d’ouvrir une enquête. La pratique actuelle veut que le </w:t>
      </w:r>
      <w:r w:rsidRPr="002C6A80">
        <w:rPr>
          <w:szCs w:val="24"/>
          <w:lang w:val="fr-FR"/>
        </w:rPr>
        <w:t xml:space="preserve">Secrétariat </w:t>
      </w:r>
      <w:r>
        <w:rPr>
          <w:szCs w:val="24"/>
          <w:lang w:val="fr-FR"/>
        </w:rPr>
        <w:t>transmette la Fiche d’information relative à des cas p</w:t>
      </w:r>
      <w:r w:rsidRPr="00B344BD">
        <w:rPr>
          <w:szCs w:val="24"/>
          <w:lang w:val="fr-FR"/>
        </w:rPr>
        <w:t>ossible</w:t>
      </w:r>
      <w:r>
        <w:rPr>
          <w:szCs w:val="24"/>
          <w:lang w:val="fr-FR"/>
        </w:rPr>
        <w:t xml:space="preserve">s au </w:t>
      </w:r>
      <w:r w:rsidRPr="002C6A80">
        <w:rPr>
          <w:szCs w:val="24"/>
          <w:lang w:val="fr-FR"/>
        </w:rPr>
        <w:t xml:space="preserve">Comité </w:t>
      </w:r>
      <w:r>
        <w:rPr>
          <w:szCs w:val="24"/>
          <w:lang w:val="fr-FR"/>
        </w:rPr>
        <w:t>technique, pour avis concernant la décision d’ouvrir ou non une enquête</w:t>
      </w:r>
      <w:r w:rsidRPr="002C6A80">
        <w:rPr>
          <w:szCs w:val="24"/>
          <w:lang w:val="fr-FR"/>
        </w:rPr>
        <w:t xml:space="preserve">. Le Comité permanent </w:t>
      </w:r>
      <w:r>
        <w:rPr>
          <w:szCs w:val="24"/>
          <w:lang w:val="fr-FR"/>
        </w:rPr>
        <w:t xml:space="preserve">décide alors s’il convient ou non </w:t>
      </w:r>
      <w:r w:rsidRPr="002C6A80">
        <w:rPr>
          <w:szCs w:val="24"/>
          <w:lang w:val="fr-FR"/>
        </w:rPr>
        <w:t xml:space="preserve">d’ouvrir </w:t>
      </w:r>
      <w:r>
        <w:rPr>
          <w:szCs w:val="24"/>
          <w:lang w:val="fr-FR"/>
        </w:rPr>
        <w:t xml:space="preserve">une enquête. </w:t>
      </w:r>
      <w:r w:rsidRPr="002C6A80">
        <w:rPr>
          <w:szCs w:val="24"/>
          <w:lang w:val="fr-FR"/>
        </w:rPr>
        <w:t>Si le Comité permanent</w:t>
      </w:r>
      <w:r>
        <w:rPr>
          <w:szCs w:val="24"/>
          <w:lang w:val="fr-FR"/>
        </w:rPr>
        <w:t xml:space="preserve"> décide d’ouvrir une enquête</w:t>
      </w:r>
      <w:r w:rsidRPr="002C6A80">
        <w:rPr>
          <w:szCs w:val="24"/>
          <w:lang w:val="fr-FR"/>
        </w:rPr>
        <w:t xml:space="preserve">, il peut </w:t>
      </w:r>
      <w:r>
        <w:rPr>
          <w:szCs w:val="24"/>
          <w:lang w:val="fr-FR"/>
        </w:rPr>
        <w:t xml:space="preserve">alors </w:t>
      </w:r>
      <w:r w:rsidRPr="002C6A80">
        <w:rPr>
          <w:szCs w:val="24"/>
          <w:lang w:val="fr-FR"/>
        </w:rPr>
        <w:t xml:space="preserve">envoyer une mission, </w:t>
      </w:r>
      <w:r>
        <w:rPr>
          <w:szCs w:val="24"/>
          <w:lang w:val="fr-FR"/>
        </w:rPr>
        <w:t xml:space="preserve">avec l’accord de la </w:t>
      </w:r>
      <w:r w:rsidRPr="002C6A80">
        <w:rPr>
          <w:szCs w:val="24"/>
          <w:lang w:val="fr-FR"/>
        </w:rPr>
        <w:t>Partie</w:t>
      </w:r>
      <w:r>
        <w:rPr>
          <w:szCs w:val="24"/>
          <w:lang w:val="fr-FR"/>
        </w:rPr>
        <w:t xml:space="preserve"> concernée</w:t>
      </w:r>
      <w:r w:rsidRPr="002C6A80">
        <w:rPr>
          <w:szCs w:val="24"/>
          <w:lang w:val="fr-FR"/>
        </w:rPr>
        <w:t>,</w:t>
      </w:r>
      <w:r>
        <w:rPr>
          <w:szCs w:val="24"/>
          <w:lang w:val="fr-FR"/>
        </w:rPr>
        <w:t xml:space="preserve"> pour évaluer l’impact de l’activité considérée</w:t>
      </w:r>
      <w:r w:rsidRPr="002C6A80">
        <w:rPr>
          <w:szCs w:val="24"/>
          <w:lang w:val="fr-FR"/>
        </w:rPr>
        <w:t>. Sur la base du rapport de</w:t>
      </w:r>
      <w:r>
        <w:rPr>
          <w:szCs w:val="24"/>
          <w:lang w:val="fr-FR"/>
        </w:rPr>
        <w:t xml:space="preserve"> mission, le</w:t>
      </w:r>
      <w:r w:rsidRPr="002C6A80">
        <w:rPr>
          <w:szCs w:val="24"/>
          <w:lang w:val="fr-FR"/>
        </w:rPr>
        <w:t xml:space="preserve"> Comité permanent form</w:t>
      </w:r>
      <w:r>
        <w:rPr>
          <w:szCs w:val="24"/>
          <w:lang w:val="fr-FR"/>
        </w:rPr>
        <w:t xml:space="preserve">ule une </w:t>
      </w:r>
      <w:r w:rsidRPr="002C6A80">
        <w:rPr>
          <w:szCs w:val="24"/>
          <w:lang w:val="fr-FR"/>
        </w:rPr>
        <w:t>recommandation</w:t>
      </w:r>
      <w:r>
        <w:rPr>
          <w:szCs w:val="24"/>
          <w:lang w:val="fr-FR"/>
        </w:rPr>
        <w:t xml:space="preserve"> à la </w:t>
      </w:r>
      <w:r w:rsidRPr="002C6A80">
        <w:rPr>
          <w:szCs w:val="24"/>
          <w:lang w:val="fr-FR"/>
        </w:rPr>
        <w:t>Partie</w:t>
      </w:r>
      <w:r>
        <w:rPr>
          <w:szCs w:val="24"/>
          <w:lang w:val="fr-FR"/>
        </w:rPr>
        <w:t xml:space="preserve"> concernée, indiquant les moyens de prévenir ou d’atténuer l’impact en question</w:t>
      </w:r>
      <w:r w:rsidRPr="002C6A80">
        <w:rPr>
          <w:szCs w:val="24"/>
          <w:lang w:val="fr-FR"/>
        </w:rPr>
        <w:t xml:space="preserve">. </w:t>
      </w:r>
      <w:r w:rsidRPr="002C6A80">
        <w:rPr>
          <w:i/>
          <w:szCs w:val="24"/>
          <w:lang w:val="fr-FR"/>
        </w:rPr>
        <w:t xml:space="preserve">Voir </w:t>
      </w:r>
      <w:r w:rsidRPr="002C6A80">
        <w:rPr>
          <w:szCs w:val="24"/>
          <w:lang w:val="fr-FR"/>
        </w:rPr>
        <w:t xml:space="preserve">la Résolution 4.6 de l’AEWA, </w:t>
      </w:r>
      <w:r w:rsidRPr="002C6A80">
        <w:rPr>
          <w:i/>
          <w:szCs w:val="24"/>
          <w:lang w:val="fr-FR"/>
        </w:rPr>
        <w:t>Mise en place d’une procédure d’évaluation de la mise en œuvre</w:t>
      </w:r>
      <w:r w:rsidRPr="002C6A80">
        <w:rPr>
          <w:szCs w:val="24"/>
          <w:lang w:val="fr-FR"/>
        </w:rPr>
        <w:t xml:space="preserve"> (2008). </w:t>
      </w:r>
      <w:r>
        <w:rPr>
          <w:szCs w:val="24"/>
          <w:lang w:val="fr-FR"/>
        </w:rPr>
        <w:t xml:space="preserve">Etant donné que trois dossiers seulement ont été ouverts depuis le début de la procédure, les informations disponibles ne sont pas suffisantes pour déterminer </w:t>
      </w:r>
      <w:r w:rsidRPr="002C6A80">
        <w:rPr>
          <w:szCs w:val="24"/>
          <w:lang w:val="fr-FR"/>
        </w:rPr>
        <w:t>l’efficacité</w:t>
      </w:r>
      <w:r>
        <w:rPr>
          <w:szCs w:val="24"/>
          <w:lang w:val="fr-FR"/>
        </w:rPr>
        <w:t xml:space="preserve"> de cette </w:t>
      </w:r>
      <w:r w:rsidRPr="002C6A80">
        <w:rPr>
          <w:szCs w:val="24"/>
          <w:lang w:val="fr-FR"/>
        </w:rPr>
        <w:t>procédure.</w:t>
      </w:r>
    </w:p>
    <w:p w:rsidR="004556F3" w:rsidRDefault="004556F3" w:rsidP="00761732">
      <w:pPr>
        <w:rPr>
          <w:lang w:val="fr-FR"/>
        </w:rPr>
      </w:pPr>
    </w:p>
    <w:p w:rsidR="00DE5465" w:rsidRPr="00E90775" w:rsidRDefault="00DE5465" w:rsidP="00DE5465">
      <w:pPr>
        <w:jc w:val="both"/>
        <w:rPr>
          <w:szCs w:val="24"/>
          <w:lang w:val="fr-FR"/>
        </w:rPr>
      </w:pPr>
      <w:r>
        <w:rPr>
          <w:i/>
          <w:szCs w:val="24"/>
          <w:lang w:val="fr-FR"/>
        </w:rPr>
        <w:t>L’</w:t>
      </w:r>
      <w:r w:rsidRPr="00E90775">
        <w:rPr>
          <w:i/>
          <w:szCs w:val="24"/>
          <w:lang w:val="fr-FR"/>
        </w:rPr>
        <w:t>approche fondée sur la notification et la</w:t>
      </w:r>
      <w:r>
        <w:rPr>
          <w:i/>
          <w:szCs w:val="24"/>
          <w:lang w:val="fr-FR"/>
        </w:rPr>
        <w:t xml:space="preserve"> consultation</w:t>
      </w:r>
    </w:p>
    <w:p w:rsidR="00DE5465" w:rsidRPr="00E90775" w:rsidRDefault="00DE5465" w:rsidP="00DE5465">
      <w:pPr>
        <w:pStyle w:val="ListParagraph"/>
        <w:ind w:left="0"/>
        <w:jc w:val="both"/>
        <w:rPr>
          <w:szCs w:val="24"/>
          <w:lang w:val="fr-FR"/>
        </w:rPr>
      </w:pPr>
    </w:p>
    <w:p w:rsidR="00DE5465" w:rsidRPr="00BA38A5" w:rsidRDefault="00DE5465" w:rsidP="00DE5465">
      <w:pPr>
        <w:pStyle w:val="ListParagraph"/>
        <w:numPr>
          <w:ilvl w:val="0"/>
          <w:numId w:val="13"/>
        </w:numPr>
        <w:ind w:left="0" w:firstLine="0"/>
        <w:contextualSpacing/>
        <w:jc w:val="both"/>
        <w:rPr>
          <w:szCs w:val="24"/>
          <w:lang w:val="fr-FR"/>
        </w:rPr>
      </w:pPr>
      <w:r w:rsidRPr="0029258F">
        <w:rPr>
          <w:szCs w:val="24"/>
          <w:lang w:val="fr-FR"/>
        </w:rPr>
        <w:t xml:space="preserve">Le quatrième type de </w:t>
      </w:r>
      <w:r>
        <w:rPr>
          <w:szCs w:val="24"/>
          <w:lang w:val="fr-FR"/>
        </w:rPr>
        <w:t>processus</w:t>
      </w:r>
      <w:r w:rsidRPr="0029258F">
        <w:rPr>
          <w:szCs w:val="24"/>
          <w:lang w:val="fr-FR"/>
        </w:rPr>
        <w:t xml:space="preserve"> est basé sur la </w:t>
      </w:r>
      <w:r>
        <w:rPr>
          <w:szCs w:val="24"/>
          <w:lang w:val="fr-FR"/>
        </w:rPr>
        <w:t xml:space="preserve">notification et la </w:t>
      </w:r>
      <w:r w:rsidRPr="0029258F">
        <w:rPr>
          <w:szCs w:val="24"/>
          <w:lang w:val="fr-FR"/>
        </w:rPr>
        <w:t>consultation</w:t>
      </w:r>
      <w:r>
        <w:rPr>
          <w:szCs w:val="24"/>
          <w:lang w:val="fr-FR"/>
        </w:rPr>
        <w:t xml:space="preserve">; il vise à éviter les situations de </w:t>
      </w:r>
      <w:r w:rsidRPr="0029258F">
        <w:rPr>
          <w:szCs w:val="24"/>
          <w:lang w:val="fr-FR"/>
        </w:rPr>
        <w:t xml:space="preserve">non-respect </w:t>
      </w:r>
      <w:r>
        <w:rPr>
          <w:szCs w:val="24"/>
          <w:lang w:val="fr-FR"/>
        </w:rPr>
        <w:t>avant qu’elles ne surviennent</w:t>
      </w:r>
      <w:r w:rsidRPr="0029258F">
        <w:rPr>
          <w:szCs w:val="24"/>
          <w:lang w:val="fr-FR"/>
        </w:rPr>
        <w:t xml:space="preserve">. </w:t>
      </w:r>
      <w:r w:rsidRPr="005B405A">
        <w:rPr>
          <w:szCs w:val="24"/>
          <w:lang w:val="fr-FR"/>
        </w:rPr>
        <w:t xml:space="preserve">La </w:t>
      </w:r>
      <w:r>
        <w:rPr>
          <w:szCs w:val="24"/>
          <w:lang w:val="fr-FR"/>
        </w:rPr>
        <w:t>procé</w:t>
      </w:r>
      <w:r w:rsidRPr="005B405A">
        <w:rPr>
          <w:szCs w:val="24"/>
          <w:lang w:val="fr-FR"/>
        </w:rPr>
        <w:t xml:space="preserve">dure </w:t>
      </w:r>
      <w:r>
        <w:rPr>
          <w:szCs w:val="24"/>
          <w:lang w:val="fr-FR"/>
        </w:rPr>
        <w:t>mise en place</w:t>
      </w:r>
      <w:r w:rsidRPr="005B405A">
        <w:rPr>
          <w:szCs w:val="24"/>
          <w:lang w:val="fr-FR"/>
        </w:rPr>
        <w:t xml:space="preserve"> dans l’Accord sur les obstacles techniques au commerce</w:t>
      </w:r>
      <w:r>
        <w:rPr>
          <w:szCs w:val="24"/>
          <w:lang w:val="fr-FR"/>
        </w:rPr>
        <w:t xml:space="preserve"> (</w:t>
      </w:r>
      <w:r w:rsidRPr="005B405A">
        <w:rPr>
          <w:szCs w:val="24"/>
          <w:lang w:val="fr-FR"/>
        </w:rPr>
        <w:t>Accord</w:t>
      </w:r>
      <w:r>
        <w:rPr>
          <w:szCs w:val="24"/>
          <w:lang w:val="fr-FR"/>
        </w:rPr>
        <w:t xml:space="preserve"> OTC</w:t>
      </w:r>
      <w:r w:rsidRPr="005B405A">
        <w:rPr>
          <w:szCs w:val="24"/>
          <w:lang w:val="fr-FR"/>
        </w:rPr>
        <w:t xml:space="preserve">) </w:t>
      </w:r>
      <w:r>
        <w:rPr>
          <w:szCs w:val="24"/>
          <w:lang w:val="fr-FR"/>
        </w:rPr>
        <w:t>de l’Organisation mondiale du commerce (</w:t>
      </w:r>
      <w:r w:rsidRPr="005B405A">
        <w:rPr>
          <w:szCs w:val="24"/>
          <w:lang w:val="fr-FR"/>
        </w:rPr>
        <w:t>O</w:t>
      </w:r>
      <w:r>
        <w:rPr>
          <w:szCs w:val="24"/>
          <w:lang w:val="fr-FR"/>
        </w:rPr>
        <w:t>MC</w:t>
      </w:r>
      <w:r w:rsidRPr="005B405A">
        <w:rPr>
          <w:szCs w:val="24"/>
          <w:lang w:val="fr-FR"/>
        </w:rPr>
        <w:t xml:space="preserve">) </w:t>
      </w:r>
      <w:r>
        <w:rPr>
          <w:szCs w:val="24"/>
          <w:lang w:val="fr-FR"/>
        </w:rPr>
        <w:t>fournit un bon exemple d’une telle</w:t>
      </w:r>
      <w:r w:rsidRPr="005B405A">
        <w:rPr>
          <w:szCs w:val="24"/>
          <w:lang w:val="fr-FR"/>
        </w:rPr>
        <w:t xml:space="preserve"> </w:t>
      </w:r>
      <w:r>
        <w:rPr>
          <w:szCs w:val="24"/>
          <w:lang w:val="fr-FR"/>
        </w:rPr>
        <w:t>approche</w:t>
      </w:r>
      <w:r w:rsidRPr="005B405A">
        <w:rPr>
          <w:szCs w:val="24"/>
          <w:lang w:val="fr-FR"/>
        </w:rPr>
        <w:t>. Au sein de l’OMC, les pays en développement se sont plaints d</w:t>
      </w:r>
      <w:r>
        <w:rPr>
          <w:szCs w:val="24"/>
          <w:lang w:val="fr-FR"/>
        </w:rPr>
        <w:t>’</w:t>
      </w:r>
      <w:r w:rsidRPr="005B405A">
        <w:rPr>
          <w:szCs w:val="24"/>
          <w:lang w:val="fr-FR"/>
        </w:rPr>
        <w:t>u</w:t>
      </w:r>
      <w:r>
        <w:rPr>
          <w:szCs w:val="24"/>
          <w:lang w:val="fr-FR"/>
        </w:rPr>
        <w:t>n</w:t>
      </w:r>
      <w:r w:rsidRPr="005B405A">
        <w:rPr>
          <w:szCs w:val="24"/>
          <w:lang w:val="fr-FR"/>
        </w:rPr>
        <w:t xml:space="preserve"> </w:t>
      </w:r>
      <w:r>
        <w:rPr>
          <w:szCs w:val="24"/>
          <w:lang w:val="fr-FR"/>
        </w:rPr>
        <w:t>manque d’</w:t>
      </w:r>
      <w:r w:rsidRPr="005B405A">
        <w:rPr>
          <w:szCs w:val="24"/>
          <w:lang w:val="fr-FR"/>
        </w:rPr>
        <w:t>information</w:t>
      </w:r>
      <w:r>
        <w:rPr>
          <w:szCs w:val="24"/>
          <w:lang w:val="fr-FR"/>
        </w:rPr>
        <w:t xml:space="preserve"> sur les règlements techniques</w:t>
      </w:r>
      <w:r w:rsidRPr="005B405A">
        <w:rPr>
          <w:szCs w:val="24"/>
          <w:lang w:val="fr-FR"/>
        </w:rPr>
        <w:t xml:space="preserve">. </w:t>
      </w:r>
      <w:r w:rsidRPr="000F5938">
        <w:rPr>
          <w:szCs w:val="24"/>
          <w:lang w:val="fr-FR"/>
        </w:rPr>
        <w:t>Les règlements techniques définissent les caractéristiques</w:t>
      </w:r>
      <w:r>
        <w:rPr>
          <w:szCs w:val="24"/>
          <w:lang w:val="fr-FR"/>
        </w:rPr>
        <w:t xml:space="preserve"> d’un produit en ce qui concerne s</w:t>
      </w:r>
      <w:r w:rsidRPr="000F5938">
        <w:rPr>
          <w:szCs w:val="24"/>
          <w:lang w:val="fr-FR"/>
        </w:rPr>
        <w:t>a</w:t>
      </w:r>
      <w:r>
        <w:rPr>
          <w:szCs w:val="24"/>
          <w:lang w:val="fr-FR"/>
        </w:rPr>
        <w:t xml:space="preserve"> qualité</w:t>
      </w:r>
      <w:r w:rsidRPr="000F5938">
        <w:rPr>
          <w:szCs w:val="24"/>
          <w:lang w:val="fr-FR"/>
        </w:rPr>
        <w:t xml:space="preserve">, </w:t>
      </w:r>
      <w:r>
        <w:rPr>
          <w:szCs w:val="24"/>
          <w:lang w:val="fr-FR"/>
        </w:rPr>
        <w:t xml:space="preserve">sa forme et sa taille; ceci inclut par exemple les niveaux de toxicité des câbles électriques, ou les exigences en termes d’efficacité énergétique des appareils électroménagers. </w:t>
      </w:r>
      <w:r w:rsidRPr="00BA38A5">
        <w:rPr>
          <w:szCs w:val="24"/>
          <w:lang w:val="fr-FR"/>
        </w:rPr>
        <w:t xml:space="preserve">Les règlements techniques </w:t>
      </w:r>
      <w:r>
        <w:rPr>
          <w:szCs w:val="24"/>
          <w:lang w:val="fr-FR"/>
        </w:rPr>
        <w:t>peuvent varier</w:t>
      </w:r>
      <w:r w:rsidRPr="00BA38A5">
        <w:rPr>
          <w:szCs w:val="24"/>
          <w:lang w:val="fr-FR"/>
        </w:rPr>
        <w:t xml:space="preserve"> selon les pays, ce </w:t>
      </w:r>
      <w:r>
        <w:rPr>
          <w:szCs w:val="24"/>
          <w:lang w:val="fr-FR"/>
        </w:rPr>
        <w:t>qui rend difficile leur respect par les producteurs, si ceux-ci</w:t>
      </w:r>
      <w:r w:rsidRPr="00BA38A5">
        <w:rPr>
          <w:szCs w:val="24"/>
          <w:lang w:val="fr-FR"/>
        </w:rPr>
        <w:t xml:space="preserve"> n</w:t>
      </w:r>
      <w:r>
        <w:rPr>
          <w:szCs w:val="24"/>
          <w:lang w:val="fr-FR"/>
        </w:rPr>
        <w:t>e sont pas informés de façon adéquate</w:t>
      </w:r>
      <w:r w:rsidRPr="00BA38A5">
        <w:rPr>
          <w:szCs w:val="24"/>
          <w:lang w:val="fr-FR"/>
        </w:rPr>
        <w:t xml:space="preserve">. </w:t>
      </w:r>
      <w:r>
        <w:rPr>
          <w:szCs w:val="24"/>
          <w:lang w:val="fr-FR"/>
        </w:rPr>
        <w:t xml:space="preserve">Les règlements techniques </w:t>
      </w:r>
      <w:r w:rsidRPr="00BA38A5">
        <w:rPr>
          <w:szCs w:val="24"/>
          <w:lang w:val="fr-FR"/>
        </w:rPr>
        <w:t>peuvent aussi être discrim</w:t>
      </w:r>
      <w:r>
        <w:rPr>
          <w:szCs w:val="24"/>
          <w:lang w:val="fr-FR"/>
        </w:rPr>
        <w:t>inatoires s’ils sont conçus de manière à</w:t>
      </w:r>
      <w:r w:rsidRPr="00BA38A5">
        <w:rPr>
          <w:szCs w:val="24"/>
          <w:lang w:val="fr-FR"/>
        </w:rPr>
        <w:t xml:space="preserve"> profiter aux producteurs nationaux, au </w:t>
      </w:r>
      <w:r>
        <w:rPr>
          <w:szCs w:val="24"/>
          <w:lang w:val="fr-FR"/>
        </w:rPr>
        <w:t>dé</w:t>
      </w:r>
      <w:r w:rsidRPr="00BA38A5">
        <w:rPr>
          <w:szCs w:val="24"/>
          <w:lang w:val="fr-FR"/>
        </w:rPr>
        <w:t>triment des producteurs étrangers.</w:t>
      </w:r>
    </w:p>
    <w:p w:rsidR="00DE5465" w:rsidRPr="00BA38A5" w:rsidRDefault="00DE5465" w:rsidP="00DE5465">
      <w:pPr>
        <w:pStyle w:val="ListParagraph"/>
        <w:ind w:left="0"/>
        <w:rPr>
          <w:szCs w:val="24"/>
          <w:lang w:val="fr-FR"/>
        </w:rPr>
      </w:pPr>
    </w:p>
    <w:p w:rsidR="00DE5465" w:rsidRPr="00D04ECB" w:rsidRDefault="00DE5465" w:rsidP="00DE5465">
      <w:pPr>
        <w:pStyle w:val="ListParagraph"/>
        <w:numPr>
          <w:ilvl w:val="0"/>
          <w:numId w:val="13"/>
        </w:numPr>
        <w:ind w:left="0" w:firstLine="0"/>
        <w:contextualSpacing/>
        <w:jc w:val="both"/>
        <w:rPr>
          <w:szCs w:val="24"/>
          <w:lang w:val="fr-FR"/>
        </w:rPr>
      </w:pPr>
      <w:r>
        <w:rPr>
          <w:szCs w:val="24"/>
          <w:lang w:val="fr-FR"/>
        </w:rPr>
        <w:t xml:space="preserve">En raison de ces préoccupations, la </w:t>
      </w:r>
      <w:r w:rsidRPr="00BA38A5">
        <w:rPr>
          <w:szCs w:val="24"/>
          <w:lang w:val="fr-FR"/>
        </w:rPr>
        <w:t>tra</w:t>
      </w:r>
      <w:r>
        <w:rPr>
          <w:szCs w:val="24"/>
          <w:lang w:val="fr-FR"/>
        </w:rPr>
        <w:t xml:space="preserve">nsparence est devenue un </w:t>
      </w:r>
      <w:r w:rsidRPr="00BA38A5">
        <w:rPr>
          <w:szCs w:val="24"/>
          <w:lang w:val="fr-FR"/>
        </w:rPr>
        <w:t>élément</w:t>
      </w:r>
      <w:r>
        <w:rPr>
          <w:szCs w:val="24"/>
          <w:lang w:val="fr-FR"/>
        </w:rPr>
        <w:t xml:space="preserve"> central de l’</w:t>
      </w:r>
      <w:r w:rsidRPr="00BA38A5">
        <w:rPr>
          <w:szCs w:val="24"/>
          <w:lang w:val="fr-FR"/>
        </w:rPr>
        <w:t>Accord</w:t>
      </w:r>
      <w:r>
        <w:rPr>
          <w:szCs w:val="24"/>
          <w:lang w:val="fr-FR"/>
        </w:rPr>
        <w:t xml:space="preserve"> OTC</w:t>
      </w:r>
      <w:r w:rsidRPr="00BA38A5">
        <w:rPr>
          <w:szCs w:val="24"/>
          <w:lang w:val="fr-FR"/>
        </w:rPr>
        <w:t xml:space="preserve">. </w:t>
      </w:r>
      <w:r w:rsidRPr="000C220C">
        <w:rPr>
          <w:szCs w:val="24"/>
          <w:lang w:val="fr-FR"/>
        </w:rPr>
        <w:t xml:space="preserve">Pour </w:t>
      </w:r>
      <w:r>
        <w:rPr>
          <w:szCs w:val="24"/>
          <w:lang w:val="fr-FR"/>
        </w:rPr>
        <w:t>garantir une</w:t>
      </w:r>
      <w:r w:rsidRPr="000C220C">
        <w:rPr>
          <w:szCs w:val="24"/>
          <w:lang w:val="fr-FR"/>
        </w:rPr>
        <w:t xml:space="preserve"> transparence, l’Accord OTC exige que les membres de l’OMC </w:t>
      </w:r>
      <w:r>
        <w:rPr>
          <w:szCs w:val="24"/>
          <w:lang w:val="fr-FR"/>
        </w:rPr>
        <w:t>notifient aux autres memb</w:t>
      </w:r>
      <w:r w:rsidRPr="000C220C">
        <w:rPr>
          <w:szCs w:val="24"/>
          <w:lang w:val="fr-FR"/>
        </w:rPr>
        <w:t>r</w:t>
      </w:r>
      <w:r>
        <w:rPr>
          <w:szCs w:val="24"/>
          <w:lang w:val="fr-FR"/>
        </w:rPr>
        <w:t xml:space="preserve">es les projets de </w:t>
      </w:r>
      <w:r w:rsidRPr="000C220C">
        <w:rPr>
          <w:szCs w:val="24"/>
          <w:lang w:val="fr-FR"/>
        </w:rPr>
        <w:t xml:space="preserve">règlements techniques, </w:t>
      </w:r>
      <w:r>
        <w:rPr>
          <w:szCs w:val="24"/>
          <w:lang w:val="fr-FR"/>
        </w:rPr>
        <w:t xml:space="preserve">que le </w:t>
      </w:r>
      <w:r w:rsidRPr="000C220C">
        <w:rPr>
          <w:szCs w:val="24"/>
          <w:lang w:val="fr-FR"/>
        </w:rPr>
        <w:t xml:space="preserve">Secrétariat </w:t>
      </w:r>
      <w:r>
        <w:rPr>
          <w:szCs w:val="24"/>
          <w:lang w:val="fr-FR"/>
        </w:rPr>
        <w:t>de l’</w:t>
      </w:r>
      <w:r w:rsidRPr="000C220C">
        <w:rPr>
          <w:szCs w:val="24"/>
          <w:lang w:val="fr-FR"/>
        </w:rPr>
        <w:t xml:space="preserve">OMC </w:t>
      </w:r>
      <w:r>
        <w:rPr>
          <w:szCs w:val="24"/>
          <w:lang w:val="fr-FR"/>
        </w:rPr>
        <w:t>distribue à tous les membres, et qu’ils créent des points d’information sur les obstacles techniques au commerce, afin de pouvoir communiquer avec les autres membres</w:t>
      </w:r>
      <w:r w:rsidRPr="000C220C">
        <w:rPr>
          <w:szCs w:val="24"/>
          <w:lang w:val="fr-FR"/>
        </w:rPr>
        <w:t xml:space="preserve"> </w:t>
      </w:r>
      <w:r>
        <w:rPr>
          <w:szCs w:val="24"/>
          <w:lang w:val="fr-FR"/>
        </w:rPr>
        <w:t xml:space="preserve">au sujet des </w:t>
      </w:r>
      <w:r w:rsidRPr="000C220C">
        <w:rPr>
          <w:szCs w:val="24"/>
          <w:lang w:val="fr-FR"/>
        </w:rPr>
        <w:t xml:space="preserve">règlements techniques. </w:t>
      </w:r>
      <w:r w:rsidRPr="00D04ECB">
        <w:rPr>
          <w:szCs w:val="24"/>
          <w:lang w:val="fr-FR"/>
        </w:rPr>
        <w:t xml:space="preserve">Lorsqu’un membre de l’OMC </w:t>
      </w:r>
      <w:r>
        <w:rPr>
          <w:szCs w:val="24"/>
          <w:lang w:val="fr-FR"/>
        </w:rPr>
        <w:t>est préoccupé par le</w:t>
      </w:r>
      <w:r w:rsidRPr="00D04ECB">
        <w:rPr>
          <w:szCs w:val="24"/>
          <w:lang w:val="fr-FR"/>
        </w:rPr>
        <w:t xml:space="preserve"> règlement </w:t>
      </w:r>
      <w:r>
        <w:rPr>
          <w:szCs w:val="24"/>
          <w:lang w:val="fr-FR"/>
        </w:rPr>
        <w:t>t</w:t>
      </w:r>
      <w:r w:rsidRPr="00D04ECB">
        <w:rPr>
          <w:szCs w:val="24"/>
          <w:lang w:val="fr-FR"/>
        </w:rPr>
        <w:t xml:space="preserve">echnique d’un autre </w:t>
      </w:r>
      <w:r>
        <w:rPr>
          <w:szCs w:val="24"/>
          <w:lang w:val="fr-FR"/>
        </w:rPr>
        <w:t>memb</w:t>
      </w:r>
      <w:r w:rsidRPr="00D04ECB">
        <w:rPr>
          <w:szCs w:val="24"/>
          <w:lang w:val="fr-FR"/>
        </w:rPr>
        <w:t>r</w:t>
      </w:r>
      <w:r>
        <w:rPr>
          <w:szCs w:val="24"/>
          <w:lang w:val="fr-FR"/>
        </w:rPr>
        <w:t>e</w:t>
      </w:r>
      <w:r w:rsidRPr="00D04ECB">
        <w:rPr>
          <w:szCs w:val="24"/>
          <w:lang w:val="fr-FR"/>
        </w:rPr>
        <w:t xml:space="preserve">, il peut </w:t>
      </w:r>
      <w:r>
        <w:rPr>
          <w:szCs w:val="24"/>
          <w:lang w:val="fr-FR"/>
        </w:rPr>
        <w:t xml:space="preserve">demander une consultation au sein du </w:t>
      </w:r>
      <w:r w:rsidRPr="00D04ECB">
        <w:rPr>
          <w:szCs w:val="24"/>
          <w:lang w:val="fr-FR"/>
        </w:rPr>
        <w:t>Comité</w:t>
      </w:r>
      <w:r>
        <w:rPr>
          <w:szCs w:val="24"/>
          <w:lang w:val="fr-FR"/>
        </w:rPr>
        <w:t xml:space="preserve"> sur les obstacles techniques au commerce </w:t>
      </w:r>
      <w:r w:rsidRPr="00D04ECB">
        <w:rPr>
          <w:szCs w:val="24"/>
          <w:lang w:val="fr-FR"/>
        </w:rPr>
        <w:t>(Comité</w:t>
      </w:r>
      <w:r>
        <w:rPr>
          <w:szCs w:val="24"/>
          <w:lang w:val="fr-FR"/>
        </w:rPr>
        <w:t xml:space="preserve"> OTC</w:t>
      </w:r>
      <w:r w:rsidRPr="00D04ECB">
        <w:rPr>
          <w:szCs w:val="24"/>
          <w:lang w:val="fr-FR"/>
        </w:rPr>
        <w:t xml:space="preserve">) </w:t>
      </w:r>
      <w:r>
        <w:rPr>
          <w:szCs w:val="24"/>
          <w:lang w:val="fr-FR"/>
        </w:rPr>
        <w:t>et faire des observations par écrit</w:t>
      </w:r>
      <w:r w:rsidRPr="00D04ECB">
        <w:rPr>
          <w:szCs w:val="24"/>
          <w:lang w:val="fr-FR"/>
        </w:rPr>
        <w:t>.</w:t>
      </w:r>
      <w:r>
        <w:rPr>
          <w:szCs w:val="24"/>
          <w:lang w:val="fr-FR"/>
        </w:rPr>
        <w:t xml:space="preserve"> Pour renforcer l’application des dispositions relatives à la transparence, l’</w:t>
      </w:r>
      <w:r w:rsidRPr="00D04ECB">
        <w:rPr>
          <w:szCs w:val="24"/>
          <w:lang w:val="fr-FR"/>
        </w:rPr>
        <w:t>OMC</w:t>
      </w:r>
      <w:r>
        <w:rPr>
          <w:szCs w:val="24"/>
          <w:lang w:val="fr-FR"/>
        </w:rPr>
        <w:t xml:space="preserve"> a créé un Système de gestion des renseignements sur les obstacles techniques au commerce</w:t>
      </w:r>
      <w:r w:rsidRPr="00D04ECB">
        <w:rPr>
          <w:szCs w:val="24"/>
          <w:lang w:val="fr-FR"/>
        </w:rPr>
        <w:t xml:space="preserve"> (</w:t>
      </w:r>
      <w:r>
        <w:rPr>
          <w:szCs w:val="24"/>
          <w:lang w:val="fr-FR"/>
        </w:rPr>
        <w:t xml:space="preserve">TBT IMS), constitué d’une base de données accessible au public qui contient des </w:t>
      </w:r>
      <w:r w:rsidRPr="00D04ECB">
        <w:rPr>
          <w:szCs w:val="24"/>
          <w:lang w:val="fr-FR"/>
        </w:rPr>
        <w:t>information</w:t>
      </w:r>
      <w:r>
        <w:rPr>
          <w:szCs w:val="24"/>
          <w:lang w:val="fr-FR"/>
        </w:rPr>
        <w:t xml:space="preserve">s fournies par les </w:t>
      </w:r>
      <w:r w:rsidRPr="00D04ECB">
        <w:rPr>
          <w:szCs w:val="24"/>
          <w:lang w:val="fr-FR"/>
        </w:rPr>
        <w:t xml:space="preserve">membres </w:t>
      </w:r>
      <w:r>
        <w:rPr>
          <w:szCs w:val="24"/>
          <w:lang w:val="fr-FR"/>
        </w:rPr>
        <w:t>de l’</w:t>
      </w:r>
      <w:r w:rsidRPr="00D04ECB">
        <w:rPr>
          <w:szCs w:val="24"/>
          <w:lang w:val="fr-FR"/>
        </w:rPr>
        <w:t xml:space="preserve">OMC </w:t>
      </w:r>
      <w:r>
        <w:rPr>
          <w:szCs w:val="24"/>
          <w:lang w:val="fr-FR"/>
        </w:rPr>
        <w:t xml:space="preserve">sur leurs </w:t>
      </w:r>
      <w:r w:rsidRPr="00D04ECB">
        <w:rPr>
          <w:szCs w:val="24"/>
          <w:lang w:val="fr-FR"/>
        </w:rPr>
        <w:t xml:space="preserve">règlements techniques. </w:t>
      </w:r>
      <w:r w:rsidRPr="00D04ECB">
        <w:rPr>
          <w:i/>
          <w:szCs w:val="24"/>
          <w:lang w:val="fr-FR"/>
        </w:rPr>
        <w:t>V</w:t>
      </w:r>
      <w:r>
        <w:rPr>
          <w:i/>
          <w:szCs w:val="24"/>
          <w:lang w:val="fr-FR"/>
        </w:rPr>
        <w:t>oir</w:t>
      </w:r>
      <w:r w:rsidRPr="00D04ECB">
        <w:rPr>
          <w:szCs w:val="24"/>
          <w:lang w:val="fr-FR"/>
        </w:rPr>
        <w:t xml:space="preserve"> </w:t>
      </w:r>
      <w:r>
        <w:rPr>
          <w:szCs w:val="24"/>
          <w:lang w:val="fr-FR"/>
        </w:rPr>
        <w:t>OMC</w:t>
      </w:r>
      <w:r w:rsidRPr="00D04ECB">
        <w:rPr>
          <w:szCs w:val="24"/>
          <w:lang w:val="fr-FR"/>
        </w:rPr>
        <w:t xml:space="preserve">, </w:t>
      </w:r>
      <w:r>
        <w:rPr>
          <w:i/>
          <w:szCs w:val="24"/>
          <w:lang w:val="fr-FR"/>
        </w:rPr>
        <w:t xml:space="preserve">Système de gestion des renseignements OTC </w:t>
      </w:r>
      <w:r>
        <w:rPr>
          <w:szCs w:val="24"/>
          <w:lang w:val="fr-FR"/>
        </w:rPr>
        <w:t>(</w:t>
      </w:r>
      <w:r w:rsidRPr="00D04ECB">
        <w:rPr>
          <w:szCs w:val="24"/>
          <w:lang w:val="fr-FR"/>
        </w:rPr>
        <w:t>http://</w:t>
      </w:r>
      <w:r>
        <w:rPr>
          <w:szCs w:val="24"/>
          <w:lang w:val="fr-FR"/>
        </w:rPr>
        <w:t>tbt</w:t>
      </w:r>
      <w:r w:rsidRPr="00D04ECB">
        <w:rPr>
          <w:szCs w:val="24"/>
          <w:lang w:val="fr-FR"/>
        </w:rPr>
        <w:t>ims.</w:t>
      </w:r>
      <w:r>
        <w:rPr>
          <w:szCs w:val="24"/>
          <w:lang w:val="fr-FR"/>
        </w:rPr>
        <w:t>wto</w:t>
      </w:r>
      <w:r w:rsidRPr="00D04ECB">
        <w:rPr>
          <w:szCs w:val="24"/>
          <w:lang w:val="fr-FR"/>
        </w:rPr>
        <w:t xml:space="preserve">.org/). Le </w:t>
      </w:r>
      <w:r>
        <w:rPr>
          <w:szCs w:val="24"/>
          <w:lang w:val="fr-FR"/>
        </w:rPr>
        <w:t>Système de gestion des renseignements sur les obstacles techniques au commerce</w:t>
      </w:r>
      <w:r w:rsidRPr="00D04ECB">
        <w:rPr>
          <w:szCs w:val="24"/>
          <w:lang w:val="fr-FR"/>
        </w:rPr>
        <w:t xml:space="preserve"> </w:t>
      </w:r>
      <w:r>
        <w:rPr>
          <w:szCs w:val="24"/>
          <w:lang w:val="fr-FR"/>
        </w:rPr>
        <w:t xml:space="preserve">inclut les notifications de </w:t>
      </w:r>
      <w:r w:rsidRPr="00D04ECB">
        <w:rPr>
          <w:szCs w:val="24"/>
          <w:lang w:val="fr-FR"/>
        </w:rPr>
        <w:t xml:space="preserve">règlements techniques </w:t>
      </w:r>
      <w:r>
        <w:rPr>
          <w:szCs w:val="24"/>
          <w:lang w:val="fr-FR"/>
        </w:rPr>
        <w:t xml:space="preserve">par chaque membre </w:t>
      </w:r>
      <w:r w:rsidRPr="00D04ECB">
        <w:rPr>
          <w:szCs w:val="24"/>
          <w:lang w:val="fr-FR"/>
        </w:rPr>
        <w:t>(</w:t>
      </w:r>
      <w:r>
        <w:rPr>
          <w:szCs w:val="24"/>
          <w:lang w:val="fr-FR"/>
        </w:rPr>
        <w:t xml:space="preserve">y compris toute révision de ces règlements, le cas échéant), ainsi que les préoccupations commerciales spécifiques exprimées par des </w:t>
      </w:r>
      <w:r w:rsidRPr="00D04ECB">
        <w:rPr>
          <w:szCs w:val="24"/>
          <w:lang w:val="fr-FR"/>
        </w:rPr>
        <w:t xml:space="preserve">membres </w:t>
      </w:r>
      <w:r>
        <w:rPr>
          <w:szCs w:val="24"/>
          <w:lang w:val="fr-FR"/>
        </w:rPr>
        <w:t>au sein du Comité </w:t>
      </w:r>
      <w:r w:rsidRPr="00D04ECB">
        <w:rPr>
          <w:szCs w:val="24"/>
          <w:lang w:val="fr-FR"/>
        </w:rPr>
        <w:t>OTC.</w:t>
      </w:r>
    </w:p>
    <w:p w:rsidR="00DE5465" w:rsidRPr="00E35214" w:rsidRDefault="00DE5465" w:rsidP="00DE5465">
      <w:pPr>
        <w:pStyle w:val="ListParagraph"/>
        <w:numPr>
          <w:ilvl w:val="0"/>
          <w:numId w:val="13"/>
        </w:numPr>
        <w:ind w:left="0" w:firstLine="0"/>
        <w:contextualSpacing/>
        <w:jc w:val="both"/>
        <w:rPr>
          <w:szCs w:val="24"/>
          <w:lang w:val="fr-FR"/>
        </w:rPr>
      </w:pPr>
      <w:r w:rsidRPr="00E41977">
        <w:rPr>
          <w:szCs w:val="24"/>
          <w:lang w:val="fr-FR"/>
        </w:rPr>
        <w:t xml:space="preserve"> </w:t>
      </w:r>
      <w:r>
        <w:rPr>
          <w:szCs w:val="24"/>
          <w:lang w:val="fr-FR"/>
        </w:rPr>
        <w:t xml:space="preserve">Ces dispositions relatives à la </w:t>
      </w:r>
      <w:r w:rsidRPr="00E41977">
        <w:rPr>
          <w:szCs w:val="24"/>
          <w:lang w:val="fr-FR"/>
        </w:rPr>
        <w:t xml:space="preserve">transparence ont </w:t>
      </w:r>
      <w:r>
        <w:rPr>
          <w:szCs w:val="24"/>
          <w:lang w:val="fr-FR"/>
        </w:rPr>
        <w:t xml:space="preserve">été essentielles pour assurer le </w:t>
      </w:r>
      <w:r w:rsidRPr="00E41977">
        <w:rPr>
          <w:szCs w:val="24"/>
          <w:lang w:val="fr-FR"/>
        </w:rPr>
        <w:t xml:space="preserve">succès de </w:t>
      </w:r>
      <w:r>
        <w:rPr>
          <w:szCs w:val="24"/>
          <w:lang w:val="fr-FR"/>
        </w:rPr>
        <w:t>l’</w:t>
      </w:r>
      <w:r w:rsidRPr="00E41977">
        <w:rPr>
          <w:szCs w:val="24"/>
          <w:lang w:val="fr-FR"/>
        </w:rPr>
        <w:t xml:space="preserve">Accord </w:t>
      </w:r>
      <w:r>
        <w:rPr>
          <w:szCs w:val="24"/>
          <w:lang w:val="fr-FR"/>
        </w:rPr>
        <w:t>OTC, en termes de réduction ou d’</w:t>
      </w:r>
      <w:bookmarkStart w:id="2" w:name="_Ref386583641"/>
      <w:r>
        <w:rPr>
          <w:szCs w:val="24"/>
          <w:lang w:val="fr-FR"/>
        </w:rPr>
        <w:t>élimination des conflits</w:t>
      </w:r>
      <w:r w:rsidRPr="00E41977">
        <w:rPr>
          <w:szCs w:val="24"/>
          <w:lang w:val="fr-FR"/>
        </w:rPr>
        <w:t xml:space="preserve"> (Horn et </w:t>
      </w:r>
      <w:proofErr w:type="gramStart"/>
      <w:r w:rsidRPr="00E41977">
        <w:rPr>
          <w:szCs w:val="24"/>
          <w:lang w:val="fr-FR"/>
        </w:rPr>
        <w:t>al.,</w:t>
      </w:r>
      <w:proofErr w:type="gramEnd"/>
      <w:r w:rsidRPr="00E41977">
        <w:rPr>
          <w:szCs w:val="24"/>
          <w:lang w:val="fr-FR"/>
        </w:rPr>
        <w:t xml:space="preserve"> 2012; </w:t>
      </w:r>
      <w:proofErr w:type="spellStart"/>
      <w:r w:rsidRPr="00E41977">
        <w:rPr>
          <w:szCs w:val="24"/>
          <w:lang w:val="fr-FR"/>
        </w:rPr>
        <w:t>European</w:t>
      </w:r>
      <w:proofErr w:type="spellEnd"/>
      <w:r w:rsidRPr="00E41977">
        <w:rPr>
          <w:szCs w:val="24"/>
          <w:lang w:val="fr-FR"/>
        </w:rPr>
        <w:t xml:space="preserve"> Commission 2012).</w:t>
      </w:r>
      <w:bookmarkEnd w:id="2"/>
      <w:r w:rsidRPr="00E41977">
        <w:rPr>
          <w:szCs w:val="24"/>
          <w:lang w:val="fr-FR"/>
        </w:rPr>
        <w:t xml:space="preserve"> Les notifications permettent aux membres de l’OMC d’expri</w:t>
      </w:r>
      <w:r>
        <w:rPr>
          <w:szCs w:val="24"/>
          <w:lang w:val="fr-FR"/>
        </w:rPr>
        <w:t>mer leurs préoccupations au</w:t>
      </w:r>
      <w:r w:rsidRPr="00E41977">
        <w:rPr>
          <w:szCs w:val="24"/>
          <w:lang w:val="fr-FR"/>
        </w:rPr>
        <w:t xml:space="preserve"> </w:t>
      </w:r>
      <w:r>
        <w:rPr>
          <w:szCs w:val="24"/>
          <w:lang w:val="fr-FR"/>
        </w:rPr>
        <w:t>tout début du processus d</w:t>
      </w:r>
      <w:r w:rsidRPr="00E41977">
        <w:rPr>
          <w:szCs w:val="24"/>
          <w:lang w:val="fr-FR"/>
        </w:rPr>
        <w:t>’élaboration d’u</w:t>
      </w:r>
      <w:r>
        <w:rPr>
          <w:szCs w:val="24"/>
          <w:lang w:val="fr-FR"/>
        </w:rPr>
        <w:t xml:space="preserve">n règlement technique, de sorte </w:t>
      </w:r>
      <w:r w:rsidRPr="00E41977">
        <w:rPr>
          <w:szCs w:val="24"/>
          <w:lang w:val="fr-FR"/>
        </w:rPr>
        <w:t>qu</w:t>
      </w:r>
      <w:r>
        <w:rPr>
          <w:szCs w:val="24"/>
          <w:lang w:val="fr-FR"/>
        </w:rPr>
        <w:t xml:space="preserve">e des modifications puissent être faites. </w:t>
      </w:r>
      <w:r w:rsidRPr="00E35214">
        <w:rPr>
          <w:szCs w:val="24"/>
          <w:lang w:val="fr-FR"/>
        </w:rPr>
        <w:t xml:space="preserve">Une notification </w:t>
      </w:r>
      <w:r>
        <w:rPr>
          <w:szCs w:val="24"/>
          <w:lang w:val="fr-FR"/>
        </w:rPr>
        <w:t>précoce et la</w:t>
      </w:r>
      <w:r w:rsidRPr="00E35214">
        <w:rPr>
          <w:szCs w:val="24"/>
          <w:lang w:val="fr-FR"/>
        </w:rPr>
        <w:t xml:space="preserve"> divulgation </w:t>
      </w:r>
      <w:r>
        <w:rPr>
          <w:szCs w:val="24"/>
          <w:lang w:val="fr-FR"/>
        </w:rPr>
        <w:t xml:space="preserve">d’information </w:t>
      </w:r>
      <w:r w:rsidRPr="00E35214">
        <w:rPr>
          <w:szCs w:val="24"/>
          <w:lang w:val="fr-FR"/>
        </w:rPr>
        <w:t>au public</w:t>
      </w:r>
      <w:r>
        <w:rPr>
          <w:szCs w:val="24"/>
          <w:lang w:val="fr-FR"/>
        </w:rPr>
        <w:t xml:space="preserve"> fournissent</w:t>
      </w:r>
      <w:r w:rsidRPr="00E35214">
        <w:rPr>
          <w:szCs w:val="24"/>
          <w:lang w:val="fr-FR"/>
        </w:rPr>
        <w:t xml:space="preserve"> également des </w:t>
      </w:r>
      <w:r>
        <w:rPr>
          <w:szCs w:val="24"/>
          <w:lang w:val="fr-FR"/>
        </w:rPr>
        <w:t xml:space="preserve">renseignements aux </w:t>
      </w:r>
      <w:r w:rsidRPr="00E35214">
        <w:rPr>
          <w:szCs w:val="24"/>
          <w:lang w:val="fr-FR"/>
        </w:rPr>
        <w:t>export</w:t>
      </w:r>
      <w:r>
        <w:rPr>
          <w:szCs w:val="24"/>
          <w:lang w:val="fr-FR"/>
        </w:rPr>
        <w:t>at</w:t>
      </w:r>
      <w:r w:rsidRPr="00E35214">
        <w:rPr>
          <w:szCs w:val="24"/>
          <w:lang w:val="fr-FR"/>
        </w:rPr>
        <w:t>e</w:t>
      </w:r>
      <w:r>
        <w:rPr>
          <w:szCs w:val="24"/>
          <w:lang w:val="fr-FR"/>
        </w:rPr>
        <w:t>u</w:t>
      </w:r>
      <w:r w:rsidRPr="00E35214">
        <w:rPr>
          <w:szCs w:val="24"/>
          <w:lang w:val="fr-FR"/>
        </w:rPr>
        <w:t>rs</w:t>
      </w:r>
      <w:r>
        <w:rPr>
          <w:szCs w:val="24"/>
          <w:lang w:val="fr-FR"/>
        </w:rPr>
        <w:t>, de sorte qu’ils puissent satisfaire aux nouvelles exigences avant leur entrée en vigueur. D’autre part, en déposant</w:t>
      </w:r>
      <w:r w:rsidRPr="00E35214">
        <w:rPr>
          <w:szCs w:val="24"/>
          <w:lang w:val="fr-FR"/>
        </w:rPr>
        <w:t xml:space="preserve"> les plaint</w:t>
      </w:r>
      <w:r>
        <w:rPr>
          <w:szCs w:val="24"/>
          <w:lang w:val="fr-FR"/>
        </w:rPr>
        <w:t>e</w:t>
      </w:r>
      <w:r w:rsidRPr="00E35214">
        <w:rPr>
          <w:szCs w:val="24"/>
          <w:lang w:val="fr-FR"/>
        </w:rPr>
        <w:t xml:space="preserve">s </w:t>
      </w:r>
      <w:r>
        <w:rPr>
          <w:szCs w:val="24"/>
          <w:lang w:val="fr-FR"/>
        </w:rPr>
        <w:t>devant le</w:t>
      </w:r>
      <w:r w:rsidRPr="00E35214">
        <w:rPr>
          <w:szCs w:val="24"/>
          <w:lang w:val="fr-FR"/>
        </w:rPr>
        <w:t xml:space="preserve"> Comité</w:t>
      </w:r>
      <w:r>
        <w:rPr>
          <w:szCs w:val="24"/>
          <w:lang w:val="fr-FR"/>
        </w:rPr>
        <w:t xml:space="preserve"> OTC, les </w:t>
      </w:r>
      <w:r w:rsidRPr="00E35214">
        <w:rPr>
          <w:szCs w:val="24"/>
          <w:lang w:val="fr-FR"/>
        </w:rPr>
        <w:t xml:space="preserve">membres </w:t>
      </w:r>
      <w:r>
        <w:rPr>
          <w:szCs w:val="24"/>
          <w:lang w:val="fr-FR"/>
        </w:rPr>
        <w:t xml:space="preserve">de l’OMC disposent d’une procédure </w:t>
      </w:r>
      <w:r w:rsidRPr="00E35214">
        <w:rPr>
          <w:szCs w:val="24"/>
          <w:lang w:val="fr-FR"/>
        </w:rPr>
        <w:t>structur</w:t>
      </w:r>
      <w:r>
        <w:rPr>
          <w:szCs w:val="24"/>
          <w:lang w:val="fr-FR"/>
        </w:rPr>
        <w:t>ée, forme</w:t>
      </w:r>
      <w:r w:rsidRPr="00E35214">
        <w:rPr>
          <w:szCs w:val="24"/>
          <w:lang w:val="fr-FR"/>
        </w:rPr>
        <w:t>l</w:t>
      </w:r>
      <w:r>
        <w:rPr>
          <w:szCs w:val="24"/>
          <w:lang w:val="fr-FR"/>
        </w:rPr>
        <w:t>le et non contradictoire</w:t>
      </w:r>
      <w:r w:rsidRPr="00E35214">
        <w:rPr>
          <w:szCs w:val="24"/>
          <w:lang w:val="fr-FR"/>
        </w:rPr>
        <w:t xml:space="preserve"> </w:t>
      </w:r>
      <w:r>
        <w:rPr>
          <w:szCs w:val="24"/>
          <w:lang w:val="fr-FR"/>
        </w:rPr>
        <w:t>pour résoudre des problè</w:t>
      </w:r>
      <w:r w:rsidRPr="00E35214">
        <w:rPr>
          <w:szCs w:val="24"/>
          <w:lang w:val="fr-FR"/>
        </w:rPr>
        <w:t>m</w:t>
      </w:r>
      <w:r>
        <w:rPr>
          <w:szCs w:val="24"/>
          <w:lang w:val="fr-FR"/>
        </w:rPr>
        <w:t>e</w:t>
      </w:r>
      <w:r w:rsidRPr="00E35214">
        <w:rPr>
          <w:szCs w:val="24"/>
          <w:lang w:val="fr-FR"/>
        </w:rPr>
        <w:t>s</w:t>
      </w:r>
      <w:r>
        <w:rPr>
          <w:szCs w:val="24"/>
          <w:lang w:val="fr-FR"/>
        </w:rPr>
        <w:t xml:space="preserve"> potentiels</w:t>
      </w:r>
      <w:r w:rsidRPr="00E35214">
        <w:rPr>
          <w:szCs w:val="24"/>
          <w:lang w:val="fr-FR"/>
        </w:rPr>
        <w:t>.</w:t>
      </w:r>
    </w:p>
    <w:p w:rsidR="00DE5465" w:rsidRPr="00E35214" w:rsidRDefault="00DE5465" w:rsidP="00DE5465">
      <w:pPr>
        <w:rPr>
          <w:szCs w:val="24"/>
          <w:lang w:val="fr-FR"/>
        </w:rPr>
      </w:pPr>
    </w:p>
    <w:p w:rsidR="00DE5465" w:rsidRPr="0029258F" w:rsidRDefault="00DE5465" w:rsidP="00DE5465">
      <w:pPr>
        <w:jc w:val="both"/>
        <w:rPr>
          <w:szCs w:val="24"/>
          <w:lang w:val="fr-FR"/>
        </w:rPr>
      </w:pPr>
      <w:r w:rsidRPr="0029258F">
        <w:rPr>
          <w:i/>
          <w:szCs w:val="24"/>
          <w:lang w:val="fr-FR"/>
        </w:rPr>
        <w:t>L’approch</w:t>
      </w:r>
      <w:r>
        <w:rPr>
          <w:i/>
          <w:szCs w:val="24"/>
          <w:lang w:val="fr-FR"/>
        </w:rPr>
        <w:t>e fondée sur un examen par l</w:t>
      </w:r>
      <w:r w:rsidRPr="0029258F">
        <w:rPr>
          <w:i/>
          <w:szCs w:val="24"/>
          <w:lang w:val="fr-FR"/>
        </w:rPr>
        <w:t>es pairs</w:t>
      </w:r>
    </w:p>
    <w:p w:rsidR="00DE5465" w:rsidRPr="0029258F" w:rsidRDefault="00DE5465" w:rsidP="00DE5465">
      <w:pPr>
        <w:rPr>
          <w:szCs w:val="24"/>
          <w:lang w:val="fr-FR"/>
        </w:rPr>
      </w:pPr>
    </w:p>
    <w:p w:rsidR="00DE5465" w:rsidRPr="00477C4E" w:rsidRDefault="00DE5465" w:rsidP="00DE5465">
      <w:pPr>
        <w:pStyle w:val="ListParagraph"/>
        <w:numPr>
          <w:ilvl w:val="0"/>
          <w:numId w:val="13"/>
        </w:numPr>
        <w:ind w:left="0" w:firstLine="0"/>
        <w:contextualSpacing/>
        <w:jc w:val="both"/>
        <w:rPr>
          <w:szCs w:val="24"/>
          <w:lang w:val="fr-FR"/>
        </w:rPr>
      </w:pPr>
      <w:r w:rsidRPr="00067383">
        <w:rPr>
          <w:szCs w:val="24"/>
          <w:lang w:val="fr-FR"/>
        </w:rPr>
        <w:t xml:space="preserve">Le cinquième type de </w:t>
      </w:r>
      <w:r>
        <w:rPr>
          <w:szCs w:val="24"/>
          <w:lang w:val="fr-FR"/>
        </w:rPr>
        <w:t>processus</w:t>
      </w:r>
      <w:r w:rsidRPr="00067383">
        <w:rPr>
          <w:szCs w:val="24"/>
          <w:lang w:val="fr-FR"/>
        </w:rPr>
        <w:t xml:space="preserve"> es</w:t>
      </w:r>
      <w:r>
        <w:rPr>
          <w:szCs w:val="24"/>
          <w:lang w:val="fr-FR"/>
        </w:rPr>
        <w:t>t fondé sur un examen par l</w:t>
      </w:r>
      <w:r w:rsidRPr="00067383">
        <w:rPr>
          <w:szCs w:val="24"/>
          <w:lang w:val="fr-FR"/>
        </w:rPr>
        <w:t xml:space="preserve">es pairs, </w:t>
      </w:r>
      <w:r>
        <w:rPr>
          <w:szCs w:val="24"/>
          <w:lang w:val="fr-FR"/>
        </w:rPr>
        <w:t>tel que l’Examen périodique universel (EPU</w:t>
      </w:r>
      <w:r w:rsidRPr="00067383">
        <w:rPr>
          <w:szCs w:val="24"/>
          <w:lang w:val="fr-FR"/>
        </w:rPr>
        <w:t xml:space="preserve">). </w:t>
      </w:r>
      <w:r>
        <w:rPr>
          <w:szCs w:val="24"/>
          <w:lang w:val="fr-FR"/>
        </w:rPr>
        <w:t>L’EPU est un processus établi</w:t>
      </w:r>
      <w:r w:rsidRPr="00477C4E">
        <w:rPr>
          <w:szCs w:val="24"/>
          <w:lang w:val="fr-FR"/>
        </w:rPr>
        <w:t xml:space="preserve"> sous les auspices du Conseil des droits de l’homme de l’ONU</w:t>
      </w:r>
      <w:r>
        <w:rPr>
          <w:szCs w:val="24"/>
          <w:lang w:val="fr-FR"/>
        </w:rPr>
        <w:t xml:space="preserve">, siégeant en tant que </w:t>
      </w:r>
      <w:r w:rsidRPr="00477C4E">
        <w:rPr>
          <w:szCs w:val="24"/>
          <w:lang w:val="fr-FR"/>
        </w:rPr>
        <w:t>Groupe de travail</w:t>
      </w:r>
      <w:r>
        <w:rPr>
          <w:szCs w:val="24"/>
          <w:lang w:val="fr-FR"/>
        </w:rPr>
        <w:t xml:space="preserve"> sur l’Examen périodique universel, en vertu duquel les données sur les droits de l’homme de tous les États membres de l’Organisation des Nations Unies sont examinées tous les quatre ans</w:t>
      </w:r>
      <w:r w:rsidRPr="00477C4E">
        <w:rPr>
          <w:szCs w:val="24"/>
          <w:lang w:val="fr-FR"/>
        </w:rPr>
        <w:t xml:space="preserve">. </w:t>
      </w:r>
      <w:r>
        <w:rPr>
          <w:szCs w:val="24"/>
          <w:lang w:val="fr-FR"/>
        </w:rPr>
        <w:t>Le but de ce processus</w:t>
      </w:r>
      <w:r w:rsidRPr="00C32372">
        <w:rPr>
          <w:szCs w:val="24"/>
          <w:lang w:val="fr-FR"/>
        </w:rPr>
        <w:t xml:space="preserve"> est d’améliorer les </w:t>
      </w:r>
      <w:r>
        <w:rPr>
          <w:szCs w:val="24"/>
          <w:lang w:val="fr-FR"/>
        </w:rPr>
        <w:t>droits de l’homme dans tous les É</w:t>
      </w:r>
      <w:r w:rsidRPr="00C32372">
        <w:rPr>
          <w:szCs w:val="24"/>
          <w:lang w:val="fr-FR"/>
        </w:rPr>
        <w:t>tats et de lutter contre les violations</w:t>
      </w:r>
      <w:r>
        <w:rPr>
          <w:szCs w:val="24"/>
          <w:lang w:val="fr-FR"/>
        </w:rPr>
        <w:t xml:space="preserve"> des droits de l’homme, quel que soit l’endroit où elles se produisent</w:t>
      </w:r>
      <w:r w:rsidRPr="00C32372">
        <w:rPr>
          <w:szCs w:val="24"/>
          <w:lang w:val="fr-FR"/>
        </w:rPr>
        <w:t xml:space="preserve">. </w:t>
      </w:r>
      <w:r>
        <w:rPr>
          <w:szCs w:val="24"/>
          <w:lang w:val="fr-FR"/>
        </w:rPr>
        <w:t>Au titre de l’Examen périodique universel, chaque État a la possibilité d’indiquer les mesures qu’il a prises pour améliorer les droits de l’homme sur son territoire et pour s’acquitter de ses obligations en matière de droits de l’homme</w:t>
      </w:r>
      <w:r w:rsidRPr="00C32372">
        <w:rPr>
          <w:szCs w:val="24"/>
          <w:lang w:val="fr-FR"/>
        </w:rPr>
        <w:t xml:space="preserve">. </w:t>
      </w:r>
      <w:r w:rsidRPr="00072F5A">
        <w:rPr>
          <w:szCs w:val="24"/>
          <w:lang w:val="fr-FR"/>
        </w:rPr>
        <w:t>A</w:t>
      </w:r>
      <w:r>
        <w:rPr>
          <w:szCs w:val="24"/>
          <w:lang w:val="fr-FR"/>
        </w:rPr>
        <w:t xml:space="preserve"> ce jour, toutes les données sur les droits de l’homme de l’ensemble des 193 États membres de l’ONU ont été examinées. </w:t>
      </w:r>
      <w:r w:rsidRPr="00477C4E">
        <w:rPr>
          <w:szCs w:val="24"/>
          <w:lang w:val="fr-FR"/>
        </w:rPr>
        <w:t>Voir la</w:t>
      </w:r>
      <w:r>
        <w:rPr>
          <w:szCs w:val="24"/>
          <w:lang w:val="fr-FR"/>
        </w:rPr>
        <w:t xml:space="preserve"> </w:t>
      </w:r>
      <w:r w:rsidRPr="00477C4E">
        <w:rPr>
          <w:szCs w:val="24"/>
          <w:lang w:val="fr-FR"/>
        </w:rPr>
        <w:t>Résolution 60/251 de l’Assemblée générale des Nations Unies (3</w:t>
      </w:r>
      <w:r>
        <w:rPr>
          <w:szCs w:val="24"/>
          <w:lang w:val="fr-FR"/>
        </w:rPr>
        <w:t xml:space="preserve"> avril </w:t>
      </w:r>
      <w:r w:rsidRPr="00477C4E">
        <w:rPr>
          <w:szCs w:val="24"/>
          <w:lang w:val="fr-FR"/>
        </w:rPr>
        <w:t>2006).</w:t>
      </w:r>
    </w:p>
    <w:p w:rsidR="00DE5465" w:rsidRPr="00477C4E" w:rsidRDefault="00DE5465" w:rsidP="00CD46D6">
      <w:pPr>
        <w:pStyle w:val="ListParagraph"/>
        <w:ind w:left="0"/>
        <w:rPr>
          <w:szCs w:val="24"/>
          <w:lang w:val="fr-FR"/>
        </w:rPr>
      </w:pPr>
    </w:p>
    <w:p w:rsidR="00DE5465" w:rsidRPr="00243D14" w:rsidRDefault="00DE5465" w:rsidP="00DE5465">
      <w:pPr>
        <w:pStyle w:val="ListParagraph"/>
        <w:numPr>
          <w:ilvl w:val="0"/>
          <w:numId w:val="13"/>
        </w:numPr>
        <w:ind w:left="0" w:firstLine="0"/>
        <w:contextualSpacing/>
        <w:jc w:val="both"/>
        <w:rPr>
          <w:szCs w:val="24"/>
          <w:lang w:val="fr-FR"/>
        </w:rPr>
      </w:pPr>
      <w:r>
        <w:rPr>
          <w:szCs w:val="24"/>
          <w:lang w:val="fr-FR"/>
        </w:rPr>
        <w:t>Chaque examen d’un État est facilité par des groupes de trois États, appelés « </w:t>
      </w:r>
      <w:proofErr w:type="spellStart"/>
      <w:r>
        <w:rPr>
          <w:szCs w:val="24"/>
          <w:lang w:val="fr-FR"/>
        </w:rPr>
        <w:t>troikas</w:t>
      </w:r>
      <w:proofErr w:type="spellEnd"/>
      <w:r>
        <w:rPr>
          <w:szCs w:val="24"/>
          <w:lang w:val="fr-FR"/>
        </w:rPr>
        <w:t> », qui siègent comme rapporteurs</w:t>
      </w:r>
      <w:r w:rsidRPr="00072F5A">
        <w:rPr>
          <w:szCs w:val="24"/>
          <w:lang w:val="fr-FR"/>
        </w:rPr>
        <w:t xml:space="preserve">. </w:t>
      </w:r>
      <w:r>
        <w:rPr>
          <w:szCs w:val="24"/>
          <w:lang w:val="fr-FR"/>
        </w:rPr>
        <w:t>Le choix des</w:t>
      </w:r>
      <w:r w:rsidRPr="00A03ACC">
        <w:rPr>
          <w:szCs w:val="24"/>
          <w:lang w:val="fr-FR"/>
        </w:rPr>
        <w:t xml:space="preserve"> </w:t>
      </w:r>
      <w:proofErr w:type="spellStart"/>
      <w:r w:rsidRPr="00A03ACC">
        <w:rPr>
          <w:szCs w:val="24"/>
          <w:lang w:val="fr-FR"/>
        </w:rPr>
        <w:t>troikas</w:t>
      </w:r>
      <w:proofErr w:type="spellEnd"/>
      <w:r w:rsidRPr="00A03ACC">
        <w:rPr>
          <w:szCs w:val="24"/>
          <w:lang w:val="fr-FR"/>
        </w:rPr>
        <w:t xml:space="preserve"> pour </w:t>
      </w:r>
      <w:r>
        <w:rPr>
          <w:szCs w:val="24"/>
          <w:lang w:val="fr-FR"/>
        </w:rPr>
        <w:t>chaque</w:t>
      </w:r>
      <w:r w:rsidRPr="00A03ACC">
        <w:rPr>
          <w:szCs w:val="24"/>
          <w:lang w:val="fr-FR"/>
        </w:rPr>
        <w:t xml:space="preserve"> </w:t>
      </w:r>
      <w:r>
        <w:rPr>
          <w:szCs w:val="24"/>
          <w:lang w:val="fr-FR"/>
        </w:rPr>
        <w:t>État</w:t>
      </w:r>
      <w:r w:rsidRPr="00A03ACC">
        <w:rPr>
          <w:szCs w:val="24"/>
          <w:lang w:val="fr-FR"/>
        </w:rPr>
        <w:t xml:space="preserve"> est effect</w:t>
      </w:r>
      <w:r>
        <w:rPr>
          <w:szCs w:val="24"/>
          <w:lang w:val="fr-FR"/>
        </w:rPr>
        <w:t>ué par tirage au sort après l’élection</w:t>
      </w:r>
      <w:r w:rsidRPr="00A03ACC">
        <w:rPr>
          <w:szCs w:val="24"/>
          <w:lang w:val="fr-FR"/>
        </w:rPr>
        <w:t xml:space="preserve"> </w:t>
      </w:r>
      <w:r>
        <w:rPr>
          <w:szCs w:val="24"/>
          <w:lang w:val="fr-FR"/>
        </w:rPr>
        <w:t>des membres du Conseil des droits de l’homme à l’Assemblée générale. Chaque examen est basé sur d</w:t>
      </w:r>
      <w:r w:rsidRPr="00A03ACC">
        <w:rPr>
          <w:szCs w:val="24"/>
          <w:lang w:val="fr-FR"/>
        </w:rPr>
        <w:t>es informations provenant de trois sources : 1) </w:t>
      </w:r>
      <w:r>
        <w:rPr>
          <w:szCs w:val="24"/>
          <w:lang w:val="fr-FR"/>
        </w:rPr>
        <w:t>renseignements donné</w:t>
      </w:r>
      <w:r w:rsidRPr="00A03ACC">
        <w:rPr>
          <w:szCs w:val="24"/>
          <w:lang w:val="fr-FR"/>
        </w:rPr>
        <w:t>s par l’</w:t>
      </w:r>
      <w:r>
        <w:rPr>
          <w:szCs w:val="24"/>
          <w:lang w:val="fr-FR"/>
        </w:rPr>
        <w:t>État soumis à l’examen; 2) </w:t>
      </w:r>
      <w:r w:rsidRPr="00A03ACC">
        <w:rPr>
          <w:szCs w:val="24"/>
          <w:lang w:val="fr-FR"/>
        </w:rPr>
        <w:t>information</w:t>
      </w:r>
      <w:r>
        <w:rPr>
          <w:szCs w:val="24"/>
          <w:lang w:val="fr-FR"/>
        </w:rPr>
        <w:t>s contenues dans les rapports d’experts et de groupes indépendants des</w:t>
      </w:r>
      <w:r w:rsidRPr="00A03ACC">
        <w:rPr>
          <w:szCs w:val="24"/>
          <w:lang w:val="fr-FR"/>
        </w:rPr>
        <w:t xml:space="preserve"> </w:t>
      </w:r>
      <w:r>
        <w:rPr>
          <w:szCs w:val="24"/>
          <w:lang w:val="fr-FR"/>
        </w:rPr>
        <w:t>droits de l’homme; 3) </w:t>
      </w:r>
      <w:r w:rsidRPr="00A03ACC">
        <w:rPr>
          <w:szCs w:val="24"/>
          <w:lang w:val="fr-FR"/>
        </w:rPr>
        <w:t>information</w:t>
      </w:r>
      <w:r>
        <w:rPr>
          <w:szCs w:val="24"/>
          <w:lang w:val="fr-FR"/>
        </w:rPr>
        <w:t>s provenant d’autres parties prenantes, y compris des</w:t>
      </w:r>
      <w:r w:rsidRPr="00A03ACC">
        <w:rPr>
          <w:szCs w:val="24"/>
          <w:lang w:val="fr-FR"/>
        </w:rPr>
        <w:t xml:space="preserve"> institutions national</w:t>
      </w:r>
      <w:r>
        <w:rPr>
          <w:szCs w:val="24"/>
          <w:lang w:val="fr-FR"/>
        </w:rPr>
        <w:t>es des</w:t>
      </w:r>
      <w:r w:rsidRPr="00A03ACC">
        <w:rPr>
          <w:szCs w:val="24"/>
          <w:lang w:val="fr-FR"/>
        </w:rPr>
        <w:t xml:space="preserve"> </w:t>
      </w:r>
      <w:r>
        <w:rPr>
          <w:szCs w:val="24"/>
          <w:lang w:val="fr-FR"/>
        </w:rPr>
        <w:t>droits de l’homme et des</w:t>
      </w:r>
      <w:r w:rsidRPr="00A03ACC">
        <w:rPr>
          <w:szCs w:val="24"/>
          <w:lang w:val="fr-FR"/>
        </w:rPr>
        <w:t xml:space="preserve"> </w:t>
      </w:r>
      <w:r>
        <w:rPr>
          <w:szCs w:val="24"/>
          <w:lang w:val="fr-FR"/>
        </w:rPr>
        <w:t>organis</w:t>
      </w:r>
      <w:r w:rsidRPr="00A03ACC">
        <w:rPr>
          <w:szCs w:val="24"/>
          <w:lang w:val="fr-FR"/>
        </w:rPr>
        <w:t>ations</w:t>
      </w:r>
      <w:r>
        <w:rPr>
          <w:szCs w:val="24"/>
          <w:lang w:val="fr-FR"/>
        </w:rPr>
        <w:t xml:space="preserve"> </w:t>
      </w:r>
      <w:r w:rsidRPr="00A03ACC">
        <w:rPr>
          <w:szCs w:val="24"/>
          <w:lang w:val="fr-FR"/>
        </w:rPr>
        <w:t>non-go</w:t>
      </w:r>
      <w:r>
        <w:rPr>
          <w:szCs w:val="24"/>
          <w:lang w:val="fr-FR"/>
        </w:rPr>
        <w:t>u</w:t>
      </w:r>
      <w:r w:rsidRPr="00A03ACC">
        <w:rPr>
          <w:szCs w:val="24"/>
          <w:lang w:val="fr-FR"/>
        </w:rPr>
        <w:t>vern</w:t>
      </w:r>
      <w:r>
        <w:rPr>
          <w:szCs w:val="24"/>
          <w:lang w:val="fr-FR"/>
        </w:rPr>
        <w:t>e</w:t>
      </w:r>
      <w:r w:rsidRPr="00A03ACC">
        <w:rPr>
          <w:szCs w:val="24"/>
          <w:lang w:val="fr-FR"/>
        </w:rPr>
        <w:t>mental</w:t>
      </w:r>
      <w:r>
        <w:rPr>
          <w:szCs w:val="24"/>
          <w:lang w:val="fr-FR"/>
        </w:rPr>
        <w:t>es</w:t>
      </w:r>
      <w:r w:rsidRPr="00A03ACC">
        <w:rPr>
          <w:szCs w:val="24"/>
          <w:lang w:val="fr-FR"/>
        </w:rPr>
        <w:t>. Le</w:t>
      </w:r>
      <w:r>
        <w:rPr>
          <w:szCs w:val="24"/>
          <w:lang w:val="fr-FR"/>
        </w:rPr>
        <w:t>s examens sont effectués pendant les</w:t>
      </w:r>
      <w:r w:rsidRPr="00A03ACC">
        <w:rPr>
          <w:szCs w:val="24"/>
          <w:lang w:val="fr-FR"/>
        </w:rPr>
        <w:t xml:space="preserve"> </w:t>
      </w:r>
      <w:r>
        <w:rPr>
          <w:szCs w:val="24"/>
          <w:lang w:val="fr-FR"/>
        </w:rPr>
        <w:t>ré</w:t>
      </w:r>
      <w:r w:rsidRPr="00A03ACC">
        <w:rPr>
          <w:szCs w:val="24"/>
          <w:lang w:val="fr-FR"/>
        </w:rPr>
        <w:t xml:space="preserve">unions du Groupe de travail </w:t>
      </w:r>
      <w:r>
        <w:rPr>
          <w:szCs w:val="24"/>
          <w:lang w:val="fr-FR"/>
        </w:rPr>
        <w:t>sur l’Examen périodique universel, et prennent la forme de</w:t>
      </w:r>
      <w:r w:rsidRPr="00A03ACC">
        <w:rPr>
          <w:szCs w:val="24"/>
          <w:lang w:val="fr-FR"/>
        </w:rPr>
        <w:t xml:space="preserve"> débats interactifs entre l’</w:t>
      </w:r>
      <w:r>
        <w:rPr>
          <w:szCs w:val="24"/>
          <w:lang w:val="fr-FR"/>
        </w:rPr>
        <w:t>État</w:t>
      </w:r>
      <w:r w:rsidRPr="00A03ACC">
        <w:rPr>
          <w:szCs w:val="24"/>
          <w:lang w:val="fr-FR"/>
        </w:rPr>
        <w:t xml:space="preserve"> </w:t>
      </w:r>
      <w:r>
        <w:rPr>
          <w:szCs w:val="24"/>
          <w:lang w:val="fr-FR"/>
        </w:rPr>
        <w:t>soumis à l’examen et les autres États membres de l’ONU</w:t>
      </w:r>
      <w:r w:rsidRPr="00A03ACC">
        <w:rPr>
          <w:szCs w:val="24"/>
          <w:lang w:val="fr-FR"/>
        </w:rPr>
        <w:t xml:space="preserve">. </w:t>
      </w:r>
      <w:r w:rsidRPr="00FF6CFA">
        <w:rPr>
          <w:szCs w:val="24"/>
          <w:lang w:val="fr-FR"/>
        </w:rPr>
        <w:t xml:space="preserve">Durant les débats, n’importe </w:t>
      </w:r>
      <w:r>
        <w:rPr>
          <w:szCs w:val="24"/>
          <w:lang w:val="fr-FR"/>
        </w:rPr>
        <w:t>quel</w:t>
      </w:r>
      <w:r w:rsidRPr="00FF6CFA">
        <w:rPr>
          <w:szCs w:val="24"/>
          <w:lang w:val="fr-FR"/>
        </w:rPr>
        <w:t xml:space="preserve"> </w:t>
      </w:r>
      <w:r>
        <w:rPr>
          <w:szCs w:val="24"/>
          <w:lang w:val="fr-FR"/>
        </w:rPr>
        <w:t>État</w:t>
      </w:r>
      <w:r w:rsidRPr="00FF6CFA">
        <w:rPr>
          <w:szCs w:val="24"/>
          <w:lang w:val="fr-FR"/>
        </w:rPr>
        <w:t xml:space="preserve"> </w:t>
      </w:r>
      <w:r>
        <w:rPr>
          <w:szCs w:val="24"/>
          <w:lang w:val="fr-FR"/>
        </w:rPr>
        <w:t>memb</w:t>
      </w:r>
      <w:r w:rsidRPr="00FF6CFA">
        <w:rPr>
          <w:szCs w:val="24"/>
          <w:lang w:val="fr-FR"/>
        </w:rPr>
        <w:t>r</w:t>
      </w:r>
      <w:r>
        <w:rPr>
          <w:szCs w:val="24"/>
          <w:lang w:val="fr-FR"/>
        </w:rPr>
        <w:t>e</w:t>
      </w:r>
      <w:r w:rsidRPr="00FF6CFA">
        <w:rPr>
          <w:szCs w:val="24"/>
          <w:lang w:val="fr-FR"/>
        </w:rPr>
        <w:t xml:space="preserve"> de l’ONU peut poser des questions, </w:t>
      </w:r>
      <w:r>
        <w:rPr>
          <w:szCs w:val="24"/>
          <w:lang w:val="fr-FR"/>
        </w:rPr>
        <w:t xml:space="preserve">faire des observations et/ou formuler des </w:t>
      </w:r>
      <w:r w:rsidRPr="00FF6CFA">
        <w:rPr>
          <w:szCs w:val="24"/>
          <w:lang w:val="fr-FR"/>
        </w:rPr>
        <w:t>recommandations</w:t>
      </w:r>
      <w:r>
        <w:rPr>
          <w:szCs w:val="24"/>
          <w:lang w:val="fr-FR"/>
        </w:rPr>
        <w:t xml:space="preserve"> à l’État soumis à l’examen</w:t>
      </w:r>
      <w:r w:rsidRPr="00FF6CFA">
        <w:rPr>
          <w:szCs w:val="24"/>
          <w:lang w:val="fr-FR"/>
        </w:rPr>
        <w:t xml:space="preserve">. </w:t>
      </w:r>
      <w:r w:rsidRPr="005B2D4A">
        <w:rPr>
          <w:szCs w:val="24"/>
          <w:lang w:val="fr-FR"/>
        </w:rPr>
        <w:t xml:space="preserve">Les </w:t>
      </w:r>
      <w:proofErr w:type="spellStart"/>
      <w:r w:rsidRPr="005B2D4A">
        <w:rPr>
          <w:szCs w:val="24"/>
          <w:lang w:val="fr-FR"/>
        </w:rPr>
        <w:t>troikas</w:t>
      </w:r>
      <w:proofErr w:type="spellEnd"/>
      <w:r w:rsidRPr="005B2D4A">
        <w:rPr>
          <w:szCs w:val="24"/>
          <w:lang w:val="fr-FR"/>
        </w:rPr>
        <w:t xml:space="preserve"> peuvent regrouper des problèmes ou </w:t>
      </w:r>
      <w:r>
        <w:rPr>
          <w:szCs w:val="24"/>
          <w:lang w:val="fr-FR"/>
        </w:rPr>
        <w:t xml:space="preserve">des </w:t>
      </w:r>
      <w:r w:rsidRPr="005B2D4A">
        <w:rPr>
          <w:szCs w:val="24"/>
          <w:lang w:val="fr-FR"/>
        </w:rPr>
        <w:t xml:space="preserve">questions à partager avec </w:t>
      </w:r>
      <w:r>
        <w:rPr>
          <w:szCs w:val="24"/>
          <w:lang w:val="fr-FR"/>
        </w:rPr>
        <w:t>l’État</w:t>
      </w:r>
      <w:r w:rsidRPr="005B2D4A">
        <w:rPr>
          <w:szCs w:val="24"/>
          <w:lang w:val="fr-FR"/>
        </w:rPr>
        <w:t xml:space="preserve"> soumis à l’examen</w:t>
      </w:r>
      <w:r>
        <w:rPr>
          <w:szCs w:val="24"/>
          <w:lang w:val="fr-FR"/>
        </w:rPr>
        <w:t>, pour s’assurer que les débats interactifs se déroulent d’une façon harmonieuse et ordonnée. La durée de l’examen était de trois heures pour chaque pays pendant le premier cycle d’examens, mais elle est maintenant de trois heures et trente minutes</w:t>
      </w:r>
      <w:r w:rsidRPr="00243D14">
        <w:rPr>
          <w:szCs w:val="24"/>
          <w:lang w:val="fr-FR"/>
        </w:rPr>
        <w:t>.</w:t>
      </w:r>
      <w:r>
        <w:rPr>
          <w:szCs w:val="24"/>
          <w:lang w:val="fr-FR"/>
        </w:rPr>
        <w:t xml:space="preserve"> </w:t>
      </w:r>
      <w:r w:rsidRPr="00243D14">
        <w:rPr>
          <w:szCs w:val="24"/>
          <w:lang w:val="fr-FR"/>
        </w:rPr>
        <w:t xml:space="preserve">D’autres parties prenantes, comme les organisations non gouvernementales, ne peuvent pas participer aux débats interactifs, </w:t>
      </w:r>
      <w:r>
        <w:rPr>
          <w:szCs w:val="24"/>
          <w:lang w:val="fr-FR"/>
        </w:rPr>
        <w:t>mais peuvent assister aux séances du Groupe de travail sur l’Examen périodique universels et faire des déclarations à la session ordinaire du Conseil des d</w:t>
      </w:r>
      <w:r w:rsidRPr="00243D14">
        <w:rPr>
          <w:szCs w:val="24"/>
          <w:lang w:val="fr-FR"/>
        </w:rPr>
        <w:t>roits de l’homme</w:t>
      </w:r>
      <w:r>
        <w:rPr>
          <w:szCs w:val="24"/>
          <w:lang w:val="fr-FR"/>
        </w:rPr>
        <w:t>, lorsque le résultat de l’examen d’un État est considéré</w:t>
      </w:r>
      <w:r w:rsidRPr="00243D14">
        <w:rPr>
          <w:szCs w:val="24"/>
          <w:lang w:val="fr-FR"/>
        </w:rPr>
        <w:t>.</w:t>
      </w:r>
    </w:p>
    <w:p w:rsidR="00DE5465" w:rsidRPr="00243D14" w:rsidRDefault="00DE5465" w:rsidP="00DE5465">
      <w:pPr>
        <w:pStyle w:val="ListParagraph"/>
        <w:ind w:left="0"/>
        <w:jc w:val="both"/>
        <w:rPr>
          <w:szCs w:val="24"/>
          <w:lang w:val="fr-FR"/>
        </w:rPr>
      </w:pPr>
    </w:p>
    <w:p w:rsidR="00DE5465" w:rsidRPr="00E406FC" w:rsidRDefault="00DE5465" w:rsidP="00DE5465">
      <w:pPr>
        <w:pStyle w:val="ListParagraph"/>
        <w:numPr>
          <w:ilvl w:val="0"/>
          <w:numId w:val="13"/>
        </w:numPr>
        <w:ind w:left="0" w:firstLine="0"/>
        <w:contextualSpacing/>
        <w:jc w:val="both"/>
        <w:rPr>
          <w:szCs w:val="24"/>
          <w:lang w:val="fr-FR"/>
        </w:rPr>
      </w:pPr>
      <w:r>
        <w:rPr>
          <w:szCs w:val="24"/>
          <w:lang w:val="fr-FR"/>
        </w:rPr>
        <w:t xml:space="preserve">Suite à </w:t>
      </w:r>
      <w:r w:rsidRPr="00AE3EBD">
        <w:rPr>
          <w:szCs w:val="24"/>
          <w:lang w:val="fr-FR"/>
        </w:rPr>
        <w:t xml:space="preserve">l’examen par le Groupe de travail, la </w:t>
      </w:r>
      <w:proofErr w:type="spellStart"/>
      <w:r w:rsidRPr="00AE3EBD">
        <w:rPr>
          <w:szCs w:val="24"/>
          <w:lang w:val="fr-FR"/>
        </w:rPr>
        <w:t>troika</w:t>
      </w:r>
      <w:proofErr w:type="spellEnd"/>
      <w:r w:rsidRPr="00AE3EBD">
        <w:rPr>
          <w:szCs w:val="24"/>
          <w:lang w:val="fr-FR"/>
        </w:rPr>
        <w:t xml:space="preserve"> </w:t>
      </w:r>
      <w:r>
        <w:rPr>
          <w:szCs w:val="24"/>
          <w:lang w:val="fr-FR"/>
        </w:rPr>
        <w:t>prépare un</w:t>
      </w:r>
      <w:r w:rsidRPr="00AE3EBD">
        <w:rPr>
          <w:szCs w:val="24"/>
          <w:lang w:val="fr-FR"/>
        </w:rPr>
        <w:t xml:space="preserve"> </w:t>
      </w:r>
      <w:r>
        <w:rPr>
          <w:szCs w:val="24"/>
          <w:lang w:val="fr-FR"/>
        </w:rPr>
        <w:t>« rapport final » avec la pleine participation de l’État exami</w:t>
      </w:r>
      <w:r w:rsidRPr="00AE3EBD">
        <w:rPr>
          <w:szCs w:val="24"/>
          <w:lang w:val="fr-FR"/>
        </w:rPr>
        <w:t>n</w:t>
      </w:r>
      <w:r>
        <w:rPr>
          <w:szCs w:val="24"/>
          <w:lang w:val="fr-FR"/>
        </w:rPr>
        <w:t>é et avec l’aide du Bureau du Haut-Commissariat aux d</w:t>
      </w:r>
      <w:r w:rsidRPr="00AE3EBD">
        <w:rPr>
          <w:szCs w:val="24"/>
          <w:lang w:val="fr-FR"/>
        </w:rPr>
        <w:t xml:space="preserve">roits de l’homme. </w:t>
      </w:r>
      <w:r>
        <w:rPr>
          <w:szCs w:val="24"/>
          <w:lang w:val="fr-FR"/>
        </w:rPr>
        <w:t>Le rapport final comprend</w:t>
      </w:r>
      <w:r w:rsidRPr="004F4268">
        <w:rPr>
          <w:szCs w:val="24"/>
          <w:lang w:val="fr-FR"/>
        </w:rPr>
        <w:t xml:space="preserve"> un résumé des débats interactifs, y compris les questions, observation</w:t>
      </w:r>
      <w:r>
        <w:rPr>
          <w:szCs w:val="24"/>
          <w:lang w:val="fr-FR"/>
        </w:rPr>
        <w:t>s et</w:t>
      </w:r>
      <w:r w:rsidRPr="004F4268">
        <w:rPr>
          <w:szCs w:val="24"/>
          <w:lang w:val="fr-FR"/>
        </w:rPr>
        <w:t xml:space="preserve"> recommandation</w:t>
      </w:r>
      <w:r>
        <w:rPr>
          <w:szCs w:val="24"/>
          <w:lang w:val="fr-FR"/>
        </w:rPr>
        <w:t>s faites par des États à l’État soumis à</w:t>
      </w:r>
      <w:r w:rsidRPr="004F4268">
        <w:rPr>
          <w:szCs w:val="24"/>
          <w:lang w:val="fr-FR"/>
        </w:rPr>
        <w:t xml:space="preserve"> l’examen</w:t>
      </w:r>
      <w:r>
        <w:rPr>
          <w:szCs w:val="24"/>
          <w:lang w:val="fr-FR"/>
        </w:rPr>
        <w:t xml:space="preserve">, ainsi que les réponses de </w:t>
      </w:r>
      <w:r w:rsidRPr="00E406FC">
        <w:rPr>
          <w:szCs w:val="24"/>
          <w:lang w:val="fr-FR"/>
        </w:rPr>
        <w:t>cet État. Le rapport final est ensuite</w:t>
      </w:r>
      <w:r>
        <w:rPr>
          <w:szCs w:val="24"/>
          <w:lang w:val="fr-FR"/>
        </w:rPr>
        <w:t xml:space="preserve"> examiné à </w:t>
      </w:r>
      <w:r w:rsidRPr="00E406FC">
        <w:rPr>
          <w:szCs w:val="24"/>
          <w:lang w:val="fr-FR"/>
        </w:rPr>
        <w:t>une réunion du Groupe de travail sur l’Examen périodique universel</w:t>
      </w:r>
      <w:r>
        <w:rPr>
          <w:szCs w:val="24"/>
          <w:lang w:val="fr-FR"/>
        </w:rPr>
        <w:t xml:space="preserve">, lequel dispose de </w:t>
      </w:r>
      <w:r w:rsidRPr="00E406FC">
        <w:rPr>
          <w:szCs w:val="24"/>
          <w:lang w:val="fr-FR"/>
        </w:rPr>
        <w:t>30 minutes pour adopter le rapport. L’État examiné a la possibilité de présenter des observations li</w:t>
      </w:r>
      <w:r>
        <w:rPr>
          <w:szCs w:val="24"/>
          <w:lang w:val="fr-FR"/>
        </w:rPr>
        <w:t>minaires concernant</w:t>
      </w:r>
      <w:r w:rsidRPr="00E406FC">
        <w:rPr>
          <w:szCs w:val="24"/>
          <w:lang w:val="fr-FR"/>
        </w:rPr>
        <w:t xml:space="preserve"> les recommandations, en choisissant soit de les accepter, soit d’en prendre note. Les recommandations acceptées ou notées sont incluses dans le rapport. Une fois </w:t>
      </w:r>
      <w:r>
        <w:rPr>
          <w:szCs w:val="24"/>
          <w:lang w:val="fr-FR"/>
        </w:rPr>
        <w:t>que le rapport a été adopté, les États peuvent apporter des</w:t>
      </w:r>
      <w:r w:rsidRPr="00E406FC">
        <w:rPr>
          <w:szCs w:val="24"/>
          <w:lang w:val="fr-FR"/>
        </w:rPr>
        <w:t xml:space="preserve"> modifications</w:t>
      </w:r>
      <w:r>
        <w:rPr>
          <w:szCs w:val="24"/>
          <w:lang w:val="fr-FR"/>
        </w:rPr>
        <w:t xml:space="preserve"> éditoriales </w:t>
      </w:r>
      <w:r w:rsidRPr="00E406FC">
        <w:rPr>
          <w:szCs w:val="24"/>
          <w:lang w:val="fr-FR"/>
        </w:rPr>
        <w:t xml:space="preserve">à leurs propres déclarations dans les deux semaines qui suivent. Le rapport </w:t>
      </w:r>
      <w:r>
        <w:rPr>
          <w:szCs w:val="24"/>
          <w:lang w:val="fr-FR"/>
        </w:rPr>
        <w:t xml:space="preserve">doit ensuite être adopté à une </w:t>
      </w:r>
      <w:r w:rsidRPr="00E406FC">
        <w:rPr>
          <w:szCs w:val="24"/>
          <w:lang w:val="fr-FR"/>
        </w:rPr>
        <w:t xml:space="preserve">séance plénière du Conseil des droits de l’homme. </w:t>
      </w:r>
      <w:r>
        <w:rPr>
          <w:szCs w:val="24"/>
          <w:lang w:val="fr-FR"/>
        </w:rPr>
        <w:t xml:space="preserve">Durant la </w:t>
      </w:r>
      <w:r w:rsidRPr="00E406FC">
        <w:rPr>
          <w:szCs w:val="24"/>
          <w:lang w:val="fr-FR"/>
        </w:rPr>
        <w:t>séance plénière, l’État examiné peut répondre aux questions qui n’ont pas été suffisamment traité</w:t>
      </w:r>
      <w:r>
        <w:rPr>
          <w:szCs w:val="24"/>
          <w:lang w:val="fr-FR"/>
        </w:rPr>
        <w:t>es pend</w:t>
      </w:r>
      <w:r w:rsidRPr="00E406FC">
        <w:rPr>
          <w:szCs w:val="24"/>
          <w:lang w:val="fr-FR"/>
        </w:rPr>
        <w:t xml:space="preserve">ant la réunion du Groupe de travail et répondre aux recommandations </w:t>
      </w:r>
      <w:r>
        <w:rPr>
          <w:szCs w:val="24"/>
          <w:lang w:val="fr-FR"/>
        </w:rPr>
        <w:t>formulées par d</w:t>
      </w:r>
      <w:r w:rsidRPr="00E406FC">
        <w:rPr>
          <w:szCs w:val="24"/>
          <w:lang w:val="fr-FR"/>
        </w:rPr>
        <w:t xml:space="preserve">es États durant l’examen. </w:t>
      </w:r>
      <w:r>
        <w:rPr>
          <w:szCs w:val="24"/>
          <w:lang w:val="fr-FR"/>
        </w:rPr>
        <w:t xml:space="preserve">Un laps de temps est aussi accordé aux </w:t>
      </w:r>
      <w:r w:rsidRPr="00E406FC">
        <w:rPr>
          <w:szCs w:val="24"/>
          <w:lang w:val="fr-FR"/>
        </w:rPr>
        <w:t xml:space="preserve">États membres de l’ONU et </w:t>
      </w:r>
      <w:r>
        <w:rPr>
          <w:szCs w:val="24"/>
          <w:lang w:val="fr-FR"/>
        </w:rPr>
        <w:t xml:space="preserve">aux </w:t>
      </w:r>
      <w:r w:rsidRPr="00E406FC">
        <w:rPr>
          <w:szCs w:val="24"/>
          <w:lang w:val="fr-FR"/>
        </w:rPr>
        <w:t>États observateurs qui souhaitent exprimer leur point de vue concernant</w:t>
      </w:r>
      <w:r>
        <w:rPr>
          <w:szCs w:val="24"/>
          <w:lang w:val="fr-FR"/>
        </w:rPr>
        <w:t xml:space="preserve"> le résultat de l’examen</w:t>
      </w:r>
      <w:r w:rsidRPr="00E406FC">
        <w:rPr>
          <w:szCs w:val="24"/>
          <w:lang w:val="fr-FR"/>
        </w:rPr>
        <w:t>, et à d’autres parties prenantes qui souhaitent présenter des observations générales.</w:t>
      </w:r>
    </w:p>
    <w:p w:rsidR="00DE5465" w:rsidRPr="00A8299C" w:rsidRDefault="00DE5465" w:rsidP="00DE5465">
      <w:pPr>
        <w:pStyle w:val="ListParagraph"/>
        <w:ind w:left="0"/>
        <w:jc w:val="both"/>
        <w:rPr>
          <w:szCs w:val="24"/>
          <w:lang w:val="fr-FR"/>
        </w:rPr>
      </w:pPr>
    </w:p>
    <w:p w:rsidR="00DE5465" w:rsidRPr="00EC3185" w:rsidRDefault="00DE5465" w:rsidP="00DE5465">
      <w:pPr>
        <w:pStyle w:val="ListParagraph"/>
        <w:numPr>
          <w:ilvl w:val="0"/>
          <w:numId w:val="13"/>
        </w:numPr>
        <w:ind w:left="0" w:firstLine="0"/>
        <w:contextualSpacing/>
        <w:jc w:val="both"/>
        <w:rPr>
          <w:szCs w:val="24"/>
          <w:lang w:val="fr-FR"/>
        </w:rPr>
      </w:pPr>
      <w:r w:rsidRPr="001D661E">
        <w:rPr>
          <w:szCs w:val="24"/>
          <w:lang w:val="fr-FR"/>
        </w:rPr>
        <w:t>Il incombe au premier chef à l’</w:t>
      </w:r>
      <w:r>
        <w:rPr>
          <w:szCs w:val="24"/>
          <w:lang w:val="fr-FR"/>
        </w:rPr>
        <w:t>État</w:t>
      </w:r>
      <w:r w:rsidRPr="001D661E">
        <w:rPr>
          <w:szCs w:val="24"/>
          <w:lang w:val="fr-FR"/>
        </w:rPr>
        <w:t xml:space="preserve"> d’appliquer les recommandation</w:t>
      </w:r>
      <w:r>
        <w:rPr>
          <w:szCs w:val="24"/>
          <w:lang w:val="fr-FR"/>
        </w:rPr>
        <w:t xml:space="preserve">s contenues dans le rapport final. Le Groupe de travail sur l’Examen périodique universel veille à ce que tous les pays soient redevables des progrès accomplis ou de l’absence d’application de ces </w:t>
      </w:r>
      <w:r w:rsidRPr="001D661E">
        <w:rPr>
          <w:szCs w:val="24"/>
          <w:lang w:val="fr-FR"/>
        </w:rPr>
        <w:t xml:space="preserve">recommandations. </w:t>
      </w:r>
      <w:r w:rsidRPr="00EC3185">
        <w:rPr>
          <w:szCs w:val="24"/>
          <w:lang w:val="fr-FR"/>
        </w:rPr>
        <w:t>Lors du deuxième examen, il est prévu que l’</w:t>
      </w:r>
      <w:r>
        <w:rPr>
          <w:szCs w:val="24"/>
          <w:lang w:val="fr-FR"/>
        </w:rPr>
        <w:t>État fournisse</w:t>
      </w:r>
      <w:r w:rsidRPr="00EC3185">
        <w:rPr>
          <w:szCs w:val="24"/>
          <w:lang w:val="fr-FR"/>
        </w:rPr>
        <w:t xml:space="preserve"> des informations sur les me</w:t>
      </w:r>
      <w:r>
        <w:rPr>
          <w:szCs w:val="24"/>
          <w:lang w:val="fr-FR"/>
        </w:rPr>
        <w:t>sures prises pour appliquer les</w:t>
      </w:r>
      <w:r w:rsidRPr="00EC3185">
        <w:rPr>
          <w:szCs w:val="24"/>
          <w:lang w:val="fr-FR"/>
        </w:rPr>
        <w:t xml:space="preserve"> recommandations </w:t>
      </w:r>
      <w:r>
        <w:rPr>
          <w:szCs w:val="24"/>
          <w:lang w:val="fr-FR"/>
        </w:rPr>
        <w:t xml:space="preserve">faites durant le premier examen, ainsi que sur tout nouveau développement dans le domaine des </w:t>
      </w:r>
      <w:r w:rsidRPr="00EC3185">
        <w:rPr>
          <w:szCs w:val="24"/>
          <w:lang w:val="fr-FR"/>
        </w:rPr>
        <w:t>droits de l’homme. La communauté international</w:t>
      </w:r>
      <w:r>
        <w:rPr>
          <w:szCs w:val="24"/>
          <w:lang w:val="fr-FR"/>
        </w:rPr>
        <w:t>e</w:t>
      </w:r>
      <w:r w:rsidRPr="00EC3185">
        <w:rPr>
          <w:szCs w:val="24"/>
          <w:lang w:val="fr-FR"/>
        </w:rPr>
        <w:t xml:space="preserve"> aidera à appliquer les recommandation</w:t>
      </w:r>
      <w:r>
        <w:rPr>
          <w:szCs w:val="24"/>
          <w:lang w:val="fr-FR"/>
        </w:rPr>
        <w:t xml:space="preserve">s et les </w:t>
      </w:r>
      <w:r w:rsidRPr="00EC3185">
        <w:rPr>
          <w:szCs w:val="24"/>
          <w:lang w:val="fr-FR"/>
        </w:rPr>
        <w:t xml:space="preserve">conclusions </w:t>
      </w:r>
      <w:r>
        <w:rPr>
          <w:szCs w:val="24"/>
          <w:lang w:val="fr-FR"/>
        </w:rPr>
        <w:t>en matière de renforcement des capacités et d’</w:t>
      </w:r>
      <w:r w:rsidRPr="00EC3185">
        <w:rPr>
          <w:szCs w:val="24"/>
          <w:lang w:val="fr-FR"/>
        </w:rPr>
        <w:t>assistance</w:t>
      </w:r>
      <w:r>
        <w:rPr>
          <w:szCs w:val="24"/>
          <w:lang w:val="fr-FR"/>
        </w:rPr>
        <w:t xml:space="preserve"> technique, en consultation avec l’État exami</w:t>
      </w:r>
      <w:r w:rsidRPr="00EC3185">
        <w:rPr>
          <w:szCs w:val="24"/>
          <w:lang w:val="fr-FR"/>
        </w:rPr>
        <w:t>n</w:t>
      </w:r>
      <w:r>
        <w:rPr>
          <w:szCs w:val="24"/>
          <w:lang w:val="fr-FR"/>
        </w:rPr>
        <w:t>é</w:t>
      </w:r>
      <w:r w:rsidRPr="00EC3185">
        <w:rPr>
          <w:szCs w:val="24"/>
          <w:lang w:val="fr-FR"/>
        </w:rPr>
        <w:t>. Si besoin, le Conseil décidera</w:t>
      </w:r>
      <w:r>
        <w:rPr>
          <w:szCs w:val="24"/>
          <w:lang w:val="fr-FR"/>
        </w:rPr>
        <w:t xml:space="preserve"> des mesures à prendre lorsque des</w:t>
      </w:r>
      <w:r w:rsidRPr="00EC3185">
        <w:rPr>
          <w:szCs w:val="24"/>
          <w:lang w:val="fr-FR"/>
        </w:rPr>
        <w:t xml:space="preserve"> </w:t>
      </w:r>
      <w:r>
        <w:rPr>
          <w:szCs w:val="24"/>
          <w:lang w:val="fr-FR"/>
        </w:rPr>
        <w:t>États</w:t>
      </w:r>
      <w:r w:rsidRPr="00EC3185">
        <w:rPr>
          <w:szCs w:val="24"/>
          <w:lang w:val="fr-FR"/>
        </w:rPr>
        <w:t xml:space="preserve"> ne coopère</w:t>
      </w:r>
      <w:r>
        <w:rPr>
          <w:szCs w:val="24"/>
          <w:lang w:val="fr-FR"/>
        </w:rPr>
        <w:t>nt</w:t>
      </w:r>
      <w:r w:rsidRPr="00EC3185">
        <w:rPr>
          <w:szCs w:val="24"/>
          <w:lang w:val="fr-FR"/>
        </w:rPr>
        <w:t xml:space="preserve"> pas.</w:t>
      </w:r>
    </w:p>
    <w:p w:rsidR="00DE5465" w:rsidRPr="00A1231A" w:rsidRDefault="00DE5465" w:rsidP="00A1231A">
      <w:pPr>
        <w:rPr>
          <w:szCs w:val="24"/>
          <w:lang w:val="fr-FR"/>
        </w:rPr>
      </w:pPr>
    </w:p>
    <w:p w:rsidR="00DE5465" w:rsidRPr="00155AAC" w:rsidRDefault="00DE5465" w:rsidP="00DE5465">
      <w:pPr>
        <w:pStyle w:val="ListParagraph"/>
        <w:numPr>
          <w:ilvl w:val="0"/>
          <w:numId w:val="13"/>
        </w:numPr>
        <w:ind w:left="0" w:firstLine="0"/>
        <w:contextualSpacing/>
        <w:jc w:val="both"/>
        <w:rPr>
          <w:szCs w:val="24"/>
          <w:lang w:val="fr-FR"/>
        </w:rPr>
      </w:pPr>
      <w:r w:rsidRPr="00EC3185">
        <w:rPr>
          <w:bCs/>
          <w:szCs w:val="24"/>
          <w:lang w:val="fr-FR"/>
        </w:rPr>
        <w:t xml:space="preserve">Les observateurs ont </w:t>
      </w:r>
      <w:r>
        <w:rPr>
          <w:bCs/>
          <w:szCs w:val="24"/>
          <w:lang w:val="fr-FR"/>
        </w:rPr>
        <w:t xml:space="preserve">noté plusieurs aspects positifs concernant le </w:t>
      </w:r>
      <w:r w:rsidRPr="00EC3185">
        <w:rPr>
          <w:bCs/>
          <w:szCs w:val="24"/>
          <w:lang w:val="fr-FR"/>
        </w:rPr>
        <w:t xml:space="preserve">premier cycle d’examens </w:t>
      </w:r>
      <w:r>
        <w:rPr>
          <w:bCs/>
          <w:szCs w:val="24"/>
          <w:lang w:val="fr-FR"/>
        </w:rPr>
        <w:t>par le Groupe de travail sur</w:t>
      </w:r>
      <w:r w:rsidRPr="00EC3185">
        <w:rPr>
          <w:bCs/>
          <w:szCs w:val="24"/>
          <w:lang w:val="fr-FR"/>
        </w:rPr>
        <w:t xml:space="preserve"> l’Examen périodique universel.</w:t>
      </w:r>
      <w:r>
        <w:rPr>
          <w:bCs/>
          <w:szCs w:val="24"/>
          <w:lang w:val="fr-FR"/>
        </w:rPr>
        <w:t xml:space="preserve"> Ils ont fait observer</w:t>
      </w:r>
      <w:r w:rsidRPr="00EC3185">
        <w:rPr>
          <w:bCs/>
          <w:szCs w:val="24"/>
          <w:lang w:val="fr-FR"/>
        </w:rPr>
        <w:t xml:space="preserve"> que les </w:t>
      </w:r>
      <w:r>
        <w:rPr>
          <w:bCs/>
          <w:szCs w:val="24"/>
          <w:lang w:val="fr-FR"/>
        </w:rPr>
        <w:t>État</w:t>
      </w:r>
      <w:r w:rsidRPr="00EC3185">
        <w:rPr>
          <w:bCs/>
          <w:szCs w:val="24"/>
          <w:lang w:val="fr-FR"/>
        </w:rPr>
        <w:t xml:space="preserve">s ont été très engagés dans la procédure, y compris au niveau </w:t>
      </w:r>
      <w:r>
        <w:rPr>
          <w:bCs/>
          <w:szCs w:val="24"/>
          <w:lang w:val="fr-FR"/>
        </w:rPr>
        <w:t>ministériel, que le processus</w:t>
      </w:r>
      <w:r w:rsidRPr="00EC3185">
        <w:rPr>
          <w:bCs/>
          <w:szCs w:val="24"/>
          <w:lang w:val="fr-FR"/>
        </w:rPr>
        <w:t xml:space="preserve"> </w:t>
      </w:r>
      <w:r>
        <w:rPr>
          <w:bCs/>
          <w:szCs w:val="24"/>
          <w:lang w:val="fr-FR"/>
        </w:rPr>
        <w:t>avait abouti à une plus grande communication entre les g</w:t>
      </w:r>
      <w:r w:rsidRPr="00EC3185">
        <w:rPr>
          <w:bCs/>
          <w:szCs w:val="24"/>
          <w:lang w:val="fr-FR"/>
        </w:rPr>
        <w:t>o</w:t>
      </w:r>
      <w:r>
        <w:rPr>
          <w:bCs/>
          <w:szCs w:val="24"/>
          <w:lang w:val="fr-FR"/>
        </w:rPr>
        <w:t>u</w:t>
      </w:r>
      <w:r w:rsidRPr="00EC3185">
        <w:rPr>
          <w:bCs/>
          <w:szCs w:val="24"/>
          <w:lang w:val="fr-FR"/>
        </w:rPr>
        <w:t>vern</w:t>
      </w:r>
      <w:r>
        <w:rPr>
          <w:bCs/>
          <w:szCs w:val="24"/>
          <w:lang w:val="fr-FR"/>
        </w:rPr>
        <w:t>ements et les acteurs non étatiques, et qu’il avait</w:t>
      </w:r>
      <w:r w:rsidRPr="00EC3185">
        <w:rPr>
          <w:bCs/>
          <w:szCs w:val="24"/>
          <w:lang w:val="fr-FR"/>
        </w:rPr>
        <w:t xml:space="preserve"> </w:t>
      </w:r>
      <w:r>
        <w:rPr>
          <w:bCs/>
          <w:szCs w:val="24"/>
          <w:lang w:val="fr-FR"/>
        </w:rPr>
        <w:t xml:space="preserve">produit une série de documents de référence. </w:t>
      </w:r>
      <w:r w:rsidRPr="00EC3185">
        <w:rPr>
          <w:bCs/>
          <w:szCs w:val="24"/>
          <w:lang w:val="fr-FR"/>
        </w:rPr>
        <w:t xml:space="preserve">De plus, l’Examen périodique universel était devenu un outil important </w:t>
      </w:r>
      <w:r>
        <w:rPr>
          <w:bCs/>
          <w:szCs w:val="24"/>
          <w:lang w:val="fr-FR"/>
        </w:rPr>
        <w:t xml:space="preserve">pour </w:t>
      </w:r>
      <w:r w:rsidRPr="00EC3185">
        <w:rPr>
          <w:bCs/>
          <w:szCs w:val="24"/>
          <w:lang w:val="fr-FR"/>
        </w:rPr>
        <w:t>recenser les domain</w:t>
      </w:r>
      <w:r>
        <w:rPr>
          <w:bCs/>
          <w:szCs w:val="24"/>
          <w:lang w:val="fr-FR"/>
        </w:rPr>
        <w:t>e</w:t>
      </w:r>
      <w:r w:rsidRPr="00EC3185">
        <w:rPr>
          <w:bCs/>
          <w:szCs w:val="24"/>
          <w:lang w:val="fr-FR"/>
        </w:rPr>
        <w:t xml:space="preserve">s </w:t>
      </w:r>
      <w:r>
        <w:rPr>
          <w:bCs/>
          <w:szCs w:val="24"/>
          <w:lang w:val="fr-FR"/>
        </w:rPr>
        <w:t>dans lesquels une assistance technique et un renforcement des capacités</w:t>
      </w:r>
      <w:r w:rsidRPr="00EC3185">
        <w:rPr>
          <w:bCs/>
          <w:szCs w:val="24"/>
          <w:lang w:val="fr-FR"/>
        </w:rPr>
        <w:t xml:space="preserve"> </w:t>
      </w:r>
      <w:r>
        <w:rPr>
          <w:bCs/>
          <w:szCs w:val="24"/>
          <w:lang w:val="fr-FR"/>
        </w:rPr>
        <w:t xml:space="preserve">étaient nécessaires, et pour inciter les États à ratifier les traités relatifs aux </w:t>
      </w:r>
      <w:r w:rsidRPr="00EC3185">
        <w:rPr>
          <w:bCs/>
          <w:szCs w:val="24"/>
          <w:lang w:val="fr-FR"/>
        </w:rPr>
        <w:t xml:space="preserve">droits de l’homme. Les </w:t>
      </w:r>
      <w:r>
        <w:rPr>
          <w:bCs/>
          <w:szCs w:val="24"/>
          <w:lang w:val="fr-FR"/>
        </w:rPr>
        <w:t>État</w:t>
      </w:r>
      <w:r w:rsidRPr="00EC3185">
        <w:rPr>
          <w:bCs/>
          <w:szCs w:val="24"/>
          <w:lang w:val="fr-FR"/>
        </w:rPr>
        <w:t xml:space="preserve">s </w:t>
      </w:r>
      <w:r>
        <w:rPr>
          <w:bCs/>
          <w:szCs w:val="24"/>
          <w:lang w:val="fr-FR"/>
        </w:rPr>
        <w:t>ont aussi accepté la plupart des</w:t>
      </w:r>
      <w:r w:rsidRPr="00EC3185">
        <w:rPr>
          <w:bCs/>
          <w:szCs w:val="24"/>
          <w:lang w:val="fr-FR"/>
        </w:rPr>
        <w:t xml:space="preserve"> recommandation</w:t>
      </w:r>
      <w:r>
        <w:rPr>
          <w:bCs/>
          <w:szCs w:val="24"/>
          <w:lang w:val="fr-FR"/>
        </w:rPr>
        <w:t>s incluses dans les rapports finals</w:t>
      </w:r>
      <w:r w:rsidRPr="00EC3185">
        <w:rPr>
          <w:bCs/>
          <w:szCs w:val="24"/>
          <w:lang w:val="fr-FR"/>
        </w:rPr>
        <w:t xml:space="preserve">. </w:t>
      </w:r>
      <w:r w:rsidRPr="00155AAC">
        <w:rPr>
          <w:bCs/>
          <w:szCs w:val="24"/>
          <w:lang w:val="fr-FR"/>
        </w:rPr>
        <w:t xml:space="preserve">Cependant, il est peut-être </w:t>
      </w:r>
      <w:r>
        <w:rPr>
          <w:bCs/>
          <w:szCs w:val="24"/>
          <w:lang w:val="fr-FR"/>
        </w:rPr>
        <w:t>encore trop tôt pour dire</w:t>
      </w:r>
      <w:r w:rsidRPr="00155AAC">
        <w:rPr>
          <w:bCs/>
          <w:szCs w:val="24"/>
          <w:lang w:val="fr-FR"/>
        </w:rPr>
        <w:t xml:space="preserve"> si le respect </w:t>
      </w:r>
      <w:r>
        <w:rPr>
          <w:bCs/>
          <w:szCs w:val="24"/>
          <w:lang w:val="fr-FR"/>
        </w:rPr>
        <w:t xml:space="preserve">par les États </w:t>
      </w:r>
      <w:r w:rsidRPr="00155AAC">
        <w:rPr>
          <w:bCs/>
          <w:szCs w:val="24"/>
          <w:lang w:val="fr-FR"/>
        </w:rPr>
        <w:t xml:space="preserve">des </w:t>
      </w:r>
      <w:r>
        <w:rPr>
          <w:bCs/>
          <w:szCs w:val="24"/>
          <w:lang w:val="fr-FR"/>
        </w:rPr>
        <w:t xml:space="preserve">normes relatives aux </w:t>
      </w:r>
      <w:r w:rsidRPr="00155AAC">
        <w:rPr>
          <w:bCs/>
          <w:szCs w:val="24"/>
          <w:lang w:val="fr-FR"/>
        </w:rPr>
        <w:t xml:space="preserve">droits de l’homme </w:t>
      </w:r>
      <w:r>
        <w:rPr>
          <w:bCs/>
          <w:szCs w:val="24"/>
          <w:lang w:val="fr-FR"/>
        </w:rPr>
        <w:t xml:space="preserve">a connu une réelle amélioration </w:t>
      </w:r>
      <w:r w:rsidRPr="00155AAC">
        <w:rPr>
          <w:bCs/>
          <w:szCs w:val="24"/>
          <w:lang w:val="fr-FR"/>
        </w:rPr>
        <w:t xml:space="preserve">(McMahon 2012; </w:t>
      </w:r>
      <w:proofErr w:type="spellStart"/>
      <w:r w:rsidRPr="00155AAC">
        <w:rPr>
          <w:bCs/>
          <w:szCs w:val="24"/>
          <w:lang w:val="fr-FR"/>
        </w:rPr>
        <w:t>Domínguez-Redondo</w:t>
      </w:r>
      <w:proofErr w:type="spellEnd"/>
      <w:r w:rsidRPr="00155AAC">
        <w:rPr>
          <w:bCs/>
          <w:szCs w:val="24"/>
          <w:lang w:val="fr-FR"/>
        </w:rPr>
        <w:t xml:space="preserve"> 2012).</w:t>
      </w:r>
    </w:p>
    <w:p w:rsidR="00DE5465" w:rsidRPr="00155AAC" w:rsidRDefault="00DE5465" w:rsidP="00DE5465">
      <w:pPr>
        <w:jc w:val="both"/>
        <w:rPr>
          <w:szCs w:val="24"/>
          <w:lang w:val="fr-FR"/>
        </w:rPr>
      </w:pPr>
    </w:p>
    <w:p w:rsidR="00DE5465" w:rsidRPr="002C6A80" w:rsidRDefault="00DE5465" w:rsidP="00DE5465">
      <w:pPr>
        <w:rPr>
          <w:szCs w:val="24"/>
          <w:lang w:val="fr-FR"/>
        </w:rPr>
      </w:pPr>
      <w:r>
        <w:rPr>
          <w:b/>
          <w:szCs w:val="24"/>
          <w:lang w:val="fr-FR"/>
        </w:rPr>
        <w:t>Questions à examiner lors de la conception</w:t>
      </w:r>
      <w:r w:rsidRPr="002C6A80">
        <w:rPr>
          <w:b/>
          <w:szCs w:val="24"/>
          <w:lang w:val="fr-FR"/>
        </w:rPr>
        <w:t xml:space="preserve"> </w:t>
      </w:r>
      <w:r>
        <w:rPr>
          <w:b/>
          <w:szCs w:val="24"/>
          <w:lang w:val="fr-FR"/>
        </w:rPr>
        <w:t xml:space="preserve">d’un processus d’examen de </w:t>
      </w:r>
      <w:r w:rsidRPr="002C6A80">
        <w:rPr>
          <w:b/>
          <w:szCs w:val="24"/>
          <w:lang w:val="fr-FR"/>
        </w:rPr>
        <w:t xml:space="preserve">la Convention </w:t>
      </w:r>
    </w:p>
    <w:p w:rsidR="00DE5465" w:rsidRPr="002C6A80" w:rsidRDefault="00DE5465" w:rsidP="00DE5465">
      <w:pPr>
        <w:jc w:val="both"/>
        <w:rPr>
          <w:szCs w:val="24"/>
          <w:lang w:val="fr-FR"/>
        </w:rPr>
      </w:pPr>
    </w:p>
    <w:p w:rsidR="00DE5465" w:rsidRPr="00155AAC" w:rsidRDefault="00DE5465" w:rsidP="00DE5465">
      <w:pPr>
        <w:pStyle w:val="ListParagraph"/>
        <w:numPr>
          <w:ilvl w:val="0"/>
          <w:numId w:val="13"/>
        </w:numPr>
        <w:ind w:left="0" w:firstLine="0"/>
        <w:contextualSpacing/>
        <w:jc w:val="both"/>
        <w:rPr>
          <w:szCs w:val="24"/>
          <w:lang w:val="fr-FR"/>
        </w:rPr>
      </w:pPr>
      <w:r w:rsidRPr="00155AAC">
        <w:rPr>
          <w:szCs w:val="24"/>
          <w:lang w:val="fr-FR"/>
        </w:rPr>
        <w:t>Les Parties à la CMS doiv</w:t>
      </w:r>
      <w:r>
        <w:rPr>
          <w:szCs w:val="24"/>
          <w:lang w:val="fr-FR"/>
        </w:rPr>
        <w:t xml:space="preserve">ent examiner </w:t>
      </w:r>
      <w:r w:rsidRPr="00155AAC">
        <w:rPr>
          <w:szCs w:val="24"/>
          <w:lang w:val="fr-FR"/>
        </w:rPr>
        <w:t xml:space="preserve">plusieurs questions </w:t>
      </w:r>
      <w:r>
        <w:rPr>
          <w:szCs w:val="24"/>
          <w:lang w:val="fr-FR"/>
        </w:rPr>
        <w:t>lors de la conception d’un</w:t>
      </w:r>
      <w:r w:rsidRPr="00155AAC">
        <w:rPr>
          <w:szCs w:val="24"/>
          <w:lang w:val="fr-FR"/>
        </w:rPr>
        <w:t xml:space="preserve"> </w:t>
      </w:r>
      <w:r>
        <w:rPr>
          <w:szCs w:val="24"/>
          <w:lang w:val="fr-FR"/>
        </w:rPr>
        <w:t xml:space="preserve">processus d’examen, y compris les questions ci-après </w:t>
      </w:r>
      <w:r w:rsidRPr="00155AAC">
        <w:rPr>
          <w:szCs w:val="24"/>
          <w:lang w:val="fr-FR"/>
        </w:rPr>
        <w:t>:</w:t>
      </w:r>
    </w:p>
    <w:p w:rsidR="00DE5465" w:rsidRPr="00155AAC" w:rsidRDefault="00DE5465" w:rsidP="00DE5465">
      <w:pPr>
        <w:pStyle w:val="ListParagraph"/>
        <w:ind w:left="0"/>
        <w:jc w:val="both"/>
        <w:rPr>
          <w:szCs w:val="24"/>
          <w:lang w:val="fr-FR"/>
        </w:rPr>
      </w:pPr>
    </w:p>
    <w:p w:rsidR="00DE5465" w:rsidRPr="00322CC5" w:rsidRDefault="00DE5465" w:rsidP="00DE5465">
      <w:pPr>
        <w:pStyle w:val="ListParagraph"/>
        <w:numPr>
          <w:ilvl w:val="1"/>
          <w:numId w:val="13"/>
        </w:numPr>
        <w:ind w:left="1418" w:hanging="709"/>
        <w:contextualSpacing/>
        <w:jc w:val="both"/>
        <w:rPr>
          <w:szCs w:val="24"/>
          <w:lang w:val="fr-FR"/>
        </w:rPr>
      </w:pPr>
      <w:r>
        <w:rPr>
          <w:szCs w:val="24"/>
          <w:lang w:val="fr-FR"/>
        </w:rPr>
        <w:t>Quel sera le type</w:t>
      </w:r>
      <w:r w:rsidRPr="00322CC5">
        <w:rPr>
          <w:szCs w:val="24"/>
          <w:lang w:val="fr-FR"/>
        </w:rPr>
        <w:t xml:space="preserve"> de co</w:t>
      </w:r>
      <w:r>
        <w:rPr>
          <w:szCs w:val="24"/>
          <w:lang w:val="fr-FR"/>
        </w:rPr>
        <w:t>nception de base du processus</w:t>
      </w:r>
      <w:r w:rsidRPr="00322CC5">
        <w:rPr>
          <w:szCs w:val="24"/>
          <w:lang w:val="fr-FR"/>
        </w:rPr>
        <w:t xml:space="preserve"> et quelle </w:t>
      </w:r>
      <w:r>
        <w:rPr>
          <w:szCs w:val="24"/>
          <w:lang w:val="fr-FR"/>
        </w:rPr>
        <w:t>action déclenchera ce processus</w:t>
      </w:r>
      <w:r w:rsidRPr="00322CC5">
        <w:rPr>
          <w:szCs w:val="24"/>
          <w:lang w:val="fr-FR"/>
        </w:rPr>
        <w:t>?</w:t>
      </w:r>
    </w:p>
    <w:p w:rsidR="00DE5465" w:rsidRPr="00322CC5" w:rsidRDefault="00DE5465" w:rsidP="00DE5465">
      <w:pPr>
        <w:pStyle w:val="ListParagraph"/>
        <w:numPr>
          <w:ilvl w:val="1"/>
          <w:numId w:val="13"/>
        </w:numPr>
        <w:ind w:left="1418" w:hanging="709"/>
        <w:contextualSpacing/>
        <w:jc w:val="both"/>
        <w:rPr>
          <w:szCs w:val="24"/>
          <w:lang w:val="fr-FR"/>
        </w:rPr>
      </w:pPr>
      <w:r w:rsidRPr="00322CC5">
        <w:rPr>
          <w:szCs w:val="24"/>
          <w:lang w:val="fr-FR"/>
        </w:rPr>
        <w:t>Combien de Parties devraient être inc</w:t>
      </w:r>
      <w:r>
        <w:rPr>
          <w:szCs w:val="24"/>
          <w:lang w:val="fr-FR"/>
        </w:rPr>
        <w:t>luses dans le comité d’exame</w:t>
      </w:r>
      <w:r w:rsidRPr="00322CC5">
        <w:rPr>
          <w:szCs w:val="24"/>
          <w:lang w:val="fr-FR"/>
        </w:rPr>
        <w:t>n?</w:t>
      </w:r>
    </w:p>
    <w:p w:rsidR="00DE5465" w:rsidRPr="00322CC5" w:rsidRDefault="00DE5465" w:rsidP="00DE5465">
      <w:pPr>
        <w:pStyle w:val="ListParagraph"/>
        <w:numPr>
          <w:ilvl w:val="1"/>
          <w:numId w:val="13"/>
        </w:numPr>
        <w:ind w:left="1418" w:hanging="709"/>
        <w:contextualSpacing/>
        <w:jc w:val="both"/>
        <w:rPr>
          <w:szCs w:val="24"/>
          <w:lang w:val="fr-FR"/>
        </w:rPr>
      </w:pPr>
      <w:r>
        <w:rPr>
          <w:szCs w:val="24"/>
          <w:lang w:val="fr-FR"/>
        </w:rPr>
        <w:t>Pendant quelle durée</w:t>
      </w:r>
      <w:r w:rsidRPr="00322CC5">
        <w:rPr>
          <w:szCs w:val="24"/>
          <w:lang w:val="fr-FR"/>
        </w:rPr>
        <w:t xml:space="preserve"> les membres</w:t>
      </w:r>
      <w:r>
        <w:rPr>
          <w:szCs w:val="24"/>
          <w:lang w:val="fr-FR"/>
        </w:rPr>
        <w:t xml:space="preserve"> siègeront-ils au sein du comité d’examen</w:t>
      </w:r>
      <w:r w:rsidRPr="00322CC5">
        <w:rPr>
          <w:szCs w:val="24"/>
          <w:lang w:val="fr-FR"/>
        </w:rPr>
        <w:t>?</w:t>
      </w:r>
    </w:p>
    <w:p w:rsidR="00DE5465" w:rsidRPr="00322CC5" w:rsidRDefault="00DE5465" w:rsidP="00DE5465">
      <w:pPr>
        <w:pStyle w:val="ListParagraph"/>
        <w:numPr>
          <w:ilvl w:val="1"/>
          <w:numId w:val="13"/>
        </w:numPr>
        <w:ind w:left="1418" w:hanging="709"/>
        <w:contextualSpacing/>
        <w:jc w:val="both"/>
        <w:rPr>
          <w:szCs w:val="24"/>
          <w:lang w:val="fr-FR"/>
        </w:rPr>
      </w:pPr>
      <w:r>
        <w:rPr>
          <w:szCs w:val="24"/>
          <w:lang w:val="fr-FR"/>
        </w:rPr>
        <w:t>Est-ce que le comité d’examen</w:t>
      </w:r>
      <w:r w:rsidRPr="00322CC5">
        <w:rPr>
          <w:szCs w:val="24"/>
          <w:lang w:val="fr-FR"/>
        </w:rPr>
        <w:t xml:space="preserve"> ou les Parties au</w:t>
      </w:r>
      <w:r>
        <w:rPr>
          <w:szCs w:val="24"/>
          <w:lang w:val="fr-FR"/>
        </w:rPr>
        <w:t xml:space="preserve">ront une compétence finale pour faire des </w:t>
      </w:r>
      <w:r w:rsidRPr="00322CC5">
        <w:rPr>
          <w:szCs w:val="24"/>
          <w:lang w:val="fr-FR"/>
        </w:rPr>
        <w:t>recommandation</w:t>
      </w:r>
      <w:r>
        <w:rPr>
          <w:szCs w:val="24"/>
          <w:lang w:val="fr-FR"/>
        </w:rPr>
        <w:t xml:space="preserve">s visant à améliorer le </w:t>
      </w:r>
      <w:r w:rsidRPr="00322CC5">
        <w:rPr>
          <w:szCs w:val="24"/>
          <w:lang w:val="fr-FR"/>
        </w:rPr>
        <w:t>respect</w:t>
      </w:r>
      <w:r>
        <w:rPr>
          <w:szCs w:val="24"/>
          <w:lang w:val="fr-FR"/>
        </w:rPr>
        <w:t xml:space="preserve"> des dispositions de la Convention</w:t>
      </w:r>
      <w:r w:rsidRPr="00322CC5">
        <w:rPr>
          <w:szCs w:val="24"/>
          <w:lang w:val="fr-FR"/>
        </w:rPr>
        <w:t>?</w:t>
      </w:r>
    </w:p>
    <w:p w:rsidR="00DE5465" w:rsidRPr="00322CC5" w:rsidRDefault="00DE5465" w:rsidP="00DE5465">
      <w:pPr>
        <w:pStyle w:val="ListParagraph"/>
        <w:numPr>
          <w:ilvl w:val="1"/>
          <w:numId w:val="13"/>
        </w:numPr>
        <w:ind w:left="1418" w:hanging="709"/>
        <w:contextualSpacing/>
        <w:jc w:val="both"/>
        <w:rPr>
          <w:szCs w:val="24"/>
          <w:lang w:val="fr-FR"/>
        </w:rPr>
      </w:pPr>
      <w:r w:rsidRPr="00322CC5">
        <w:rPr>
          <w:szCs w:val="24"/>
          <w:lang w:val="fr-FR"/>
        </w:rPr>
        <w:t>Qui pourra déclench</w:t>
      </w:r>
      <w:r>
        <w:rPr>
          <w:szCs w:val="24"/>
          <w:lang w:val="fr-FR"/>
        </w:rPr>
        <w:t>er ou participer autrement au processus d’examen</w:t>
      </w:r>
      <w:r w:rsidRPr="00322CC5">
        <w:rPr>
          <w:szCs w:val="24"/>
          <w:lang w:val="fr-FR"/>
        </w:rPr>
        <w:t>?</w:t>
      </w:r>
    </w:p>
    <w:p w:rsidR="00DE5465" w:rsidRPr="00322CC5" w:rsidRDefault="00DE5465" w:rsidP="00DE5465">
      <w:pPr>
        <w:jc w:val="both"/>
        <w:rPr>
          <w:szCs w:val="24"/>
          <w:lang w:val="fr-FR"/>
        </w:rPr>
      </w:pPr>
    </w:p>
    <w:p w:rsidR="00DE5465" w:rsidRPr="0098732E" w:rsidRDefault="00DE5465" w:rsidP="00DE5465">
      <w:pPr>
        <w:jc w:val="both"/>
        <w:rPr>
          <w:szCs w:val="24"/>
        </w:rPr>
      </w:pPr>
      <w:r>
        <w:rPr>
          <w:i/>
          <w:szCs w:val="24"/>
        </w:rPr>
        <w:t>Conception de base</w:t>
      </w:r>
    </w:p>
    <w:p w:rsidR="00DE5465" w:rsidRPr="0098732E" w:rsidRDefault="00DE5465" w:rsidP="00DE5465">
      <w:pPr>
        <w:jc w:val="both"/>
        <w:rPr>
          <w:szCs w:val="24"/>
        </w:rPr>
      </w:pPr>
    </w:p>
    <w:p w:rsidR="00DE5465" w:rsidRPr="00322CC5" w:rsidRDefault="00DE5465" w:rsidP="00DE5465">
      <w:pPr>
        <w:pStyle w:val="ListParagraph"/>
        <w:numPr>
          <w:ilvl w:val="0"/>
          <w:numId w:val="13"/>
        </w:numPr>
        <w:ind w:left="0" w:firstLine="0"/>
        <w:contextualSpacing/>
        <w:jc w:val="both"/>
        <w:rPr>
          <w:szCs w:val="24"/>
          <w:lang w:val="fr-FR"/>
        </w:rPr>
      </w:pPr>
      <w:r w:rsidRPr="00322CC5">
        <w:rPr>
          <w:szCs w:val="24"/>
          <w:lang w:val="fr-FR"/>
        </w:rPr>
        <w:t xml:space="preserve">Comme </w:t>
      </w:r>
      <w:r>
        <w:rPr>
          <w:szCs w:val="24"/>
          <w:lang w:val="fr-FR"/>
        </w:rPr>
        <w:t xml:space="preserve">il a été </w:t>
      </w:r>
      <w:r w:rsidRPr="00322CC5">
        <w:rPr>
          <w:szCs w:val="24"/>
          <w:lang w:val="fr-FR"/>
        </w:rPr>
        <w:t xml:space="preserve">noté plus haut, les AME et d’autres accords </w:t>
      </w:r>
      <w:r>
        <w:rPr>
          <w:szCs w:val="24"/>
          <w:lang w:val="fr-FR"/>
        </w:rPr>
        <w:t>ont retenu différentes approches pour les processus liés au respect des accords</w:t>
      </w:r>
      <w:r w:rsidRPr="00322CC5">
        <w:rPr>
          <w:szCs w:val="24"/>
          <w:lang w:val="fr-FR"/>
        </w:rPr>
        <w:t xml:space="preserve">. L’approche </w:t>
      </w:r>
      <w:r>
        <w:rPr>
          <w:szCs w:val="24"/>
          <w:lang w:val="fr-FR"/>
        </w:rPr>
        <w:t>retenue déterminera si le</w:t>
      </w:r>
      <w:r w:rsidRPr="00322CC5">
        <w:rPr>
          <w:szCs w:val="24"/>
          <w:lang w:val="fr-FR"/>
        </w:rPr>
        <w:t xml:space="preserve"> </w:t>
      </w:r>
      <w:r>
        <w:rPr>
          <w:szCs w:val="24"/>
          <w:lang w:val="fr-FR"/>
        </w:rPr>
        <w:t>processus :</w:t>
      </w:r>
      <w:r w:rsidRPr="00322CC5">
        <w:rPr>
          <w:szCs w:val="24"/>
          <w:lang w:val="fr-FR"/>
        </w:rPr>
        <w:t xml:space="preserve"> 1) </w:t>
      </w:r>
      <w:r>
        <w:rPr>
          <w:szCs w:val="24"/>
          <w:lang w:val="fr-FR"/>
        </w:rPr>
        <w:t xml:space="preserve">traite des questions de </w:t>
      </w:r>
      <w:r w:rsidRPr="00322CC5">
        <w:rPr>
          <w:szCs w:val="24"/>
          <w:lang w:val="fr-FR"/>
        </w:rPr>
        <w:t>non-respect,</w:t>
      </w:r>
      <w:r>
        <w:rPr>
          <w:szCs w:val="24"/>
          <w:lang w:val="fr-FR"/>
        </w:rPr>
        <w:t xml:space="preserve"> comme dans les processus établis par la </w:t>
      </w:r>
      <w:r w:rsidRPr="00322CC5">
        <w:rPr>
          <w:szCs w:val="24"/>
          <w:lang w:val="fr-FR"/>
        </w:rPr>
        <w:t xml:space="preserve">CITES, </w:t>
      </w:r>
      <w:r>
        <w:rPr>
          <w:szCs w:val="24"/>
          <w:lang w:val="fr-FR"/>
        </w:rPr>
        <w:t xml:space="preserve">le </w:t>
      </w:r>
      <w:r w:rsidRPr="00322CC5">
        <w:rPr>
          <w:szCs w:val="24"/>
          <w:lang w:val="fr-FR"/>
        </w:rPr>
        <w:t xml:space="preserve">Protocole de Montréal </w:t>
      </w:r>
      <w:r>
        <w:rPr>
          <w:szCs w:val="24"/>
          <w:lang w:val="fr-FR"/>
        </w:rPr>
        <w:t>et</w:t>
      </w:r>
      <w:r w:rsidRPr="00322CC5">
        <w:rPr>
          <w:szCs w:val="24"/>
          <w:lang w:val="fr-FR"/>
        </w:rPr>
        <w:t xml:space="preserve"> la Convention de Bâle</w:t>
      </w:r>
      <w:r>
        <w:rPr>
          <w:szCs w:val="24"/>
          <w:lang w:val="fr-FR"/>
        </w:rPr>
        <w:t xml:space="preserve">; 2) aborde </w:t>
      </w:r>
      <w:r w:rsidRPr="00322CC5">
        <w:rPr>
          <w:szCs w:val="24"/>
          <w:lang w:val="fr-FR"/>
        </w:rPr>
        <w:t xml:space="preserve">l’efficacité </w:t>
      </w:r>
      <w:r>
        <w:rPr>
          <w:szCs w:val="24"/>
          <w:lang w:val="fr-FR"/>
        </w:rPr>
        <w:t>des mesures de mise en</w:t>
      </w:r>
      <w:r w:rsidRPr="00322CC5">
        <w:rPr>
          <w:szCs w:val="24"/>
          <w:lang w:val="fr-FR"/>
        </w:rPr>
        <w:t xml:space="preserve"> </w:t>
      </w:r>
      <w:r>
        <w:rPr>
          <w:szCs w:val="24"/>
          <w:lang w:val="fr-FR"/>
        </w:rPr>
        <w:t>œuvre</w:t>
      </w:r>
      <w:r w:rsidRPr="00322CC5">
        <w:rPr>
          <w:szCs w:val="24"/>
          <w:lang w:val="fr-FR"/>
        </w:rPr>
        <w:t xml:space="preserve">, </w:t>
      </w:r>
      <w:r>
        <w:rPr>
          <w:szCs w:val="24"/>
          <w:lang w:val="fr-FR"/>
        </w:rPr>
        <w:t>comme dans la p</w:t>
      </w:r>
      <w:r w:rsidRPr="00322CC5">
        <w:rPr>
          <w:szCs w:val="24"/>
          <w:lang w:val="fr-FR"/>
        </w:rPr>
        <w:t>rocédure d’évaluation</w:t>
      </w:r>
      <w:r>
        <w:rPr>
          <w:szCs w:val="24"/>
          <w:lang w:val="fr-FR"/>
        </w:rPr>
        <w:t xml:space="preserve"> de la mise en œuvre de l’AEWA; </w:t>
      </w:r>
      <w:r w:rsidRPr="00322CC5">
        <w:rPr>
          <w:szCs w:val="24"/>
          <w:lang w:val="fr-FR"/>
        </w:rPr>
        <w:t xml:space="preserve">3) </w:t>
      </w:r>
      <w:r>
        <w:rPr>
          <w:szCs w:val="24"/>
          <w:lang w:val="fr-FR"/>
        </w:rPr>
        <w:t xml:space="preserve">cherche à éviter les situations de </w:t>
      </w:r>
      <w:r w:rsidRPr="00322CC5">
        <w:rPr>
          <w:szCs w:val="24"/>
          <w:lang w:val="fr-FR"/>
        </w:rPr>
        <w:t>non-respect</w:t>
      </w:r>
      <w:r>
        <w:rPr>
          <w:szCs w:val="24"/>
          <w:lang w:val="fr-FR"/>
        </w:rPr>
        <w:t>, comme dans l’</w:t>
      </w:r>
      <w:r w:rsidRPr="00322CC5">
        <w:rPr>
          <w:szCs w:val="24"/>
          <w:lang w:val="fr-FR"/>
        </w:rPr>
        <w:t xml:space="preserve">approche </w:t>
      </w:r>
      <w:r>
        <w:rPr>
          <w:szCs w:val="24"/>
          <w:lang w:val="fr-FR"/>
        </w:rPr>
        <w:t>fondée sur la notification et la consultation de l’</w:t>
      </w:r>
      <w:r w:rsidRPr="00322CC5">
        <w:rPr>
          <w:szCs w:val="24"/>
          <w:lang w:val="fr-FR"/>
        </w:rPr>
        <w:t>Accord</w:t>
      </w:r>
      <w:r>
        <w:rPr>
          <w:szCs w:val="24"/>
          <w:lang w:val="fr-FR"/>
        </w:rPr>
        <w:t xml:space="preserve"> sur les obstacles techniques au commerce; ou 4) associe plusieurs éléments de ces diffé</w:t>
      </w:r>
      <w:r w:rsidRPr="00322CC5">
        <w:rPr>
          <w:szCs w:val="24"/>
          <w:lang w:val="fr-FR"/>
        </w:rPr>
        <w:t>rent</w:t>
      </w:r>
      <w:r>
        <w:rPr>
          <w:szCs w:val="24"/>
          <w:lang w:val="fr-FR"/>
        </w:rPr>
        <w:t>es</w:t>
      </w:r>
      <w:r w:rsidRPr="00322CC5">
        <w:rPr>
          <w:szCs w:val="24"/>
          <w:lang w:val="fr-FR"/>
        </w:rPr>
        <w:t xml:space="preserve"> approches, </w:t>
      </w:r>
      <w:r>
        <w:rPr>
          <w:szCs w:val="24"/>
          <w:lang w:val="fr-FR"/>
        </w:rPr>
        <w:t>comme dans l’Examen périodique universel (EPU).</w:t>
      </w:r>
    </w:p>
    <w:p w:rsidR="00DE5465" w:rsidRPr="00322CC5" w:rsidRDefault="00DE5465" w:rsidP="00DE5465">
      <w:pPr>
        <w:pStyle w:val="ListParagraph"/>
        <w:ind w:left="0"/>
        <w:jc w:val="both"/>
        <w:rPr>
          <w:szCs w:val="24"/>
          <w:lang w:val="fr-FR"/>
        </w:rPr>
      </w:pPr>
    </w:p>
    <w:p w:rsidR="00DE5465" w:rsidRPr="00322CC5" w:rsidRDefault="00DE5465" w:rsidP="00DE5465">
      <w:pPr>
        <w:pStyle w:val="ListParagraph"/>
        <w:ind w:left="0"/>
        <w:jc w:val="both"/>
        <w:rPr>
          <w:i/>
          <w:szCs w:val="24"/>
          <w:lang w:val="fr-FR"/>
        </w:rPr>
      </w:pPr>
      <w:r w:rsidRPr="00322CC5">
        <w:rPr>
          <w:i/>
          <w:szCs w:val="24"/>
          <w:lang w:val="fr-FR"/>
        </w:rPr>
        <w:t>Nombre de Parties</w:t>
      </w:r>
    </w:p>
    <w:p w:rsidR="00DE5465" w:rsidRPr="00322CC5" w:rsidRDefault="00DE5465" w:rsidP="00DE5465">
      <w:pPr>
        <w:pStyle w:val="ListParagraph"/>
        <w:ind w:left="0"/>
        <w:jc w:val="both"/>
        <w:rPr>
          <w:szCs w:val="24"/>
          <w:lang w:val="fr-FR"/>
        </w:rPr>
      </w:pPr>
    </w:p>
    <w:p w:rsidR="00DE5465" w:rsidRPr="005B70AB" w:rsidRDefault="00DE5465" w:rsidP="00DE5465">
      <w:pPr>
        <w:pStyle w:val="ListParagraph"/>
        <w:numPr>
          <w:ilvl w:val="0"/>
          <w:numId w:val="13"/>
        </w:numPr>
        <w:ind w:left="0" w:firstLine="0"/>
        <w:contextualSpacing/>
        <w:jc w:val="both"/>
        <w:rPr>
          <w:bCs/>
          <w:szCs w:val="24"/>
          <w:lang w:val="fr-FR"/>
        </w:rPr>
      </w:pPr>
      <w:r w:rsidRPr="00322CC5">
        <w:rPr>
          <w:szCs w:val="24"/>
          <w:lang w:val="fr-FR"/>
        </w:rPr>
        <w:t xml:space="preserve"> Les AME</w:t>
      </w:r>
      <w:r>
        <w:rPr>
          <w:szCs w:val="24"/>
          <w:lang w:val="fr-FR"/>
        </w:rPr>
        <w:t xml:space="preserve"> et d’</w:t>
      </w:r>
      <w:r w:rsidRPr="00322CC5">
        <w:rPr>
          <w:szCs w:val="24"/>
          <w:lang w:val="fr-FR"/>
        </w:rPr>
        <w:t xml:space="preserve">autres accords </w:t>
      </w:r>
      <w:r>
        <w:rPr>
          <w:szCs w:val="24"/>
          <w:lang w:val="fr-FR"/>
        </w:rPr>
        <w:t>n’ont pas prévu un</w:t>
      </w:r>
      <w:r w:rsidRPr="00322CC5">
        <w:rPr>
          <w:szCs w:val="24"/>
          <w:lang w:val="fr-FR"/>
        </w:rPr>
        <w:t xml:space="preserve"> </w:t>
      </w:r>
      <w:r>
        <w:rPr>
          <w:szCs w:val="24"/>
          <w:lang w:val="fr-FR"/>
        </w:rPr>
        <w:t xml:space="preserve">même </w:t>
      </w:r>
      <w:r w:rsidRPr="00322CC5">
        <w:rPr>
          <w:szCs w:val="24"/>
          <w:lang w:val="fr-FR"/>
        </w:rPr>
        <w:t xml:space="preserve">nombre </w:t>
      </w:r>
      <w:r>
        <w:rPr>
          <w:szCs w:val="24"/>
          <w:lang w:val="fr-FR"/>
        </w:rPr>
        <w:t xml:space="preserve">de </w:t>
      </w:r>
      <w:r w:rsidRPr="00322CC5">
        <w:rPr>
          <w:szCs w:val="24"/>
          <w:lang w:val="fr-FR"/>
        </w:rPr>
        <w:t>membres</w:t>
      </w:r>
      <w:r>
        <w:rPr>
          <w:szCs w:val="24"/>
          <w:lang w:val="fr-FR"/>
        </w:rPr>
        <w:t xml:space="preserve"> pour participer au processus d’examen, mais chaque AME</w:t>
      </w:r>
      <w:r w:rsidRPr="00322CC5">
        <w:rPr>
          <w:szCs w:val="24"/>
          <w:lang w:val="fr-FR"/>
        </w:rPr>
        <w:t xml:space="preserve"> </w:t>
      </w:r>
      <w:r>
        <w:rPr>
          <w:szCs w:val="24"/>
          <w:lang w:val="fr-FR"/>
        </w:rPr>
        <w:t>examiné exige une repré</w:t>
      </w:r>
      <w:r w:rsidRPr="00322CC5">
        <w:rPr>
          <w:szCs w:val="24"/>
          <w:lang w:val="fr-FR"/>
        </w:rPr>
        <w:t>sentation</w:t>
      </w:r>
      <w:r>
        <w:rPr>
          <w:szCs w:val="24"/>
          <w:lang w:val="fr-FR"/>
        </w:rPr>
        <w:t xml:space="preserve"> régionale équilibrée</w:t>
      </w:r>
      <w:r w:rsidRPr="00322CC5">
        <w:rPr>
          <w:szCs w:val="24"/>
          <w:lang w:val="fr-FR"/>
        </w:rPr>
        <w:t xml:space="preserve">. </w:t>
      </w:r>
      <w:r>
        <w:rPr>
          <w:szCs w:val="24"/>
          <w:lang w:val="fr-FR"/>
        </w:rPr>
        <w:t>Dans le cadre de la</w:t>
      </w:r>
      <w:r w:rsidRPr="00322CC5">
        <w:rPr>
          <w:szCs w:val="24"/>
          <w:lang w:val="fr-FR"/>
        </w:rPr>
        <w:t xml:space="preserve"> CITES, le</w:t>
      </w:r>
      <w:r>
        <w:rPr>
          <w:szCs w:val="24"/>
          <w:lang w:val="fr-FR"/>
        </w:rPr>
        <w:t>s</w:t>
      </w:r>
      <w:r w:rsidRPr="00322CC5">
        <w:rPr>
          <w:szCs w:val="24"/>
          <w:lang w:val="fr-FR"/>
        </w:rPr>
        <w:t xml:space="preserve"> 19 membres du Comité permanent</w:t>
      </w:r>
      <w:r>
        <w:rPr>
          <w:szCs w:val="24"/>
          <w:lang w:val="fr-FR"/>
        </w:rPr>
        <w:t xml:space="preserve"> sont issus</w:t>
      </w:r>
      <w:r w:rsidRPr="00322CC5">
        <w:rPr>
          <w:szCs w:val="24"/>
          <w:lang w:val="fr-FR"/>
        </w:rPr>
        <w:t xml:space="preserve"> des six régions géographiques de la CITES (Afrique, Asie, Amérique </w:t>
      </w:r>
      <w:r>
        <w:rPr>
          <w:szCs w:val="24"/>
          <w:lang w:val="fr-FR"/>
        </w:rPr>
        <w:t>C</w:t>
      </w:r>
      <w:r w:rsidRPr="00322CC5">
        <w:rPr>
          <w:szCs w:val="24"/>
          <w:lang w:val="fr-FR"/>
        </w:rPr>
        <w:t>entral</w:t>
      </w:r>
      <w:r>
        <w:rPr>
          <w:szCs w:val="24"/>
          <w:lang w:val="fr-FR"/>
        </w:rPr>
        <w:t xml:space="preserve">e et Amérique du Sud et </w:t>
      </w:r>
      <w:r w:rsidRPr="00322CC5">
        <w:rPr>
          <w:szCs w:val="24"/>
          <w:lang w:val="fr-FR"/>
        </w:rPr>
        <w:t>Car</w:t>
      </w:r>
      <w:r>
        <w:rPr>
          <w:szCs w:val="24"/>
          <w:lang w:val="fr-FR"/>
        </w:rPr>
        <w:t>aïbes,</w:t>
      </w:r>
      <w:r w:rsidRPr="00322CC5">
        <w:rPr>
          <w:szCs w:val="24"/>
          <w:lang w:val="fr-FR"/>
        </w:rPr>
        <w:t xml:space="preserve"> </w:t>
      </w:r>
      <w:r>
        <w:rPr>
          <w:szCs w:val="24"/>
          <w:lang w:val="fr-FR"/>
        </w:rPr>
        <w:t>Europe, Amérique du Nord, et Océanie</w:t>
      </w:r>
      <w:r w:rsidRPr="00322CC5">
        <w:rPr>
          <w:szCs w:val="24"/>
          <w:lang w:val="fr-FR"/>
        </w:rPr>
        <w:t>)</w:t>
      </w:r>
      <w:r>
        <w:rPr>
          <w:szCs w:val="24"/>
          <w:lang w:val="fr-FR"/>
        </w:rPr>
        <w:t xml:space="preserve"> et sont basés sur le nombre de</w:t>
      </w:r>
      <w:r w:rsidRPr="00322CC5">
        <w:rPr>
          <w:szCs w:val="24"/>
          <w:lang w:val="fr-FR"/>
        </w:rPr>
        <w:t xml:space="preserve"> </w:t>
      </w:r>
      <w:r>
        <w:rPr>
          <w:szCs w:val="24"/>
          <w:lang w:val="fr-FR"/>
        </w:rPr>
        <w:t>Parties dans chaque ré</w:t>
      </w:r>
      <w:r w:rsidRPr="00322CC5">
        <w:rPr>
          <w:szCs w:val="24"/>
          <w:lang w:val="fr-FR"/>
        </w:rPr>
        <w:t>gion</w:t>
      </w:r>
      <w:r>
        <w:rPr>
          <w:szCs w:val="24"/>
          <w:lang w:val="fr-FR"/>
        </w:rPr>
        <w:t>.</w:t>
      </w:r>
      <w:r w:rsidRPr="00322CC5">
        <w:rPr>
          <w:szCs w:val="24"/>
          <w:lang w:val="fr-FR"/>
        </w:rPr>
        <w:t xml:space="preserve"> </w:t>
      </w:r>
      <w:r w:rsidRPr="005B70AB">
        <w:rPr>
          <w:szCs w:val="24"/>
          <w:lang w:val="fr-FR"/>
        </w:rPr>
        <w:t>Ainsi, une région qui comprend jusqu’à 15 Parties</w:t>
      </w:r>
      <w:r>
        <w:rPr>
          <w:szCs w:val="24"/>
          <w:lang w:val="fr-FR"/>
        </w:rPr>
        <w:t xml:space="preserve"> aura un représentant au sein du </w:t>
      </w:r>
      <w:r w:rsidRPr="005B70AB">
        <w:rPr>
          <w:szCs w:val="24"/>
          <w:lang w:val="fr-FR"/>
        </w:rPr>
        <w:t>Comité permanent</w:t>
      </w:r>
      <w:r>
        <w:rPr>
          <w:szCs w:val="24"/>
          <w:lang w:val="fr-FR"/>
        </w:rPr>
        <w:t>, une région qui compte entre 16 et 30 </w:t>
      </w:r>
      <w:r w:rsidRPr="005B70AB">
        <w:rPr>
          <w:szCs w:val="24"/>
          <w:lang w:val="fr-FR"/>
        </w:rPr>
        <w:t xml:space="preserve">Parties </w:t>
      </w:r>
      <w:r>
        <w:rPr>
          <w:szCs w:val="24"/>
          <w:lang w:val="fr-FR"/>
        </w:rPr>
        <w:t>aura deux représentant</w:t>
      </w:r>
      <w:r w:rsidRPr="005B70AB">
        <w:rPr>
          <w:szCs w:val="24"/>
          <w:lang w:val="fr-FR"/>
        </w:rPr>
        <w:t>s</w:t>
      </w:r>
      <w:r>
        <w:rPr>
          <w:szCs w:val="24"/>
          <w:lang w:val="fr-FR"/>
        </w:rPr>
        <w:t xml:space="preserve"> au sein du Comité permanent</w:t>
      </w:r>
      <w:r w:rsidRPr="005B70AB">
        <w:rPr>
          <w:szCs w:val="24"/>
          <w:lang w:val="fr-FR"/>
        </w:rPr>
        <w:t>,</w:t>
      </w:r>
      <w:r>
        <w:rPr>
          <w:szCs w:val="24"/>
          <w:lang w:val="fr-FR"/>
        </w:rPr>
        <w:t xml:space="preserve"> etc</w:t>
      </w:r>
      <w:r w:rsidRPr="005B70AB">
        <w:rPr>
          <w:szCs w:val="24"/>
          <w:lang w:val="fr-FR"/>
        </w:rPr>
        <w:t xml:space="preserve">. Ces représentants sont </w:t>
      </w:r>
      <w:r>
        <w:rPr>
          <w:szCs w:val="24"/>
          <w:lang w:val="fr-FR"/>
        </w:rPr>
        <w:t>désigné</w:t>
      </w:r>
      <w:r w:rsidRPr="005B70AB">
        <w:rPr>
          <w:szCs w:val="24"/>
          <w:lang w:val="fr-FR"/>
        </w:rPr>
        <w:t xml:space="preserve">s par les </w:t>
      </w:r>
      <w:r>
        <w:rPr>
          <w:szCs w:val="24"/>
          <w:lang w:val="fr-FR"/>
        </w:rPr>
        <w:t>ré</w:t>
      </w:r>
      <w:r w:rsidRPr="005B70AB">
        <w:rPr>
          <w:szCs w:val="24"/>
          <w:lang w:val="fr-FR"/>
        </w:rPr>
        <w:t xml:space="preserve">gions et élus par les Parties. De plus, </w:t>
      </w:r>
      <w:r>
        <w:rPr>
          <w:szCs w:val="24"/>
          <w:lang w:val="fr-FR"/>
        </w:rPr>
        <w:t>le G</w:t>
      </w:r>
      <w:r w:rsidRPr="005B70AB">
        <w:rPr>
          <w:szCs w:val="24"/>
          <w:lang w:val="fr-FR"/>
        </w:rPr>
        <w:t xml:space="preserve">ouvernement </w:t>
      </w:r>
      <w:r>
        <w:rPr>
          <w:szCs w:val="24"/>
          <w:lang w:val="fr-FR"/>
        </w:rPr>
        <w:t xml:space="preserve">dépositaire et les Gouvernements hôtes de la précédente réunion </w:t>
      </w:r>
      <w:r w:rsidRPr="005B70AB">
        <w:rPr>
          <w:szCs w:val="24"/>
          <w:lang w:val="fr-FR"/>
        </w:rPr>
        <w:t xml:space="preserve">et de la prochaine </w:t>
      </w:r>
      <w:r>
        <w:rPr>
          <w:szCs w:val="24"/>
          <w:lang w:val="fr-FR"/>
        </w:rPr>
        <w:t>ré</w:t>
      </w:r>
      <w:r w:rsidRPr="005B70AB">
        <w:rPr>
          <w:szCs w:val="24"/>
          <w:lang w:val="fr-FR"/>
        </w:rPr>
        <w:t xml:space="preserve">union de la </w:t>
      </w:r>
      <w:r>
        <w:rPr>
          <w:szCs w:val="24"/>
          <w:lang w:val="fr-FR"/>
        </w:rPr>
        <w:t xml:space="preserve">Conférence des </w:t>
      </w:r>
      <w:r w:rsidRPr="005B70AB">
        <w:rPr>
          <w:szCs w:val="24"/>
          <w:lang w:val="fr-FR"/>
        </w:rPr>
        <w:t xml:space="preserve">Parties </w:t>
      </w:r>
      <w:r>
        <w:rPr>
          <w:szCs w:val="24"/>
          <w:lang w:val="fr-FR"/>
        </w:rPr>
        <w:t>sont aussi</w:t>
      </w:r>
      <w:r w:rsidRPr="005B70AB">
        <w:rPr>
          <w:szCs w:val="24"/>
          <w:lang w:val="fr-FR"/>
        </w:rPr>
        <w:t xml:space="preserve"> membres</w:t>
      </w:r>
      <w:r>
        <w:rPr>
          <w:szCs w:val="24"/>
          <w:lang w:val="fr-FR"/>
        </w:rPr>
        <w:t xml:space="preserve"> du </w:t>
      </w:r>
      <w:r w:rsidRPr="005B70AB">
        <w:rPr>
          <w:szCs w:val="24"/>
          <w:lang w:val="fr-FR"/>
        </w:rPr>
        <w:t xml:space="preserve">Comité permanent (CITES </w:t>
      </w:r>
      <w:r w:rsidRPr="005B70AB">
        <w:rPr>
          <w:bCs/>
          <w:szCs w:val="24"/>
          <w:lang w:val="fr-FR"/>
        </w:rPr>
        <w:t>Résolution</w:t>
      </w:r>
      <w:r>
        <w:rPr>
          <w:bCs/>
          <w:szCs w:val="24"/>
          <w:lang w:val="fr-FR"/>
        </w:rPr>
        <w:t xml:space="preserve"> Conf.11.1 (Rev.</w:t>
      </w:r>
      <w:r w:rsidRPr="005B70AB">
        <w:rPr>
          <w:bCs/>
          <w:szCs w:val="24"/>
          <w:lang w:val="fr-FR"/>
        </w:rPr>
        <w:t>CoP16))</w:t>
      </w:r>
      <w:r w:rsidRPr="005B70AB">
        <w:rPr>
          <w:bCs/>
          <w:i/>
          <w:szCs w:val="24"/>
          <w:lang w:val="fr-FR"/>
        </w:rPr>
        <w:t>.</w:t>
      </w:r>
    </w:p>
    <w:p w:rsidR="00DE5465" w:rsidRPr="005B70AB" w:rsidRDefault="00DE5465" w:rsidP="00CD46D6">
      <w:pPr>
        <w:pStyle w:val="ListParagraph"/>
        <w:ind w:left="0"/>
        <w:rPr>
          <w:bCs/>
          <w:szCs w:val="24"/>
          <w:lang w:val="fr-FR"/>
        </w:rPr>
      </w:pPr>
    </w:p>
    <w:p w:rsidR="00DE5465" w:rsidRPr="005B70AB" w:rsidRDefault="00DE5465" w:rsidP="00DE5465">
      <w:pPr>
        <w:pStyle w:val="ListParagraph"/>
        <w:numPr>
          <w:ilvl w:val="0"/>
          <w:numId w:val="13"/>
        </w:numPr>
        <w:ind w:left="0" w:firstLine="0"/>
        <w:contextualSpacing/>
        <w:jc w:val="both"/>
        <w:rPr>
          <w:bCs/>
          <w:szCs w:val="24"/>
          <w:lang w:val="fr-FR"/>
        </w:rPr>
      </w:pPr>
      <w:r>
        <w:rPr>
          <w:szCs w:val="24"/>
          <w:lang w:val="fr-FR"/>
        </w:rPr>
        <w:t>Le C</w:t>
      </w:r>
      <w:r w:rsidRPr="005B70AB">
        <w:rPr>
          <w:szCs w:val="24"/>
          <w:lang w:val="fr-FR"/>
        </w:rPr>
        <w:t>omité d’application de la Convention de Bâle</w:t>
      </w:r>
      <w:r>
        <w:rPr>
          <w:szCs w:val="24"/>
          <w:lang w:val="fr-FR"/>
        </w:rPr>
        <w:t xml:space="preserve"> se compose</w:t>
      </w:r>
      <w:r w:rsidRPr="005B70AB">
        <w:rPr>
          <w:szCs w:val="24"/>
          <w:lang w:val="fr-FR"/>
        </w:rPr>
        <w:t xml:space="preserve"> de 15 membres</w:t>
      </w:r>
      <w:r>
        <w:rPr>
          <w:szCs w:val="24"/>
          <w:lang w:val="fr-FR"/>
        </w:rPr>
        <w:t>, sur la base d’une repré</w:t>
      </w:r>
      <w:r w:rsidRPr="005B70AB">
        <w:rPr>
          <w:szCs w:val="24"/>
          <w:lang w:val="fr-FR"/>
        </w:rPr>
        <w:t>sentation g</w:t>
      </w:r>
      <w:r>
        <w:rPr>
          <w:szCs w:val="24"/>
          <w:lang w:val="fr-FR"/>
        </w:rPr>
        <w:t>éographique</w:t>
      </w:r>
      <w:r w:rsidRPr="005B70AB">
        <w:rPr>
          <w:szCs w:val="24"/>
          <w:lang w:val="fr-FR"/>
        </w:rPr>
        <w:t xml:space="preserve"> </w:t>
      </w:r>
      <w:r>
        <w:rPr>
          <w:szCs w:val="24"/>
          <w:lang w:val="fr-FR"/>
        </w:rPr>
        <w:t>é</w:t>
      </w:r>
      <w:r w:rsidRPr="005B70AB">
        <w:rPr>
          <w:szCs w:val="24"/>
          <w:lang w:val="fr-FR"/>
        </w:rPr>
        <w:t xml:space="preserve">quitable </w:t>
      </w:r>
      <w:r>
        <w:rPr>
          <w:szCs w:val="24"/>
          <w:lang w:val="fr-FR"/>
        </w:rPr>
        <w:t xml:space="preserve">des cinq groupes régionaux des </w:t>
      </w:r>
      <w:r w:rsidRPr="005B70AB">
        <w:rPr>
          <w:szCs w:val="24"/>
          <w:lang w:val="fr-FR"/>
        </w:rPr>
        <w:t>Nations</w:t>
      </w:r>
      <w:r>
        <w:rPr>
          <w:szCs w:val="24"/>
          <w:lang w:val="fr-FR"/>
        </w:rPr>
        <w:t xml:space="preserve"> Unies (Afrique, Asie-Pacifique, </w:t>
      </w:r>
      <w:r w:rsidRPr="005B70AB">
        <w:rPr>
          <w:szCs w:val="24"/>
          <w:lang w:val="fr-FR"/>
        </w:rPr>
        <w:t>Europe</w:t>
      </w:r>
      <w:r>
        <w:rPr>
          <w:szCs w:val="24"/>
          <w:lang w:val="fr-FR"/>
        </w:rPr>
        <w:t xml:space="preserve"> orientale, Amérique latine et Caraïbes, et Europe occidentale et autres États</w:t>
      </w:r>
      <w:r w:rsidRPr="005B70AB">
        <w:rPr>
          <w:szCs w:val="24"/>
          <w:lang w:val="fr-FR"/>
        </w:rPr>
        <w:t xml:space="preserve">). La Conférence des Parties </w:t>
      </w:r>
      <w:r>
        <w:rPr>
          <w:szCs w:val="24"/>
          <w:lang w:val="fr-FR"/>
        </w:rPr>
        <w:t>désigne</w:t>
      </w:r>
      <w:r w:rsidRPr="005B70AB">
        <w:rPr>
          <w:szCs w:val="24"/>
          <w:lang w:val="fr-FR"/>
        </w:rPr>
        <w:t xml:space="preserve"> et élit trois membres </w:t>
      </w:r>
      <w:r>
        <w:rPr>
          <w:szCs w:val="24"/>
          <w:lang w:val="fr-FR"/>
        </w:rPr>
        <w:t>de</w:t>
      </w:r>
      <w:r w:rsidRPr="005B70AB">
        <w:rPr>
          <w:szCs w:val="24"/>
          <w:lang w:val="fr-FR"/>
        </w:rPr>
        <w:t xml:space="preserve"> chaque </w:t>
      </w:r>
      <w:r>
        <w:rPr>
          <w:szCs w:val="24"/>
          <w:lang w:val="fr-FR"/>
        </w:rPr>
        <w:t>ré</w:t>
      </w:r>
      <w:r w:rsidRPr="005B70AB">
        <w:rPr>
          <w:szCs w:val="24"/>
          <w:lang w:val="fr-FR"/>
        </w:rPr>
        <w:t>gion (Convention de Bâle</w:t>
      </w:r>
      <w:r>
        <w:rPr>
          <w:szCs w:val="24"/>
          <w:lang w:val="fr-FR"/>
        </w:rPr>
        <w:t>, Dé</w:t>
      </w:r>
      <w:r w:rsidRPr="005B70AB">
        <w:rPr>
          <w:szCs w:val="24"/>
          <w:lang w:val="fr-FR"/>
        </w:rPr>
        <w:t>cision VI/12).</w:t>
      </w:r>
    </w:p>
    <w:p w:rsidR="00DE5465" w:rsidRPr="005B70AB" w:rsidRDefault="00DE5465" w:rsidP="00CD46D6">
      <w:pPr>
        <w:pStyle w:val="ListParagraph"/>
        <w:ind w:left="0"/>
        <w:rPr>
          <w:bCs/>
          <w:szCs w:val="24"/>
          <w:lang w:val="fr-FR"/>
        </w:rPr>
      </w:pPr>
    </w:p>
    <w:p w:rsidR="00DE5465" w:rsidRPr="00EA0AAD" w:rsidRDefault="00DE5465" w:rsidP="00DE5465">
      <w:pPr>
        <w:pStyle w:val="ListParagraph"/>
        <w:numPr>
          <w:ilvl w:val="0"/>
          <w:numId w:val="13"/>
        </w:numPr>
        <w:ind w:left="0" w:firstLine="0"/>
        <w:contextualSpacing/>
        <w:jc w:val="both"/>
        <w:rPr>
          <w:bCs/>
          <w:szCs w:val="24"/>
          <w:lang w:val="fr-FR"/>
        </w:rPr>
      </w:pPr>
      <w:r>
        <w:rPr>
          <w:bCs/>
          <w:szCs w:val="24"/>
          <w:lang w:val="fr-FR"/>
        </w:rPr>
        <w:t>L</w:t>
      </w:r>
      <w:r w:rsidRPr="00EA0AAD">
        <w:rPr>
          <w:bCs/>
          <w:szCs w:val="24"/>
          <w:lang w:val="fr-FR"/>
        </w:rPr>
        <w:t xml:space="preserve">e Comité d’application </w:t>
      </w:r>
      <w:r>
        <w:rPr>
          <w:bCs/>
          <w:szCs w:val="24"/>
          <w:lang w:val="fr-FR"/>
        </w:rPr>
        <w:t xml:space="preserve">du </w:t>
      </w:r>
      <w:r w:rsidRPr="00EA0AAD">
        <w:rPr>
          <w:bCs/>
          <w:szCs w:val="24"/>
          <w:lang w:val="fr-FR"/>
        </w:rPr>
        <w:t>Protocole de Montréal</w:t>
      </w:r>
      <w:r>
        <w:rPr>
          <w:bCs/>
          <w:szCs w:val="24"/>
          <w:lang w:val="fr-FR"/>
        </w:rPr>
        <w:t xml:space="preserve"> se compose de dix</w:t>
      </w:r>
      <w:r w:rsidRPr="00EA0AAD">
        <w:rPr>
          <w:bCs/>
          <w:szCs w:val="24"/>
          <w:lang w:val="fr-FR"/>
        </w:rPr>
        <w:t xml:space="preserve"> Parties</w:t>
      </w:r>
      <w:r>
        <w:rPr>
          <w:bCs/>
          <w:szCs w:val="24"/>
          <w:lang w:val="fr-FR"/>
        </w:rPr>
        <w:t>, sur la base d’une « répartition géographique é</w:t>
      </w:r>
      <w:r w:rsidRPr="00EA0AAD">
        <w:rPr>
          <w:bCs/>
          <w:szCs w:val="24"/>
          <w:lang w:val="fr-FR"/>
        </w:rPr>
        <w:t>quitable</w:t>
      </w:r>
      <w:r>
        <w:rPr>
          <w:bCs/>
          <w:szCs w:val="24"/>
          <w:lang w:val="fr-FR"/>
        </w:rPr>
        <w:t> »</w:t>
      </w:r>
      <w:r w:rsidRPr="00EA0AAD">
        <w:rPr>
          <w:bCs/>
          <w:szCs w:val="24"/>
          <w:lang w:val="fr-FR"/>
        </w:rPr>
        <w:t xml:space="preserve"> (</w:t>
      </w:r>
      <w:r w:rsidRPr="00EA0AAD">
        <w:rPr>
          <w:szCs w:val="24"/>
          <w:lang w:val="fr-FR"/>
        </w:rPr>
        <w:t>Protocole de Montréal, Annex</w:t>
      </w:r>
      <w:r>
        <w:rPr>
          <w:szCs w:val="24"/>
          <w:lang w:val="fr-FR"/>
        </w:rPr>
        <w:t>e IV, Procé</w:t>
      </w:r>
      <w:r w:rsidRPr="00EA0AAD">
        <w:rPr>
          <w:szCs w:val="24"/>
          <w:lang w:val="fr-FR"/>
        </w:rPr>
        <w:t>dure</w:t>
      </w:r>
      <w:r>
        <w:rPr>
          <w:szCs w:val="24"/>
          <w:lang w:val="fr-FR"/>
        </w:rPr>
        <w:t xml:space="preserve"> applicable en cas de non-respect</w:t>
      </w:r>
      <w:r w:rsidRPr="00EA0AAD">
        <w:rPr>
          <w:szCs w:val="24"/>
          <w:lang w:val="fr-FR"/>
        </w:rPr>
        <w:t xml:space="preserve">). </w:t>
      </w:r>
    </w:p>
    <w:p w:rsidR="00DE5465" w:rsidRPr="00EA0AAD" w:rsidRDefault="00DE5465" w:rsidP="00CD46D6">
      <w:pPr>
        <w:pStyle w:val="ListParagraph"/>
        <w:ind w:left="0"/>
        <w:rPr>
          <w:bCs/>
          <w:szCs w:val="24"/>
          <w:lang w:val="fr-FR"/>
        </w:rPr>
      </w:pPr>
    </w:p>
    <w:p w:rsidR="00DE5465" w:rsidRPr="000C220C" w:rsidRDefault="00DE5465" w:rsidP="00DE5465">
      <w:pPr>
        <w:pStyle w:val="ListParagraph"/>
        <w:numPr>
          <w:ilvl w:val="0"/>
          <w:numId w:val="13"/>
        </w:numPr>
        <w:ind w:left="0" w:firstLine="0"/>
        <w:contextualSpacing/>
        <w:jc w:val="both"/>
        <w:rPr>
          <w:bCs/>
          <w:szCs w:val="24"/>
          <w:lang w:val="fr-FR"/>
        </w:rPr>
      </w:pPr>
      <w:r>
        <w:rPr>
          <w:bCs/>
          <w:szCs w:val="24"/>
          <w:lang w:val="fr-FR"/>
        </w:rPr>
        <w:t>L</w:t>
      </w:r>
      <w:r w:rsidRPr="000C220C">
        <w:rPr>
          <w:bCs/>
          <w:szCs w:val="24"/>
          <w:lang w:val="fr-FR"/>
        </w:rPr>
        <w:t>e Comité</w:t>
      </w:r>
      <w:r>
        <w:rPr>
          <w:bCs/>
          <w:szCs w:val="24"/>
          <w:lang w:val="fr-FR"/>
        </w:rPr>
        <w:t xml:space="preserve"> sur les obstacles techniques au commerce (Comité OTC) comprend tous les</w:t>
      </w:r>
      <w:r w:rsidRPr="000C220C">
        <w:rPr>
          <w:bCs/>
          <w:szCs w:val="24"/>
          <w:lang w:val="fr-FR"/>
        </w:rPr>
        <w:t xml:space="preserve"> </w:t>
      </w:r>
      <w:r>
        <w:rPr>
          <w:bCs/>
          <w:szCs w:val="24"/>
          <w:lang w:val="fr-FR"/>
        </w:rPr>
        <w:t>m</w:t>
      </w:r>
      <w:r w:rsidRPr="000C220C">
        <w:rPr>
          <w:bCs/>
          <w:szCs w:val="24"/>
          <w:lang w:val="fr-FR"/>
        </w:rPr>
        <w:t>embres</w:t>
      </w:r>
      <w:r>
        <w:rPr>
          <w:bCs/>
          <w:szCs w:val="24"/>
          <w:lang w:val="fr-FR"/>
        </w:rPr>
        <w:t xml:space="preserve"> de l’OMC</w:t>
      </w:r>
      <w:r w:rsidRPr="000C220C">
        <w:rPr>
          <w:bCs/>
          <w:szCs w:val="24"/>
          <w:lang w:val="fr-FR"/>
        </w:rPr>
        <w:t>.</w:t>
      </w:r>
    </w:p>
    <w:p w:rsidR="00DE5465" w:rsidRPr="000C220C" w:rsidRDefault="00DE5465" w:rsidP="00CD46D6">
      <w:pPr>
        <w:pStyle w:val="ListParagraph"/>
        <w:ind w:left="0"/>
        <w:rPr>
          <w:bCs/>
          <w:szCs w:val="24"/>
          <w:lang w:val="fr-FR"/>
        </w:rPr>
      </w:pPr>
    </w:p>
    <w:p w:rsidR="00DE5465" w:rsidRPr="00714681" w:rsidRDefault="00DE5465" w:rsidP="00DE5465">
      <w:pPr>
        <w:pStyle w:val="ListParagraph"/>
        <w:numPr>
          <w:ilvl w:val="0"/>
          <w:numId w:val="13"/>
        </w:numPr>
        <w:ind w:left="0" w:firstLine="0"/>
        <w:contextualSpacing/>
        <w:jc w:val="both"/>
        <w:rPr>
          <w:bCs/>
          <w:szCs w:val="24"/>
          <w:lang w:val="fr-FR"/>
        </w:rPr>
      </w:pPr>
      <w:r w:rsidRPr="005B70AB">
        <w:rPr>
          <w:bCs/>
          <w:szCs w:val="24"/>
          <w:lang w:val="fr-FR"/>
        </w:rPr>
        <w:t xml:space="preserve">Le </w:t>
      </w:r>
      <w:r w:rsidRPr="005B70AB">
        <w:rPr>
          <w:szCs w:val="24"/>
          <w:lang w:val="fr-FR"/>
        </w:rPr>
        <w:t xml:space="preserve">Comité permanent de l’AEWA, </w:t>
      </w:r>
      <w:r>
        <w:rPr>
          <w:szCs w:val="24"/>
          <w:lang w:val="fr-FR"/>
        </w:rPr>
        <w:t>qui examine les communications dans le cadre de la p</w:t>
      </w:r>
      <w:r w:rsidRPr="005B70AB">
        <w:rPr>
          <w:szCs w:val="24"/>
          <w:lang w:val="fr-FR"/>
        </w:rPr>
        <w:t>rocédure d’évaluation</w:t>
      </w:r>
      <w:r>
        <w:rPr>
          <w:szCs w:val="24"/>
          <w:lang w:val="fr-FR"/>
        </w:rPr>
        <w:t xml:space="preserve"> de l</w:t>
      </w:r>
      <w:r w:rsidRPr="005B70AB">
        <w:rPr>
          <w:szCs w:val="24"/>
          <w:lang w:val="fr-FR"/>
        </w:rPr>
        <w:t xml:space="preserve">a mise en </w:t>
      </w:r>
      <w:r>
        <w:rPr>
          <w:szCs w:val="24"/>
          <w:lang w:val="fr-FR"/>
        </w:rPr>
        <w:t>œuvre</w:t>
      </w:r>
      <w:r w:rsidRPr="005B70AB">
        <w:rPr>
          <w:szCs w:val="24"/>
          <w:lang w:val="fr-FR"/>
        </w:rPr>
        <w:t xml:space="preserve">, </w:t>
      </w:r>
      <w:r>
        <w:rPr>
          <w:szCs w:val="24"/>
          <w:lang w:val="fr-FR"/>
        </w:rPr>
        <w:t>« se compose au plus de sept Parties contractantes »</w:t>
      </w:r>
      <w:r w:rsidRPr="005B70AB">
        <w:rPr>
          <w:szCs w:val="24"/>
          <w:lang w:val="fr-FR"/>
        </w:rPr>
        <w:t xml:space="preserve">. </w:t>
      </w:r>
      <w:r>
        <w:rPr>
          <w:szCs w:val="24"/>
          <w:lang w:val="fr-FR"/>
        </w:rPr>
        <w:t xml:space="preserve">Cinq de </w:t>
      </w:r>
      <w:r w:rsidRPr="00714681">
        <w:rPr>
          <w:szCs w:val="24"/>
          <w:lang w:val="fr-FR"/>
        </w:rPr>
        <w:t xml:space="preserve">ces sept Parties sont nommées par la Réunion des Parties, sur la base d’une répartition </w:t>
      </w:r>
      <w:r>
        <w:rPr>
          <w:szCs w:val="24"/>
          <w:lang w:val="fr-FR"/>
        </w:rPr>
        <w:t>géographique équilibrée, soit</w:t>
      </w:r>
      <w:r w:rsidRPr="00714681">
        <w:rPr>
          <w:szCs w:val="24"/>
          <w:lang w:val="fr-FR"/>
        </w:rPr>
        <w:t xml:space="preserve"> </w:t>
      </w:r>
      <w:r>
        <w:rPr>
          <w:szCs w:val="24"/>
          <w:lang w:val="fr-FR"/>
        </w:rPr>
        <w:t xml:space="preserve">deux </w:t>
      </w:r>
      <w:r w:rsidRPr="00714681">
        <w:rPr>
          <w:szCs w:val="24"/>
          <w:lang w:val="fr-FR"/>
        </w:rPr>
        <w:t>représentant</w:t>
      </w:r>
      <w:r>
        <w:rPr>
          <w:szCs w:val="24"/>
          <w:lang w:val="fr-FR"/>
        </w:rPr>
        <w:t>s de la région de l’Europe et Asie centrale, un</w:t>
      </w:r>
      <w:r w:rsidRPr="00714681">
        <w:rPr>
          <w:szCs w:val="24"/>
          <w:lang w:val="fr-FR"/>
        </w:rPr>
        <w:t xml:space="preserve"> représentant</w:t>
      </w:r>
      <w:r>
        <w:rPr>
          <w:szCs w:val="24"/>
          <w:lang w:val="fr-FR"/>
        </w:rPr>
        <w:t xml:space="preserve"> de la région du</w:t>
      </w:r>
      <w:r w:rsidRPr="00714681">
        <w:rPr>
          <w:szCs w:val="24"/>
          <w:lang w:val="fr-FR"/>
        </w:rPr>
        <w:t xml:space="preserve"> Moyen Orient</w:t>
      </w:r>
      <w:r>
        <w:rPr>
          <w:szCs w:val="24"/>
          <w:lang w:val="fr-FR"/>
        </w:rPr>
        <w:t xml:space="preserve"> et Afrique du Nord, un</w:t>
      </w:r>
      <w:r w:rsidRPr="00714681">
        <w:rPr>
          <w:szCs w:val="24"/>
          <w:lang w:val="fr-FR"/>
        </w:rPr>
        <w:t xml:space="preserve"> représentant</w:t>
      </w:r>
      <w:r>
        <w:rPr>
          <w:szCs w:val="24"/>
          <w:lang w:val="fr-FR"/>
        </w:rPr>
        <w:t xml:space="preserve"> de la région de l’Afrique occidentale et centrale, et un </w:t>
      </w:r>
      <w:r w:rsidRPr="00714681">
        <w:rPr>
          <w:szCs w:val="24"/>
          <w:lang w:val="fr-FR"/>
        </w:rPr>
        <w:t xml:space="preserve">représentant </w:t>
      </w:r>
      <w:r>
        <w:rPr>
          <w:szCs w:val="24"/>
          <w:lang w:val="fr-FR"/>
        </w:rPr>
        <w:t>de la région de l’Afrique orientale et australe</w:t>
      </w:r>
      <w:r w:rsidRPr="00714681">
        <w:rPr>
          <w:szCs w:val="24"/>
          <w:lang w:val="fr-FR"/>
        </w:rPr>
        <w:t xml:space="preserve">. Les deux </w:t>
      </w:r>
      <w:r>
        <w:rPr>
          <w:szCs w:val="24"/>
          <w:lang w:val="fr-FR"/>
        </w:rPr>
        <w:t xml:space="preserve">autres </w:t>
      </w:r>
      <w:r w:rsidRPr="00714681">
        <w:rPr>
          <w:szCs w:val="24"/>
          <w:lang w:val="fr-FR"/>
        </w:rPr>
        <w:t xml:space="preserve">membres </w:t>
      </w:r>
      <w:r>
        <w:rPr>
          <w:szCs w:val="24"/>
          <w:lang w:val="fr-FR"/>
        </w:rPr>
        <w:t>du Comité permanent</w:t>
      </w:r>
      <w:r w:rsidRPr="00714681">
        <w:rPr>
          <w:szCs w:val="24"/>
          <w:lang w:val="fr-FR"/>
        </w:rPr>
        <w:t xml:space="preserve"> sont le pays hôte de la prochaine </w:t>
      </w:r>
      <w:r>
        <w:rPr>
          <w:szCs w:val="24"/>
          <w:lang w:val="fr-FR"/>
        </w:rPr>
        <w:t xml:space="preserve">session de la Réunion des </w:t>
      </w:r>
      <w:r w:rsidRPr="00714681">
        <w:rPr>
          <w:szCs w:val="24"/>
          <w:lang w:val="fr-FR"/>
        </w:rPr>
        <w:t xml:space="preserve">Parties </w:t>
      </w:r>
      <w:r>
        <w:rPr>
          <w:szCs w:val="24"/>
          <w:lang w:val="fr-FR"/>
        </w:rPr>
        <w:t>et le G</w:t>
      </w:r>
      <w:r w:rsidRPr="00714681">
        <w:rPr>
          <w:szCs w:val="24"/>
          <w:lang w:val="fr-FR"/>
        </w:rPr>
        <w:t xml:space="preserve">ouvernement </w:t>
      </w:r>
      <w:r>
        <w:rPr>
          <w:szCs w:val="24"/>
          <w:lang w:val="fr-FR"/>
        </w:rPr>
        <w:t xml:space="preserve">dépositaire de l’accord </w:t>
      </w:r>
      <w:r w:rsidRPr="00714681">
        <w:rPr>
          <w:szCs w:val="24"/>
          <w:lang w:val="fr-FR"/>
        </w:rPr>
        <w:t>(Résolution 2.6 de l’AEWA).</w:t>
      </w:r>
    </w:p>
    <w:p w:rsidR="00DE5465" w:rsidRPr="00714681" w:rsidRDefault="00DE5465" w:rsidP="00CD46D6">
      <w:pPr>
        <w:pStyle w:val="ListParagraph"/>
        <w:ind w:left="0"/>
        <w:rPr>
          <w:bCs/>
          <w:szCs w:val="24"/>
          <w:lang w:val="fr-FR"/>
        </w:rPr>
      </w:pPr>
    </w:p>
    <w:p w:rsidR="00DE5465" w:rsidRPr="003C570C" w:rsidRDefault="00DE5465" w:rsidP="00DE5465">
      <w:pPr>
        <w:pStyle w:val="ListParagraph"/>
        <w:numPr>
          <w:ilvl w:val="0"/>
          <w:numId w:val="13"/>
        </w:numPr>
        <w:ind w:left="0" w:firstLine="0"/>
        <w:contextualSpacing/>
        <w:jc w:val="both"/>
        <w:rPr>
          <w:bCs/>
          <w:szCs w:val="24"/>
          <w:lang w:val="fr-FR"/>
        </w:rPr>
      </w:pPr>
      <w:r w:rsidRPr="003C570C">
        <w:rPr>
          <w:szCs w:val="24"/>
          <w:lang w:val="fr-FR"/>
        </w:rPr>
        <w:t xml:space="preserve">Le Conseil des droits de l’homme </w:t>
      </w:r>
      <w:r>
        <w:rPr>
          <w:szCs w:val="24"/>
          <w:lang w:val="fr-FR"/>
        </w:rPr>
        <w:t>de l’ONU</w:t>
      </w:r>
      <w:r w:rsidRPr="003C570C">
        <w:rPr>
          <w:szCs w:val="24"/>
          <w:lang w:val="fr-FR"/>
        </w:rPr>
        <w:t xml:space="preserve"> se compose de 47 </w:t>
      </w:r>
      <w:r>
        <w:rPr>
          <w:szCs w:val="24"/>
          <w:lang w:val="fr-FR"/>
        </w:rPr>
        <w:t>État</w:t>
      </w:r>
      <w:r w:rsidRPr="003C570C">
        <w:rPr>
          <w:szCs w:val="24"/>
          <w:lang w:val="fr-FR"/>
        </w:rPr>
        <w:t xml:space="preserve">s membres, qui sont élus </w:t>
      </w:r>
      <w:r>
        <w:rPr>
          <w:szCs w:val="24"/>
          <w:lang w:val="fr-FR"/>
        </w:rPr>
        <w:t xml:space="preserve">individuellement par bulletin secret par la majorité des </w:t>
      </w:r>
      <w:r w:rsidRPr="003C570C">
        <w:rPr>
          <w:szCs w:val="24"/>
          <w:lang w:val="fr-FR"/>
        </w:rPr>
        <w:t>membres</w:t>
      </w:r>
      <w:r>
        <w:rPr>
          <w:szCs w:val="24"/>
          <w:lang w:val="fr-FR"/>
        </w:rPr>
        <w:t xml:space="preserve"> de l’Assemblée générale des Nations Unies</w:t>
      </w:r>
      <w:r w:rsidRPr="003C570C">
        <w:rPr>
          <w:szCs w:val="24"/>
          <w:lang w:val="fr-FR"/>
        </w:rPr>
        <w:t xml:space="preserve">. Le statut de membre du Conseil est </w:t>
      </w:r>
      <w:r>
        <w:rPr>
          <w:szCs w:val="24"/>
          <w:lang w:val="fr-FR"/>
        </w:rPr>
        <w:t>basé</w:t>
      </w:r>
      <w:r w:rsidRPr="003C570C">
        <w:rPr>
          <w:szCs w:val="24"/>
          <w:lang w:val="fr-FR"/>
        </w:rPr>
        <w:t xml:space="preserve"> sur une </w:t>
      </w:r>
      <w:r>
        <w:rPr>
          <w:szCs w:val="24"/>
          <w:lang w:val="fr-FR"/>
        </w:rPr>
        <w:t>ré</w:t>
      </w:r>
      <w:r w:rsidRPr="003C570C">
        <w:rPr>
          <w:szCs w:val="24"/>
          <w:lang w:val="fr-FR"/>
        </w:rPr>
        <w:t xml:space="preserve">partition géographique </w:t>
      </w:r>
      <w:r>
        <w:rPr>
          <w:szCs w:val="24"/>
          <w:lang w:val="fr-FR"/>
        </w:rPr>
        <w:t>équitable, avec une</w:t>
      </w:r>
      <w:r w:rsidRPr="003C570C">
        <w:rPr>
          <w:szCs w:val="24"/>
          <w:lang w:val="fr-FR"/>
        </w:rPr>
        <w:t xml:space="preserve"> </w:t>
      </w:r>
      <w:r>
        <w:rPr>
          <w:szCs w:val="24"/>
          <w:lang w:val="fr-FR"/>
        </w:rPr>
        <w:t xml:space="preserve">représentation </w:t>
      </w:r>
      <w:r w:rsidRPr="003C570C">
        <w:rPr>
          <w:szCs w:val="24"/>
          <w:lang w:val="fr-FR"/>
        </w:rPr>
        <w:t xml:space="preserve">répartie de la manière suivante entre les </w:t>
      </w:r>
      <w:r>
        <w:rPr>
          <w:szCs w:val="24"/>
          <w:lang w:val="fr-FR"/>
        </w:rPr>
        <w:t xml:space="preserve">différents </w:t>
      </w:r>
      <w:r w:rsidRPr="003C570C">
        <w:rPr>
          <w:szCs w:val="24"/>
          <w:lang w:val="fr-FR"/>
        </w:rPr>
        <w:t>group</w:t>
      </w:r>
      <w:r>
        <w:rPr>
          <w:szCs w:val="24"/>
          <w:lang w:val="fr-FR"/>
        </w:rPr>
        <w:t>e</w:t>
      </w:r>
      <w:r w:rsidRPr="003C570C">
        <w:rPr>
          <w:szCs w:val="24"/>
          <w:lang w:val="fr-FR"/>
        </w:rPr>
        <w:t>s régionaux</w:t>
      </w:r>
      <w:r>
        <w:rPr>
          <w:szCs w:val="24"/>
          <w:lang w:val="fr-FR"/>
        </w:rPr>
        <w:t xml:space="preserve"> </w:t>
      </w:r>
      <w:r w:rsidRPr="003C570C">
        <w:rPr>
          <w:szCs w:val="24"/>
          <w:lang w:val="fr-FR"/>
        </w:rPr>
        <w:t>: Group</w:t>
      </w:r>
      <w:r>
        <w:rPr>
          <w:szCs w:val="24"/>
          <w:lang w:val="fr-FR"/>
        </w:rPr>
        <w:t>e des État</w:t>
      </w:r>
      <w:r w:rsidRPr="003C570C">
        <w:rPr>
          <w:szCs w:val="24"/>
          <w:lang w:val="fr-FR"/>
        </w:rPr>
        <w:t>s</w:t>
      </w:r>
      <w:r>
        <w:rPr>
          <w:szCs w:val="24"/>
          <w:lang w:val="fr-FR"/>
        </w:rPr>
        <w:t xml:space="preserve"> africains, treize</w:t>
      </w:r>
      <w:r w:rsidRPr="003C570C">
        <w:rPr>
          <w:szCs w:val="24"/>
          <w:lang w:val="fr-FR"/>
        </w:rPr>
        <w:t xml:space="preserve"> membres; Group</w:t>
      </w:r>
      <w:r>
        <w:rPr>
          <w:szCs w:val="24"/>
          <w:lang w:val="fr-FR"/>
        </w:rPr>
        <w:t>e des État</w:t>
      </w:r>
      <w:r w:rsidRPr="003C570C">
        <w:rPr>
          <w:szCs w:val="24"/>
          <w:lang w:val="fr-FR"/>
        </w:rPr>
        <w:t>s</w:t>
      </w:r>
      <w:r>
        <w:rPr>
          <w:szCs w:val="24"/>
          <w:lang w:val="fr-FR"/>
        </w:rPr>
        <w:t xml:space="preserve"> asiatiques</w:t>
      </w:r>
      <w:r w:rsidRPr="003C570C">
        <w:rPr>
          <w:szCs w:val="24"/>
          <w:lang w:val="fr-FR"/>
        </w:rPr>
        <w:t xml:space="preserve">, </w:t>
      </w:r>
      <w:r>
        <w:rPr>
          <w:szCs w:val="24"/>
          <w:lang w:val="fr-FR"/>
        </w:rPr>
        <w:t>treize membres</w:t>
      </w:r>
      <w:r w:rsidRPr="003C570C">
        <w:rPr>
          <w:szCs w:val="24"/>
          <w:lang w:val="fr-FR"/>
        </w:rPr>
        <w:t>; Group</w:t>
      </w:r>
      <w:r>
        <w:rPr>
          <w:szCs w:val="24"/>
          <w:lang w:val="fr-FR"/>
        </w:rPr>
        <w:t>e des État</w:t>
      </w:r>
      <w:r w:rsidRPr="003C570C">
        <w:rPr>
          <w:szCs w:val="24"/>
          <w:lang w:val="fr-FR"/>
        </w:rPr>
        <w:t>s</w:t>
      </w:r>
      <w:r>
        <w:rPr>
          <w:szCs w:val="24"/>
          <w:lang w:val="fr-FR"/>
        </w:rPr>
        <w:t xml:space="preserve"> d’Europe orientale</w:t>
      </w:r>
      <w:r w:rsidRPr="003C570C">
        <w:rPr>
          <w:szCs w:val="24"/>
          <w:lang w:val="fr-FR"/>
        </w:rPr>
        <w:t>, six</w:t>
      </w:r>
      <w:r>
        <w:rPr>
          <w:szCs w:val="24"/>
          <w:lang w:val="fr-FR"/>
        </w:rPr>
        <w:t xml:space="preserve"> membres</w:t>
      </w:r>
      <w:r w:rsidRPr="003C570C">
        <w:rPr>
          <w:szCs w:val="24"/>
          <w:lang w:val="fr-FR"/>
        </w:rPr>
        <w:t>; Group</w:t>
      </w:r>
      <w:r>
        <w:rPr>
          <w:szCs w:val="24"/>
          <w:lang w:val="fr-FR"/>
        </w:rPr>
        <w:t>e des État</w:t>
      </w:r>
      <w:r w:rsidRPr="003C570C">
        <w:rPr>
          <w:szCs w:val="24"/>
          <w:lang w:val="fr-FR"/>
        </w:rPr>
        <w:t>s</w:t>
      </w:r>
      <w:r>
        <w:rPr>
          <w:szCs w:val="24"/>
          <w:lang w:val="fr-FR"/>
        </w:rPr>
        <w:t xml:space="preserve"> d’Amérique latine et des Caraïbes, huit membres; et</w:t>
      </w:r>
      <w:r w:rsidRPr="003C570C">
        <w:rPr>
          <w:szCs w:val="24"/>
          <w:lang w:val="fr-FR"/>
        </w:rPr>
        <w:t xml:space="preserve"> Group</w:t>
      </w:r>
      <w:r>
        <w:rPr>
          <w:szCs w:val="24"/>
          <w:lang w:val="fr-FR"/>
        </w:rPr>
        <w:t>e des États d’Europe occidentale et autres États, sept membres</w:t>
      </w:r>
      <w:r w:rsidRPr="003C570C">
        <w:rPr>
          <w:szCs w:val="24"/>
          <w:lang w:val="fr-FR"/>
        </w:rPr>
        <w:t xml:space="preserve"> (Résolution 60/251 </w:t>
      </w:r>
      <w:r>
        <w:rPr>
          <w:szCs w:val="24"/>
          <w:lang w:val="fr-FR"/>
        </w:rPr>
        <w:t xml:space="preserve">de l’Assemblée générale des Nations unies </w:t>
      </w:r>
      <w:r w:rsidRPr="003C570C">
        <w:rPr>
          <w:szCs w:val="24"/>
          <w:lang w:val="fr-FR"/>
        </w:rPr>
        <w:t>(</w:t>
      </w:r>
      <w:r>
        <w:rPr>
          <w:szCs w:val="24"/>
          <w:lang w:val="fr-FR"/>
        </w:rPr>
        <w:t>3 av</w:t>
      </w:r>
      <w:r w:rsidRPr="003C570C">
        <w:rPr>
          <w:szCs w:val="24"/>
          <w:lang w:val="fr-FR"/>
        </w:rPr>
        <w:t>ril 2006)).</w:t>
      </w:r>
    </w:p>
    <w:p w:rsidR="00DE5465" w:rsidRPr="003C570C" w:rsidRDefault="00DE5465" w:rsidP="00CD46D6">
      <w:pPr>
        <w:pStyle w:val="ListParagraph"/>
        <w:ind w:left="0"/>
        <w:rPr>
          <w:bCs/>
          <w:szCs w:val="24"/>
          <w:lang w:val="fr-FR"/>
        </w:rPr>
      </w:pPr>
    </w:p>
    <w:p w:rsidR="00DE5465" w:rsidRPr="0098732E" w:rsidRDefault="00DE5465" w:rsidP="00DE5465">
      <w:pPr>
        <w:pStyle w:val="ListParagraph"/>
        <w:ind w:left="0"/>
        <w:jc w:val="both"/>
        <w:rPr>
          <w:bCs/>
          <w:szCs w:val="24"/>
        </w:rPr>
      </w:pPr>
      <w:proofErr w:type="spellStart"/>
      <w:r>
        <w:rPr>
          <w:bCs/>
          <w:i/>
          <w:szCs w:val="24"/>
        </w:rPr>
        <w:t>Durée</w:t>
      </w:r>
      <w:proofErr w:type="spellEnd"/>
      <w:r>
        <w:rPr>
          <w:bCs/>
          <w:i/>
          <w:szCs w:val="24"/>
        </w:rPr>
        <w:t xml:space="preserve"> du </w:t>
      </w:r>
      <w:proofErr w:type="spellStart"/>
      <w:r>
        <w:rPr>
          <w:bCs/>
          <w:i/>
          <w:szCs w:val="24"/>
        </w:rPr>
        <w:t>mandat</w:t>
      </w:r>
      <w:proofErr w:type="spellEnd"/>
    </w:p>
    <w:p w:rsidR="00DE5465" w:rsidRPr="0098732E" w:rsidRDefault="00DE5465" w:rsidP="00CD46D6">
      <w:pPr>
        <w:pStyle w:val="ListParagraph"/>
        <w:ind w:left="0"/>
        <w:rPr>
          <w:bCs/>
          <w:szCs w:val="24"/>
        </w:rPr>
      </w:pPr>
    </w:p>
    <w:p w:rsidR="00DE5465" w:rsidRPr="00052E72" w:rsidRDefault="00DE5465" w:rsidP="00DE5465">
      <w:pPr>
        <w:pStyle w:val="ListParagraph"/>
        <w:numPr>
          <w:ilvl w:val="0"/>
          <w:numId w:val="13"/>
        </w:numPr>
        <w:ind w:left="0" w:firstLine="0"/>
        <w:contextualSpacing/>
        <w:jc w:val="both"/>
        <w:rPr>
          <w:bCs/>
          <w:szCs w:val="24"/>
          <w:lang w:val="fr-FR"/>
        </w:rPr>
      </w:pPr>
      <w:r w:rsidRPr="00052E72">
        <w:rPr>
          <w:bCs/>
          <w:szCs w:val="24"/>
          <w:lang w:val="fr-FR"/>
        </w:rPr>
        <w:t xml:space="preserve">Les Parties au sein du Comité permanent de la CITES </w:t>
      </w:r>
      <w:r>
        <w:rPr>
          <w:bCs/>
          <w:szCs w:val="24"/>
          <w:lang w:val="fr-FR"/>
        </w:rPr>
        <w:t>ont un mandat couvrant</w:t>
      </w:r>
      <w:r w:rsidRPr="00052E72">
        <w:rPr>
          <w:bCs/>
          <w:szCs w:val="24"/>
          <w:lang w:val="fr-FR"/>
        </w:rPr>
        <w:t xml:space="preserve"> la période comprise entre deux réunions de la Conférence des Parties, </w:t>
      </w:r>
      <w:r>
        <w:rPr>
          <w:bCs/>
          <w:szCs w:val="24"/>
          <w:lang w:val="fr-FR"/>
        </w:rPr>
        <w:t xml:space="preserve">soit de </w:t>
      </w:r>
      <w:r w:rsidRPr="00052E72">
        <w:rPr>
          <w:bCs/>
          <w:szCs w:val="24"/>
          <w:lang w:val="fr-FR"/>
        </w:rPr>
        <w:t>cinq à six ans</w:t>
      </w:r>
      <w:r>
        <w:rPr>
          <w:bCs/>
          <w:szCs w:val="24"/>
          <w:lang w:val="fr-FR"/>
        </w:rPr>
        <w:t xml:space="preserve"> environ.</w:t>
      </w:r>
      <w:r w:rsidRPr="00052E72">
        <w:rPr>
          <w:bCs/>
          <w:szCs w:val="24"/>
          <w:lang w:val="fr-FR"/>
        </w:rPr>
        <w:t xml:space="preserve"> Les membres du Comité permanent </w:t>
      </w:r>
      <w:r>
        <w:rPr>
          <w:bCs/>
          <w:szCs w:val="24"/>
          <w:lang w:val="fr-FR"/>
        </w:rPr>
        <w:t xml:space="preserve">de l’AEWA ont un mandat couvrant </w:t>
      </w:r>
      <w:r w:rsidRPr="00052E72">
        <w:rPr>
          <w:bCs/>
          <w:szCs w:val="24"/>
          <w:lang w:val="fr-FR"/>
        </w:rPr>
        <w:t xml:space="preserve">la période comprise entre les </w:t>
      </w:r>
      <w:r>
        <w:rPr>
          <w:bCs/>
          <w:szCs w:val="24"/>
          <w:lang w:val="fr-FR"/>
        </w:rPr>
        <w:t>sess</w:t>
      </w:r>
      <w:r w:rsidRPr="00052E72">
        <w:rPr>
          <w:bCs/>
          <w:szCs w:val="24"/>
          <w:lang w:val="fr-FR"/>
        </w:rPr>
        <w:t xml:space="preserve">ions de la Réunion des Parties, </w:t>
      </w:r>
      <w:r>
        <w:rPr>
          <w:bCs/>
          <w:szCs w:val="24"/>
          <w:lang w:val="fr-FR"/>
        </w:rPr>
        <w:t xml:space="preserve">avec la possibilité d’un deuxième mandat, soit de trois à six ans environ. </w:t>
      </w:r>
      <w:r w:rsidRPr="00052E72">
        <w:rPr>
          <w:bCs/>
          <w:szCs w:val="24"/>
          <w:lang w:val="fr-FR"/>
        </w:rPr>
        <w:t xml:space="preserve">Les membres du Comité d’application de la Convention de Bâle </w:t>
      </w:r>
      <w:r>
        <w:rPr>
          <w:bCs/>
          <w:szCs w:val="24"/>
          <w:lang w:val="fr-FR"/>
        </w:rPr>
        <w:t>ont un mandat couvrant la pé</w:t>
      </w:r>
      <w:r w:rsidRPr="00052E72">
        <w:rPr>
          <w:bCs/>
          <w:szCs w:val="24"/>
          <w:lang w:val="fr-FR"/>
        </w:rPr>
        <w:t>riod</w:t>
      </w:r>
      <w:r>
        <w:rPr>
          <w:bCs/>
          <w:szCs w:val="24"/>
          <w:lang w:val="fr-FR"/>
        </w:rPr>
        <w:t>e comprise entre deux réunions</w:t>
      </w:r>
      <w:r w:rsidRPr="00052E72">
        <w:rPr>
          <w:bCs/>
          <w:szCs w:val="24"/>
          <w:lang w:val="fr-FR"/>
        </w:rPr>
        <w:t xml:space="preserve"> </w:t>
      </w:r>
      <w:r>
        <w:rPr>
          <w:bCs/>
          <w:szCs w:val="24"/>
          <w:lang w:val="fr-FR"/>
        </w:rPr>
        <w:t xml:space="preserve">de </w:t>
      </w:r>
      <w:r w:rsidRPr="00052E72">
        <w:rPr>
          <w:bCs/>
          <w:szCs w:val="24"/>
          <w:lang w:val="fr-FR"/>
        </w:rPr>
        <w:t>la Conférence des Parties</w:t>
      </w:r>
      <w:r>
        <w:rPr>
          <w:bCs/>
          <w:szCs w:val="24"/>
          <w:lang w:val="fr-FR"/>
        </w:rPr>
        <w:t>, soit de quatre à cinq ans environ</w:t>
      </w:r>
      <w:r w:rsidRPr="00052E72">
        <w:rPr>
          <w:bCs/>
          <w:szCs w:val="24"/>
          <w:lang w:val="fr-FR"/>
        </w:rPr>
        <w:t>. Les Parties au sein du Comité d’application du Protocole de Montréal</w:t>
      </w:r>
      <w:r>
        <w:rPr>
          <w:bCs/>
          <w:szCs w:val="24"/>
          <w:lang w:val="fr-FR"/>
        </w:rPr>
        <w:t xml:space="preserve"> ont un mandat de </w:t>
      </w:r>
      <w:r w:rsidRPr="00052E72">
        <w:rPr>
          <w:bCs/>
          <w:szCs w:val="24"/>
          <w:lang w:val="fr-FR"/>
        </w:rPr>
        <w:t xml:space="preserve">deux ans, mais peuvent </w:t>
      </w:r>
      <w:r>
        <w:rPr>
          <w:bCs/>
          <w:szCs w:val="24"/>
          <w:lang w:val="fr-FR"/>
        </w:rPr>
        <w:t>être réélus pour un nouveau mandat de deux ans.</w:t>
      </w:r>
      <w:r w:rsidRPr="00052E72">
        <w:rPr>
          <w:bCs/>
          <w:szCs w:val="24"/>
          <w:lang w:val="fr-FR"/>
        </w:rPr>
        <w:t xml:space="preserve"> Les membres du Conseil des droits de l’homme </w:t>
      </w:r>
      <w:r>
        <w:rPr>
          <w:bCs/>
          <w:szCs w:val="24"/>
          <w:lang w:val="fr-FR"/>
        </w:rPr>
        <w:t xml:space="preserve">de l’ONU ont un mandat </w:t>
      </w:r>
      <w:r>
        <w:rPr>
          <w:szCs w:val="24"/>
          <w:lang w:val="fr-FR"/>
        </w:rPr>
        <w:t>de trois ans, avec la possibilité d’un deuxième mandat</w:t>
      </w:r>
      <w:r w:rsidRPr="00052E72">
        <w:rPr>
          <w:szCs w:val="24"/>
          <w:lang w:val="fr-FR"/>
        </w:rPr>
        <w:t>.</w:t>
      </w:r>
    </w:p>
    <w:p w:rsidR="00DE5465" w:rsidRPr="00052E72" w:rsidRDefault="00DE5465" w:rsidP="00DE5465">
      <w:pPr>
        <w:pStyle w:val="ListParagraph"/>
        <w:ind w:left="0"/>
        <w:jc w:val="both"/>
        <w:rPr>
          <w:szCs w:val="24"/>
          <w:lang w:val="fr-FR"/>
        </w:rPr>
      </w:pPr>
    </w:p>
    <w:p w:rsidR="00DE5465" w:rsidRPr="00C412BD" w:rsidRDefault="00DE5465" w:rsidP="00DE5465">
      <w:pPr>
        <w:pStyle w:val="ListParagraph"/>
        <w:ind w:left="0"/>
        <w:jc w:val="both"/>
        <w:rPr>
          <w:bCs/>
          <w:szCs w:val="24"/>
          <w:lang w:val="fr-FR"/>
        </w:rPr>
      </w:pPr>
      <w:r>
        <w:rPr>
          <w:bCs/>
          <w:i/>
          <w:szCs w:val="24"/>
          <w:lang w:val="fr-FR"/>
        </w:rPr>
        <w:t xml:space="preserve">L’entité compétente </w:t>
      </w:r>
      <w:r w:rsidRPr="00C412BD">
        <w:rPr>
          <w:bCs/>
          <w:i/>
          <w:szCs w:val="24"/>
          <w:lang w:val="fr-FR"/>
        </w:rPr>
        <w:t>pour faire des r</w:t>
      </w:r>
      <w:r>
        <w:rPr>
          <w:bCs/>
          <w:i/>
          <w:szCs w:val="24"/>
          <w:lang w:val="fr-FR"/>
        </w:rPr>
        <w:t>ecomma</w:t>
      </w:r>
      <w:r w:rsidRPr="00C412BD">
        <w:rPr>
          <w:bCs/>
          <w:i/>
          <w:szCs w:val="24"/>
          <w:lang w:val="fr-FR"/>
        </w:rPr>
        <w:t>ndations finales</w:t>
      </w:r>
    </w:p>
    <w:p w:rsidR="00DE5465" w:rsidRPr="00C412BD" w:rsidRDefault="00DE5465" w:rsidP="00CD46D6">
      <w:pPr>
        <w:pStyle w:val="ListParagraph"/>
        <w:ind w:left="0"/>
        <w:rPr>
          <w:bCs/>
          <w:szCs w:val="24"/>
          <w:lang w:val="fr-FR"/>
        </w:rPr>
      </w:pPr>
    </w:p>
    <w:p w:rsidR="00DE5465" w:rsidRPr="00A22FEE" w:rsidRDefault="00DE5465" w:rsidP="00DE5465">
      <w:pPr>
        <w:pStyle w:val="ListParagraph"/>
        <w:numPr>
          <w:ilvl w:val="0"/>
          <w:numId w:val="13"/>
        </w:numPr>
        <w:ind w:left="0" w:firstLine="0"/>
        <w:contextualSpacing/>
        <w:jc w:val="both"/>
        <w:rPr>
          <w:bCs/>
          <w:szCs w:val="24"/>
          <w:lang w:val="fr-FR"/>
        </w:rPr>
      </w:pPr>
      <w:r w:rsidRPr="00A22FEE">
        <w:rPr>
          <w:bCs/>
          <w:szCs w:val="24"/>
          <w:lang w:val="fr-FR"/>
        </w:rPr>
        <w:t xml:space="preserve">Les accords </w:t>
      </w:r>
      <w:r>
        <w:rPr>
          <w:bCs/>
          <w:szCs w:val="24"/>
          <w:lang w:val="fr-FR"/>
        </w:rPr>
        <w:t xml:space="preserve">examinés dans </w:t>
      </w:r>
      <w:r w:rsidRPr="00A22FEE">
        <w:rPr>
          <w:bCs/>
          <w:szCs w:val="24"/>
          <w:lang w:val="fr-FR"/>
        </w:rPr>
        <w:t xml:space="preserve">le cadre du </w:t>
      </w:r>
      <w:r>
        <w:rPr>
          <w:bCs/>
          <w:szCs w:val="24"/>
          <w:lang w:val="fr-FR"/>
        </w:rPr>
        <w:t>pré</w:t>
      </w:r>
      <w:r w:rsidRPr="00A22FEE">
        <w:rPr>
          <w:bCs/>
          <w:szCs w:val="24"/>
          <w:lang w:val="fr-FR"/>
        </w:rPr>
        <w:t xml:space="preserve">sent document diffèrent en ce qui concerne </w:t>
      </w:r>
      <w:r>
        <w:rPr>
          <w:bCs/>
          <w:szCs w:val="24"/>
          <w:lang w:val="fr-FR"/>
        </w:rPr>
        <w:t>l’entité compétente pour faire</w:t>
      </w:r>
      <w:r w:rsidRPr="00A22FEE">
        <w:rPr>
          <w:bCs/>
          <w:szCs w:val="24"/>
          <w:lang w:val="fr-FR"/>
        </w:rPr>
        <w:t xml:space="preserve"> </w:t>
      </w:r>
      <w:r>
        <w:rPr>
          <w:bCs/>
          <w:szCs w:val="24"/>
          <w:lang w:val="fr-FR"/>
        </w:rPr>
        <w:t xml:space="preserve">des </w:t>
      </w:r>
      <w:r w:rsidRPr="00A22FEE">
        <w:rPr>
          <w:bCs/>
          <w:szCs w:val="24"/>
          <w:lang w:val="fr-FR"/>
        </w:rPr>
        <w:t>recommandation</w:t>
      </w:r>
      <w:r>
        <w:rPr>
          <w:bCs/>
          <w:szCs w:val="24"/>
          <w:lang w:val="fr-FR"/>
        </w:rPr>
        <w:t xml:space="preserve">s aux </w:t>
      </w:r>
      <w:r w:rsidRPr="00A22FEE">
        <w:rPr>
          <w:bCs/>
          <w:szCs w:val="24"/>
          <w:lang w:val="fr-FR"/>
        </w:rPr>
        <w:t>Partie</w:t>
      </w:r>
      <w:r>
        <w:rPr>
          <w:bCs/>
          <w:szCs w:val="24"/>
          <w:lang w:val="fr-FR"/>
        </w:rPr>
        <w:t>s faisant l’objet d’un examen du respect de ces accords. Dans le</w:t>
      </w:r>
      <w:r w:rsidRPr="00A22FEE">
        <w:rPr>
          <w:bCs/>
          <w:szCs w:val="24"/>
          <w:lang w:val="fr-FR"/>
        </w:rPr>
        <w:t xml:space="preserve"> </w:t>
      </w:r>
      <w:r>
        <w:rPr>
          <w:bCs/>
          <w:szCs w:val="24"/>
          <w:lang w:val="fr-FR"/>
        </w:rPr>
        <w:t xml:space="preserve">cadre du </w:t>
      </w:r>
      <w:r w:rsidRPr="00A22FEE">
        <w:rPr>
          <w:bCs/>
          <w:szCs w:val="24"/>
          <w:lang w:val="fr-FR"/>
        </w:rPr>
        <w:t>Protocole de Montréal, le</w:t>
      </w:r>
      <w:r>
        <w:rPr>
          <w:bCs/>
          <w:szCs w:val="24"/>
          <w:lang w:val="fr-FR"/>
        </w:rPr>
        <w:t>s Parties prennent des dé</w:t>
      </w:r>
      <w:r w:rsidRPr="00A22FEE">
        <w:rPr>
          <w:bCs/>
          <w:szCs w:val="24"/>
          <w:lang w:val="fr-FR"/>
        </w:rPr>
        <w:t xml:space="preserve">cisions </w:t>
      </w:r>
      <w:r>
        <w:rPr>
          <w:bCs/>
          <w:szCs w:val="24"/>
          <w:lang w:val="fr-FR"/>
        </w:rPr>
        <w:t>finales à une réunion des Parties, sur la base des</w:t>
      </w:r>
      <w:r w:rsidRPr="00A22FEE">
        <w:rPr>
          <w:bCs/>
          <w:szCs w:val="24"/>
          <w:lang w:val="fr-FR"/>
        </w:rPr>
        <w:t xml:space="preserve"> recommandation</w:t>
      </w:r>
      <w:r>
        <w:rPr>
          <w:bCs/>
          <w:szCs w:val="24"/>
          <w:lang w:val="fr-FR"/>
        </w:rPr>
        <w:t>s du</w:t>
      </w:r>
      <w:r w:rsidRPr="00A22FEE">
        <w:rPr>
          <w:bCs/>
          <w:szCs w:val="24"/>
          <w:lang w:val="fr-FR"/>
        </w:rPr>
        <w:t xml:space="preserve"> Comité d’application. </w:t>
      </w:r>
    </w:p>
    <w:p w:rsidR="00DE5465" w:rsidRPr="00A22FEE" w:rsidRDefault="00DE5465" w:rsidP="00CD46D6">
      <w:pPr>
        <w:pStyle w:val="ListParagraph"/>
        <w:ind w:left="0"/>
        <w:rPr>
          <w:bCs/>
          <w:szCs w:val="24"/>
          <w:lang w:val="fr-FR"/>
        </w:rPr>
      </w:pPr>
    </w:p>
    <w:p w:rsidR="00DE5465" w:rsidRPr="00FE162B" w:rsidRDefault="00DE5465" w:rsidP="00DE5465">
      <w:pPr>
        <w:pStyle w:val="ListParagraph"/>
        <w:numPr>
          <w:ilvl w:val="0"/>
          <w:numId w:val="13"/>
        </w:numPr>
        <w:ind w:left="0" w:firstLine="0"/>
        <w:contextualSpacing/>
        <w:jc w:val="both"/>
        <w:rPr>
          <w:bCs/>
          <w:szCs w:val="24"/>
          <w:lang w:val="fr-FR"/>
        </w:rPr>
      </w:pPr>
      <w:r w:rsidRPr="00A22FEE">
        <w:rPr>
          <w:bCs/>
          <w:szCs w:val="24"/>
          <w:lang w:val="fr-FR"/>
        </w:rPr>
        <w:t>Par contrast</w:t>
      </w:r>
      <w:r>
        <w:rPr>
          <w:bCs/>
          <w:szCs w:val="24"/>
          <w:lang w:val="fr-FR"/>
        </w:rPr>
        <w:t xml:space="preserve">e, le Comité </w:t>
      </w:r>
      <w:r w:rsidRPr="00A22FEE">
        <w:rPr>
          <w:bCs/>
          <w:szCs w:val="24"/>
          <w:lang w:val="fr-FR"/>
        </w:rPr>
        <w:t>chargé du respect de la Convention de Bâle peut recommand</w:t>
      </w:r>
      <w:r>
        <w:rPr>
          <w:bCs/>
          <w:szCs w:val="24"/>
          <w:lang w:val="fr-FR"/>
        </w:rPr>
        <w:t>er des mesures qu’une</w:t>
      </w:r>
      <w:r w:rsidRPr="00A22FEE">
        <w:rPr>
          <w:bCs/>
          <w:szCs w:val="24"/>
          <w:lang w:val="fr-FR"/>
        </w:rPr>
        <w:t xml:space="preserve"> Partie contrevenante </w:t>
      </w:r>
      <w:r>
        <w:rPr>
          <w:bCs/>
          <w:szCs w:val="24"/>
          <w:lang w:val="fr-FR"/>
        </w:rPr>
        <w:t>devrait prendre pour respecter ses engagements; d’autres mesures de</w:t>
      </w:r>
      <w:r w:rsidRPr="00A22FEE">
        <w:rPr>
          <w:bCs/>
          <w:szCs w:val="24"/>
          <w:lang w:val="fr-FR"/>
        </w:rPr>
        <w:t xml:space="preserve"> la Conférence des Parties </w:t>
      </w:r>
      <w:r>
        <w:rPr>
          <w:bCs/>
          <w:szCs w:val="24"/>
          <w:lang w:val="fr-FR"/>
        </w:rPr>
        <w:t xml:space="preserve">sont requises uniquement si le Comité chargé du respect de la Convention n’a pas réussi à faire en sorte que </w:t>
      </w:r>
      <w:r w:rsidRPr="00A22FEE">
        <w:rPr>
          <w:bCs/>
          <w:szCs w:val="24"/>
          <w:lang w:val="fr-FR"/>
        </w:rPr>
        <w:t>la Partie contrevenante</w:t>
      </w:r>
      <w:r>
        <w:rPr>
          <w:bCs/>
          <w:szCs w:val="24"/>
          <w:lang w:val="fr-FR"/>
        </w:rPr>
        <w:t xml:space="preserve"> respecte ses engagements</w:t>
      </w:r>
      <w:r w:rsidRPr="00A22FEE">
        <w:rPr>
          <w:bCs/>
          <w:szCs w:val="24"/>
          <w:lang w:val="fr-FR"/>
        </w:rPr>
        <w:t xml:space="preserve">. </w:t>
      </w:r>
      <w:r w:rsidRPr="002246BB">
        <w:rPr>
          <w:bCs/>
          <w:szCs w:val="24"/>
          <w:lang w:val="fr-FR"/>
        </w:rPr>
        <w:t xml:space="preserve">De la même façon, le Comité permanent </w:t>
      </w:r>
      <w:r>
        <w:rPr>
          <w:bCs/>
          <w:szCs w:val="24"/>
          <w:lang w:val="fr-FR"/>
        </w:rPr>
        <w:t xml:space="preserve">de la </w:t>
      </w:r>
      <w:r w:rsidRPr="002246BB">
        <w:rPr>
          <w:bCs/>
          <w:szCs w:val="24"/>
          <w:lang w:val="fr-FR"/>
        </w:rPr>
        <w:t xml:space="preserve">CITES </w:t>
      </w:r>
      <w:r>
        <w:rPr>
          <w:bCs/>
          <w:szCs w:val="24"/>
          <w:lang w:val="fr-FR"/>
        </w:rPr>
        <w:t xml:space="preserve">et le </w:t>
      </w:r>
      <w:r w:rsidRPr="002246BB">
        <w:rPr>
          <w:bCs/>
          <w:szCs w:val="24"/>
          <w:lang w:val="fr-FR"/>
        </w:rPr>
        <w:t xml:space="preserve">Comité permanent </w:t>
      </w:r>
      <w:r>
        <w:rPr>
          <w:bCs/>
          <w:szCs w:val="24"/>
          <w:lang w:val="fr-FR"/>
        </w:rPr>
        <w:t>de l’</w:t>
      </w:r>
      <w:r w:rsidRPr="002246BB">
        <w:rPr>
          <w:bCs/>
          <w:szCs w:val="24"/>
          <w:lang w:val="fr-FR"/>
        </w:rPr>
        <w:t xml:space="preserve">AEWA </w:t>
      </w:r>
      <w:r>
        <w:rPr>
          <w:bCs/>
          <w:szCs w:val="24"/>
          <w:lang w:val="fr-FR"/>
        </w:rPr>
        <w:t xml:space="preserve">sont compétents pour faire des </w:t>
      </w:r>
      <w:r w:rsidRPr="002246BB">
        <w:rPr>
          <w:bCs/>
          <w:szCs w:val="24"/>
          <w:lang w:val="fr-FR"/>
        </w:rPr>
        <w:t xml:space="preserve">recommandations </w:t>
      </w:r>
      <w:r>
        <w:rPr>
          <w:bCs/>
          <w:szCs w:val="24"/>
          <w:lang w:val="fr-FR"/>
        </w:rPr>
        <w:t xml:space="preserve">finales à la </w:t>
      </w:r>
      <w:r w:rsidRPr="002246BB">
        <w:rPr>
          <w:bCs/>
          <w:szCs w:val="24"/>
          <w:lang w:val="fr-FR"/>
        </w:rPr>
        <w:t xml:space="preserve">Partie </w:t>
      </w:r>
      <w:r>
        <w:rPr>
          <w:bCs/>
          <w:szCs w:val="24"/>
          <w:lang w:val="fr-FR"/>
        </w:rPr>
        <w:t>faisant l’objet d’un examen</w:t>
      </w:r>
      <w:r w:rsidRPr="002246BB">
        <w:rPr>
          <w:bCs/>
          <w:szCs w:val="24"/>
          <w:lang w:val="fr-FR"/>
        </w:rPr>
        <w:t xml:space="preserve">. </w:t>
      </w:r>
      <w:r>
        <w:rPr>
          <w:bCs/>
          <w:szCs w:val="24"/>
          <w:lang w:val="fr-FR"/>
        </w:rPr>
        <w:t>Puisque les Parties à la</w:t>
      </w:r>
      <w:r w:rsidRPr="002246BB">
        <w:rPr>
          <w:bCs/>
          <w:szCs w:val="24"/>
          <w:lang w:val="fr-FR"/>
        </w:rPr>
        <w:t xml:space="preserve"> CITES </w:t>
      </w:r>
      <w:r>
        <w:rPr>
          <w:bCs/>
          <w:szCs w:val="24"/>
          <w:lang w:val="fr-FR"/>
        </w:rPr>
        <w:t>et à l’</w:t>
      </w:r>
      <w:r w:rsidRPr="002246BB">
        <w:rPr>
          <w:bCs/>
          <w:szCs w:val="24"/>
          <w:lang w:val="fr-FR"/>
        </w:rPr>
        <w:t xml:space="preserve">AEWA </w:t>
      </w:r>
      <w:r>
        <w:rPr>
          <w:bCs/>
          <w:szCs w:val="24"/>
          <w:lang w:val="fr-FR"/>
        </w:rPr>
        <w:t xml:space="preserve">se réunissent en tant que </w:t>
      </w:r>
      <w:r w:rsidRPr="002246BB">
        <w:rPr>
          <w:bCs/>
          <w:szCs w:val="24"/>
          <w:lang w:val="fr-FR"/>
        </w:rPr>
        <w:t>Conférence des Parties</w:t>
      </w:r>
      <w:r>
        <w:rPr>
          <w:bCs/>
          <w:szCs w:val="24"/>
          <w:lang w:val="fr-FR"/>
        </w:rPr>
        <w:t xml:space="preserve"> tous les trois ans environ, le fait de déléguer cette</w:t>
      </w:r>
      <w:r w:rsidRPr="002246BB">
        <w:rPr>
          <w:bCs/>
          <w:szCs w:val="24"/>
          <w:lang w:val="fr-FR"/>
        </w:rPr>
        <w:t xml:space="preserve"> </w:t>
      </w:r>
      <w:r>
        <w:rPr>
          <w:bCs/>
          <w:szCs w:val="24"/>
          <w:lang w:val="fr-FR"/>
        </w:rPr>
        <w:t>responsabilité aux C</w:t>
      </w:r>
      <w:r w:rsidRPr="002246BB">
        <w:rPr>
          <w:bCs/>
          <w:szCs w:val="24"/>
          <w:lang w:val="fr-FR"/>
        </w:rPr>
        <w:t>omité</w:t>
      </w:r>
      <w:r>
        <w:rPr>
          <w:bCs/>
          <w:szCs w:val="24"/>
          <w:lang w:val="fr-FR"/>
        </w:rPr>
        <w:t>s</w:t>
      </w:r>
      <w:r w:rsidRPr="002246BB">
        <w:rPr>
          <w:bCs/>
          <w:szCs w:val="24"/>
          <w:lang w:val="fr-FR"/>
        </w:rPr>
        <w:t xml:space="preserve"> permanent</w:t>
      </w:r>
      <w:r>
        <w:rPr>
          <w:bCs/>
          <w:szCs w:val="24"/>
          <w:lang w:val="fr-FR"/>
        </w:rPr>
        <w:t>s</w:t>
      </w:r>
      <w:r w:rsidRPr="002246BB">
        <w:rPr>
          <w:bCs/>
          <w:szCs w:val="24"/>
          <w:lang w:val="fr-FR"/>
        </w:rPr>
        <w:t xml:space="preserve"> </w:t>
      </w:r>
      <w:r>
        <w:rPr>
          <w:bCs/>
          <w:szCs w:val="24"/>
          <w:lang w:val="fr-FR"/>
        </w:rPr>
        <w:t xml:space="preserve">permet de s’assurer que les questions de </w:t>
      </w:r>
      <w:r w:rsidRPr="002246BB">
        <w:rPr>
          <w:bCs/>
          <w:szCs w:val="24"/>
          <w:lang w:val="fr-FR"/>
        </w:rPr>
        <w:t>non-respect</w:t>
      </w:r>
      <w:r>
        <w:rPr>
          <w:bCs/>
          <w:szCs w:val="24"/>
          <w:lang w:val="fr-FR"/>
        </w:rPr>
        <w:t xml:space="preserve"> sont traitées dès que</w:t>
      </w:r>
      <w:r w:rsidRPr="002246BB">
        <w:rPr>
          <w:bCs/>
          <w:szCs w:val="24"/>
          <w:lang w:val="fr-FR"/>
        </w:rPr>
        <w:t xml:space="preserve"> possible. L</w:t>
      </w:r>
      <w:r w:rsidRPr="00FE162B">
        <w:rPr>
          <w:bCs/>
          <w:szCs w:val="24"/>
          <w:lang w:val="fr-FR"/>
        </w:rPr>
        <w:t xml:space="preserve">e Conseil des droits de l’homme formule des recommandations </w:t>
      </w:r>
      <w:r>
        <w:rPr>
          <w:bCs/>
          <w:szCs w:val="24"/>
          <w:lang w:val="fr-FR"/>
        </w:rPr>
        <w:t>également, sans avoir à les soumettre au préalable à l’Assemblée générale des Nations Unies</w:t>
      </w:r>
      <w:r w:rsidRPr="00FE162B">
        <w:rPr>
          <w:bCs/>
          <w:szCs w:val="24"/>
          <w:lang w:val="fr-FR"/>
        </w:rPr>
        <w:t>.</w:t>
      </w:r>
    </w:p>
    <w:p w:rsidR="00DE5465" w:rsidRPr="00FE162B" w:rsidRDefault="00DE5465" w:rsidP="004F56CD">
      <w:pPr>
        <w:pStyle w:val="ListParagraph"/>
        <w:ind w:left="0"/>
        <w:rPr>
          <w:bCs/>
          <w:szCs w:val="24"/>
          <w:lang w:val="fr-FR"/>
        </w:rPr>
      </w:pPr>
    </w:p>
    <w:p w:rsidR="00DE5465" w:rsidRPr="00A22FEE" w:rsidRDefault="00DE5465" w:rsidP="00DE5465">
      <w:pPr>
        <w:pStyle w:val="ListParagraph"/>
        <w:ind w:left="0"/>
        <w:jc w:val="both"/>
        <w:rPr>
          <w:bCs/>
          <w:szCs w:val="24"/>
          <w:lang w:val="fr-FR"/>
        </w:rPr>
      </w:pPr>
      <w:r w:rsidRPr="00A22FEE">
        <w:rPr>
          <w:bCs/>
          <w:i/>
          <w:szCs w:val="24"/>
          <w:lang w:val="fr-FR"/>
        </w:rPr>
        <w:t>Déclenc</w:t>
      </w:r>
      <w:r>
        <w:rPr>
          <w:bCs/>
          <w:i/>
          <w:szCs w:val="24"/>
          <w:lang w:val="fr-FR"/>
        </w:rPr>
        <w:t>h</w:t>
      </w:r>
      <w:r w:rsidRPr="00A22FEE">
        <w:rPr>
          <w:bCs/>
          <w:i/>
          <w:szCs w:val="24"/>
          <w:lang w:val="fr-FR"/>
        </w:rPr>
        <w:t>ement du mécanisme</w:t>
      </w:r>
      <w:r>
        <w:rPr>
          <w:bCs/>
          <w:i/>
          <w:szCs w:val="24"/>
          <w:lang w:val="fr-FR"/>
        </w:rPr>
        <w:t xml:space="preserve"> de respect</w:t>
      </w:r>
    </w:p>
    <w:p w:rsidR="00DE5465" w:rsidRPr="00A22FEE" w:rsidRDefault="00DE5465" w:rsidP="004F56CD">
      <w:pPr>
        <w:pStyle w:val="ListParagraph"/>
        <w:ind w:left="0"/>
        <w:rPr>
          <w:bCs/>
          <w:szCs w:val="24"/>
          <w:lang w:val="fr-FR"/>
        </w:rPr>
      </w:pPr>
    </w:p>
    <w:p w:rsidR="00DE5465" w:rsidRPr="00FE162B" w:rsidRDefault="00DE5465" w:rsidP="00DE5465">
      <w:pPr>
        <w:pStyle w:val="ListParagraph"/>
        <w:numPr>
          <w:ilvl w:val="0"/>
          <w:numId w:val="13"/>
        </w:numPr>
        <w:ind w:left="0" w:firstLine="0"/>
        <w:contextualSpacing/>
        <w:jc w:val="both"/>
        <w:rPr>
          <w:bCs/>
          <w:szCs w:val="24"/>
          <w:lang w:val="fr-FR"/>
        </w:rPr>
      </w:pPr>
      <w:r>
        <w:rPr>
          <w:bCs/>
          <w:szCs w:val="24"/>
          <w:lang w:val="fr-FR"/>
        </w:rPr>
        <w:t>Les mécanismes</w:t>
      </w:r>
      <w:r w:rsidRPr="00FE162B">
        <w:rPr>
          <w:bCs/>
          <w:szCs w:val="24"/>
          <w:lang w:val="fr-FR"/>
        </w:rPr>
        <w:t xml:space="preserve"> de respect</w:t>
      </w:r>
      <w:r>
        <w:rPr>
          <w:bCs/>
          <w:szCs w:val="24"/>
          <w:lang w:val="fr-FR"/>
        </w:rPr>
        <w:t xml:space="preserve"> examinés</w:t>
      </w:r>
      <w:r w:rsidRPr="00FE162B">
        <w:rPr>
          <w:bCs/>
          <w:szCs w:val="24"/>
          <w:lang w:val="fr-FR"/>
        </w:rPr>
        <w:t xml:space="preserve"> dans le cadre du </w:t>
      </w:r>
      <w:r>
        <w:rPr>
          <w:bCs/>
          <w:szCs w:val="24"/>
          <w:lang w:val="fr-FR"/>
        </w:rPr>
        <w:t>pré</w:t>
      </w:r>
      <w:r w:rsidRPr="00FE162B">
        <w:rPr>
          <w:bCs/>
          <w:szCs w:val="24"/>
          <w:lang w:val="fr-FR"/>
        </w:rPr>
        <w:t>sent document</w:t>
      </w:r>
      <w:r>
        <w:rPr>
          <w:bCs/>
          <w:szCs w:val="24"/>
          <w:lang w:val="fr-FR"/>
        </w:rPr>
        <w:t xml:space="preserve"> utilisent différentes approches pour commencer l’examen d’une question relative au </w:t>
      </w:r>
      <w:r w:rsidRPr="00FE162B">
        <w:rPr>
          <w:bCs/>
          <w:szCs w:val="24"/>
          <w:lang w:val="fr-FR"/>
        </w:rPr>
        <w:t xml:space="preserve">respect. </w:t>
      </w:r>
      <w:r>
        <w:rPr>
          <w:bCs/>
          <w:szCs w:val="24"/>
          <w:lang w:val="fr-FR"/>
        </w:rPr>
        <w:t>Les processus établis au titre de la</w:t>
      </w:r>
      <w:r w:rsidRPr="00FE162B">
        <w:rPr>
          <w:bCs/>
          <w:szCs w:val="24"/>
          <w:lang w:val="fr-FR"/>
        </w:rPr>
        <w:t xml:space="preserve"> CITES, </w:t>
      </w:r>
      <w:r>
        <w:rPr>
          <w:bCs/>
          <w:szCs w:val="24"/>
          <w:lang w:val="fr-FR"/>
        </w:rPr>
        <w:t>du</w:t>
      </w:r>
      <w:r w:rsidRPr="00FE162B">
        <w:rPr>
          <w:bCs/>
          <w:szCs w:val="24"/>
          <w:lang w:val="fr-FR"/>
        </w:rPr>
        <w:t xml:space="preserve"> Protocole de Montréal</w:t>
      </w:r>
      <w:r>
        <w:rPr>
          <w:bCs/>
          <w:szCs w:val="24"/>
          <w:lang w:val="fr-FR"/>
        </w:rPr>
        <w:t xml:space="preserve"> et de </w:t>
      </w:r>
      <w:r w:rsidRPr="00FE162B">
        <w:rPr>
          <w:bCs/>
          <w:szCs w:val="24"/>
          <w:lang w:val="fr-FR"/>
        </w:rPr>
        <w:t xml:space="preserve">la Convention de Bâle </w:t>
      </w:r>
      <w:r>
        <w:rPr>
          <w:bCs/>
          <w:szCs w:val="24"/>
          <w:lang w:val="fr-FR"/>
        </w:rPr>
        <w:t xml:space="preserve">permettent à une </w:t>
      </w:r>
      <w:r w:rsidRPr="00FE162B">
        <w:rPr>
          <w:bCs/>
          <w:szCs w:val="24"/>
          <w:lang w:val="fr-FR"/>
        </w:rPr>
        <w:t xml:space="preserve">Partie </w:t>
      </w:r>
      <w:r>
        <w:rPr>
          <w:bCs/>
          <w:szCs w:val="24"/>
          <w:lang w:val="fr-FR"/>
        </w:rPr>
        <w:t>de se signaler elle-même, ou à une autre</w:t>
      </w:r>
      <w:r w:rsidRPr="00FE162B">
        <w:rPr>
          <w:bCs/>
          <w:szCs w:val="24"/>
          <w:lang w:val="fr-FR"/>
        </w:rPr>
        <w:t xml:space="preserve"> Partie</w:t>
      </w:r>
      <w:r>
        <w:rPr>
          <w:bCs/>
          <w:szCs w:val="24"/>
          <w:lang w:val="fr-FR"/>
        </w:rPr>
        <w:t xml:space="preserve"> ou au</w:t>
      </w:r>
      <w:r w:rsidRPr="00FE162B">
        <w:rPr>
          <w:bCs/>
          <w:szCs w:val="24"/>
          <w:lang w:val="fr-FR"/>
        </w:rPr>
        <w:t xml:space="preserve"> Secrétariat </w:t>
      </w:r>
      <w:r>
        <w:rPr>
          <w:bCs/>
          <w:szCs w:val="24"/>
          <w:lang w:val="fr-FR"/>
        </w:rPr>
        <w:t xml:space="preserve">de soulever une question de </w:t>
      </w:r>
      <w:r w:rsidRPr="00FE162B">
        <w:rPr>
          <w:bCs/>
          <w:szCs w:val="24"/>
          <w:lang w:val="fr-FR"/>
        </w:rPr>
        <w:t xml:space="preserve">respect. </w:t>
      </w:r>
      <w:r>
        <w:rPr>
          <w:bCs/>
          <w:szCs w:val="24"/>
          <w:lang w:val="fr-FR"/>
        </w:rPr>
        <w:t xml:space="preserve">Le processus mis en place par </w:t>
      </w:r>
      <w:r w:rsidRPr="00FE162B">
        <w:rPr>
          <w:bCs/>
          <w:szCs w:val="24"/>
          <w:lang w:val="fr-FR"/>
        </w:rPr>
        <w:t>l’Accord</w:t>
      </w:r>
      <w:r>
        <w:rPr>
          <w:bCs/>
          <w:szCs w:val="24"/>
          <w:lang w:val="fr-FR"/>
        </w:rPr>
        <w:t xml:space="preserve"> sur les obstacles techniques au commerce prend la forme d’un débat entre les membres de l’OMC</w:t>
      </w:r>
      <w:r w:rsidRPr="00FE162B">
        <w:rPr>
          <w:bCs/>
          <w:szCs w:val="24"/>
          <w:lang w:val="fr-FR"/>
        </w:rPr>
        <w:t>.</w:t>
      </w:r>
    </w:p>
    <w:p w:rsidR="00DE5465" w:rsidRPr="00FE162B" w:rsidRDefault="00DE5465" w:rsidP="004F56CD">
      <w:pPr>
        <w:pStyle w:val="ListParagraph"/>
        <w:ind w:left="0"/>
        <w:rPr>
          <w:bCs/>
          <w:szCs w:val="24"/>
          <w:lang w:val="fr-FR"/>
        </w:rPr>
      </w:pPr>
    </w:p>
    <w:p w:rsidR="00DE5465" w:rsidRPr="00FE162B" w:rsidRDefault="00DE5465" w:rsidP="00DE5465">
      <w:pPr>
        <w:pStyle w:val="ListParagraph"/>
        <w:numPr>
          <w:ilvl w:val="0"/>
          <w:numId w:val="13"/>
        </w:numPr>
        <w:ind w:left="0" w:firstLine="0"/>
        <w:contextualSpacing/>
        <w:jc w:val="both"/>
        <w:rPr>
          <w:bCs/>
          <w:szCs w:val="24"/>
          <w:lang w:val="fr-FR"/>
        </w:rPr>
      </w:pPr>
      <w:r>
        <w:rPr>
          <w:bCs/>
          <w:szCs w:val="24"/>
          <w:lang w:val="fr-FR"/>
        </w:rPr>
        <w:t>D’autres</w:t>
      </w:r>
      <w:r w:rsidRPr="00FE162B">
        <w:rPr>
          <w:bCs/>
          <w:szCs w:val="24"/>
          <w:lang w:val="fr-FR"/>
        </w:rPr>
        <w:t xml:space="preserve"> mécanismes, cependant, </w:t>
      </w:r>
      <w:r>
        <w:rPr>
          <w:bCs/>
          <w:szCs w:val="24"/>
          <w:lang w:val="fr-FR"/>
        </w:rPr>
        <w:t>assurent la participation d</w:t>
      </w:r>
      <w:r w:rsidRPr="00FE162B">
        <w:rPr>
          <w:bCs/>
          <w:szCs w:val="24"/>
          <w:lang w:val="fr-FR"/>
        </w:rPr>
        <w:t>es organisations non gouvernementales</w:t>
      </w:r>
      <w:r>
        <w:rPr>
          <w:bCs/>
          <w:szCs w:val="24"/>
          <w:lang w:val="fr-FR"/>
        </w:rPr>
        <w:t xml:space="preserve"> (ONG</w:t>
      </w:r>
      <w:r w:rsidRPr="00FE162B">
        <w:rPr>
          <w:bCs/>
          <w:szCs w:val="24"/>
          <w:lang w:val="fr-FR"/>
        </w:rPr>
        <w:t xml:space="preserve">) </w:t>
      </w:r>
      <w:r>
        <w:rPr>
          <w:bCs/>
          <w:szCs w:val="24"/>
          <w:lang w:val="fr-FR"/>
        </w:rPr>
        <w:t>et d’autres acteurs non étatiques au processus</w:t>
      </w:r>
      <w:r w:rsidRPr="00FE162B">
        <w:rPr>
          <w:bCs/>
          <w:szCs w:val="24"/>
          <w:lang w:val="fr-FR"/>
        </w:rPr>
        <w:t xml:space="preserve">. La procédure d’évaluation </w:t>
      </w:r>
      <w:r>
        <w:rPr>
          <w:bCs/>
          <w:szCs w:val="24"/>
          <w:lang w:val="fr-FR"/>
        </w:rPr>
        <w:t>de la mise en œuvre</w:t>
      </w:r>
      <w:r w:rsidRPr="00FE162B">
        <w:rPr>
          <w:bCs/>
          <w:szCs w:val="24"/>
          <w:lang w:val="fr-FR"/>
        </w:rPr>
        <w:t xml:space="preserve"> de l’AEWA peut </w:t>
      </w:r>
      <w:r>
        <w:rPr>
          <w:bCs/>
          <w:szCs w:val="24"/>
          <w:lang w:val="fr-FR"/>
        </w:rPr>
        <w:t xml:space="preserve">ainsi </w:t>
      </w:r>
      <w:r w:rsidRPr="00FE162B">
        <w:rPr>
          <w:bCs/>
          <w:szCs w:val="24"/>
          <w:lang w:val="fr-FR"/>
        </w:rPr>
        <w:t>être déclenché</w:t>
      </w:r>
      <w:r>
        <w:rPr>
          <w:bCs/>
          <w:szCs w:val="24"/>
          <w:lang w:val="fr-FR"/>
        </w:rPr>
        <w:t>e par une communication d’une ON</w:t>
      </w:r>
      <w:r w:rsidRPr="00FE162B">
        <w:rPr>
          <w:bCs/>
          <w:szCs w:val="24"/>
          <w:lang w:val="fr-FR"/>
        </w:rPr>
        <w:t>G. D</w:t>
      </w:r>
      <w:r>
        <w:rPr>
          <w:bCs/>
          <w:szCs w:val="24"/>
          <w:lang w:val="fr-FR"/>
        </w:rPr>
        <w:t>e</w:t>
      </w:r>
      <w:r w:rsidRPr="00FE162B">
        <w:rPr>
          <w:bCs/>
          <w:szCs w:val="24"/>
          <w:lang w:val="fr-FR"/>
        </w:rPr>
        <w:t xml:space="preserve"> fait, les trois cas qui ont été </w:t>
      </w:r>
      <w:r>
        <w:rPr>
          <w:bCs/>
          <w:szCs w:val="24"/>
          <w:lang w:val="fr-FR"/>
        </w:rPr>
        <w:t>examiné</w:t>
      </w:r>
      <w:r w:rsidRPr="00FE162B">
        <w:rPr>
          <w:bCs/>
          <w:szCs w:val="24"/>
          <w:lang w:val="fr-FR"/>
        </w:rPr>
        <w:t xml:space="preserve">s </w:t>
      </w:r>
      <w:r>
        <w:rPr>
          <w:bCs/>
          <w:szCs w:val="24"/>
          <w:lang w:val="fr-FR"/>
        </w:rPr>
        <w:t>à ce jour ont été soumis par des ONG</w:t>
      </w:r>
      <w:r w:rsidRPr="00FE162B">
        <w:rPr>
          <w:szCs w:val="24"/>
          <w:lang w:val="fr-FR"/>
        </w:rPr>
        <w:t>.</w:t>
      </w:r>
      <w:r>
        <w:rPr>
          <w:bCs/>
          <w:szCs w:val="24"/>
          <w:lang w:val="fr-FR"/>
        </w:rPr>
        <w:t xml:space="preserve"> </w:t>
      </w:r>
      <w:r w:rsidRPr="00FE162B">
        <w:rPr>
          <w:bCs/>
          <w:szCs w:val="24"/>
          <w:lang w:val="fr-FR"/>
        </w:rPr>
        <w:t>L’Examen pério</w:t>
      </w:r>
      <w:r>
        <w:rPr>
          <w:bCs/>
          <w:szCs w:val="24"/>
          <w:lang w:val="fr-FR"/>
        </w:rPr>
        <w:t>dique universel permet aussi à des</w:t>
      </w:r>
      <w:r w:rsidRPr="00FE162B">
        <w:rPr>
          <w:bCs/>
          <w:szCs w:val="24"/>
          <w:lang w:val="fr-FR"/>
        </w:rPr>
        <w:t xml:space="preserve"> ONG, </w:t>
      </w:r>
      <w:r>
        <w:rPr>
          <w:bCs/>
          <w:szCs w:val="24"/>
          <w:lang w:val="fr-FR"/>
        </w:rPr>
        <w:t xml:space="preserve">à des experts en </w:t>
      </w:r>
      <w:r w:rsidRPr="00FE162B">
        <w:rPr>
          <w:bCs/>
          <w:szCs w:val="24"/>
          <w:lang w:val="fr-FR"/>
        </w:rPr>
        <w:t>droits de l’homme</w:t>
      </w:r>
      <w:r>
        <w:rPr>
          <w:bCs/>
          <w:szCs w:val="24"/>
          <w:lang w:val="fr-FR"/>
        </w:rPr>
        <w:t xml:space="preserve"> et à d’autres personnes de fournir des </w:t>
      </w:r>
      <w:r w:rsidRPr="00FE162B">
        <w:rPr>
          <w:bCs/>
          <w:szCs w:val="24"/>
          <w:lang w:val="fr-FR"/>
        </w:rPr>
        <w:t>information</w:t>
      </w:r>
      <w:r>
        <w:rPr>
          <w:bCs/>
          <w:szCs w:val="24"/>
          <w:lang w:val="fr-FR"/>
        </w:rPr>
        <w:t>s et de faire des déclarations générales lorsque</w:t>
      </w:r>
      <w:r w:rsidRPr="00FE162B">
        <w:rPr>
          <w:bCs/>
          <w:szCs w:val="24"/>
          <w:lang w:val="fr-FR"/>
        </w:rPr>
        <w:t xml:space="preserve"> </w:t>
      </w:r>
      <w:r>
        <w:rPr>
          <w:bCs/>
          <w:szCs w:val="24"/>
          <w:lang w:val="fr-FR"/>
        </w:rPr>
        <w:t>le rapport final est examiné</w:t>
      </w:r>
      <w:r w:rsidRPr="00FE162B">
        <w:rPr>
          <w:bCs/>
          <w:szCs w:val="24"/>
          <w:lang w:val="fr-FR"/>
        </w:rPr>
        <w:t>.</w:t>
      </w:r>
    </w:p>
    <w:p w:rsidR="00DE5465" w:rsidRPr="00FE162B" w:rsidRDefault="00DE5465" w:rsidP="004F56CD">
      <w:pPr>
        <w:pStyle w:val="ListParagraph"/>
        <w:ind w:left="0"/>
        <w:rPr>
          <w:bCs/>
          <w:szCs w:val="24"/>
          <w:lang w:val="fr-FR"/>
        </w:rPr>
      </w:pPr>
    </w:p>
    <w:p w:rsidR="00DE5465" w:rsidRPr="009B1E36" w:rsidRDefault="00DE5465" w:rsidP="00DE5465">
      <w:pPr>
        <w:jc w:val="both"/>
        <w:rPr>
          <w:b/>
          <w:bCs/>
          <w:szCs w:val="24"/>
          <w:lang w:val="fr-FR"/>
        </w:rPr>
      </w:pPr>
      <w:r>
        <w:rPr>
          <w:b/>
          <w:bCs/>
          <w:szCs w:val="24"/>
          <w:lang w:val="fr-FR"/>
        </w:rPr>
        <w:t>Réflexions initiales concernant un</w:t>
      </w:r>
      <w:r w:rsidRPr="009B1E36">
        <w:rPr>
          <w:b/>
          <w:bCs/>
          <w:szCs w:val="24"/>
          <w:lang w:val="fr-FR"/>
        </w:rPr>
        <w:t xml:space="preserve"> </w:t>
      </w:r>
      <w:r>
        <w:rPr>
          <w:b/>
          <w:bCs/>
          <w:szCs w:val="24"/>
          <w:lang w:val="fr-FR"/>
        </w:rPr>
        <w:t>processus d’examen de la CMS</w:t>
      </w:r>
      <w:r w:rsidRPr="009B1E36">
        <w:rPr>
          <w:b/>
          <w:bCs/>
          <w:szCs w:val="24"/>
          <w:lang w:val="fr-FR"/>
        </w:rPr>
        <w:t xml:space="preserve"> </w:t>
      </w:r>
    </w:p>
    <w:p w:rsidR="00DE5465" w:rsidRPr="009B1E36" w:rsidRDefault="00DE5465" w:rsidP="00DE5465">
      <w:pPr>
        <w:rPr>
          <w:bCs/>
          <w:szCs w:val="24"/>
          <w:lang w:val="fr-FR"/>
        </w:rPr>
      </w:pPr>
    </w:p>
    <w:p w:rsidR="00DE5465" w:rsidRPr="009B1E36" w:rsidRDefault="00DE5465" w:rsidP="00DE5465">
      <w:pPr>
        <w:rPr>
          <w:i/>
          <w:szCs w:val="24"/>
          <w:lang w:val="fr-FR"/>
        </w:rPr>
      </w:pPr>
      <w:r w:rsidRPr="009B1E36">
        <w:rPr>
          <w:i/>
          <w:szCs w:val="24"/>
          <w:lang w:val="fr-FR"/>
        </w:rPr>
        <w:t>Conception de base</w:t>
      </w:r>
    </w:p>
    <w:p w:rsidR="00DE5465" w:rsidRPr="009B1E36" w:rsidRDefault="00DE5465" w:rsidP="00DE5465">
      <w:pPr>
        <w:rPr>
          <w:bCs/>
          <w:szCs w:val="24"/>
          <w:lang w:val="fr-FR"/>
        </w:rPr>
      </w:pPr>
    </w:p>
    <w:p w:rsidR="00DE5465" w:rsidRPr="007E3DA4" w:rsidRDefault="00DE5465" w:rsidP="00DE5465">
      <w:pPr>
        <w:pStyle w:val="ListParagraph"/>
        <w:numPr>
          <w:ilvl w:val="0"/>
          <w:numId w:val="13"/>
        </w:numPr>
        <w:ind w:left="0" w:firstLine="0"/>
        <w:contextualSpacing/>
        <w:jc w:val="both"/>
        <w:rPr>
          <w:bCs/>
          <w:szCs w:val="24"/>
          <w:lang w:val="fr-FR"/>
        </w:rPr>
      </w:pPr>
      <w:r w:rsidRPr="001F045E">
        <w:rPr>
          <w:szCs w:val="24"/>
          <w:lang w:val="fr-FR"/>
        </w:rPr>
        <w:t xml:space="preserve">La nature de la Convention </w:t>
      </w:r>
      <w:r>
        <w:rPr>
          <w:szCs w:val="24"/>
          <w:lang w:val="fr-FR"/>
        </w:rPr>
        <w:t>ne se prête pas bien à l’</w:t>
      </w:r>
      <w:r w:rsidRPr="001F045E">
        <w:rPr>
          <w:szCs w:val="24"/>
          <w:lang w:val="fr-FR"/>
        </w:rPr>
        <w:t>approche</w:t>
      </w:r>
      <w:r>
        <w:rPr>
          <w:szCs w:val="24"/>
          <w:lang w:val="fr-FR"/>
        </w:rPr>
        <w:t xml:space="preserve"> fondée sur « la carotte et le bâton » utilisée par la</w:t>
      </w:r>
      <w:r w:rsidRPr="001F045E">
        <w:rPr>
          <w:szCs w:val="24"/>
          <w:lang w:val="fr-FR"/>
        </w:rPr>
        <w:t xml:space="preserve"> </w:t>
      </w:r>
      <w:r>
        <w:rPr>
          <w:szCs w:val="24"/>
          <w:lang w:val="fr-FR"/>
        </w:rPr>
        <w:t xml:space="preserve">CITES et le </w:t>
      </w:r>
      <w:r w:rsidRPr="001F045E">
        <w:rPr>
          <w:szCs w:val="24"/>
          <w:lang w:val="fr-FR"/>
        </w:rPr>
        <w:t xml:space="preserve">Protocole de Montréal. </w:t>
      </w:r>
      <w:r w:rsidRPr="007E3DA4">
        <w:rPr>
          <w:szCs w:val="24"/>
          <w:lang w:val="fr-FR"/>
        </w:rPr>
        <w:t xml:space="preserve">Contrairement à ces deux accords, la CMS </w:t>
      </w:r>
      <w:r>
        <w:rPr>
          <w:szCs w:val="24"/>
          <w:lang w:val="fr-FR"/>
        </w:rPr>
        <w:t>ne dispose pas du type d’</w:t>
      </w:r>
      <w:r w:rsidRPr="007E3DA4">
        <w:rPr>
          <w:szCs w:val="24"/>
          <w:lang w:val="fr-FR"/>
        </w:rPr>
        <w:t xml:space="preserve">avantages commerciaux </w:t>
      </w:r>
      <w:r>
        <w:rPr>
          <w:szCs w:val="24"/>
          <w:lang w:val="fr-FR"/>
        </w:rPr>
        <w:t xml:space="preserve">ou des ressources financières nécessaires pour assurer l’efficacité d’une telle </w:t>
      </w:r>
      <w:r w:rsidRPr="007E3DA4">
        <w:rPr>
          <w:szCs w:val="24"/>
          <w:lang w:val="fr-FR"/>
        </w:rPr>
        <w:t>approch</w:t>
      </w:r>
      <w:r>
        <w:rPr>
          <w:szCs w:val="24"/>
          <w:lang w:val="fr-FR"/>
        </w:rPr>
        <w:t>e. De même, u</w:t>
      </w:r>
      <w:r w:rsidRPr="007E3DA4">
        <w:rPr>
          <w:szCs w:val="24"/>
          <w:lang w:val="fr-FR"/>
        </w:rPr>
        <w:t>ne approche</w:t>
      </w:r>
      <w:r>
        <w:rPr>
          <w:szCs w:val="24"/>
          <w:lang w:val="fr-FR"/>
        </w:rPr>
        <w:t xml:space="preserve"> de facilitation uniquement</w:t>
      </w:r>
      <w:r w:rsidRPr="007E3DA4">
        <w:rPr>
          <w:szCs w:val="24"/>
          <w:lang w:val="fr-FR"/>
        </w:rPr>
        <w:t xml:space="preserve">, </w:t>
      </w:r>
      <w:r>
        <w:rPr>
          <w:szCs w:val="24"/>
          <w:lang w:val="fr-FR"/>
        </w:rPr>
        <w:t xml:space="preserve">comme dans le cadre du </w:t>
      </w:r>
      <w:r w:rsidRPr="007E3DA4">
        <w:rPr>
          <w:szCs w:val="24"/>
          <w:lang w:val="fr-FR"/>
        </w:rPr>
        <w:t xml:space="preserve">mécanisme </w:t>
      </w:r>
      <w:r>
        <w:rPr>
          <w:szCs w:val="24"/>
          <w:lang w:val="fr-FR"/>
        </w:rPr>
        <w:t xml:space="preserve">de </w:t>
      </w:r>
      <w:r w:rsidRPr="007E3DA4">
        <w:rPr>
          <w:szCs w:val="24"/>
          <w:lang w:val="fr-FR"/>
        </w:rPr>
        <w:t xml:space="preserve">respect </w:t>
      </w:r>
      <w:r>
        <w:rPr>
          <w:szCs w:val="24"/>
          <w:lang w:val="fr-FR"/>
        </w:rPr>
        <w:t xml:space="preserve">de </w:t>
      </w:r>
      <w:r w:rsidRPr="007E3DA4">
        <w:rPr>
          <w:szCs w:val="24"/>
          <w:lang w:val="fr-FR"/>
        </w:rPr>
        <w:t>la Convention de Bâle</w:t>
      </w:r>
      <w:r>
        <w:rPr>
          <w:szCs w:val="24"/>
          <w:lang w:val="fr-FR"/>
        </w:rPr>
        <w:t xml:space="preserve">, semble inadéquate lorsqu’on la considère à la lumière des enjeux habituels auxquels sont confrontées de nombreuses Parties à la CMS pour assurer la conservation des </w:t>
      </w:r>
      <w:r w:rsidRPr="007E3DA4">
        <w:rPr>
          <w:szCs w:val="24"/>
          <w:lang w:val="fr-FR"/>
        </w:rPr>
        <w:t>espèces migratrices. A titre d’exemple, le Secrétariat</w:t>
      </w:r>
      <w:r>
        <w:rPr>
          <w:szCs w:val="24"/>
          <w:lang w:val="fr-FR"/>
        </w:rPr>
        <w:t xml:space="preserve"> a constaté,</w:t>
      </w:r>
      <w:r w:rsidRPr="007E3DA4">
        <w:rPr>
          <w:szCs w:val="24"/>
          <w:lang w:val="fr-FR"/>
        </w:rPr>
        <w:t xml:space="preserve"> à la 10</w:t>
      </w:r>
      <w:r>
        <w:rPr>
          <w:szCs w:val="24"/>
          <w:vertAlign w:val="superscript"/>
          <w:lang w:val="fr-FR"/>
        </w:rPr>
        <w:t>ème</w:t>
      </w:r>
      <w:r>
        <w:rPr>
          <w:szCs w:val="24"/>
          <w:lang w:val="fr-FR"/>
        </w:rPr>
        <w:t> sess</w:t>
      </w:r>
      <w:r w:rsidRPr="007E3DA4">
        <w:rPr>
          <w:szCs w:val="24"/>
          <w:lang w:val="fr-FR"/>
        </w:rPr>
        <w:t>ion</w:t>
      </w:r>
      <w:r>
        <w:rPr>
          <w:szCs w:val="24"/>
          <w:lang w:val="fr-FR"/>
        </w:rPr>
        <w:t xml:space="preserve"> de</w:t>
      </w:r>
      <w:r w:rsidRPr="007E3DA4">
        <w:rPr>
          <w:szCs w:val="24"/>
          <w:lang w:val="fr-FR"/>
        </w:rPr>
        <w:t xml:space="preserve"> la Conférence des Parties</w:t>
      </w:r>
      <w:r>
        <w:rPr>
          <w:szCs w:val="24"/>
          <w:lang w:val="fr-FR"/>
        </w:rPr>
        <w:t xml:space="preserve">, que </w:t>
      </w:r>
      <w:r w:rsidRPr="007E3DA4">
        <w:rPr>
          <w:szCs w:val="24"/>
          <w:lang w:val="fr-FR"/>
        </w:rPr>
        <w:t>92%</w:t>
      </w:r>
      <w:r>
        <w:rPr>
          <w:szCs w:val="24"/>
          <w:lang w:val="fr-FR"/>
        </w:rPr>
        <w:t xml:space="preserve"> des </w:t>
      </w:r>
      <w:r w:rsidRPr="007E3DA4">
        <w:rPr>
          <w:szCs w:val="24"/>
          <w:lang w:val="fr-FR"/>
        </w:rPr>
        <w:t xml:space="preserve">Parties </w:t>
      </w:r>
      <w:r>
        <w:rPr>
          <w:szCs w:val="24"/>
          <w:lang w:val="fr-FR"/>
        </w:rPr>
        <w:t xml:space="preserve">ayant répondu à un questionnaire ont signalé la </w:t>
      </w:r>
      <w:r w:rsidRPr="007E3DA4">
        <w:rPr>
          <w:bCs/>
          <w:szCs w:val="24"/>
          <w:lang w:val="fr-FR"/>
        </w:rPr>
        <w:t xml:space="preserve">destruction </w:t>
      </w:r>
      <w:r>
        <w:rPr>
          <w:bCs/>
          <w:szCs w:val="24"/>
          <w:lang w:val="fr-FR"/>
        </w:rPr>
        <w:t xml:space="preserve">des </w:t>
      </w:r>
      <w:r w:rsidRPr="007E3DA4">
        <w:rPr>
          <w:szCs w:val="24"/>
          <w:lang w:val="fr-FR"/>
        </w:rPr>
        <w:t>h</w:t>
      </w:r>
      <w:r>
        <w:rPr>
          <w:bCs/>
          <w:szCs w:val="24"/>
          <w:lang w:val="fr-FR"/>
        </w:rPr>
        <w:t xml:space="preserve">abitats comme un obstacle à la migration des oiseaux inscrits à l’Annexe I, tandis que </w:t>
      </w:r>
      <w:r w:rsidRPr="007E3DA4">
        <w:rPr>
          <w:bCs/>
          <w:szCs w:val="24"/>
          <w:lang w:val="fr-FR"/>
        </w:rPr>
        <w:t>55</w:t>
      </w:r>
      <w:r w:rsidRPr="007E3DA4">
        <w:rPr>
          <w:szCs w:val="24"/>
          <w:lang w:val="fr-FR"/>
        </w:rPr>
        <w:t>%</w:t>
      </w:r>
      <w:r w:rsidRPr="007E3DA4">
        <w:rPr>
          <w:bCs/>
          <w:szCs w:val="24"/>
          <w:lang w:val="fr-FR"/>
        </w:rPr>
        <w:t xml:space="preserve"> </w:t>
      </w:r>
      <w:r>
        <w:rPr>
          <w:bCs/>
          <w:szCs w:val="24"/>
          <w:lang w:val="fr-FR"/>
        </w:rPr>
        <w:t xml:space="preserve">des Parties ont signalé la </w:t>
      </w:r>
      <w:r w:rsidRPr="007E3DA4">
        <w:rPr>
          <w:bCs/>
          <w:szCs w:val="24"/>
          <w:lang w:val="fr-FR"/>
        </w:rPr>
        <w:t>p</w:t>
      </w:r>
      <w:r>
        <w:rPr>
          <w:bCs/>
          <w:szCs w:val="24"/>
          <w:lang w:val="fr-FR"/>
        </w:rPr>
        <w:t>ollution comme un</w:t>
      </w:r>
      <w:r w:rsidRPr="007E3DA4">
        <w:rPr>
          <w:bCs/>
          <w:szCs w:val="24"/>
          <w:lang w:val="fr-FR"/>
        </w:rPr>
        <w:t xml:space="preserve"> obst</w:t>
      </w:r>
      <w:r>
        <w:rPr>
          <w:bCs/>
          <w:szCs w:val="24"/>
          <w:lang w:val="fr-FR"/>
        </w:rPr>
        <w:t>acle à la</w:t>
      </w:r>
      <w:r w:rsidRPr="007E3DA4">
        <w:rPr>
          <w:bCs/>
          <w:szCs w:val="24"/>
          <w:lang w:val="fr-FR"/>
        </w:rPr>
        <w:t xml:space="preserve"> migration. Les prises accidentelles et l’électrocution ont été </w:t>
      </w:r>
      <w:r>
        <w:rPr>
          <w:bCs/>
          <w:szCs w:val="24"/>
          <w:lang w:val="fr-FR"/>
        </w:rPr>
        <w:t>citées comme un obstacle à la migration par</w:t>
      </w:r>
      <w:r w:rsidRPr="007E3DA4">
        <w:rPr>
          <w:bCs/>
          <w:szCs w:val="24"/>
          <w:lang w:val="fr-FR"/>
        </w:rPr>
        <w:t xml:space="preserve"> 45</w:t>
      </w:r>
      <w:r>
        <w:rPr>
          <w:bCs/>
          <w:szCs w:val="24"/>
          <w:lang w:val="fr-FR"/>
        </w:rPr>
        <w:t>%</w:t>
      </w:r>
      <w:r w:rsidRPr="007E3DA4">
        <w:rPr>
          <w:bCs/>
          <w:szCs w:val="24"/>
          <w:lang w:val="fr-FR"/>
        </w:rPr>
        <w:t xml:space="preserve"> </w:t>
      </w:r>
      <w:r>
        <w:rPr>
          <w:bCs/>
          <w:szCs w:val="24"/>
          <w:lang w:val="fr-FR"/>
        </w:rPr>
        <w:t xml:space="preserve">des </w:t>
      </w:r>
      <w:r w:rsidRPr="007E3DA4">
        <w:rPr>
          <w:bCs/>
          <w:szCs w:val="24"/>
          <w:lang w:val="fr-FR"/>
        </w:rPr>
        <w:t>Parties</w:t>
      </w:r>
      <w:r>
        <w:rPr>
          <w:bCs/>
          <w:szCs w:val="24"/>
          <w:lang w:val="fr-FR"/>
        </w:rPr>
        <w:t xml:space="preserve"> ayant répondu au questionnaire</w:t>
      </w:r>
      <w:r w:rsidRPr="007E3DA4">
        <w:rPr>
          <w:bCs/>
          <w:szCs w:val="24"/>
          <w:lang w:val="fr-FR"/>
        </w:rPr>
        <w:t xml:space="preserve"> (</w:t>
      </w:r>
      <w:r w:rsidR="004F56CD">
        <w:rPr>
          <w:bCs/>
          <w:szCs w:val="24"/>
          <w:lang w:val="fr-FR"/>
        </w:rPr>
        <w:t>PNUE</w:t>
      </w:r>
      <w:r w:rsidRPr="007E3DA4">
        <w:rPr>
          <w:bCs/>
          <w:szCs w:val="24"/>
          <w:lang w:val="fr-FR"/>
        </w:rPr>
        <w:t>/CMS/CONF.10.11, Annex</w:t>
      </w:r>
      <w:r>
        <w:rPr>
          <w:bCs/>
          <w:szCs w:val="24"/>
          <w:lang w:val="fr-FR"/>
        </w:rPr>
        <w:t>e</w:t>
      </w:r>
      <w:r w:rsidRPr="007E3DA4">
        <w:rPr>
          <w:bCs/>
          <w:szCs w:val="24"/>
          <w:lang w:val="fr-FR"/>
        </w:rPr>
        <w:t xml:space="preserve"> I). Vu ces enjeux habituels, une approche </w:t>
      </w:r>
      <w:r>
        <w:rPr>
          <w:bCs/>
          <w:szCs w:val="24"/>
          <w:lang w:val="fr-FR"/>
        </w:rPr>
        <w:t>fondée sur un examen par l</w:t>
      </w:r>
      <w:r w:rsidRPr="007E3DA4">
        <w:rPr>
          <w:bCs/>
          <w:szCs w:val="24"/>
          <w:lang w:val="fr-FR"/>
        </w:rPr>
        <w:t>es p</w:t>
      </w:r>
      <w:r>
        <w:rPr>
          <w:bCs/>
          <w:szCs w:val="24"/>
          <w:lang w:val="fr-FR"/>
        </w:rPr>
        <w:t>airs peut permettre d’analyser les enjeux particulier</w:t>
      </w:r>
      <w:r w:rsidRPr="007E3DA4">
        <w:rPr>
          <w:bCs/>
          <w:szCs w:val="24"/>
          <w:lang w:val="fr-FR"/>
        </w:rPr>
        <w:t xml:space="preserve">s </w:t>
      </w:r>
      <w:r>
        <w:rPr>
          <w:bCs/>
          <w:szCs w:val="24"/>
          <w:lang w:val="fr-FR"/>
        </w:rPr>
        <w:t xml:space="preserve">que chaque </w:t>
      </w:r>
      <w:r w:rsidRPr="007E3DA4">
        <w:rPr>
          <w:bCs/>
          <w:szCs w:val="24"/>
          <w:lang w:val="fr-FR"/>
        </w:rPr>
        <w:t>Partie</w:t>
      </w:r>
      <w:r>
        <w:rPr>
          <w:bCs/>
          <w:szCs w:val="24"/>
          <w:lang w:val="fr-FR"/>
        </w:rPr>
        <w:t xml:space="preserve"> doit relever et d’aider d’autres </w:t>
      </w:r>
      <w:r w:rsidRPr="007E3DA4">
        <w:rPr>
          <w:bCs/>
          <w:szCs w:val="24"/>
          <w:lang w:val="fr-FR"/>
        </w:rPr>
        <w:t xml:space="preserve">Parties </w:t>
      </w:r>
      <w:r>
        <w:rPr>
          <w:bCs/>
          <w:szCs w:val="24"/>
          <w:lang w:val="fr-FR"/>
        </w:rPr>
        <w:t>à relever des défis semblables</w:t>
      </w:r>
      <w:r w:rsidRPr="007E3DA4">
        <w:rPr>
          <w:bCs/>
          <w:szCs w:val="24"/>
          <w:lang w:val="fr-FR"/>
        </w:rPr>
        <w:t>.</w:t>
      </w:r>
    </w:p>
    <w:p w:rsidR="00DE5465" w:rsidRPr="007E3DA4" w:rsidRDefault="00DE5465" w:rsidP="004F56CD">
      <w:pPr>
        <w:pStyle w:val="ListParagraph"/>
        <w:ind w:left="0"/>
        <w:rPr>
          <w:bCs/>
          <w:szCs w:val="24"/>
          <w:lang w:val="fr-FR"/>
        </w:rPr>
      </w:pPr>
    </w:p>
    <w:p w:rsidR="00DE5465" w:rsidRPr="00E84292" w:rsidRDefault="00DE5465" w:rsidP="00DE5465">
      <w:pPr>
        <w:pStyle w:val="ListParagraph"/>
        <w:numPr>
          <w:ilvl w:val="0"/>
          <w:numId w:val="13"/>
        </w:numPr>
        <w:ind w:left="0" w:firstLine="0"/>
        <w:contextualSpacing/>
        <w:jc w:val="both"/>
        <w:rPr>
          <w:bCs/>
          <w:szCs w:val="24"/>
          <w:lang w:val="fr-FR"/>
        </w:rPr>
      </w:pPr>
      <w:r w:rsidRPr="009D1E8C">
        <w:rPr>
          <w:bCs/>
          <w:szCs w:val="24"/>
          <w:lang w:val="fr-FR"/>
        </w:rPr>
        <w:t xml:space="preserve">D’autres facteurs également tendent à montrer qu’une approche fondée sur un examen par les pairs </w:t>
      </w:r>
      <w:r>
        <w:rPr>
          <w:bCs/>
          <w:szCs w:val="24"/>
          <w:lang w:val="fr-FR"/>
        </w:rPr>
        <w:t>pourrait être la meilleure approche pour la</w:t>
      </w:r>
      <w:r w:rsidRPr="009D1E8C">
        <w:rPr>
          <w:bCs/>
          <w:szCs w:val="24"/>
          <w:lang w:val="fr-FR"/>
        </w:rPr>
        <w:t xml:space="preserve"> CMS. Tout d’abord, le paragraphe 4 a) de l’article III de la </w:t>
      </w:r>
      <w:r>
        <w:rPr>
          <w:bCs/>
          <w:szCs w:val="24"/>
          <w:lang w:val="fr-FR"/>
        </w:rPr>
        <w:t>Convention prévoit que les Parties « s’efforcent</w:t>
      </w:r>
      <w:r w:rsidRPr="009D1E8C">
        <w:rPr>
          <w:spacing w:val="-3"/>
          <w:szCs w:val="24"/>
          <w:lang w:val="fr-FR"/>
        </w:rPr>
        <w:t xml:space="preserve"> </w:t>
      </w:r>
      <w:r>
        <w:rPr>
          <w:spacing w:val="-3"/>
          <w:szCs w:val="24"/>
          <w:lang w:val="fr-FR"/>
        </w:rPr>
        <w:t>(…) de</w:t>
      </w:r>
      <w:r w:rsidRPr="00E84292">
        <w:rPr>
          <w:spacing w:val="-3"/>
          <w:szCs w:val="24"/>
          <w:lang w:val="fr-FR"/>
        </w:rPr>
        <w:t xml:space="preserve"> conserve</w:t>
      </w:r>
      <w:r>
        <w:rPr>
          <w:spacing w:val="-3"/>
          <w:szCs w:val="24"/>
          <w:lang w:val="fr-FR"/>
        </w:rPr>
        <w:t>r et</w:t>
      </w:r>
      <w:r w:rsidRPr="00E84292">
        <w:rPr>
          <w:spacing w:val="-3"/>
          <w:szCs w:val="24"/>
          <w:lang w:val="fr-FR"/>
        </w:rPr>
        <w:t xml:space="preserve">, </w:t>
      </w:r>
      <w:r>
        <w:rPr>
          <w:spacing w:val="-3"/>
          <w:szCs w:val="24"/>
          <w:lang w:val="fr-FR"/>
        </w:rPr>
        <w:t>lorsque cela est possible et approprié</w:t>
      </w:r>
      <w:r w:rsidRPr="00E84292">
        <w:rPr>
          <w:spacing w:val="-3"/>
          <w:szCs w:val="24"/>
          <w:lang w:val="fr-FR"/>
        </w:rPr>
        <w:t xml:space="preserve">, </w:t>
      </w:r>
      <w:r>
        <w:rPr>
          <w:spacing w:val="-3"/>
          <w:szCs w:val="24"/>
          <w:lang w:val="fr-FR"/>
        </w:rPr>
        <w:t>de restau</w:t>
      </w:r>
      <w:r w:rsidRPr="00E84292">
        <w:rPr>
          <w:spacing w:val="-3"/>
          <w:szCs w:val="24"/>
          <w:lang w:val="fr-FR"/>
        </w:rPr>
        <w:t>re</w:t>
      </w:r>
      <w:r>
        <w:rPr>
          <w:spacing w:val="-3"/>
          <w:szCs w:val="24"/>
          <w:lang w:val="fr-FR"/>
        </w:rPr>
        <w:t>r les habitats de ladite espèce qui sont importants pour écarter le danger d’</w:t>
      </w:r>
      <w:r w:rsidRPr="00E84292">
        <w:rPr>
          <w:spacing w:val="-3"/>
          <w:szCs w:val="24"/>
          <w:lang w:val="fr-FR"/>
        </w:rPr>
        <w:t>extinction</w:t>
      </w:r>
      <w:r>
        <w:rPr>
          <w:spacing w:val="-3"/>
          <w:szCs w:val="24"/>
          <w:lang w:val="fr-FR"/>
        </w:rPr>
        <w:t xml:space="preserve"> de cette espèce »</w:t>
      </w:r>
      <w:r w:rsidRPr="00E84292">
        <w:rPr>
          <w:spacing w:val="-3"/>
          <w:szCs w:val="24"/>
          <w:lang w:val="fr-FR"/>
        </w:rPr>
        <w:t xml:space="preserve">. </w:t>
      </w:r>
      <w:r w:rsidRPr="009D1E8C">
        <w:rPr>
          <w:spacing w:val="-3"/>
          <w:szCs w:val="24"/>
          <w:lang w:val="fr-FR"/>
        </w:rPr>
        <w:t>Les Parties peu</w:t>
      </w:r>
      <w:r>
        <w:rPr>
          <w:spacing w:val="-3"/>
          <w:szCs w:val="24"/>
          <w:lang w:val="fr-FR"/>
        </w:rPr>
        <w:t>ven</w:t>
      </w:r>
      <w:r w:rsidRPr="009D1E8C">
        <w:rPr>
          <w:spacing w:val="-3"/>
          <w:szCs w:val="24"/>
          <w:lang w:val="fr-FR"/>
        </w:rPr>
        <w:t xml:space="preserve">t s’acquitter de cette obligation </w:t>
      </w:r>
      <w:r>
        <w:rPr>
          <w:spacing w:val="-3"/>
          <w:szCs w:val="24"/>
          <w:lang w:val="fr-FR"/>
        </w:rPr>
        <w:t xml:space="preserve">de plusieurs façons. </w:t>
      </w:r>
      <w:r w:rsidRPr="00E84292">
        <w:rPr>
          <w:spacing w:val="-3"/>
          <w:szCs w:val="24"/>
          <w:lang w:val="fr-FR"/>
        </w:rPr>
        <w:t>D’autre part, une Partie peut s’</w:t>
      </w:r>
      <w:r>
        <w:rPr>
          <w:spacing w:val="-3"/>
          <w:szCs w:val="24"/>
          <w:lang w:val="fr-FR"/>
        </w:rPr>
        <w:t>acquitter de c</w:t>
      </w:r>
      <w:r w:rsidRPr="00E84292">
        <w:rPr>
          <w:spacing w:val="-3"/>
          <w:szCs w:val="24"/>
          <w:lang w:val="fr-FR"/>
        </w:rPr>
        <w:t>es</w:t>
      </w:r>
      <w:r>
        <w:rPr>
          <w:spacing w:val="-3"/>
          <w:szCs w:val="24"/>
          <w:lang w:val="fr-FR"/>
        </w:rPr>
        <w:t xml:space="preserve"> </w:t>
      </w:r>
      <w:r w:rsidRPr="00E84292">
        <w:rPr>
          <w:spacing w:val="-3"/>
          <w:szCs w:val="24"/>
          <w:lang w:val="fr-FR"/>
        </w:rPr>
        <w:t>obligations de différente</w:t>
      </w:r>
      <w:r>
        <w:rPr>
          <w:spacing w:val="-3"/>
          <w:szCs w:val="24"/>
          <w:lang w:val="fr-FR"/>
        </w:rPr>
        <w:t>s façons</w:t>
      </w:r>
      <w:r w:rsidRPr="00E84292">
        <w:rPr>
          <w:spacing w:val="-3"/>
          <w:szCs w:val="24"/>
          <w:lang w:val="fr-FR"/>
        </w:rPr>
        <w:t xml:space="preserve"> pour différentes</w:t>
      </w:r>
      <w:r>
        <w:rPr>
          <w:spacing w:val="-3"/>
          <w:szCs w:val="24"/>
          <w:lang w:val="fr-FR"/>
        </w:rPr>
        <w:t xml:space="preserve"> </w:t>
      </w:r>
      <w:r w:rsidRPr="00E84292">
        <w:rPr>
          <w:spacing w:val="-3"/>
          <w:szCs w:val="24"/>
          <w:lang w:val="fr-FR"/>
        </w:rPr>
        <w:t>espèces. Un processus</w:t>
      </w:r>
      <w:r>
        <w:rPr>
          <w:spacing w:val="-3"/>
          <w:szCs w:val="24"/>
          <w:lang w:val="fr-FR"/>
        </w:rPr>
        <w:t xml:space="preserve"> d’examen par l</w:t>
      </w:r>
      <w:r w:rsidRPr="00E84292">
        <w:rPr>
          <w:spacing w:val="-3"/>
          <w:szCs w:val="24"/>
          <w:lang w:val="fr-FR"/>
        </w:rPr>
        <w:t>es pairs permettrait d’avoir le type de débats nécessaire</w:t>
      </w:r>
      <w:r>
        <w:rPr>
          <w:spacing w:val="-3"/>
          <w:szCs w:val="24"/>
          <w:lang w:val="fr-FR"/>
        </w:rPr>
        <w:t>s</w:t>
      </w:r>
      <w:r w:rsidRPr="00E84292">
        <w:rPr>
          <w:spacing w:val="-3"/>
          <w:szCs w:val="24"/>
          <w:lang w:val="fr-FR"/>
        </w:rPr>
        <w:t xml:space="preserve"> pour </w:t>
      </w:r>
      <w:r>
        <w:rPr>
          <w:spacing w:val="-3"/>
          <w:szCs w:val="24"/>
          <w:lang w:val="fr-FR"/>
        </w:rPr>
        <w:t xml:space="preserve">déterminer de quelle façon une </w:t>
      </w:r>
      <w:r w:rsidRPr="00E84292">
        <w:rPr>
          <w:spacing w:val="-3"/>
          <w:szCs w:val="24"/>
          <w:lang w:val="fr-FR"/>
        </w:rPr>
        <w:t xml:space="preserve">Partie </w:t>
      </w:r>
      <w:r>
        <w:rPr>
          <w:spacing w:val="-3"/>
          <w:szCs w:val="24"/>
          <w:lang w:val="fr-FR"/>
        </w:rPr>
        <w:t xml:space="preserve">s’acquitte, en fait, de cette </w:t>
      </w:r>
      <w:r w:rsidRPr="00E84292">
        <w:rPr>
          <w:spacing w:val="-3"/>
          <w:szCs w:val="24"/>
          <w:lang w:val="fr-FR"/>
        </w:rPr>
        <w:t>obligation. D</w:t>
      </w:r>
      <w:r>
        <w:rPr>
          <w:spacing w:val="-3"/>
          <w:szCs w:val="24"/>
          <w:lang w:val="fr-FR"/>
        </w:rPr>
        <w:t xml:space="preserve">’autres </w:t>
      </w:r>
      <w:r w:rsidRPr="00E84292">
        <w:rPr>
          <w:spacing w:val="-3"/>
          <w:szCs w:val="24"/>
          <w:lang w:val="fr-FR"/>
        </w:rPr>
        <w:t xml:space="preserve">Parties pourraient aussi tirer parti de </w:t>
      </w:r>
      <w:r>
        <w:rPr>
          <w:spacing w:val="-3"/>
          <w:szCs w:val="24"/>
          <w:lang w:val="fr-FR"/>
        </w:rPr>
        <w:t>tel</w:t>
      </w:r>
      <w:r w:rsidRPr="00E84292">
        <w:rPr>
          <w:spacing w:val="-3"/>
          <w:szCs w:val="24"/>
          <w:lang w:val="fr-FR"/>
        </w:rPr>
        <w:t xml:space="preserve">s </w:t>
      </w:r>
      <w:r>
        <w:rPr>
          <w:spacing w:val="-3"/>
          <w:szCs w:val="24"/>
          <w:lang w:val="fr-FR"/>
        </w:rPr>
        <w:t>débats</w:t>
      </w:r>
      <w:r w:rsidRPr="00E84292">
        <w:rPr>
          <w:spacing w:val="-3"/>
          <w:szCs w:val="24"/>
          <w:lang w:val="fr-FR"/>
        </w:rPr>
        <w:t xml:space="preserve">. </w:t>
      </w:r>
    </w:p>
    <w:p w:rsidR="00DE5465" w:rsidRPr="00E84292" w:rsidRDefault="00DE5465" w:rsidP="004F56CD">
      <w:pPr>
        <w:pStyle w:val="ListParagraph"/>
        <w:ind w:left="0"/>
        <w:rPr>
          <w:spacing w:val="-3"/>
          <w:szCs w:val="24"/>
          <w:lang w:val="fr-FR"/>
        </w:rPr>
      </w:pPr>
    </w:p>
    <w:p w:rsidR="00DE5465" w:rsidRPr="007E3806" w:rsidRDefault="00DE5465" w:rsidP="00DE5465">
      <w:pPr>
        <w:pStyle w:val="ListParagraph"/>
        <w:numPr>
          <w:ilvl w:val="0"/>
          <w:numId w:val="13"/>
        </w:numPr>
        <w:ind w:left="0" w:firstLine="0"/>
        <w:contextualSpacing/>
        <w:jc w:val="both"/>
        <w:rPr>
          <w:bCs/>
          <w:szCs w:val="24"/>
          <w:lang w:val="fr-FR"/>
        </w:rPr>
      </w:pPr>
      <w:r w:rsidRPr="00505F1E">
        <w:rPr>
          <w:spacing w:val="-3"/>
          <w:szCs w:val="24"/>
          <w:lang w:val="fr-FR"/>
        </w:rPr>
        <w:t>Deuxièmement, une approche</w:t>
      </w:r>
      <w:r>
        <w:rPr>
          <w:spacing w:val="-3"/>
          <w:szCs w:val="24"/>
          <w:lang w:val="fr-FR"/>
        </w:rPr>
        <w:t xml:space="preserve"> fondée sur un examen par l</w:t>
      </w:r>
      <w:r w:rsidRPr="00505F1E">
        <w:rPr>
          <w:spacing w:val="-3"/>
          <w:szCs w:val="24"/>
          <w:lang w:val="fr-FR"/>
        </w:rPr>
        <w:t>es pairs peut aider les Parties</w:t>
      </w:r>
      <w:r>
        <w:rPr>
          <w:spacing w:val="-3"/>
          <w:szCs w:val="24"/>
          <w:lang w:val="fr-FR"/>
        </w:rPr>
        <w:t xml:space="preserve"> à savoir quelles approches de conservation et de </w:t>
      </w:r>
      <w:r w:rsidRPr="00505F1E">
        <w:rPr>
          <w:spacing w:val="-3"/>
          <w:szCs w:val="24"/>
          <w:lang w:val="fr-FR"/>
        </w:rPr>
        <w:t xml:space="preserve">gestion </w:t>
      </w:r>
      <w:r>
        <w:rPr>
          <w:spacing w:val="-3"/>
          <w:szCs w:val="24"/>
          <w:lang w:val="fr-FR"/>
        </w:rPr>
        <w:t>sont plus efficaces que d’autres</w:t>
      </w:r>
      <w:r w:rsidRPr="00505F1E">
        <w:rPr>
          <w:spacing w:val="-3"/>
          <w:szCs w:val="24"/>
          <w:lang w:val="fr-FR"/>
        </w:rPr>
        <w:t xml:space="preserve">. </w:t>
      </w:r>
      <w:r w:rsidRPr="00E84292">
        <w:rPr>
          <w:spacing w:val="-3"/>
          <w:szCs w:val="24"/>
          <w:lang w:val="fr-FR"/>
        </w:rPr>
        <w:t xml:space="preserve">Le but de </w:t>
      </w:r>
      <w:r>
        <w:rPr>
          <w:spacing w:val="-3"/>
          <w:szCs w:val="24"/>
          <w:lang w:val="fr-FR"/>
        </w:rPr>
        <w:t xml:space="preserve">tout </w:t>
      </w:r>
      <w:r w:rsidRPr="00E84292">
        <w:rPr>
          <w:spacing w:val="-3"/>
          <w:szCs w:val="24"/>
          <w:lang w:val="fr-FR"/>
        </w:rPr>
        <w:t xml:space="preserve">AME </w:t>
      </w:r>
      <w:r>
        <w:rPr>
          <w:spacing w:val="-3"/>
          <w:szCs w:val="24"/>
          <w:lang w:val="fr-FR"/>
        </w:rPr>
        <w:t>devrait être d’atteindre ses objectifs de conservation</w:t>
      </w:r>
      <w:r w:rsidRPr="00E84292">
        <w:rPr>
          <w:spacing w:val="-3"/>
          <w:szCs w:val="24"/>
          <w:lang w:val="fr-FR"/>
        </w:rPr>
        <w:t xml:space="preserve">. </w:t>
      </w:r>
      <w:r>
        <w:rPr>
          <w:spacing w:val="-3"/>
          <w:szCs w:val="24"/>
          <w:lang w:val="fr-FR"/>
        </w:rPr>
        <w:t>Bien que le respect des obligations soit à l’évidence</w:t>
      </w:r>
      <w:r w:rsidRPr="00E84292">
        <w:rPr>
          <w:spacing w:val="-3"/>
          <w:szCs w:val="24"/>
          <w:lang w:val="fr-FR"/>
        </w:rPr>
        <w:t xml:space="preserve"> important </w:t>
      </w:r>
      <w:r>
        <w:rPr>
          <w:spacing w:val="-3"/>
          <w:szCs w:val="24"/>
          <w:lang w:val="fr-FR"/>
        </w:rPr>
        <w:t xml:space="preserve">pour maintenir l’intégrité d’un </w:t>
      </w:r>
      <w:r w:rsidRPr="00E84292">
        <w:rPr>
          <w:spacing w:val="-3"/>
          <w:szCs w:val="24"/>
          <w:lang w:val="fr-FR"/>
        </w:rPr>
        <w:t xml:space="preserve">AME, </w:t>
      </w:r>
      <w:r>
        <w:rPr>
          <w:spacing w:val="-3"/>
          <w:szCs w:val="24"/>
          <w:lang w:val="fr-FR"/>
        </w:rPr>
        <w:t xml:space="preserve">cela ne signifie pas forcément que les objectifs de </w:t>
      </w:r>
      <w:r w:rsidRPr="00E84292">
        <w:rPr>
          <w:spacing w:val="-3"/>
          <w:szCs w:val="24"/>
          <w:lang w:val="fr-FR"/>
        </w:rPr>
        <w:t xml:space="preserve">conservation </w:t>
      </w:r>
      <w:r>
        <w:rPr>
          <w:spacing w:val="-3"/>
          <w:szCs w:val="24"/>
          <w:lang w:val="fr-FR"/>
        </w:rPr>
        <w:t xml:space="preserve">de l’AME ont été atteints. Ceci est particulièrement vrai dans le contexte de la conservation et de la </w:t>
      </w:r>
      <w:r w:rsidRPr="00E84292">
        <w:rPr>
          <w:spacing w:val="-3"/>
          <w:szCs w:val="24"/>
          <w:lang w:val="fr-FR"/>
        </w:rPr>
        <w:t>gestion</w:t>
      </w:r>
      <w:r>
        <w:rPr>
          <w:spacing w:val="-3"/>
          <w:szCs w:val="24"/>
          <w:lang w:val="fr-FR"/>
        </w:rPr>
        <w:t xml:space="preserve"> des </w:t>
      </w:r>
      <w:r w:rsidRPr="00E84292">
        <w:rPr>
          <w:spacing w:val="-3"/>
          <w:szCs w:val="24"/>
          <w:lang w:val="fr-FR"/>
        </w:rPr>
        <w:t xml:space="preserve">espèces migratrices. </w:t>
      </w:r>
      <w:r w:rsidRPr="009160C9">
        <w:rPr>
          <w:spacing w:val="-3"/>
          <w:szCs w:val="24"/>
          <w:lang w:val="fr-FR"/>
        </w:rPr>
        <w:t xml:space="preserve">A titre d’exemple, même si toutes les Parties respectaient l’interdiction </w:t>
      </w:r>
      <w:r>
        <w:rPr>
          <w:spacing w:val="-3"/>
          <w:szCs w:val="24"/>
          <w:lang w:val="fr-FR"/>
        </w:rPr>
        <w:t>prévu</w:t>
      </w:r>
      <w:r w:rsidRPr="009160C9">
        <w:rPr>
          <w:spacing w:val="-3"/>
          <w:szCs w:val="24"/>
          <w:lang w:val="fr-FR"/>
        </w:rPr>
        <w:t>e par la Convention</w:t>
      </w:r>
      <w:r>
        <w:rPr>
          <w:spacing w:val="-3"/>
          <w:szCs w:val="24"/>
          <w:lang w:val="fr-FR"/>
        </w:rPr>
        <w:t xml:space="preserve"> de capturer une espèce</w:t>
      </w:r>
      <w:r w:rsidRPr="009160C9">
        <w:rPr>
          <w:spacing w:val="-3"/>
          <w:szCs w:val="24"/>
          <w:lang w:val="fr-FR"/>
        </w:rPr>
        <w:t xml:space="preserve"> migratri</w:t>
      </w:r>
      <w:r>
        <w:rPr>
          <w:spacing w:val="-3"/>
          <w:szCs w:val="24"/>
          <w:lang w:val="fr-FR"/>
        </w:rPr>
        <w:t>ce inscrite à l’Annexe I et qu’elles assuraient la protection de certains habitats importants pour cette</w:t>
      </w:r>
      <w:r w:rsidRPr="009160C9">
        <w:rPr>
          <w:spacing w:val="-3"/>
          <w:szCs w:val="24"/>
          <w:lang w:val="fr-FR"/>
        </w:rPr>
        <w:t xml:space="preserve"> </w:t>
      </w:r>
      <w:r>
        <w:rPr>
          <w:spacing w:val="-3"/>
          <w:szCs w:val="24"/>
          <w:lang w:val="fr-FR"/>
        </w:rPr>
        <w:t>espèce, l’espèce en question pourrait néanmoins continuer de subir un déclin en raison d’autres menaces ou</w:t>
      </w:r>
      <w:r w:rsidRPr="009160C9">
        <w:rPr>
          <w:spacing w:val="-3"/>
          <w:szCs w:val="24"/>
          <w:lang w:val="fr-FR"/>
        </w:rPr>
        <w:t xml:space="preserve"> obstacles. </w:t>
      </w:r>
      <w:r w:rsidRPr="007E3806">
        <w:rPr>
          <w:spacing w:val="-3"/>
          <w:szCs w:val="24"/>
          <w:lang w:val="fr-FR"/>
        </w:rPr>
        <w:t>Un processus</w:t>
      </w:r>
      <w:r>
        <w:rPr>
          <w:spacing w:val="-3"/>
          <w:szCs w:val="24"/>
          <w:lang w:val="fr-FR"/>
        </w:rPr>
        <w:t xml:space="preserve"> d’examen par l</w:t>
      </w:r>
      <w:r w:rsidRPr="007E3806">
        <w:rPr>
          <w:spacing w:val="-3"/>
          <w:szCs w:val="24"/>
          <w:lang w:val="fr-FR"/>
        </w:rPr>
        <w:t>es pairs aiderait à élucider les raisons du déclin continu de cette espèce</w:t>
      </w:r>
      <w:r>
        <w:rPr>
          <w:spacing w:val="-3"/>
          <w:szCs w:val="24"/>
          <w:lang w:val="fr-FR"/>
        </w:rPr>
        <w:t xml:space="preserve">, et </w:t>
      </w:r>
      <w:r w:rsidRPr="007E3806">
        <w:rPr>
          <w:spacing w:val="-3"/>
          <w:szCs w:val="24"/>
          <w:lang w:val="fr-FR"/>
        </w:rPr>
        <w:t xml:space="preserve">des recommandations </w:t>
      </w:r>
      <w:r>
        <w:rPr>
          <w:spacing w:val="-3"/>
          <w:szCs w:val="24"/>
          <w:lang w:val="fr-FR"/>
        </w:rPr>
        <w:t xml:space="preserve">visant à mettre un terme à ce déclin pourraient être faites à une Partie, ou à un groupe de </w:t>
      </w:r>
      <w:r w:rsidRPr="007E3806">
        <w:rPr>
          <w:spacing w:val="-3"/>
          <w:szCs w:val="24"/>
          <w:lang w:val="fr-FR"/>
        </w:rPr>
        <w:t>Parties.</w:t>
      </w:r>
    </w:p>
    <w:p w:rsidR="00DE5465" w:rsidRPr="001207BE" w:rsidRDefault="00DE5465" w:rsidP="00DE5465">
      <w:pPr>
        <w:pStyle w:val="ListParagraph"/>
        <w:numPr>
          <w:ilvl w:val="0"/>
          <w:numId w:val="13"/>
        </w:numPr>
        <w:ind w:left="0" w:firstLine="0"/>
        <w:contextualSpacing/>
        <w:jc w:val="both"/>
        <w:rPr>
          <w:bCs/>
          <w:szCs w:val="24"/>
          <w:lang w:val="fr-FR"/>
        </w:rPr>
      </w:pPr>
      <w:r>
        <w:rPr>
          <w:bCs/>
          <w:szCs w:val="24"/>
          <w:lang w:val="fr-FR"/>
        </w:rPr>
        <w:t xml:space="preserve">Le présent document suggère qu’un système fondé sur un examen par les pairs, basé sur le modèle de l’Examen périodique universel, est le système le plus approprié pour la </w:t>
      </w:r>
      <w:r w:rsidRPr="007E3806">
        <w:rPr>
          <w:bCs/>
          <w:szCs w:val="24"/>
          <w:lang w:val="fr-FR"/>
        </w:rPr>
        <w:t>CMS. Cependant, la CMS ne dispose pas de</w:t>
      </w:r>
      <w:r>
        <w:rPr>
          <w:bCs/>
          <w:szCs w:val="24"/>
          <w:lang w:val="fr-FR"/>
        </w:rPr>
        <w:t xml:space="preserve">s ressources nécessaires pour examiner </w:t>
      </w:r>
      <w:r w:rsidRPr="007E3806">
        <w:rPr>
          <w:bCs/>
          <w:szCs w:val="24"/>
          <w:lang w:val="fr-FR"/>
        </w:rPr>
        <w:t xml:space="preserve">la mise en </w:t>
      </w:r>
      <w:r>
        <w:rPr>
          <w:bCs/>
          <w:szCs w:val="24"/>
          <w:lang w:val="fr-FR"/>
        </w:rPr>
        <w:t xml:space="preserve">œuvre dans chaque </w:t>
      </w:r>
      <w:r w:rsidRPr="007E3806">
        <w:rPr>
          <w:bCs/>
          <w:szCs w:val="24"/>
          <w:lang w:val="fr-FR"/>
        </w:rPr>
        <w:t xml:space="preserve">Partie. En conséquence, une approche </w:t>
      </w:r>
      <w:r>
        <w:rPr>
          <w:bCs/>
          <w:szCs w:val="24"/>
          <w:lang w:val="fr-FR"/>
        </w:rPr>
        <w:t>hybride est proposée, en vertu</w:t>
      </w:r>
      <w:r w:rsidRPr="007E3806">
        <w:rPr>
          <w:bCs/>
          <w:szCs w:val="24"/>
          <w:lang w:val="fr-FR"/>
        </w:rPr>
        <w:t xml:space="preserve"> de laquelle une question </w:t>
      </w:r>
      <w:r>
        <w:rPr>
          <w:bCs/>
          <w:szCs w:val="24"/>
          <w:lang w:val="fr-FR"/>
        </w:rPr>
        <w:t xml:space="preserve">de </w:t>
      </w:r>
      <w:r w:rsidRPr="007E3806">
        <w:rPr>
          <w:bCs/>
          <w:szCs w:val="24"/>
          <w:lang w:val="fr-FR"/>
        </w:rPr>
        <w:t>non-respect</w:t>
      </w:r>
      <w:r>
        <w:rPr>
          <w:bCs/>
          <w:szCs w:val="24"/>
          <w:lang w:val="fr-FR"/>
        </w:rPr>
        <w:t xml:space="preserve"> ou de manque d’</w:t>
      </w:r>
      <w:r w:rsidRPr="007E3806">
        <w:rPr>
          <w:bCs/>
          <w:szCs w:val="24"/>
          <w:lang w:val="fr-FR"/>
        </w:rPr>
        <w:t xml:space="preserve">efficacité </w:t>
      </w:r>
      <w:r>
        <w:rPr>
          <w:bCs/>
          <w:szCs w:val="24"/>
          <w:lang w:val="fr-FR"/>
        </w:rPr>
        <w:t xml:space="preserve">de </w:t>
      </w:r>
      <w:r w:rsidRPr="007E3806">
        <w:rPr>
          <w:bCs/>
          <w:szCs w:val="24"/>
          <w:lang w:val="fr-FR"/>
        </w:rPr>
        <w:t xml:space="preserve">la mise en </w:t>
      </w:r>
      <w:r>
        <w:rPr>
          <w:bCs/>
          <w:szCs w:val="24"/>
          <w:lang w:val="fr-FR"/>
        </w:rPr>
        <w:t>œuvre</w:t>
      </w:r>
      <w:r w:rsidRPr="007E3806">
        <w:rPr>
          <w:bCs/>
          <w:szCs w:val="24"/>
          <w:lang w:val="fr-FR"/>
        </w:rPr>
        <w:t xml:space="preserve"> (</w:t>
      </w:r>
      <w:r>
        <w:rPr>
          <w:bCs/>
          <w:szCs w:val="24"/>
          <w:lang w:val="fr-FR"/>
        </w:rPr>
        <w:t xml:space="preserve">collectivement appelés « question de respect ») peut être portée devant le </w:t>
      </w:r>
      <w:r w:rsidRPr="007E3806">
        <w:rPr>
          <w:bCs/>
          <w:szCs w:val="24"/>
          <w:lang w:val="fr-FR"/>
        </w:rPr>
        <w:t xml:space="preserve">Secrétariat. </w:t>
      </w:r>
      <w:r w:rsidRPr="001207BE">
        <w:rPr>
          <w:bCs/>
          <w:szCs w:val="24"/>
          <w:lang w:val="fr-FR"/>
        </w:rPr>
        <w:t>Si la question de respect</w:t>
      </w:r>
      <w:r>
        <w:rPr>
          <w:bCs/>
          <w:szCs w:val="24"/>
          <w:lang w:val="fr-FR"/>
        </w:rPr>
        <w:t xml:space="preserve"> ne peut pas être résolue au moyen d’u</w:t>
      </w:r>
      <w:r w:rsidRPr="001207BE">
        <w:rPr>
          <w:bCs/>
          <w:szCs w:val="24"/>
          <w:lang w:val="fr-FR"/>
        </w:rPr>
        <w:t>ne</w:t>
      </w:r>
      <w:r>
        <w:rPr>
          <w:bCs/>
          <w:szCs w:val="24"/>
          <w:lang w:val="fr-FR"/>
        </w:rPr>
        <w:t xml:space="preserve"> communication entre le</w:t>
      </w:r>
      <w:r w:rsidRPr="001207BE">
        <w:rPr>
          <w:bCs/>
          <w:szCs w:val="24"/>
          <w:lang w:val="fr-FR"/>
        </w:rPr>
        <w:t xml:space="preserve"> Secrétariat</w:t>
      </w:r>
      <w:r>
        <w:rPr>
          <w:bCs/>
          <w:szCs w:val="24"/>
          <w:lang w:val="fr-FR"/>
        </w:rPr>
        <w:t xml:space="preserve"> et la</w:t>
      </w:r>
      <w:r w:rsidRPr="001207BE">
        <w:rPr>
          <w:bCs/>
          <w:szCs w:val="24"/>
          <w:lang w:val="fr-FR"/>
        </w:rPr>
        <w:t xml:space="preserve"> Partie</w:t>
      </w:r>
      <w:r>
        <w:rPr>
          <w:bCs/>
          <w:szCs w:val="24"/>
          <w:lang w:val="fr-FR"/>
        </w:rPr>
        <w:t xml:space="preserve"> concernée</w:t>
      </w:r>
      <w:r w:rsidRPr="001207BE">
        <w:rPr>
          <w:bCs/>
          <w:szCs w:val="24"/>
          <w:lang w:val="fr-FR"/>
        </w:rPr>
        <w:t xml:space="preserve">, </w:t>
      </w:r>
      <w:r>
        <w:rPr>
          <w:bCs/>
          <w:szCs w:val="24"/>
          <w:lang w:val="fr-FR"/>
        </w:rPr>
        <w:t xml:space="preserve">alors la question de </w:t>
      </w:r>
      <w:r w:rsidRPr="001207BE">
        <w:rPr>
          <w:bCs/>
          <w:szCs w:val="24"/>
          <w:lang w:val="fr-FR"/>
        </w:rPr>
        <w:t xml:space="preserve">respect </w:t>
      </w:r>
      <w:r>
        <w:rPr>
          <w:bCs/>
          <w:szCs w:val="24"/>
          <w:lang w:val="fr-FR"/>
        </w:rPr>
        <w:t xml:space="preserve">sera portée devant le </w:t>
      </w:r>
      <w:r w:rsidRPr="001207BE">
        <w:rPr>
          <w:bCs/>
          <w:szCs w:val="24"/>
          <w:lang w:val="fr-FR"/>
        </w:rPr>
        <w:t>Comité permanent</w:t>
      </w:r>
      <w:r>
        <w:rPr>
          <w:bCs/>
          <w:szCs w:val="24"/>
          <w:lang w:val="fr-FR"/>
        </w:rPr>
        <w:t>, en vue d’un</w:t>
      </w:r>
      <w:r w:rsidRPr="001207BE">
        <w:rPr>
          <w:bCs/>
          <w:szCs w:val="24"/>
          <w:lang w:val="fr-FR"/>
        </w:rPr>
        <w:t xml:space="preserve"> dialogue</w:t>
      </w:r>
      <w:r>
        <w:rPr>
          <w:bCs/>
          <w:szCs w:val="24"/>
          <w:lang w:val="fr-FR"/>
        </w:rPr>
        <w:t xml:space="preserve"> interactif</w:t>
      </w:r>
      <w:r w:rsidRPr="001207BE">
        <w:rPr>
          <w:bCs/>
          <w:szCs w:val="24"/>
          <w:lang w:val="fr-FR"/>
        </w:rPr>
        <w:t>.</w:t>
      </w:r>
      <w:r>
        <w:rPr>
          <w:bCs/>
          <w:szCs w:val="24"/>
          <w:lang w:val="fr-FR"/>
        </w:rPr>
        <w:t xml:space="preserve"> </w:t>
      </w:r>
      <w:r w:rsidRPr="001207BE">
        <w:rPr>
          <w:bCs/>
          <w:szCs w:val="24"/>
          <w:lang w:val="fr-FR"/>
        </w:rPr>
        <w:t>Avant le dialogu</w:t>
      </w:r>
      <w:r>
        <w:rPr>
          <w:bCs/>
          <w:szCs w:val="24"/>
          <w:lang w:val="fr-FR"/>
        </w:rPr>
        <w:t>e interactif, qui aurait lieu lors d’</w:t>
      </w:r>
      <w:r w:rsidRPr="001207BE">
        <w:rPr>
          <w:bCs/>
          <w:szCs w:val="24"/>
          <w:lang w:val="fr-FR"/>
        </w:rPr>
        <w:t>une réunion</w:t>
      </w:r>
      <w:r>
        <w:rPr>
          <w:bCs/>
          <w:szCs w:val="24"/>
          <w:lang w:val="fr-FR"/>
        </w:rPr>
        <w:t xml:space="preserve"> du </w:t>
      </w:r>
      <w:r w:rsidRPr="001207BE">
        <w:rPr>
          <w:bCs/>
          <w:szCs w:val="24"/>
          <w:lang w:val="fr-FR"/>
        </w:rPr>
        <w:t>Comité permanent</w:t>
      </w:r>
      <w:r>
        <w:rPr>
          <w:bCs/>
          <w:szCs w:val="24"/>
          <w:lang w:val="fr-FR"/>
        </w:rPr>
        <w:t>, l</w:t>
      </w:r>
      <w:r w:rsidRPr="001207BE">
        <w:rPr>
          <w:bCs/>
          <w:szCs w:val="24"/>
          <w:lang w:val="fr-FR"/>
        </w:rPr>
        <w:t>e Secrétariat</w:t>
      </w:r>
      <w:r>
        <w:rPr>
          <w:bCs/>
          <w:szCs w:val="24"/>
          <w:lang w:val="fr-FR"/>
        </w:rPr>
        <w:t xml:space="preserve"> diffuserait les</w:t>
      </w:r>
      <w:r w:rsidRPr="001207BE">
        <w:rPr>
          <w:bCs/>
          <w:szCs w:val="24"/>
          <w:lang w:val="fr-FR"/>
        </w:rPr>
        <w:t xml:space="preserve"> information</w:t>
      </w:r>
      <w:r>
        <w:rPr>
          <w:bCs/>
          <w:szCs w:val="24"/>
          <w:lang w:val="fr-FR"/>
        </w:rPr>
        <w:t xml:space="preserve">s qui ont conduit à cette question de respect, ainsi que toute réponse donnée par la </w:t>
      </w:r>
      <w:r w:rsidRPr="001207BE">
        <w:rPr>
          <w:bCs/>
          <w:szCs w:val="24"/>
          <w:lang w:val="fr-FR"/>
        </w:rPr>
        <w:t>Partie</w:t>
      </w:r>
      <w:r>
        <w:rPr>
          <w:bCs/>
          <w:szCs w:val="24"/>
          <w:lang w:val="fr-FR"/>
        </w:rPr>
        <w:t xml:space="preserve"> concernée</w:t>
      </w:r>
      <w:r w:rsidRPr="001207BE">
        <w:rPr>
          <w:bCs/>
          <w:szCs w:val="24"/>
          <w:lang w:val="fr-FR"/>
        </w:rPr>
        <w:t>. Les autres Parties auraient la possibilité</w:t>
      </w:r>
      <w:r>
        <w:rPr>
          <w:bCs/>
          <w:szCs w:val="24"/>
          <w:lang w:val="fr-FR"/>
        </w:rPr>
        <w:t xml:space="preserve"> de faire des observations et de poser des </w:t>
      </w:r>
      <w:r w:rsidRPr="001207BE">
        <w:rPr>
          <w:bCs/>
          <w:szCs w:val="24"/>
          <w:lang w:val="fr-FR"/>
        </w:rPr>
        <w:t>questions</w:t>
      </w:r>
      <w:r>
        <w:rPr>
          <w:bCs/>
          <w:szCs w:val="24"/>
          <w:lang w:val="fr-FR"/>
        </w:rPr>
        <w:t xml:space="preserve"> par écrit</w:t>
      </w:r>
      <w:r w:rsidRPr="001207BE">
        <w:rPr>
          <w:bCs/>
          <w:szCs w:val="24"/>
          <w:lang w:val="fr-FR"/>
        </w:rPr>
        <w:t xml:space="preserve"> </w:t>
      </w:r>
      <w:r>
        <w:rPr>
          <w:bCs/>
          <w:szCs w:val="24"/>
          <w:lang w:val="fr-FR"/>
        </w:rPr>
        <w:t xml:space="preserve">à examiner par les </w:t>
      </w:r>
      <w:r w:rsidRPr="001207BE">
        <w:rPr>
          <w:bCs/>
          <w:szCs w:val="24"/>
          <w:lang w:val="fr-FR"/>
        </w:rPr>
        <w:t>Parties. A</w:t>
      </w:r>
      <w:r>
        <w:rPr>
          <w:bCs/>
          <w:szCs w:val="24"/>
          <w:lang w:val="fr-FR"/>
        </w:rPr>
        <w:t xml:space="preserve"> la</w:t>
      </w:r>
      <w:r w:rsidRPr="001207BE">
        <w:rPr>
          <w:bCs/>
          <w:szCs w:val="24"/>
          <w:lang w:val="fr-FR"/>
        </w:rPr>
        <w:t xml:space="preserve"> réunion </w:t>
      </w:r>
      <w:r>
        <w:rPr>
          <w:bCs/>
          <w:szCs w:val="24"/>
          <w:lang w:val="fr-FR"/>
        </w:rPr>
        <w:t xml:space="preserve">suivante </w:t>
      </w:r>
      <w:r w:rsidRPr="001207BE">
        <w:rPr>
          <w:bCs/>
          <w:szCs w:val="24"/>
          <w:lang w:val="fr-FR"/>
        </w:rPr>
        <w:t xml:space="preserve">du Comité permanent, </w:t>
      </w:r>
      <w:r>
        <w:rPr>
          <w:bCs/>
          <w:szCs w:val="24"/>
          <w:lang w:val="fr-FR"/>
        </w:rPr>
        <w:t>les</w:t>
      </w:r>
      <w:r w:rsidRPr="001207BE">
        <w:rPr>
          <w:bCs/>
          <w:szCs w:val="24"/>
          <w:lang w:val="fr-FR"/>
        </w:rPr>
        <w:t xml:space="preserve"> membres</w:t>
      </w:r>
      <w:r>
        <w:rPr>
          <w:bCs/>
          <w:szCs w:val="24"/>
          <w:lang w:val="fr-FR"/>
        </w:rPr>
        <w:t xml:space="preserve"> du </w:t>
      </w:r>
      <w:r w:rsidRPr="001207BE">
        <w:rPr>
          <w:bCs/>
          <w:szCs w:val="24"/>
          <w:lang w:val="fr-FR"/>
        </w:rPr>
        <w:t>Comité permanent</w:t>
      </w:r>
      <w:r>
        <w:rPr>
          <w:bCs/>
          <w:szCs w:val="24"/>
          <w:lang w:val="fr-FR"/>
        </w:rPr>
        <w:t xml:space="preserve"> et la</w:t>
      </w:r>
      <w:r w:rsidRPr="001207BE">
        <w:rPr>
          <w:bCs/>
          <w:szCs w:val="24"/>
          <w:lang w:val="fr-FR"/>
        </w:rPr>
        <w:t xml:space="preserve"> Partie concern</w:t>
      </w:r>
      <w:r>
        <w:rPr>
          <w:bCs/>
          <w:szCs w:val="24"/>
          <w:lang w:val="fr-FR"/>
        </w:rPr>
        <w:t xml:space="preserve">ée participeraient à un </w:t>
      </w:r>
      <w:r w:rsidRPr="001207BE">
        <w:rPr>
          <w:bCs/>
          <w:szCs w:val="24"/>
          <w:lang w:val="fr-FR"/>
        </w:rPr>
        <w:t xml:space="preserve">dialogue </w:t>
      </w:r>
      <w:r>
        <w:rPr>
          <w:bCs/>
          <w:szCs w:val="24"/>
          <w:lang w:val="fr-FR"/>
        </w:rPr>
        <w:t>interactif, en vue de</w:t>
      </w:r>
      <w:r w:rsidRPr="001207BE">
        <w:rPr>
          <w:bCs/>
          <w:szCs w:val="24"/>
          <w:lang w:val="fr-FR"/>
        </w:rPr>
        <w:t xml:space="preserve"> </w:t>
      </w:r>
      <w:r>
        <w:rPr>
          <w:bCs/>
          <w:szCs w:val="24"/>
          <w:lang w:val="fr-FR"/>
        </w:rPr>
        <w:t xml:space="preserve">recommander des mesures à prendre par la </w:t>
      </w:r>
      <w:r w:rsidRPr="001207BE">
        <w:rPr>
          <w:bCs/>
          <w:szCs w:val="24"/>
          <w:lang w:val="fr-FR"/>
        </w:rPr>
        <w:t>Partie concern</w:t>
      </w:r>
      <w:r>
        <w:rPr>
          <w:bCs/>
          <w:szCs w:val="24"/>
          <w:lang w:val="fr-FR"/>
        </w:rPr>
        <w:t>ée</w:t>
      </w:r>
      <w:r w:rsidRPr="001207BE">
        <w:rPr>
          <w:bCs/>
          <w:szCs w:val="24"/>
          <w:lang w:val="fr-FR"/>
        </w:rPr>
        <w:t>. Le Secrétariat préparerait un</w:t>
      </w:r>
      <w:r>
        <w:rPr>
          <w:bCs/>
          <w:szCs w:val="24"/>
          <w:lang w:val="fr-FR"/>
        </w:rPr>
        <w:t xml:space="preserve"> rapport basé sur ces débats et la </w:t>
      </w:r>
      <w:r w:rsidRPr="001207BE">
        <w:rPr>
          <w:bCs/>
          <w:szCs w:val="24"/>
          <w:lang w:val="fr-FR"/>
        </w:rPr>
        <w:t>Partie concern</w:t>
      </w:r>
      <w:r>
        <w:rPr>
          <w:bCs/>
          <w:szCs w:val="24"/>
          <w:lang w:val="fr-FR"/>
        </w:rPr>
        <w:t xml:space="preserve">ée ferait rapport à la réunion suivante du </w:t>
      </w:r>
      <w:r w:rsidRPr="001207BE">
        <w:rPr>
          <w:bCs/>
          <w:szCs w:val="24"/>
          <w:lang w:val="fr-FR"/>
        </w:rPr>
        <w:t xml:space="preserve">Comité permanent </w:t>
      </w:r>
      <w:r>
        <w:rPr>
          <w:bCs/>
          <w:szCs w:val="24"/>
          <w:lang w:val="fr-FR"/>
        </w:rPr>
        <w:t xml:space="preserve">sur ses efforts prodigués pour appliquer les </w:t>
      </w:r>
      <w:r w:rsidRPr="001207BE">
        <w:rPr>
          <w:bCs/>
          <w:szCs w:val="24"/>
          <w:lang w:val="fr-FR"/>
        </w:rPr>
        <w:t>recommandations</w:t>
      </w:r>
      <w:r>
        <w:rPr>
          <w:bCs/>
          <w:szCs w:val="24"/>
          <w:lang w:val="fr-FR"/>
        </w:rPr>
        <w:t xml:space="preserve"> convenues</w:t>
      </w:r>
      <w:r w:rsidRPr="001207BE">
        <w:rPr>
          <w:bCs/>
          <w:szCs w:val="24"/>
          <w:lang w:val="fr-FR"/>
        </w:rPr>
        <w:t>.</w:t>
      </w:r>
    </w:p>
    <w:p w:rsidR="00DE5465" w:rsidRPr="001207BE" w:rsidRDefault="00DE5465" w:rsidP="00DE5465">
      <w:pPr>
        <w:rPr>
          <w:bCs/>
          <w:szCs w:val="24"/>
          <w:lang w:val="fr-FR"/>
        </w:rPr>
      </w:pPr>
    </w:p>
    <w:p w:rsidR="00DE5465" w:rsidRPr="009B1E36" w:rsidRDefault="00DE5465" w:rsidP="00DE5465">
      <w:pPr>
        <w:rPr>
          <w:bCs/>
          <w:i/>
          <w:szCs w:val="24"/>
          <w:lang w:val="fr-FR"/>
        </w:rPr>
      </w:pPr>
      <w:r w:rsidRPr="009B1E36">
        <w:rPr>
          <w:bCs/>
          <w:i/>
          <w:szCs w:val="24"/>
          <w:lang w:val="fr-FR"/>
        </w:rPr>
        <w:t>Nombr</w:t>
      </w:r>
      <w:r>
        <w:rPr>
          <w:bCs/>
          <w:i/>
          <w:szCs w:val="24"/>
          <w:lang w:val="fr-FR"/>
        </w:rPr>
        <w:t>e de Parties comprises dans le Comité chargé du respect</w:t>
      </w:r>
    </w:p>
    <w:p w:rsidR="00DE5465" w:rsidRPr="009B1E36" w:rsidRDefault="00DE5465" w:rsidP="00DE5465">
      <w:pPr>
        <w:rPr>
          <w:bCs/>
          <w:szCs w:val="24"/>
          <w:lang w:val="fr-FR"/>
        </w:rPr>
      </w:pPr>
    </w:p>
    <w:p w:rsidR="00DE5465" w:rsidRPr="000A16CA" w:rsidRDefault="00DE5465" w:rsidP="00DE5465">
      <w:pPr>
        <w:pStyle w:val="ListParagraph"/>
        <w:numPr>
          <w:ilvl w:val="0"/>
          <w:numId w:val="13"/>
        </w:numPr>
        <w:ind w:left="0" w:firstLine="0"/>
        <w:contextualSpacing/>
        <w:jc w:val="both"/>
        <w:rPr>
          <w:bCs/>
          <w:szCs w:val="24"/>
          <w:lang w:val="fr-FR"/>
        </w:rPr>
      </w:pPr>
      <w:r w:rsidRPr="000A16CA">
        <w:rPr>
          <w:bCs/>
          <w:szCs w:val="24"/>
          <w:lang w:val="fr-FR"/>
        </w:rPr>
        <w:t xml:space="preserve">Les </w:t>
      </w:r>
      <w:r>
        <w:rPr>
          <w:bCs/>
          <w:szCs w:val="24"/>
          <w:lang w:val="fr-FR"/>
        </w:rPr>
        <w:t xml:space="preserve">14 Parties </w:t>
      </w:r>
      <w:r w:rsidRPr="000A16CA">
        <w:rPr>
          <w:bCs/>
          <w:szCs w:val="24"/>
          <w:lang w:val="fr-FR"/>
        </w:rPr>
        <w:t>du Comité permanent,</w:t>
      </w:r>
      <w:r>
        <w:rPr>
          <w:bCs/>
          <w:szCs w:val="24"/>
          <w:lang w:val="fr-FR"/>
        </w:rPr>
        <w:t xml:space="preserve"> sur la base d’une répartition</w:t>
      </w:r>
      <w:r w:rsidRPr="000A16CA">
        <w:rPr>
          <w:bCs/>
          <w:szCs w:val="24"/>
          <w:lang w:val="fr-FR"/>
        </w:rPr>
        <w:t xml:space="preserve"> </w:t>
      </w:r>
      <w:r>
        <w:rPr>
          <w:bCs/>
          <w:szCs w:val="24"/>
          <w:lang w:val="fr-FR"/>
        </w:rPr>
        <w:t>géographique</w:t>
      </w:r>
      <w:r w:rsidRPr="000A16CA">
        <w:rPr>
          <w:bCs/>
          <w:szCs w:val="24"/>
          <w:lang w:val="fr-FR"/>
        </w:rPr>
        <w:t xml:space="preserve"> </w:t>
      </w:r>
      <w:r>
        <w:rPr>
          <w:bCs/>
          <w:szCs w:val="24"/>
          <w:lang w:val="fr-FR"/>
        </w:rPr>
        <w:t>é</w:t>
      </w:r>
      <w:r w:rsidRPr="000A16CA">
        <w:rPr>
          <w:bCs/>
          <w:szCs w:val="24"/>
          <w:lang w:val="fr-FR"/>
        </w:rPr>
        <w:t xml:space="preserve">quitable, </w:t>
      </w:r>
      <w:r>
        <w:rPr>
          <w:bCs/>
          <w:szCs w:val="24"/>
          <w:lang w:val="fr-FR"/>
        </w:rPr>
        <w:t>constituent un nomb</w:t>
      </w:r>
      <w:r w:rsidRPr="000A16CA">
        <w:rPr>
          <w:bCs/>
          <w:szCs w:val="24"/>
          <w:lang w:val="fr-FR"/>
        </w:rPr>
        <w:t>r</w:t>
      </w:r>
      <w:r>
        <w:rPr>
          <w:bCs/>
          <w:szCs w:val="24"/>
          <w:lang w:val="fr-FR"/>
        </w:rPr>
        <w:t xml:space="preserve">e raisonnable de </w:t>
      </w:r>
      <w:r w:rsidRPr="000A16CA">
        <w:rPr>
          <w:bCs/>
          <w:szCs w:val="24"/>
          <w:lang w:val="fr-FR"/>
        </w:rPr>
        <w:t xml:space="preserve">Parties </w:t>
      </w:r>
      <w:r>
        <w:rPr>
          <w:bCs/>
          <w:szCs w:val="24"/>
          <w:lang w:val="fr-FR"/>
        </w:rPr>
        <w:t xml:space="preserve">siégeant en tant que Comité chargé du </w:t>
      </w:r>
      <w:r w:rsidRPr="000A16CA">
        <w:rPr>
          <w:bCs/>
          <w:szCs w:val="24"/>
          <w:lang w:val="fr-FR"/>
        </w:rPr>
        <w:t>respect</w:t>
      </w:r>
      <w:r>
        <w:rPr>
          <w:bCs/>
          <w:szCs w:val="24"/>
          <w:lang w:val="fr-FR"/>
        </w:rPr>
        <w:t xml:space="preserve"> de la Convention</w:t>
      </w:r>
      <w:r w:rsidRPr="000A16CA">
        <w:rPr>
          <w:bCs/>
          <w:szCs w:val="24"/>
          <w:lang w:val="fr-FR"/>
        </w:rPr>
        <w:t xml:space="preserve">. </w:t>
      </w:r>
      <w:r>
        <w:rPr>
          <w:bCs/>
          <w:szCs w:val="24"/>
          <w:lang w:val="fr-FR"/>
        </w:rPr>
        <w:t>Ce comité</w:t>
      </w:r>
      <w:r w:rsidRPr="000A16CA">
        <w:rPr>
          <w:bCs/>
          <w:szCs w:val="24"/>
          <w:lang w:val="fr-FR"/>
        </w:rPr>
        <w:t xml:space="preserve"> est caractérisé par une </w:t>
      </w:r>
      <w:r>
        <w:rPr>
          <w:bCs/>
          <w:szCs w:val="24"/>
          <w:lang w:val="fr-FR"/>
        </w:rPr>
        <w:t>ré</w:t>
      </w:r>
      <w:r w:rsidRPr="000A16CA">
        <w:rPr>
          <w:bCs/>
          <w:szCs w:val="24"/>
          <w:lang w:val="fr-FR"/>
        </w:rPr>
        <w:t xml:space="preserve">partition géographique équitable (trois Parties </w:t>
      </w:r>
      <w:r>
        <w:rPr>
          <w:bCs/>
          <w:szCs w:val="24"/>
          <w:lang w:val="fr-FR"/>
        </w:rPr>
        <w:t>pour</w:t>
      </w:r>
      <w:r w:rsidRPr="000A16CA">
        <w:rPr>
          <w:bCs/>
          <w:szCs w:val="24"/>
          <w:lang w:val="fr-FR"/>
        </w:rPr>
        <w:t xml:space="preserve"> chacune des</w:t>
      </w:r>
      <w:r>
        <w:rPr>
          <w:bCs/>
          <w:szCs w:val="24"/>
          <w:lang w:val="fr-FR"/>
        </w:rPr>
        <w:t xml:space="preserve"> deux</w:t>
      </w:r>
      <w:r w:rsidRPr="000A16CA">
        <w:rPr>
          <w:bCs/>
          <w:szCs w:val="24"/>
          <w:lang w:val="fr-FR"/>
        </w:rPr>
        <w:t xml:space="preserve"> régions d’Afrique et d’Europe; deux Parties</w:t>
      </w:r>
      <w:r>
        <w:rPr>
          <w:bCs/>
          <w:szCs w:val="24"/>
          <w:lang w:val="fr-FR"/>
        </w:rPr>
        <w:t xml:space="preserve"> pour chacune des deux régions d’Asie et d’Amérique latine et Caraïbes; et une</w:t>
      </w:r>
      <w:r w:rsidRPr="000A16CA">
        <w:rPr>
          <w:bCs/>
          <w:szCs w:val="24"/>
          <w:lang w:val="fr-FR"/>
        </w:rPr>
        <w:t xml:space="preserve"> Partie</w:t>
      </w:r>
      <w:r>
        <w:rPr>
          <w:bCs/>
          <w:szCs w:val="24"/>
          <w:lang w:val="fr-FR"/>
        </w:rPr>
        <w:t xml:space="preserve"> pour chacune des deux régions d’Océanie et d’Amérique du Nord</w:t>
      </w:r>
      <w:r w:rsidRPr="000A16CA">
        <w:rPr>
          <w:bCs/>
          <w:szCs w:val="24"/>
          <w:lang w:val="fr-FR"/>
        </w:rPr>
        <w:t xml:space="preserve"> (</w:t>
      </w:r>
      <w:r>
        <w:rPr>
          <w:bCs/>
          <w:szCs w:val="24"/>
          <w:lang w:val="fr-FR"/>
        </w:rPr>
        <w:t>poste vacant); ainsi que le Gouvernement dépositaire et</w:t>
      </w:r>
      <w:r w:rsidRPr="000A16CA">
        <w:rPr>
          <w:bCs/>
          <w:szCs w:val="24"/>
          <w:lang w:val="fr-FR"/>
        </w:rPr>
        <w:t xml:space="preserve"> </w:t>
      </w:r>
      <w:r>
        <w:rPr>
          <w:bCs/>
          <w:szCs w:val="24"/>
          <w:lang w:val="fr-FR"/>
        </w:rPr>
        <w:t xml:space="preserve">hôte du </w:t>
      </w:r>
      <w:r w:rsidRPr="000A16CA">
        <w:rPr>
          <w:bCs/>
          <w:szCs w:val="24"/>
          <w:lang w:val="fr-FR"/>
        </w:rPr>
        <w:t>Secrétariat</w:t>
      </w:r>
      <w:r>
        <w:rPr>
          <w:bCs/>
          <w:szCs w:val="24"/>
          <w:lang w:val="fr-FR"/>
        </w:rPr>
        <w:t xml:space="preserve">; et les </w:t>
      </w:r>
      <w:r w:rsidRPr="000A16CA">
        <w:rPr>
          <w:bCs/>
          <w:szCs w:val="24"/>
          <w:lang w:val="fr-FR"/>
        </w:rPr>
        <w:t>Gouvernement</w:t>
      </w:r>
      <w:r>
        <w:rPr>
          <w:bCs/>
          <w:szCs w:val="24"/>
          <w:lang w:val="fr-FR"/>
        </w:rPr>
        <w:t>s</w:t>
      </w:r>
      <w:r w:rsidRPr="000A16CA">
        <w:rPr>
          <w:bCs/>
          <w:szCs w:val="24"/>
          <w:lang w:val="fr-FR"/>
        </w:rPr>
        <w:t xml:space="preserve"> </w:t>
      </w:r>
      <w:r>
        <w:rPr>
          <w:bCs/>
          <w:szCs w:val="24"/>
          <w:lang w:val="fr-FR"/>
        </w:rPr>
        <w:t xml:space="preserve">hôtes de la prochaine réunion et de la précédente </w:t>
      </w:r>
      <w:r w:rsidRPr="000A16CA">
        <w:rPr>
          <w:bCs/>
          <w:szCs w:val="24"/>
          <w:lang w:val="fr-FR"/>
        </w:rPr>
        <w:t>réunion</w:t>
      </w:r>
      <w:r>
        <w:rPr>
          <w:bCs/>
          <w:szCs w:val="24"/>
          <w:lang w:val="fr-FR"/>
        </w:rPr>
        <w:t xml:space="preserve"> de </w:t>
      </w:r>
      <w:r w:rsidRPr="000A16CA">
        <w:rPr>
          <w:bCs/>
          <w:szCs w:val="24"/>
          <w:lang w:val="fr-FR"/>
        </w:rPr>
        <w:t>la Conférence des Parties.</w:t>
      </w:r>
    </w:p>
    <w:p w:rsidR="00DE5465" w:rsidRPr="000A16CA" w:rsidRDefault="00DE5465" w:rsidP="00DE5465">
      <w:pPr>
        <w:pStyle w:val="ListParagraph"/>
        <w:ind w:left="0"/>
        <w:jc w:val="both"/>
        <w:rPr>
          <w:bCs/>
          <w:szCs w:val="24"/>
          <w:lang w:val="fr-FR"/>
        </w:rPr>
      </w:pPr>
    </w:p>
    <w:p w:rsidR="00DE5465" w:rsidRPr="0098732E" w:rsidRDefault="00DE5465" w:rsidP="00DE5465">
      <w:pPr>
        <w:pStyle w:val="ListParagraph"/>
        <w:ind w:left="0"/>
        <w:jc w:val="both"/>
        <w:rPr>
          <w:bCs/>
          <w:szCs w:val="24"/>
        </w:rPr>
      </w:pPr>
      <w:proofErr w:type="spellStart"/>
      <w:r>
        <w:rPr>
          <w:bCs/>
          <w:i/>
          <w:szCs w:val="24"/>
        </w:rPr>
        <w:t>Durée</w:t>
      </w:r>
      <w:proofErr w:type="spellEnd"/>
      <w:r>
        <w:rPr>
          <w:bCs/>
          <w:i/>
          <w:szCs w:val="24"/>
        </w:rPr>
        <w:t xml:space="preserve"> du </w:t>
      </w:r>
      <w:proofErr w:type="spellStart"/>
      <w:r>
        <w:rPr>
          <w:bCs/>
          <w:i/>
          <w:szCs w:val="24"/>
        </w:rPr>
        <w:t>mandat</w:t>
      </w:r>
      <w:proofErr w:type="spellEnd"/>
    </w:p>
    <w:p w:rsidR="00DE5465" w:rsidRPr="0098732E" w:rsidRDefault="00DE5465" w:rsidP="004F56CD">
      <w:pPr>
        <w:pStyle w:val="ListParagraph"/>
        <w:ind w:left="0"/>
        <w:rPr>
          <w:bCs/>
          <w:szCs w:val="24"/>
        </w:rPr>
      </w:pPr>
    </w:p>
    <w:p w:rsidR="00DE5465" w:rsidRPr="000A16CA" w:rsidRDefault="00DE5465" w:rsidP="00DE5465">
      <w:pPr>
        <w:pStyle w:val="ListParagraph"/>
        <w:numPr>
          <w:ilvl w:val="0"/>
          <w:numId w:val="13"/>
        </w:numPr>
        <w:ind w:left="0" w:firstLine="0"/>
        <w:contextualSpacing/>
        <w:jc w:val="both"/>
        <w:rPr>
          <w:bCs/>
          <w:szCs w:val="24"/>
          <w:lang w:val="fr-FR"/>
        </w:rPr>
      </w:pPr>
      <w:r w:rsidRPr="000A16CA">
        <w:rPr>
          <w:bCs/>
          <w:szCs w:val="24"/>
          <w:lang w:val="fr-FR"/>
        </w:rPr>
        <w:t>Les membres du Comité permanent</w:t>
      </w:r>
      <w:r>
        <w:rPr>
          <w:bCs/>
          <w:szCs w:val="24"/>
          <w:lang w:val="fr-FR"/>
        </w:rPr>
        <w:t xml:space="preserve"> ont un mandat</w:t>
      </w:r>
      <w:r w:rsidRPr="000A16CA">
        <w:rPr>
          <w:bCs/>
          <w:szCs w:val="24"/>
          <w:lang w:val="fr-FR"/>
        </w:rPr>
        <w:t xml:space="preserve"> de trois ans environ (la période comprise entre deux réunions de la Conférence des Parties), avec la possibilité d’un deuxième mandat. Ceci est conforme à d’autres </w:t>
      </w:r>
      <w:r>
        <w:rPr>
          <w:bCs/>
          <w:szCs w:val="24"/>
          <w:lang w:val="fr-FR"/>
        </w:rPr>
        <w:t>mécanismes de respect</w:t>
      </w:r>
      <w:r w:rsidRPr="000A16CA">
        <w:rPr>
          <w:bCs/>
          <w:szCs w:val="24"/>
          <w:lang w:val="fr-FR"/>
        </w:rPr>
        <w:t xml:space="preserve"> et pourrait </w:t>
      </w:r>
      <w:r>
        <w:rPr>
          <w:bCs/>
          <w:szCs w:val="24"/>
          <w:lang w:val="fr-FR"/>
        </w:rPr>
        <w:t>constituer la base du processus d’examen de la CMS</w:t>
      </w:r>
      <w:r w:rsidRPr="000A16CA">
        <w:rPr>
          <w:bCs/>
          <w:szCs w:val="24"/>
          <w:lang w:val="fr-FR"/>
        </w:rPr>
        <w:t>.</w:t>
      </w:r>
    </w:p>
    <w:p w:rsidR="00DE5465" w:rsidRPr="000A16CA" w:rsidRDefault="00DE5465" w:rsidP="00DE5465">
      <w:pPr>
        <w:rPr>
          <w:bCs/>
          <w:szCs w:val="24"/>
          <w:lang w:val="fr-FR"/>
        </w:rPr>
      </w:pPr>
    </w:p>
    <w:p w:rsidR="00DE5465" w:rsidRPr="000A16CA" w:rsidRDefault="00DE5465" w:rsidP="00DE5465">
      <w:pPr>
        <w:rPr>
          <w:bCs/>
          <w:i/>
          <w:szCs w:val="24"/>
          <w:lang w:val="fr-FR"/>
        </w:rPr>
      </w:pPr>
      <w:r>
        <w:rPr>
          <w:bCs/>
          <w:i/>
          <w:szCs w:val="24"/>
          <w:lang w:val="fr-FR"/>
        </w:rPr>
        <w:t xml:space="preserve">L’entité </w:t>
      </w:r>
      <w:r w:rsidRPr="000A16CA">
        <w:rPr>
          <w:bCs/>
          <w:i/>
          <w:szCs w:val="24"/>
          <w:lang w:val="fr-FR"/>
        </w:rPr>
        <w:t>compétente pour faire des recommandations</w:t>
      </w:r>
      <w:r>
        <w:rPr>
          <w:bCs/>
          <w:i/>
          <w:szCs w:val="24"/>
          <w:lang w:val="fr-FR"/>
        </w:rPr>
        <w:t xml:space="preserve"> finales</w:t>
      </w:r>
    </w:p>
    <w:p w:rsidR="00DE5465" w:rsidRPr="000A16CA" w:rsidRDefault="00DE5465" w:rsidP="00DE5465">
      <w:pPr>
        <w:rPr>
          <w:bCs/>
          <w:szCs w:val="24"/>
          <w:lang w:val="fr-FR"/>
        </w:rPr>
      </w:pPr>
    </w:p>
    <w:p w:rsidR="00DE5465" w:rsidRPr="000A16CA" w:rsidRDefault="00DE5465" w:rsidP="00DE5465">
      <w:pPr>
        <w:pStyle w:val="ListParagraph"/>
        <w:numPr>
          <w:ilvl w:val="0"/>
          <w:numId w:val="13"/>
        </w:numPr>
        <w:ind w:left="0" w:firstLine="0"/>
        <w:contextualSpacing/>
        <w:jc w:val="both"/>
        <w:rPr>
          <w:bCs/>
          <w:szCs w:val="24"/>
          <w:lang w:val="fr-FR"/>
        </w:rPr>
      </w:pPr>
      <w:r>
        <w:rPr>
          <w:bCs/>
          <w:szCs w:val="24"/>
          <w:lang w:val="fr-FR"/>
        </w:rPr>
        <w:t>En raison de</w:t>
      </w:r>
      <w:r w:rsidRPr="000A16CA">
        <w:rPr>
          <w:bCs/>
          <w:szCs w:val="24"/>
          <w:lang w:val="fr-FR"/>
        </w:rPr>
        <w:t xml:space="preserve"> la période de</w:t>
      </w:r>
      <w:r>
        <w:rPr>
          <w:bCs/>
          <w:szCs w:val="24"/>
          <w:lang w:val="fr-FR"/>
        </w:rPr>
        <w:t xml:space="preserve"> trois ans qui s’écoule entre chaque session de </w:t>
      </w:r>
      <w:r w:rsidRPr="000A16CA">
        <w:rPr>
          <w:bCs/>
          <w:szCs w:val="24"/>
          <w:lang w:val="fr-FR"/>
        </w:rPr>
        <w:t xml:space="preserve">la Conférence des Parties, </w:t>
      </w:r>
      <w:r>
        <w:rPr>
          <w:bCs/>
          <w:szCs w:val="24"/>
          <w:lang w:val="fr-FR"/>
        </w:rPr>
        <w:t>il est peut-être plus approprié que</w:t>
      </w:r>
      <w:r w:rsidRPr="000A16CA">
        <w:rPr>
          <w:bCs/>
          <w:szCs w:val="24"/>
          <w:lang w:val="fr-FR"/>
        </w:rPr>
        <w:t xml:space="preserve"> </w:t>
      </w:r>
      <w:r>
        <w:rPr>
          <w:bCs/>
          <w:szCs w:val="24"/>
          <w:lang w:val="fr-FR"/>
        </w:rPr>
        <w:t xml:space="preserve">le </w:t>
      </w:r>
      <w:r w:rsidRPr="000A16CA">
        <w:rPr>
          <w:bCs/>
          <w:szCs w:val="24"/>
          <w:lang w:val="fr-FR"/>
        </w:rPr>
        <w:t xml:space="preserve">Comité permanent, </w:t>
      </w:r>
      <w:r>
        <w:rPr>
          <w:bCs/>
          <w:szCs w:val="24"/>
          <w:lang w:val="fr-FR"/>
        </w:rPr>
        <w:t xml:space="preserve">qui se réunit chaque année, soit l’entité compétente pour faire des </w:t>
      </w:r>
      <w:r w:rsidRPr="000A16CA">
        <w:rPr>
          <w:bCs/>
          <w:szCs w:val="24"/>
          <w:lang w:val="fr-FR"/>
        </w:rPr>
        <w:t>recommandations</w:t>
      </w:r>
      <w:r>
        <w:rPr>
          <w:bCs/>
          <w:szCs w:val="24"/>
          <w:lang w:val="fr-FR"/>
        </w:rPr>
        <w:t xml:space="preserve"> finales</w:t>
      </w:r>
      <w:r w:rsidRPr="000A16CA">
        <w:rPr>
          <w:bCs/>
          <w:szCs w:val="24"/>
          <w:lang w:val="fr-FR"/>
        </w:rPr>
        <w:t xml:space="preserve">. </w:t>
      </w:r>
    </w:p>
    <w:p w:rsidR="00DE5465" w:rsidRPr="000A16CA" w:rsidRDefault="00DE5465" w:rsidP="00DE5465">
      <w:pPr>
        <w:rPr>
          <w:bCs/>
          <w:szCs w:val="24"/>
          <w:lang w:val="fr-FR"/>
        </w:rPr>
      </w:pPr>
    </w:p>
    <w:p w:rsidR="00DE5465" w:rsidRPr="000A16CA" w:rsidRDefault="00DE5465" w:rsidP="00DE5465">
      <w:pPr>
        <w:rPr>
          <w:bCs/>
          <w:i/>
          <w:szCs w:val="24"/>
          <w:lang w:val="fr-FR"/>
        </w:rPr>
      </w:pPr>
      <w:r w:rsidRPr="000A16CA">
        <w:rPr>
          <w:bCs/>
          <w:i/>
          <w:szCs w:val="24"/>
          <w:lang w:val="fr-FR"/>
        </w:rPr>
        <w:t xml:space="preserve">Déclenchement </w:t>
      </w:r>
      <w:r>
        <w:rPr>
          <w:bCs/>
          <w:i/>
          <w:szCs w:val="24"/>
          <w:lang w:val="fr-FR"/>
        </w:rPr>
        <w:t>du processus d’examen</w:t>
      </w:r>
    </w:p>
    <w:p w:rsidR="00DE5465" w:rsidRPr="000A16CA" w:rsidRDefault="00DE5465" w:rsidP="00DE5465">
      <w:pPr>
        <w:rPr>
          <w:bCs/>
          <w:szCs w:val="24"/>
          <w:lang w:val="fr-FR"/>
        </w:rPr>
      </w:pPr>
    </w:p>
    <w:p w:rsidR="00DE5465" w:rsidRPr="00543AC6" w:rsidRDefault="00DE5465" w:rsidP="00DE5465">
      <w:pPr>
        <w:pStyle w:val="ListParagraph"/>
        <w:numPr>
          <w:ilvl w:val="0"/>
          <w:numId w:val="13"/>
        </w:numPr>
        <w:ind w:left="0" w:firstLine="0"/>
        <w:contextualSpacing/>
        <w:jc w:val="both"/>
        <w:rPr>
          <w:bCs/>
          <w:szCs w:val="24"/>
          <w:lang w:val="fr-FR"/>
        </w:rPr>
      </w:pPr>
      <w:r w:rsidRPr="000A16CA">
        <w:rPr>
          <w:bCs/>
          <w:szCs w:val="24"/>
          <w:lang w:val="fr-FR"/>
        </w:rPr>
        <w:t>Une Partie devrait êtr</w:t>
      </w:r>
      <w:r>
        <w:rPr>
          <w:bCs/>
          <w:szCs w:val="24"/>
          <w:lang w:val="fr-FR"/>
        </w:rPr>
        <w:t>e autorisée à signaler</w:t>
      </w:r>
      <w:r w:rsidRPr="000A16CA">
        <w:rPr>
          <w:bCs/>
          <w:szCs w:val="24"/>
          <w:lang w:val="fr-FR"/>
        </w:rPr>
        <w:t xml:space="preserve"> une question de respect la concernant. De plus, une autre Partie ou le Secrétariat devrai</w:t>
      </w:r>
      <w:r>
        <w:rPr>
          <w:bCs/>
          <w:szCs w:val="24"/>
          <w:lang w:val="fr-FR"/>
        </w:rPr>
        <w:t>en</w:t>
      </w:r>
      <w:r w:rsidRPr="000A16CA">
        <w:rPr>
          <w:bCs/>
          <w:szCs w:val="24"/>
          <w:lang w:val="fr-FR"/>
        </w:rPr>
        <w:t>t être autori</w:t>
      </w:r>
      <w:r>
        <w:rPr>
          <w:bCs/>
          <w:szCs w:val="24"/>
          <w:lang w:val="fr-FR"/>
        </w:rPr>
        <w:t>s</w:t>
      </w:r>
      <w:r w:rsidRPr="000A16CA">
        <w:rPr>
          <w:bCs/>
          <w:szCs w:val="24"/>
          <w:lang w:val="fr-FR"/>
        </w:rPr>
        <w:t>és</w:t>
      </w:r>
      <w:r>
        <w:rPr>
          <w:bCs/>
          <w:szCs w:val="24"/>
          <w:lang w:val="fr-FR"/>
        </w:rPr>
        <w:t xml:space="preserve"> à soulever une question de </w:t>
      </w:r>
      <w:r w:rsidRPr="000A16CA">
        <w:rPr>
          <w:bCs/>
          <w:szCs w:val="24"/>
          <w:lang w:val="fr-FR"/>
        </w:rPr>
        <w:t xml:space="preserve">respect. </w:t>
      </w:r>
      <w:r>
        <w:rPr>
          <w:bCs/>
          <w:szCs w:val="24"/>
          <w:lang w:val="fr-FR"/>
        </w:rPr>
        <w:t>Étant donné l’importance</w:t>
      </w:r>
      <w:r w:rsidRPr="00543AC6">
        <w:rPr>
          <w:bCs/>
          <w:szCs w:val="24"/>
          <w:lang w:val="fr-FR"/>
        </w:rPr>
        <w:t xml:space="preserve"> des ONG</w:t>
      </w:r>
      <w:r>
        <w:rPr>
          <w:bCs/>
          <w:szCs w:val="24"/>
          <w:lang w:val="fr-FR"/>
        </w:rPr>
        <w:t xml:space="preserve"> pour </w:t>
      </w:r>
      <w:r w:rsidRPr="00543AC6">
        <w:rPr>
          <w:bCs/>
          <w:szCs w:val="24"/>
          <w:lang w:val="fr-FR"/>
        </w:rPr>
        <w:t>la Convention, tout particulièrement dans</w:t>
      </w:r>
      <w:r>
        <w:rPr>
          <w:bCs/>
          <w:szCs w:val="24"/>
          <w:lang w:val="fr-FR"/>
        </w:rPr>
        <w:t xml:space="preserve"> le cadre de</w:t>
      </w:r>
      <w:r w:rsidRPr="00543AC6">
        <w:rPr>
          <w:bCs/>
          <w:szCs w:val="24"/>
          <w:lang w:val="fr-FR"/>
        </w:rPr>
        <w:t xml:space="preserve"> partenariats, les Parties devraient aussi envisage</w:t>
      </w:r>
      <w:r>
        <w:rPr>
          <w:bCs/>
          <w:szCs w:val="24"/>
          <w:lang w:val="fr-FR"/>
        </w:rPr>
        <w:t>r de permettre aux</w:t>
      </w:r>
      <w:r w:rsidRPr="00543AC6">
        <w:rPr>
          <w:bCs/>
          <w:szCs w:val="24"/>
          <w:lang w:val="fr-FR"/>
        </w:rPr>
        <w:t xml:space="preserve"> ONG </w:t>
      </w:r>
      <w:r>
        <w:rPr>
          <w:bCs/>
          <w:szCs w:val="24"/>
          <w:lang w:val="fr-FR"/>
        </w:rPr>
        <w:t xml:space="preserve">de soumettre des questions de </w:t>
      </w:r>
      <w:r w:rsidRPr="00543AC6">
        <w:rPr>
          <w:bCs/>
          <w:szCs w:val="24"/>
          <w:lang w:val="fr-FR"/>
        </w:rPr>
        <w:t xml:space="preserve">respect, </w:t>
      </w:r>
      <w:r>
        <w:rPr>
          <w:bCs/>
          <w:szCs w:val="24"/>
          <w:lang w:val="fr-FR"/>
        </w:rPr>
        <w:t>comme elles sont autorisées à le faire dans le cadre de l’</w:t>
      </w:r>
      <w:r w:rsidRPr="00543AC6">
        <w:rPr>
          <w:bCs/>
          <w:szCs w:val="24"/>
          <w:lang w:val="fr-FR"/>
        </w:rPr>
        <w:t>AEWA</w:t>
      </w:r>
      <w:r>
        <w:rPr>
          <w:bCs/>
          <w:szCs w:val="24"/>
          <w:lang w:val="fr-FR"/>
        </w:rPr>
        <w:t xml:space="preserve"> et d’autres mécanismes de respect</w:t>
      </w:r>
      <w:r w:rsidRPr="00543AC6">
        <w:rPr>
          <w:bCs/>
          <w:szCs w:val="24"/>
          <w:lang w:val="fr-FR"/>
        </w:rPr>
        <w:t>. En tout état de cause, toutes les Parties et les parties prenantes</w:t>
      </w:r>
      <w:r>
        <w:rPr>
          <w:bCs/>
          <w:szCs w:val="24"/>
          <w:lang w:val="fr-FR"/>
        </w:rPr>
        <w:t xml:space="preserve"> intéressées, y compris les </w:t>
      </w:r>
      <w:r w:rsidRPr="00543AC6">
        <w:rPr>
          <w:bCs/>
          <w:szCs w:val="24"/>
          <w:lang w:val="fr-FR"/>
        </w:rPr>
        <w:t xml:space="preserve">ONG, </w:t>
      </w:r>
      <w:r>
        <w:rPr>
          <w:bCs/>
          <w:szCs w:val="24"/>
          <w:lang w:val="fr-FR"/>
        </w:rPr>
        <w:t xml:space="preserve">devraient être autorisées à faire des observations et à poser des </w:t>
      </w:r>
      <w:r w:rsidRPr="00543AC6">
        <w:rPr>
          <w:bCs/>
          <w:szCs w:val="24"/>
          <w:lang w:val="fr-FR"/>
        </w:rPr>
        <w:t xml:space="preserve">questions </w:t>
      </w:r>
      <w:r>
        <w:rPr>
          <w:bCs/>
          <w:szCs w:val="24"/>
          <w:lang w:val="fr-FR"/>
        </w:rPr>
        <w:t xml:space="preserve">à la </w:t>
      </w:r>
      <w:r w:rsidRPr="00543AC6">
        <w:rPr>
          <w:bCs/>
          <w:szCs w:val="24"/>
          <w:lang w:val="fr-FR"/>
        </w:rPr>
        <w:t>Partie</w:t>
      </w:r>
      <w:r>
        <w:rPr>
          <w:bCs/>
          <w:szCs w:val="24"/>
          <w:lang w:val="fr-FR"/>
        </w:rPr>
        <w:t xml:space="preserve"> concernée dans le cadre du </w:t>
      </w:r>
      <w:r w:rsidRPr="00543AC6">
        <w:rPr>
          <w:bCs/>
          <w:szCs w:val="24"/>
          <w:lang w:val="fr-FR"/>
        </w:rPr>
        <w:t>dialogue</w:t>
      </w:r>
      <w:r>
        <w:rPr>
          <w:bCs/>
          <w:szCs w:val="24"/>
          <w:lang w:val="fr-FR"/>
        </w:rPr>
        <w:t xml:space="preserve"> interactif</w:t>
      </w:r>
      <w:r w:rsidRPr="00543AC6">
        <w:rPr>
          <w:bCs/>
          <w:szCs w:val="24"/>
          <w:lang w:val="fr-FR"/>
        </w:rPr>
        <w:t>.</w:t>
      </w:r>
    </w:p>
    <w:p w:rsidR="00DE5465" w:rsidRDefault="00DE5465" w:rsidP="00DE5465">
      <w:pPr>
        <w:rPr>
          <w:bCs/>
          <w:szCs w:val="24"/>
          <w:lang w:val="fr-FR"/>
        </w:rPr>
      </w:pPr>
    </w:p>
    <w:p w:rsidR="00DE5465" w:rsidRPr="009B1E36" w:rsidRDefault="00DE5465" w:rsidP="00DE5465">
      <w:pPr>
        <w:pStyle w:val="ListParagraph"/>
        <w:ind w:left="0"/>
        <w:rPr>
          <w:b/>
          <w:i/>
          <w:u w:val="single"/>
          <w:lang w:val="fr-FR"/>
        </w:rPr>
      </w:pPr>
      <w:r w:rsidRPr="009B1E36">
        <w:rPr>
          <w:b/>
          <w:i/>
          <w:u w:val="single"/>
          <w:lang w:val="fr-FR"/>
        </w:rPr>
        <w:t>Action requise:</w:t>
      </w:r>
    </w:p>
    <w:p w:rsidR="00DE5465" w:rsidRPr="009B1E36" w:rsidRDefault="00DE5465" w:rsidP="00DE5465">
      <w:pPr>
        <w:pStyle w:val="ListParagraph"/>
        <w:ind w:left="0"/>
        <w:rPr>
          <w:lang w:val="fr-FR"/>
        </w:rPr>
      </w:pPr>
    </w:p>
    <w:p w:rsidR="00DE5465" w:rsidRPr="009B1E36" w:rsidRDefault="00DE5465" w:rsidP="00DE5465">
      <w:pPr>
        <w:jc w:val="both"/>
        <w:rPr>
          <w:lang w:val="fr-FR"/>
        </w:rPr>
      </w:pPr>
      <w:r w:rsidRPr="009B1E36">
        <w:rPr>
          <w:lang w:val="fr-FR" w:eastAsia="en-GB"/>
        </w:rPr>
        <w:t xml:space="preserve">La Conférence des Parties est priée de </w:t>
      </w:r>
      <w:r w:rsidRPr="009B1E36">
        <w:rPr>
          <w:lang w:val="fr-FR"/>
        </w:rPr>
        <w:t>:</w:t>
      </w:r>
    </w:p>
    <w:p w:rsidR="00DE5465" w:rsidRPr="009B1E36" w:rsidRDefault="00DE5465" w:rsidP="00DE5465">
      <w:pPr>
        <w:rPr>
          <w:bCs/>
          <w:szCs w:val="24"/>
          <w:lang w:val="fr-FR"/>
        </w:rPr>
      </w:pPr>
    </w:p>
    <w:p w:rsidR="00DE5465" w:rsidRPr="00543AC6" w:rsidRDefault="00DE5465" w:rsidP="00DE5465">
      <w:pPr>
        <w:pStyle w:val="ListParagraph"/>
        <w:numPr>
          <w:ilvl w:val="0"/>
          <w:numId w:val="25"/>
        </w:numPr>
        <w:ind w:left="709" w:hanging="709"/>
        <w:contextualSpacing/>
        <w:jc w:val="both"/>
        <w:rPr>
          <w:bCs/>
          <w:szCs w:val="24"/>
          <w:lang w:val="fr-FR"/>
        </w:rPr>
      </w:pPr>
      <w:r w:rsidRPr="00FE162B">
        <w:rPr>
          <w:bCs/>
          <w:szCs w:val="24"/>
          <w:lang w:val="fr-FR"/>
        </w:rPr>
        <w:t>Adopter la résolution figurant dans l’Annex</w:t>
      </w:r>
      <w:r>
        <w:rPr>
          <w:bCs/>
          <w:szCs w:val="24"/>
          <w:lang w:val="fr-FR"/>
        </w:rPr>
        <w:t xml:space="preserve">e, mettant </w:t>
      </w:r>
      <w:r w:rsidRPr="00FE162B">
        <w:rPr>
          <w:bCs/>
          <w:szCs w:val="24"/>
          <w:lang w:val="fr-FR"/>
        </w:rPr>
        <w:t xml:space="preserve">en place </w:t>
      </w:r>
      <w:r>
        <w:rPr>
          <w:bCs/>
          <w:szCs w:val="24"/>
          <w:lang w:val="fr-FR"/>
        </w:rPr>
        <w:t>un processus pour l’élaboration d’un processus d’examen de la Convention.</w:t>
      </w:r>
    </w:p>
    <w:p w:rsidR="004556F3" w:rsidRDefault="004556F3" w:rsidP="00761732">
      <w:pPr>
        <w:rPr>
          <w:lang w:val="fr-FR"/>
        </w:rPr>
      </w:pPr>
    </w:p>
    <w:p w:rsidR="00B546FF" w:rsidRDefault="00B546FF" w:rsidP="00DE5465">
      <w:pPr>
        <w:contextualSpacing/>
        <w:jc w:val="both"/>
        <w:rPr>
          <w:b/>
          <w:bCs/>
          <w:szCs w:val="24"/>
        </w:rPr>
      </w:pPr>
      <w:r>
        <w:rPr>
          <w:b/>
          <w:bCs/>
          <w:szCs w:val="24"/>
        </w:rPr>
        <w:br w:type="page"/>
      </w:r>
    </w:p>
    <w:p w:rsidR="004F56CD" w:rsidRDefault="004F56CD" w:rsidP="00DE5465">
      <w:pPr>
        <w:contextualSpacing/>
        <w:jc w:val="both"/>
        <w:rPr>
          <w:b/>
          <w:bCs/>
          <w:szCs w:val="24"/>
        </w:rPr>
      </w:pPr>
    </w:p>
    <w:p w:rsidR="00DE5465" w:rsidRPr="00DE5465" w:rsidRDefault="00DE5465" w:rsidP="00DE5465">
      <w:pPr>
        <w:contextualSpacing/>
        <w:jc w:val="both"/>
        <w:rPr>
          <w:b/>
          <w:bCs/>
          <w:szCs w:val="24"/>
        </w:rPr>
      </w:pPr>
      <w:proofErr w:type="spellStart"/>
      <w:r w:rsidRPr="00DE5465">
        <w:rPr>
          <w:b/>
          <w:bCs/>
          <w:szCs w:val="24"/>
        </w:rPr>
        <w:t>Bibliographie</w:t>
      </w:r>
      <w:proofErr w:type="spellEnd"/>
    </w:p>
    <w:p w:rsidR="00DE5465" w:rsidRPr="00DE5465" w:rsidRDefault="00DE5465" w:rsidP="00DE5465">
      <w:pPr>
        <w:contextualSpacing/>
        <w:jc w:val="both"/>
        <w:rPr>
          <w:bCs/>
          <w:szCs w:val="24"/>
        </w:rPr>
      </w:pPr>
    </w:p>
    <w:p w:rsidR="00DE5465" w:rsidRPr="00DE5465" w:rsidRDefault="00DE5465" w:rsidP="00DE5465">
      <w:pPr>
        <w:ind w:left="284" w:hanging="284"/>
        <w:jc w:val="both"/>
        <w:rPr>
          <w:bCs/>
          <w:szCs w:val="24"/>
        </w:rPr>
      </w:pPr>
      <w:r w:rsidRPr="004F56CD">
        <w:rPr>
          <w:szCs w:val="24"/>
        </w:rPr>
        <w:t>Dominguez-Redondo, Elvira</w:t>
      </w:r>
      <w:r w:rsidRPr="00DE5465">
        <w:rPr>
          <w:bCs/>
          <w:szCs w:val="24"/>
        </w:rPr>
        <w:t xml:space="preserve">, </w:t>
      </w:r>
      <w:r w:rsidRPr="00DE5465">
        <w:rPr>
          <w:bCs/>
          <w:i/>
          <w:szCs w:val="24"/>
        </w:rPr>
        <w:t>The Universal Periodic Review: Is There Life Beyond Naming and Shaming in Human Rights Implementation</w:t>
      </w:r>
      <w:proofErr w:type="gramStart"/>
      <w:r w:rsidRPr="00DE5465">
        <w:rPr>
          <w:bCs/>
          <w:i/>
          <w:szCs w:val="24"/>
        </w:rPr>
        <w:t>?</w:t>
      </w:r>
      <w:r w:rsidRPr="00DE5465">
        <w:rPr>
          <w:bCs/>
          <w:szCs w:val="24"/>
        </w:rPr>
        <w:t>,</w:t>
      </w:r>
      <w:proofErr w:type="gramEnd"/>
      <w:r w:rsidRPr="00DE5465">
        <w:rPr>
          <w:bCs/>
          <w:szCs w:val="24"/>
        </w:rPr>
        <w:t xml:space="preserve"> 2012 </w:t>
      </w:r>
      <w:r w:rsidRPr="00DE5465">
        <w:rPr>
          <w:bCs/>
          <w:smallCaps/>
          <w:szCs w:val="24"/>
        </w:rPr>
        <w:t>New Zealand Law Review</w:t>
      </w:r>
      <w:r w:rsidRPr="00DE5465">
        <w:rPr>
          <w:bCs/>
          <w:szCs w:val="24"/>
        </w:rPr>
        <w:t xml:space="preserve"> 673 (2012)</w:t>
      </w:r>
    </w:p>
    <w:p w:rsidR="00DE5465" w:rsidRPr="00DE5465" w:rsidRDefault="00DE5465" w:rsidP="00DE5465">
      <w:pPr>
        <w:ind w:left="284" w:hanging="284"/>
        <w:contextualSpacing/>
        <w:jc w:val="both"/>
        <w:rPr>
          <w:iCs/>
          <w:szCs w:val="24"/>
        </w:rPr>
      </w:pPr>
      <w:r w:rsidRPr="00DE5465">
        <w:rPr>
          <w:szCs w:val="24"/>
        </w:rPr>
        <w:t xml:space="preserve">Horn, Henrik, </w:t>
      </w:r>
      <w:proofErr w:type="spellStart"/>
      <w:r w:rsidRPr="00DE5465">
        <w:rPr>
          <w:szCs w:val="24"/>
        </w:rPr>
        <w:t>Petros</w:t>
      </w:r>
      <w:proofErr w:type="spellEnd"/>
      <w:r w:rsidRPr="00DE5465">
        <w:rPr>
          <w:szCs w:val="24"/>
        </w:rPr>
        <w:t xml:space="preserve"> C. </w:t>
      </w:r>
      <w:proofErr w:type="spellStart"/>
      <w:r w:rsidRPr="00DE5465">
        <w:rPr>
          <w:szCs w:val="24"/>
        </w:rPr>
        <w:t>Mavroidis</w:t>
      </w:r>
      <w:proofErr w:type="spellEnd"/>
      <w:r w:rsidRPr="00DE5465">
        <w:rPr>
          <w:szCs w:val="24"/>
        </w:rPr>
        <w:t xml:space="preserve"> &amp; Erik </w:t>
      </w:r>
      <w:proofErr w:type="spellStart"/>
      <w:r w:rsidRPr="00DE5465">
        <w:rPr>
          <w:szCs w:val="24"/>
        </w:rPr>
        <w:t>Wijkström</w:t>
      </w:r>
      <w:proofErr w:type="spellEnd"/>
      <w:r w:rsidRPr="00DE5465">
        <w:rPr>
          <w:szCs w:val="24"/>
        </w:rPr>
        <w:t xml:space="preserve">, </w:t>
      </w:r>
      <w:r w:rsidRPr="00DE5465">
        <w:rPr>
          <w:i/>
          <w:szCs w:val="24"/>
        </w:rPr>
        <w:t>Between Transparency and Adjudication: Environmental Measures in the WTO TBT Committee</w:t>
      </w:r>
      <w:r w:rsidRPr="00DE5465">
        <w:rPr>
          <w:szCs w:val="24"/>
        </w:rPr>
        <w:t xml:space="preserve"> 5</w:t>
      </w:r>
      <w:r w:rsidRPr="00DE5465">
        <w:rPr>
          <w:i/>
          <w:szCs w:val="24"/>
        </w:rPr>
        <w:t xml:space="preserve"> </w:t>
      </w:r>
      <w:r w:rsidRPr="00DE5465">
        <w:rPr>
          <w:szCs w:val="24"/>
        </w:rPr>
        <w:t xml:space="preserve">(ENTWINED Working Paper, 2012), </w:t>
      </w:r>
      <w:r w:rsidRPr="00DE5465">
        <w:rPr>
          <w:i/>
          <w:szCs w:val="24"/>
        </w:rPr>
        <w:t>available at</w:t>
      </w:r>
      <w:r w:rsidRPr="00DE5465">
        <w:rPr>
          <w:szCs w:val="24"/>
        </w:rPr>
        <w:t xml:space="preserve"> </w:t>
      </w:r>
      <w:r w:rsidRPr="00DE5465">
        <w:rPr>
          <w:iCs/>
          <w:szCs w:val="24"/>
        </w:rPr>
        <w:t>www.econ-law.se/Papers/</w:t>
      </w:r>
      <w:r w:rsidRPr="00DE5465">
        <w:rPr>
          <w:bCs/>
          <w:iCs/>
          <w:szCs w:val="24"/>
        </w:rPr>
        <w:t>TBT</w:t>
      </w:r>
      <w:r w:rsidRPr="00DE5465">
        <w:rPr>
          <w:iCs/>
          <w:szCs w:val="24"/>
        </w:rPr>
        <w:t>%2028Feb2012-2.pdf.</w:t>
      </w:r>
    </w:p>
    <w:p w:rsidR="00DE5465" w:rsidRPr="00DE5465" w:rsidRDefault="00DE5465" w:rsidP="00DE5465">
      <w:pPr>
        <w:ind w:left="284" w:hanging="284"/>
        <w:jc w:val="both"/>
        <w:rPr>
          <w:bCs/>
          <w:szCs w:val="24"/>
        </w:rPr>
      </w:pPr>
      <w:r w:rsidRPr="00DE5465">
        <w:rPr>
          <w:bCs/>
          <w:szCs w:val="24"/>
        </w:rPr>
        <w:t xml:space="preserve">Human Rights, Council, </w:t>
      </w:r>
      <w:r w:rsidRPr="00DE5465">
        <w:rPr>
          <w:bCs/>
          <w:i/>
          <w:szCs w:val="24"/>
        </w:rPr>
        <w:t>Modalities and Practices for the Universal Periodic Review Process</w:t>
      </w:r>
      <w:r w:rsidRPr="00DE5465">
        <w:rPr>
          <w:bCs/>
          <w:szCs w:val="24"/>
        </w:rPr>
        <w:t>, 8/PRST/1 (9 April 2008).</w:t>
      </w:r>
    </w:p>
    <w:p w:rsidR="00DE5465" w:rsidRPr="00DE5465" w:rsidRDefault="00DE5465" w:rsidP="00DE5465">
      <w:pPr>
        <w:keepNext/>
        <w:ind w:left="284" w:hanging="284"/>
        <w:outlineLvl w:val="1"/>
        <w:rPr>
          <w:rFonts w:eastAsia="Times New Roman"/>
          <w:szCs w:val="24"/>
          <w:lang w:val="en-GB"/>
        </w:rPr>
      </w:pPr>
      <w:proofErr w:type="gramStart"/>
      <w:r w:rsidRPr="00DE5465">
        <w:rPr>
          <w:rFonts w:eastAsia="Times New Roman"/>
          <w:szCs w:val="24"/>
          <w:lang w:val="en-GB"/>
        </w:rPr>
        <w:t xml:space="preserve">Human Rights Council, </w:t>
      </w:r>
      <w:r w:rsidRPr="00DE5465">
        <w:rPr>
          <w:rFonts w:eastAsia="Times New Roman"/>
          <w:i/>
          <w:szCs w:val="24"/>
          <w:lang w:val="en-GB"/>
        </w:rPr>
        <w:t>Institution-building of the United Nations Human Rights Council</w:t>
      </w:r>
      <w:r w:rsidRPr="00DE5465">
        <w:rPr>
          <w:rFonts w:eastAsia="Times New Roman"/>
          <w:szCs w:val="24"/>
          <w:lang w:val="en-GB"/>
        </w:rPr>
        <w:t>, 5/1 (18 June 2007).</w:t>
      </w:r>
      <w:proofErr w:type="gramEnd"/>
    </w:p>
    <w:p w:rsidR="00DE5465" w:rsidRPr="00DE5465" w:rsidRDefault="00DE5465" w:rsidP="00DE5465">
      <w:pPr>
        <w:ind w:left="284" w:hanging="284"/>
        <w:jc w:val="both"/>
        <w:rPr>
          <w:bCs/>
          <w:szCs w:val="24"/>
        </w:rPr>
      </w:pPr>
      <w:r w:rsidRPr="00DE5465">
        <w:rPr>
          <w:bCs/>
          <w:szCs w:val="24"/>
        </w:rPr>
        <w:t xml:space="preserve">McMahon, Edward R., </w:t>
      </w:r>
      <w:proofErr w:type="gramStart"/>
      <w:r w:rsidRPr="00DE5465">
        <w:rPr>
          <w:bCs/>
          <w:i/>
          <w:szCs w:val="24"/>
        </w:rPr>
        <w:t>The</w:t>
      </w:r>
      <w:proofErr w:type="gramEnd"/>
      <w:r w:rsidRPr="00DE5465">
        <w:rPr>
          <w:bCs/>
          <w:i/>
          <w:szCs w:val="24"/>
        </w:rPr>
        <w:t xml:space="preserve"> Universal Periodic Review: A Work in Progress: An Evaluation of the First Cycle of the New UPR Mechanism of the United Nations Human Rights Council</w:t>
      </w:r>
      <w:r w:rsidRPr="00DE5465">
        <w:rPr>
          <w:bCs/>
          <w:szCs w:val="24"/>
        </w:rPr>
        <w:t xml:space="preserve"> (Sept. 2012).</w:t>
      </w:r>
    </w:p>
    <w:p w:rsidR="00DE5465" w:rsidRPr="00DE5465" w:rsidRDefault="00DE5465" w:rsidP="00DE5465">
      <w:pPr>
        <w:ind w:left="284" w:hanging="284"/>
        <w:contextualSpacing/>
        <w:jc w:val="both"/>
        <w:rPr>
          <w:iCs/>
          <w:szCs w:val="24"/>
        </w:rPr>
      </w:pPr>
      <w:r w:rsidRPr="00DE5465">
        <w:rPr>
          <w:i/>
          <w:szCs w:val="24"/>
        </w:rPr>
        <w:t>Report from the Commission to the European Parliament, the Council, the European Economic and Social Committee and the Committee of the Regions: On the Functioning of the Notification Procedure under the WTO Agreement on Technical Barriers to Trade (TBT Agreement)</w:t>
      </w:r>
      <w:r w:rsidRPr="00DE5465">
        <w:rPr>
          <w:szCs w:val="24"/>
        </w:rPr>
        <w:t>,</w:t>
      </w:r>
      <w:r w:rsidRPr="00DE5465">
        <w:rPr>
          <w:b/>
          <w:bCs/>
          <w:szCs w:val="24"/>
        </w:rPr>
        <w:t xml:space="preserve"> </w:t>
      </w:r>
      <w:r w:rsidRPr="00DE5465">
        <w:rPr>
          <w:bCs/>
          <w:szCs w:val="24"/>
        </w:rPr>
        <w:t xml:space="preserve">§§ 3.1, 3.2, COM (2012) 354 final (June 29, 2012), </w:t>
      </w:r>
      <w:r w:rsidRPr="00DE5465">
        <w:rPr>
          <w:bCs/>
          <w:i/>
          <w:szCs w:val="24"/>
        </w:rPr>
        <w:t>available at</w:t>
      </w:r>
      <w:r w:rsidRPr="00DE5465">
        <w:rPr>
          <w:bCs/>
          <w:szCs w:val="24"/>
        </w:rPr>
        <w:t xml:space="preserve"> </w:t>
      </w:r>
      <w:hyperlink r:id="rId17" w:history="1">
        <w:r w:rsidRPr="00DE5465">
          <w:rPr>
            <w:iCs/>
            <w:szCs w:val="24"/>
          </w:rPr>
          <w:t>http://www.ipex.eu/IPEXL-WEB/dossier/document/COM20120354FIN.do</w:t>
        </w:r>
      </w:hyperlink>
      <w:r w:rsidRPr="00DE5465">
        <w:rPr>
          <w:iCs/>
          <w:szCs w:val="24"/>
        </w:rPr>
        <w:t>.</w:t>
      </w:r>
    </w:p>
    <w:p w:rsidR="00DE5465" w:rsidRPr="00DE5465" w:rsidRDefault="00DE5465" w:rsidP="00DE5465">
      <w:pPr>
        <w:ind w:left="284" w:hanging="284"/>
        <w:rPr>
          <w:szCs w:val="24"/>
          <w:lang w:val="en-GB"/>
        </w:rPr>
      </w:pPr>
      <w:r w:rsidRPr="00DE5465">
        <w:rPr>
          <w:szCs w:val="24"/>
          <w:lang w:val="en-GB"/>
        </w:rPr>
        <w:t xml:space="preserve">Reeve, </w:t>
      </w:r>
      <w:proofErr w:type="spellStart"/>
      <w:r w:rsidRPr="00DE5465">
        <w:rPr>
          <w:szCs w:val="24"/>
          <w:lang w:val="en-GB"/>
        </w:rPr>
        <w:t>Rosiland</w:t>
      </w:r>
      <w:proofErr w:type="spellEnd"/>
      <w:r w:rsidRPr="00DE5465">
        <w:rPr>
          <w:szCs w:val="24"/>
          <w:lang w:val="en-GB"/>
        </w:rPr>
        <w:t xml:space="preserve">, </w:t>
      </w:r>
      <w:r w:rsidRPr="00DE5465">
        <w:rPr>
          <w:i/>
          <w:szCs w:val="24"/>
          <w:lang w:val="en-GB"/>
        </w:rPr>
        <w:t>Policing International Trade in Endangered Species: The CITES Treaty and Compliance</w:t>
      </w:r>
      <w:r w:rsidRPr="00DE5465">
        <w:rPr>
          <w:szCs w:val="24"/>
          <w:lang w:val="en-GB"/>
        </w:rPr>
        <w:t xml:space="preserve"> (2002).</w:t>
      </w:r>
    </w:p>
    <w:p w:rsidR="00DE5465" w:rsidRPr="00DE5465" w:rsidRDefault="00DE5465" w:rsidP="00DE5465">
      <w:pPr>
        <w:ind w:left="284" w:hanging="284"/>
        <w:jc w:val="both"/>
        <w:rPr>
          <w:bCs/>
          <w:szCs w:val="24"/>
        </w:rPr>
      </w:pPr>
      <w:proofErr w:type="gramStart"/>
      <w:r w:rsidRPr="00DE5465">
        <w:rPr>
          <w:bCs/>
          <w:i/>
          <w:szCs w:val="24"/>
        </w:rPr>
        <w:t>UNEP Guidelines on Compliance with and Enforcement of Multilateral Environmental Agreements</w:t>
      </w:r>
      <w:r w:rsidRPr="00DE5465">
        <w:rPr>
          <w:bCs/>
          <w:szCs w:val="24"/>
        </w:rPr>
        <w:t xml:space="preserve"> (2002).</w:t>
      </w:r>
      <w:proofErr w:type="gramEnd"/>
    </w:p>
    <w:p w:rsidR="00DE5465" w:rsidRPr="00DE5465" w:rsidRDefault="00DE5465" w:rsidP="00DE5465">
      <w:pPr>
        <w:contextualSpacing/>
        <w:jc w:val="both"/>
        <w:rPr>
          <w:bCs/>
          <w:szCs w:val="24"/>
        </w:rPr>
      </w:pPr>
    </w:p>
    <w:p w:rsidR="00DE5465" w:rsidRPr="00DE5465" w:rsidRDefault="00DE5465" w:rsidP="00DE5465">
      <w:pPr>
        <w:jc w:val="both"/>
        <w:rPr>
          <w:bCs/>
          <w:szCs w:val="24"/>
        </w:rPr>
      </w:pPr>
    </w:p>
    <w:p w:rsidR="00137D60" w:rsidRDefault="00137D60" w:rsidP="00DE5465">
      <w:pPr>
        <w:jc w:val="right"/>
        <w:rPr>
          <w:b/>
          <w:szCs w:val="24"/>
          <w:lang w:val="fr-FR"/>
        </w:rPr>
        <w:sectPr w:rsidR="00137D60" w:rsidSect="00B4087D">
          <w:headerReference w:type="even" r:id="rId18"/>
          <w:headerReference w:type="default" r:id="rId19"/>
          <w:pgSz w:w="11907" w:h="16840" w:code="9"/>
          <w:pgMar w:top="1134" w:right="1418" w:bottom="1418" w:left="1418" w:header="510" w:footer="510" w:gutter="0"/>
          <w:cols w:space="720"/>
          <w:docGrid w:linePitch="360"/>
        </w:sectPr>
      </w:pPr>
    </w:p>
    <w:p w:rsidR="00DE5465" w:rsidRPr="00DE5465" w:rsidRDefault="00DE5465" w:rsidP="00DE5465">
      <w:pPr>
        <w:jc w:val="right"/>
        <w:rPr>
          <w:b/>
          <w:szCs w:val="24"/>
          <w:lang w:val="fr-FR"/>
        </w:rPr>
      </w:pPr>
      <w:r w:rsidRPr="00DE5465">
        <w:rPr>
          <w:b/>
          <w:szCs w:val="24"/>
          <w:lang w:val="fr-FR"/>
        </w:rPr>
        <w:t>Annexe</w:t>
      </w:r>
    </w:p>
    <w:p w:rsidR="00DE5465" w:rsidRPr="00DE5465" w:rsidRDefault="00DE5465" w:rsidP="00DE5465">
      <w:pPr>
        <w:jc w:val="center"/>
        <w:rPr>
          <w:b/>
          <w:szCs w:val="24"/>
          <w:lang w:val="fr-FR"/>
        </w:rPr>
      </w:pPr>
    </w:p>
    <w:p w:rsidR="00DE5465" w:rsidRPr="00DE5465" w:rsidRDefault="00DE5465" w:rsidP="00DE5465">
      <w:pPr>
        <w:jc w:val="center"/>
        <w:rPr>
          <w:b/>
          <w:szCs w:val="24"/>
          <w:lang w:val="fr-FR"/>
        </w:rPr>
      </w:pPr>
      <w:r w:rsidRPr="00DE5465">
        <w:rPr>
          <w:b/>
          <w:szCs w:val="24"/>
          <w:lang w:val="fr-FR"/>
        </w:rPr>
        <w:t>PROJET DE RÉSOLUTION</w:t>
      </w:r>
    </w:p>
    <w:p w:rsidR="00DE5465" w:rsidRPr="00DE5465" w:rsidRDefault="00DE5465" w:rsidP="00DE5465">
      <w:pPr>
        <w:jc w:val="both"/>
        <w:rPr>
          <w:bCs/>
          <w:szCs w:val="24"/>
          <w:lang w:val="fr-FR"/>
        </w:rPr>
      </w:pPr>
    </w:p>
    <w:p w:rsidR="00DE5465" w:rsidRPr="00DE5465" w:rsidRDefault="00DE5465" w:rsidP="00DE5465">
      <w:pPr>
        <w:spacing w:after="120"/>
        <w:jc w:val="center"/>
        <w:rPr>
          <w:szCs w:val="24"/>
          <w:lang w:val="fr-FR"/>
        </w:rPr>
      </w:pPr>
      <w:r w:rsidRPr="00DE5465">
        <w:rPr>
          <w:b/>
          <w:szCs w:val="24"/>
          <w:lang w:val="fr-FR"/>
        </w:rPr>
        <w:t xml:space="preserve">AMÉLIORER L’EFFICACITÉ DE LA CONVENTION PAR LE BIAIS D’UN PROCESSUS D’EXAMEN DE LA MISE EN OEUVRE </w:t>
      </w:r>
    </w:p>
    <w:p w:rsidR="00DE5465" w:rsidRPr="00DE5465" w:rsidRDefault="00DE5465" w:rsidP="00DE5465">
      <w:pPr>
        <w:jc w:val="both"/>
        <w:rPr>
          <w:bCs/>
          <w:szCs w:val="24"/>
          <w:lang w:val="fr-FR"/>
        </w:rPr>
      </w:pPr>
    </w:p>
    <w:p w:rsidR="00DE5465" w:rsidRPr="00DE5465" w:rsidRDefault="00DE5465" w:rsidP="00DE5465">
      <w:pPr>
        <w:ind w:firstLine="720"/>
        <w:jc w:val="both"/>
        <w:rPr>
          <w:szCs w:val="24"/>
          <w:lang w:val="fr-FR"/>
        </w:rPr>
      </w:pPr>
      <w:r w:rsidRPr="00DE5465">
        <w:rPr>
          <w:i/>
          <w:spacing w:val="-3"/>
          <w:szCs w:val="24"/>
          <w:lang w:val="fr-FR"/>
        </w:rPr>
        <w:t xml:space="preserve">Rappelant </w:t>
      </w:r>
      <w:r w:rsidRPr="00DE5465">
        <w:rPr>
          <w:spacing w:val="-3"/>
          <w:szCs w:val="24"/>
          <w:lang w:val="fr-FR"/>
        </w:rPr>
        <w:t xml:space="preserve">que le Programme des Nations Unies pour l’environnement, dans ses </w:t>
      </w:r>
      <w:r w:rsidRPr="00DE5465">
        <w:rPr>
          <w:bCs/>
          <w:i/>
          <w:szCs w:val="24"/>
          <w:lang w:val="fr-FR"/>
        </w:rPr>
        <w:t>Directives sur le respect et l’application des accords multilatéraux sur l’environnement</w:t>
      </w:r>
      <w:r w:rsidRPr="00DE5465">
        <w:rPr>
          <w:spacing w:val="-3"/>
          <w:szCs w:val="24"/>
          <w:lang w:val="fr-FR"/>
        </w:rPr>
        <w:t xml:space="preserve"> (2002), a identifié « le renforcement du </w:t>
      </w:r>
      <w:r w:rsidRPr="00DE5465">
        <w:rPr>
          <w:szCs w:val="24"/>
          <w:lang w:val="fr-FR"/>
        </w:rPr>
        <w:t>respect des accords multilatéraux sur l’environnement (…) comme une question essentielle »;</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Constatant </w:t>
      </w:r>
      <w:r w:rsidRPr="00DE5465">
        <w:rPr>
          <w:szCs w:val="24"/>
          <w:lang w:val="fr-FR"/>
        </w:rPr>
        <w:t xml:space="preserve">que la plupart des principaux accords multilatéraux sur l’environnement ont mis en place un processus visant à </w:t>
      </w:r>
      <w:r w:rsidRPr="00DE5465">
        <w:rPr>
          <w:spacing w:val="-3"/>
          <w:szCs w:val="24"/>
          <w:lang w:val="fr-FR"/>
        </w:rPr>
        <w:t>faciliter la mise en œuvre et à fournir un appui aux Parties qui rencontrent des difficultés dans la mise en œuvre</w:t>
      </w:r>
      <w:r w:rsidRPr="00DE5465">
        <w:rPr>
          <w:szCs w:val="24"/>
          <w:lang w:val="fr-FR"/>
        </w:rPr>
        <w:t xml:space="preserve">; </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Sachant </w:t>
      </w:r>
      <w:r w:rsidR="00977587">
        <w:rPr>
          <w:szCs w:val="24"/>
          <w:lang w:val="fr-FR"/>
        </w:rPr>
        <w:t>que deux</w:t>
      </w:r>
      <w:r w:rsidRPr="00DE5465">
        <w:rPr>
          <w:szCs w:val="24"/>
          <w:lang w:val="fr-FR"/>
        </w:rPr>
        <w:t xml:space="preserve"> accord</w:t>
      </w:r>
      <w:r w:rsidR="00977587">
        <w:rPr>
          <w:szCs w:val="24"/>
          <w:lang w:val="fr-FR"/>
        </w:rPr>
        <w:t>s</w:t>
      </w:r>
      <w:r w:rsidRPr="00DE5465">
        <w:rPr>
          <w:szCs w:val="24"/>
          <w:lang w:val="fr-FR"/>
        </w:rPr>
        <w:t xml:space="preserve"> au sein de la Famille CMS, à savoir, l’Accord sur la conservation des oiseaux d’eau migr</w:t>
      </w:r>
      <w:r w:rsidR="00977587">
        <w:rPr>
          <w:szCs w:val="24"/>
          <w:lang w:val="fr-FR"/>
        </w:rPr>
        <w:t>ateurs d’Afrique-Eurasie (AEWA) et l’</w:t>
      </w:r>
      <w:r w:rsidR="00977587">
        <w:rPr>
          <w:rStyle w:val="hps"/>
          <w:lang w:val="fr-FR"/>
        </w:rPr>
        <w:t>Accord sur</w:t>
      </w:r>
      <w:r w:rsidR="00977587">
        <w:rPr>
          <w:lang w:val="fr-FR"/>
        </w:rPr>
        <w:t xml:space="preserve"> </w:t>
      </w:r>
      <w:r w:rsidR="00977587">
        <w:rPr>
          <w:rStyle w:val="hps"/>
          <w:lang w:val="fr-FR"/>
        </w:rPr>
        <w:t>la Conservation des Cétacés</w:t>
      </w:r>
      <w:r w:rsidR="00977587">
        <w:rPr>
          <w:lang w:val="fr-FR"/>
        </w:rPr>
        <w:t xml:space="preserve"> </w:t>
      </w:r>
      <w:r w:rsidR="00977587">
        <w:rPr>
          <w:rStyle w:val="hps"/>
          <w:lang w:val="fr-FR"/>
        </w:rPr>
        <w:t>de la Mer Noire</w:t>
      </w:r>
      <w:r w:rsidR="00977587">
        <w:rPr>
          <w:lang w:val="fr-FR"/>
        </w:rPr>
        <w:t xml:space="preserve">, de la Méditerranée </w:t>
      </w:r>
      <w:r w:rsidR="00977587">
        <w:rPr>
          <w:rStyle w:val="hps"/>
          <w:lang w:val="fr-FR"/>
        </w:rPr>
        <w:t>et</w:t>
      </w:r>
      <w:r w:rsidR="00977587">
        <w:rPr>
          <w:lang w:val="fr-FR"/>
        </w:rPr>
        <w:t xml:space="preserve"> </w:t>
      </w:r>
      <w:r w:rsidR="00977587">
        <w:rPr>
          <w:rStyle w:val="hps"/>
          <w:lang w:val="fr-FR"/>
        </w:rPr>
        <w:t>de la zone Atlantique</w:t>
      </w:r>
      <w:r w:rsidR="00977587">
        <w:rPr>
          <w:lang w:val="fr-FR"/>
        </w:rPr>
        <w:t xml:space="preserve"> </w:t>
      </w:r>
      <w:r w:rsidR="00977587">
        <w:rPr>
          <w:rStyle w:val="hps"/>
          <w:lang w:val="fr-FR"/>
        </w:rPr>
        <w:t>adjacente</w:t>
      </w:r>
      <w:r w:rsidR="00977587">
        <w:rPr>
          <w:lang w:val="fr-FR"/>
        </w:rPr>
        <w:t xml:space="preserve"> </w:t>
      </w:r>
      <w:r w:rsidR="00977587">
        <w:rPr>
          <w:rStyle w:val="hps"/>
          <w:lang w:val="fr-FR"/>
        </w:rPr>
        <w:t>(ACCOBAMS</w:t>
      </w:r>
      <w:r w:rsidR="00977587">
        <w:rPr>
          <w:lang w:val="fr-FR"/>
        </w:rPr>
        <w:t>)</w:t>
      </w:r>
      <w:r w:rsidRPr="00DE5465">
        <w:rPr>
          <w:szCs w:val="24"/>
          <w:lang w:val="fr-FR"/>
        </w:rPr>
        <w:t xml:space="preserve"> dispose</w:t>
      </w:r>
      <w:r w:rsidR="00977587">
        <w:rPr>
          <w:szCs w:val="24"/>
          <w:lang w:val="fr-FR"/>
        </w:rPr>
        <w:t>nt</w:t>
      </w:r>
      <w:r w:rsidRPr="00DE5465">
        <w:rPr>
          <w:szCs w:val="24"/>
          <w:lang w:val="fr-FR"/>
        </w:rPr>
        <w:t xml:space="preserve"> déjà d’une procédure d’évaluation de l’efficacité des mesures de mise en œuvre (Résolution 4.6 de l’AEWA, </w:t>
      </w:r>
      <w:r w:rsidRPr="00DE5465">
        <w:rPr>
          <w:i/>
          <w:szCs w:val="24"/>
          <w:lang w:val="fr-FR"/>
        </w:rPr>
        <w:t>Mise en place d’une procédure d’évaluation</w:t>
      </w:r>
      <w:r w:rsidRPr="00DE5465">
        <w:rPr>
          <w:szCs w:val="24"/>
          <w:lang w:val="fr-FR"/>
        </w:rPr>
        <w:t xml:space="preserve"> </w:t>
      </w:r>
      <w:r w:rsidRPr="00DE5465">
        <w:rPr>
          <w:i/>
          <w:szCs w:val="24"/>
          <w:lang w:val="fr-FR"/>
        </w:rPr>
        <w:t xml:space="preserve">de la mise en œuvre </w:t>
      </w:r>
      <w:r w:rsidRPr="00DE5465">
        <w:rPr>
          <w:szCs w:val="24"/>
          <w:lang w:val="fr-FR"/>
        </w:rPr>
        <w:t>(2008)</w:t>
      </w:r>
      <w:r w:rsidR="00AA68D0">
        <w:rPr>
          <w:szCs w:val="24"/>
          <w:lang w:val="fr-FR"/>
        </w:rPr>
        <w:t>, ACCOBAMS procédure de suivi (2013</w:t>
      </w:r>
      <w:r w:rsidRPr="00DE5465">
        <w:rPr>
          <w:szCs w:val="24"/>
          <w:lang w:val="fr-FR"/>
        </w:rPr>
        <w:t>)</w:t>
      </w:r>
      <w:r w:rsidR="00AA68D0">
        <w:rPr>
          <w:szCs w:val="24"/>
          <w:lang w:val="fr-FR"/>
        </w:rPr>
        <w:t>)</w:t>
      </w:r>
      <w:r w:rsidRPr="00DE5465">
        <w:rPr>
          <w:szCs w:val="24"/>
          <w:lang w:val="fr-FR"/>
        </w:rPr>
        <w:t xml:space="preserve">; </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Reconnaissant </w:t>
      </w:r>
      <w:r w:rsidRPr="00DE5465">
        <w:rPr>
          <w:szCs w:val="24"/>
          <w:lang w:val="fr-FR"/>
        </w:rPr>
        <w:t>que le respect des obligations prévues au titre de la Convention, tout comme l’efficacité des mesures de mise en œuvre, sont essentiels pour la conservation et la gestion des espèces migratrices;</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le paragraphe 5 de l’article VII de la Convention, qui prévoit que « la Conférence des Parties procède à un examen de</w:t>
      </w:r>
      <w:r w:rsidRPr="00DE5465">
        <w:rPr>
          <w:spacing w:val="-3"/>
          <w:szCs w:val="24"/>
          <w:lang w:val="fr-FR"/>
        </w:rPr>
        <w:t xml:space="preserve"> l’application de la présente Convention » et peut, en particulier, « faire des recommandations aux Parties en vue d’améliorer l’efficacité de la présente Convention »;</w:t>
      </w:r>
    </w:p>
    <w:p w:rsidR="00DE5465" w:rsidRPr="00DE5465" w:rsidRDefault="00DE5465" w:rsidP="00DE5465">
      <w:pPr>
        <w:jc w:val="both"/>
        <w:rPr>
          <w:szCs w:val="24"/>
          <w:highlight w:val="yellow"/>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 xml:space="preserve">l’activité 16 de la Résolution 10.9 sur la structure et les stratégies futures de la CMS, qui énonce comme priorité à moyen terme (soit d’ici la COP12 en 2017) : « améliorer les mécanismes visant à mesurer la mise en œuvre de la CMS et de la Famille CMS (…), recenser les lacunes et proposer des mesures pour y remédier »; </w:t>
      </w:r>
    </w:p>
    <w:p w:rsidR="00DE5465" w:rsidRPr="00DE5465" w:rsidRDefault="00DE5465" w:rsidP="00DE5465">
      <w:pPr>
        <w:jc w:val="both"/>
        <w:rPr>
          <w:szCs w:val="24"/>
          <w:highlight w:val="yellow"/>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 xml:space="preserve">le paragraphe 4 de l’article IX de la Convention, qui demande au </w:t>
      </w:r>
      <w:r w:rsidRPr="00DE5465">
        <w:rPr>
          <w:spacing w:val="-3"/>
          <w:szCs w:val="24"/>
          <w:lang w:val="fr-FR"/>
        </w:rPr>
        <w:t>Secrétariat « d’attirer l’attention de la Conférence des Parties sur toute question portant sur les objectifs de la présente Convention »;</w:t>
      </w:r>
    </w:p>
    <w:p w:rsidR="00DE5465" w:rsidRDefault="00DE5465" w:rsidP="00DE5465">
      <w:pPr>
        <w:jc w:val="both"/>
        <w:rPr>
          <w:bCs/>
          <w:szCs w:val="24"/>
          <w:lang w:val="fr-FR"/>
        </w:rPr>
      </w:pPr>
    </w:p>
    <w:p w:rsidR="004F56CD" w:rsidRPr="00DE5465" w:rsidRDefault="004F56CD" w:rsidP="00DE5465">
      <w:pPr>
        <w:jc w:val="both"/>
        <w:rPr>
          <w:bCs/>
          <w:szCs w:val="24"/>
          <w:lang w:val="fr-FR"/>
        </w:rPr>
      </w:pPr>
    </w:p>
    <w:p w:rsidR="00DE5465" w:rsidRPr="00DE5465" w:rsidRDefault="00DE5465" w:rsidP="00DE5465">
      <w:pPr>
        <w:jc w:val="center"/>
        <w:rPr>
          <w:bCs/>
          <w:szCs w:val="24"/>
          <w:lang w:val="fr-FR"/>
        </w:rPr>
      </w:pPr>
      <w:r w:rsidRPr="00DE5465">
        <w:rPr>
          <w:bCs/>
          <w:i/>
          <w:iCs/>
          <w:szCs w:val="24"/>
          <w:lang w:val="fr-FR"/>
        </w:rPr>
        <w:t>La Conférence des Parties à la</w:t>
      </w:r>
    </w:p>
    <w:p w:rsidR="00DE5465" w:rsidRPr="00DE5465" w:rsidRDefault="00DE5465" w:rsidP="00DE5465">
      <w:pPr>
        <w:jc w:val="center"/>
        <w:rPr>
          <w:bCs/>
          <w:iCs/>
          <w:szCs w:val="24"/>
          <w:lang w:val="fr-FR"/>
        </w:rPr>
      </w:pPr>
      <w:r w:rsidRPr="00DE5465">
        <w:rPr>
          <w:bCs/>
          <w:i/>
          <w:iCs/>
          <w:szCs w:val="24"/>
          <w:lang w:val="fr-FR"/>
        </w:rPr>
        <w:t>Convention sur la conservation des espèces migratrices appartenant à la faune sauvage</w:t>
      </w:r>
    </w:p>
    <w:p w:rsidR="00DE5465" w:rsidRPr="00DE5465" w:rsidRDefault="00DE5465" w:rsidP="00DE5465">
      <w:pPr>
        <w:jc w:val="both"/>
        <w:rPr>
          <w:bCs/>
          <w:iCs/>
          <w:szCs w:val="24"/>
          <w:lang w:val="fr-FR"/>
        </w:rPr>
      </w:pPr>
    </w:p>
    <w:p w:rsidR="00DE5465" w:rsidRPr="00DE5465" w:rsidRDefault="00DE5465" w:rsidP="00DE5465">
      <w:pPr>
        <w:numPr>
          <w:ilvl w:val="0"/>
          <w:numId w:val="19"/>
        </w:numPr>
        <w:autoSpaceDE w:val="0"/>
        <w:autoSpaceDN w:val="0"/>
        <w:adjustRightInd w:val="0"/>
        <w:ind w:left="0" w:firstLine="0"/>
        <w:contextualSpacing/>
        <w:jc w:val="both"/>
        <w:rPr>
          <w:szCs w:val="24"/>
          <w:lang w:val="fr-FR"/>
        </w:rPr>
      </w:pPr>
      <w:r w:rsidRPr="00DE5465">
        <w:rPr>
          <w:i/>
          <w:iCs/>
          <w:szCs w:val="24"/>
          <w:lang w:val="fr-FR"/>
        </w:rPr>
        <w:t xml:space="preserve">Lance </w:t>
      </w:r>
      <w:r w:rsidRPr="00DE5465">
        <w:rPr>
          <w:szCs w:val="24"/>
          <w:lang w:val="fr-FR"/>
        </w:rPr>
        <w:t>un processus intersessions pour étudier les possibilités de renforcer l’application de la Convention, au moyen de l’élaboration d’un processus d’examen;</w:t>
      </w:r>
    </w:p>
    <w:p w:rsidR="00DE5465" w:rsidRPr="00DE5465" w:rsidRDefault="00DE5465" w:rsidP="00DE5465">
      <w:pPr>
        <w:autoSpaceDE w:val="0"/>
        <w:autoSpaceDN w:val="0"/>
        <w:adjustRightInd w:val="0"/>
        <w:contextualSpacing/>
        <w:jc w:val="both"/>
        <w:rPr>
          <w:szCs w:val="24"/>
          <w:lang w:val="fr-FR"/>
        </w:rPr>
      </w:pPr>
    </w:p>
    <w:p w:rsidR="00DE5465" w:rsidRPr="00DE5465" w:rsidRDefault="00DE5465" w:rsidP="00DE5465">
      <w:pPr>
        <w:numPr>
          <w:ilvl w:val="0"/>
          <w:numId w:val="19"/>
        </w:numPr>
        <w:autoSpaceDE w:val="0"/>
        <w:autoSpaceDN w:val="0"/>
        <w:adjustRightInd w:val="0"/>
        <w:ind w:left="0" w:firstLine="0"/>
        <w:contextualSpacing/>
        <w:jc w:val="both"/>
        <w:rPr>
          <w:bCs/>
          <w:szCs w:val="24"/>
          <w:lang w:val="fr-FR"/>
        </w:rPr>
      </w:pPr>
      <w:r w:rsidRPr="00DE5465">
        <w:rPr>
          <w:i/>
          <w:iCs/>
          <w:szCs w:val="24"/>
          <w:lang w:val="fr-FR"/>
        </w:rPr>
        <w:t xml:space="preserve">Crée </w:t>
      </w:r>
      <w:r w:rsidRPr="00DE5465">
        <w:rPr>
          <w:szCs w:val="24"/>
          <w:lang w:val="fr-FR"/>
        </w:rPr>
        <w:t>un Groupe de travail chargé d’élaborer un projet de processus d’examen de la mise en œuvre de la Convention, qui sera examiné à la 12</w:t>
      </w:r>
      <w:r w:rsidRPr="00DE5465">
        <w:rPr>
          <w:szCs w:val="24"/>
          <w:vertAlign w:val="superscript"/>
          <w:lang w:val="fr-FR"/>
        </w:rPr>
        <w:t>ème</w:t>
      </w:r>
      <w:r w:rsidRPr="00DE5465">
        <w:rPr>
          <w:szCs w:val="24"/>
          <w:lang w:val="fr-FR"/>
        </w:rPr>
        <w:t xml:space="preserve"> session de la Conférence des Parties;</w:t>
      </w:r>
    </w:p>
    <w:p w:rsidR="00DE5465" w:rsidRPr="00DE5465" w:rsidRDefault="00DE5465" w:rsidP="00DE5465">
      <w:pPr>
        <w:contextualSpacing/>
        <w:jc w:val="both"/>
        <w:rPr>
          <w:bCs/>
          <w:szCs w:val="24"/>
          <w:lang w:val="fr-FR"/>
        </w:rPr>
      </w:pPr>
    </w:p>
    <w:p w:rsidR="00DE5465" w:rsidRPr="00DE5465" w:rsidRDefault="00DE5465" w:rsidP="00DE5465">
      <w:pPr>
        <w:numPr>
          <w:ilvl w:val="0"/>
          <w:numId w:val="19"/>
        </w:numPr>
        <w:ind w:left="0" w:firstLine="0"/>
        <w:contextualSpacing/>
        <w:jc w:val="both"/>
        <w:rPr>
          <w:bCs/>
          <w:szCs w:val="24"/>
          <w:lang w:val="fr-FR"/>
        </w:rPr>
      </w:pPr>
      <w:r w:rsidRPr="00DE5465">
        <w:rPr>
          <w:bCs/>
          <w:i/>
          <w:szCs w:val="24"/>
          <w:lang w:val="fr-FR"/>
        </w:rPr>
        <w:t xml:space="preserve">Charge </w:t>
      </w:r>
      <w:r w:rsidRPr="00DE5465">
        <w:rPr>
          <w:bCs/>
          <w:szCs w:val="24"/>
          <w:lang w:val="fr-FR"/>
        </w:rPr>
        <w:t>le Groupe de travail d’élaborer une proposition de processus d’examen de la mise en œuvre de la Convention, dont les objectifs sont les suivants :</w:t>
      </w:r>
    </w:p>
    <w:p w:rsidR="00DE5465" w:rsidRPr="00DE5465" w:rsidRDefault="00DE5465" w:rsidP="00DE5465">
      <w:pPr>
        <w:ind w:left="360"/>
        <w:contextualSpacing/>
        <w:jc w:val="both"/>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Faciliter et promouvoir la mise en œuvre de la Convention;</w:t>
      </w:r>
    </w:p>
    <w:p w:rsidR="00DE5465" w:rsidRPr="00DE5465" w:rsidRDefault="00DE5465" w:rsidP="00DE5465">
      <w:pPr>
        <w:ind w:left="709"/>
        <w:contextualSpacing/>
        <w:jc w:val="both"/>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Fournir un appui aux Parties qui rencontrent des difficultés dans la mise en œuvre de la Convention;</w:t>
      </w:r>
    </w:p>
    <w:p w:rsidR="00DE5465" w:rsidRPr="00DE5465" w:rsidRDefault="00DE5465" w:rsidP="00DE5465">
      <w:pPr>
        <w:ind w:left="720"/>
        <w:contextualSpacing/>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Aider les Parties à s’acquitter de leurs obligations au titre de la Convention;</w:t>
      </w:r>
    </w:p>
    <w:p w:rsidR="00DE5465" w:rsidRPr="00DE5465" w:rsidRDefault="00DE5465" w:rsidP="00DE5465">
      <w:pPr>
        <w:ind w:left="720"/>
        <w:contextualSpacing/>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Améliorer l’efficacité des mesures de mise en œuvre de la Convention;</w:t>
      </w:r>
    </w:p>
    <w:p w:rsidR="00DE5465" w:rsidRPr="00DE5465" w:rsidRDefault="00DE5465" w:rsidP="00DE5465">
      <w:pPr>
        <w:jc w:val="both"/>
        <w:rPr>
          <w:bCs/>
          <w:szCs w:val="24"/>
          <w:lang w:val="fr-FR"/>
        </w:rPr>
      </w:pPr>
    </w:p>
    <w:p w:rsidR="00DE5465" w:rsidRPr="00DE5465" w:rsidRDefault="00DE5465" w:rsidP="00DE5465">
      <w:pPr>
        <w:numPr>
          <w:ilvl w:val="0"/>
          <w:numId w:val="19"/>
        </w:numPr>
        <w:ind w:left="0" w:firstLine="0"/>
        <w:contextualSpacing/>
        <w:jc w:val="both"/>
        <w:rPr>
          <w:bCs/>
          <w:szCs w:val="24"/>
          <w:lang w:val="fr-FR"/>
        </w:rPr>
      </w:pPr>
      <w:r w:rsidRPr="00DE5465">
        <w:rPr>
          <w:bCs/>
          <w:i/>
          <w:szCs w:val="24"/>
          <w:lang w:val="fr-FR"/>
        </w:rPr>
        <w:t xml:space="preserve">Décide </w:t>
      </w:r>
      <w:r w:rsidRPr="00DE5465">
        <w:rPr>
          <w:bCs/>
          <w:szCs w:val="24"/>
          <w:lang w:val="fr-FR"/>
        </w:rPr>
        <w:t xml:space="preserve">que le Groupe de travail sera composé : </w:t>
      </w:r>
    </w:p>
    <w:p w:rsidR="00DE5465" w:rsidRPr="00DE5465" w:rsidRDefault="00DE5465" w:rsidP="00DE5465">
      <w:pPr>
        <w:ind w:left="360"/>
        <w:contextualSpacing/>
        <w:jc w:val="both"/>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De Parties à la Convention, sur la base des mêmes régions que le Comité permanent, comprenant au plus deux représentants par région. Les groupes régionaux choisiront des représentants ayant une expérience pertinente à la onzième sess</w:t>
      </w:r>
      <w:r w:rsidRPr="00DE5465">
        <w:rPr>
          <w:szCs w:val="24"/>
          <w:lang w:val="fr-FR"/>
        </w:rPr>
        <w:t>ion de la Conférence des Parties</w:t>
      </w:r>
      <w:r w:rsidRPr="00DE5465">
        <w:rPr>
          <w:bCs/>
          <w:szCs w:val="24"/>
          <w:lang w:val="fr-FR"/>
        </w:rPr>
        <w:t xml:space="preserve">; </w:t>
      </w:r>
    </w:p>
    <w:p w:rsidR="00DE5465" w:rsidRPr="00DE5465" w:rsidRDefault="00DE5465" w:rsidP="00DE5465">
      <w:pPr>
        <w:ind w:left="709"/>
        <w:contextualSpacing/>
        <w:jc w:val="both"/>
        <w:rPr>
          <w:bCs/>
          <w:szCs w:val="24"/>
          <w:lang w:val="fr-FR"/>
        </w:rPr>
      </w:pPr>
    </w:p>
    <w:p w:rsidR="00DE5465" w:rsidRPr="00DE5465" w:rsidRDefault="00DE5465" w:rsidP="00DE5465">
      <w:pPr>
        <w:numPr>
          <w:ilvl w:val="1"/>
          <w:numId w:val="19"/>
        </w:numPr>
        <w:ind w:left="1418" w:hanging="709"/>
        <w:contextualSpacing/>
        <w:jc w:val="both"/>
        <w:rPr>
          <w:bCs/>
          <w:szCs w:val="24"/>
          <w:lang w:val="fr-FR"/>
        </w:rPr>
      </w:pPr>
      <w:r w:rsidRPr="00DE5465">
        <w:rPr>
          <w:bCs/>
          <w:szCs w:val="24"/>
          <w:lang w:val="fr-FR"/>
        </w:rPr>
        <w:t xml:space="preserve">Du président et du vice-président du Comité permanent; </w:t>
      </w:r>
    </w:p>
    <w:p w:rsidR="00DE5465" w:rsidRPr="00DE5465" w:rsidRDefault="00DE5465" w:rsidP="00DE5465">
      <w:pPr>
        <w:ind w:left="720"/>
        <w:contextualSpacing/>
        <w:rPr>
          <w:bCs/>
          <w:szCs w:val="24"/>
          <w:lang w:val="fr-FR"/>
        </w:rPr>
      </w:pPr>
    </w:p>
    <w:p w:rsidR="00DE5465" w:rsidRPr="00DE5465" w:rsidRDefault="00DE5465" w:rsidP="00DE5465">
      <w:pPr>
        <w:numPr>
          <w:ilvl w:val="0"/>
          <w:numId w:val="19"/>
        </w:numPr>
        <w:ind w:left="0" w:firstLine="0"/>
        <w:contextualSpacing/>
        <w:jc w:val="both"/>
        <w:rPr>
          <w:bCs/>
          <w:szCs w:val="24"/>
          <w:lang w:val="fr-FR"/>
        </w:rPr>
      </w:pPr>
      <w:r w:rsidRPr="00DE5465">
        <w:rPr>
          <w:i/>
          <w:iCs/>
          <w:szCs w:val="24"/>
          <w:lang w:val="fr-FR"/>
        </w:rPr>
        <w:t xml:space="preserve">Demande </w:t>
      </w:r>
      <w:r w:rsidRPr="00DE5465">
        <w:rPr>
          <w:iCs/>
          <w:szCs w:val="24"/>
          <w:lang w:val="fr-FR"/>
        </w:rPr>
        <w:t>au président du Groupe de travail de rechercher des contributions et des compétences pertinentes auprès des</w:t>
      </w:r>
      <w:r w:rsidRPr="00DE5465">
        <w:rPr>
          <w:bCs/>
          <w:szCs w:val="24"/>
          <w:lang w:val="fr-FR"/>
        </w:rPr>
        <w:t xml:space="preserve"> organisations ayant le statut d’observateur. </w:t>
      </w:r>
    </w:p>
    <w:p w:rsidR="00DE5465" w:rsidRPr="00DE5465" w:rsidRDefault="00DE5465" w:rsidP="00DE5465">
      <w:pPr>
        <w:rPr>
          <w:bCs/>
          <w:szCs w:val="24"/>
          <w:lang w:val="fr-FR"/>
        </w:rPr>
      </w:pPr>
    </w:p>
    <w:p w:rsidR="00DE5465" w:rsidRPr="00DE5465" w:rsidRDefault="00DE5465" w:rsidP="00DE5465">
      <w:pPr>
        <w:numPr>
          <w:ilvl w:val="0"/>
          <w:numId w:val="19"/>
        </w:numPr>
        <w:ind w:left="0" w:firstLine="0"/>
        <w:contextualSpacing/>
        <w:jc w:val="both"/>
        <w:rPr>
          <w:bCs/>
          <w:szCs w:val="24"/>
          <w:lang w:val="fr-FR"/>
        </w:rPr>
      </w:pPr>
      <w:r w:rsidRPr="00DE5465">
        <w:rPr>
          <w:i/>
          <w:iCs/>
          <w:szCs w:val="24"/>
          <w:lang w:val="fr-FR"/>
        </w:rPr>
        <w:t xml:space="preserve">Demande </w:t>
      </w:r>
      <w:r w:rsidRPr="00DE5465">
        <w:rPr>
          <w:szCs w:val="24"/>
          <w:lang w:val="fr-FR"/>
        </w:rPr>
        <w:t xml:space="preserve">au Secrétariat d’appuyer le </w:t>
      </w:r>
      <w:r w:rsidRPr="00DE5465">
        <w:rPr>
          <w:bCs/>
          <w:szCs w:val="24"/>
          <w:lang w:val="fr-FR"/>
        </w:rPr>
        <w:t>Groupe de travail dans l’élaboration d’un processus</w:t>
      </w:r>
      <w:r w:rsidRPr="00DE5465">
        <w:rPr>
          <w:szCs w:val="24"/>
          <w:lang w:val="fr-FR"/>
        </w:rPr>
        <w:t xml:space="preserve"> d’examen de la Convention;</w:t>
      </w:r>
    </w:p>
    <w:p w:rsidR="00DE5465" w:rsidRPr="00DE5465" w:rsidRDefault="00DE5465" w:rsidP="00DE5465">
      <w:pPr>
        <w:jc w:val="both"/>
        <w:rPr>
          <w:bCs/>
          <w:szCs w:val="24"/>
          <w:lang w:val="fr-FR"/>
        </w:rPr>
      </w:pPr>
    </w:p>
    <w:p w:rsidR="00DE5465" w:rsidRPr="00DE5465" w:rsidRDefault="00DE5465" w:rsidP="00DE5465">
      <w:pPr>
        <w:numPr>
          <w:ilvl w:val="0"/>
          <w:numId w:val="19"/>
        </w:numPr>
        <w:ind w:left="0" w:firstLine="0"/>
        <w:contextualSpacing/>
        <w:jc w:val="both"/>
        <w:rPr>
          <w:bCs/>
          <w:szCs w:val="24"/>
          <w:lang w:val="fr-FR"/>
        </w:rPr>
      </w:pPr>
      <w:r w:rsidRPr="00DE5465">
        <w:rPr>
          <w:bCs/>
          <w:i/>
          <w:szCs w:val="24"/>
          <w:lang w:val="fr-FR"/>
        </w:rPr>
        <w:t>Demande</w:t>
      </w:r>
      <w:r w:rsidRPr="00DE5465">
        <w:rPr>
          <w:bCs/>
          <w:szCs w:val="24"/>
          <w:lang w:val="fr-FR"/>
        </w:rPr>
        <w:t xml:space="preserve"> au président du Groupe de travail de faire rapport au Comité permanent sur l’état d’avancement de ses travaux aux 44</w:t>
      </w:r>
      <w:r w:rsidRPr="00DE5465">
        <w:rPr>
          <w:bCs/>
          <w:szCs w:val="24"/>
          <w:vertAlign w:val="superscript"/>
          <w:lang w:val="fr-FR"/>
        </w:rPr>
        <w:t>ème</w:t>
      </w:r>
      <w:r w:rsidRPr="00DE5465">
        <w:rPr>
          <w:bCs/>
          <w:szCs w:val="24"/>
          <w:lang w:val="fr-FR"/>
        </w:rPr>
        <w:t xml:space="preserve"> et 45</w:t>
      </w:r>
      <w:r w:rsidRPr="00DE5465">
        <w:rPr>
          <w:bCs/>
          <w:szCs w:val="24"/>
          <w:vertAlign w:val="superscript"/>
          <w:lang w:val="fr-FR"/>
        </w:rPr>
        <w:t>ème</w:t>
      </w:r>
      <w:r w:rsidRPr="00DE5465">
        <w:rPr>
          <w:bCs/>
          <w:szCs w:val="24"/>
          <w:lang w:val="fr-FR"/>
        </w:rPr>
        <w:t xml:space="preserve"> réunions du Comité permanent; </w:t>
      </w:r>
    </w:p>
    <w:p w:rsidR="00DE5465" w:rsidRPr="00DE5465" w:rsidRDefault="00DE5465" w:rsidP="00DE5465">
      <w:pPr>
        <w:jc w:val="both"/>
        <w:rPr>
          <w:bCs/>
          <w:szCs w:val="24"/>
          <w:lang w:val="fr-FR"/>
        </w:rPr>
      </w:pPr>
    </w:p>
    <w:p w:rsidR="00DE5465" w:rsidRPr="00DE5465" w:rsidRDefault="00DE5465" w:rsidP="00DE5465">
      <w:pPr>
        <w:numPr>
          <w:ilvl w:val="0"/>
          <w:numId w:val="19"/>
        </w:numPr>
        <w:ind w:left="0" w:firstLine="0"/>
        <w:contextualSpacing/>
        <w:jc w:val="both"/>
        <w:rPr>
          <w:szCs w:val="24"/>
          <w:lang w:val="fr-FR"/>
        </w:rPr>
      </w:pPr>
      <w:r w:rsidRPr="00DE5465">
        <w:rPr>
          <w:bCs/>
          <w:i/>
          <w:szCs w:val="24"/>
          <w:lang w:val="fr-FR"/>
        </w:rPr>
        <w:t>Invite</w:t>
      </w:r>
      <w:r w:rsidRPr="00DE5465">
        <w:rPr>
          <w:bCs/>
          <w:szCs w:val="24"/>
          <w:lang w:val="fr-FR"/>
        </w:rPr>
        <w:t xml:space="preserve"> le Comité permanent, à ses 44</w:t>
      </w:r>
      <w:r w:rsidRPr="00DE5465">
        <w:rPr>
          <w:bCs/>
          <w:szCs w:val="24"/>
          <w:vertAlign w:val="superscript"/>
          <w:lang w:val="fr-FR"/>
        </w:rPr>
        <w:t>ème</w:t>
      </w:r>
      <w:r w:rsidRPr="00DE5465">
        <w:rPr>
          <w:bCs/>
          <w:szCs w:val="24"/>
          <w:lang w:val="fr-FR"/>
        </w:rPr>
        <w:t xml:space="preserve"> et 45</w:t>
      </w:r>
      <w:r w:rsidRPr="00DE5465">
        <w:rPr>
          <w:bCs/>
          <w:szCs w:val="24"/>
          <w:vertAlign w:val="superscript"/>
          <w:lang w:val="fr-FR"/>
        </w:rPr>
        <w:t>ème</w:t>
      </w:r>
      <w:r w:rsidRPr="00DE5465">
        <w:rPr>
          <w:bCs/>
          <w:szCs w:val="24"/>
          <w:lang w:val="fr-FR"/>
        </w:rPr>
        <w:t xml:space="preserve"> réunions, à examiner le rapport du Groupe de travail et à fournir des avis et des recommandations au Groupe de travail sur l’élaboration du processus, dans le mois suivant la réunion concernée du </w:t>
      </w:r>
      <w:r w:rsidRPr="00DE5465">
        <w:rPr>
          <w:szCs w:val="24"/>
          <w:lang w:val="fr-FR"/>
        </w:rPr>
        <w:t>Comité permanent;</w:t>
      </w:r>
      <w:r w:rsidRPr="00DE5465">
        <w:rPr>
          <w:bCs/>
          <w:szCs w:val="24"/>
          <w:lang w:val="fr-FR"/>
        </w:rPr>
        <w:t xml:space="preserve"> </w:t>
      </w:r>
    </w:p>
    <w:p w:rsidR="00DE5465" w:rsidRPr="00DE5465" w:rsidRDefault="00DE5465" w:rsidP="00DE5465">
      <w:pPr>
        <w:contextualSpacing/>
        <w:rPr>
          <w:szCs w:val="24"/>
          <w:lang w:val="fr-FR"/>
        </w:rPr>
      </w:pPr>
    </w:p>
    <w:p w:rsidR="00DE5465" w:rsidRPr="00DE5465" w:rsidRDefault="00DE5465" w:rsidP="00DE5465">
      <w:pPr>
        <w:numPr>
          <w:ilvl w:val="0"/>
          <w:numId w:val="19"/>
        </w:numPr>
        <w:ind w:left="0" w:firstLine="0"/>
        <w:contextualSpacing/>
        <w:jc w:val="both"/>
        <w:rPr>
          <w:szCs w:val="24"/>
          <w:lang w:val="fr-FR"/>
        </w:rPr>
      </w:pPr>
      <w:r w:rsidRPr="00DE5465">
        <w:rPr>
          <w:i/>
          <w:szCs w:val="24"/>
          <w:lang w:val="fr-FR"/>
        </w:rPr>
        <w:t>Prie</w:t>
      </w:r>
      <w:r w:rsidRPr="00DE5465">
        <w:rPr>
          <w:szCs w:val="24"/>
          <w:lang w:val="fr-FR"/>
        </w:rPr>
        <w:t xml:space="preserve"> le PNUE, les Parties et les autres bailleurs de fonds de fournir une assistance financière pour appuyer l’élaboration du processus d’examen; </w:t>
      </w:r>
    </w:p>
    <w:p w:rsidR="00DE5465" w:rsidRPr="00DE5465" w:rsidRDefault="00DE5465" w:rsidP="00DE5465">
      <w:pPr>
        <w:contextualSpacing/>
        <w:rPr>
          <w:szCs w:val="24"/>
          <w:lang w:val="fr-FR"/>
        </w:rPr>
      </w:pPr>
    </w:p>
    <w:p w:rsidR="006E6631" w:rsidRPr="004F56CD" w:rsidRDefault="00DE5465" w:rsidP="004F56CD">
      <w:pPr>
        <w:numPr>
          <w:ilvl w:val="0"/>
          <w:numId w:val="19"/>
        </w:numPr>
        <w:ind w:left="0" w:firstLine="0"/>
        <w:contextualSpacing/>
        <w:jc w:val="both"/>
        <w:rPr>
          <w:szCs w:val="24"/>
          <w:lang w:val="fr-FR"/>
        </w:rPr>
      </w:pPr>
      <w:r w:rsidRPr="00DE5465">
        <w:rPr>
          <w:i/>
          <w:szCs w:val="24"/>
          <w:lang w:val="fr-FR"/>
        </w:rPr>
        <w:t>Prie</w:t>
      </w:r>
      <w:r w:rsidRPr="00DE5465">
        <w:rPr>
          <w:szCs w:val="24"/>
          <w:lang w:val="fr-FR"/>
        </w:rPr>
        <w:t xml:space="preserve"> le Secrétariat, lorsque cela est possible, de réduire les coûts en organisant les réunions du Groupe de travail de la façon la plus rentable possible. </w:t>
      </w:r>
    </w:p>
    <w:sectPr w:rsidR="006E6631" w:rsidRPr="004F56CD" w:rsidSect="00B4087D">
      <w:headerReference w:type="even" r:id="rId20"/>
      <w:headerReference w:type="default" r:id="rId21"/>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E7" w:rsidRDefault="00413EE7" w:rsidP="00C96A00">
      <w:r>
        <w:separator/>
      </w:r>
    </w:p>
  </w:endnote>
  <w:endnote w:type="continuationSeparator" w:id="0">
    <w:p w:rsidR="00413EE7" w:rsidRDefault="00413EE7"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
    <w:altName w:val="Times New Roman"/>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FF7022">
      <w:rPr>
        <w:noProof/>
        <w:sz w:val="22"/>
        <w:lang w:val="fr-FR"/>
      </w:rPr>
      <w:t>14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FF7022">
      <w:rPr>
        <w:noProof/>
        <w:sz w:val="22"/>
        <w:lang w:val="fr-FR"/>
      </w:rPr>
      <w:t>15</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4F56CD"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0CA17C86" wp14:editId="2A32E2B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7D2F7B1C" wp14:editId="2192E712">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E7" w:rsidRDefault="00413EE7" w:rsidP="00C96A00">
      <w:r>
        <w:separator/>
      </w:r>
    </w:p>
  </w:footnote>
  <w:footnote w:type="continuationSeparator" w:id="0">
    <w:p w:rsidR="00413EE7" w:rsidRDefault="00413EE7"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w:t>
    </w:r>
    <w:r w:rsidR="00DE5465">
      <w:rPr>
        <w:rFonts w:ascii="Times New Roman" w:hAnsi="Times New Roman"/>
        <w:b w:val="0"/>
        <w:i/>
        <w:sz w:val="20"/>
        <w:szCs w:val="20"/>
        <w:lang w:val="fr-FR"/>
      </w:rPr>
      <w:t>8.3</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sidR="00DE5465">
      <w:rPr>
        <w:rFonts w:ascii="Times New Roman" w:hAnsi="Times New Roman"/>
        <w:b w:val="0"/>
        <w:i/>
        <w:sz w:val="20"/>
        <w:szCs w:val="20"/>
        <w:lang w:val="fr-FR"/>
      </w:rPr>
      <w:t>18.3</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D" w:rsidRPr="00F03E5C" w:rsidRDefault="004F56CD" w:rsidP="004F56CD">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sidR="00137D60">
      <w:rPr>
        <w:rFonts w:ascii="Times New Roman" w:hAnsi="Times New Roman"/>
        <w:b w:val="0"/>
        <w:i/>
        <w:sz w:val="20"/>
        <w:szCs w:val="20"/>
        <w:lang w:val="fr-FR"/>
      </w:rPr>
      <w:t>18.3</w:t>
    </w:r>
  </w:p>
  <w:p w:rsidR="00FE334F" w:rsidRPr="006E6631" w:rsidRDefault="00FE334F" w:rsidP="006E6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D" w:rsidRPr="00F03E5C" w:rsidRDefault="004F56CD" w:rsidP="004F56CD">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18.3</w:t>
    </w:r>
  </w:p>
  <w:p w:rsidR="00FE334F" w:rsidRPr="00232963" w:rsidRDefault="00FE334F" w:rsidP="002329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60" w:rsidRPr="00F03E5C" w:rsidRDefault="00137D60" w:rsidP="004F56CD">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18.3/Annexe</w:t>
    </w:r>
  </w:p>
  <w:p w:rsidR="00137D60" w:rsidRPr="006E6631" w:rsidRDefault="00137D60" w:rsidP="006E66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60" w:rsidRPr="00F03E5C" w:rsidRDefault="00137D60" w:rsidP="004F56CD">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18.3/Annexe</w:t>
    </w:r>
  </w:p>
  <w:p w:rsidR="00137D60" w:rsidRPr="00232963" w:rsidRDefault="00137D60" w:rsidP="00232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433C05"/>
    <w:multiLevelType w:val="multilevel"/>
    <w:tmpl w:val="E84C3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B3540"/>
    <w:multiLevelType w:val="hybridMultilevel"/>
    <w:tmpl w:val="517A0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B626A"/>
    <w:multiLevelType w:val="hybridMultilevel"/>
    <w:tmpl w:val="665688EA"/>
    <w:lvl w:ilvl="0" w:tplc="4FB4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E2BD3"/>
    <w:multiLevelType w:val="hybridMultilevel"/>
    <w:tmpl w:val="27FA074C"/>
    <w:lvl w:ilvl="0" w:tplc="6A164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034170"/>
    <w:multiLevelType w:val="hybridMultilevel"/>
    <w:tmpl w:val="3CB8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10894"/>
    <w:multiLevelType w:val="hybridMultilevel"/>
    <w:tmpl w:val="FFD43426"/>
    <w:lvl w:ilvl="0" w:tplc="8ED40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33FAA"/>
    <w:multiLevelType w:val="hybridMultilevel"/>
    <w:tmpl w:val="55BECC9C"/>
    <w:lvl w:ilvl="0" w:tplc="8C62E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3245B"/>
    <w:multiLevelType w:val="multilevel"/>
    <w:tmpl w:val="6236451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A601A5"/>
    <w:multiLevelType w:val="hybridMultilevel"/>
    <w:tmpl w:val="B380BE8A"/>
    <w:lvl w:ilvl="0" w:tplc="DFC8AB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3A41AF"/>
    <w:multiLevelType w:val="hybridMultilevel"/>
    <w:tmpl w:val="36444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85212"/>
    <w:multiLevelType w:val="hybridMultilevel"/>
    <w:tmpl w:val="945C1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031A9"/>
    <w:multiLevelType w:val="hybridMultilevel"/>
    <w:tmpl w:val="7304C418"/>
    <w:lvl w:ilvl="0" w:tplc="3758B7BA">
      <w:start w:val="1"/>
      <w:numFmt w:val="decimal"/>
      <w:lvlText w:val="%1."/>
      <w:lvlJc w:val="left"/>
      <w:pPr>
        <w:ind w:left="1080" w:hanging="360"/>
      </w:pPr>
    </w:lvl>
    <w:lvl w:ilvl="1" w:tplc="7F404F4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A544098"/>
    <w:multiLevelType w:val="hybridMultilevel"/>
    <w:tmpl w:val="8FC0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330FC"/>
    <w:multiLevelType w:val="hybridMultilevel"/>
    <w:tmpl w:val="AEF45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num>
  <w:num w:numId="7">
    <w:abstractNumId w:val="5"/>
  </w:num>
  <w:num w:numId="8">
    <w:abstractNumId w:val="6"/>
  </w:num>
  <w:num w:numId="9">
    <w:abstractNumId w:val="21"/>
  </w:num>
  <w:num w:numId="10">
    <w:abstractNumId w:val="3"/>
  </w:num>
  <w:num w:numId="11">
    <w:abstractNumId w:val="1"/>
  </w:num>
  <w:num w:numId="12">
    <w:abstractNumId w:val="11"/>
  </w:num>
  <w:num w:numId="13">
    <w:abstractNumId w:val="17"/>
  </w:num>
  <w:num w:numId="14">
    <w:abstractNumId w:val="4"/>
  </w:num>
  <w:num w:numId="15">
    <w:abstractNumId w:val="14"/>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20"/>
  </w:num>
  <w:num w:numId="21">
    <w:abstractNumId w:val="19"/>
  </w:num>
  <w:num w:numId="22">
    <w:abstractNumId w:val="25"/>
  </w:num>
  <w:num w:numId="23">
    <w:abstractNumId w:val="15"/>
  </w:num>
  <w:num w:numId="24">
    <w:abstractNumId w:val="8"/>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E7"/>
    <w:rsid w:val="00001BCE"/>
    <w:rsid w:val="00012D5E"/>
    <w:rsid w:val="000216CB"/>
    <w:rsid w:val="0002353C"/>
    <w:rsid w:val="00031D49"/>
    <w:rsid w:val="00033272"/>
    <w:rsid w:val="00043DED"/>
    <w:rsid w:val="00050F99"/>
    <w:rsid w:val="00074FE8"/>
    <w:rsid w:val="00076D11"/>
    <w:rsid w:val="00077FDD"/>
    <w:rsid w:val="000A4AA9"/>
    <w:rsid w:val="000B2583"/>
    <w:rsid w:val="000B5AD1"/>
    <w:rsid w:val="000C5934"/>
    <w:rsid w:val="000D5656"/>
    <w:rsid w:val="00101EBB"/>
    <w:rsid w:val="00105EA7"/>
    <w:rsid w:val="00106A1A"/>
    <w:rsid w:val="00107D1D"/>
    <w:rsid w:val="00113CC4"/>
    <w:rsid w:val="00133164"/>
    <w:rsid w:val="00137D60"/>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911AC"/>
    <w:rsid w:val="002B7853"/>
    <w:rsid w:val="002E45CD"/>
    <w:rsid w:val="00300DAD"/>
    <w:rsid w:val="003172D0"/>
    <w:rsid w:val="00322215"/>
    <w:rsid w:val="00325D81"/>
    <w:rsid w:val="0038468E"/>
    <w:rsid w:val="003860F5"/>
    <w:rsid w:val="003B756F"/>
    <w:rsid w:val="003D36E9"/>
    <w:rsid w:val="003D63C2"/>
    <w:rsid w:val="003F74EF"/>
    <w:rsid w:val="00413EE7"/>
    <w:rsid w:val="004466AC"/>
    <w:rsid w:val="004556F3"/>
    <w:rsid w:val="004630FC"/>
    <w:rsid w:val="004702EF"/>
    <w:rsid w:val="004721A4"/>
    <w:rsid w:val="004758D5"/>
    <w:rsid w:val="0048032E"/>
    <w:rsid w:val="00481F69"/>
    <w:rsid w:val="0048410B"/>
    <w:rsid w:val="00484510"/>
    <w:rsid w:val="00494DAC"/>
    <w:rsid w:val="004A4620"/>
    <w:rsid w:val="004B06CB"/>
    <w:rsid w:val="004F56CD"/>
    <w:rsid w:val="005044A9"/>
    <w:rsid w:val="005049DE"/>
    <w:rsid w:val="00514D01"/>
    <w:rsid w:val="005176BE"/>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75388"/>
    <w:rsid w:val="0078781C"/>
    <w:rsid w:val="007922DF"/>
    <w:rsid w:val="007A10CB"/>
    <w:rsid w:val="007A5891"/>
    <w:rsid w:val="007C59AD"/>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77587"/>
    <w:rsid w:val="00991055"/>
    <w:rsid w:val="009A4C94"/>
    <w:rsid w:val="009B298A"/>
    <w:rsid w:val="009B7296"/>
    <w:rsid w:val="009C380B"/>
    <w:rsid w:val="009D5101"/>
    <w:rsid w:val="009E75A4"/>
    <w:rsid w:val="009F5470"/>
    <w:rsid w:val="00A079D5"/>
    <w:rsid w:val="00A1231A"/>
    <w:rsid w:val="00A17533"/>
    <w:rsid w:val="00A22EEC"/>
    <w:rsid w:val="00A72E6C"/>
    <w:rsid w:val="00A83B6F"/>
    <w:rsid w:val="00A9767A"/>
    <w:rsid w:val="00AA6754"/>
    <w:rsid w:val="00AA68D0"/>
    <w:rsid w:val="00AB0C7A"/>
    <w:rsid w:val="00AC6844"/>
    <w:rsid w:val="00AD2F11"/>
    <w:rsid w:val="00AD3A97"/>
    <w:rsid w:val="00AF6F73"/>
    <w:rsid w:val="00B007B0"/>
    <w:rsid w:val="00B016BB"/>
    <w:rsid w:val="00B047D9"/>
    <w:rsid w:val="00B22C5E"/>
    <w:rsid w:val="00B2711B"/>
    <w:rsid w:val="00B3336A"/>
    <w:rsid w:val="00B4087D"/>
    <w:rsid w:val="00B436D3"/>
    <w:rsid w:val="00B546FF"/>
    <w:rsid w:val="00B73B41"/>
    <w:rsid w:val="00B742E3"/>
    <w:rsid w:val="00B75D8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6D6"/>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5465"/>
    <w:rsid w:val="00DF53A9"/>
    <w:rsid w:val="00E04F05"/>
    <w:rsid w:val="00E34730"/>
    <w:rsid w:val="00E80A33"/>
    <w:rsid w:val="00E94D56"/>
    <w:rsid w:val="00E9660D"/>
    <w:rsid w:val="00EB4FAC"/>
    <w:rsid w:val="00EE451B"/>
    <w:rsid w:val="00EF1332"/>
    <w:rsid w:val="00EF35F9"/>
    <w:rsid w:val="00F03E5C"/>
    <w:rsid w:val="00F07452"/>
    <w:rsid w:val="00F26339"/>
    <w:rsid w:val="00F4301E"/>
    <w:rsid w:val="00F67195"/>
    <w:rsid w:val="00F858C3"/>
    <w:rsid w:val="00F85E2F"/>
    <w:rsid w:val="00F97125"/>
    <w:rsid w:val="00FA636F"/>
    <w:rsid w:val="00FA7F06"/>
    <w:rsid w:val="00FC3253"/>
    <w:rsid w:val="00FD56C5"/>
    <w:rsid w:val="00FE1191"/>
    <w:rsid w:val="00FE334F"/>
    <w:rsid w:val="00FF7022"/>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Document">
    <w:name w:val="_Document"/>
    <w:basedOn w:val="Normal"/>
    <w:qFormat/>
    <w:rsid w:val="00DE5465"/>
    <w:pPr>
      <w:widowControl w:val="0"/>
      <w:suppressLineNumbers/>
      <w:tabs>
        <w:tab w:val="left" w:pos="0"/>
        <w:tab w:val="left" w:pos="230"/>
        <w:tab w:val="left" w:pos="620"/>
      </w:tabs>
      <w:spacing w:before="20" w:line="260" w:lineRule="exact"/>
      <w:ind w:firstLine="230"/>
      <w:jc w:val="both"/>
    </w:pPr>
    <w:rPr>
      <w:rFonts w:ascii="NewBaskerville" w:eastAsia="Times New Roman" w:hAnsi="NewBaskerville"/>
      <w:sz w:val="23"/>
      <w:szCs w:val="20"/>
    </w:rPr>
  </w:style>
  <w:style w:type="paragraph" w:customStyle="1" w:styleId="FootNote">
    <w:name w:val="_FootNote"/>
    <w:basedOn w:val="Document"/>
    <w:qFormat/>
    <w:rsid w:val="00DE5465"/>
    <w:pPr>
      <w:tabs>
        <w:tab w:val="clear" w:pos="0"/>
        <w:tab w:val="clear" w:pos="230"/>
        <w:tab w:val="clear" w:pos="620"/>
        <w:tab w:val="right" w:pos="480"/>
        <w:tab w:val="left" w:pos="640"/>
      </w:tabs>
      <w:spacing w:line="200" w:lineRule="exact"/>
      <w:ind w:firstLine="0"/>
    </w:pPr>
    <w:rPr>
      <w:sz w:val="17"/>
    </w:rPr>
  </w:style>
  <w:style w:type="character" w:customStyle="1" w:styleId="NoterefInNote">
    <w:name w:val="_NoterefInNote"/>
    <w:qFormat/>
    <w:rsid w:val="00DE5465"/>
    <w:rPr>
      <w:rFonts w:ascii="NewBaskerville" w:hAnsi="NewBaskerville"/>
      <w:sz w:val="17"/>
      <w:vertAlign w:val="baseline"/>
    </w:rPr>
  </w:style>
  <w:style w:type="character" w:customStyle="1" w:styleId="term">
    <w:name w:val="term"/>
    <w:basedOn w:val="DefaultParagraphFont"/>
    <w:rsid w:val="00DE5465"/>
  </w:style>
  <w:style w:type="character" w:customStyle="1" w:styleId="st">
    <w:name w:val="st"/>
    <w:basedOn w:val="DefaultParagraphFont"/>
    <w:rsid w:val="00DE5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Document">
    <w:name w:val="_Document"/>
    <w:basedOn w:val="Normal"/>
    <w:qFormat/>
    <w:rsid w:val="00DE5465"/>
    <w:pPr>
      <w:widowControl w:val="0"/>
      <w:suppressLineNumbers/>
      <w:tabs>
        <w:tab w:val="left" w:pos="0"/>
        <w:tab w:val="left" w:pos="230"/>
        <w:tab w:val="left" w:pos="620"/>
      </w:tabs>
      <w:spacing w:before="20" w:line="260" w:lineRule="exact"/>
      <w:ind w:firstLine="230"/>
      <w:jc w:val="both"/>
    </w:pPr>
    <w:rPr>
      <w:rFonts w:ascii="NewBaskerville" w:eastAsia="Times New Roman" w:hAnsi="NewBaskerville"/>
      <w:sz w:val="23"/>
      <w:szCs w:val="20"/>
    </w:rPr>
  </w:style>
  <w:style w:type="paragraph" w:customStyle="1" w:styleId="FootNote">
    <w:name w:val="_FootNote"/>
    <w:basedOn w:val="Document"/>
    <w:qFormat/>
    <w:rsid w:val="00DE5465"/>
    <w:pPr>
      <w:tabs>
        <w:tab w:val="clear" w:pos="0"/>
        <w:tab w:val="clear" w:pos="230"/>
        <w:tab w:val="clear" w:pos="620"/>
        <w:tab w:val="right" w:pos="480"/>
        <w:tab w:val="left" w:pos="640"/>
      </w:tabs>
      <w:spacing w:line="200" w:lineRule="exact"/>
      <w:ind w:firstLine="0"/>
    </w:pPr>
    <w:rPr>
      <w:sz w:val="17"/>
    </w:rPr>
  </w:style>
  <w:style w:type="character" w:customStyle="1" w:styleId="NoterefInNote">
    <w:name w:val="_NoterefInNote"/>
    <w:qFormat/>
    <w:rsid w:val="00DE5465"/>
    <w:rPr>
      <w:rFonts w:ascii="NewBaskerville" w:hAnsi="NewBaskerville"/>
      <w:sz w:val="17"/>
      <w:vertAlign w:val="baseline"/>
    </w:rPr>
  </w:style>
  <w:style w:type="character" w:customStyle="1" w:styleId="term">
    <w:name w:val="term"/>
    <w:basedOn w:val="DefaultParagraphFont"/>
    <w:rsid w:val="00DE5465"/>
  </w:style>
  <w:style w:type="character" w:customStyle="1" w:styleId="st">
    <w:name w:val="st"/>
    <w:basedOn w:val="DefaultParagraphFont"/>
    <w:rsid w:val="00DE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pex.eu/IPEXL-WEB/dossier/document/COM20120354FIN.d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2C4A-F751-41B5-843E-D999A857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15</Pages>
  <Words>6833</Words>
  <Characters>38952</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Catherine Brückner</cp:lastModifiedBy>
  <cp:revision>3</cp:revision>
  <cp:lastPrinted>2014-10-13T11:44:00Z</cp:lastPrinted>
  <dcterms:created xsi:type="dcterms:W3CDTF">2014-10-13T11:44:00Z</dcterms:created>
  <dcterms:modified xsi:type="dcterms:W3CDTF">2014-10-13T11:45:00Z</dcterms:modified>
</cp:coreProperties>
</file>