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C124" w14:textId="4BD24374" w:rsidR="00F52586" w:rsidRDefault="00F52586" w:rsidP="00F52586">
      <w:pPr>
        <w:pStyle w:val="Heading1"/>
        <w:spacing w:before="0" w:line="240" w:lineRule="auto"/>
        <w:jc w:val="right"/>
        <w:rPr>
          <w:rFonts w:ascii="Arial" w:hAnsi="Arial" w:cs="Arial"/>
          <w:b/>
          <w:bCs/>
          <w:color w:val="auto"/>
          <w:sz w:val="22"/>
          <w:szCs w:val="22"/>
        </w:rPr>
      </w:pPr>
      <w:r>
        <w:rPr>
          <w:rFonts w:ascii="Arial" w:hAnsi="Arial" w:cs="Arial"/>
          <w:b/>
          <w:bCs/>
          <w:color w:val="auto"/>
          <w:sz w:val="22"/>
          <w:szCs w:val="22"/>
        </w:rPr>
        <w:t>ANNEXE 3</w:t>
      </w:r>
    </w:p>
    <w:p w14:paraId="63D001FE" w14:textId="53783E3E" w:rsidR="00CF7917" w:rsidRPr="00F52586" w:rsidRDefault="00F52586" w:rsidP="00F52586">
      <w:pPr>
        <w:pStyle w:val="Heading1"/>
        <w:spacing w:line="240" w:lineRule="auto"/>
        <w:jc w:val="center"/>
        <w:rPr>
          <w:rFonts w:ascii="Arial" w:hAnsi="Arial" w:cs="Arial"/>
          <w:b/>
          <w:bCs/>
          <w:color w:val="auto"/>
          <w:sz w:val="22"/>
          <w:szCs w:val="22"/>
        </w:rPr>
      </w:pPr>
      <w:r w:rsidRPr="00F52586">
        <w:rPr>
          <w:rFonts w:ascii="Arial" w:hAnsi="Arial" w:cs="Arial"/>
          <w:b/>
          <w:bCs/>
          <w:color w:val="auto"/>
          <w:sz w:val="22"/>
          <w:szCs w:val="22"/>
        </w:rPr>
        <w:t>AVANT-PROJET DE MÉTHODOLOGIE POUR UNE ÉVALUATION RAPIDE DES TAXONS DE L'ANNEXE I DE LA CMS</w:t>
      </w:r>
    </w:p>
    <w:p w14:paraId="2F070446" w14:textId="77777777" w:rsidR="00F52586" w:rsidRDefault="00F52586" w:rsidP="00F52586">
      <w:pPr>
        <w:pStyle w:val="Heading2"/>
        <w:spacing w:before="0" w:line="240" w:lineRule="auto"/>
        <w:ind w:left="284" w:hanging="284"/>
        <w:jc w:val="both"/>
        <w:rPr>
          <w:rFonts w:ascii="Arial" w:hAnsi="Arial" w:cs="Arial"/>
          <w:color w:val="auto"/>
          <w:sz w:val="22"/>
          <w:szCs w:val="22"/>
        </w:rPr>
      </w:pPr>
      <w:bookmarkStart w:id="0" w:name="_Toc482795148"/>
      <w:bookmarkStart w:id="1" w:name="_Toc39825386"/>
      <w:bookmarkStart w:id="2" w:name="_Toc70948668"/>
    </w:p>
    <w:p w14:paraId="3DE946BD" w14:textId="21DA4F54" w:rsidR="00CF7917" w:rsidRDefault="00CF7917" w:rsidP="00F52586">
      <w:pPr>
        <w:pStyle w:val="Heading2"/>
        <w:spacing w:before="0" w:line="240" w:lineRule="auto"/>
        <w:ind w:left="284" w:hanging="284"/>
        <w:jc w:val="both"/>
        <w:rPr>
          <w:rFonts w:ascii="Arial" w:hAnsi="Arial" w:cs="Arial"/>
          <w:color w:val="auto"/>
          <w:sz w:val="22"/>
          <w:szCs w:val="22"/>
          <w:u w:val="single"/>
        </w:rPr>
      </w:pPr>
      <w:r w:rsidRPr="00F52586">
        <w:rPr>
          <w:rFonts w:ascii="Arial" w:hAnsi="Arial" w:cs="Arial"/>
          <w:color w:val="auto"/>
          <w:sz w:val="22"/>
          <w:szCs w:val="22"/>
          <w:u w:val="single"/>
        </w:rPr>
        <w:t>Introduction et champ</w:t>
      </w:r>
      <w:bookmarkEnd w:id="0"/>
      <w:bookmarkEnd w:id="1"/>
      <w:bookmarkEnd w:id="2"/>
    </w:p>
    <w:p w14:paraId="4F221AF6" w14:textId="77777777" w:rsidR="00AF00F8" w:rsidRPr="00AF00F8" w:rsidRDefault="00AF00F8" w:rsidP="00AF00F8">
      <w:pPr>
        <w:spacing w:after="0"/>
        <w:rPr>
          <w:lang w:eastAsia="en-GB"/>
        </w:rPr>
      </w:pPr>
    </w:p>
    <w:p w14:paraId="394B95DB" w14:textId="5D4C3826" w:rsidR="00CF7917" w:rsidRDefault="00CF7917" w:rsidP="00AF00F8">
      <w:pPr>
        <w:spacing w:after="0" w:line="240" w:lineRule="auto"/>
        <w:jc w:val="both"/>
        <w:rPr>
          <w:rFonts w:ascii="Arial" w:hAnsi="Arial" w:cs="Arial"/>
        </w:rPr>
      </w:pPr>
      <w:r w:rsidRPr="00F52586">
        <w:rPr>
          <w:rFonts w:ascii="Arial" w:hAnsi="Arial" w:cs="Arial"/>
        </w:rPr>
        <w:t>Lors de la 13</w:t>
      </w:r>
      <w:r w:rsidRPr="00F52586">
        <w:rPr>
          <w:rFonts w:ascii="Arial" w:hAnsi="Arial" w:cs="Arial"/>
          <w:vertAlign w:val="superscript"/>
        </w:rPr>
        <w:t>e</w:t>
      </w:r>
      <w:r w:rsidRPr="00F52586">
        <w:rPr>
          <w:rFonts w:ascii="Arial" w:hAnsi="Arial" w:cs="Arial"/>
        </w:rPr>
        <w:t> </w:t>
      </w:r>
      <w:r w:rsidR="00343B22" w:rsidRPr="00F52586">
        <w:rPr>
          <w:rFonts w:ascii="Arial" w:hAnsi="Arial" w:cs="Arial"/>
        </w:rPr>
        <w:t xml:space="preserve">session de la </w:t>
      </w:r>
      <w:r w:rsidRPr="00F52586">
        <w:rPr>
          <w:rFonts w:ascii="Arial" w:hAnsi="Arial" w:cs="Arial"/>
        </w:rPr>
        <w:t xml:space="preserve">Conférence des Parties à la Convention sur la conservation des espèces migratrices (CMS) (COP13 ; Gandhinagar, 2020), les Parties ont souligné la nécessité de meilleures informations liées aux taxons inscrits à l’Annexe I et ont adopté plusieurs décisions visant à améliorer les données scientifiques qui étayent les décisions qui concernent ces espèces. Dans ces décisions, était soulignée la nécessité de mieux comprendre les menaces pesant sur les taxons inscrits à l’Annexe I et dues à l’utilisation directe et au commerce </w:t>
      </w:r>
      <w:r w:rsidR="00154A49">
        <w:rPr>
          <w:rFonts w:ascii="Arial" w:hAnsi="Arial" w:cs="Arial"/>
        </w:rPr>
        <w:t>(</w:t>
      </w:r>
      <w:hyperlink r:id="rId8" w:history="1">
        <w:r w:rsidRPr="00F52586">
          <w:rPr>
            <w:rStyle w:val="Hyperlink"/>
            <w:rFonts w:ascii="Arial" w:hAnsi="Arial" w:cs="Arial"/>
          </w:rPr>
          <w:t>Décisions 13.16 à 13.18</w:t>
        </w:r>
      </w:hyperlink>
      <w:r w:rsidRPr="00F52586">
        <w:rPr>
          <w:rFonts w:ascii="Arial" w:hAnsi="Arial" w:cs="Arial"/>
        </w:rPr>
        <w:t xml:space="preserve"> ; </w:t>
      </w:r>
      <w:hyperlink r:id="rId9" w:history="1">
        <w:r w:rsidRPr="00F52586">
          <w:rPr>
            <w:rStyle w:val="Hyperlink"/>
            <w:rFonts w:ascii="Arial" w:hAnsi="Arial" w:cs="Arial"/>
          </w:rPr>
          <w:t>13.24</w:t>
        </w:r>
      </w:hyperlink>
      <w:r w:rsidRPr="00F52586">
        <w:rPr>
          <w:rFonts w:ascii="Arial" w:hAnsi="Arial" w:cs="Arial"/>
        </w:rPr>
        <w:t>, point c)</w:t>
      </w:r>
      <w:r w:rsidR="00154A49">
        <w:rPr>
          <w:rFonts w:ascii="Arial" w:hAnsi="Arial" w:cs="Arial"/>
        </w:rPr>
        <w:t>)</w:t>
      </w:r>
      <w:r w:rsidRPr="00F52586">
        <w:rPr>
          <w:rFonts w:ascii="Arial" w:hAnsi="Arial" w:cs="Arial"/>
        </w:rPr>
        <w:t xml:space="preserve"> ainsi que d’examiner l’état de conservation des taxons inscrits à la CMS, notamment les aspects ayant trait à la recevabilité de certaines espèces à l’Annexe I </w:t>
      </w:r>
      <w:r w:rsidR="00154A49">
        <w:rPr>
          <w:rFonts w:ascii="Arial" w:hAnsi="Arial" w:cs="Arial"/>
        </w:rPr>
        <w:t>(</w:t>
      </w:r>
      <w:hyperlink r:id="rId10" w:history="1">
        <w:r w:rsidRPr="00F52586">
          <w:rPr>
            <w:rStyle w:val="Hyperlink"/>
            <w:rFonts w:ascii="Arial" w:hAnsi="Arial" w:cs="Arial"/>
          </w:rPr>
          <w:t>Décision 13.24</w:t>
        </w:r>
      </w:hyperlink>
      <w:r w:rsidRPr="00F52586">
        <w:rPr>
          <w:rFonts w:ascii="Arial" w:hAnsi="Arial" w:cs="Arial"/>
        </w:rPr>
        <w:t>, point b)</w:t>
      </w:r>
      <w:r w:rsidR="00154A49">
        <w:rPr>
          <w:rFonts w:ascii="Arial" w:hAnsi="Arial" w:cs="Arial"/>
        </w:rPr>
        <w:t>.</w:t>
      </w:r>
    </w:p>
    <w:p w14:paraId="3158B8CF" w14:textId="77777777" w:rsidR="00F52586" w:rsidRPr="00F52586" w:rsidRDefault="00F52586" w:rsidP="00F52586">
      <w:pPr>
        <w:spacing w:after="0" w:line="240" w:lineRule="auto"/>
        <w:jc w:val="both"/>
        <w:rPr>
          <w:rFonts w:ascii="Arial" w:hAnsi="Arial" w:cs="Arial"/>
        </w:rPr>
      </w:pPr>
    </w:p>
    <w:p w14:paraId="23C0BA31" w14:textId="33B6B2C5" w:rsidR="00CF7917" w:rsidRDefault="00CF7917" w:rsidP="00F52586">
      <w:pPr>
        <w:spacing w:after="0" w:line="240" w:lineRule="auto"/>
        <w:jc w:val="both"/>
        <w:rPr>
          <w:rFonts w:ascii="Arial" w:hAnsi="Arial" w:cs="Arial"/>
        </w:rPr>
      </w:pPr>
      <w:r w:rsidRPr="00F52586">
        <w:rPr>
          <w:rFonts w:ascii="Arial" w:hAnsi="Arial" w:cs="Arial"/>
        </w:rPr>
        <w:t>Pour réaliser des progrès en matière de respect de ces décisions, le Secrétariat de la CMS a demandé au Centre mondial de surveillance continue de la conservation de la nature du Programme des Nations Unies pour l’environnement (WCMC-PNUE) de proposer une méthode d’</w:t>
      </w:r>
      <w:r w:rsidRPr="00F52586">
        <w:rPr>
          <w:rFonts w:ascii="Arial" w:hAnsi="Arial" w:cs="Arial"/>
          <w:b/>
          <w:bCs/>
        </w:rPr>
        <w:t>évaluation</w:t>
      </w:r>
      <w:r w:rsidRPr="00F52586">
        <w:rPr>
          <w:rFonts w:ascii="Arial" w:hAnsi="Arial" w:cs="Arial"/>
        </w:rPr>
        <w:t xml:space="preserve"> qui permettrait d’améliorer les fondements du processus de décision concernant les taxons de l’Annexe I.</w:t>
      </w:r>
      <w:r w:rsidRPr="00F52586">
        <w:rPr>
          <w:rFonts w:ascii="Arial" w:hAnsi="Arial" w:cs="Arial"/>
        </w:rPr>
        <w:tab/>
      </w:r>
    </w:p>
    <w:p w14:paraId="02F4F3AE" w14:textId="77777777" w:rsidR="00F52586" w:rsidRPr="00F52586" w:rsidRDefault="00F52586" w:rsidP="00F52586">
      <w:pPr>
        <w:spacing w:after="0" w:line="240" w:lineRule="auto"/>
        <w:jc w:val="both"/>
        <w:rPr>
          <w:rFonts w:ascii="Arial" w:hAnsi="Arial" w:cs="Arial"/>
        </w:rPr>
      </w:pPr>
    </w:p>
    <w:p w14:paraId="33B3B627" w14:textId="77777777" w:rsidR="00CF7917" w:rsidRPr="00F52586" w:rsidRDefault="00CF7917" w:rsidP="00F52586">
      <w:pPr>
        <w:spacing w:after="120" w:line="240" w:lineRule="auto"/>
        <w:jc w:val="both"/>
        <w:rPr>
          <w:rFonts w:ascii="Arial" w:hAnsi="Arial" w:cs="Arial"/>
        </w:rPr>
      </w:pPr>
      <w:r w:rsidRPr="00F52586">
        <w:rPr>
          <w:rFonts w:ascii="Arial" w:hAnsi="Arial" w:cs="Arial"/>
        </w:rPr>
        <w:t xml:space="preserve">L’évaluation rapide a en particulier un </w:t>
      </w:r>
      <w:r w:rsidRPr="00F52586">
        <w:rPr>
          <w:rFonts w:ascii="Arial" w:hAnsi="Arial" w:cs="Arial"/>
          <w:b/>
          <w:bCs/>
          <w:u w:val="single"/>
        </w:rPr>
        <w:t>double</w:t>
      </w:r>
      <w:r w:rsidRPr="00F52586">
        <w:rPr>
          <w:rFonts w:ascii="Arial" w:hAnsi="Arial" w:cs="Arial"/>
        </w:rPr>
        <w:t xml:space="preserve"> objectif consistant à examiner les taxons de l’Annexe I de sorte à fournir des informations plus approfondies sur : </w:t>
      </w:r>
    </w:p>
    <w:p w14:paraId="105FD388" w14:textId="456AECCF" w:rsidR="00CF7917" w:rsidRPr="00F52586" w:rsidRDefault="00CF7917" w:rsidP="00F52586">
      <w:pPr>
        <w:pStyle w:val="ListParagraph"/>
        <w:numPr>
          <w:ilvl w:val="0"/>
          <w:numId w:val="34"/>
        </w:numPr>
        <w:spacing w:after="120" w:line="240" w:lineRule="auto"/>
        <w:contextualSpacing w:val="0"/>
        <w:jc w:val="both"/>
        <w:rPr>
          <w:rFonts w:ascii="Arial" w:hAnsi="Arial" w:cs="Arial"/>
        </w:rPr>
      </w:pPr>
      <w:r w:rsidRPr="00F52586">
        <w:rPr>
          <w:rFonts w:ascii="Arial" w:hAnsi="Arial" w:cs="Arial"/>
        </w:rPr>
        <w:t xml:space="preserve">l’impact de </w:t>
      </w:r>
      <w:r w:rsidRPr="00F52586">
        <w:rPr>
          <w:rFonts w:ascii="Arial" w:hAnsi="Arial" w:cs="Arial"/>
          <w:b/>
          <w:bCs/>
        </w:rPr>
        <w:t xml:space="preserve">l’utilisation directe et du </w:t>
      </w:r>
      <w:r w:rsidRPr="00F52586">
        <w:rPr>
          <w:rStyle w:val="highlight"/>
          <w:rFonts w:ascii="Arial" w:hAnsi="Arial" w:cs="Arial"/>
          <w:b/>
          <w:bCs/>
        </w:rPr>
        <w:t>commerce</w:t>
      </w:r>
      <w:r w:rsidRPr="00F52586">
        <w:rPr>
          <w:rFonts w:ascii="Arial" w:hAnsi="Arial" w:cs="Arial"/>
        </w:rPr>
        <w:t xml:space="preserve"> sur l’état de conservation des taxons inscrits à l’Annexe I </w:t>
      </w:r>
      <w:r w:rsidR="009D20E2">
        <w:rPr>
          <w:rFonts w:ascii="Arial" w:hAnsi="Arial" w:cs="Arial"/>
        </w:rPr>
        <w:t>(</w:t>
      </w:r>
      <w:r w:rsidRPr="00F52586">
        <w:rPr>
          <w:rFonts w:ascii="Arial" w:hAnsi="Arial" w:cs="Arial"/>
        </w:rPr>
        <w:t xml:space="preserve">en réponse à la </w:t>
      </w:r>
      <w:hyperlink r:id="rId11" w:history="1">
        <w:r w:rsidRPr="00F52586">
          <w:rPr>
            <w:rStyle w:val="Hyperlink"/>
            <w:rFonts w:ascii="Arial" w:hAnsi="Arial" w:cs="Arial"/>
          </w:rPr>
          <w:t>Décision 13.17</w:t>
        </w:r>
      </w:hyperlink>
      <w:r w:rsidRPr="00F52586">
        <w:rPr>
          <w:rFonts w:ascii="Arial" w:hAnsi="Arial" w:cs="Arial"/>
        </w:rPr>
        <w:t xml:space="preserve"> et à la </w:t>
      </w:r>
      <w:hyperlink r:id="rId12" w:history="1">
        <w:r w:rsidRPr="00F52586">
          <w:rPr>
            <w:rStyle w:val="Hyperlink"/>
            <w:rFonts w:ascii="Arial" w:hAnsi="Arial" w:cs="Arial"/>
          </w:rPr>
          <w:t>Décision 13.24</w:t>
        </w:r>
      </w:hyperlink>
      <w:r w:rsidRPr="00F52586">
        <w:rPr>
          <w:rFonts w:ascii="Arial" w:hAnsi="Arial" w:cs="Arial"/>
        </w:rPr>
        <w:t>, point c) ; et</w:t>
      </w:r>
    </w:p>
    <w:p w14:paraId="4742C852" w14:textId="3E64FAE3" w:rsidR="00CF7917" w:rsidRDefault="00CF7917" w:rsidP="00F52586">
      <w:pPr>
        <w:pStyle w:val="ListParagraph"/>
        <w:numPr>
          <w:ilvl w:val="0"/>
          <w:numId w:val="34"/>
        </w:numPr>
        <w:spacing w:after="0" w:line="240" w:lineRule="auto"/>
        <w:contextualSpacing w:val="0"/>
        <w:jc w:val="both"/>
        <w:rPr>
          <w:rFonts w:ascii="Arial" w:hAnsi="Arial" w:cs="Arial"/>
        </w:rPr>
      </w:pPr>
      <w:r w:rsidRPr="00F52586">
        <w:rPr>
          <w:rFonts w:ascii="Arial" w:hAnsi="Arial" w:cs="Arial"/>
        </w:rPr>
        <w:t>l</w:t>
      </w:r>
      <w:r w:rsidR="00343B22" w:rsidRPr="00F52586">
        <w:rPr>
          <w:rFonts w:ascii="Arial" w:hAnsi="Arial" w:cs="Arial"/>
        </w:rPr>
        <w:t xml:space="preserve">e statut </w:t>
      </w:r>
      <w:r w:rsidRPr="00F52586">
        <w:rPr>
          <w:rFonts w:ascii="Arial" w:hAnsi="Arial" w:cs="Arial"/>
          <w:b/>
          <w:bCs/>
        </w:rPr>
        <w:t xml:space="preserve"> </w:t>
      </w:r>
      <w:r w:rsidRPr="00F52586">
        <w:rPr>
          <w:rFonts w:ascii="Arial" w:hAnsi="Arial" w:cs="Arial"/>
        </w:rPr>
        <w:t>des taxons inscrits à l’Annexe I</w:t>
      </w:r>
      <w:r w:rsidR="00343B22" w:rsidRPr="00F52586">
        <w:rPr>
          <w:rFonts w:ascii="Arial" w:hAnsi="Arial" w:cs="Arial"/>
        </w:rPr>
        <w:t xml:space="preserve"> par rapport aux critères d'inscription définis dans la Résolution 13.17 de la CMS.</w:t>
      </w:r>
      <w:r w:rsidRPr="00F52586">
        <w:rPr>
          <w:rFonts w:ascii="Arial" w:hAnsi="Arial" w:cs="Arial"/>
        </w:rPr>
        <w:t xml:space="preserve"> </w:t>
      </w:r>
      <w:r w:rsidR="009D20E2">
        <w:rPr>
          <w:rFonts w:ascii="Arial" w:hAnsi="Arial" w:cs="Arial"/>
        </w:rPr>
        <w:t>(</w:t>
      </w:r>
      <w:hyperlink r:id="rId13" w:history="1">
        <w:r w:rsidRPr="00F52586">
          <w:rPr>
            <w:rStyle w:val="Hyperlink"/>
            <w:rFonts w:ascii="Arial" w:hAnsi="Arial" w:cs="Arial"/>
          </w:rPr>
          <w:t>Décision 13.24</w:t>
        </w:r>
      </w:hyperlink>
      <w:r w:rsidRPr="00F52586">
        <w:rPr>
          <w:rFonts w:ascii="Arial" w:hAnsi="Arial" w:cs="Arial"/>
        </w:rPr>
        <w:t xml:space="preserve">, point b). </w:t>
      </w:r>
    </w:p>
    <w:p w14:paraId="14D0A802" w14:textId="77777777" w:rsidR="00F52586" w:rsidRPr="00F52586" w:rsidRDefault="00F52586" w:rsidP="00F52586">
      <w:pPr>
        <w:pStyle w:val="ListParagraph"/>
        <w:spacing w:after="0" w:line="240" w:lineRule="auto"/>
        <w:contextualSpacing w:val="0"/>
        <w:jc w:val="both"/>
        <w:rPr>
          <w:rFonts w:ascii="Arial" w:hAnsi="Arial" w:cs="Arial"/>
        </w:rPr>
      </w:pPr>
    </w:p>
    <w:p w14:paraId="680BC94E" w14:textId="23CA1192" w:rsidR="00CF7917" w:rsidRDefault="00CF7917" w:rsidP="00F52586">
      <w:pPr>
        <w:spacing w:after="0" w:line="240" w:lineRule="auto"/>
        <w:jc w:val="both"/>
        <w:rPr>
          <w:rFonts w:ascii="Arial" w:hAnsi="Arial" w:cs="Arial"/>
        </w:rPr>
      </w:pPr>
      <w:r w:rsidRPr="00F52586">
        <w:rPr>
          <w:rFonts w:ascii="Arial" w:hAnsi="Arial" w:cs="Arial"/>
        </w:rPr>
        <w:t>La méthode d’évaluation rapide proposée permettra d’évaluer à la fois les critères concernant l’utilisation directe et le commerce, d’une part, et l</w:t>
      </w:r>
      <w:r w:rsidR="00343B22" w:rsidRPr="00F52586">
        <w:rPr>
          <w:rFonts w:ascii="Arial" w:hAnsi="Arial" w:cs="Arial"/>
        </w:rPr>
        <w:t xml:space="preserve">’inscription </w:t>
      </w:r>
      <w:r w:rsidRPr="00F52586">
        <w:rPr>
          <w:rFonts w:ascii="Arial" w:hAnsi="Arial" w:cs="Arial"/>
        </w:rPr>
        <w:t xml:space="preserve"> à l’Annexe I, d’autre part, mais en proposant plusieurs ensembles de critères pour tenir compte des différentes approches nécessaires. En ce qui concerne l’évaluation de </w:t>
      </w:r>
      <w:r w:rsidRPr="00F52586">
        <w:rPr>
          <w:rFonts w:ascii="Arial" w:hAnsi="Arial" w:cs="Arial"/>
          <w:b/>
          <w:bCs/>
        </w:rPr>
        <w:t>l’utilisation directe et du commerce</w:t>
      </w:r>
      <w:r w:rsidRPr="00F52586">
        <w:rPr>
          <w:rFonts w:ascii="Arial" w:hAnsi="Arial" w:cs="Arial"/>
        </w:rPr>
        <w:t xml:space="preserve">, il a été supposé qu’une priorité absolue devait être accordée aux taxons de l’Annexe I qui étaient confrontés à un risque d’extinction, qui étaient menacés par une utilisation ou le commerce (ou biologiquement vulnérables à ceux-ci), ou qui ne faisaient pas l’objet d’efforts de gestion existants. Les taxons considérés comme prioritaires au regard des </w:t>
      </w:r>
      <w:r w:rsidRPr="00F52586">
        <w:rPr>
          <w:rFonts w:ascii="Arial" w:hAnsi="Arial" w:cs="Arial"/>
          <w:b/>
          <w:bCs/>
        </w:rPr>
        <w:t>critères de recevabilité à l’Annexe I</w:t>
      </w:r>
      <w:r w:rsidRPr="00F52586">
        <w:rPr>
          <w:rFonts w:ascii="Arial" w:hAnsi="Arial" w:cs="Arial"/>
        </w:rPr>
        <w:t xml:space="preserve"> étaient ceux présentant un état de conservation favorable et des preuves limitées de leur statut migratoire.</w:t>
      </w:r>
    </w:p>
    <w:p w14:paraId="1A10D466" w14:textId="77777777" w:rsidR="00F52586" w:rsidRPr="00F52586" w:rsidRDefault="00F52586" w:rsidP="00F52586">
      <w:pPr>
        <w:spacing w:after="0" w:line="240" w:lineRule="auto"/>
        <w:jc w:val="both"/>
        <w:rPr>
          <w:rFonts w:ascii="Arial" w:hAnsi="Arial" w:cs="Arial"/>
        </w:rPr>
      </w:pPr>
    </w:p>
    <w:p w14:paraId="2736952C" w14:textId="12B1160A" w:rsidR="00CF7917" w:rsidRDefault="00CF7917" w:rsidP="00F52586">
      <w:pPr>
        <w:spacing w:after="0" w:line="240" w:lineRule="auto"/>
        <w:jc w:val="both"/>
        <w:rPr>
          <w:rFonts w:ascii="Arial" w:hAnsi="Arial" w:cs="Arial"/>
        </w:rPr>
      </w:pPr>
      <w:r w:rsidRPr="00F52586">
        <w:rPr>
          <w:rFonts w:ascii="Arial" w:hAnsi="Arial" w:cs="Arial"/>
        </w:rPr>
        <w:t xml:space="preserve">Le présent document, élaboré par le WCMC-PNUE en collaboration avec l’UICN, expose l’approche proposée pour évaluer ces deux aspects qui présentent un intérêt pour les Parties à la CMS. Les travaux effectués par le WCMC-PNUE et l’UICN dans le cadre de la Convention sur le commerce international des espèces de faune et de flore sauvages menacées d’extinction (CITES) pour mettre au point une évaluation rapide des taxons de l’Annexe I (voir CITES </w:t>
      </w:r>
      <w:hyperlink r:id="rId14" w:history="1">
        <w:r w:rsidRPr="00F52586">
          <w:rPr>
            <w:rStyle w:val="Hyperlink"/>
            <w:rFonts w:ascii="Arial" w:hAnsi="Arial" w:cs="Arial"/>
          </w:rPr>
          <w:t>AC31 Doc.9</w:t>
        </w:r>
      </w:hyperlink>
      <w:r w:rsidRPr="00F52586">
        <w:rPr>
          <w:rFonts w:ascii="Arial" w:hAnsi="Arial" w:cs="Arial"/>
        </w:rPr>
        <w:t xml:space="preserve"> et </w:t>
      </w:r>
      <w:hyperlink r:id="rId15" w:history="1">
        <w:r w:rsidRPr="00F52586">
          <w:rPr>
            <w:rStyle w:val="Hyperlink"/>
            <w:rFonts w:ascii="Arial" w:hAnsi="Arial" w:cs="Arial"/>
          </w:rPr>
          <w:t>AC31 Inf.</w:t>
        </w:r>
      </w:hyperlink>
      <w:hyperlink r:id="rId16" w:history="1">
        <w:r w:rsidRPr="00F52586">
          <w:rPr>
            <w:rStyle w:val="Hyperlink"/>
            <w:rFonts w:ascii="Arial" w:hAnsi="Arial" w:cs="Arial"/>
          </w:rPr>
          <w:t xml:space="preserve"> 6</w:t>
        </w:r>
      </w:hyperlink>
      <w:r w:rsidRPr="00F52586">
        <w:rPr>
          <w:rFonts w:ascii="Arial" w:hAnsi="Arial" w:cs="Arial"/>
        </w:rPr>
        <w:t>) fournissent un modèle pour cette proposition d’approche, bien que les jeux de données et les métadonnées apportées par l’évaluation rapide de la CMS aient été élaborés en fonction des exigences spécifiques liées aux taxons et aux objectifs de la CMS.</w:t>
      </w:r>
    </w:p>
    <w:p w14:paraId="2EA72DF7" w14:textId="77777777" w:rsidR="00F52586" w:rsidRPr="00F52586" w:rsidRDefault="00F52586" w:rsidP="00F52586">
      <w:pPr>
        <w:spacing w:after="0" w:line="240" w:lineRule="auto"/>
        <w:jc w:val="both"/>
        <w:rPr>
          <w:rFonts w:ascii="Arial" w:hAnsi="Arial" w:cs="Arial"/>
        </w:rPr>
      </w:pPr>
    </w:p>
    <w:p w14:paraId="10F34776" w14:textId="5012FAA5" w:rsidR="00CF7917" w:rsidRDefault="00CF7917" w:rsidP="00F52586">
      <w:pPr>
        <w:spacing w:after="0" w:line="240" w:lineRule="auto"/>
        <w:jc w:val="both"/>
        <w:rPr>
          <w:rFonts w:ascii="Arial" w:hAnsi="Arial" w:cs="Arial"/>
        </w:rPr>
      </w:pPr>
      <w:r w:rsidRPr="00F52586">
        <w:rPr>
          <w:rFonts w:ascii="Arial" w:hAnsi="Arial" w:cs="Arial"/>
        </w:rPr>
        <w:t xml:space="preserve">Une fois que les avis reçus du Conseil scientifique de la CMS et d’autres experts en taxinomie et en données auront été intégrés à la méthode et après approbation de l’approche proposée par le Conseil scientifique de la CMS, les données sur les espèces et les sous-espèces concernant l’état de conservation et le statut migratoire ainsi que sur l’utilisation directe et le commerce des 171 espèces et 9 sous-espèces inscrites à l’Annexe I de la CMS seront compilées sous la forme d’une évaluation rapide. Les résultats de l’évaluation rapide, y compris les données sur les taxons et leur notation correspondante classés dans l’ordre, seront mis à disposition sous la forme d’un fichier Excel filtrable proposant un récapitulatif des données pour tous les taxons inscrits à l’Annexe I. </w:t>
      </w:r>
    </w:p>
    <w:p w14:paraId="03267AEA" w14:textId="77777777" w:rsidR="00154A49" w:rsidRPr="00F52586" w:rsidRDefault="00154A49" w:rsidP="00F52586">
      <w:pPr>
        <w:spacing w:after="0" w:line="240" w:lineRule="auto"/>
        <w:jc w:val="both"/>
        <w:rPr>
          <w:rFonts w:ascii="Arial" w:hAnsi="Arial" w:cs="Arial"/>
        </w:rPr>
      </w:pPr>
    </w:p>
    <w:p w14:paraId="2157F718" w14:textId="764616DB" w:rsidR="00343B22" w:rsidRDefault="00343B22" w:rsidP="00F52586">
      <w:pPr>
        <w:spacing w:after="0" w:line="240" w:lineRule="auto"/>
        <w:jc w:val="both"/>
        <w:rPr>
          <w:rFonts w:ascii="Arial" w:eastAsia="Calibri" w:hAnsi="Arial" w:cs="Arial"/>
          <w:u w:val="single"/>
        </w:rPr>
      </w:pPr>
      <w:r w:rsidRPr="00154A49">
        <w:rPr>
          <w:rFonts w:ascii="Arial" w:eastAsia="Calibri" w:hAnsi="Arial" w:cs="Arial"/>
          <w:u w:val="single"/>
        </w:rPr>
        <w:t>Résultat proposé</w:t>
      </w:r>
    </w:p>
    <w:p w14:paraId="79E7C412" w14:textId="77777777" w:rsidR="00154A49" w:rsidRPr="00154A49" w:rsidRDefault="00154A49" w:rsidP="00F52586">
      <w:pPr>
        <w:spacing w:after="0" w:line="240" w:lineRule="auto"/>
        <w:jc w:val="both"/>
        <w:rPr>
          <w:rFonts w:ascii="Arial" w:eastAsia="Calibri" w:hAnsi="Arial" w:cs="Arial"/>
          <w:u w:val="single"/>
        </w:rPr>
      </w:pPr>
    </w:p>
    <w:p w14:paraId="60093FC6" w14:textId="66D75D3D" w:rsidR="00CF7917" w:rsidRDefault="00CF7917" w:rsidP="00F52586">
      <w:pPr>
        <w:spacing w:after="0" w:line="240" w:lineRule="auto"/>
        <w:jc w:val="both"/>
        <w:rPr>
          <w:rFonts w:ascii="Arial" w:hAnsi="Arial" w:cs="Arial"/>
        </w:rPr>
      </w:pPr>
      <w:r w:rsidRPr="00F52586">
        <w:rPr>
          <w:rFonts w:ascii="Arial" w:hAnsi="Arial" w:cs="Arial"/>
        </w:rPr>
        <w:t xml:space="preserve">Les résultats obtenus de l’évaluation rapide </w:t>
      </w:r>
      <w:r w:rsidR="00FA7A03" w:rsidRPr="00F52586">
        <w:rPr>
          <w:rFonts w:ascii="Arial" w:hAnsi="Arial" w:cs="Arial"/>
        </w:rPr>
        <w:t>constitueront</w:t>
      </w:r>
      <w:r w:rsidR="00343B22" w:rsidRPr="00F52586">
        <w:rPr>
          <w:rFonts w:ascii="Arial" w:hAnsi="Arial" w:cs="Arial"/>
        </w:rPr>
        <w:t xml:space="preserve"> un fichier Excel complet avec les données, les métadonnées et le score correspondants pour chaque taxon de l'Annexe I de la CMS. Il</w:t>
      </w:r>
      <w:r w:rsidR="00FA7A03" w:rsidRPr="00F52586">
        <w:rPr>
          <w:rFonts w:ascii="Arial" w:hAnsi="Arial" w:cs="Arial"/>
        </w:rPr>
        <w:t>s</w:t>
      </w:r>
      <w:r w:rsidR="00343B22" w:rsidRPr="00F52586">
        <w:rPr>
          <w:rFonts w:ascii="Arial" w:hAnsi="Arial" w:cs="Arial"/>
        </w:rPr>
        <w:t xml:space="preserve"> fournir</w:t>
      </w:r>
      <w:r w:rsidR="00FA7A03" w:rsidRPr="00F52586">
        <w:rPr>
          <w:rFonts w:ascii="Arial" w:hAnsi="Arial" w:cs="Arial"/>
        </w:rPr>
        <w:t>ont</w:t>
      </w:r>
      <w:r w:rsidR="00343B22" w:rsidRPr="00F52586">
        <w:rPr>
          <w:rFonts w:ascii="Arial" w:hAnsi="Arial" w:cs="Arial"/>
        </w:rPr>
        <w:t xml:space="preserve"> </w:t>
      </w:r>
      <w:r w:rsidRPr="00F52586">
        <w:rPr>
          <w:rFonts w:ascii="Arial" w:hAnsi="Arial" w:cs="Arial"/>
        </w:rPr>
        <w:t xml:space="preserve">un outil </w:t>
      </w:r>
      <w:r w:rsidR="00343B22" w:rsidRPr="00F52586">
        <w:rPr>
          <w:rFonts w:ascii="Arial" w:hAnsi="Arial" w:cs="Arial"/>
        </w:rPr>
        <w:t xml:space="preserve">utile </w:t>
      </w:r>
      <w:r w:rsidRPr="00F52586">
        <w:rPr>
          <w:rFonts w:ascii="Arial" w:hAnsi="Arial" w:cs="Arial"/>
        </w:rPr>
        <w:t>contribuant à la priorisation des taxons </w:t>
      </w:r>
      <w:r w:rsidR="00343B22" w:rsidRPr="00F52586">
        <w:rPr>
          <w:rFonts w:ascii="Arial" w:hAnsi="Arial" w:cs="Arial"/>
        </w:rPr>
        <w:t>et</w:t>
      </w:r>
      <w:r w:rsidR="00FA7A03" w:rsidRPr="00F52586">
        <w:rPr>
          <w:rFonts w:ascii="Arial" w:hAnsi="Arial" w:cs="Arial"/>
        </w:rPr>
        <w:t xml:space="preserve">peuvent </w:t>
      </w:r>
      <w:r w:rsidRPr="00F52586">
        <w:rPr>
          <w:rFonts w:ascii="Arial" w:hAnsi="Arial" w:cs="Arial"/>
        </w:rPr>
        <w:t>être filtrés en fonction de différents paramètres pour répondre à différentes questions et priorités. Les espèces qui nécessitent une plus grande attention en matière d’utilisation directe et de commerce (celles qui font le plus l’objet de menaces dues au commerce et à l’utilisation) devraient obtenir un score élevé au regard des méthodes proposées. À l’inverse, les taxons dont le score est faible présenteront probablement un intérêt pour la recevabilité à l’Annexe I et pourraient bénéficier d’une évaluation plus détaillée au cours de la préparation des études de cas.</w:t>
      </w:r>
    </w:p>
    <w:p w14:paraId="6F20EAD0" w14:textId="77777777" w:rsidR="00154A49" w:rsidRPr="00F52586" w:rsidRDefault="00154A49" w:rsidP="00F52586">
      <w:pPr>
        <w:spacing w:after="0" w:line="240" w:lineRule="auto"/>
        <w:jc w:val="both"/>
        <w:rPr>
          <w:rFonts w:ascii="Arial" w:hAnsi="Arial" w:cs="Arial"/>
        </w:rPr>
      </w:pPr>
    </w:p>
    <w:p w14:paraId="5DE07AD3" w14:textId="544D5CEA" w:rsidR="00CF7917" w:rsidRPr="00F52586" w:rsidRDefault="00CF7917" w:rsidP="00F52586">
      <w:pPr>
        <w:spacing w:after="0" w:line="240" w:lineRule="auto"/>
        <w:jc w:val="both"/>
        <w:rPr>
          <w:rFonts w:ascii="Arial" w:hAnsi="Arial" w:cs="Arial"/>
          <w:i/>
          <w:iCs/>
        </w:rPr>
      </w:pPr>
      <w:r w:rsidRPr="00F52586">
        <w:rPr>
          <w:rFonts w:ascii="Arial" w:hAnsi="Arial" w:cs="Arial"/>
        </w:rPr>
        <w:t xml:space="preserve">Il est attendu que les résultats de cette évaluation rapide aident les Parties à la CMS à établir une liste réduite de taxons prioritaires pour lesquels l’utilisation directe et le commerce s’avèrent être des menaces et pour lesquels davantage d’actions pourraient être menées pour améliorer l’état de conservation des taxons migrateurs et proposer des données sur </w:t>
      </w:r>
      <w:r w:rsidR="00FA7A03" w:rsidRPr="00F52586">
        <w:rPr>
          <w:rFonts w:ascii="Arial" w:hAnsi="Arial" w:cs="Arial"/>
        </w:rPr>
        <w:t>l'état de conservation des taxons de l'Annexe I par la compilation d'ensembles de données pertinentes dans les résultats de l'évaluation rapide,</w:t>
      </w:r>
      <w:r w:rsidRPr="00F52586">
        <w:rPr>
          <w:rFonts w:ascii="Arial" w:hAnsi="Arial" w:cs="Arial"/>
        </w:rPr>
        <w:t>qui peuvent éclairer</w:t>
      </w:r>
      <w:r w:rsidR="00FA7A03" w:rsidRPr="00F52586">
        <w:rPr>
          <w:rFonts w:ascii="Arial" w:hAnsi="Arial" w:cs="Arial"/>
        </w:rPr>
        <w:t xml:space="preserve"> la mise en œuvre de la CMS en général, ainsi que</w:t>
      </w:r>
      <w:r w:rsidRPr="00F52586">
        <w:rPr>
          <w:rFonts w:ascii="Arial" w:hAnsi="Arial" w:cs="Arial"/>
        </w:rPr>
        <w:t xml:space="preserve"> le rapport sur l’état de conservation envisagé au titre de la </w:t>
      </w:r>
      <w:hyperlink r:id="rId17" w:history="1">
        <w:r w:rsidRPr="00F52586">
          <w:rPr>
            <w:rStyle w:val="Hyperlink"/>
            <w:rFonts w:ascii="Arial" w:hAnsi="Arial" w:cs="Arial"/>
          </w:rPr>
          <w:t>Décision 13.24</w:t>
        </w:r>
      </w:hyperlink>
      <w:r w:rsidRPr="00F52586">
        <w:rPr>
          <w:rFonts w:ascii="Arial" w:hAnsi="Arial" w:cs="Arial"/>
        </w:rPr>
        <w:t xml:space="preserve">. </w:t>
      </w:r>
    </w:p>
    <w:p w14:paraId="07D4E013" w14:textId="77777777" w:rsidR="00CF7917" w:rsidRPr="00F52586" w:rsidRDefault="00CF7917" w:rsidP="00F52586">
      <w:pPr>
        <w:spacing w:after="0" w:line="240" w:lineRule="auto"/>
        <w:jc w:val="both"/>
        <w:rPr>
          <w:rFonts w:ascii="Arial" w:hAnsi="Arial" w:cs="Arial"/>
          <w:b/>
          <w:color w:val="00AEEF"/>
          <w:highlight w:val="cyan"/>
        </w:rPr>
        <w:sectPr w:rsidR="00CF7917" w:rsidRPr="00F52586" w:rsidSect="00154A49">
          <w:headerReference w:type="even" r:id="rId18"/>
          <w:headerReference w:type="default" r:id="rId19"/>
          <w:footerReference w:type="even" r:id="rId20"/>
          <w:footerReference w:type="default" r:id="rId21"/>
          <w:headerReference w:type="first" r:id="rId22"/>
          <w:pgSz w:w="11906" w:h="16838" w:code="9"/>
          <w:pgMar w:top="1134" w:right="1134" w:bottom="851" w:left="1134" w:header="709" w:footer="283" w:gutter="0"/>
          <w:pgNumType w:start="1"/>
          <w:cols w:space="708"/>
          <w:titlePg/>
          <w:docGrid w:linePitch="360"/>
        </w:sectPr>
      </w:pPr>
    </w:p>
    <w:p w14:paraId="0CA4F034" w14:textId="4AC6DF86" w:rsidR="00CF7917" w:rsidRDefault="00CF7917" w:rsidP="00F52586">
      <w:pPr>
        <w:pStyle w:val="Heading2"/>
        <w:spacing w:before="0" w:line="240" w:lineRule="auto"/>
        <w:jc w:val="both"/>
        <w:rPr>
          <w:rFonts w:ascii="Arial" w:hAnsi="Arial" w:cs="Arial"/>
          <w:color w:val="auto"/>
          <w:sz w:val="22"/>
          <w:szCs w:val="22"/>
          <w:u w:val="single"/>
        </w:rPr>
      </w:pPr>
      <w:bookmarkStart w:id="3" w:name="_Toc70948669"/>
      <w:r w:rsidRPr="00154A49">
        <w:rPr>
          <w:rFonts w:ascii="Arial" w:hAnsi="Arial" w:cs="Arial"/>
          <w:color w:val="auto"/>
          <w:sz w:val="22"/>
          <w:szCs w:val="22"/>
          <w:u w:val="single"/>
        </w:rPr>
        <w:lastRenderedPageBreak/>
        <w:t>Méthode</w:t>
      </w:r>
      <w:bookmarkEnd w:id="3"/>
    </w:p>
    <w:p w14:paraId="4A79E814" w14:textId="77777777" w:rsidR="00154A49" w:rsidRPr="00154A49" w:rsidRDefault="00154A49" w:rsidP="00154A49">
      <w:pPr>
        <w:rPr>
          <w:lang w:eastAsia="en-GB"/>
        </w:rPr>
      </w:pPr>
    </w:p>
    <w:p w14:paraId="2E9FB051" w14:textId="41C91D49" w:rsidR="00CF7917" w:rsidRDefault="00CF7917" w:rsidP="00F52586">
      <w:pPr>
        <w:spacing w:after="0" w:line="240" w:lineRule="auto"/>
        <w:jc w:val="both"/>
        <w:rPr>
          <w:rFonts w:ascii="Arial" w:hAnsi="Arial" w:cs="Arial"/>
        </w:rPr>
      </w:pPr>
      <w:r w:rsidRPr="00F52586">
        <w:rPr>
          <w:rFonts w:ascii="Arial" w:hAnsi="Arial" w:cs="Arial"/>
        </w:rPr>
        <w:t xml:space="preserve">La présente section décrit </w:t>
      </w:r>
      <w:r w:rsidR="00BC057E" w:rsidRPr="00F52586">
        <w:rPr>
          <w:rFonts w:ascii="Arial" w:hAnsi="Arial" w:cs="Arial"/>
        </w:rPr>
        <w:t xml:space="preserve">la </w:t>
      </w:r>
      <w:r w:rsidRPr="00F52586">
        <w:rPr>
          <w:rFonts w:ascii="Arial" w:hAnsi="Arial" w:cs="Arial"/>
        </w:rPr>
        <w:t xml:space="preserve">méthode </w:t>
      </w:r>
      <w:r w:rsidR="00BC057E" w:rsidRPr="00F52586">
        <w:rPr>
          <w:rFonts w:ascii="Arial" w:hAnsi="Arial" w:cs="Arial"/>
        </w:rPr>
        <w:t xml:space="preserve">proposée </w:t>
      </w:r>
      <w:r w:rsidRPr="00F52586">
        <w:rPr>
          <w:rFonts w:ascii="Arial" w:hAnsi="Arial" w:cs="Arial"/>
        </w:rPr>
        <w:t xml:space="preserve">et de jeux de données nécessaires pour mener une évaluation rapide des espèces inscrites à l’Annexe I. </w:t>
      </w:r>
      <w:r w:rsidR="00BC057E" w:rsidRPr="00F52586">
        <w:rPr>
          <w:rFonts w:ascii="Arial" w:hAnsi="Arial" w:cs="Arial"/>
        </w:rPr>
        <w:t xml:space="preserve">Après la consultation, </w:t>
      </w:r>
      <w:r w:rsidRPr="00F52586">
        <w:rPr>
          <w:rFonts w:ascii="Arial" w:hAnsi="Arial" w:cs="Arial"/>
        </w:rPr>
        <w:t>, certains paramètres (les seuils de certains critères par exemple) pourront être affinés</w:t>
      </w:r>
      <w:r w:rsidR="00BC057E" w:rsidRPr="00F52586">
        <w:rPr>
          <w:rFonts w:ascii="Arial" w:hAnsi="Arial" w:cs="Arial"/>
        </w:rPr>
        <w:t xml:space="preserve"> (voir prochaines étapes)</w:t>
      </w:r>
      <w:r w:rsidRPr="00F52586">
        <w:rPr>
          <w:rFonts w:ascii="Arial" w:hAnsi="Arial" w:cs="Arial"/>
        </w:rPr>
        <w:t xml:space="preserve"> ; </w:t>
      </w:r>
    </w:p>
    <w:p w14:paraId="5B754113" w14:textId="77777777" w:rsidR="00154A49" w:rsidRPr="00F52586" w:rsidRDefault="00154A49" w:rsidP="00F52586">
      <w:pPr>
        <w:spacing w:after="0" w:line="240" w:lineRule="auto"/>
        <w:jc w:val="both"/>
        <w:rPr>
          <w:rFonts w:ascii="Arial" w:hAnsi="Arial" w:cs="Arial"/>
        </w:rPr>
      </w:pPr>
    </w:p>
    <w:p w14:paraId="3F3BDA75" w14:textId="3C4E61A6" w:rsidR="00CF7917" w:rsidRDefault="00CF7917" w:rsidP="00F52586">
      <w:pPr>
        <w:spacing w:after="0" w:line="240" w:lineRule="auto"/>
        <w:jc w:val="both"/>
        <w:rPr>
          <w:rFonts w:ascii="Arial" w:hAnsi="Arial" w:cs="Arial"/>
        </w:rPr>
      </w:pPr>
      <w:r w:rsidRPr="00F52586">
        <w:rPr>
          <w:rFonts w:ascii="Arial" w:hAnsi="Arial" w:cs="Arial"/>
        </w:rPr>
        <w:t xml:space="preserve">Un autre ensemble de critères sera utilisé pour évaluer (a) l’utilisation directe et le commerce et (b) la recevabilité à l’Annexe I à partir de la priorisation inhérente à ces deux différentes questions (voir Tableau 1). Au sein de cinq catégories fondamentales, 16 critères sont proposés à l’appui de l’évaluation des espèces inscrites à l’Annexe I (Tableau 1). </w:t>
      </w:r>
    </w:p>
    <w:p w14:paraId="2604FECA" w14:textId="77777777" w:rsidR="00154A49" w:rsidRPr="00F52586" w:rsidRDefault="00154A49" w:rsidP="00F52586">
      <w:pPr>
        <w:spacing w:after="0" w:line="240" w:lineRule="auto"/>
        <w:jc w:val="both"/>
        <w:rPr>
          <w:rFonts w:ascii="Arial" w:hAnsi="Arial" w:cs="Arial"/>
        </w:rPr>
      </w:pPr>
    </w:p>
    <w:p w14:paraId="76389BD5" w14:textId="28AF4AEC" w:rsidR="00CF7917" w:rsidRDefault="00CF7917" w:rsidP="00F52586">
      <w:pPr>
        <w:spacing w:after="0" w:line="240" w:lineRule="auto"/>
        <w:jc w:val="both"/>
        <w:rPr>
          <w:rFonts w:ascii="Arial" w:hAnsi="Arial" w:cs="Arial"/>
        </w:rPr>
      </w:pPr>
      <w:r w:rsidRPr="00F52586">
        <w:rPr>
          <w:rFonts w:ascii="Arial" w:hAnsi="Arial" w:cs="Arial"/>
        </w:rPr>
        <w:t xml:space="preserve">Les détails concernant les données et la méthode propres à chaque critère sont décrits dans le Tableau 2. </w:t>
      </w:r>
    </w:p>
    <w:p w14:paraId="67DA1AC5" w14:textId="77777777" w:rsidR="00154A49" w:rsidRPr="00F52586" w:rsidRDefault="00154A49" w:rsidP="00F52586">
      <w:pPr>
        <w:spacing w:after="0" w:line="240" w:lineRule="auto"/>
        <w:jc w:val="both"/>
        <w:rPr>
          <w:rFonts w:ascii="Arial" w:hAnsi="Arial" w:cs="Arial"/>
        </w:rPr>
      </w:pPr>
    </w:p>
    <w:p w14:paraId="74BF38B5" w14:textId="3541EC02" w:rsidR="00CF7917" w:rsidRDefault="00CF7917" w:rsidP="00F52586">
      <w:pPr>
        <w:spacing w:after="0" w:line="240" w:lineRule="auto"/>
        <w:jc w:val="both"/>
        <w:rPr>
          <w:rFonts w:ascii="Arial" w:hAnsi="Arial" w:cs="Arial"/>
        </w:rPr>
      </w:pPr>
      <w:r w:rsidRPr="00F52586">
        <w:rPr>
          <w:rFonts w:ascii="Arial" w:hAnsi="Arial" w:cs="Arial"/>
          <w:b/>
        </w:rPr>
        <w:t xml:space="preserve">Tableau 1 : </w:t>
      </w:r>
      <w:r w:rsidRPr="00F52586">
        <w:rPr>
          <w:rFonts w:ascii="Arial" w:hAnsi="Arial" w:cs="Arial"/>
        </w:rPr>
        <w:t>Critères proposés en fonction des jeux de données disponibles, pour chacune des cinq catégories. Les critères associés au symbole « </w:t>
      </w:r>
      <w:r w:rsidRPr="00F52586">
        <w:rPr>
          <w:rFonts w:ascii="Segoe UI Symbol" w:hAnsi="Segoe UI Symbol" w:cs="Segoe UI Symbol"/>
        </w:rPr>
        <w:t>✓</w:t>
      </w:r>
      <w:r w:rsidRPr="00F52586">
        <w:rPr>
          <w:rFonts w:ascii="Arial" w:hAnsi="Arial" w:cs="Arial"/>
        </w:rPr>
        <w:t xml:space="preserve">* » sont considérés comme affichant la plus haute priorité et des multiplicateurs seront envisagés pour veiller à ce qu’une plus grande importance leur soit donnée dans la notation. </w:t>
      </w:r>
    </w:p>
    <w:p w14:paraId="3D07C68B" w14:textId="77777777" w:rsidR="00154A49" w:rsidRPr="00F52586" w:rsidRDefault="00154A49" w:rsidP="00F5258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518"/>
        <w:gridCol w:w="2897"/>
        <w:gridCol w:w="2100"/>
        <w:gridCol w:w="1501"/>
      </w:tblGrid>
      <w:tr w:rsidR="00CF7917" w:rsidRPr="00154A49" w14:paraId="0642133B" w14:textId="77777777" w:rsidTr="009D20E2">
        <w:tc>
          <w:tcPr>
            <w:tcW w:w="2518" w:type="dxa"/>
            <w:shd w:val="clear" w:color="auto" w:fill="4C6A89"/>
          </w:tcPr>
          <w:p w14:paraId="66EF5B2F" w14:textId="77777777" w:rsidR="00CF7917" w:rsidRPr="00154A49" w:rsidRDefault="00CF7917" w:rsidP="00F52586">
            <w:pPr>
              <w:jc w:val="both"/>
              <w:rPr>
                <w:rFonts w:ascii="Arial" w:hAnsi="Arial" w:cs="Arial"/>
                <w:b/>
                <w:color w:val="FFFFFF" w:themeColor="background1"/>
              </w:rPr>
            </w:pPr>
            <w:r w:rsidRPr="00154A49">
              <w:rPr>
                <w:rFonts w:ascii="Arial" w:hAnsi="Arial" w:cs="Arial"/>
                <w:b/>
                <w:color w:val="FFFFFF" w:themeColor="background1"/>
              </w:rPr>
              <w:t>Catégorie</w:t>
            </w:r>
          </w:p>
        </w:tc>
        <w:tc>
          <w:tcPr>
            <w:tcW w:w="2897" w:type="dxa"/>
            <w:shd w:val="clear" w:color="auto" w:fill="4C6A89"/>
          </w:tcPr>
          <w:p w14:paraId="0789F56A" w14:textId="77777777" w:rsidR="00CF7917" w:rsidRPr="00154A49" w:rsidRDefault="00CF7917" w:rsidP="00F52586">
            <w:pPr>
              <w:jc w:val="both"/>
              <w:rPr>
                <w:rFonts w:ascii="Arial" w:hAnsi="Arial" w:cs="Arial"/>
                <w:b/>
                <w:color w:val="FFFFFF" w:themeColor="background1"/>
              </w:rPr>
            </w:pPr>
            <w:r w:rsidRPr="00154A49">
              <w:rPr>
                <w:rFonts w:ascii="Arial" w:hAnsi="Arial" w:cs="Arial"/>
                <w:b/>
                <w:color w:val="FFFFFF" w:themeColor="background1"/>
              </w:rPr>
              <w:t>Critères</w:t>
            </w:r>
          </w:p>
        </w:tc>
        <w:tc>
          <w:tcPr>
            <w:tcW w:w="2100" w:type="dxa"/>
            <w:shd w:val="clear" w:color="auto" w:fill="4C6A89"/>
          </w:tcPr>
          <w:p w14:paraId="5298A718" w14:textId="77777777" w:rsidR="00CF7917" w:rsidRPr="00154A49" w:rsidRDefault="00CF7917" w:rsidP="00F52586">
            <w:pPr>
              <w:jc w:val="both"/>
              <w:rPr>
                <w:rFonts w:ascii="Arial" w:hAnsi="Arial" w:cs="Arial"/>
                <w:b/>
                <w:color w:val="FFFFFF" w:themeColor="background1"/>
              </w:rPr>
            </w:pPr>
            <w:r w:rsidRPr="00154A49">
              <w:rPr>
                <w:rFonts w:ascii="Arial" w:hAnsi="Arial" w:cs="Arial"/>
                <w:b/>
                <w:color w:val="FFFFFF" w:themeColor="background1"/>
              </w:rPr>
              <w:t>Utilisation directe/commerce</w:t>
            </w:r>
          </w:p>
        </w:tc>
        <w:tc>
          <w:tcPr>
            <w:tcW w:w="1501" w:type="dxa"/>
            <w:shd w:val="clear" w:color="auto" w:fill="4C6A89"/>
          </w:tcPr>
          <w:p w14:paraId="454F176A" w14:textId="77777777" w:rsidR="00CF7917" w:rsidRPr="00154A49" w:rsidRDefault="00CF7917" w:rsidP="00F52586">
            <w:pPr>
              <w:jc w:val="both"/>
              <w:rPr>
                <w:rFonts w:ascii="Arial" w:hAnsi="Arial" w:cs="Arial"/>
                <w:b/>
                <w:color w:val="FFFFFF" w:themeColor="background1"/>
              </w:rPr>
            </w:pPr>
            <w:r w:rsidRPr="00154A49">
              <w:rPr>
                <w:rFonts w:ascii="Arial" w:hAnsi="Arial" w:cs="Arial"/>
                <w:b/>
                <w:color w:val="FFFFFF" w:themeColor="background1"/>
              </w:rPr>
              <w:t>Recevabilité à l’Annexe I</w:t>
            </w:r>
          </w:p>
        </w:tc>
      </w:tr>
      <w:tr w:rsidR="00CF7917" w:rsidRPr="00154A49" w14:paraId="1B36A58D" w14:textId="77777777" w:rsidTr="009D20E2">
        <w:tc>
          <w:tcPr>
            <w:tcW w:w="2518" w:type="dxa"/>
            <w:vMerge w:val="restart"/>
          </w:tcPr>
          <w:p w14:paraId="2FE86A1E" w14:textId="77777777" w:rsidR="00CF7917" w:rsidRPr="00154A49" w:rsidRDefault="00CF7917" w:rsidP="00F52586">
            <w:pPr>
              <w:jc w:val="both"/>
              <w:rPr>
                <w:rFonts w:ascii="Arial" w:hAnsi="Arial" w:cs="Arial"/>
              </w:rPr>
            </w:pPr>
            <w:r w:rsidRPr="00154A49">
              <w:rPr>
                <w:rFonts w:ascii="Arial" w:hAnsi="Arial" w:cs="Arial"/>
              </w:rPr>
              <w:t>1. Risque d’extinction</w:t>
            </w:r>
          </w:p>
        </w:tc>
        <w:tc>
          <w:tcPr>
            <w:tcW w:w="2897" w:type="dxa"/>
          </w:tcPr>
          <w:p w14:paraId="023BD6C5" w14:textId="77777777" w:rsidR="00CF7917" w:rsidRPr="00154A49" w:rsidRDefault="00CF7917" w:rsidP="00F52586">
            <w:pPr>
              <w:jc w:val="both"/>
              <w:rPr>
                <w:rFonts w:ascii="Arial" w:hAnsi="Arial" w:cs="Arial"/>
              </w:rPr>
            </w:pPr>
            <w:r w:rsidRPr="00154A49">
              <w:rPr>
                <w:rFonts w:ascii="Arial" w:hAnsi="Arial" w:cs="Arial"/>
              </w:rPr>
              <w:t>1.1 Catégorie de risque sur la Liste rouge</w:t>
            </w:r>
          </w:p>
        </w:tc>
        <w:tc>
          <w:tcPr>
            <w:tcW w:w="2100" w:type="dxa"/>
            <w:shd w:val="clear" w:color="auto" w:fill="6761A8"/>
          </w:tcPr>
          <w:p w14:paraId="4CAAFD30"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shd w:val="clear" w:color="auto" w:fill="2A8A86"/>
          </w:tcPr>
          <w:p w14:paraId="56BFE811" w14:textId="77777777" w:rsidR="00CF7917" w:rsidRPr="00154A49" w:rsidRDefault="00CF7917" w:rsidP="00F52586">
            <w:pPr>
              <w:jc w:val="both"/>
              <w:rPr>
                <w:rFonts w:ascii="Arial" w:hAnsi="Arial" w:cs="Arial"/>
              </w:rPr>
            </w:pPr>
            <w:r w:rsidRPr="00154A49">
              <w:rPr>
                <w:rFonts w:ascii="Segoe UI Symbol" w:hAnsi="Segoe UI Symbol" w:cs="Segoe UI Symbol"/>
              </w:rPr>
              <w:t>✓</w:t>
            </w:r>
            <w:r w:rsidRPr="00154A49">
              <w:rPr>
                <w:rFonts w:ascii="Arial" w:hAnsi="Arial" w:cs="Arial"/>
              </w:rPr>
              <w:t>*</w:t>
            </w:r>
          </w:p>
        </w:tc>
      </w:tr>
      <w:tr w:rsidR="00CF7917" w:rsidRPr="00154A49" w14:paraId="0C5A7649" w14:textId="77777777" w:rsidTr="009D20E2">
        <w:tc>
          <w:tcPr>
            <w:tcW w:w="2518" w:type="dxa"/>
            <w:vMerge/>
          </w:tcPr>
          <w:p w14:paraId="1A79CFBE" w14:textId="77777777" w:rsidR="00CF7917" w:rsidRPr="00154A49" w:rsidRDefault="00CF7917" w:rsidP="00F52586">
            <w:pPr>
              <w:jc w:val="both"/>
              <w:rPr>
                <w:rFonts w:ascii="Arial" w:hAnsi="Arial" w:cs="Arial"/>
              </w:rPr>
            </w:pPr>
          </w:p>
        </w:tc>
        <w:tc>
          <w:tcPr>
            <w:tcW w:w="2897" w:type="dxa"/>
          </w:tcPr>
          <w:p w14:paraId="4E23645E" w14:textId="77777777" w:rsidR="00CF7917" w:rsidRPr="00154A49" w:rsidRDefault="00CF7917" w:rsidP="00F52586">
            <w:pPr>
              <w:jc w:val="both"/>
              <w:rPr>
                <w:rFonts w:ascii="Arial" w:hAnsi="Arial" w:cs="Arial"/>
              </w:rPr>
            </w:pPr>
            <w:r w:rsidRPr="00154A49">
              <w:rPr>
                <w:rFonts w:ascii="Arial" w:hAnsi="Arial" w:cs="Arial"/>
              </w:rPr>
              <w:t>1.2 Tendance de la population</w:t>
            </w:r>
          </w:p>
        </w:tc>
        <w:tc>
          <w:tcPr>
            <w:tcW w:w="2100" w:type="dxa"/>
            <w:shd w:val="clear" w:color="auto" w:fill="6761A8"/>
          </w:tcPr>
          <w:p w14:paraId="3ECE5AC4"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shd w:val="clear" w:color="auto" w:fill="2A8A86"/>
          </w:tcPr>
          <w:p w14:paraId="0D7CEB45"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r>
      <w:tr w:rsidR="00CF7917" w:rsidRPr="00154A49" w14:paraId="4DF9EC86" w14:textId="77777777" w:rsidTr="009D20E2">
        <w:tc>
          <w:tcPr>
            <w:tcW w:w="2518" w:type="dxa"/>
            <w:vMerge w:val="restart"/>
          </w:tcPr>
          <w:p w14:paraId="05787530" w14:textId="77777777" w:rsidR="00CF7917" w:rsidRPr="00154A49" w:rsidRDefault="00CF7917" w:rsidP="00154A49">
            <w:pPr>
              <w:rPr>
                <w:rFonts w:ascii="Arial" w:hAnsi="Arial" w:cs="Arial"/>
              </w:rPr>
            </w:pPr>
            <w:r w:rsidRPr="00154A49">
              <w:rPr>
                <w:rFonts w:ascii="Arial" w:hAnsi="Arial" w:cs="Arial"/>
              </w:rPr>
              <w:t xml:space="preserve">2. Vulnérabilité biologique </w:t>
            </w:r>
          </w:p>
        </w:tc>
        <w:tc>
          <w:tcPr>
            <w:tcW w:w="2897" w:type="dxa"/>
          </w:tcPr>
          <w:p w14:paraId="79345B6C" w14:textId="77777777" w:rsidR="00CF7917" w:rsidRPr="00154A49" w:rsidRDefault="00CF7917" w:rsidP="00F52586">
            <w:pPr>
              <w:jc w:val="both"/>
              <w:rPr>
                <w:rFonts w:ascii="Arial" w:hAnsi="Arial" w:cs="Arial"/>
              </w:rPr>
            </w:pPr>
            <w:r w:rsidRPr="00154A49">
              <w:rPr>
                <w:rFonts w:ascii="Arial" w:hAnsi="Arial" w:cs="Arial"/>
              </w:rPr>
              <w:t>2.1 Taille du corps</w:t>
            </w:r>
          </w:p>
        </w:tc>
        <w:tc>
          <w:tcPr>
            <w:tcW w:w="2100" w:type="dxa"/>
            <w:shd w:val="clear" w:color="auto" w:fill="6761A8"/>
          </w:tcPr>
          <w:p w14:paraId="68A425C8"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Pr>
          <w:p w14:paraId="7C4A6B0E" w14:textId="77777777" w:rsidR="00CF7917" w:rsidRPr="00154A49" w:rsidRDefault="00CF7917" w:rsidP="00F52586">
            <w:pPr>
              <w:jc w:val="both"/>
              <w:rPr>
                <w:rFonts w:ascii="Arial" w:hAnsi="Arial" w:cs="Arial"/>
              </w:rPr>
            </w:pPr>
          </w:p>
        </w:tc>
      </w:tr>
      <w:tr w:rsidR="00CF7917" w:rsidRPr="00154A49" w14:paraId="52F3CFF0" w14:textId="77777777" w:rsidTr="009D20E2">
        <w:tc>
          <w:tcPr>
            <w:tcW w:w="2518" w:type="dxa"/>
            <w:vMerge/>
          </w:tcPr>
          <w:p w14:paraId="07F3B503" w14:textId="77777777" w:rsidR="00CF7917" w:rsidRPr="00154A49" w:rsidRDefault="00CF7917" w:rsidP="00F52586">
            <w:pPr>
              <w:jc w:val="both"/>
              <w:rPr>
                <w:rFonts w:ascii="Arial" w:hAnsi="Arial" w:cs="Arial"/>
              </w:rPr>
            </w:pPr>
          </w:p>
        </w:tc>
        <w:tc>
          <w:tcPr>
            <w:tcW w:w="2897" w:type="dxa"/>
          </w:tcPr>
          <w:p w14:paraId="2B73EFE2" w14:textId="77777777" w:rsidR="00CF7917" w:rsidRPr="00154A49" w:rsidRDefault="00CF7917" w:rsidP="00F52586">
            <w:pPr>
              <w:jc w:val="both"/>
              <w:rPr>
                <w:rFonts w:ascii="Arial" w:hAnsi="Arial" w:cs="Arial"/>
              </w:rPr>
            </w:pPr>
            <w:r w:rsidRPr="00154A49">
              <w:rPr>
                <w:rFonts w:ascii="Arial" w:hAnsi="Arial" w:cs="Arial"/>
              </w:rPr>
              <w:t>2.2 Efficacité de reproduction</w:t>
            </w:r>
          </w:p>
        </w:tc>
        <w:tc>
          <w:tcPr>
            <w:tcW w:w="2100" w:type="dxa"/>
            <w:shd w:val="clear" w:color="auto" w:fill="6761A8"/>
          </w:tcPr>
          <w:p w14:paraId="19C688FF"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Pr>
          <w:p w14:paraId="70825495" w14:textId="77777777" w:rsidR="00CF7917" w:rsidRPr="00154A49" w:rsidRDefault="00CF7917" w:rsidP="00F52586">
            <w:pPr>
              <w:jc w:val="both"/>
              <w:rPr>
                <w:rFonts w:ascii="Arial" w:hAnsi="Arial" w:cs="Arial"/>
              </w:rPr>
            </w:pPr>
          </w:p>
        </w:tc>
      </w:tr>
      <w:tr w:rsidR="00CF7917" w:rsidRPr="00154A49" w14:paraId="11300D54" w14:textId="77777777" w:rsidTr="009D20E2">
        <w:tc>
          <w:tcPr>
            <w:tcW w:w="2518" w:type="dxa"/>
            <w:vMerge/>
          </w:tcPr>
          <w:p w14:paraId="6E7D151C" w14:textId="77777777" w:rsidR="00CF7917" w:rsidRPr="00154A49" w:rsidRDefault="00CF7917" w:rsidP="00F52586">
            <w:pPr>
              <w:jc w:val="both"/>
              <w:rPr>
                <w:rFonts w:ascii="Arial" w:hAnsi="Arial" w:cs="Arial"/>
              </w:rPr>
            </w:pPr>
          </w:p>
        </w:tc>
        <w:tc>
          <w:tcPr>
            <w:tcW w:w="2897" w:type="dxa"/>
          </w:tcPr>
          <w:p w14:paraId="4F9FB4BA" w14:textId="77777777" w:rsidR="00CF7917" w:rsidRPr="00154A49" w:rsidRDefault="00CF7917" w:rsidP="00F52586">
            <w:pPr>
              <w:jc w:val="both"/>
              <w:rPr>
                <w:rFonts w:ascii="Arial" w:hAnsi="Arial" w:cs="Arial"/>
              </w:rPr>
            </w:pPr>
            <w:r w:rsidRPr="00154A49">
              <w:rPr>
                <w:rFonts w:ascii="Arial" w:hAnsi="Arial" w:cs="Arial"/>
              </w:rPr>
              <w:t>2.3 Étendue de l’habitat</w:t>
            </w:r>
          </w:p>
        </w:tc>
        <w:tc>
          <w:tcPr>
            <w:tcW w:w="2100" w:type="dxa"/>
            <w:shd w:val="clear" w:color="auto" w:fill="6761A8"/>
          </w:tcPr>
          <w:p w14:paraId="3CE53097"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Pr>
          <w:p w14:paraId="3F85F5B6" w14:textId="77777777" w:rsidR="00CF7917" w:rsidRPr="00154A49" w:rsidRDefault="00CF7917" w:rsidP="00F52586">
            <w:pPr>
              <w:jc w:val="both"/>
              <w:rPr>
                <w:rFonts w:ascii="Arial" w:hAnsi="Arial" w:cs="Arial"/>
              </w:rPr>
            </w:pPr>
          </w:p>
        </w:tc>
      </w:tr>
      <w:tr w:rsidR="00CF7917" w:rsidRPr="00154A49" w14:paraId="1042543A" w14:textId="77777777" w:rsidTr="009D20E2">
        <w:tc>
          <w:tcPr>
            <w:tcW w:w="2518" w:type="dxa"/>
            <w:vMerge/>
          </w:tcPr>
          <w:p w14:paraId="7B7C0A8E" w14:textId="77777777" w:rsidR="00CF7917" w:rsidRPr="00154A49" w:rsidRDefault="00CF7917" w:rsidP="00F52586">
            <w:pPr>
              <w:jc w:val="both"/>
              <w:rPr>
                <w:rFonts w:ascii="Arial" w:hAnsi="Arial" w:cs="Arial"/>
              </w:rPr>
            </w:pPr>
          </w:p>
        </w:tc>
        <w:tc>
          <w:tcPr>
            <w:tcW w:w="2897" w:type="dxa"/>
          </w:tcPr>
          <w:p w14:paraId="60ADEEE2" w14:textId="77777777" w:rsidR="00CF7917" w:rsidRPr="00154A49" w:rsidRDefault="00CF7917" w:rsidP="00F52586">
            <w:pPr>
              <w:jc w:val="both"/>
              <w:rPr>
                <w:rFonts w:ascii="Arial" w:hAnsi="Arial" w:cs="Arial"/>
              </w:rPr>
            </w:pPr>
            <w:r w:rsidRPr="00154A49">
              <w:rPr>
                <w:rFonts w:ascii="Arial" w:hAnsi="Arial" w:cs="Arial"/>
              </w:rPr>
              <w:t>2.4 Taille de l’aire de répartition</w:t>
            </w:r>
          </w:p>
        </w:tc>
        <w:tc>
          <w:tcPr>
            <w:tcW w:w="2100" w:type="dxa"/>
            <w:shd w:val="clear" w:color="auto" w:fill="6761A8"/>
          </w:tcPr>
          <w:p w14:paraId="0BB23357"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Pr>
          <w:p w14:paraId="4E683EE9" w14:textId="77777777" w:rsidR="00CF7917" w:rsidRPr="00154A49" w:rsidRDefault="00CF7917" w:rsidP="00F52586">
            <w:pPr>
              <w:jc w:val="both"/>
              <w:rPr>
                <w:rFonts w:ascii="Arial" w:hAnsi="Arial" w:cs="Arial"/>
              </w:rPr>
            </w:pPr>
          </w:p>
        </w:tc>
      </w:tr>
      <w:tr w:rsidR="00CF7917" w:rsidRPr="00154A49" w14:paraId="3D870EB3" w14:textId="77777777" w:rsidTr="009D20E2">
        <w:tc>
          <w:tcPr>
            <w:tcW w:w="2518" w:type="dxa"/>
            <w:vMerge w:val="restart"/>
          </w:tcPr>
          <w:p w14:paraId="21C6A270" w14:textId="77777777" w:rsidR="00CF7917" w:rsidRPr="00154A49" w:rsidRDefault="00CF7917" w:rsidP="00F52586">
            <w:pPr>
              <w:jc w:val="both"/>
              <w:rPr>
                <w:rFonts w:ascii="Arial" w:hAnsi="Arial" w:cs="Arial"/>
              </w:rPr>
            </w:pPr>
            <w:r w:rsidRPr="00154A49">
              <w:rPr>
                <w:rFonts w:ascii="Arial" w:hAnsi="Arial" w:cs="Arial"/>
              </w:rPr>
              <w:t>3. Menaces sur les espèces</w:t>
            </w:r>
          </w:p>
        </w:tc>
        <w:tc>
          <w:tcPr>
            <w:tcW w:w="2897" w:type="dxa"/>
          </w:tcPr>
          <w:p w14:paraId="5C525DA8" w14:textId="77777777" w:rsidR="00CF7917" w:rsidRPr="00154A49" w:rsidRDefault="00CF7917" w:rsidP="00F52586">
            <w:pPr>
              <w:jc w:val="both"/>
              <w:rPr>
                <w:rFonts w:ascii="Arial" w:hAnsi="Arial" w:cs="Arial"/>
              </w:rPr>
            </w:pPr>
            <w:r w:rsidRPr="00154A49">
              <w:rPr>
                <w:rFonts w:ascii="Arial" w:hAnsi="Arial" w:cs="Arial"/>
              </w:rPr>
              <w:t>3.1 Menace due à l’usage</w:t>
            </w:r>
          </w:p>
        </w:tc>
        <w:tc>
          <w:tcPr>
            <w:tcW w:w="2100" w:type="dxa"/>
            <w:shd w:val="clear" w:color="auto" w:fill="6761A8"/>
          </w:tcPr>
          <w:p w14:paraId="5EDFCDFF" w14:textId="77777777" w:rsidR="00CF7917" w:rsidRPr="00154A49" w:rsidRDefault="00CF7917" w:rsidP="00F52586">
            <w:pPr>
              <w:jc w:val="both"/>
              <w:rPr>
                <w:rFonts w:ascii="Arial" w:hAnsi="Arial" w:cs="Arial"/>
              </w:rPr>
            </w:pPr>
            <w:r w:rsidRPr="00154A49">
              <w:rPr>
                <w:rFonts w:ascii="Segoe UI Symbol" w:hAnsi="Segoe UI Symbol" w:cs="Segoe UI Symbol"/>
              </w:rPr>
              <w:t>✓</w:t>
            </w:r>
            <w:r w:rsidRPr="00154A49">
              <w:rPr>
                <w:rFonts w:ascii="Arial" w:hAnsi="Arial" w:cs="Arial"/>
              </w:rPr>
              <w:t>*</w:t>
            </w:r>
          </w:p>
        </w:tc>
        <w:tc>
          <w:tcPr>
            <w:tcW w:w="1501" w:type="dxa"/>
          </w:tcPr>
          <w:p w14:paraId="4AEE92EB" w14:textId="77777777" w:rsidR="00CF7917" w:rsidRPr="00154A49" w:rsidRDefault="00CF7917" w:rsidP="00F52586">
            <w:pPr>
              <w:jc w:val="both"/>
              <w:rPr>
                <w:rFonts w:ascii="Arial" w:hAnsi="Arial" w:cs="Arial"/>
              </w:rPr>
            </w:pPr>
          </w:p>
        </w:tc>
      </w:tr>
      <w:tr w:rsidR="00CF7917" w:rsidRPr="00154A49" w14:paraId="0721F4D7" w14:textId="77777777" w:rsidTr="009D20E2">
        <w:tc>
          <w:tcPr>
            <w:tcW w:w="2518" w:type="dxa"/>
            <w:vMerge/>
          </w:tcPr>
          <w:p w14:paraId="014BADE4" w14:textId="77777777" w:rsidR="00CF7917" w:rsidRPr="00154A49" w:rsidRDefault="00CF7917" w:rsidP="00F52586">
            <w:pPr>
              <w:jc w:val="both"/>
              <w:rPr>
                <w:rFonts w:ascii="Arial" w:hAnsi="Arial" w:cs="Arial"/>
              </w:rPr>
            </w:pPr>
          </w:p>
        </w:tc>
        <w:tc>
          <w:tcPr>
            <w:tcW w:w="2897" w:type="dxa"/>
          </w:tcPr>
          <w:p w14:paraId="4F5AB488" w14:textId="77777777" w:rsidR="00CF7917" w:rsidRPr="00154A49" w:rsidRDefault="00CF7917" w:rsidP="00F52586">
            <w:pPr>
              <w:jc w:val="both"/>
              <w:rPr>
                <w:rFonts w:ascii="Arial" w:hAnsi="Arial" w:cs="Arial"/>
              </w:rPr>
            </w:pPr>
            <w:r w:rsidRPr="00154A49">
              <w:rPr>
                <w:rFonts w:ascii="Arial" w:hAnsi="Arial" w:cs="Arial"/>
              </w:rPr>
              <w:t>3.2 Dans le commerce international licite</w:t>
            </w:r>
          </w:p>
        </w:tc>
        <w:tc>
          <w:tcPr>
            <w:tcW w:w="2100" w:type="dxa"/>
            <w:shd w:val="clear" w:color="auto" w:fill="6761A8"/>
          </w:tcPr>
          <w:p w14:paraId="65CCA1CB" w14:textId="77777777" w:rsidR="00CF7917" w:rsidRPr="00154A49" w:rsidRDefault="00CF7917" w:rsidP="00F52586">
            <w:pPr>
              <w:jc w:val="both"/>
              <w:rPr>
                <w:rFonts w:ascii="Arial" w:hAnsi="Arial" w:cs="Arial"/>
              </w:rPr>
            </w:pPr>
            <w:r w:rsidRPr="00154A49">
              <w:rPr>
                <w:rFonts w:ascii="Segoe UI Symbol" w:hAnsi="Segoe UI Symbol" w:cs="Segoe UI Symbol"/>
              </w:rPr>
              <w:t>✓</w:t>
            </w:r>
            <w:r w:rsidRPr="00154A49">
              <w:rPr>
                <w:rFonts w:ascii="Arial" w:hAnsi="Arial" w:cs="Arial"/>
              </w:rPr>
              <w:t>*</w:t>
            </w:r>
          </w:p>
        </w:tc>
        <w:tc>
          <w:tcPr>
            <w:tcW w:w="1501" w:type="dxa"/>
          </w:tcPr>
          <w:p w14:paraId="7667CC9F" w14:textId="77777777" w:rsidR="00CF7917" w:rsidRPr="00154A49" w:rsidRDefault="00CF7917" w:rsidP="00F52586">
            <w:pPr>
              <w:jc w:val="both"/>
              <w:rPr>
                <w:rFonts w:ascii="Arial" w:hAnsi="Arial" w:cs="Arial"/>
              </w:rPr>
            </w:pPr>
          </w:p>
        </w:tc>
      </w:tr>
      <w:tr w:rsidR="00CF7917" w:rsidRPr="00154A49" w14:paraId="16D97D98" w14:textId="77777777" w:rsidTr="009D20E2">
        <w:tc>
          <w:tcPr>
            <w:tcW w:w="2518" w:type="dxa"/>
            <w:vMerge/>
          </w:tcPr>
          <w:p w14:paraId="3CBA7FFF" w14:textId="77777777" w:rsidR="00CF7917" w:rsidRPr="00154A49" w:rsidRDefault="00CF7917" w:rsidP="00F52586">
            <w:pPr>
              <w:jc w:val="both"/>
              <w:rPr>
                <w:rFonts w:ascii="Arial" w:hAnsi="Arial" w:cs="Arial"/>
              </w:rPr>
            </w:pPr>
          </w:p>
        </w:tc>
        <w:tc>
          <w:tcPr>
            <w:tcW w:w="2897" w:type="dxa"/>
          </w:tcPr>
          <w:p w14:paraId="59CD33B3" w14:textId="77777777" w:rsidR="00CF7917" w:rsidRPr="00154A49" w:rsidRDefault="00CF7917" w:rsidP="00F52586">
            <w:pPr>
              <w:jc w:val="both"/>
              <w:rPr>
                <w:rFonts w:ascii="Arial" w:hAnsi="Arial" w:cs="Arial"/>
              </w:rPr>
            </w:pPr>
            <w:r w:rsidRPr="00154A49">
              <w:rPr>
                <w:rFonts w:ascii="Arial" w:hAnsi="Arial" w:cs="Arial"/>
              </w:rPr>
              <w:t>3.3 Usage domestique ou de consommation</w:t>
            </w:r>
          </w:p>
        </w:tc>
        <w:tc>
          <w:tcPr>
            <w:tcW w:w="2100" w:type="dxa"/>
            <w:shd w:val="clear" w:color="auto" w:fill="6761A8"/>
          </w:tcPr>
          <w:p w14:paraId="3045409B"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Pr>
          <w:p w14:paraId="6BCC4755" w14:textId="77777777" w:rsidR="00CF7917" w:rsidRPr="00154A49" w:rsidRDefault="00CF7917" w:rsidP="00F52586">
            <w:pPr>
              <w:jc w:val="both"/>
              <w:rPr>
                <w:rFonts w:ascii="Arial" w:hAnsi="Arial" w:cs="Arial"/>
              </w:rPr>
            </w:pPr>
          </w:p>
        </w:tc>
      </w:tr>
      <w:tr w:rsidR="00CF7917" w:rsidRPr="00154A49" w14:paraId="06A8B3EA" w14:textId="77777777" w:rsidTr="009D20E2">
        <w:tc>
          <w:tcPr>
            <w:tcW w:w="2518" w:type="dxa"/>
            <w:vMerge/>
          </w:tcPr>
          <w:p w14:paraId="30B3F17C" w14:textId="77777777" w:rsidR="00CF7917" w:rsidRPr="00154A49" w:rsidRDefault="00CF7917" w:rsidP="00F52586">
            <w:pPr>
              <w:jc w:val="both"/>
              <w:rPr>
                <w:rFonts w:ascii="Arial" w:hAnsi="Arial" w:cs="Arial"/>
              </w:rPr>
            </w:pPr>
          </w:p>
        </w:tc>
        <w:tc>
          <w:tcPr>
            <w:tcW w:w="2897" w:type="dxa"/>
          </w:tcPr>
          <w:p w14:paraId="0243DD8B" w14:textId="77777777" w:rsidR="00CF7917" w:rsidRPr="00154A49" w:rsidRDefault="00CF7917" w:rsidP="00F52586">
            <w:pPr>
              <w:jc w:val="both"/>
              <w:rPr>
                <w:rFonts w:ascii="Arial" w:hAnsi="Arial" w:cs="Arial"/>
              </w:rPr>
            </w:pPr>
            <w:r w:rsidRPr="00154A49">
              <w:rPr>
                <w:rFonts w:ascii="Arial" w:hAnsi="Arial" w:cs="Arial"/>
              </w:rPr>
              <w:t>3.4 Prélèvement illicite</w:t>
            </w:r>
          </w:p>
        </w:tc>
        <w:tc>
          <w:tcPr>
            <w:tcW w:w="2100" w:type="dxa"/>
            <w:shd w:val="clear" w:color="auto" w:fill="6761A8"/>
          </w:tcPr>
          <w:p w14:paraId="0096D985"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Pr>
          <w:p w14:paraId="36236364" w14:textId="77777777" w:rsidR="00CF7917" w:rsidRPr="00154A49" w:rsidRDefault="00CF7917" w:rsidP="00F52586">
            <w:pPr>
              <w:jc w:val="both"/>
              <w:rPr>
                <w:rFonts w:ascii="Arial" w:hAnsi="Arial" w:cs="Arial"/>
              </w:rPr>
            </w:pPr>
          </w:p>
        </w:tc>
      </w:tr>
      <w:tr w:rsidR="00CF7917" w:rsidRPr="00154A49" w14:paraId="32042253" w14:textId="77777777" w:rsidTr="009D20E2">
        <w:tc>
          <w:tcPr>
            <w:tcW w:w="2518" w:type="dxa"/>
            <w:vMerge/>
            <w:tcBorders>
              <w:bottom w:val="single" w:sz="4" w:space="0" w:color="auto"/>
            </w:tcBorders>
          </w:tcPr>
          <w:p w14:paraId="110ACE69" w14:textId="77777777" w:rsidR="00CF7917" w:rsidRPr="00154A49" w:rsidRDefault="00CF7917" w:rsidP="00F52586">
            <w:pPr>
              <w:jc w:val="both"/>
              <w:rPr>
                <w:rFonts w:ascii="Arial" w:hAnsi="Arial" w:cs="Arial"/>
              </w:rPr>
            </w:pPr>
          </w:p>
        </w:tc>
        <w:tc>
          <w:tcPr>
            <w:tcW w:w="2897" w:type="dxa"/>
            <w:tcBorders>
              <w:bottom w:val="single" w:sz="4" w:space="0" w:color="auto"/>
            </w:tcBorders>
          </w:tcPr>
          <w:p w14:paraId="669D40AC" w14:textId="77777777" w:rsidR="00CF7917" w:rsidRPr="00154A49" w:rsidRDefault="00CF7917" w:rsidP="00F52586">
            <w:pPr>
              <w:jc w:val="both"/>
              <w:rPr>
                <w:rFonts w:ascii="Arial" w:hAnsi="Arial" w:cs="Arial"/>
              </w:rPr>
            </w:pPr>
            <w:r w:rsidRPr="00154A49">
              <w:rPr>
                <w:rFonts w:ascii="Arial" w:hAnsi="Arial" w:cs="Arial"/>
              </w:rPr>
              <w:t>3.5 Impact des menaces existantes</w:t>
            </w:r>
          </w:p>
        </w:tc>
        <w:tc>
          <w:tcPr>
            <w:tcW w:w="2100" w:type="dxa"/>
            <w:tcBorders>
              <w:bottom w:val="single" w:sz="4" w:space="0" w:color="auto"/>
            </w:tcBorders>
          </w:tcPr>
          <w:p w14:paraId="39C6FEF8" w14:textId="77777777" w:rsidR="00CF7917" w:rsidRPr="00154A49" w:rsidRDefault="00CF7917" w:rsidP="00F52586">
            <w:pPr>
              <w:jc w:val="both"/>
              <w:rPr>
                <w:rFonts w:ascii="Arial" w:hAnsi="Arial" w:cs="Arial"/>
              </w:rPr>
            </w:pPr>
          </w:p>
        </w:tc>
        <w:tc>
          <w:tcPr>
            <w:tcW w:w="1501" w:type="dxa"/>
            <w:tcBorders>
              <w:bottom w:val="single" w:sz="4" w:space="0" w:color="auto"/>
            </w:tcBorders>
            <w:shd w:val="clear" w:color="auto" w:fill="2A8A86"/>
          </w:tcPr>
          <w:p w14:paraId="22304CEF" w14:textId="77777777" w:rsidR="00CF7917" w:rsidRPr="00154A49" w:rsidRDefault="00CF7917" w:rsidP="00F52586">
            <w:pPr>
              <w:jc w:val="both"/>
              <w:rPr>
                <w:rFonts w:ascii="Arial" w:hAnsi="Arial" w:cs="Arial"/>
              </w:rPr>
            </w:pPr>
            <w:r w:rsidRPr="00154A49">
              <w:rPr>
                <w:rFonts w:ascii="Segoe UI Symbol" w:hAnsi="Segoe UI Symbol" w:cs="Segoe UI Symbol"/>
              </w:rPr>
              <w:t>✓</w:t>
            </w:r>
            <w:r w:rsidRPr="00154A49">
              <w:rPr>
                <w:rFonts w:ascii="Arial" w:hAnsi="Arial" w:cs="Arial"/>
              </w:rPr>
              <w:t>*</w:t>
            </w:r>
          </w:p>
        </w:tc>
      </w:tr>
      <w:tr w:rsidR="00CF7917" w:rsidRPr="00154A49" w14:paraId="570576C3" w14:textId="77777777" w:rsidTr="009D20E2">
        <w:tc>
          <w:tcPr>
            <w:tcW w:w="2518" w:type="dxa"/>
            <w:vMerge w:val="restart"/>
            <w:tcBorders>
              <w:bottom w:val="nil"/>
            </w:tcBorders>
          </w:tcPr>
          <w:p w14:paraId="63A59827" w14:textId="77777777" w:rsidR="00CF7917" w:rsidRPr="00154A49" w:rsidRDefault="00CF7917" w:rsidP="00F52586">
            <w:pPr>
              <w:jc w:val="both"/>
              <w:rPr>
                <w:rFonts w:ascii="Arial" w:hAnsi="Arial" w:cs="Arial"/>
              </w:rPr>
            </w:pPr>
            <w:r w:rsidRPr="00154A49">
              <w:rPr>
                <w:rFonts w:ascii="Arial" w:hAnsi="Arial" w:cs="Arial"/>
              </w:rPr>
              <w:t>4. Effort de gestion</w:t>
            </w:r>
          </w:p>
        </w:tc>
        <w:tc>
          <w:tcPr>
            <w:tcW w:w="2897" w:type="dxa"/>
            <w:tcBorders>
              <w:bottom w:val="single" w:sz="4" w:space="0" w:color="auto"/>
            </w:tcBorders>
          </w:tcPr>
          <w:p w14:paraId="62CAED61" w14:textId="77777777" w:rsidR="00CF7917" w:rsidRPr="00154A49" w:rsidRDefault="00CF7917" w:rsidP="00F52586">
            <w:pPr>
              <w:jc w:val="both"/>
              <w:rPr>
                <w:rFonts w:ascii="Arial" w:hAnsi="Arial" w:cs="Arial"/>
              </w:rPr>
            </w:pPr>
            <w:r w:rsidRPr="00154A49">
              <w:rPr>
                <w:rFonts w:ascii="Arial" w:hAnsi="Arial" w:cs="Arial"/>
              </w:rPr>
              <w:t>4.1 Mesures existantes au titre de la CITES</w:t>
            </w:r>
          </w:p>
        </w:tc>
        <w:tc>
          <w:tcPr>
            <w:tcW w:w="2100" w:type="dxa"/>
            <w:tcBorders>
              <w:bottom w:val="single" w:sz="4" w:space="0" w:color="auto"/>
            </w:tcBorders>
            <w:shd w:val="clear" w:color="auto" w:fill="6761A8"/>
          </w:tcPr>
          <w:p w14:paraId="1E017A95"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Borders>
              <w:bottom w:val="single" w:sz="4" w:space="0" w:color="auto"/>
            </w:tcBorders>
          </w:tcPr>
          <w:p w14:paraId="39C85F86" w14:textId="77777777" w:rsidR="00CF7917" w:rsidRPr="00154A49" w:rsidRDefault="00CF7917" w:rsidP="00F52586">
            <w:pPr>
              <w:jc w:val="both"/>
              <w:rPr>
                <w:rFonts w:ascii="Arial" w:hAnsi="Arial" w:cs="Arial"/>
              </w:rPr>
            </w:pPr>
          </w:p>
        </w:tc>
      </w:tr>
      <w:tr w:rsidR="00CF7917" w:rsidRPr="00154A49" w14:paraId="262004A9" w14:textId="77777777" w:rsidTr="009D20E2">
        <w:tc>
          <w:tcPr>
            <w:tcW w:w="2518" w:type="dxa"/>
            <w:vMerge/>
            <w:tcBorders>
              <w:top w:val="nil"/>
            </w:tcBorders>
          </w:tcPr>
          <w:p w14:paraId="07AA03F0" w14:textId="77777777" w:rsidR="00CF7917" w:rsidRPr="00154A49" w:rsidRDefault="00CF7917" w:rsidP="00F52586">
            <w:pPr>
              <w:jc w:val="both"/>
              <w:rPr>
                <w:rFonts w:ascii="Arial" w:hAnsi="Arial" w:cs="Arial"/>
                <w:highlight w:val="yellow"/>
              </w:rPr>
            </w:pPr>
          </w:p>
        </w:tc>
        <w:tc>
          <w:tcPr>
            <w:tcW w:w="2897" w:type="dxa"/>
            <w:tcBorders>
              <w:top w:val="single" w:sz="4" w:space="0" w:color="auto"/>
            </w:tcBorders>
          </w:tcPr>
          <w:p w14:paraId="2065D3A6" w14:textId="0DC2A8DB" w:rsidR="00CF7917" w:rsidRPr="00154A49" w:rsidRDefault="004221C7" w:rsidP="00F52586">
            <w:pPr>
              <w:jc w:val="both"/>
              <w:rPr>
                <w:rFonts w:ascii="Arial" w:hAnsi="Arial" w:cs="Arial"/>
              </w:rPr>
            </w:pPr>
            <w:r w:rsidRPr="00154A49">
              <w:rPr>
                <w:rFonts w:ascii="Arial" w:hAnsi="Arial" w:cs="Arial"/>
              </w:rPr>
              <w:t xml:space="preserve">4.2 </w:t>
            </w:r>
            <w:r w:rsidR="00CF7917" w:rsidRPr="00154A49">
              <w:rPr>
                <w:rFonts w:ascii="Arial" w:hAnsi="Arial" w:cs="Arial"/>
              </w:rPr>
              <w:t>Actions de conservation à l’œuvre</w:t>
            </w:r>
          </w:p>
        </w:tc>
        <w:tc>
          <w:tcPr>
            <w:tcW w:w="2100" w:type="dxa"/>
            <w:tcBorders>
              <w:top w:val="single" w:sz="4" w:space="0" w:color="auto"/>
            </w:tcBorders>
            <w:shd w:val="clear" w:color="auto" w:fill="6761A8"/>
          </w:tcPr>
          <w:p w14:paraId="7D754963"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Borders>
              <w:top w:val="single" w:sz="4" w:space="0" w:color="auto"/>
            </w:tcBorders>
          </w:tcPr>
          <w:p w14:paraId="178D631D" w14:textId="77777777" w:rsidR="00CF7917" w:rsidRPr="00154A49" w:rsidRDefault="00CF7917" w:rsidP="00F52586">
            <w:pPr>
              <w:jc w:val="both"/>
              <w:rPr>
                <w:rFonts w:ascii="Arial" w:hAnsi="Arial" w:cs="Arial"/>
              </w:rPr>
            </w:pPr>
          </w:p>
        </w:tc>
      </w:tr>
      <w:tr w:rsidR="00CF7917" w:rsidRPr="00154A49" w14:paraId="3308B2CD" w14:textId="77777777" w:rsidTr="009D20E2">
        <w:tc>
          <w:tcPr>
            <w:tcW w:w="2518" w:type="dxa"/>
            <w:vMerge/>
            <w:tcBorders>
              <w:bottom w:val="single" w:sz="4" w:space="0" w:color="auto"/>
            </w:tcBorders>
          </w:tcPr>
          <w:p w14:paraId="355F98EB" w14:textId="77777777" w:rsidR="00CF7917" w:rsidRPr="00154A49" w:rsidRDefault="00CF7917" w:rsidP="00F52586">
            <w:pPr>
              <w:jc w:val="both"/>
              <w:rPr>
                <w:rFonts w:ascii="Arial" w:hAnsi="Arial" w:cs="Arial"/>
                <w:highlight w:val="yellow"/>
              </w:rPr>
            </w:pPr>
          </w:p>
        </w:tc>
        <w:tc>
          <w:tcPr>
            <w:tcW w:w="2897" w:type="dxa"/>
            <w:tcBorders>
              <w:bottom w:val="single" w:sz="4" w:space="0" w:color="auto"/>
            </w:tcBorders>
          </w:tcPr>
          <w:p w14:paraId="2F7A3AD3" w14:textId="77777777" w:rsidR="00CF7917" w:rsidRPr="00154A49" w:rsidRDefault="00CF7917" w:rsidP="00F52586">
            <w:pPr>
              <w:jc w:val="both"/>
              <w:rPr>
                <w:rFonts w:ascii="Arial" w:hAnsi="Arial" w:cs="Arial"/>
              </w:rPr>
            </w:pPr>
            <w:r w:rsidRPr="00154A49">
              <w:rPr>
                <w:rFonts w:ascii="Arial" w:hAnsi="Arial" w:cs="Arial"/>
              </w:rPr>
              <w:t>4.3. Interdiction de prélèvement</w:t>
            </w:r>
          </w:p>
        </w:tc>
        <w:tc>
          <w:tcPr>
            <w:tcW w:w="2100" w:type="dxa"/>
            <w:tcBorders>
              <w:bottom w:val="single" w:sz="4" w:space="0" w:color="auto"/>
            </w:tcBorders>
            <w:shd w:val="clear" w:color="auto" w:fill="6761A8"/>
          </w:tcPr>
          <w:p w14:paraId="7F2F871E" w14:textId="77777777" w:rsidR="00CF7917" w:rsidRPr="00154A49" w:rsidRDefault="00CF7917" w:rsidP="00F52586">
            <w:pPr>
              <w:jc w:val="both"/>
              <w:rPr>
                <w:rFonts w:ascii="Arial" w:hAnsi="Arial" w:cs="Arial"/>
              </w:rPr>
            </w:pPr>
            <w:r w:rsidRPr="00154A49">
              <w:rPr>
                <w:rFonts w:ascii="Segoe UI Symbol" w:hAnsi="Segoe UI Symbol" w:cs="Segoe UI Symbol"/>
              </w:rPr>
              <w:t>✓</w:t>
            </w:r>
          </w:p>
        </w:tc>
        <w:tc>
          <w:tcPr>
            <w:tcW w:w="1501" w:type="dxa"/>
            <w:tcBorders>
              <w:bottom w:val="single" w:sz="4" w:space="0" w:color="auto"/>
            </w:tcBorders>
          </w:tcPr>
          <w:p w14:paraId="5D5F7B43" w14:textId="77777777" w:rsidR="00CF7917" w:rsidRPr="00154A49" w:rsidRDefault="00CF7917" w:rsidP="00F52586">
            <w:pPr>
              <w:jc w:val="both"/>
              <w:rPr>
                <w:rFonts w:ascii="Arial" w:hAnsi="Arial" w:cs="Arial"/>
              </w:rPr>
            </w:pPr>
          </w:p>
        </w:tc>
      </w:tr>
      <w:tr w:rsidR="001A63CD" w:rsidRPr="00154A49" w14:paraId="667EB326" w14:textId="77777777" w:rsidTr="009D20E2">
        <w:tc>
          <w:tcPr>
            <w:tcW w:w="2518" w:type="dxa"/>
            <w:vMerge w:val="restart"/>
            <w:tcBorders>
              <w:top w:val="single" w:sz="4" w:space="0" w:color="auto"/>
            </w:tcBorders>
          </w:tcPr>
          <w:p w14:paraId="6FC026CE" w14:textId="58F4E625" w:rsidR="001A63CD" w:rsidRPr="00154A49" w:rsidRDefault="001A63CD" w:rsidP="00F52586">
            <w:pPr>
              <w:jc w:val="both"/>
              <w:rPr>
                <w:rFonts w:ascii="Arial" w:hAnsi="Arial" w:cs="Arial"/>
                <w:highlight w:val="yellow"/>
              </w:rPr>
            </w:pPr>
            <w:r w:rsidRPr="00154A49">
              <w:rPr>
                <w:rFonts w:ascii="Arial" w:hAnsi="Arial" w:cs="Arial"/>
              </w:rPr>
              <w:t>5. Comportement  migratoire</w:t>
            </w:r>
          </w:p>
        </w:tc>
        <w:tc>
          <w:tcPr>
            <w:tcW w:w="2897" w:type="dxa"/>
            <w:tcBorders>
              <w:top w:val="single" w:sz="4" w:space="0" w:color="auto"/>
            </w:tcBorders>
          </w:tcPr>
          <w:p w14:paraId="399D9FDA" w14:textId="462DF9A6" w:rsidR="001A63CD" w:rsidRPr="00154A49" w:rsidRDefault="001A63CD" w:rsidP="00F52586">
            <w:pPr>
              <w:jc w:val="both"/>
              <w:rPr>
                <w:rFonts w:ascii="Arial" w:hAnsi="Arial" w:cs="Arial"/>
              </w:rPr>
            </w:pPr>
            <w:r w:rsidRPr="00154A49">
              <w:rPr>
                <w:rFonts w:ascii="Arial" w:hAnsi="Arial" w:cs="Arial"/>
              </w:rPr>
              <w:t xml:space="preserve">5.1 Schéma des mouvements </w:t>
            </w:r>
          </w:p>
        </w:tc>
        <w:tc>
          <w:tcPr>
            <w:tcW w:w="2100" w:type="dxa"/>
            <w:tcBorders>
              <w:top w:val="single" w:sz="4" w:space="0" w:color="auto"/>
            </w:tcBorders>
          </w:tcPr>
          <w:p w14:paraId="6F0A4123" w14:textId="77777777" w:rsidR="001A63CD" w:rsidRPr="00154A49" w:rsidRDefault="001A63CD" w:rsidP="00F52586">
            <w:pPr>
              <w:jc w:val="both"/>
              <w:rPr>
                <w:rFonts w:ascii="Arial" w:hAnsi="Arial" w:cs="Arial"/>
              </w:rPr>
            </w:pPr>
          </w:p>
        </w:tc>
        <w:tc>
          <w:tcPr>
            <w:tcW w:w="1501" w:type="dxa"/>
            <w:tcBorders>
              <w:top w:val="single" w:sz="4" w:space="0" w:color="auto"/>
            </w:tcBorders>
            <w:shd w:val="clear" w:color="auto" w:fill="2A8A86"/>
          </w:tcPr>
          <w:p w14:paraId="7771DED6" w14:textId="77777777" w:rsidR="001A63CD" w:rsidRPr="00154A49" w:rsidRDefault="001A63CD" w:rsidP="00F52586">
            <w:pPr>
              <w:jc w:val="both"/>
              <w:rPr>
                <w:rFonts w:ascii="Arial" w:hAnsi="Arial" w:cs="Arial"/>
              </w:rPr>
            </w:pPr>
            <w:r w:rsidRPr="00154A49">
              <w:rPr>
                <w:rFonts w:ascii="Segoe UI Symbol" w:hAnsi="Segoe UI Symbol" w:cs="Segoe UI Symbol"/>
              </w:rPr>
              <w:t>✓</w:t>
            </w:r>
          </w:p>
        </w:tc>
      </w:tr>
      <w:tr w:rsidR="001A63CD" w:rsidRPr="00154A49" w14:paraId="43588119" w14:textId="77777777" w:rsidTr="009D20E2">
        <w:tc>
          <w:tcPr>
            <w:tcW w:w="2518" w:type="dxa"/>
            <w:vMerge/>
          </w:tcPr>
          <w:p w14:paraId="2593FE45" w14:textId="77777777" w:rsidR="001A63CD" w:rsidRPr="00154A49" w:rsidRDefault="001A63CD" w:rsidP="00F52586">
            <w:pPr>
              <w:jc w:val="both"/>
              <w:rPr>
                <w:rFonts w:ascii="Arial" w:hAnsi="Arial" w:cs="Arial"/>
              </w:rPr>
            </w:pPr>
          </w:p>
        </w:tc>
        <w:tc>
          <w:tcPr>
            <w:tcW w:w="2897" w:type="dxa"/>
          </w:tcPr>
          <w:p w14:paraId="398E605A" w14:textId="4BFB13EC" w:rsidR="001A63CD" w:rsidRPr="00154A49" w:rsidRDefault="001A63CD" w:rsidP="00F52586">
            <w:pPr>
              <w:jc w:val="both"/>
              <w:rPr>
                <w:rFonts w:ascii="Arial" w:hAnsi="Arial" w:cs="Arial"/>
              </w:rPr>
            </w:pPr>
            <w:r w:rsidRPr="00154A49">
              <w:rPr>
                <w:rFonts w:ascii="Arial" w:hAnsi="Arial" w:cs="Arial"/>
              </w:rPr>
              <w:t>5.2 Proportion de la population mondiale qui migre</w:t>
            </w:r>
          </w:p>
        </w:tc>
        <w:tc>
          <w:tcPr>
            <w:tcW w:w="2100" w:type="dxa"/>
          </w:tcPr>
          <w:p w14:paraId="26133AE2" w14:textId="77777777" w:rsidR="001A63CD" w:rsidRPr="00154A49" w:rsidRDefault="001A63CD" w:rsidP="00F52586">
            <w:pPr>
              <w:jc w:val="both"/>
              <w:rPr>
                <w:rFonts w:ascii="Arial" w:hAnsi="Arial" w:cs="Arial"/>
              </w:rPr>
            </w:pPr>
          </w:p>
        </w:tc>
        <w:tc>
          <w:tcPr>
            <w:tcW w:w="1501" w:type="dxa"/>
            <w:shd w:val="clear" w:color="auto" w:fill="2A8A86"/>
          </w:tcPr>
          <w:p w14:paraId="4AC6AFF1" w14:textId="0BA03742" w:rsidR="001A63CD" w:rsidRPr="00154A49" w:rsidRDefault="001A63CD" w:rsidP="00F52586">
            <w:pPr>
              <w:jc w:val="both"/>
              <w:rPr>
                <w:rFonts w:ascii="Arial" w:hAnsi="Arial" w:cs="Arial"/>
              </w:rPr>
            </w:pPr>
            <w:r w:rsidRPr="00154A49">
              <w:rPr>
                <w:rFonts w:ascii="Segoe UI Symbol" w:hAnsi="Segoe UI Symbol" w:cs="Segoe UI Symbol"/>
              </w:rPr>
              <w:t>✓</w:t>
            </w:r>
          </w:p>
        </w:tc>
      </w:tr>
    </w:tbl>
    <w:p w14:paraId="43170AC0" w14:textId="65673E4F" w:rsidR="00CF7917" w:rsidRDefault="00CF7917" w:rsidP="00F52586">
      <w:pPr>
        <w:spacing w:after="0" w:line="240" w:lineRule="auto"/>
        <w:jc w:val="both"/>
        <w:rPr>
          <w:rFonts w:ascii="Arial" w:hAnsi="Arial" w:cs="Arial"/>
        </w:rPr>
      </w:pPr>
      <w:r w:rsidRPr="00F52586">
        <w:rPr>
          <w:rFonts w:ascii="Arial" w:hAnsi="Arial" w:cs="Arial"/>
        </w:rPr>
        <w:lastRenderedPageBreak/>
        <w:t xml:space="preserve">Chaque taxon reçoit un score pour chaque critère, sous réserve de la disponibilité des données. Des scores finaux seront ensuite calculés pour chaque taxon concernant (a) l’impact de l’utilisation directe et du commerce et (b) la recevabilité à l’Annexe I. Les scores finaux sont fondés sur la moyenne des notes obtenues pour tous les critères pertinents (voir Tableau 1 pour les critères pertinents) pour lesquels une note pouvait être attribuée. Les critères pour lesquels il n’a pas été possible d’attribuer une note pour un taxon individuel n’ont pas été inclus dans le score final de ce taxon, afin d’éviter de fausser le score : cela inclut, par exemple, les cas où des taxons n’ont pas encore fait l’objet d’une évaluation pour la Liste rouge de l’UICN, ou dont les données sont inconnues ou indisponibles. </w:t>
      </w:r>
    </w:p>
    <w:p w14:paraId="44CE52C9" w14:textId="77777777" w:rsidR="00154A49" w:rsidRPr="00F52586" w:rsidRDefault="00154A49" w:rsidP="00F52586">
      <w:pPr>
        <w:spacing w:after="0" w:line="240" w:lineRule="auto"/>
        <w:jc w:val="both"/>
        <w:rPr>
          <w:rFonts w:ascii="Arial" w:hAnsi="Arial" w:cs="Arial"/>
        </w:rPr>
      </w:pPr>
    </w:p>
    <w:p w14:paraId="6604403D" w14:textId="3A4ACD0D" w:rsidR="00CF7917" w:rsidRDefault="00CF7917" w:rsidP="00F52586">
      <w:pPr>
        <w:spacing w:after="0" w:line="240" w:lineRule="auto"/>
        <w:jc w:val="both"/>
        <w:rPr>
          <w:rFonts w:ascii="Arial" w:hAnsi="Arial" w:cs="Arial"/>
          <w:b/>
          <w:i/>
        </w:rPr>
      </w:pPr>
      <w:r w:rsidRPr="00F52586">
        <w:rPr>
          <w:rFonts w:ascii="Arial" w:hAnsi="Arial" w:cs="Arial"/>
          <w:b/>
          <w:i/>
        </w:rPr>
        <w:t>Impact de l’utilisation directe et du commerce</w:t>
      </w:r>
    </w:p>
    <w:p w14:paraId="62A93201" w14:textId="77777777" w:rsidR="00154A49" w:rsidRPr="00F52586" w:rsidRDefault="00154A49" w:rsidP="00F52586">
      <w:pPr>
        <w:spacing w:after="0" w:line="240" w:lineRule="auto"/>
        <w:jc w:val="both"/>
        <w:rPr>
          <w:rFonts w:ascii="Arial" w:hAnsi="Arial" w:cs="Arial"/>
          <w:b/>
        </w:rPr>
      </w:pPr>
    </w:p>
    <w:p w14:paraId="4C2151DB" w14:textId="0FF038BE" w:rsidR="00CF7917" w:rsidRDefault="00CF7917" w:rsidP="00F52586">
      <w:pPr>
        <w:spacing w:after="0" w:line="240" w:lineRule="auto"/>
        <w:jc w:val="both"/>
        <w:rPr>
          <w:rFonts w:ascii="Arial" w:hAnsi="Arial" w:cs="Arial"/>
        </w:rPr>
      </w:pPr>
      <w:r w:rsidRPr="00F52586">
        <w:rPr>
          <w:rFonts w:ascii="Arial" w:hAnsi="Arial" w:cs="Arial"/>
        </w:rPr>
        <w:t>L’utilisation directe et le commerce des espèces de l’Annexe I ainsi que l’application de l’article III de la Convention concernant le commerce international des espèces inscrites à l’Annexe I ont été soulignés comme étant particulièrement préoccupants lors de la COP13 de la CMS (</w:t>
      </w:r>
      <w:hyperlink r:id="rId23" w:history="1">
        <w:r w:rsidRPr="00F52586">
          <w:rPr>
            <w:rStyle w:val="Hyperlink"/>
            <w:rFonts w:ascii="Arial" w:hAnsi="Arial" w:cs="Arial"/>
          </w:rPr>
          <w:t>Décisions 13.16-18</w:t>
        </w:r>
      </w:hyperlink>
      <w:r w:rsidRPr="00F52586">
        <w:rPr>
          <w:rFonts w:ascii="Arial" w:hAnsi="Arial" w:cs="Arial"/>
        </w:rPr>
        <w:t xml:space="preserve">). Comme décrit à l’article III(5), de la Convention, le prélèvement d’espèces inscrites à l’Annexe I est interdit, sauf dans des circonstances spécifiques. </w:t>
      </w:r>
    </w:p>
    <w:p w14:paraId="0DBD857A" w14:textId="77777777" w:rsidR="00154A49" w:rsidRPr="00F52586" w:rsidRDefault="00154A49" w:rsidP="00F52586">
      <w:pPr>
        <w:spacing w:after="0" w:line="240" w:lineRule="auto"/>
        <w:jc w:val="both"/>
        <w:rPr>
          <w:rFonts w:ascii="Arial" w:hAnsi="Arial" w:cs="Arial"/>
        </w:rPr>
      </w:pPr>
    </w:p>
    <w:p w14:paraId="354E1567" w14:textId="77777777" w:rsidR="00CF7917" w:rsidRPr="00F52586" w:rsidRDefault="00CF7917" w:rsidP="00154A49">
      <w:pPr>
        <w:spacing w:after="120" w:line="240" w:lineRule="auto"/>
        <w:jc w:val="both"/>
        <w:rPr>
          <w:rFonts w:ascii="Arial" w:hAnsi="Arial" w:cs="Arial"/>
        </w:rPr>
      </w:pPr>
      <w:r w:rsidRPr="00F52586">
        <w:rPr>
          <w:rFonts w:ascii="Arial" w:hAnsi="Arial" w:cs="Arial"/>
        </w:rPr>
        <w:t xml:space="preserve">Les taxons définis comme étant très exposés à l’utilisation directe et au commerce (c.-à-d. ceux qui se voient attribuer un </w:t>
      </w:r>
      <w:r w:rsidRPr="00F52586">
        <w:rPr>
          <w:rFonts w:ascii="Arial" w:hAnsi="Arial" w:cs="Arial"/>
          <w:b/>
          <w:bCs/>
        </w:rPr>
        <w:t>score général élevé</w:t>
      </w:r>
      <w:r w:rsidRPr="00F52586">
        <w:rPr>
          <w:rFonts w:ascii="Arial" w:hAnsi="Arial" w:cs="Arial"/>
        </w:rPr>
        <w:t>) sont ceux :</w:t>
      </w:r>
    </w:p>
    <w:p w14:paraId="0F97D7E7" w14:textId="77777777" w:rsidR="00CF7917" w:rsidRPr="00F52586" w:rsidRDefault="00CF7917" w:rsidP="00154A49">
      <w:pPr>
        <w:pStyle w:val="ListParagraph"/>
        <w:numPr>
          <w:ilvl w:val="0"/>
          <w:numId w:val="35"/>
        </w:numPr>
        <w:spacing w:after="120" w:line="240" w:lineRule="auto"/>
        <w:contextualSpacing w:val="0"/>
        <w:jc w:val="both"/>
        <w:rPr>
          <w:rFonts w:ascii="Arial" w:hAnsi="Arial" w:cs="Arial"/>
        </w:rPr>
      </w:pPr>
      <w:r w:rsidRPr="00F52586">
        <w:rPr>
          <w:rFonts w:ascii="Arial" w:hAnsi="Arial" w:cs="Arial"/>
        </w:rPr>
        <w:t xml:space="preserve">qui présentent un risque d’extinction élevé à l’échelle mondiale (catégorie 1) ; </w:t>
      </w:r>
    </w:p>
    <w:p w14:paraId="4F427755" w14:textId="77777777" w:rsidR="00CF7917" w:rsidRPr="00F52586" w:rsidRDefault="00CF7917" w:rsidP="00154A49">
      <w:pPr>
        <w:pStyle w:val="ListParagraph"/>
        <w:numPr>
          <w:ilvl w:val="0"/>
          <w:numId w:val="35"/>
        </w:numPr>
        <w:spacing w:after="120" w:line="240" w:lineRule="auto"/>
        <w:contextualSpacing w:val="0"/>
        <w:jc w:val="both"/>
        <w:rPr>
          <w:rFonts w:ascii="Arial" w:hAnsi="Arial" w:cs="Arial"/>
        </w:rPr>
      </w:pPr>
      <w:r w:rsidRPr="00F52586">
        <w:rPr>
          <w:rFonts w:ascii="Arial" w:hAnsi="Arial" w:cs="Arial"/>
        </w:rPr>
        <w:t xml:space="preserve">qui souffrent d’une forte vulnérabilité biologique, en raison, par exemple, d’un taux de reproduction lent ou d’un degré élevé de spécialisation de leur habitat (catégorie 2) ; </w:t>
      </w:r>
    </w:p>
    <w:p w14:paraId="43E8DD7B" w14:textId="77777777" w:rsidR="00CF7917" w:rsidRPr="00F52586" w:rsidRDefault="00CF7917" w:rsidP="00154A49">
      <w:pPr>
        <w:pStyle w:val="ListParagraph"/>
        <w:numPr>
          <w:ilvl w:val="0"/>
          <w:numId w:val="35"/>
        </w:numPr>
        <w:spacing w:after="120" w:line="240" w:lineRule="auto"/>
        <w:contextualSpacing w:val="0"/>
        <w:jc w:val="both"/>
        <w:rPr>
          <w:rFonts w:ascii="Arial" w:hAnsi="Arial" w:cs="Arial"/>
        </w:rPr>
      </w:pPr>
      <w:r w:rsidRPr="00F52586">
        <w:rPr>
          <w:rFonts w:ascii="Arial" w:hAnsi="Arial" w:cs="Arial"/>
        </w:rPr>
        <w:t xml:space="preserve">pour lesquels il existe des preuves de commerce international licite et illicite, ainsi que d’utilisation domestique ou de consommation (catégorie 3) ; et </w:t>
      </w:r>
    </w:p>
    <w:p w14:paraId="57859D36" w14:textId="7F51E528" w:rsidR="00CF7917" w:rsidRDefault="00CF7917" w:rsidP="00F52586">
      <w:pPr>
        <w:pStyle w:val="ListParagraph"/>
        <w:numPr>
          <w:ilvl w:val="0"/>
          <w:numId w:val="35"/>
        </w:numPr>
        <w:spacing w:after="0" w:line="240" w:lineRule="auto"/>
        <w:contextualSpacing w:val="0"/>
        <w:jc w:val="both"/>
        <w:rPr>
          <w:rFonts w:ascii="Arial" w:hAnsi="Arial" w:cs="Arial"/>
        </w:rPr>
      </w:pPr>
      <w:r w:rsidRPr="00F52586">
        <w:rPr>
          <w:rFonts w:ascii="Arial" w:hAnsi="Arial" w:cs="Arial"/>
        </w:rPr>
        <w:t>pour lesquels il y a peu de mesures ou d’efforts de gestion pris, ou pas du tout (catégorie 4).</w:t>
      </w:r>
    </w:p>
    <w:p w14:paraId="03D124A6" w14:textId="77777777" w:rsidR="00154A49" w:rsidRPr="00F52586" w:rsidRDefault="00154A49" w:rsidP="00154A49">
      <w:pPr>
        <w:pStyle w:val="ListParagraph"/>
        <w:spacing w:after="0" w:line="240" w:lineRule="auto"/>
        <w:ind w:left="1080"/>
        <w:contextualSpacing w:val="0"/>
        <w:jc w:val="both"/>
        <w:rPr>
          <w:rFonts w:ascii="Arial" w:hAnsi="Arial" w:cs="Arial"/>
        </w:rPr>
      </w:pPr>
    </w:p>
    <w:p w14:paraId="3BECFF2D" w14:textId="0977A430" w:rsidR="00CF7917" w:rsidRDefault="00CF7917" w:rsidP="00F52586">
      <w:pPr>
        <w:spacing w:after="0" w:line="240" w:lineRule="auto"/>
        <w:jc w:val="both"/>
        <w:rPr>
          <w:rFonts w:ascii="Arial" w:hAnsi="Arial" w:cs="Arial"/>
        </w:rPr>
      </w:pPr>
      <w:r w:rsidRPr="00F52586">
        <w:rPr>
          <w:rFonts w:ascii="Arial" w:hAnsi="Arial" w:cs="Arial"/>
        </w:rPr>
        <w:t>Les résultats permettront de mieux comprendre quelles espèces sont touchées par l’utilisation directe et le commerce.</w:t>
      </w:r>
    </w:p>
    <w:p w14:paraId="4DE27B89" w14:textId="77777777" w:rsidR="00154A49" w:rsidRPr="00F52586" w:rsidRDefault="00154A49" w:rsidP="00F52586">
      <w:pPr>
        <w:spacing w:after="0" w:line="240" w:lineRule="auto"/>
        <w:jc w:val="both"/>
        <w:rPr>
          <w:rFonts w:ascii="Arial" w:hAnsi="Arial" w:cs="Arial"/>
        </w:rPr>
      </w:pPr>
    </w:p>
    <w:p w14:paraId="0E064408" w14:textId="04AA1628" w:rsidR="00CF7917" w:rsidRDefault="00CF7917" w:rsidP="00F52586">
      <w:pPr>
        <w:keepNext/>
        <w:spacing w:after="0" w:line="240" w:lineRule="auto"/>
        <w:jc w:val="both"/>
        <w:rPr>
          <w:rFonts w:ascii="Arial" w:hAnsi="Arial" w:cs="Arial"/>
          <w:b/>
          <w:i/>
        </w:rPr>
      </w:pPr>
      <w:r w:rsidRPr="00F52586">
        <w:rPr>
          <w:rFonts w:ascii="Arial" w:hAnsi="Arial" w:cs="Arial"/>
          <w:b/>
          <w:i/>
        </w:rPr>
        <w:t>Recevabilité à l’Annexe I</w:t>
      </w:r>
    </w:p>
    <w:p w14:paraId="0C20B8C7" w14:textId="77777777" w:rsidR="00154A49" w:rsidRPr="00F52586" w:rsidRDefault="00154A49" w:rsidP="00F52586">
      <w:pPr>
        <w:keepNext/>
        <w:spacing w:after="0" w:line="240" w:lineRule="auto"/>
        <w:jc w:val="both"/>
        <w:rPr>
          <w:rFonts w:ascii="Arial" w:hAnsi="Arial" w:cs="Arial"/>
          <w:b/>
        </w:rPr>
      </w:pPr>
    </w:p>
    <w:p w14:paraId="216CA2DA" w14:textId="5E5D5F44" w:rsidR="00CF7917" w:rsidRDefault="00CF7917" w:rsidP="00F52586">
      <w:pPr>
        <w:spacing w:after="0" w:line="240" w:lineRule="auto"/>
        <w:jc w:val="both"/>
        <w:rPr>
          <w:rFonts w:ascii="Arial" w:hAnsi="Arial" w:cs="Arial"/>
        </w:rPr>
      </w:pPr>
      <w:r w:rsidRPr="00F52586">
        <w:rPr>
          <w:rFonts w:ascii="Arial" w:hAnsi="Arial" w:cs="Arial"/>
        </w:rPr>
        <w:t>Les taxons définis comme ayant une faible probabilité d’être inscrits à l’Annexe </w:t>
      </w:r>
      <w:r w:rsidR="001A63CD" w:rsidRPr="00F52586">
        <w:rPr>
          <w:rFonts w:ascii="Arial" w:hAnsi="Arial" w:cs="Arial"/>
        </w:rPr>
        <w:t>I</w:t>
      </w:r>
      <w:r w:rsidRPr="00F52586">
        <w:rPr>
          <w:rFonts w:ascii="Arial" w:hAnsi="Arial" w:cs="Arial"/>
        </w:rPr>
        <w:t xml:space="preserve"> (c.-à-d. ceux dont les </w:t>
      </w:r>
      <w:r w:rsidRPr="00F52586">
        <w:rPr>
          <w:rFonts w:ascii="Arial" w:hAnsi="Arial" w:cs="Arial"/>
          <w:b/>
          <w:bCs/>
        </w:rPr>
        <w:t>scores généraux sont faibles</w:t>
      </w:r>
      <w:r w:rsidRPr="00F52586">
        <w:rPr>
          <w:rFonts w:ascii="Arial" w:hAnsi="Arial" w:cs="Arial"/>
        </w:rPr>
        <w:t xml:space="preserve">) seront ceux qui présentent actuellement un faible risque d’extinction (catégorie 1) et qui sont moins concernés par les menaces actuelles et futures (critère 3.5) </w:t>
      </w:r>
      <w:r w:rsidR="001A63CD" w:rsidRPr="00F52586">
        <w:rPr>
          <w:rFonts w:ascii="Arial" w:hAnsi="Arial" w:cs="Arial"/>
        </w:rPr>
        <w:t>et/</w:t>
      </w:r>
      <w:r w:rsidRPr="00F52586">
        <w:rPr>
          <w:rFonts w:ascii="Arial" w:hAnsi="Arial" w:cs="Arial"/>
        </w:rPr>
        <w:t xml:space="preserve">ou celles pour lesquelles il existe un nombre limité de données relatives à leur </w:t>
      </w:r>
      <w:r w:rsidR="001A63CD" w:rsidRPr="00F52586">
        <w:rPr>
          <w:rFonts w:ascii="Arial" w:hAnsi="Arial" w:cs="Arial"/>
        </w:rPr>
        <w:t>comportement</w:t>
      </w:r>
      <w:r w:rsidRPr="00F52586">
        <w:rPr>
          <w:rFonts w:ascii="Arial" w:hAnsi="Arial" w:cs="Arial"/>
        </w:rPr>
        <w:t xml:space="preserve"> migratoire (catégorie 5)</w:t>
      </w:r>
      <w:r w:rsidR="001A63CD" w:rsidRPr="00F52586">
        <w:rPr>
          <w:rStyle w:val="CommentTextChar"/>
          <w:rFonts w:ascii="Arial" w:hAnsi="Arial" w:cs="Arial"/>
          <w:sz w:val="22"/>
          <w:szCs w:val="22"/>
        </w:rPr>
        <w:t xml:space="preserve"> </w:t>
      </w:r>
      <w:r w:rsidR="001A63CD" w:rsidRPr="00F52586">
        <w:rPr>
          <w:rStyle w:val="FootnoteReference"/>
          <w:rFonts w:ascii="Arial" w:hAnsi="Arial" w:cs="Arial"/>
        </w:rPr>
        <w:footnoteReference w:id="1"/>
      </w:r>
      <w:r w:rsidR="001A63CD" w:rsidRPr="00F52586">
        <w:rPr>
          <w:rFonts w:ascii="Arial" w:hAnsi="Arial" w:cs="Arial"/>
        </w:rPr>
        <w:t>.</w:t>
      </w:r>
      <w:r w:rsidRPr="00F52586">
        <w:rPr>
          <w:rFonts w:ascii="Arial" w:hAnsi="Arial" w:cs="Arial"/>
        </w:rPr>
        <w:t>.</w:t>
      </w:r>
    </w:p>
    <w:p w14:paraId="3F1C9DA7" w14:textId="77777777" w:rsidR="00154A49" w:rsidRPr="00F52586" w:rsidRDefault="00154A49" w:rsidP="00F52586">
      <w:pPr>
        <w:spacing w:after="0" w:line="240" w:lineRule="auto"/>
        <w:jc w:val="both"/>
        <w:rPr>
          <w:rFonts w:ascii="Arial" w:hAnsi="Arial" w:cs="Arial"/>
        </w:rPr>
      </w:pPr>
    </w:p>
    <w:p w14:paraId="5C4F7583" w14:textId="47D8E35D" w:rsidR="002C5BFE" w:rsidRDefault="002C5BFE" w:rsidP="00F52586">
      <w:pPr>
        <w:spacing w:after="0" w:line="240" w:lineRule="auto"/>
        <w:jc w:val="both"/>
        <w:rPr>
          <w:rFonts w:ascii="Arial" w:hAnsi="Arial" w:cs="Arial"/>
        </w:rPr>
      </w:pPr>
      <w:r w:rsidRPr="00F52586">
        <w:rPr>
          <w:rFonts w:ascii="Arial" w:hAnsi="Arial" w:cs="Arial"/>
        </w:rPr>
        <w:t xml:space="preserve">En ce qui concerne les considérations relatives à la migration (catégorie 5), des données provenant de plusieurs sources seront compilées pour donner une indication du statut migratoire. Il est important de noter, cependant, qu'étant donné les différences dans la définition de "migrateur" utilisée par la CMS, l'UICN et d'autres fournisseurs de données, ces critères ne permettent pas de conclure si les espèces répondent ou non à la définition de migrateur de la CMS. </w:t>
      </w:r>
    </w:p>
    <w:p w14:paraId="66973C80" w14:textId="77777777" w:rsidR="00154A49" w:rsidRPr="00F52586" w:rsidRDefault="00154A49" w:rsidP="00F52586">
      <w:pPr>
        <w:spacing w:after="0" w:line="240" w:lineRule="auto"/>
        <w:jc w:val="both"/>
        <w:rPr>
          <w:rFonts w:ascii="Arial" w:hAnsi="Arial" w:cs="Arial"/>
        </w:rPr>
      </w:pPr>
    </w:p>
    <w:p w14:paraId="5FB044A8" w14:textId="40EBB3C3" w:rsidR="00CF7917" w:rsidRDefault="00CF7917" w:rsidP="00F52586">
      <w:pPr>
        <w:spacing w:after="0" w:line="240" w:lineRule="auto"/>
        <w:jc w:val="both"/>
        <w:rPr>
          <w:rFonts w:ascii="Arial" w:hAnsi="Arial" w:cs="Arial"/>
        </w:rPr>
      </w:pPr>
      <w:r w:rsidRPr="00F52586">
        <w:rPr>
          <w:rFonts w:ascii="Arial" w:hAnsi="Arial" w:cs="Arial"/>
        </w:rPr>
        <w:lastRenderedPageBreak/>
        <w:t>Les résultats fourniront des informations sur l’état de conservation et le statut migratoire de chaque espèce de l’Annexe I afin d’aider à mieux comprendre la pertinence de ces classements ainsi que les critères de recevabilité correspondants.</w:t>
      </w:r>
    </w:p>
    <w:p w14:paraId="2D5C0A2C" w14:textId="77777777" w:rsidR="00154A49" w:rsidRPr="00F52586" w:rsidRDefault="00154A49" w:rsidP="00F52586">
      <w:pPr>
        <w:spacing w:after="0" w:line="240" w:lineRule="auto"/>
        <w:jc w:val="both"/>
        <w:rPr>
          <w:rFonts w:ascii="Arial" w:hAnsi="Arial" w:cs="Arial"/>
        </w:rPr>
      </w:pPr>
    </w:p>
    <w:p w14:paraId="0846DB78" w14:textId="3EFEF4A7" w:rsidR="00CF7917" w:rsidRDefault="00CF7917" w:rsidP="00F52586">
      <w:pPr>
        <w:spacing w:after="0" w:line="240" w:lineRule="auto"/>
        <w:jc w:val="both"/>
        <w:rPr>
          <w:rFonts w:ascii="Arial" w:hAnsi="Arial" w:cs="Arial"/>
          <w:b/>
          <w:i/>
        </w:rPr>
      </w:pPr>
      <w:r w:rsidRPr="00F52586">
        <w:rPr>
          <w:rFonts w:ascii="Arial" w:hAnsi="Arial" w:cs="Arial"/>
          <w:b/>
          <w:i/>
        </w:rPr>
        <w:t>Données incluses</w:t>
      </w:r>
    </w:p>
    <w:p w14:paraId="55FC8D1F" w14:textId="77777777" w:rsidR="00154A49" w:rsidRPr="00F52586" w:rsidRDefault="00154A49" w:rsidP="00F52586">
      <w:pPr>
        <w:spacing w:after="0" w:line="240" w:lineRule="auto"/>
        <w:jc w:val="both"/>
        <w:rPr>
          <w:rFonts w:ascii="Arial" w:hAnsi="Arial" w:cs="Arial"/>
          <w:b/>
          <w:i/>
        </w:rPr>
      </w:pPr>
    </w:p>
    <w:p w14:paraId="215E366E" w14:textId="54BED206" w:rsidR="00CF7917" w:rsidRDefault="00CF7917" w:rsidP="00F52586">
      <w:pPr>
        <w:spacing w:after="0" w:line="240" w:lineRule="auto"/>
        <w:jc w:val="both"/>
        <w:rPr>
          <w:rFonts w:ascii="Arial" w:hAnsi="Arial" w:cs="Arial"/>
        </w:rPr>
      </w:pPr>
      <w:r w:rsidRPr="00F52586">
        <w:rPr>
          <w:rFonts w:ascii="Arial" w:hAnsi="Arial" w:cs="Arial"/>
        </w:rPr>
        <w:t>L’évaluation se fonde sur des jeux de données mis à la disposition du public (rapports nationaux de la CMS</w:t>
      </w:r>
      <w:r w:rsidRPr="00F52586">
        <w:rPr>
          <w:rStyle w:val="FootnoteReference"/>
          <w:rFonts w:ascii="Arial" w:hAnsi="Arial" w:cs="Arial"/>
        </w:rPr>
        <w:footnoteReference w:id="2"/>
      </w:r>
      <w:r w:rsidRPr="00F52586">
        <w:rPr>
          <w:rFonts w:ascii="Arial" w:hAnsi="Arial" w:cs="Arial"/>
        </w:rPr>
        <w:t xml:space="preserve">, </w:t>
      </w:r>
      <w:r w:rsidR="002C5BFE" w:rsidRPr="00F52586">
        <w:rPr>
          <w:rFonts w:ascii="Arial" w:hAnsi="Arial" w:cs="Arial"/>
        </w:rPr>
        <w:t>Liste CMS des États de l’aire de répartition</w:t>
      </w:r>
      <w:r w:rsidRPr="00F52586">
        <w:rPr>
          <w:rFonts w:ascii="Arial" w:hAnsi="Arial" w:cs="Arial"/>
        </w:rPr>
        <w:t>, Base de Données sur le Commerce de la CITES, The IUCN Red List of Threatened Species</w:t>
      </w:r>
      <w:r w:rsidRPr="00F52586">
        <w:rPr>
          <w:rFonts w:ascii="Arial" w:hAnsi="Arial" w:cs="Arial"/>
          <w:vertAlign w:val="superscript"/>
        </w:rPr>
        <w:t>TM</w:t>
      </w:r>
      <w:r w:rsidRPr="00F52586">
        <w:rPr>
          <w:rFonts w:ascii="Arial" w:hAnsi="Arial" w:cs="Arial"/>
        </w:rPr>
        <w:t>, données sur les saisies de TRAFFIC, UNEP/CMS/COP13/Doc.27.3 Annexe 3</w:t>
      </w:r>
      <w:r w:rsidRPr="00F52586">
        <w:rPr>
          <w:rStyle w:val="FootnoteReference"/>
          <w:rFonts w:ascii="Arial" w:hAnsi="Arial" w:cs="Arial"/>
        </w:rPr>
        <w:footnoteReference w:id="3"/>
      </w:r>
      <w:r w:rsidRPr="00F52586">
        <w:rPr>
          <w:rFonts w:ascii="Arial" w:hAnsi="Arial" w:cs="Arial"/>
        </w:rPr>
        <w:t xml:space="preserve"> et plusieurs autres sources de données biologiques et écologiques) ainsi que sur des données importées des États-Unis d’Amérique à partir de la base de données LEMIS consultée au moyen d’une demande FOIA. </w:t>
      </w:r>
    </w:p>
    <w:p w14:paraId="378C225F" w14:textId="77777777" w:rsidR="00154A49" w:rsidRPr="00F52586" w:rsidRDefault="00154A49" w:rsidP="00F52586">
      <w:pPr>
        <w:spacing w:after="0" w:line="240" w:lineRule="auto"/>
        <w:jc w:val="both"/>
        <w:rPr>
          <w:rFonts w:ascii="Arial" w:hAnsi="Arial" w:cs="Arial"/>
        </w:rPr>
      </w:pPr>
    </w:p>
    <w:p w14:paraId="365AD767" w14:textId="160F6976" w:rsidR="00CF7917" w:rsidRDefault="00CF7917" w:rsidP="00F52586">
      <w:pPr>
        <w:spacing w:after="0" w:line="240" w:lineRule="auto"/>
        <w:jc w:val="both"/>
        <w:rPr>
          <w:rFonts w:ascii="Arial" w:hAnsi="Arial" w:cs="Arial"/>
        </w:rPr>
      </w:pPr>
      <w:r w:rsidRPr="00F52586">
        <w:rPr>
          <w:rFonts w:ascii="Arial" w:hAnsi="Arial" w:cs="Arial"/>
        </w:rPr>
        <w:t>Le Conseil scientifique de la CMS pourrait envisager de déterminer si certaines catégories ou certains critères sont plus fortement prioritaires que d’autres (p. ex. la catégorie 3 sur la priorisation des espèces faisant face à des menaces dues à l’usage ou au commerce) et s’ils pourraient bénéficier de scores pondérés. Les critères pour lesquels une pondération pourrait se justifier sont indiqués par un astérisque dans le Tableau 1.</w:t>
      </w:r>
    </w:p>
    <w:p w14:paraId="684D8A43" w14:textId="77777777" w:rsidR="00154A49" w:rsidRPr="00F52586" w:rsidRDefault="00154A49" w:rsidP="00F52586">
      <w:pPr>
        <w:spacing w:after="0" w:line="240" w:lineRule="auto"/>
        <w:jc w:val="both"/>
        <w:rPr>
          <w:rFonts w:ascii="Arial" w:hAnsi="Arial" w:cs="Arial"/>
          <w:highlight w:val="green"/>
        </w:rPr>
      </w:pPr>
    </w:p>
    <w:p w14:paraId="56066228" w14:textId="77777777" w:rsidR="00CF7917" w:rsidRPr="00F52586" w:rsidRDefault="00CF7917" w:rsidP="00154A49">
      <w:pPr>
        <w:spacing w:after="80" w:line="240" w:lineRule="auto"/>
        <w:jc w:val="both"/>
        <w:rPr>
          <w:rFonts w:ascii="Arial" w:hAnsi="Arial" w:cs="Arial"/>
          <w:kern w:val="20"/>
          <w:highlight w:val="yellow"/>
        </w:rPr>
      </w:pPr>
      <w:r w:rsidRPr="00F52586">
        <w:rPr>
          <w:rFonts w:ascii="Arial" w:hAnsi="Arial" w:cs="Arial"/>
        </w:rPr>
        <w:t>Outre l’attribution d’un score pour chaque critère, et si possible, les données sur lesquelles reposent ces scores</w:t>
      </w:r>
      <w:r w:rsidRPr="00F52586">
        <w:rPr>
          <w:rStyle w:val="FootnoteReference"/>
          <w:rFonts w:ascii="Arial" w:hAnsi="Arial" w:cs="Arial"/>
          <w:kern w:val="20"/>
        </w:rPr>
        <w:footnoteReference w:id="4"/>
      </w:r>
      <w:r w:rsidRPr="00F52586">
        <w:rPr>
          <w:rFonts w:ascii="Arial" w:hAnsi="Arial" w:cs="Arial"/>
        </w:rPr>
        <w:t>, des informations contextuelles hors score seront également fournies pour contribuer à la détermination des taxons affichant la plus haute priorité à partir (a) de l’utilisation directe et du commerce ou (b) de la recevabilité à l’Annexe I dont :</w:t>
      </w:r>
    </w:p>
    <w:p w14:paraId="4DF08D45" w14:textId="77777777"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rPr>
        <w:t xml:space="preserve">leur </w:t>
      </w:r>
      <w:r w:rsidRPr="00F52586">
        <w:rPr>
          <w:rFonts w:ascii="Arial" w:hAnsi="Arial" w:cs="Arial"/>
          <w:b/>
          <w:bCs/>
        </w:rPr>
        <w:t>année d’inscription</w:t>
      </w:r>
      <w:r w:rsidRPr="00F52586">
        <w:rPr>
          <w:rFonts w:ascii="Arial" w:hAnsi="Arial" w:cs="Arial"/>
        </w:rPr>
        <w:t xml:space="preserve"> à l’Annexe I de la CMS ;</w:t>
      </w:r>
    </w:p>
    <w:p w14:paraId="206869C2" w14:textId="77777777"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rPr>
        <w:t>une mention indiquant si le taxon est également inscrit à l’</w:t>
      </w:r>
      <w:r w:rsidRPr="00F52586">
        <w:rPr>
          <w:rFonts w:ascii="Arial" w:hAnsi="Arial" w:cs="Arial"/>
          <w:b/>
          <w:bCs/>
        </w:rPr>
        <w:t>Annexe II</w:t>
      </w:r>
      <w:r w:rsidRPr="00F52586">
        <w:rPr>
          <w:rFonts w:ascii="Arial" w:hAnsi="Arial" w:cs="Arial"/>
        </w:rPr>
        <w:t xml:space="preserve"> de la CMS ; </w:t>
      </w:r>
    </w:p>
    <w:p w14:paraId="60ADFB36" w14:textId="77777777"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rPr>
        <w:t>l’</w:t>
      </w:r>
      <w:r w:rsidRPr="00F52586">
        <w:rPr>
          <w:rFonts w:ascii="Arial" w:hAnsi="Arial" w:cs="Arial"/>
          <w:b/>
          <w:bCs/>
        </w:rPr>
        <w:t>année</w:t>
      </w:r>
      <w:r w:rsidRPr="00F52586">
        <w:rPr>
          <w:rFonts w:ascii="Arial" w:hAnsi="Arial" w:cs="Arial"/>
        </w:rPr>
        <w:t xml:space="preserve"> de </w:t>
      </w:r>
      <w:r w:rsidRPr="00F52586">
        <w:rPr>
          <w:rFonts w:ascii="Arial" w:hAnsi="Arial" w:cs="Arial"/>
          <w:b/>
          <w:bCs/>
        </w:rPr>
        <w:t>l’évaluation la plus récente de la Liste rouge de l’UICN</w:t>
      </w:r>
      <w:r w:rsidRPr="00F52586">
        <w:rPr>
          <w:rFonts w:ascii="Arial" w:hAnsi="Arial" w:cs="Arial"/>
        </w:rPr>
        <w:t xml:space="preserve"> (dont dérivent les données de la Liste rouge reprises pour les critères correspondants) ;</w:t>
      </w:r>
    </w:p>
    <w:p w14:paraId="0D8B2841" w14:textId="77777777"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rPr>
        <w:t xml:space="preserve">l’ensemble </w:t>
      </w:r>
      <w:r w:rsidRPr="00F52586">
        <w:rPr>
          <w:rFonts w:ascii="Arial" w:hAnsi="Arial" w:cs="Arial"/>
          <w:b/>
          <w:bCs/>
        </w:rPr>
        <w:t>des anciennes catégories d’évaluation de la</w:t>
      </w:r>
      <w:r w:rsidRPr="00F52586">
        <w:rPr>
          <w:rFonts w:ascii="Arial" w:hAnsi="Arial" w:cs="Arial"/>
        </w:rPr>
        <w:t xml:space="preserve"> </w:t>
      </w:r>
      <w:r w:rsidRPr="00F52586">
        <w:rPr>
          <w:rFonts w:ascii="Arial" w:hAnsi="Arial" w:cs="Arial"/>
          <w:b/>
          <w:bCs/>
        </w:rPr>
        <w:t>Liste rouge de l’UICN</w:t>
      </w:r>
      <w:r w:rsidRPr="00F52586">
        <w:rPr>
          <w:rFonts w:ascii="Arial" w:hAnsi="Arial" w:cs="Arial"/>
        </w:rPr>
        <w:t xml:space="preserve"> (date de l’évaluation et critère de la Liste rouge, dans l’ordre chronologique) ; </w:t>
      </w:r>
    </w:p>
    <w:p w14:paraId="2E93ECBA" w14:textId="77777777"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b/>
          <w:bCs/>
        </w:rPr>
        <w:t>les évaluations Liste rouge au niveau national</w:t>
      </w:r>
      <w:r w:rsidRPr="00F52586">
        <w:rPr>
          <w:rFonts w:ascii="Arial" w:hAnsi="Arial" w:cs="Arial"/>
        </w:rPr>
        <w:t>, le cas échéant, pour les espèces de l’Annexe I de la CMS, avec des classements au niveau des populations ;</w:t>
      </w:r>
    </w:p>
    <w:p w14:paraId="7BED6E5D" w14:textId="495B2986"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rPr>
        <w:t xml:space="preserve">le </w:t>
      </w:r>
      <w:r w:rsidRPr="00F52586">
        <w:rPr>
          <w:rFonts w:ascii="Arial" w:hAnsi="Arial" w:cs="Arial"/>
          <w:b/>
          <w:bCs/>
        </w:rPr>
        <w:t>nombre d’États de l’aire de répartition</w:t>
      </w:r>
      <w:r w:rsidRPr="00F52586">
        <w:rPr>
          <w:rFonts w:ascii="Arial" w:hAnsi="Arial" w:cs="Arial"/>
        </w:rPr>
        <w:t xml:space="preserve"> d’après les registres de répartition sur</w:t>
      </w:r>
      <w:r w:rsidR="002C5BFE" w:rsidRPr="00F52586">
        <w:rPr>
          <w:rFonts w:ascii="Arial" w:hAnsi="Arial" w:cs="Arial"/>
        </w:rPr>
        <w:t xml:space="preserve"> la liste CMS des États de l’aire de répartition</w:t>
      </w:r>
      <w:r w:rsidRPr="00F52586">
        <w:rPr>
          <w:rFonts w:ascii="Arial" w:hAnsi="Arial" w:cs="Arial"/>
        </w:rPr>
        <w:t xml:space="preserve"> (en classant par ailleurs les États de l’aire de répartition en fonction de leur code ISO2) ; </w:t>
      </w:r>
    </w:p>
    <w:p w14:paraId="5EAFDAF9" w14:textId="77777777"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rPr>
        <w:t xml:space="preserve">la </w:t>
      </w:r>
      <w:r w:rsidRPr="00F52586">
        <w:rPr>
          <w:rFonts w:ascii="Arial" w:hAnsi="Arial" w:cs="Arial"/>
          <w:b/>
          <w:bCs/>
        </w:rPr>
        <w:t>taille estimée de la population mondiale</w:t>
      </w:r>
      <w:r w:rsidRPr="00F52586">
        <w:rPr>
          <w:rFonts w:ascii="Arial" w:hAnsi="Arial" w:cs="Arial"/>
        </w:rPr>
        <w:t xml:space="preserve"> d’après le nombre d’individus matures consigné dans l’évaluation la plus récente de la Liste rouge</w:t>
      </w:r>
      <w:r w:rsidRPr="00F52586">
        <w:rPr>
          <w:rStyle w:val="FootnoteReference"/>
          <w:rFonts w:ascii="Arial" w:hAnsi="Arial" w:cs="Arial"/>
        </w:rPr>
        <w:footnoteReference w:id="5"/>
      </w:r>
      <w:r w:rsidRPr="00F52586">
        <w:rPr>
          <w:rFonts w:ascii="Arial" w:hAnsi="Arial" w:cs="Arial"/>
        </w:rPr>
        <w:t xml:space="preserve"> ; </w:t>
      </w:r>
    </w:p>
    <w:p w14:paraId="1B705F98" w14:textId="77777777" w:rsidR="00CF7917" w:rsidRPr="00F52586" w:rsidRDefault="00CF7917" w:rsidP="00154A49">
      <w:pPr>
        <w:pStyle w:val="ListParagraph"/>
        <w:numPr>
          <w:ilvl w:val="0"/>
          <w:numId w:val="2"/>
        </w:numPr>
        <w:spacing w:after="80" w:line="240" w:lineRule="auto"/>
        <w:ind w:left="360"/>
        <w:contextualSpacing w:val="0"/>
        <w:jc w:val="both"/>
        <w:rPr>
          <w:rFonts w:ascii="Arial" w:hAnsi="Arial" w:cs="Arial"/>
        </w:rPr>
      </w:pPr>
      <w:r w:rsidRPr="00F52586">
        <w:rPr>
          <w:rFonts w:ascii="Arial" w:hAnsi="Arial" w:cs="Arial"/>
        </w:rPr>
        <w:t>un récapitulatif des mesures existantes dans la Famille CMS (p. ex. présence ou non de plans d’action, d’accords associés, de mémorandums d’entente ou d’autres initiatives spéciales pour les espèces) ; et</w:t>
      </w:r>
    </w:p>
    <w:p w14:paraId="41101B97" w14:textId="77777777" w:rsidR="00CF7917" w:rsidRPr="00F52586" w:rsidRDefault="00CF7917" w:rsidP="00F52586">
      <w:pPr>
        <w:pStyle w:val="ListParagraph"/>
        <w:numPr>
          <w:ilvl w:val="0"/>
          <w:numId w:val="2"/>
        </w:numPr>
        <w:spacing w:after="0" w:line="240" w:lineRule="auto"/>
        <w:ind w:left="360"/>
        <w:contextualSpacing w:val="0"/>
        <w:jc w:val="both"/>
        <w:rPr>
          <w:rFonts w:ascii="Arial" w:hAnsi="Arial" w:cs="Arial"/>
        </w:rPr>
      </w:pPr>
      <w:r w:rsidRPr="00F52586">
        <w:rPr>
          <w:rFonts w:ascii="Arial" w:hAnsi="Arial" w:cs="Arial"/>
        </w:rPr>
        <w:t>des considérations liées à la nomenclature, lorsque c’est pertinent (p. ex. différences entre la CMS et la CITES).</w:t>
      </w:r>
    </w:p>
    <w:p w14:paraId="21FF53BD" w14:textId="1B5756C5" w:rsidR="00154A49" w:rsidRDefault="00154A49" w:rsidP="00F52586">
      <w:pPr>
        <w:spacing w:after="0" w:line="240" w:lineRule="auto"/>
        <w:jc w:val="both"/>
        <w:rPr>
          <w:rFonts w:ascii="Arial" w:hAnsi="Arial" w:cs="Arial"/>
        </w:rPr>
      </w:pPr>
      <w:r>
        <w:rPr>
          <w:rFonts w:ascii="Arial" w:hAnsi="Arial" w:cs="Arial"/>
        </w:rPr>
        <w:br w:type="page"/>
      </w:r>
    </w:p>
    <w:p w14:paraId="5B3C3201" w14:textId="51B6DB66" w:rsidR="00CF7917" w:rsidRDefault="00CF7917" w:rsidP="00F52586">
      <w:pPr>
        <w:spacing w:after="0" w:line="240" w:lineRule="auto"/>
        <w:jc w:val="both"/>
        <w:rPr>
          <w:rFonts w:ascii="Arial" w:hAnsi="Arial" w:cs="Arial"/>
          <w:u w:val="single"/>
        </w:rPr>
      </w:pPr>
      <w:r w:rsidRPr="00154A49">
        <w:rPr>
          <w:rFonts w:ascii="Arial" w:hAnsi="Arial" w:cs="Arial"/>
          <w:u w:val="single"/>
        </w:rPr>
        <w:lastRenderedPageBreak/>
        <w:t>Prochaines étapes</w:t>
      </w:r>
    </w:p>
    <w:p w14:paraId="6F0BB676" w14:textId="77777777" w:rsidR="00154A49" w:rsidRPr="00154A49" w:rsidRDefault="00154A49" w:rsidP="00F52586">
      <w:pPr>
        <w:spacing w:after="0" w:line="240" w:lineRule="auto"/>
        <w:jc w:val="both"/>
        <w:rPr>
          <w:rFonts w:ascii="Arial" w:hAnsi="Arial" w:cs="Arial"/>
          <w:u w:val="single"/>
        </w:rPr>
      </w:pPr>
    </w:p>
    <w:p w14:paraId="2F5740FB" w14:textId="4AF64B6B" w:rsidR="00CF7917" w:rsidRPr="00F52586" w:rsidRDefault="00CF7917" w:rsidP="00F52586">
      <w:pPr>
        <w:spacing w:after="0" w:line="240" w:lineRule="auto"/>
        <w:jc w:val="both"/>
        <w:rPr>
          <w:rFonts w:ascii="Arial" w:hAnsi="Arial" w:cs="Arial"/>
        </w:rPr>
      </w:pPr>
      <w:r w:rsidRPr="00F52586">
        <w:rPr>
          <w:rFonts w:ascii="Arial" w:hAnsi="Arial" w:cs="Arial"/>
        </w:rPr>
        <w:t xml:space="preserve">La prochaine étape consiste à consulter </w:t>
      </w:r>
      <w:r w:rsidR="00567E56" w:rsidRPr="00F52586">
        <w:rPr>
          <w:rFonts w:ascii="Arial" w:hAnsi="Arial" w:cs="Arial"/>
        </w:rPr>
        <w:t xml:space="preserve">sur la méthodologie proposée </w:t>
      </w:r>
      <w:r w:rsidRPr="00F52586">
        <w:rPr>
          <w:rFonts w:ascii="Arial" w:hAnsi="Arial" w:cs="Arial"/>
        </w:rPr>
        <w:t xml:space="preserve">le Secrétariat de la CMS, le Conseil scientifique de la CMS, les experts en taxinomie concernés de la Commission de la sauvegarde des espèces de l’UICN ainsi que les fournisseurs de données (issus du Partenariat de la Liste rouge de l’UICN, comme BirdLife International).     </w:t>
      </w:r>
    </w:p>
    <w:p w14:paraId="4164B73F" w14:textId="77777777" w:rsidR="00CF7917" w:rsidRPr="00F52586" w:rsidRDefault="00CF7917" w:rsidP="00F52586">
      <w:pPr>
        <w:spacing w:after="0" w:line="240" w:lineRule="auto"/>
        <w:jc w:val="both"/>
        <w:rPr>
          <w:rFonts w:ascii="Arial" w:hAnsi="Arial" w:cs="Arial"/>
        </w:rPr>
      </w:pPr>
    </w:p>
    <w:p w14:paraId="4FD6D277" w14:textId="77777777" w:rsidR="00CF7917" w:rsidRPr="00F52586" w:rsidRDefault="00CF7917" w:rsidP="00F52586">
      <w:pPr>
        <w:spacing w:after="0" w:line="240" w:lineRule="auto"/>
        <w:jc w:val="both"/>
        <w:rPr>
          <w:rFonts w:ascii="Arial" w:hAnsi="Arial" w:cs="Arial"/>
        </w:rPr>
        <w:sectPr w:rsidR="00CF7917" w:rsidRPr="00F52586" w:rsidSect="00343B22">
          <w:headerReference w:type="even" r:id="rId24"/>
          <w:headerReference w:type="default" r:id="rId25"/>
          <w:headerReference w:type="first" r:id="rId26"/>
          <w:footerReference w:type="first" r:id="rId27"/>
          <w:pgSz w:w="11906" w:h="16838"/>
          <w:pgMar w:top="1440" w:right="1440" w:bottom="1440" w:left="1440" w:header="708" w:footer="708" w:gutter="0"/>
          <w:cols w:space="708"/>
          <w:docGrid w:linePitch="360"/>
        </w:sectPr>
      </w:pPr>
    </w:p>
    <w:p w14:paraId="7F54EC41" w14:textId="508CC3BF" w:rsidR="00CF7917" w:rsidRDefault="00CF7917" w:rsidP="001C2800">
      <w:pPr>
        <w:spacing w:after="0" w:line="240" w:lineRule="auto"/>
        <w:ind w:right="-643"/>
        <w:jc w:val="both"/>
        <w:rPr>
          <w:rFonts w:ascii="Arial" w:hAnsi="Arial" w:cs="Arial"/>
        </w:rPr>
      </w:pPr>
      <w:r w:rsidRPr="00F52586">
        <w:rPr>
          <w:rFonts w:ascii="Arial" w:hAnsi="Arial" w:cs="Arial"/>
          <w:b/>
        </w:rPr>
        <w:lastRenderedPageBreak/>
        <w:t xml:space="preserve">Tableau 2 :  Aperçu des critères de classement de l’évaluation rapide de l’Annexe I à traiter </w:t>
      </w:r>
      <w:r w:rsidRPr="00F52586">
        <w:rPr>
          <w:rFonts w:ascii="Arial" w:hAnsi="Arial" w:cs="Arial"/>
        </w:rPr>
        <w:t>Lorsque les données sont disponibles, les critères seront notés entre 1 (élevé) et -1 (faible). Chaque taxon se verra attribuer un score final fondé sur la moyenne de tous les critères qui auront pu être évalués ; les critères comportant des données manquantes ou incomplètes ne seront pas pris en considération pour éviter de fausser le résultat final.</w:t>
      </w:r>
    </w:p>
    <w:p w14:paraId="433E6030" w14:textId="77777777" w:rsidR="001C2800" w:rsidRPr="00F52586" w:rsidRDefault="001C2800" w:rsidP="00F52586">
      <w:pPr>
        <w:spacing w:after="0" w:line="240" w:lineRule="auto"/>
        <w:jc w:val="both"/>
        <w:rPr>
          <w:rFonts w:ascii="Arial" w:hAnsi="Arial" w:cs="Arial"/>
        </w:rPr>
      </w:pPr>
    </w:p>
    <w:tbl>
      <w:tblPr>
        <w:tblStyle w:val="TableGrid"/>
        <w:tblW w:w="14596" w:type="dxa"/>
        <w:tblLayout w:type="fixed"/>
        <w:tblLook w:val="04A0" w:firstRow="1" w:lastRow="0" w:firstColumn="1" w:lastColumn="0" w:noHBand="0" w:noVBand="1"/>
      </w:tblPr>
      <w:tblGrid>
        <w:gridCol w:w="1980"/>
        <w:gridCol w:w="1843"/>
        <w:gridCol w:w="6520"/>
        <w:gridCol w:w="2410"/>
        <w:gridCol w:w="1843"/>
      </w:tblGrid>
      <w:tr w:rsidR="00CF7917" w:rsidRPr="001C2800" w14:paraId="36E8C82A" w14:textId="77777777" w:rsidTr="001C2800">
        <w:trPr>
          <w:tblHeader/>
        </w:trPr>
        <w:tc>
          <w:tcPr>
            <w:tcW w:w="1980" w:type="dxa"/>
            <w:shd w:val="clear" w:color="auto" w:fill="4C6A89"/>
          </w:tcPr>
          <w:p w14:paraId="77F86F5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b/>
                <w:color w:val="FFFFFF" w:themeColor="background1"/>
                <w:sz w:val="19"/>
                <w:szCs w:val="19"/>
              </w:rPr>
              <w:t>Critères</w:t>
            </w:r>
          </w:p>
        </w:tc>
        <w:tc>
          <w:tcPr>
            <w:tcW w:w="1843" w:type="dxa"/>
            <w:shd w:val="clear" w:color="auto" w:fill="4C6A89"/>
          </w:tcPr>
          <w:p w14:paraId="10D3AAC8"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b/>
                <w:color w:val="FFFFFF" w:themeColor="background1"/>
                <w:sz w:val="19"/>
                <w:szCs w:val="19"/>
              </w:rPr>
              <w:t>Source des données</w:t>
            </w:r>
          </w:p>
        </w:tc>
        <w:tc>
          <w:tcPr>
            <w:tcW w:w="6520" w:type="dxa"/>
            <w:shd w:val="clear" w:color="auto" w:fill="4C6A89"/>
          </w:tcPr>
          <w:p w14:paraId="234B763A"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b/>
                <w:color w:val="FFFFFF" w:themeColor="background1"/>
                <w:sz w:val="19"/>
                <w:szCs w:val="19"/>
              </w:rPr>
              <w:t>Méthodes</w:t>
            </w:r>
          </w:p>
        </w:tc>
        <w:tc>
          <w:tcPr>
            <w:tcW w:w="2410" w:type="dxa"/>
            <w:shd w:val="clear" w:color="auto" w:fill="4C6A89"/>
          </w:tcPr>
          <w:p w14:paraId="2103520F"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b/>
                <w:color w:val="FFFFFF" w:themeColor="background1"/>
                <w:sz w:val="19"/>
                <w:szCs w:val="19"/>
              </w:rPr>
              <w:t>Critères de classement</w:t>
            </w:r>
          </w:p>
        </w:tc>
        <w:tc>
          <w:tcPr>
            <w:tcW w:w="1843" w:type="dxa"/>
            <w:shd w:val="clear" w:color="auto" w:fill="4C6A89"/>
          </w:tcPr>
          <w:p w14:paraId="176FCBC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b/>
                <w:color w:val="FFFFFF" w:themeColor="background1"/>
                <w:sz w:val="19"/>
                <w:szCs w:val="19"/>
              </w:rPr>
              <w:t>Non classifié</w:t>
            </w:r>
            <w:r w:rsidRPr="001C2800">
              <w:rPr>
                <w:rFonts w:ascii="Arial" w:hAnsi="Arial" w:cs="Arial"/>
                <w:b/>
                <w:color w:val="FFFFFF" w:themeColor="background1"/>
                <w:sz w:val="19"/>
                <w:szCs w:val="19"/>
                <w:vertAlign w:val="superscript"/>
              </w:rPr>
              <w:footnoteReference w:id="6"/>
            </w:r>
          </w:p>
        </w:tc>
      </w:tr>
      <w:tr w:rsidR="00CF7917" w:rsidRPr="001C2800" w14:paraId="77521C60" w14:textId="77777777" w:rsidTr="001C2800">
        <w:tc>
          <w:tcPr>
            <w:tcW w:w="14596" w:type="dxa"/>
            <w:gridSpan w:val="5"/>
            <w:shd w:val="clear" w:color="auto" w:fill="00AEEF"/>
          </w:tcPr>
          <w:p w14:paraId="1B53C24F" w14:textId="77777777" w:rsidR="00CF7917" w:rsidRPr="001C2800" w:rsidRDefault="00CF7917" w:rsidP="00154A49">
            <w:pPr>
              <w:spacing w:before="40" w:after="40"/>
              <w:jc w:val="both"/>
              <w:rPr>
                <w:rFonts w:ascii="Arial" w:hAnsi="Arial" w:cs="Arial"/>
                <w:b/>
                <w:bCs/>
                <w:sz w:val="19"/>
                <w:szCs w:val="19"/>
              </w:rPr>
            </w:pPr>
            <w:r w:rsidRPr="001C2800">
              <w:rPr>
                <w:rFonts w:ascii="Arial" w:hAnsi="Arial" w:cs="Arial"/>
                <w:b/>
                <w:sz w:val="19"/>
                <w:szCs w:val="19"/>
              </w:rPr>
              <w:t>État de conservation</w:t>
            </w:r>
          </w:p>
        </w:tc>
      </w:tr>
      <w:tr w:rsidR="00CF7917" w:rsidRPr="001C2800" w14:paraId="6E291AE6" w14:textId="77777777" w:rsidTr="001C2800">
        <w:tc>
          <w:tcPr>
            <w:tcW w:w="1980" w:type="dxa"/>
            <w:tcBorders>
              <w:bottom w:val="single" w:sz="4" w:space="0" w:color="auto"/>
            </w:tcBorders>
          </w:tcPr>
          <w:p w14:paraId="24177A40"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1.1 Catégorie de risque sur la Liste rouge</w:t>
            </w:r>
          </w:p>
        </w:tc>
        <w:tc>
          <w:tcPr>
            <w:tcW w:w="1843" w:type="dxa"/>
            <w:tcBorders>
              <w:bottom w:val="single" w:sz="4" w:space="0" w:color="auto"/>
            </w:tcBorders>
          </w:tcPr>
          <w:p w14:paraId="33B9A7F7" w14:textId="3CC5012A"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bookmarkStart w:id="4" w:name="_Ref40691319"/>
            <w:r w:rsidRPr="001C2800">
              <w:rPr>
                <w:rFonts w:ascii="Arial" w:hAnsi="Arial" w:cs="Arial"/>
                <w:sz w:val="19"/>
                <w:szCs w:val="19"/>
                <w:vertAlign w:val="superscript"/>
              </w:rPr>
              <w:footnoteReference w:id="7"/>
            </w:r>
            <w:bookmarkEnd w:id="4"/>
          </w:p>
        </w:tc>
        <w:tc>
          <w:tcPr>
            <w:tcW w:w="6520" w:type="dxa"/>
            <w:tcBorders>
              <w:bottom w:val="single" w:sz="4" w:space="0" w:color="auto"/>
            </w:tcBorders>
          </w:tcPr>
          <w:p w14:paraId="746D89D7"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294DF884" w14:textId="77777777" w:rsidR="00CF7917" w:rsidRPr="001C2800" w:rsidRDefault="00CF7917" w:rsidP="00154A49">
            <w:pPr>
              <w:pStyle w:val="ListParagraph"/>
              <w:numPr>
                <w:ilvl w:val="0"/>
                <w:numId w:val="36"/>
              </w:numPr>
              <w:spacing w:before="40" w:after="40"/>
              <w:ind w:left="457"/>
              <w:contextualSpacing w:val="0"/>
              <w:jc w:val="both"/>
              <w:rPr>
                <w:rFonts w:ascii="Arial" w:hAnsi="Arial" w:cs="Arial"/>
                <w:sz w:val="19"/>
                <w:szCs w:val="19"/>
              </w:rPr>
            </w:pPr>
            <w:r w:rsidRPr="001C2800">
              <w:rPr>
                <w:rFonts w:ascii="Arial" w:hAnsi="Arial" w:cs="Arial"/>
                <w:i/>
                <w:iCs/>
                <w:sz w:val="19"/>
                <w:szCs w:val="19"/>
              </w:rPr>
              <w:t>Menace due à l’usage ou au commerce</w:t>
            </w:r>
            <w:r w:rsidRPr="001C2800">
              <w:rPr>
                <w:rFonts w:ascii="Arial" w:hAnsi="Arial" w:cs="Arial"/>
                <w:sz w:val="19"/>
                <w:szCs w:val="19"/>
              </w:rPr>
              <w:t> : taxons mondialement menacés</w:t>
            </w:r>
            <w:r w:rsidRPr="001C2800">
              <w:rPr>
                <w:rFonts w:ascii="Arial" w:hAnsi="Arial" w:cs="Arial"/>
                <w:i/>
                <w:sz w:val="19"/>
                <w:szCs w:val="19"/>
              </w:rPr>
              <w:t xml:space="preserve"> </w:t>
            </w:r>
          </w:p>
          <w:p w14:paraId="2F4399B9" w14:textId="77777777" w:rsidR="00CF7917" w:rsidRPr="001C2800" w:rsidRDefault="00CF7917" w:rsidP="00154A49">
            <w:pPr>
              <w:pStyle w:val="ListParagraph"/>
              <w:numPr>
                <w:ilvl w:val="0"/>
                <w:numId w:val="36"/>
              </w:numPr>
              <w:spacing w:before="40" w:after="40"/>
              <w:ind w:left="457"/>
              <w:contextualSpacing w:val="0"/>
              <w:jc w:val="both"/>
              <w:rPr>
                <w:rFonts w:ascii="Arial" w:hAnsi="Arial" w:cs="Arial"/>
                <w:sz w:val="19"/>
                <w:szCs w:val="19"/>
              </w:rPr>
            </w:pPr>
            <w:r w:rsidRPr="001C2800">
              <w:rPr>
                <w:rFonts w:ascii="Arial" w:hAnsi="Arial" w:cs="Arial"/>
                <w:i/>
                <w:sz w:val="19"/>
                <w:szCs w:val="19"/>
              </w:rPr>
              <w:t xml:space="preserve">Recevabilité à l’Annexe I : </w:t>
            </w:r>
            <w:r w:rsidRPr="001C2800">
              <w:rPr>
                <w:rFonts w:ascii="Arial" w:hAnsi="Arial" w:cs="Arial"/>
                <w:sz w:val="19"/>
                <w:szCs w:val="19"/>
              </w:rPr>
              <w:t>taxons les moins exposés</w:t>
            </w:r>
            <w:r w:rsidRPr="001C2800">
              <w:rPr>
                <w:rFonts w:ascii="Arial" w:hAnsi="Arial" w:cs="Arial"/>
                <w:i/>
                <w:sz w:val="19"/>
                <w:szCs w:val="19"/>
              </w:rPr>
              <w:t xml:space="preserve"> </w:t>
            </w:r>
          </w:p>
          <w:p w14:paraId="4F6D29C5" w14:textId="77777777" w:rsidR="00CF7917" w:rsidRPr="001C2800" w:rsidRDefault="00CF7917" w:rsidP="00154A49">
            <w:pPr>
              <w:spacing w:before="40" w:after="40"/>
              <w:jc w:val="both"/>
              <w:rPr>
                <w:rFonts w:ascii="Arial" w:hAnsi="Arial" w:cs="Arial"/>
                <w:sz w:val="19"/>
                <w:szCs w:val="19"/>
              </w:rPr>
            </w:pPr>
          </w:p>
        </w:tc>
        <w:tc>
          <w:tcPr>
            <w:tcW w:w="2410" w:type="dxa"/>
            <w:tcBorders>
              <w:bottom w:val="single" w:sz="4" w:space="0" w:color="auto"/>
            </w:tcBorders>
          </w:tcPr>
          <w:p w14:paraId="29E8430F"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CR &amp; EW</w:t>
            </w:r>
            <w:r w:rsidRPr="001C2800">
              <w:rPr>
                <w:rStyle w:val="FootnoteReference"/>
                <w:rFonts w:ascii="Arial" w:hAnsi="Arial" w:cs="Arial"/>
                <w:sz w:val="19"/>
                <w:szCs w:val="19"/>
              </w:rPr>
              <w:footnoteReference w:id="8"/>
            </w:r>
          </w:p>
          <w:p w14:paraId="4E615DC8"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0,8 : EN</w:t>
            </w:r>
          </w:p>
          <w:p w14:paraId="08579880"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0,6 : VU</w:t>
            </w:r>
          </w:p>
          <w:p w14:paraId="23822DFC"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0,4 : NT</w:t>
            </w:r>
          </w:p>
          <w:p w14:paraId="542ADAF6"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 : EX</w:t>
            </w:r>
          </w:p>
          <w:p w14:paraId="0B1EF4F9"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LC</w:t>
            </w:r>
          </w:p>
        </w:tc>
        <w:tc>
          <w:tcPr>
            <w:tcW w:w="1843" w:type="dxa"/>
            <w:tcBorders>
              <w:bottom w:val="single" w:sz="4" w:space="0" w:color="auto"/>
            </w:tcBorders>
          </w:tcPr>
          <w:p w14:paraId="3DA8B39F"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Catégorie de risque sur la Liste rouge : DD (Données insuffisantes).</w:t>
            </w:r>
          </w:p>
          <w:p w14:paraId="0BFFB953" w14:textId="53DBDC2B" w:rsidR="00CF7917" w:rsidRPr="001C2800" w:rsidRDefault="00CF7917" w:rsidP="00154A49">
            <w:pPr>
              <w:spacing w:before="40" w:after="40"/>
              <w:jc w:val="both"/>
              <w:rPr>
                <w:rFonts w:ascii="Arial" w:hAnsi="Arial" w:cs="Arial"/>
                <w:sz w:val="19"/>
                <w:szCs w:val="19"/>
              </w:rPr>
            </w:pPr>
          </w:p>
          <w:p w14:paraId="6C756178"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Taxon pas encore évalué par l’UICN.</w:t>
            </w:r>
          </w:p>
        </w:tc>
      </w:tr>
      <w:tr w:rsidR="00CF7917" w:rsidRPr="001C2800" w14:paraId="6486739A" w14:textId="77777777" w:rsidTr="001C2800">
        <w:tc>
          <w:tcPr>
            <w:tcW w:w="1980" w:type="dxa"/>
            <w:tcBorders>
              <w:bottom w:val="single" w:sz="4" w:space="0" w:color="auto"/>
            </w:tcBorders>
          </w:tcPr>
          <w:p w14:paraId="39F9CF62"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1.2 Tendance de la population</w:t>
            </w:r>
          </w:p>
        </w:tc>
        <w:tc>
          <w:tcPr>
            <w:tcW w:w="1843" w:type="dxa"/>
            <w:tcBorders>
              <w:bottom w:val="single" w:sz="4" w:space="0" w:color="auto"/>
            </w:tcBorders>
          </w:tcPr>
          <w:p w14:paraId="3F95B6BF"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p w14:paraId="6D90968D" w14:textId="77777777" w:rsidR="00CF7917" w:rsidRPr="001C2800" w:rsidRDefault="00CF7917" w:rsidP="00154A49">
            <w:pPr>
              <w:spacing w:before="40" w:after="40"/>
              <w:jc w:val="both"/>
              <w:rPr>
                <w:rFonts w:ascii="Arial" w:hAnsi="Arial" w:cs="Arial"/>
                <w:sz w:val="19"/>
                <w:szCs w:val="19"/>
              </w:rPr>
            </w:pPr>
          </w:p>
        </w:tc>
        <w:tc>
          <w:tcPr>
            <w:tcW w:w="6520" w:type="dxa"/>
            <w:tcBorders>
              <w:bottom w:val="single" w:sz="4" w:space="0" w:color="auto"/>
            </w:tcBorders>
          </w:tcPr>
          <w:p w14:paraId="5EEC7EE8"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31CD6279" w14:textId="77777777" w:rsidR="00CF7917" w:rsidRPr="001C2800" w:rsidRDefault="00CF7917" w:rsidP="00154A49">
            <w:pPr>
              <w:pStyle w:val="ListParagraph"/>
              <w:numPr>
                <w:ilvl w:val="0"/>
                <w:numId w:val="37"/>
              </w:numPr>
              <w:spacing w:before="40" w:after="40"/>
              <w:ind w:left="457"/>
              <w:contextualSpacing w:val="0"/>
              <w:jc w:val="both"/>
              <w:rPr>
                <w:rFonts w:ascii="Arial" w:hAnsi="Arial" w:cs="Arial"/>
                <w:sz w:val="19"/>
                <w:szCs w:val="19"/>
              </w:rPr>
            </w:pPr>
            <w:r w:rsidRPr="001C2800">
              <w:rPr>
                <w:rFonts w:ascii="Arial" w:hAnsi="Arial" w:cs="Arial"/>
                <w:i/>
                <w:iCs/>
                <w:sz w:val="19"/>
                <w:szCs w:val="19"/>
              </w:rPr>
              <w:t>Menace due à l’usage ou au commerce</w:t>
            </w:r>
            <w:r w:rsidRPr="001C2800">
              <w:rPr>
                <w:rFonts w:ascii="Arial" w:hAnsi="Arial" w:cs="Arial"/>
                <w:sz w:val="19"/>
                <w:szCs w:val="19"/>
              </w:rPr>
              <w:t> : populations en déclin</w:t>
            </w:r>
          </w:p>
          <w:p w14:paraId="2F478DC8" w14:textId="77777777" w:rsidR="00CF7917" w:rsidRPr="001C2800" w:rsidRDefault="00CF7917" w:rsidP="00154A49">
            <w:pPr>
              <w:pStyle w:val="ListParagraph"/>
              <w:numPr>
                <w:ilvl w:val="0"/>
                <w:numId w:val="37"/>
              </w:numPr>
              <w:spacing w:before="40" w:after="40"/>
              <w:ind w:left="457"/>
              <w:contextualSpacing w:val="0"/>
              <w:jc w:val="both"/>
              <w:rPr>
                <w:rFonts w:ascii="Arial" w:hAnsi="Arial" w:cs="Arial"/>
                <w:sz w:val="19"/>
                <w:szCs w:val="19"/>
              </w:rPr>
            </w:pPr>
            <w:r w:rsidRPr="001C2800">
              <w:rPr>
                <w:rFonts w:ascii="Arial" w:hAnsi="Arial" w:cs="Arial"/>
                <w:i/>
                <w:iCs/>
                <w:sz w:val="19"/>
                <w:szCs w:val="19"/>
              </w:rPr>
              <w:t>Recevabilité à l’Annexe I</w:t>
            </w:r>
            <w:r w:rsidRPr="001C2800">
              <w:rPr>
                <w:rFonts w:ascii="Arial" w:hAnsi="Arial" w:cs="Arial"/>
                <w:sz w:val="19"/>
                <w:szCs w:val="19"/>
              </w:rPr>
              <w:t> : populations croissantes ou stables</w:t>
            </w:r>
          </w:p>
          <w:p w14:paraId="6716F29E" w14:textId="77777777" w:rsidR="00CF7917" w:rsidRPr="001C2800" w:rsidRDefault="00CF7917" w:rsidP="00154A49">
            <w:pPr>
              <w:spacing w:before="40" w:after="40"/>
              <w:jc w:val="both"/>
              <w:rPr>
                <w:rFonts w:ascii="Arial" w:hAnsi="Arial" w:cs="Arial"/>
                <w:sz w:val="19"/>
                <w:szCs w:val="19"/>
              </w:rPr>
            </w:pPr>
          </w:p>
          <w:p w14:paraId="766683BE"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Tendance de la population selon l’évaluation de la Liste rouge de l’UICN.</w:t>
            </w:r>
          </w:p>
        </w:tc>
        <w:tc>
          <w:tcPr>
            <w:tcW w:w="2410" w:type="dxa"/>
            <w:tcBorders>
              <w:bottom w:val="single" w:sz="4" w:space="0" w:color="auto"/>
            </w:tcBorders>
          </w:tcPr>
          <w:p w14:paraId="55D902E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en déclin</w:t>
            </w:r>
          </w:p>
          <w:p w14:paraId="0150A9D7"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0,5 : stable</w:t>
            </w:r>
          </w:p>
          <w:p w14:paraId="0E905BC0"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 : en croissance</w:t>
            </w:r>
          </w:p>
        </w:tc>
        <w:tc>
          <w:tcPr>
            <w:tcW w:w="1843" w:type="dxa"/>
            <w:tcBorders>
              <w:bottom w:val="single" w:sz="4" w:space="0" w:color="auto"/>
            </w:tcBorders>
          </w:tcPr>
          <w:p w14:paraId="531C8288"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Tendance de la population : inconnue.</w:t>
            </w:r>
          </w:p>
          <w:p w14:paraId="07C88013" w14:textId="77777777" w:rsidR="00CF7917" w:rsidRPr="001C2800" w:rsidRDefault="00CF7917" w:rsidP="00154A49">
            <w:pPr>
              <w:spacing w:before="40" w:after="40"/>
              <w:jc w:val="both"/>
              <w:rPr>
                <w:rFonts w:ascii="Arial" w:hAnsi="Arial" w:cs="Arial"/>
                <w:sz w:val="19"/>
                <w:szCs w:val="19"/>
              </w:rPr>
            </w:pPr>
          </w:p>
          <w:p w14:paraId="31E620D6"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Taxon pas encore évalué par l’UICN.</w:t>
            </w:r>
          </w:p>
        </w:tc>
      </w:tr>
      <w:tr w:rsidR="00CF7917" w:rsidRPr="001C2800" w14:paraId="4DABC8D9" w14:textId="77777777" w:rsidTr="001C2800">
        <w:tc>
          <w:tcPr>
            <w:tcW w:w="14596" w:type="dxa"/>
            <w:gridSpan w:val="5"/>
            <w:tcBorders>
              <w:top w:val="nil"/>
            </w:tcBorders>
            <w:shd w:val="clear" w:color="auto" w:fill="00AEEF"/>
          </w:tcPr>
          <w:p w14:paraId="150DCE30" w14:textId="77777777" w:rsidR="00CF7917" w:rsidRPr="001C2800" w:rsidRDefault="00CF7917" w:rsidP="00154A49">
            <w:pPr>
              <w:spacing w:before="40" w:after="40"/>
              <w:jc w:val="both"/>
              <w:rPr>
                <w:rFonts w:ascii="Arial" w:hAnsi="Arial" w:cs="Arial"/>
                <w:b/>
                <w:bCs/>
                <w:sz w:val="19"/>
                <w:szCs w:val="19"/>
              </w:rPr>
            </w:pPr>
            <w:r w:rsidRPr="001C2800">
              <w:rPr>
                <w:rFonts w:ascii="Arial" w:hAnsi="Arial" w:cs="Arial"/>
                <w:b/>
                <w:sz w:val="19"/>
                <w:szCs w:val="19"/>
              </w:rPr>
              <w:t>Vulnérabilité biologique</w:t>
            </w:r>
          </w:p>
        </w:tc>
      </w:tr>
      <w:tr w:rsidR="00CF7917" w:rsidRPr="001C2800" w14:paraId="72C7CD17" w14:textId="77777777" w:rsidTr="001C2800">
        <w:tc>
          <w:tcPr>
            <w:tcW w:w="1980" w:type="dxa"/>
          </w:tcPr>
          <w:p w14:paraId="52451CA0"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 xml:space="preserve">2.1 Taille du corps </w:t>
            </w:r>
          </w:p>
        </w:tc>
        <w:tc>
          <w:tcPr>
            <w:tcW w:w="1843" w:type="dxa"/>
          </w:tcPr>
          <w:p w14:paraId="40680044" w14:textId="45BFF54E" w:rsidR="00CF7917" w:rsidRPr="001C2800" w:rsidRDefault="00CF7917" w:rsidP="00154A49">
            <w:pPr>
              <w:spacing w:before="40" w:after="40"/>
              <w:jc w:val="both"/>
              <w:rPr>
                <w:rFonts w:ascii="Arial" w:hAnsi="Arial" w:cs="Arial"/>
                <w:sz w:val="19"/>
                <w:szCs w:val="19"/>
                <w:lang w:val="en-GB"/>
              </w:rPr>
            </w:pPr>
            <w:r w:rsidRPr="001C2800">
              <w:rPr>
                <w:rFonts w:ascii="Arial" w:hAnsi="Arial" w:cs="Arial"/>
                <w:sz w:val="19"/>
                <w:szCs w:val="19"/>
                <w:lang w:val="en-GB"/>
              </w:rPr>
              <w:t>Amniote Life History Database</w:t>
            </w:r>
            <w:bookmarkStart w:id="5" w:name="_Ref71180621"/>
            <w:r w:rsidRPr="001C2800">
              <w:rPr>
                <w:rStyle w:val="FootnoteReference"/>
                <w:rFonts w:ascii="Arial" w:hAnsi="Arial" w:cs="Arial"/>
                <w:sz w:val="19"/>
                <w:szCs w:val="19"/>
              </w:rPr>
              <w:footnoteReference w:id="9"/>
            </w:r>
            <w:bookmarkEnd w:id="5"/>
            <w:r w:rsidRPr="001C2800">
              <w:rPr>
                <w:rFonts w:ascii="Arial" w:hAnsi="Arial" w:cs="Arial"/>
                <w:sz w:val="19"/>
                <w:szCs w:val="19"/>
                <w:lang w:val="en-GB"/>
              </w:rPr>
              <w:t xml:space="preserve"> AnAge</w:t>
            </w:r>
            <w:bookmarkStart w:id="6" w:name="_Ref71180637"/>
            <w:r w:rsidRPr="001C2800">
              <w:rPr>
                <w:rStyle w:val="FootnoteReference"/>
                <w:rFonts w:ascii="Arial" w:hAnsi="Arial" w:cs="Arial"/>
                <w:sz w:val="19"/>
                <w:szCs w:val="19"/>
              </w:rPr>
              <w:footnoteReference w:id="10"/>
            </w:r>
            <w:bookmarkEnd w:id="6"/>
          </w:p>
          <w:p w14:paraId="70DEF7E2"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FishBase</w:t>
            </w:r>
            <w:r w:rsidRPr="001C2800">
              <w:rPr>
                <w:rStyle w:val="FootnoteReference"/>
                <w:rFonts w:ascii="Arial" w:hAnsi="Arial" w:cs="Arial"/>
                <w:sz w:val="19"/>
                <w:szCs w:val="19"/>
              </w:rPr>
              <w:footnoteReference w:id="11"/>
            </w:r>
          </w:p>
        </w:tc>
        <w:tc>
          <w:tcPr>
            <w:tcW w:w="6520" w:type="dxa"/>
          </w:tcPr>
          <w:p w14:paraId="34D8885F"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71F4744F" w14:textId="77777777" w:rsidR="00CF7917" w:rsidRPr="001C2800" w:rsidRDefault="00CF7917" w:rsidP="00154A49">
            <w:pPr>
              <w:pStyle w:val="ListParagraph"/>
              <w:numPr>
                <w:ilvl w:val="0"/>
                <w:numId w:val="37"/>
              </w:numPr>
              <w:spacing w:before="40" w:after="40"/>
              <w:ind w:left="457"/>
              <w:contextualSpacing w:val="0"/>
              <w:jc w:val="both"/>
              <w:rPr>
                <w:rFonts w:ascii="Arial" w:hAnsi="Arial" w:cs="Arial"/>
                <w:sz w:val="19"/>
                <w:szCs w:val="19"/>
              </w:rPr>
            </w:pPr>
            <w:r w:rsidRPr="001C2800">
              <w:rPr>
                <w:rFonts w:ascii="Arial" w:hAnsi="Arial" w:cs="Arial"/>
                <w:i/>
                <w:iCs/>
                <w:sz w:val="19"/>
                <w:szCs w:val="19"/>
              </w:rPr>
              <w:t>Menace due à l’usage ou au commerce</w:t>
            </w:r>
            <w:r w:rsidRPr="001C2800">
              <w:rPr>
                <w:rFonts w:ascii="Arial" w:hAnsi="Arial" w:cs="Arial"/>
                <w:sz w:val="19"/>
                <w:szCs w:val="19"/>
              </w:rPr>
              <w:t> : les taxons les plus corpulents risquent davantage d’être vulnérables face à l’exploitation excessive</w:t>
            </w:r>
            <w:r w:rsidRPr="001C2800">
              <w:rPr>
                <w:rFonts w:ascii="Arial" w:hAnsi="Arial" w:cs="Arial"/>
                <w:i/>
                <w:sz w:val="19"/>
                <w:szCs w:val="19"/>
              </w:rPr>
              <w:t xml:space="preserve"> </w:t>
            </w:r>
          </w:p>
          <w:p w14:paraId="4A1EE5B2" w14:textId="77777777" w:rsidR="00CF7917" w:rsidRPr="001C2800" w:rsidRDefault="00CF7917" w:rsidP="00154A49">
            <w:pPr>
              <w:spacing w:before="40" w:after="40"/>
              <w:jc w:val="both"/>
              <w:rPr>
                <w:rFonts w:ascii="Arial" w:hAnsi="Arial" w:cs="Arial"/>
                <w:sz w:val="19"/>
                <w:szCs w:val="19"/>
              </w:rPr>
            </w:pPr>
          </w:p>
          <w:p w14:paraId="1E5EC631"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Les seuils supérieurs (33 % les plus hauts) et inférieurs (33 % les plus bas) seront calculés pour chaque classe en fonction de la </w:t>
            </w:r>
            <w:r w:rsidRPr="001C2800">
              <w:rPr>
                <w:rFonts w:ascii="Arial" w:hAnsi="Arial" w:cs="Arial"/>
                <w:b/>
                <w:bCs/>
                <w:sz w:val="19"/>
                <w:szCs w:val="19"/>
              </w:rPr>
              <w:t>masse corporelle à l’âge adulte</w:t>
            </w:r>
            <w:r w:rsidRPr="001C2800">
              <w:rPr>
                <w:rFonts w:ascii="Arial" w:hAnsi="Arial" w:cs="Arial"/>
                <w:sz w:val="19"/>
                <w:szCs w:val="19"/>
              </w:rPr>
              <w:t xml:space="preserve"> (ou de la longueur maximale pour les poissons) pour chacune des espèces présentées. Lorsque les mesures sont fournies sous forme d’intervalle pour un taxon, la valeur moyenne est retenue. </w:t>
            </w:r>
          </w:p>
        </w:tc>
        <w:tc>
          <w:tcPr>
            <w:tcW w:w="2410" w:type="dxa"/>
          </w:tcPr>
          <w:p w14:paraId="34E60830" w14:textId="4DAB532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&gt; seuil supérieur</w:t>
            </w:r>
          </w:p>
          <w:p w14:paraId="77D4F0BA"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0,5 : entre le seuil supérieur et le seuil inférieur.</w:t>
            </w:r>
          </w:p>
          <w:p w14:paraId="3F2400DD"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0 : &lt; seuil inférieur</w:t>
            </w:r>
          </w:p>
        </w:tc>
        <w:tc>
          <w:tcPr>
            <w:tcW w:w="1843" w:type="dxa"/>
          </w:tcPr>
          <w:p w14:paraId="6341EA56"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Données sur la taille du corps indisponibles</w:t>
            </w:r>
          </w:p>
        </w:tc>
      </w:tr>
      <w:tr w:rsidR="00CF7917" w:rsidRPr="001C2800" w14:paraId="7FF277BD" w14:textId="77777777" w:rsidTr="001C2800">
        <w:tc>
          <w:tcPr>
            <w:tcW w:w="1980" w:type="dxa"/>
          </w:tcPr>
          <w:p w14:paraId="7613E21D" w14:textId="77777777" w:rsidR="00CF7917" w:rsidRPr="001C2800" w:rsidRDefault="00CF7917" w:rsidP="00154A49">
            <w:pPr>
              <w:spacing w:before="40" w:after="40"/>
              <w:jc w:val="both"/>
              <w:rPr>
                <w:rFonts w:ascii="Arial" w:hAnsi="Arial" w:cs="Arial"/>
                <w:strike/>
                <w:sz w:val="19"/>
                <w:szCs w:val="19"/>
                <w:highlight w:val="green"/>
              </w:rPr>
            </w:pPr>
            <w:r w:rsidRPr="001C2800">
              <w:rPr>
                <w:rFonts w:ascii="Arial" w:hAnsi="Arial" w:cs="Arial"/>
                <w:sz w:val="19"/>
                <w:szCs w:val="19"/>
              </w:rPr>
              <w:lastRenderedPageBreak/>
              <w:t>2.2 Efficacité de reproduction</w:t>
            </w:r>
          </w:p>
        </w:tc>
        <w:tc>
          <w:tcPr>
            <w:tcW w:w="1843" w:type="dxa"/>
          </w:tcPr>
          <w:p w14:paraId="73D66EFD"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Amniote Life History Database</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_Ref71180621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9</w:t>
            </w:r>
            <w:r w:rsidRPr="001C2800">
              <w:rPr>
                <w:rFonts w:ascii="Arial" w:hAnsi="Arial" w:cs="Arial"/>
                <w:sz w:val="19"/>
                <w:szCs w:val="19"/>
                <w:vertAlign w:val="superscript"/>
              </w:rPr>
              <w:fldChar w:fldCharType="end"/>
            </w:r>
            <w:r w:rsidRPr="001C2800">
              <w:rPr>
                <w:rFonts w:ascii="Arial" w:hAnsi="Arial" w:cs="Arial"/>
                <w:sz w:val="19"/>
                <w:szCs w:val="19"/>
              </w:rPr>
              <w:t xml:space="preserve"> AnAge</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_Ref71180637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10</w:t>
            </w:r>
            <w:r w:rsidRPr="001C2800">
              <w:rPr>
                <w:rFonts w:ascii="Arial" w:hAnsi="Arial" w:cs="Arial"/>
                <w:sz w:val="19"/>
                <w:szCs w:val="19"/>
                <w:vertAlign w:val="superscript"/>
              </w:rPr>
              <w:fldChar w:fldCharType="end"/>
            </w:r>
          </w:p>
          <w:p w14:paraId="046CD4E1" w14:textId="77777777" w:rsidR="00CF7917" w:rsidRPr="001C2800" w:rsidRDefault="00CF7917" w:rsidP="00154A49">
            <w:pPr>
              <w:spacing w:before="40" w:after="40"/>
              <w:jc w:val="both"/>
              <w:rPr>
                <w:rFonts w:ascii="Arial" w:hAnsi="Arial" w:cs="Arial"/>
                <w:strike/>
                <w:sz w:val="19"/>
                <w:szCs w:val="19"/>
                <w:highlight w:val="green"/>
              </w:rPr>
            </w:pPr>
          </w:p>
        </w:tc>
        <w:tc>
          <w:tcPr>
            <w:tcW w:w="6520" w:type="dxa"/>
          </w:tcPr>
          <w:p w14:paraId="5E2F5DAE"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5A29C0EA" w14:textId="77777777" w:rsidR="00CF7917" w:rsidRPr="001C2800" w:rsidRDefault="00CF7917" w:rsidP="00154A49">
            <w:pPr>
              <w:pStyle w:val="ListParagraph"/>
              <w:numPr>
                <w:ilvl w:val="0"/>
                <w:numId w:val="38"/>
              </w:numPr>
              <w:spacing w:before="40" w:after="40"/>
              <w:ind w:left="465"/>
              <w:contextualSpacing w:val="0"/>
              <w:jc w:val="both"/>
              <w:rPr>
                <w:rFonts w:ascii="Arial" w:hAnsi="Arial" w:cs="Arial"/>
                <w:i/>
                <w:iCs/>
                <w:sz w:val="19"/>
                <w:szCs w:val="19"/>
              </w:rPr>
            </w:pPr>
            <w:r w:rsidRPr="001C2800">
              <w:rPr>
                <w:rFonts w:ascii="Arial" w:hAnsi="Arial" w:cs="Arial"/>
                <w:i/>
                <w:iCs/>
                <w:sz w:val="19"/>
                <w:szCs w:val="19"/>
              </w:rPr>
              <w:t>Menace due à l’usage ou au commerce</w:t>
            </w:r>
            <w:r w:rsidRPr="001C2800">
              <w:rPr>
                <w:rFonts w:ascii="Arial" w:hAnsi="Arial" w:cs="Arial"/>
                <w:sz w:val="19"/>
                <w:szCs w:val="19"/>
              </w:rPr>
              <w:t> : taxons dont le cycle de vie est relativement lent (donnent naissance à moins de petits ou atteignent la maturité à un âge plus avancé)</w:t>
            </w:r>
          </w:p>
          <w:p w14:paraId="0EDAAFA5" w14:textId="77777777" w:rsidR="00CF7917" w:rsidRPr="001C2800" w:rsidRDefault="00CF7917" w:rsidP="00154A49">
            <w:pPr>
              <w:spacing w:before="40" w:after="40"/>
              <w:jc w:val="both"/>
              <w:rPr>
                <w:rFonts w:ascii="Arial" w:hAnsi="Arial" w:cs="Arial"/>
                <w:sz w:val="19"/>
                <w:szCs w:val="19"/>
              </w:rPr>
            </w:pPr>
          </w:p>
          <w:p w14:paraId="76911039"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L’efficacité de reproduction sera notée à partir de deux indicateurs qui sont considérés comme complémentaires et associés afin de maximiser la couverture des données sans « double comptage ».</w:t>
            </w:r>
          </w:p>
          <w:p w14:paraId="36285F42" w14:textId="77777777" w:rsidR="00CF7917" w:rsidRPr="001C2800" w:rsidRDefault="00CF7917" w:rsidP="00154A49">
            <w:pPr>
              <w:pStyle w:val="ListParagraph"/>
              <w:numPr>
                <w:ilvl w:val="0"/>
                <w:numId w:val="31"/>
              </w:numPr>
              <w:spacing w:before="40" w:after="40"/>
              <w:contextualSpacing w:val="0"/>
              <w:jc w:val="both"/>
              <w:rPr>
                <w:rFonts w:ascii="Arial" w:hAnsi="Arial" w:cs="Arial"/>
                <w:sz w:val="19"/>
                <w:szCs w:val="19"/>
              </w:rPr>
            </w:pPr>
            <w:r w:rsidRPr="001C2800">
              <w:rPr>
                <w:rFonts w:ascii="Arial" w:hAnsi="Arial" w:cs="Arial"/>
                <w:sz w:val="19"/>
                <w:szCs w:val="19"/>
              </w:rPr>
              <w:t>Nombre de petits nés</w:t>
            </w:r>
          </w:p>
          <w:p w14:paraId="45DB26E4" w14:textId="77777777" w:rsidR="00CF7917" w:rsidRPr="001C2800" w:rsidRDefault="00CF7917" w:rsidP="00154A49">
            <w:pPr>
              <w:pStyle w:val="ListParagraph"/>
              <w:numPr>
                <w:ilvl w:val="0"/>
                <w:numId w:val="31"/>
              </w:numPr>
              <w:spacing w:before="40" w:after="40"/>
              <w:contextualSpacing w:val="0"/>
              <w:jc w:val="both"/>
              <w:rPr>
                <w:rFonts w:ascii="Arial" w:hAnsi="Arial" w:cs="Arial"/>
                <w:sz w:val="19"/>
                <w:szCs w:val="19"/>
              </w:rPr>
            </w:pPr>
            <w:r w:rsidRPr="001C2800">
              <w:rPr>
                <w:rFonts w:ascii="Arial" w:hAnsi="Arial" w:cs="Arial"/>
                <w:sz w:val="19"/>
                <w:szCs w:val="19"/>
              </w:rPr>
              <w:t xml:space="preserve">Âge de la maturité </w:t>
            </w:r>
          </w:p>
          <w:p w14:paraId="036FD059" w14:textId="77777777" w:rsidR="00CF7917" w:rsidRPr="001C2800" w:rsidRDefault="00CF7917" w:rsidP="00154A49">
            <w:pPr>
              <w:spacing w:before="40" w:after="40"/>
              <w:jc w:val="both"/>
              <w:rPr>
                <w:rFonts w:ascii="Arial" w:hAnsi="Arial" w:cs="Arial"/>
                <w:sz w:val="19"/>
                <w:szCs w:val="19"/>
              </w:rPr>
            </w:pPr>
          </w:p>
          <w:p w14:paraId="503921C9"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Les seuils supérieurs (33 % les plus hauts) et inférieurs (33 % les plus bas) pour ces deux indicateurs seront calculés séparément pour chaque classe en fonction des données disponibles pour chacune des espèces de ces classes. Lorsque les mesures sont fournies sous forme d’intervalle pour un taxon, la valeur moyenne est retenue. Le nombre moyen de petits (a) et l’âge de la maturité (b) pour chacun des taxons de l’Annexe I seront évalués au regard de ces seuils.</w:t>
            </w:r>
          </w:p>
          <w:p w14:paraId="2735E38A" w14:textId="77777777" w:rsidR="00F4439A" w:rsidRPr="001C2800" w:rsidRDefault="00F4439A" w:rsidP="00154A49">
            <w:pPr>
              <w:spacing w:before="40" w:after="40"/>
              <w:jc w:val="both"/>
              <w:rPr>
                <w:rFonts w:ascii="Arial" w:hAnsi="Arial" w:cs="Arial"/>
                <w:sz w:val="19"/>
                <w:szCs w:val="19"/>
              </w:rPr>
            </w:pPr>
          </w:p>
          <w:p w14:paraId="73989FCD" w14:textId="0FB27224" w:rsidR="00F4439A" w:rsidRPr="001C2800" w:rsidRDefault="00F4439A" w:rsidP="00154A49">
            <w:pPr>
              <w:spacing w:before="40" w:after="40"/>
              <w:jc w:val="both"/>
              <w:rPr>
                <w:rFonts w:ascii="Arial" w:hAnsi="Arial" w:cs="Arial"/>
                <w:sz w:val="19"/>
                <w:szCs w:val="19"/>
              </w:rPr>
            </w:pPr>
            <w:r w:rsidRPr="001C2800">
              <w:rPr>
                <w:rFonts w:ascii="Arial" w:hAnsi="Arial" w:cs="Arial"/>
                <w:sz w:val="19"/>
                <w:szCs w:val="19"/>
              </w:rPr>
              <w:t>Lorsque les données n’étaient disponibles que pour un seul indicateur, les taxons seront notés uniquement au regard de cet indicateur</w:t>
            </w:r>
          </w:p>
        </w:tc>
        <w:tc>
          <w:tcPr>
            <w:tcW w:w="2410" w:type="dxa"/>
          </w:tcPr>
          <w:p w14:paraId="6B482345" w14:textId="66B3B5C5" w:rsidR="00EA1972"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w:t>
            </w:r>
            <w:r w:rsidR="00EA1972" w:rsidRPr="001C2800">
              <w:rPr>
                <w:rFonts w:ascii="Arial" w:hAnsi="Arial" w:cs="Arial"/>
                <w:sz w:val="19"/>
                <w:szCs w:val="19"/>
              </w:rPr>
              <w:t xml:space="preserve"> cycle de vie</w:t>
            </w:r>
            <w:r w:rsidR="001C2800">
              <w:rPr>
                <w:rFonts w:ascii="Arial" w:hAnsi="Arial" w:cs="Arial"/>
                <w:sz w:val="19"/>
                <w:szCs w:val="19"/>
              </w:rPr>
              <w:t xml:space="preserve"> «l</w:t>
            </w:r>
            <w:r w:rsidR="00EA1972" w:rsidRPr="001C2800">
              <w:rPr>
                <w:rFonts w:ascii="Arial" w:hAnsi="Arial" w:cs="Arial"/>
                <w:sz w:val="19"/>
                <w:szCs w:val="19"/>
              </w:rPr>
              <w:t>ent</w:t>
            </w:r>
            <w:r w:rsidR="001C2800">
              <w:rPr>
                <w:rFonts w:ascii="Arial" w:hAnsi="Arial" w:cs="Arial"/>
                <w:sz w:val="19"/>
                <w:szCs w:val="19"/>
              </w:rPr>
              <w:t> »</w:t>
            </w:r>
            <w:r w:rsidR="00EA1972" w:rsidRPr="001C2800">
              <w:rPr>
                <w:rFonts w:ascii="Arial" w:hAnsi="Arial" w:cs="Arial"/>
                <w:sz w:val="19"/>
                <w:szCs w:val="19"/>
              </w:rPr>
              <w:t>(</w:t>
            </w:r>
            <w:r w:rsidRPr="001C2800">
              <w:rPr>
                <w:rFonts w:ascii="Arial" w:hAnsi="Arial" w:cs="Arial"/>
                <w:sz w:val="19"/>
                <w:szCs w:val="19"/>
              </w:rPr>
              <w:t xml:space="preserve"> &gt; seuil supérieur pour</w:t>
            </w:r>
            <w:r w:rsidR="00EA1972" w:rsidRPr="001C2800">
              <w:rPr>
                <w:rFonts w:ascii="Arial" w:hAnsi="Arial" w:cs="Arial"/>
                <w:sz w:val="19"/>
                <w:szCs w:val="19"/>
              </w:rPr>
              <w:t xml:space="preserve"> âge à la maturité ET &lt; seuil inférieur pour le nombre de descendants)</w:t>
            </w:r>
          </w:p>
          <w:p w14:paraId="41376186" w14:textId="6506085F" w:rsidR="00CF7917" w:rsidRPr="001C2800" w:rsidRDefault="00CF7917" w:rsidP="00154A49">
            <w:pPr>
              <w:spacing w:before="40" w:after="40"/>
              <w:jc w:val="both"/>
              <w:rPr>
                <w:rFonts w:ascii="Arial" w:hAnsi="Arial" w:cs="Arial"/>
                <w:sz w:val="19"/>
                <w:szCs w:val="19"/>
              </w:rPr>
            </w:pPr>
          </w:p>
          <w:p w14:paraId="04A53ACF" w14:textId="337C184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0,66 : &gt; seuil supérieur pour </w:t>
            </w:r>
            <w:r w:rsidR="007C1A81" w:rsidRPr="001C2800">
              <w:rPr>
                <w:rFonts w:ascii="Arial" w:hAnsi="Arial" w:cs="Arial"/>
                <w:sz w:val="19"/>
                <w:szCs w:val="19"/>
              </w:rPr>
              <w:t xml:space="preserve"> âge à la maturité OU &lt; seuil inférieur pour le nombre de descendants (mais pas les deux)</w:t>
            </w:r>
          </w:p>
          <w:p w14:paraId="51CDC49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0,33 : entre le seuil supérieur et le seuil inférieur pour au moins un indicateur</w:t>
            </w:r>
          </w:p>
          <w:p w14:paraId="5DFC4AFE" w14:textId="7F933EA9"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0 : </w:t>
            </w:r>
            <w:r w:rsidR="007C1A81" w:rsidRPr="001C2800">
              <w:rPr>
                <w:rFonts w:ascii="Arial" w:hAnsi="Arial" w:cs="Arial"/>
                <w:sz w:val="19"/>
                <w:szCs w:val="19"/>
              </w:rPr>
              <w:t>cycle de vie « rapide »</w:t>
            </w:r>
            <w:r w:rsidR="000C6648">
              <w:rPr>
                <w:rFonts w:ascii="Arial" w:hAnsi="Arial" w:cs="Arial"/>
                <w:sz w:val="19"/>
                <w:szCs w:val="19"/>
              </w:rPr>
              <w:t xml:space="preserve"> </w:t>
            </w:r>
            <w:r w:rsidR="00F4439A" w:rsidRPr="001C2800">
              <w:rPr>
                <w:rFonts w:ascii="Arial" w:hAnsi="Arial" w:cs="Arial"/>
                <w:sz w:val="19"/>
                <w:szCs w:val="19"/>
              </w:rPr>
              <w:t xml:space="preserve">( &lt; </w:t>
            </w:r>
            <w:r w:rsidRPr="001C2800">
              <w:rPr>
                <w:rFonts w:ascii="Arial" w:hAnsi="Arial" w:cs="Arial"/>
                <w:sz w:val="19"/>
                <w:szCs w:val="19"/>
              </w:rPr>
              <w:t xml:space="preserve"> seuil inférieur pour </w:t>
            </w:r>
            <w:r w:rsidR="00F4439A" w:rsidRPr="001C2800">
              <w:rPr>
                <w:rFonts w:ascii="Arial" w:hAnsi="Arial" w:cs="Arial"/>
                <w:sz w:val="19"/>
                <w:szCs w:val="19"/>
              </w:rPr>
              <w:t>âge à maturité ET &gt; seuil supérieur pour le nombre de decendants</w:t>
            </w:r>
            <w:r w:rsidR="000C6648">
              <w:rPr>
                <w:rFonts w:ascii="Arial" w:hAnsi="Arial" w:cs="Arial"/>
                <w:sz w:val="19"/>
                <w:szCs w:val="19"/>
              </w:rPr>
              <w:t>)</w:t>
            </w:r>
          </w:p>
          <w:p w14:paraId="32D5E690" w14:textId="77777777" w:rsidR="00CF7917" w:rsidRPr="001C2800" w:rsidRDefault="00CF7917" w:rsidP="00154A49">
            <w:pPr>
              <w:spacing w:before="40" w:after="40"/>
              <w:jc w:val="both"/>
              <w:rPr>
                <w:rFonts w:ascii="Arial" w:hAnsi="Arial" w:cs="Arial"/>
                <w:sz w:val="19"/>
                <w:szCs w:val="19"/>
              </w:rPr>
            </w:pPr>
          </w:p>
          <w:p w14:paraId="52FAF88E" w14:textId="698841D8" w:rsidR="00CF7917" w:rsidRPr="001C2800" w:rsidRDefault="00CF7917" w:rsidP="00154A49">
            <w:pPr>
              <w:spacing w:before="40" w:after="40"/>
              <w:jc w:val="both"/>
              <w:rPr>
                <w:rFonts w:ascii="Arial" w:hAnsi="Arial" w:cs="Arial"/>
                <w:strike/>
                <w:sz w:val="19"/>
                <w:szCs w:val="19"/>
                <w:highlight w:val="green"/>
              </w:rPr>
            </w:pPr>
          </w:p>
        </w:tc>
        <w:tc>
          <w:tcPr>
            <w:tcW w:w="1843" w:type="dxa"/>
          </w:tcPr>
          <w:p w14:paraId="011E3C0D" w14:textId="77777777" w:rsidR="00CF7917" w:rsidRPr="001C2800" w:rsidRDefault="00CF7917" w:rsidP="00154A49">
            <w:pPr>
              <w:spacing w:before="40" w:after="40"/>
              <w:jc w:val="both"/>
              <w:rPr>
                <w:rFonts w:ascii="Arial" w:hAnsi="Arial" w:cs="Arial"/>
                <w:strike/>
                <w:sz w:val="19"/>
                <w:szCs w:val="19"/>
                <w:highlight w:val="green"/>
              </w:rPr>
            </w:pPr>
            <w:r w:rsidRPr="001C2800">
              <w:rPr>
                <w:rFonts w:ascii="Arial" w:hAnsi="Arial" w:cs="Arial"/>
                <w:sz w:val="19"/>
                <w:szCs w:val="19"/>
              </w:rPr>
              <w:t>Données indisponibles sur le nombre de petits et l’âge de la maturité.</w:t>
            </w:r>
          </w:p>
        </w:tc>
      </w:tr>
      <w:tr w:rsidR="00CF7917" w:rsidRPr="001C2800" w14:paraId="789CB027" w14:textId="77777777" w:rsidTr="001C2800">
        <w:tc>
          <w:tcPr>
            <w:tcW w:w="1980" w:type="dxa"/>
          </w:tcPr>
          <w:p w14:paraId="13E896A2"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2.3 Étendue de l’habitat</w:t>
            </w:r>
          </w:p>
        </w:tc>
        <w:tc>
          <w:tcPr>
            <w:tcW w:w="1843" w:type="dxa"/>
          </w:tcPr>
          <w:p w14:paraId="5CE7855D"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 xml:space="preserve">Ducatez </w:t>
            </w:r>
            <w:r w:rsidRPr="001C2800">
              <w:rPr>
                <w:rFonts w:ascii="Arial" w:hAnsi="Arial" w:cs="Arial"/>
                <w:i/>
                <w:sz w:val="19"/>
                <w:szCs w:val="19"/>
              </w:rPr>
              <w:t>et al</w:t>
            </w:r>
            <w:r w:rsidRPr="001C2800">
              <w:rPr>
                <w:rFonts w:ascii="Arial" w:hAnsi="Arial" w:cs="Arial"/>
                <w:sz w:val="19"/>
                <w:szCs w:val="19"/>
              </w:rPr>
              <w:t>. (2016)</w:t>
            </w:r>
            <w:r w:rsidRPr="001C2800">
              <w:rPr>
                <w:rStyle w:val="FootnoteReference"/>
                <w:rFonts w:ascii="Arial" w:hAnsi="Arial" w:cs="Arial"/>
                <w:sz w:val="19"/>
                <w:szCs w:val="19"/>
              </w:rPr>
              <w:footnoteReference w:id="12"/>
            </w:r>
          </w:p>
        </w:tc>
        <w:tc>
          <w:tcPr>
            <w:tcW w:w="6520" w:type="dxa"/>
          </w:tcPr>
          <w:p w14:paraId="38F429AF"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09F003CE" w14:textId="77777777" w:rsidR="00CF7917" w:rsidRPr="001C2800" w:rsidRDefault="00CF7917" w:rsidP="00154A49">
            <w:pPr>
              <w:pStyle w:val="ListParagraph"/>
              <w:numPr>
                <w:ilvl w:val="0"/>
                <w:numId w:val="38"/>
              </w:numPr>
              <w:spacing w:before="40" w:after="40"/>
              <w:contextualSpacing w:val="0"/>
              <w:jc w:val="both"/>
              <w:rPr>
                <w:rFonts w:ascii="Arial" w:hAnsi="Arial" w:cs="Arial"/>
                <w:sz w:val="19"/>
                <w:szCs w:val="19"/>
              </w:rPr>
            </w:pPr>
            <w:r w:rsidRPr="001C2800">
              <w:rPr>
                <w:rFonts w:ascii="Arial" w:hAnsi="Arial" w:cs="Arial"/>
                <w:i/>
                <w:iCs/>
                <w:sz w:val="19"/>
                <w:szCs w:val="19"/>
              </w:rPr>
              <w:t>Menace due à l’usage ou au commerce</w:t>
            </w:r>
            <w:r w:rsidRPr="001C2800">
              <w:rPr>
                <w:rFonts w:ascii="Arial" w:hAnsi="Arial" w:cs="Arial"/>
                <w:sz w:val="19"/>
                <w:szCs w:val="19"/>
              </w:rPr>
              <w:t xml:space="preserve"> : les taxons qui occupent une gamme limitée d’habitats (espèces spécialisées) risquent d’être plus vulnérables que ceux qui vivent dans une gamme plus étendue d’habitats (espèces généralistes). </w:t>
            </w:r>
          </w:p>
          <w:p w14:paraId="57CEB885" w14:textId="77777777" w:rsidR="00CF7917" w:rsidRPr="001C2800" w:rsidRDefault="00CF7917" w:rsidP="00154A49">
            <w:pPr>
              <w:spacing w:before="40" w:after="40"/>
              <w:jc w:val="both"/>
              <w:rPr>
                <w:rFonts w:ascii="Arial" w:hAnsi="Arial" w:cs="Arial"/>
                <w:i/>
                <w:iCs/>
                <w:sz w:val="19"/>
                <w:szCs w:val="19"/>
              </w:rPr>
            </w:pPr>
          </w:p>
          <w:p w14:paraId="3089B97C" w14:textId="2B52F3F4"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Les seuils supérieurs (33 % les plus hauts) et inférieurs (33 % les plus bas) seront calculés pour chaque classe en fonction des données relatives à </w:t>
            </w:r>
            <w:r w:rsidRPr="001C2800">
              <w:rPr>
                <w:rFonts w:ascii="Arial" w:hAnsi="Arial" w:cs="Arial"/>
                <w:b/>
                <w:bCs/>
                <w:sz w:val="19"/>
                <w:szCs w:val="19"/>
              </w:rPr>
              <w:t>l’étendue de l’habitat</w:t>
            </w:r>
            <w:r w:rsidRPr="001C2800">
              <w:rPr>
                <w:rFonts w:ascii="Arial" w:hAnsi="Arial" w:cs="Arial"/>
                <w:sz w:val="19"/>
                <w:szCs w:val="19"/>
              </w:rPr>
              <w:t xml:space="preserve"> pour chacune des espèces examinées par Ducatez </w:t>
            </w:r>
            <w:r w:rsidRPr="001C2800">
              <w:rPr>
                <w:rFonts w:ascii="Arial" w:hAnsi="Arial" w:cs="Arial"/>
                <w:i/>
                <w:sz w:val="19"/>
                <w:szCs w:val="19"/>
              </w:rPr>
              <w:t>et al.</w:t>
            </w:r>
            <w:r w:rsidRPr="001C2800">
              <w:rPr>
                <w:rFonts w:ascii="Arial" w:hAnsi="Arial" w:cs="Arial"/>
                <w:sz w:val="19"/>
                <w:szCs w:val="19"/>
              </w:rPr>
              <w:t xml:space="preserve"> (2016). L’étendue de l’habitat de chacun des taxons de l’Annexe I </w:t>
            </w:r>
            <w:r w:rsidR="001B2C18" w:rsidRPr="001C2800">
              <w:rPr>
                <w:rFonts w:ascii="Arial" w:hAnsi="Arial" w:cs="Arial"/>
                <w:sz w:val="19"/>
                <w:szCs w:val="19"/>
              </w:rPr>
              <w:t>sera</w:t>
            </w:r>
            <w:r w:rsidRPr="001C2800">
              <w:rPr>
                <w:rFonts w:ascii="Arial" w:hAnsi="Arial" w:cs="Arial"/>
                <w:sz w:val="19"/>
                <w:szCs w:val="19"/>
              </w:rPr>
              <w:t xml:space="preserve"> évaluée au regard de ces seuils.</w:t>
            </w:r>
          </w:p>
        </w:tc>
        <w:tc>
          <w:tcPr>
            <w:tcW w:w="2410" w:type="dxa"/>
          </w:tcPr>
          <w:p w14:paraId="2E9D847E"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&gt; seuil supérieur</w:t>
            </w:r>
          </w:p>
          <w:p w14:paraId="6BF0A352"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0,5 : entre le seuil supérieur et le seuil inférieur.</w:t>
            </w:r>
          </w:p>
          <w:p w14:paraId="09B680EC"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0 : &lt; seuil inférieur</w:t>
            </w:r>
          </w:p>
        </w:tc>
        <w:tc>
          <w:tcPr>
            <w:tcW w:w="1843" w:type="dxa"/>
          </w:tcPr>
          <w:p w14:paraId="397C823A"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Taxon pas encore évalué par l’UICN.</w:t>
            </w:r>
          </w:p>
        </w:tc>
      </w:tr>
      <w:tr w:rsidR="00CF7917" w:rsidRPr="001C2800" w14:paraId="4F5F4E81" w14:textId="77777777" w:rsidTr="001C2800">
        <w:tc>
          <w:tcPr>
            <w:tcW w:w="1980" w:type="dxa"/>
          </w:tcPr>
          <w:p w14:paraId="2E1EB424"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lastRenderedPageBreak/>
              <w:t>2.4 Taille de l’aire de répartition</w:t>
            </w:r>
          </w:p>
        </w:tc>
        <w:tc>
          <w:tcPr>
            <w:tcW w:w="1843" w:type="dxa"/>
          </w:tcPr>
          <w:p w14:paraId="6AF1992D"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tc>
        <w:tc>
          <w:tcPr>
            <w:tcW w:w="6520" w:type="dxa"/>
          </w:tcPr>
          <w:p w14:paraId="518E33DB"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57683099" w14:textId="77777777" w:rsidR="00CF7917" w:rsidRPr="001C2800" w:rsidRDefault="00CF7917" w:rsidP="00154A49">
            <w:pPr>
              <w:pStyle w:val="ListParagraph"/>
              <w:numPr>
                <w:ilvl w:val="0"/>
                <w:numId w:val="38"/>
              </w:numPr>
              <w:spacing w:before="40" w:after="40"/>
              <w:contextualSpacing w:val="0"/>
              <w:jc w:val="both"/>
              <w:rPr>
                <w:rFonts w:ascii="Arial" w:hAnsi="Arial" w:cs="Arial"/>
                <w:sz w:val="19"/>
                <w:szCs w:val="19"/>
              </w:rPr>
            </w:pPr>
            <w:r w:rsidRPr="001C2800">
              <w:rPr>
                <w:rFonts w:ascii="Arial" w:hAnsi="Arial" w:cs="Arial"/>
                <w:i/>
                <w:iCs/>
                <w:sz w:val="19"/>
                <w:szCs w:val="19"/>
              </w:rPr>
              <w:t>Menace due à l’usage ou au commerce</w:t>
            </w:r>
            <w:r w:rsidRPr="001C2800">
              <w:rPr>
                <w:rFonts w:ascii="Arial" w:hAnsi="Arial" w:cs="Arial"/>
                <w:sz w:val="19"/>
                <w:szCs w:val="19"/>
              </w:rPr>
              <w:t> : taxons dont l’aire de répartition est restreinte</w:t>
            </w:r>
          </w:p>
          <w:p w14:paraId="531D47D4" w14:textId="77777777" w:rsidR="00CF7917" w:rsidRPr="001C2800" w:rsidRDefault="00CF7917" w:rsidP="00154A49">
            <w:pPr>
              <w:spacing w:before="40" w:after="40"/>
              <w:jc w:val="both"/>
              <w:rPr>
                <w:rFonts w:ascii="Arial" w:hAnsi="Arial" w:cs="Arial"/>
                <w:sz w:val="19"/>
                <w:szCs w:val="19"/>
              </w:rPr>
            </w:pPr>
          </w:p>
          <w:p w14:paraId="25597F96"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Les seuils supérieurs (33 % les plus hauts) et inférieurs (33 % les plus bas) seront calculés pour chaque ordre en fonction de la </w:t>
            </w:r>
            <w:r w:rsidRPr="001C2800">
              <w:rPr>
                <w:rFonts w:ascii="Arial" w:hAnsi="Arial" w:cs="Arial"/>
                <w:b/>
                <w:bCs/>
                <w:sz w:val="19"/>
                <w:szCs w:val="19"/>
              </w:rPr>
              <w:t>Zone d’occurrence</w:t>
            </w:r>
            <w:r w:rsidRPr="001C2800">
              <w:rPr>
                <w:rFonts w:ascii="Arial" w:hAnsi="Arial" w:cs="Arial"/>
                <w:sz w:val="19"/>
                <w:szCs w:val="19"/>
              </w:rPr>
              <w:t xml:space="preserve"> (EOO) pour chaque taxon évalué par l’UICN. Si l’EOO est fournie sous forme de fourchette, c’est la valeur moyenne qui sera retenue. </w:t>
            </w:r>
          </w:p>
          <w:p w14:paraId="59584D1D" w14:textId="73AD5D01"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L’EOO moyenne de chaque taxon inscrit à l’Annexe I sera notée en fonction de ces seuils. </w:t>
            </w:r>
          </w:p>
        </w:tc>
        <w:tc>
          <w:tcPr>
            <w:tcW w:w="2410" w:type="dxa"/>
          </w:tcPr>
          <w:p w14:paraId="2B933FC2"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&lt; seuil inférieur</w:t>
            </w:r>
          </w:p>
          <w:p w14:paraId="4B01B05F"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0,5 : entre le seuil supérieur et le seuil inférieur</w:t>
            </w:r>
          </w:p>
          <w:p w14:paraId="1AD7FD8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 : &gt; seuil supérieur</w:t>
            </w:r>
          </w:p>
        </w:tc>
        <w:tc>
          <w:tcPr>
            <w:tcW w:w="1843" w:type="dxa"/>
          </w:tcPr>
          <w:p w14:paraId="6B254BA0"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Données sur l’EOO non disponibles depuis l’UICN.</w:t>
            </w:r>
          </w:p>
          <w:p w14:paraId="10D32C71" w14:textId="77777777" w:rsidR="00CF7917" w:rsidRPr="001C2800" w:rsidRDefault="00CF7917" w:rsidP="00154A49">
            <w:pPr>
              <w:spacing w:before="40" w:after="40"/>
              <w:jc w:val="both"/>
              <w:rPr>
                <w:rFonts w:ascii="Arial" w:hAnsi="Arial" w:cs="Arial"/>
                <w:sz w:val="19"/>
                <w:szCs w:val="19"/>
              </w:rPr>
            </w:pPr>
          </w:p>
          <w:p w14:paraId="105CB382"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Taxon pas encore évalué par l’UICN.</w:t>
            </w:r>
          </w:p>
        </w:tc>
      </w:tr>
      <w:tr w:rsidR="00CF7917" w:rsidRPr="001C2800" w14:paraId="081160EC" w14:textId="77777777" w:rsidTr="001C2800">
        <w:tc>
          <w:tcPr>
            <w:tcW w:w="14596" w:type="dxa"/>
            <w:gridSpan w:val="5"/>
            <w:tcBorders>
              <w:bottom w:val="single" w:sz="4" w:space="0" w:color="auto"/>
            </w:tcBorders>
            <w:shd w:val="clear" w:color="auto" w:fill="00AEEF"/>
          </w:tcPr>
          <w:p w14:paraId="140E6A51" w14:textId="77777777" w:rsidR="00CF7917" w:rsidRPr="001C2800" w:rsidRDefault="00CF7917" w:rsidP="00154A49">
            <w:pPr>
              <w:spacing w:before="40" w:after="40"/>
              <w:jc w:val="both"/>
              <w:rPr>
                <w:rFonts w:ascii="Arial" w:hAnsi="Arial" w:cs="Arial"/>
                <w:b/>
                <w:bCs/>
                <w:sz w:val="19"/>
                <w:szCs w:val="19"/>
              </w:rPr>
            </w:pPr>
            <w:r w:rsidRPr="001C2800">
              <w:rPr>
                <w:rFonts w:ascii="Arial" w:hAnsi="Arial" w:cs="Arial"/>
                <w:b/>
                <w:sz w:val="19"/>
                <w:szCs w:val="19"/>
              </w:rPr>
              <w:t>Menaces sur les espèces</w:t>
            </w:r>
          </w:p>
        </w:tc>
      </w:tr>
      <w:tr w:rsidR="00CF7917" w:rsidRPr="001C2800" w14:paraId="11D41AD7" w14:textId="77777777" w:rsidTr="001C2800">
        <w:tc>
          <w:tcPr>
            <w:tcW w:w="1980" w:type="dxa"/>
            <w:tcBorders>
              <w:bottom w:val="single" w:sz="4" w:space="0" w:color="auto"/>
            </w:tcBorders>
          </w:tcPr>
          <w:p w14:paraId="1DBFF9C1"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3.1 Menace due à l’usage</w:t>
            </w:r>
          </w:p>
        </w:tc>
        <w:tc>
          <w:tcPr>
            <w:tcW w:w="1843" w:type="dxa"/>
            <w:tcBorders>
              <w:bottom w:val="single" w:sz="4" w:space="0" w:color="auto"/>
            </w:tcBorders>
          </w:tcPr>
          <w:p w14:paraId="68DD278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p w14:paraId="0742F5D0" w14:textId="77777777" w:rsidR="00CF7917" w:rsidRPr="001C2800" w:rsidRDefault="00CF7917" w:rsidP="00154A49">
            <w:pPr>
              <w:spacing w:before="40" w:after="40"/>
              <w:jc w:val="both"/>
              <w:rPr>
                <w:rFonts w:ascii="Arial" w:hAnsi="Arial" w:cs="Arial"/>
                <w:sz w:val="19"/>
                <w:szCs w:val="19"/>
              </w:rPr>
            </w:pPr>
          </w:p>
        </w:tc>
        <w:tc>
          <w:tcPr>
            <w:tcW w:w="6520" w:type="dxa"/>
            <w:tcBorders>
              <w:bottom w:val="single" w:sz="4" w:space="0" w:color="auto"/>
            </w:tcBorders>
          </w:tcPr>
          <w:p w14:paraId="2EDCD8C6"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6974DDD9" w14:textId="77777777" w:rsidR="00CF7917" w:rsidRPr="001C2800" w:rsidRDefault="00CF7917" w:rsidP="00154A49">
            <w:pPr>
              <w:pStyle w:val="ListParagraph"/>
              <w:numPr>
                <w:ilvl w:val="0"/>
                <w:numId w:val="38"/>
              </w:numPr>
              <w:spacing w:before="40" w:after="40"/>
              <w:contextualSpacing w:val="0"/>
              <w:jc w:val="both"/>
              <w:rPr>
                <w:rFonts w:ascii="Arial" w:hAnsi="Arial" w:cs="Arial"/>
                <w:i/>
                <w:iCs/>
                <w:sz w:val="19"/>
                <w:szCs w:val="19"/>
              </w:rPr>
            </w:pPr>
            <w:r w:rsidRPr="001C2800">
              <w:rPr>
                <w:rFonts w:ascii="Arial" w:hAnsi="Arial" w:cs="Arial"/>
                <w:i/>
                <w:iCs/>
                <w:sz w:val="19"/>
                <w:szCs w:val="19"/>
              </w:rPr>
              <w:t>Menace due à l’usage ou au commerce</w:t>
            </w:r>
            <w:r w:rsidRPr="001C2800">
              <w:rPr>
                <w:rFonts w:ascii="Arial" w:hAnsi="Arial" w:cs="Arial"/>
                <w:sz w:val="19"/>
                <w:szCs w:val="19"/>
              </w:rPr>
              <w:t> : taxons pour lesquels le commerce ou l’usage constituent une menace documentée</w:t>
            </w:r>
            <w:r w:rsidRPr="001C2800">
              <w:rPr>
                <w:rFonts w:ascii="Arial" w:hAnsi="Arial" w:cs="Arial"/>
                <w:i/>
                <w:sz w:val="19"/>
                <w:szCs w:val="19"/>
              </w:rPr>
              <w:t xml:space="preserve"> </w:t>
            </w:r>
          </w:p>
          <w:p w14:paraId="436FB755" w14:textId="77777777" w:rsidR="00CF7917" w:rsidRPr="001C2800" w:rsidRDefault="00CF7917" w:rsidP="00154A49">
            <w:pPr>
              <w:spacing w:before="40" w:after="40"/>
              <w:jc w:val="both"/>
              <w:rPr>
                <w:rFonts w:ascii="Arial" w:hAnsi="Arial" w:cs="Arial"/>
                <w:sz w:val="19"/>
                <w:szCs w:val="19"/>
              </w:rPr>
            </w:pPr>
          </w:p>
          <w:p w14:paraId="2FD90821"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Si les évaluations de la Liste rouge de l’UICN mettent en lumière que </w:t>
            </w:r>
            <w:r w:rsidRPr="001C2800">
              <w:rPr>
                <w:rFonts w:ascii="Arial" w:hAnsi="Arial" w:cs="Arial"/>
                <w:b/>
                <w:bCs/>
                <w:sz w:val="19"/>
                <w:szCs w:val="19"/>
              </w:rPr>
              <w:t>l’utilisation intentionnelle de ressources biologiques</w:t>
            </w:r>
            <w:r w:rsidRPr="001C2800">
              <w:rPr>
                <w:rFonts w:ascii="Arial" w:hAnsi="Arial" w:cs="Arial"/>
                <w:sz w:val="19"/>
                <w:szCs w:val="19"/>
              </w:rPr>
              <w:t xml:space="preserve"> constitue une menace (classifications de menace : 5.1.1, 5.4.2)</w:t>
            </w:r>
            <w:r w:rsidRPr="001C2800">
              <w:rPr>
                <w:rStyle w:val="FootnoteReference"/>
                <w:rFonts w:ascii="Arial" w:hAnsi="Arial" w:cs="Arial"/>
                <w:sz w:val="19"/>
                <w:szCs w:val="19"/>
              </w:rPr>
              <w:footnoteReference w:id="13"/>
            </w:r>
            <w:r w:rsidRPr="001C2800">
              <w:rPr>
                <w:rFonts w:ascii="Arial" w:hAnsi="Arial" w:cs="Arial"/>
                <w:sz w:val="19"/>
                <w:szCs w:val="19"/>
              </w:rPr>
              <w:t xml:space="preserve"> et, le cas échéant, le degré de gravité de ces menaces. S’il y a plusieurs menaces ou plusieurs degrés de gravité, c’est la note la plus élevée qui sera retenue.</w:t>
            </w:r>
          </w:p>
          <w:p w14:paraId="3419A212" w14:textId="77777777" w:rsidR="00CF7917" w:rsidRPr="001C2800" w:rsidRDefault="00CF7917" w:rsidP="00154A49">
            <w:pPr>
              <w:spacing w:before="40" w:after="40"/>
              <w:jc w:val="both"/>
              <w:rPr>
                <w:rFonts w:ascii="Arial" w:hAnsi="Arial" w:cs="Arial"/>
                <w:sz w:val="19"/>
                <w:szCs w:val="19"/>
              </w:rPr>
            </w:pPr>
          </w:p>
          <w:p w14:paraId="566B5C56"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Les menaces considérées comme « ayant eu lieu dans le passé (retour peu probable) » seront exclues.</w:t>
            </w:r>
          </w:p>
        </w:tc>
        <w:tc>
          <w:tcPr>
            <w:tcW w:w="2410" w:type="dxa"/>
            <w:tcBorders>
              <w:bottom w:val="single" w:sz="4" w:space="0" w:color="auto"/>
            </w:tcBorders>
          </w:tcPr>
          <w:p w14:paraId="6FC23A3D"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considérés comme une menace (gravité : déclin rapide ou très rapide)</w:t>
            </w:r>
          </w:p>
          <w:p w14:paraId="09411EB0"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0,66 : considérés comme une menace (gravité : inconnue ou fluctuante)</w:t>
            </w:r>
          </w:p>
          <w:p w14:paraId="22430867"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0,33 : considérés comme une menace (gravité : déclin négligeable, lent, ou pas de déclin)</w:t>
            </w:r>
          </w:p>
          <w:p w14:paraId="00A60F52"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0 : </w:t>
            </w:r>
            <w:r w:rsidRPr="001C2800">
              <w:rPr>
                <w:rFonts w:ascii="Arial" w:hAnsi="Arial" w:cs="Arial"/>
                <w:b/>
                <w:bCs/>
                <w:sz w:val="19"/>
                <w:szCs w:val="19"/>
              </w:rPr>
              <w:t>non</w:t>
            </w:r>
            <w:r w:rsidRPr="001C2800">
              <w:rPr>
                <w:rFonts w:ascii="Arial" w:hAnsi="Arial" w:cs="Arial"/>
                <w:sz w:val="19"/>
                <w:szCs w:val="19"/>
              </w:rPr>
              <w:t xml:space="preserve"> considérés comme une menace</w:t>
            </w:r>
          </w:p>
        </w:tc>
        <w:tc>
          <w:tcPr>
            <w:tcW w:w="1843" w:type="dxa"/>
            <w:tcBorders>
              <w:bottom w:val="single" w:sz="4" w:space="0" w:color="auto"/>
            </w:tcBorders>
          </w:tcPr>
          <w:p w14:paraId="7DA65D3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Catégorie de risque sur la Liste rouge : LC.</w:t>
            </w:r>
          </w:p>
          <w:p w14:paraId="72539339" w14:textId="77777777" w:rsidR="00CF7917" w:rsidRPr="001C2800" w:rsidRDefault="00CF7917" w:rsidP="00154A49">
            <w:pPr>
              <w:spacing w:before="40" w:after="40"/>
              <w:jc w:val="both"/>
              <w:rPr>
                <w:rFonts w:ascii="Arial" w:hAnsi="Arial" w:cs="Arial"/>
                <w:sz w:val="19"/>
                <w:szCs w:val="19"/>
              </w:rPr>
            </w:pPr>
          </w:p>
          <w:p w14:paraId="0B43E194"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Taxon n’ayant </w:t>
            </w:r>
            <w:r w:rsidRPr="001C2800">
              <w:rPr>
                <w:rFonts w:ascii="Arial" w:hAnsi="Arial" w:cs="Arial"/>
                <w:b/>
                <w:bCs/>
                <w:sz w:val="19"/>
                <w:szCs w:val="19"/>
              </w:rPr>
              <w:t>pas</w:t>
            </w:r>
            <w:r w:rsidRPr="001C2800">
              <w:rPr>
                <w:rFonts w:ascii="Arial" w:hAnsi="Arial" w:cs="Arial"/>
                <w:sz w:val="19"/>
                <w:szCs w:val="19"/>
              </w:rPr>
              <w:t xml:space="preserve"> reçu de classification de menace.</w:t>
            </w:r>
          </w:p>
          <w:p w14:paraId="4631A596" w14:textId="77777777" w:rsidR="00CF7917" w:rsidRPr="001C2800" w:rsidRDefault="00CF7917" w:rsidP="00154A49">
            <w:pPr>
              <w:spacing w:before="40" w:after="40"/>
              <w:jc w:val="both"/>
              <w:rPr>
                <w:rFonts w:ascii="Arial" w:hAnsi="Arial" w:cs="Arial"/>
                <w:sz w:val="19"/>
                <w:szCs w:val="19"/>
              </w:rPr>
            </w:pPr>
          </w:p>
          <w:p w14:paraId="79AA3585"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Taxon pas encore évalué par l’UICN.</w:t>
            </w:r>
          </w:p>
        </w:tc>
      </w:tr>
      <w:tr w:rsidR="001C2800" w:rsidRPr="001C2800" w14:paraId="4FAD5435" w14:textId="77777777" w:rsidTr="001C2800">
        <w:tc>
          <w:tcPr>
            <w:tcW w:w="1980" w:type="dxa"/>
            <w:tcBorders>
              <w:top w:val="single" w:sz="4" w:space="0" w:color="auto"/>
              <w:left w:val="nil"/>
              <w:bottom w:val="nil"/>
              <w:right w:val="nil"/>
            </w:tcBorders>
          </w:tcPr>
          <w:p w14:paraId="725E3699" w14:textId="77777777" w:rsidR="001C2800" w:rsidRPr="001C2800" w:rsidRDefault="001C2800" w:rsidP="00154A49">
            <w:pPr>
              <w:spacing w:before="40" w:after="40"/>
              <w:jc w:val="both"/>
              <w:rPr>
                <w:rFonts w:ascii="Arial" w:hAnsi="Arial" w:cs="Arial"/>
                <w:sz w:val="19"/>
                <w:szCs w:val="19"/>
              </w:rPr>
            </w:pPr>
          </w:p>
        </w:tc>
        <w:tc>
          <w:tcPr>
            <w:tcW w:w="1843" w:type="dxa"/>
            <w:tcBorders>
              <w:top w:val="single" w:sz="4" w:space="0" w:color="auto"/>
              <w:left w:val="nil"/>
              <w:bottom w:val="nil"/>
              <w:right w:val="nil"/>
            </w:tcBorders>
          </w:tcPr>
          <w:p w14:paraId="23619288" w14:textId="77777777" w:rsidR="001C2800" w:rsidRPr="001C2800" w:rsidRDefault="001C2800" w:rsidP="00154A49">
            <w:pPr>
              <w:spacing w:before="40" w:after="40"/>
              <w:jc w:val="both"/>
              <w:rPr>
                <w:rFonts w:ascii="Arial" w:hAnsi="Arial" w:cs="Arial"/>
                <w:sz w:val="19"/>
                <w:szCs w:val="19"/>
              </w:rPr>
            </w:pPr>
          </w:p>
        </w:tc>
        <w:tc>
          <w:tcPr>
            <w:tcW w:w="6520" w:type="dxa"/>
            <w:tcBorders>
              <w:top w:val="single" w:sz="4" w:space="0" w:color="auto"/>
              <w:left w:val="nil"/>
              <w:bottom w:val="nil"/>
              <w:right w:val="nil"/>
            </w:tcBorders>
          </w:tcPr>
          <w:p w14:paraId="713F2420"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single" w:sz="4" w:space="0" w:color="auto"/>
              <w:left w:val="nil"/>
              <w:bottom w:val="nil"/>
              <w:right w:val="nil"/>
            </w:tcBorders>
          </w:tcPr>
          <w:p w14:paraId="1E59CCB9" w14:textId="77777777" w:rsidR="001C2800" w:rsidRPr="001C2800" w:rsidRDefault="001C2800" w:rsidP="00154A49">
            <w:pPr>
              <w:spacing w:before="40" w:after="40"/>
              <w:jc w:val="both"/>
              <w:rPr>
                <w:rFonts w:ascii="Arial" w:hAnsi="Arial" w:cs="Arial"/>
                <w:sz w:val="19"/>
                <w:szCs w:val="19"/>
              </w:rPr>
            </w:pPr>
          </w:p>
        </w:tc>
        <w:tc>
          <w:tcPr>
            <w:tcW w:w="1843" w:type="dxa"/>
            <w:tcBorders>
              <w:top w:val="single" w:sz="4" w:space="0" w:color="auto"/>
              <w:left w:val="nil"/>
              <w:bottom w:val="nil"/>
              <w:right w:val="nil"/>
            </w:tcBorders>
          </w:tcPr>
          <w:p w14:paraId="760F9AAA" w14:textId="77777777" w:rsidR="001C2800" w:rsidRPr="001C2800" w:rsidRDefault="001C2800" w:rsidP="00154A49">
            <w:pPr>
              <w:spacing w:before="40" w:after="40"/>
              <w:jc w:val="both"/>
              <w:rPr>
                <w:rFonts w:ascii="Arial" w:hAnsi="Arial" w:cs="Arial"/>
                <w:sz w:val="19"/>
                <w:szCs w:val="19"/>
              </w:rPr>
            </w:pPr>
          </w:p>
        </w:tc>
      </w:tr>
      <w:tr w:rsidR="001C2800" w:rsidRPr="001C2800" w14:paraId="256ECCFE" w14:textId="77777777" w:rsidTr="001C2800">
        <w:tc>
          <w:tcPr>
            <w:tcW w:w="1980" w:type="dxa"/>
            <w:tcBorders>
              <w:top w:val="nil"/>
              <w:left w:val="nil"/>
              <w:bottom w:val="nil"/>
              <w:right w:val="nil"/>
            </w:tcBorders>
          </w:tcPr>
          <w:p w14:paraId="22FFB984"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477CCE8D" w14:textId="77777777" w:rsidR="001C2800" w:rsidRPr="001C2800" w:rsidRDefault="001C2800" w:rsidP="00154A49">
            <w:pPr>
              <w:spacing w:before="40" w:after="40"/>
              <w:jc w:val="both"/>
              <w:rPr>
                <w:rFonts w:ascii="Arial" w:hAnsi="Arial" w:cs="Arial"/>
                <w:sz w:val="19"/>
                <w:szCs w:val="19"/>
              </w:rPr>
            </w:pPr>
          </w:p>
        </w:tc>
        <w:tc>
          <w:tcPr>
            <w:tcW w:w="6520" w:type="dxa"/>
            <w:tcBorders>
              <w:top w:val="nil"/>
              <w:left w:val="nil"/>
              <w:bottom w:val="nil"/>
              <w:right w:val="nil"/>
            </w:tcBorders>
          </w:tcPr>
          <w:p w14:paraId="1A0CC9A5"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77A09149"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65F28F42" w14:textId="77777777" w:rsidR="001C2800" w:rsidRPr="001C2800" w:rsidRDefault="001C2800" w:rsidP="00154A49">
            <w:pPr>
              <w:spacing w:before="40" w:after="40"/>
              <w:jc w:val="both"/>
              <w:rPr>
                <w:rFonts w:ascii="Arial" w:hAnsi="Arial" w:cs="Arial"/>
                <w:sz w:val="19"/>
                <w:szCs w:val="19"/>
              </w:rPr>
            </w:pPr>
          </w:p>
        </w:tc>
      </w:tr>
      <w:tr w:rsidR="001C2800" w:rsidRPr="001C2800" w14:paraId="716C29B8" w14:textId="77777777" w:rsidTr="001C2800">
        <w:tc>
          <w:tcPr>
            <w:tcW w:w="1980" w:type="dxa"/>
            <w:tcBorders>
              <w:top w:val="nil"/>
              <w:left w:val="nil"/>
              <w:bottom w:val="nil"/>
              <w:right w:val="nil"/>
            </w:tcBorders>
          </w:tcPr>
          <w:p w14:paraId="0CAD68A9"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7394D90F" w14:textId="77777777" w:rsidR="001C2800" w:rsidRPr="001C2800" w:rsidRDefault="001C2800" w:rsidP="00154A49">
            <w:pPr>
              <w:spacing w:before="40" w:after="40"/>
              <w:jc w:val="both"/>
              <w:rPr>
                <w:rFonts w:ascii="Arial" w:hAnsi="Arial" w:cs="Arial"/>
                <w:sz w:val="19"/>
                <w:szCs w:val="19"/>
              </w:rPr>
            </w:pPr>
          </w:p>
        </w:tc>
        <w:tc>
          <w:tcPr>
            <w:tcW w:w="6520" w:type="dxa"/>
            <w:tcBorders>
              <w:top w:val="nil"/>
              <w:left w:val="nil"/>
              <w:bottom w:val="nil"/>
              <w:right w:val="nil"/>
            </w:tcBorders>
          </w:tcPr>
          <w:p w14:paraId="30580119"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3B2EDE3F"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1010D947" w14:textId="77777777" w:rsidR="001C2800" w:rsidRPr="001C2800" w:rsidRDefault="001C2800" w:rsidP="00154A49">
            <w:pPr>
              <w:spacing w:before="40" w:after="40"/>
              <w:jc w:val="both"/>
              <w:rPr>
                <w:rFonts w:ascii="Arial" w:hAnsi="Arial" w:cs="Arial"/>
                <w:sz w:val="19"/>
                <w:szCs w:val="19"/>
              </w:rPr>
            </w:pPr>
          </w:p>
        </w:tc>
      </w:tr>
      <w:tr w:rsidR="001C2800" w:rsidRPr="001C2800" w14:paraId="11B6E4A1" w14:textId="77777777" w:rsidTr="001C2800">
        <w:tc>
          <w:tcPr>
            <w:tcW w:w="1980" w:type="dxa"/>
            <w:tcBorders>
              <w:top w:val="nil"/>
              <w:left w:val="nil"/>
              <w:bottom w:val="nil"/>
              <w:right w:val="nil"/>
            </w:tcBorders>
          </w:tcPr>
          <w:p w14:paraId="760A9FEE"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10A66619" w14:textId="77777777" w:rsidR="001C2800" w:rsidRPr="001C2800" w:rsidRDefault="001C2800" w:rsidP="00154A49">
            <w:pPr>
              <w:spacing w:before="40" w:after="40"/>
              <w:jc w:val="both"/>
              <w:rPr>
                <w:rFonts w:ascii="Arial" w:hAnsi="Arial" w:cs="Arial"/>
                <w:sz w:val="19"/>
                <w:szCs w:val="19"/>
              </w:rPr>
            </w:pPr>
          </w:p>
        </w:tc>
        <w:tc>
          <w:tcPr>
            <w:tcW w:w="6520" w:type="dxa"/>
            <w:tcBorders>
              <w:top w:val="nil"/>
              <w:left w:val="nil"/>
              <w:bottom w:val="nil"/>
              <w:right w:val="nil"/>
            </w:tcBorders>
          </w:tcPr>
          <w:p w14:paraId="5AA791A4"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698B2222"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19A95F3A" w14:textId="77777777" w:rsidR="001C2800" w:rsidRPr="001C2800" w:rsidRDefault="001C2800" w:rsidP="00154A49">
            <w:pPr>
              <w:spacing w:before="40" w:after="40"/>
              <w:jc w:val="both"/>
              <w:rPr>
                <w:rFonts w:ascii="Arial" w:hAnsi="Arial" w:cs="Arial"/>
                <w:sz w:val="19"/>
                <w:szCs w:val="19"/>
              </w:rPr>
            </w:pPr>
          </w:p>
        </w:tc>
      </w:tr>
      <w:tr w:rsidR="001C2800" w:rsidRPr="001C2800" w14:paraId="4084A6F9" w14:textId="77777777" w:rsidTr="001C2800">
        <w:tc>
          <w:tcPr>
            <w:tcW w:w="1980" w:type="dxa"/>
            <w:tcBorders>
              <w:top w:val="nil"/>
              <w:left w:val="nil"/>
              <w:bottom w:val="nil"/>
              <w:right w:val="nil"/>
            </w:tcBorders>
          </w:tcPr>
          <w:p w14:paraId="0A564C87"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2BC284FA" w14:textId="77777777" w:rsidR="001C2800" w:rsidRPr="001C2800" w:rsidRDefault="001C2800" w:rsidP="00154A49">
            <w:pPr>
              <w:spacing w:before="40" w:after="40"/>
              <w:jc w:val="both"/>
              <w:rPr>
                <w:rFonts w:ascii="Arial" w:hAnsi="Arial" w:cs="Arial"/>
                <w:sz w:val="19"/>
                <w:szCs w:val="19"/>
              </w:rPr>
            </w:pPr>
          </w:p>
        </w:tc>
        <w:tc>
          <w:tcPr>
            <w:tcW w:w="6520" w:type="dxa"/>
            <w:tcBorders>
              <w:top w:val="nil"/>
              <w:left w:val="nil"/>
              <w:bottom w:val="nil"/>
              <w:right w:val="nil"/>
            </w:tcBorders>
          </w:tcPr>
          <w:p w14:paraId="60742B8F"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63B7E464"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20C1A932" w14:textId="77777777" w:rsidR="001C2800" w:rsidRPr="001C2800" w:rsidRDefault="001C2800" w:rsidP="00154A49">
            <w:pPr>
              <w:spacing w:before="40" w:after="40"/>
              <w:jc w:val="both"/>
              <w:rPr>
                <w:rFonts w:ascii="Arial" w:hAnsi="Arial" w:cs="Arial"/>
                <w:sz w:val="19"/>
                <w:szCs w:val="19"/>
              </w:rPr>
            </w:pPr>
          </w:p>
        </w:tc>
      </w:tr>
      <w:tr w:rsidR="001C2800" w:rsidRPr="001C2800" w14:paraId="7BAB2F53" w14:textId="77777777" w:rsidTr="001C2800">
        <w:tc>
          <w:tcPr>
            <w:tcW w:w="1980" w:type="dxa"/>
            <w:tcBorders>
              <w:top w:val="nil"/>
              <w:left w:val="nil"/>
              <w:bottom w:val="nil"/>
              <w:right w:val="nil"/>
            </w:tcBorders>
          </w:tcPr>
          <w:p w14:paraId="03118C74"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5345F0A4" w14:textId="77777777" w:rsidR="001C2800" w:rsidRPr="001C2800" w:rsidRDefault="001C2800" w:rsidP="00154A49">
            <w:pPr>
              <w:spacing w:before="40" w:after="40"/>
              <w:jc w:val="both"/>
              <w:rPr>
                <w:rFonts w:ascii="Arial" w:hAnsi="Arial" w:cs="Arial"/>
                <w:sz w:val="19"/>
                <w:szCs w:val="19"/>
              </w:rPr>
            </w:pPr>
          </w:p>
        </w:tc>
        <w:tc>
          <w:tcPr>
            <w:tcW w:w="6520" w:type="dxa"/>
            <w:tcBorders>
              <w:top w:val="nil"/>
              <w:left w:val="nil"/>
              <w:bottom w:val="nil"/>
              <w:right w:val="nil"/>
            </w:tcBorders>
          </w:tcPr>
          <w:p w14:paraId="3D2DADC1"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1C6F9E5B"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011AC95A" w14:textId="77777777" w:rsidR="001C2800" w:rsidRPr="001C2800" w:rsidRDefault="001C2800" w:rsidP="00154A49">
            <w:pPr>
              <w:spacing w:before="40" w:after="40"/>
              <w:jc w:val="both"/>
              <w:rPr>
                <w:rFonts w:ascii="Arial" w:hAnsi="Arial" w:cs="Arial"/>
                <w:sz w:val="19"/>
                <w:szCs w:val="19"/>
              </w:rPr>
            </w:pPr>
          </w:p>
        </w:tc>
      </w:tr>
      <w:tr w:rsidR="001C2800" w:rsidRPr="001C2800" w14:paraId="29EE0035" w14:textId="77777777" w:rsidTr="001C2800">
        <w:tc>
          <w:tcPr>
            <w:tcW w:w="1980" w:type="dxa"/>
            <w:tcBorders>
              <w:top w:val="nil"/>
              <w:left w:val="nil"/>
              <w:bottom w:val="nil"/>
              <w:right w:val="nil"/>
            </w:tcBorders>
          </w:tcPr>
          <w:p w14:paraId="5F1E1A57"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20E56C13" w14:textId="77777777" w:rsidR="001C2800" w:rsidRPr="001C2800" w:rsidRDefault="001C2800" w:rsidP="00154A49">
            <w:pPr>
              <w:spacing w:before="40" w:after="40"/>
              <w:jc w:val="both"/>
              <w:rPr>
                <w:rFonts w:ascii="Arial" w:hAnsi="Arial" w:cs="Arial"/>
                <w:sz w:val="19"/>
                <w:szCs w:val="19"/>
              </w:rPr>
            </w:pPr>
          </w:p>
        </w:tc>
        <w:tc>
          <w:tcPr>
            <w:tcW w:w="6520" w:type="dxa"/>
            <w:tcBorders>
              <w:top w:val="nil"/>
              <w:left w:val="nil"/>
              <w:bottom w:val="nil"/>
              <w:right w:val="nil"/>
            </w:tcBorders>
          </w:tcPr>
          <w:p w14:paraId="1C6FE108"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0B18B85E"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4E659410" w14:textId="77777777" w:rsidR="001C2800" w:rsidRPr="001C2800" w:rsidRDefault="001C2800" w:rsidP="00154A49">
            <w:pPr>
              <w:spacing w:before="40" w:after="40"/>
              <w:jc w:val="both"/>
              <w:rPr>
                <w:rFonts w:ascii="Arial" w:hAnsi="Arial" w:cs="Arial"/>
                <w:sz w:val="19"/>
                <w:szCs w:val="19"/>
              </w:rPr>
            </w:pPr>
          </w:p>
        </w:tc>
      </w:tr>
      <w:tr w:rsidR="001C2800" w:rsidRPr="001C2800" w14:paraId="6089C5F3" w14:textId="77777777" w:rsidTr="001C2800">
        <w:tc>
          <w:tcPr>
            <w:tcW w:w="1980" w:type="dxa"/>
            <w:tcBorders>
              <w:top w:val="nil"/>
              <w:left w:val="nil"/>
              <w:bottom w:val="nil"/>
              <w:right w:val="nil"/>
            </w:tcBorders>
          </w:tcPr>
          <w:p w14:paraId="3A67EB66"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3FBE71B6" w14:textId="77777777" w:rsidR="001C2800" w:rsidRPr="001C2800" w:rsidRDefault="001C2800" w:rsidP="00154A49">
            <w:pPr>
              <w:spacing w:before="40" w:after="40"/>
              <w:jc w:val="both"/>
              <w:rPr>
                <w:rFonts w:ascii="Arial" w:hAnsi="Arial" w:cs="Arial"/>
                <w:sz w:val="19"/>
                <w:szCs w:val="19"/>
              </w:rPr>
            </w:pPr>
          </w:p>
        </w:tc>
        <w:tc>
          <w:tcPr>
            <w:tcW w:w="6520" w:type="dxa"/>
            <w:tcBorders>
              <w:top w:val="nil"/>
              <w:left w:val="nil"/>
              <w:bottom w:val="nil"/>
              <w:right w:val="nil"/>
            </w:tcBorders>
          </w:tcPr>
          <w:p w14:paraId="081D1BCD" w14:textId="77777777" w:rsidR="001C2800" w:rsidRPr="001C2800" w:rsidRDefault="001C2800"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5FC0424A" w14:textId="77777777" w:rsidR="001C2800" w:rsidRPr="001C2800" w:rsidRDefault="001C2800" w:rsidP="00154A49">
            <w:pPr>
              <w:spacing w:before="40" w:after="40"/>
              <w:jc w:val="both"/>
              <w:rPr>
                <w:rFonts w:ascii="Arial" w:hAnsi="Arial" w:cs="Arial"/>
                <w:sz w:val="19"/>
                <w:szCs w:val="19"/>
              </w:rPr>
            </w:pPr>
          </w:p>
        </w:tc>
        <w:tc>
          <w:tcPr>
            <w:tcW w:w="1843" w:type="dxa"/>
            <w:tcBorders>
              <w:top w:val="nil"/>
              <w:left w:val="nil"/>
              <w:bottom w:val="nil"/>
              <w:right w:val="nil"/>
            </w:tcBorders>
          </w:tcPr>
          <w:p w14:paraId="6DBC0146" w14:textId="77777777" w:rsidR="001C2800" w:rsidRPr="001C2800" w:rsidRDefault="001C2800" w:rsidP="00154A49">
            <w:pPr>
              <w:spacing w:before="40" w:after="40"/>
              <w:jc w:val="both"/>
              <w:rPr>
                <w:rFonts w:ascii="Arial" w:hAnsi="Arial" w:cs="Arial"/>
                <w:sz w:val="19"/>
                <w:szCs w:val="19"/>
              </w:rPr>
            </w:pPr>
          </w:p>
        </w:tc>
      </w:tr>
      <w:tr w:rsidR="00CF7917" w:rsidRPr="001C2800" w14:paraId="2C8A3243" w14:textId="77777777" w:rsidTr="001C2800">
        <w:tc>
          <w:tcPr>
            <w:tcW w:w="1980" w:type="dxa"/>
            <w:tcBorders>
              <w:top w:val="nil"/>
            </w:tcBorders>
          </w:tcPr>
          <w:p w14:paraId="111676C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lastRenderedPageBreak/>
              <w:t>3.2 Dans le commerce international licite</w:t>
            </w:r>
          </w:p>
          <w:p w14:paraId="25D6C359" w14:textId="77777777" w:rsidR="00CF7917" w:rsidRPr="001C2800" w:rsidRDefault="00CF7917" w:rsidP="00154A49">
            <w:pPr>
              <w:spacing w:before="40" w:after="40"/>
              <w:jc w:val="both"/>
              <w:rPr>
                <w:rFonts w:ascii="Arial" w:hAnsi="Arial" w:cs="Arial"/>
                <w:sz w:val="19"/>
                <w:szCs w:val="19"/>
                <w:highlight w:val="green"/>
              </w:rPr>
            </w:pPr>
          </w:p>
          <w:p w14:paraId="3B110320" w14:textId="77777777" w:rsidR="00CF7917" w:rsidRPr="001C2800" w:rsidRDefault="00CF7917" w:rsidP="00154A49">
            <w:pPr>
              <w:spacing w:before="40" w:after="40"/>
              <w:jc w:val="both"/>
              <w:rPr>
                <w:rFonts w:ascii="Arial" w:hAnsi="Arial" w:cs="Arial"/>
                <w:sz w:val="19"/>
                <w:szCs w:val="19"/>
                <w:highlight w:val="green"/>
              </w:rPr>
            </w:pPr>
          </w:p>
        </w:tc>
        <w:tc>
          <w:tcPr>
            <w:tcW w:w="1843" w:type="dxa"/>
            <w:tcBorders>
              <w:top w:val="nil"/>
            </w:tcBorders>
          </w:tcPr>
          <w:p w14:paraId="16B1BBA5"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Base de Données sur le Commerce de la CITES</w:t>
            </w:r>
            <w:r w:rsidRPr="001C2800">
              <w:rPr>
                <w:rFonts w:ascii="Arial" w:hAnsi="Arial" w:cs="Arial"/>
                <w:sz w:val="19"/>
                <w:szCs w:val="19"/>
                <w:vertAlign w:val="superscript"/>
              </w:rPr>
              <w:footnoteReference w:id="14"/>
            </w:r>
          </w:p>
          <w:p w14:paraId="3B785453"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LEMIS</w:t>
            </w:r>
          </w:p>
          <w:p w14:paraId="1247D48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p w14:paraId="68B06FB1" w14:textId="77777777" w:rsidR="00CF7917" w:rsidRPr="001C2800" w:rsidRDefault="00CF7917" w:rsidP="00154A49">
            <w:pPr>
              <w:spacing w:before="40" w:after="40"/>
              <w:jc w:val="both"/>
              <w:rPr>
                <w:rFonts w:ascii="Arial" w:hAnsi="Arial" w:cs="Arial"/>
                <w:sz w:val="19"/>
                <w:szCs w:val="19"/>
                <w:highlight w:val="green"/>
              </w:rPr>
            </w:pPr>
          </w:p>
          <w:p w14:paraId="53B9CBCA" w14:textId="77777777" w:rsidR="00CF7917" w:rsidRPr="001C2800" w:rsidRDefault="00CF7917" w:rsidP="00154A49">
            <w:pPr>
              <w:spacing w:before="40" w:after="40"/>
              <w:jc w:val="both"/>
              <w:rPr>
                <w:rFonts w:ascii="Arial" w:hAnsi="Arial" w:cs="Arial"/>
                <w:sz w:val="19"/>
                <w:szCs w:val="19"/>
                <w:highlight w:val="green"/>
              </w:rPr>
            </w:pPr>
          </w:p>
        </w:tc>
        <w:tc>
          <w:tcPr>
            <w:tcW w:w="6520" w:type="dxa"/>
            <w:tcBorders>
              <w:top w:val="nil"/>
            </w:tcBorders>
          </w:tcPr>
          <w:p w14:paraId="19CBF334" w14:textId="77777777" w:rsidR="00CF7917" w:rsidRPr="001C2800" w:rsidRDefault="00CF7917" w:rsidP="00154A49">
            <w:pPr>
              <w:spacing w:before="40" w:after="40"/>
              <w:jc w:val="both"/>
              <w:rPr>
                <w:rFonts w:ascii="Arial" w:hAnsi="Arial" w:cs="Arial"/>
                <w:iCs/>
                <w:sz w:val="18"/>
                <w:szCs w:val="18"/>
                <w:u w:val="single"/>
              </w:rPr>
            </w:pPr>
            <w:r w:rsidRPr="001C2800">
              <w:rPr>
                <w:rFonts w:ascii="Arial" w:hAnsi="Arial" w:cs="Arial"/>
                <w:sz w:val="18"/>
                <w:szCs w:val="18"/>
                <w:u w:val="single"/>
              </w:rPr>
              <w:t xml:space="preserve">Priorités </w:t>
            </w:r>
          </w:p>
          <w:p w14:paraId="2080EE04" w14:textId="0A99C03A" w:rsidR="00CF7917" w:rsidRPr="001C2800" w:rsidRDefault="00CF7917" w:rsidP="00154A49">
            <w:pPr>
              <w:pStyle w:val="ListParagraph"/>
              <w:numPr>
                <w:ilvl w:val="0"/>
                <w:numId w:val="38"/>
              </w:numPr>
              <w:spacing w:before="40" w:after="40"/>
              <w:contextualSpacing w:val="0"/>
              <w:jc w:val="both"/>
              <w:rPr>
                <w:rFonts w:ascii="Arial" w:hAnsi="Arial" w:cs="Arial"/>
                <w:sz w:val="18"/>
                <w:szCs w:val="18"/>
              </w:rPr>
            </w:pPr>
            <w:r w:rsidRPr="001C2800">
              <w:rPr>
                <w:rFonts w:ascii="Arial" w:hAnsi="Arial" w:cs="Arial"/>
                <w:i/>
                <w:iCs/>
                <w:sz w:val="18"/>
                <w:szCs w:val="18"/>
              </w:rPr>
              <w:t>Menace due à l’usage ou au commerce</w:t>
            </w:r>
            <w:r w:rsidRPr="001C2800">
              <w:rPr>
                <w:rFonts w:ascii="Arial" w:hAnsi="Arial" w:cs="Arial"/>
                <w:sz w:val="18"/>
                <w:szCs w:val="18"/>
              </w:rPr>
              <w:t xml:space="preserve"> : taxons d’origine sauvage faisant l’objet d’un commerce international licite </w:t>
            </w:r>
          </w:p>
          <w:p w14:paraId="31B9398E" w14:textId="47702226"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Les données sur le commerce international licite d’animaux d’origine sauvage seront obtenues à partir de différentes sources et analysées séparément. Si les taxons sont inscrits sur la Base de Données sur le Commerce CITES, ce sont exclusivement les données de cette dernière qui seront utilisées, étant donné qu’elle contient les données officielles liées au commerce licite transmises à la CITES par les Parties. Cependant, des sources de données supplémentaires concernant le commerce seront utilisées dans le cas des espèces non inscrites dans la Base de données CITES. Les méthodes utilisées dans chacun des deux cas sont détaillées ci-dessous.</w:t>
            </w:r>
          </w:p>
          <w:p w14:paraId="29E1B994" w14:textId="77777777" w:rsidR="00CF7917" w:rsidRPr="001C2800" w:rsidRDefault="00CF7917" w:rsidP="00154A49">
            <w:pPr>
              <w:spacing w:before="40" w:after="40"/>
              <w:jc w:val="both"/>
              <w:rPr>
                <w:rFonts w:ascii="Arial" w:hAnsi="Arial" w:cs="Arial"/>
                <w:i/>
                <w:iCs/>
                <w:sz w:val="18"/>
                <w:szCs w:val="18"/>
              </w:rPr>
            </w:pPr>
            <w:r w:rsidRPr="001C2800">
              <w:rPr>
                <w:rFonts w:ascii="Arial" w:hAnsi="Arial" w:cs="Arial"/>
                <w:i/>
                <w:sz w:val="18"/>
                <w:szCs w:val="18"/>
              </w:rPr>
              <w:t>Taxons inscrits à la CITES</w:t>
            </w:r>
          </w:p>
          <w:p w14:paraId="37E2218D" w14:textId="33DAE4AC"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 xml:space="preserve">Un seuil supérieur (33 % les plus hauts) sera calculé pour chaque ordre en fonction du </w:t>
            </w:r>
            <w:sdt>
              <w:sdtPr>
                <w:rPr>
                  <w:rFonts w:ascii="Arial" w:hAnsi="Arial" w:cs="Arial"/>
                  <w:sz w:val="18"/>
                  <w:szCs w:val="18"/>
                </w:rPr>
                <w:tag w:val="goog_rdk_1"/>
                <w:id w:val="-517853154"/>
              </w:sdtPr>
              <w:sdtContent/>
            </w:sdt>
            <w:r w:rsidRPr="001C2800">
              <w:rPr>
                <w:rFonts w:ascii="Arial" w:hAnsi="Arial" w:cs="Arial"/>
                <w:sz w:val="18"/>
                <w:szCs w:val="18"/>
              </w:rPr>
              <w:t xml:space="preserve">niveau moyen annuel de commerce de matières brutes et semi-ouvrées d’origine sauvage </w:t>
            </w:r>
            <w:bookmarkStart w:id="7" w:name="_Ref71101069"/>
            <w:r w:rsidRPr="001C2800">
              <w:rPr>
                <w:rStyle w:val="FootnoteReference"/>
                <w:rFonts w:ascii="Arial" w:hAnsi="Arial" w:cs="Arial"/>
                <w:sz w:val="18"/>
                <w:szCs w:val="18"/>
              </w:rPr>
              <w:footnoteReference w:id="15"/>
            </w:r>
            <w:bookmarkEnd w:id="7"/>
            <w:r w:rsidRPr="001C2800">
              <w:rPr>
                <w:rFonts w:ascii="Arial" w:hAnsi="Arial" w:cs="Arial"/>
                <w:sz w:val="18"/>
                <w:szCs w:val="18"/>
              </w:rPr>
              <w:t xml:space="preserve"> (2015-2019) dans la Base de Données sur le Commerce de la CITES pour chacun des taxons inscrits à la CITES (parmi toutes les annexes). </w:t>
            </w:r>
          </w:p>
          <w:p w14:paraId="7336539F" w14:textId="1DC54BD9"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Les niveaux de commerce pour chacun des taxons de l’Annexe I (en fonction des paramètres susmentionnés) seront notés au regard de ces seuils</w:t>
            </w:r>
            <w:r w:rsidRPr="001C2800">
              <w:rPr>
                <w:rFonts w:ascii="Arial" w:hAnsi="Arial" w:cs="Arial"/>
                <w:sz w:val="18"/>
                <w:szCs w:val="18"/>
                <w:vertAlign w:val="superscript"/>
              </w:rPr>
              <w:footnoteReference w:id="16"/>
            </w:r>
            <w:r w:rsidRPr="001C2800">
              <w:rPr>
                <w:rFonts w:ascii="Arial" w:hAnsi="Arial" w:cs="Arial"/>
                <w:sz w:val="18"/>
                <w:szCs w:val="18"/>
              </w:rPr>
              <w:t>.</w:t>
            </w:r>
          </w:p>
          <w:p w14:paraId="0632E517"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i/>
                <w:sz w:val="18"/>
                <w:szCs w:val="18"/>
              </w:rPr>
              <w:t>Taxons non inscrits à la CITES</w:t>
            </w:r>
          </w:p>
          <w:p w14:paraId="698B4D3D"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Les taxons non inscrits à la CITES seront classés comme faisant l’objet d’un commerce, mais dans des quantités relatives inconnues en fonction de l’un des éléments suivants :</w:t>
            </w:r>
          </w:p>
          <w:p w14:paraId="201F0B9B"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(a) Annexe D (UE) : taxons importés dans l’UE sous forme de matières brutes ou semi-ouvrées d’origine sauvage (2015-2019) dans la Base de Données sur le Commerce de la CITES</w:t>
            </w:r>
            <w:r w:rsidRPr="001C2800">
              <w:rPr>
                <w:rFonts w:ascii="Arial" w:hAnsi="Arial" w:cs="Arial"/>
                <w:sz w:val="18"/>
                <w:szCs w:val="18"/>
                <w:vertAlign w:val="superscript"/>
              </w:rPr>
              <w:fldChar w:fldCharType="begin"/>
            </w:r>
            <w:r w:rsidRPr="001C2800">
              <w:rPr>
                <w:rFonts w:ascii="Arial" w:hAnsi="Arial" w:cs="Arial"/>
                <w:sz w:val="18"/>
                <w:szCs w:val="18"/>
                <w:vertAlign w:val="superscript"/>
              </w:rPr>
              <w:instrText xml:space="preserve"> NOTEREF _Ref71101069 \h  \* MERGEFORMAT </w:instrText>
            </w:r>
            <w:r w:rsidRPr="001C2800">
              <w:rPr>
                <w:rFonts w:ascii="Arial" w:hAnsi="Arial" w:cs="Arial"/>
                <w:sz w:val="18"/>
                <w:szCs w:val="18"/>
                <w:vertAlign w:val="superscript"/>
              </w:rPr>
            </w:r>
            <w:r w:rsidRPr="001C2800">
              <w:rPr>
                <w:rFonts w:ascii="Arial" w:hAnsi="Arial" w:cs="Arial"/>
                <w:sz w:val="18"/>
                <w:szCs w:val="18"/>
                <w:vertAlign w:val="superscript"/>
              </w:rPr>
              <w:fldChar w:fldCharType="separate"/>
            </w:r>
            <w:r w:rsidRPr="001C2800">
              <w:rPr>
                <w:rFonts w:ascii="Arial" w:hAnsi="Arial" w:cs="Arial"/>
                <w:sz w:val="18"/>
                <w:szCs w:val="18"/>
                <w:vertAlign w:val="superscript"/>
              </w:rPr>
              <w:t>16</w:t>
            </w:r>
            <w:r w:rsidRPr="001C2800">
              <w:rPr>
                <w:rFonts w:ascii="Arial" w:hAnsi="Arial" w:cs="Arial"/>
                <w:sz w:val="18"/>
                <w:szCs w:val="18"/>
                <w:vertAlign w:val="superscript"/>
              </w:rPr>
              <w:fldChar w:fldCharType="end"/>
            </w:r>
          </w:p>
          <w:p w14:paraId="620D091B"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(b) taxons importés aux États-Unis d’Amérique sous forme de matières brutes ou semi-ouvrées d’origine sauvage (2015-2019) dans la base de données LEMIS</w:t>
            </w:r>
            <w:r w:rsidRPr="001C2800">
              <w:rPr>
                <w:rFonts w:ascii="Arial" w:hAnsi="Arial" w:cs="Arial"/>
                <w:sz w:val="18"/>
                <w:szCs w:val="18"/>
                <w:vertAlign w:val="superscript"/>
              </w:rPr>
              <w:fldChar w:fldCharType="begin"/>
            </w:r>
            <w:r w:rsidRPr="001C2800">
              <w:rPr>
                <w:rFonts w:ascii="Arial" w:hAnsi="Arial" w:cs="Arial"/>
                <w:sz w:val="18"/>
                <w:szCs w:val="18"/>
                <w:vertAlign w:val="superscript"/>
              </w:rPr>
              <w:instrText xml:space="preserve"> NOTEREF _Ref71101069 \h  \* MERGEFORMAT </w:instrText>
            </w:r>
            <w:r w:rsidRPr="001C2800">
              <w:rPr>
                <w:rFonts w:ascii="Arial" w:hAnsi="Arial" w:cs="Arial"/>
                <w:sz w:val="18"/>
                <w:szCs w:val="18"/>
                <w:vertAlign w:val="superscript"/>
              </w:rPr>
            </w:r>
            <w:r w:rsidRPr="001C2800">
              <w:rPr>
                <w:rFonts w:ascii="Arial" w:hAnsi="Arial" w:cs="Arial"/>
                <w:sz w:val="18"/>
                <w:szCs w:val="18"/>
                <w:vertAlign w:val="superscript"/>
              </w:rPr>
              <w:fldChar w:fldCharType="separate"/>
            </w:r>
            <w:r w:rsidRPr="001C2800">
              <w:rPr>
                <w:rFonts w:ascii="Arial" w:hAnsi="Arial" w:cs="Arial"/>
                <w:sz w:val="18"/>
                <w:szCs w:val="18"/>
                <w:vertAlign w:val="superscript"/>
              </w:rPr>
              <w:t>16</w:t>
            </w:r>
            <w:r w:rsidRPr="001C2800">
              <w:rPr>
                <w:rFonts w:ascii="Arial" w:hAnsi="Arial" w:cs="Arial"/>
                <w:sz w:val="18"/>
                <w:szCs w:val="18"/>
                <w:vertAlign w:val="superscript"/>
              </w:rPr>
              <w:fldChar w:fldCharType="end"/>
            </w:r>
          </w:p>
          <w:p w14:paraId="29233BCF"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(c) cas où des utilisations finales (autres que la recherche et l’établissement d’une production ex-situ) ont été classées comme « internationales » selon les évaluations de la Liste rouge de l’UICN</w:t>
            </w:r>
          </w:p>
        </w:tc>
        <w:tc>
          <w:tcPr>
            <w:tcW w:w="2410" w:type="dxa"/>
            <w:tcBorders>
              <w:top w:val="nil"/>
            </w:tcBorders>
          </w:tcPr>
          <w:p w14:paraId="47BA365C"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niveaux élevés de commerce international licite d’espèces sauvages (espèces inscrites à la CITES &gt;seuil supérieur)</w:t>
            </w:r>
          </w:p>
          <w:p w14:paraId="4DC4502C"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0,5 : commerce international licite d’espèces sauvages, mais dont les niveaux sont relativement faibles (espèces inscrites à la CITES &lt;seuil supérieur) ou inconnus (espèces non inscrites à la CITES)</w:t>
            </w:r>
          </w:p>
          <w:p w14:paraId="7F447F46"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0 : aucune preuve de commerce international licite d’espèces sauvages </w:t>
            </w:r>
          </w:p>
        </w:tc>
        <w:tc>
          <w:tcPr>
            <w:tcW w:w="1843" w:type="dxa"/>
            <w:tcBorders>
              <w:top w:val="nil"/>
            </w:tcBorders>
          </w:tcPr>
          <w:p w14:paraId="01D391BA" w14:textId="77777777" w:rsidR="00CF7917" w:rsidRPr="001C2800" w:rsidRDefault="00CF7917" w:rsidP="00154A49">
            <w:pPr>
              <w:spacing w:before="40" w:after="40"/>
              <w:jc w:val="both"/>
              <w:rPr>
                <w:rFonts w:ascii="Arial" w:hAnsi="Arial" w:cs="Arial"/>
                <w:sz w:val="19"/>
                <w:szCs w:val="19"/>
                <w:highlight w:val="green"/>
              </w:rPr>
            </w:pPr>
          </w:p>
        </w:tc>
      </w:tr>
      <w:tr w:rsidR="00CF7917" w:rsidRPr="001C2800" w14:paraId="23775211" w14:textId="77777777" w:rsidTr="001C2800">
        <w:tc>
          <w:tcPr>
            <w:tcW w:w="1980" w:type="dxa"/>
          </w:tcPr>
          <w:p w14:paraId="4CB6F5D4"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lastRenderedPageBreak/>
              <w:t>3.3 Usage domestique ou de consommation</w:t>
            </w:r>
          </w:p>
        </w:tc>
        <w:tc>
          <w:tcPr>
            <w:tcW w:w="1843" w:type="dxa"/>
          </w:tcPr>
          <w:p w14:paraId="2201AD6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p w14:paraId="3566AED3" w14:textId="77777777" w:rsidR="00CF7917" w:rsidRPr="001C2800" w:rsidRDefault="00CF7917" w:rsidP="00154A49">
            <w:pPr>
              <w:spacing w:before="40" w:after="40"/>
              <w:jc w:val="both"/>
              <w:rPr>
                <w:rFonts w:ascii="Arial" w:hAnsi="Arial" w:cs="Arial"/>
                <w:sz w:val="19"/>
                <w:szCs w:val="19"/>
                <w:highlight w:val="green"/>
              </w:rPr>
            </w:pPr>
          </w:p>
        </w:tc>
        <w:tc>
          <w:tcPr>
            <w:tcW w:w="6520" w:type="dxa"/>
          </w:tcPr>
          <w:p w14:paraId="3F4D9D09" w14:textId="77777777" w:rsidR="00CF7917" w:rsidRPr="001C2800" w:rsidRDefault="00CF7917" w:rsidP="00154A49">
            <w:pPr>
              <w:spacing w:before="40" w:after="40"/>
              <w:jc w:val="both"/>
              <w:rPr>
                <w:rFonts w:ascii="Arial" w:hAnsi="Arial" w:cs="Arial"/>
                <w:iCs/>
                <w:sz w:val="18"/>
                <w:szCs w:val="18"/>
                <w:u w:val="single"/>
              </w:rPr>
            </w:pPr>
            <w:r w:rsidRPr="001C2800">
              <w:rPr>
                <w:rFonts w:ascii="Arial" w:hAnsi="Arial" w:cs="Arial"/>
                <w:sz w:val="18"/>
                <w:szCs w:val="18"/>
                <w:u w:val="single"/>
              </w:rPr>
              <w:t xml:space="preserve">Priorités </w:t>
            </w:r>
          </w:p>
          <w:p w14:paraId="1F8E2795" w14:textId="77777777" w:rsidR="00CF7917" w:rsidRPr="001C2800" w:rsidRDefault="00CF7917" w:rsidP="00154A49">
            <w:pPr>
              <w:pStyle w:val="ListParagraph"/>
              <w:numPr>
                <w:ilvl w:val="0"/>
                <w:numId w:val="38"/>
              </w:numPr>
              <w:spacing w:before="40" w:after="40"/>
              <w:contextualSpacing w:val="0"/>
              <w:jc w:val="both"/>
              <w:rPr>
                <w:rFonts w:ascii="Arial" w:hAnsi="Arial" w:cs="Arial"/>
                <w:i/>
                <w:iCs/>
                <w:sz w:val="18"/>
                <w:szCs w:val="18"/>
              </w:rPr>
            </w:pPr>
            <w:r w:rsidRPr="001C2800">
              <w:rPr>
                <w:rFonts w:ascii="Arial" w:hAnsi="Arial" w:cs="Arial"/>
                <w:i/>
                <w:iCs/>
                <w:sz w:val="18"/>
                <w:szCs w:val="18"/>
              </w:rPr>
              <w:t>Menace due à l’utilisation ou au commerce</w:t>
            </w:r>
            <w:r w:rsidRPr="001C2800">
              <w:rPr>
                <w:rFonts w:ascii="Arial" w:hAnsi="Arial" w:cs="Arial"/>
                <w:sz w:val="18"/>
                <w:szCs w:val="18"/>
              </w:rPr>
              <w:t> : taxons qui font l’objet d’une utilisation domestique</w:t>
            </w:r>
            <w:r w:rsidRPr="001C2800">
              <w:rPr>
                <w:rFonts w:ascii="Arial" w:hAnsi="Arial" w:cs="Arial"/>
                <w:i/>
                <w:sz w:val="18"/>
                <w:szCs w:val="18"/>
              </w:rPr>
              <w:t xml:space="preserve"> </w:t>
            </w:r>
          </w:p>
          <w:p w14:paraId="2B913348" w14:textId="77777777" w:rsidR="00CF7917" w:rsidRPr="001C2800" w:rsidRDefault="00CF7917" w:rsidP="00154A49">
            <w:pPr>
              <w:spacing w:before="40" w:after="40"/>
              <w:jc w:val="both"/>
              <w:rPr>
                <w:rFonts w:ascii="Arial" w:hAnsi="Arial" w:cs="Arial"/>
                <w:i/>
                <w:iCs/>
                <w:sz w:val="18"/>
                <w:szCs w:val="18"/>
              </w:rPr>
            </w:pPr>
          </w:p>
          <w:p w14:paraId="7C6914D0" w14:textId="175127FA"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Cas où des utilisations finales (autres que la recherche et l’établissement d’une production ex-situ) ont été classées comme « nationales » ou « de subsistance » selon les évaluations de la Liste rouge de l’UICN</w:t>
            </w:r>
          </w:p>
          <w:p w14:paraId="66507096"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Les taxons considérés comme « non utilisés » au titre de l’évaluation de la Liste rouge de l’UICN concernant l’utilisation et le commerce seront considérés comme « ne faisant pas l’objet d’une utilisation domestique »</w:t>
            </w:r>
          </w:p>
        </w:tc>
        <w:tc>
          <w:tcPr>
            <w:tcW w:w="2410" w:type="dxa"/>
          </w:tcPr>
          <w:p w14:paraId="36FC229A"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1 : taxon faisant l’objet d’une utilisation domestique</w:t>
            </w:r>
          </w:p>
          <w:p w14:paraId="01C84E4F" w14:textId="77777777" w:rsidR="00CF7917" w:rsidRPr="001C2800" w:rsidRDefault="00CF7917" w:rsidP="00154A49">
            <w:pPr>
              <w:spacing w:before="40" w:after="40"/>
              <w:jc w:val="both"/>
              <w:rPr>
                <w:rFonts w:ascii="Arial" w:hAnsi="Arial" w:cs="Arial"/>
                <w:sz w:val="18"/>
                <w:szCs w:val="18"/>
                <w:highlight w:val="green"/>
              </w:rPr>
            </w:pPr>
            <w:r w:rsidRPr="001C2800">
              <w:rPr>
                <w:rFonts w:ascii="Arial" w:hAnsi="Arial" w:cs="Arial"/>
                <w:sz w:val="18"/>
                <w:szCs w:val="18"/>
              </w:rPr>
              <w:t>0 : taxon ne faisant pas l’objet d’une utilisation domestique</w:t>
            </w:r>
          </w:p>
        </w:tc>
        <w:tc>
          <w:tcPr>
            <w:tcW w:w="1843" w:type="dxa"/>
          </w:tcPr>
          <w:p w14:paraId="7C70D070"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 xml:space="preserve">Taxon n’étant </w:t>
            </w:r>
            <w:r w:rsidRPr="001C2800">
              <w:rPr>
                <w:rFonts w:ascii="Arial" w:hAnsi="Arial" w:cs="Arial"/>
                <w:b/>
                <w:bCs/>
                <w:sz w:val="18"/>
                <w:szCs w:val="18"/>
              </w:rPr>
              <w:t>pas</w:t>
            </w:r>
            <w:r w:rsidRPr="001C2800">
              <w:rPr>
                <w:rFonts w:ascii="Arial" w:hAnsi="Arial" w:cs="Arial"/>
                <w:sz w:val="18"/>
                <w:szCs w:val="18"/>
              </w:rPr>
              <w:t xml:space="preserve"> associé à une utilisation finale, ou l’étant mais pour lequel il n’y a pas de données.</w:t>
            </w:r>
          </w:p>
          <w:p w14:paraId="0EF94B2F" w14:textId="77777777" w:rsidR="00CF7917" w:rsidRPr="001C2800" w:rsidRDefault="00CF7917" w:rsidP="00154A49">
            <w:pPr>
              <w:spacing w:before="40" w:after="40"/>
              <w:jc w:val="both"/>
              <w:rPr>
                <w:rFonts w:ascii="Arial" w:hAnsi="Arial" w:cs="Arial"/>
                <w:sz w:val="18"/>
                <w:szCs w:val="18"/>
              </w:rPr>
            </w:pPr>
          </w:p>
          <w:p w14:paraId="0CC6033F" w14:textId="77777777" w:rsidR="00CF7917" w:rsidRPr="001C2800" w:rsidRDefault="00CF7917" w:rsidP="00154A49">
            <w:pPr>
              <w:spacing w:before="40" w:after="40"/>
              <w:jc w:val="both"/>
              <w:rPr>
                <w:rFonts w:ascii="Arial" w:hAnsi="Arial" w:cs="Arial"/>
                <w:sz w:val="18"/>
                <w:szCs w:val="18"/>
                <w:highlight w:val="green"/>
              </w:rPr>
            </w:pPr>
            <w:r w:rsidRPr="001C2800">
              <w:rPr>
                <w:rFonts w:ascii="Arial" w:hAnsi="Arial" w:cs="Arial"/>
                <w:sz w:val="18"/>
                <w:szCs w:val="18"/>
              </w:rPr>
              <w:t>Taxon pas encore évalué par l’UICN.</w:t>
            </w:r>
          </w:p>
        </w:tc>
      </w:tr>
      <w:tr w:rsidR="00CF7917" w:rsidRPr="001C2800" w14:paraId="0BF159C9" w14:textId="77777777" w:rsidTr="001C2800">
        <w:tc>
          <w:tcPr>
            <w:tcW w:w="1980" w:type="dxa"/>
          </w:tcPr>
          <w:p w14:paraId="33942946"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3.4 Prélèvement, capture et commerce illicites</w:t>
            </w:r>
          </w:p>
        </w:tc>
        <w:tc>
          <w:tcPr>
            <w:tcW w:w="1843" w:type="dxa"/>
          </w:tcPr>
          <w:p w14:paraId="560026C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LEMIS</w:t>
            </w:r>
          </w:p>
          <w:p w14:paraId="5EDBF9DA"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Portail sur le commerce des espèces sauvages de TRAFFIC</w:t>
            </w:r>
            <w:r w:rsidRPr="001C2800">
              <w:rPr>
                <w:rStyle w:val="FootnoteReference"/>
                <w:rFonts w:ascii="Arial" w:hAnsi="Arial" w:cs="Arial"/>
                <w:sz w:val="19"/>
                <w:szCs w:val="19"/>
              </w:rPr>
              <w:footnoteReference w:id="17"/>
            </w:r>
          </w:p>
          <w:p w14:paraId="380D196E"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Complété par des documents supplémentaires</w:t>
            </w:r>
            <w:r w:rsidRPr="001C2800">
              <w:rPr>
                <w:rStyle w:val="FootnoteReference"/>
                <w:rFonts w:ascii="Arial" w:hAnsi="Arial" w:cs="Arial"/>
                <w:sz w:val="19"/>
                <w:szCs w:val="19"/>
              </w:rPr>
              <w:footnoteReference w:id="18"/>
            </w:r>
          </w:p>
          <w:p w14:paraId="699566C0" w14:textId="77777777" w:rsidR="00CF7917" w:rsidRPr="001C2800" w:rsidRDefault="00CF7917" w:rsidP="00154A49">
            <w:pPr>
              <w:spacing w:before="40" w:after="40"/>
              <w:jc w:val="both"/>
              <w:rPr>
                <w:rFonts w:ascii="Arial" w:hAnsi="Arial" w:cs="Arial"/>
                <w:sz w:val="19"/>
                <w:szCs w:val="19"/>
                <w:highlight w:val="green"/>
              </w:rPr>
            </w:pPr>
          </w:p>
        </w:tc>
        <w:tc>
          <w:tcPr>
            <w:tcW w:w="6520" w:type="dxa"/>
          </w:tcPr>
          <w:p w14:paraId="2393D321" w14:textId="77777777" w:rsidR="00CF7917" w:rsidRPr="001C2800" w:rsidRDefault="00CF7917" w:rsidP="00154A49">
            <w:pPr>
              <w:spacing w:before="40" w:after="40"/>
              <w:jc w:val="both"/>
              <w:rPr>
                <w:rFonts w:ascii="Arial" w:hAnsi="Arial" w:cs="Arial"/>
                <w:iCs/>
                <w:sz w:val="18"/>
                <w:szCs w:val="18"/>
                <w:u w:val="single"/>
              </w:rPr>
            </w:pPr>
            <w:r w:rsidRPr="001C2800">
              <w:rPr>
                <w:rFonts w:ascii="Arial" w:hAnsi="Arial" w:cs="Arial"/>
                <w:sz w:val="18"/>
                <w:szCs w:val="18"/>
                <w:u w:val="single"/>
              </w:rPr>
              <w:t xml:space="preserve">Priorités </w:t>
            </w:r>
          </w:p>
          <w:p w14:paraId="12668EA8" w14:textId="224B8214" w:rsidR="00CF7917" w:rsidRPr="001C2800" w:rsidRDefault="00CF7917" w:rsidP="00154A49">
            <w:pPr>
              <w:pStyle w:val="ListParagraph"/>
              <w:numPr>
                <w:ilvl w:val="0"/>
                <w:numId w:val="38"/>
              </w:numPr>
              <w:spacing w:before="40" w:after="40"/>
              <w:contextualSpacing w:val="0"/>
              <w:jc w:val="both"/>
              <w:rPr>
                <w:rFonts w:ascii="Arial" w:hAnsi="Arial" w:cs="Arial"/>
                <w:sz w:val="18"/>
                <w:szCs w:val="18"/>
              </w:rPr>
            </w:pPr>
            <w:r w:rsidRPr="001C2800">
              <w:rPr>
                <w:rFonts w:ascii="Arial" w:hAnsi="Arial" w:cs="Arial"/>
                <w:i/>
                <w:iCs/>
                <w:sz w:val="18"/>
                <w:szCs w:val="18"/>
              </w:rPr>
              <w:t>Menace due à l’usage ou au commerce</w:t>
            </w:r>
            <w:r w:rsidRPr="001C2800">
              <w:rPr>
                <w:rFonts w:ascii="Arial" w:hAnsi="Arial" w:cs="Arial"/>
                <w:sz w:val="18"/>
                <w:szCs w:val="18"/>
              </w:rPr>
              <w:t> : taxons documentés comme faisant l’objet d’un commerce illicite ou étant illégalement prélevés à des fins d’utilisation</w:t>
            </w:r>
          </w:p>
          <w:p w14:paraId="037B8D4A"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Une (ou plusieurs) saisie(s) notifiée(s) uniquement au niveau de l’espèce ou de la sous-espèce</w:t>
            </w:r>
            <w:r w:rsidRPr="001C2800">
              <w:rPr>
                <w:rFonts w:ascii="Arial" w:hAnsi="Arial" w:cs="Arial"/>
                <w:sz w:val="18"/>
                <w:szCs w:val="18"/>
                <w:vertAlign w:val="superscript"/>
              </w:rPr>
              <w:footnoteReference w:id="19"/>
            </w:r>
            <w:r w:rsidRPr="001C2800">
              <w:rPr>
                <w:rFonts w:ascii="Arial" w:hAnsi="Arial" w:cs="Arial"/>
                <w:sz w:val="18"/>
                <w:szCs w:val="18"/>
              </w:rPr>
              <w:t xml:space="preserve"> d’après les dernières données décennales de la base de données LEMIS (2010-2019, saisies communiquées comme source « I ») et les dernières données duodécimales de TRAFFIC (2010-2021)</w:t>
            </w:r>
            <w:r w:rsidRPr="001C2800">
              <w:rPr>
                <w:rStyle w:val="FootnoteReference"/>
                <w:rFonts w:ascii="Arial" w:hAnsi="Arial" w:cs="Arial"/>
                <w:sz w:val="18"/>
                <w:szCs w:val="18"/>
              </w:rPr>
              <w:footnoteReference w:id="20"/>
            </w:r>
            <w:r w:rsidRPr="001C2800">
              <w:rPr>
                <w:rFonts w:ascii="Arial" w:hAnsi="Arial" w:cs="Arial"/>
                <w:sz w:val="18"/>
                <w:szCs w:val="18"/>
              </w:rPr>
              <w:t>. Seules les données portant la mention « saisie » ou « contrebande/commerce illicite » ont été importées depuis le Portail de TRAFFIC sur le commerce des espèces sauvages.</w:t>
            </w:r>
          </w:p>
        </w:tc>
        <w:tc>
          <w:tcPr>
            <w:tcW w:w="2410" w:type="dxa"/>
          </w:tcPr>
          <w:p w14:paraId="35E80396"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1 : saisie du taxon signalée</w:t>
            </w:r>
          </w:p>
        </w:tc>
        <w:tc>
          <w:tcPr>
            <w:tcW w:w="1843" w:type="dxa"/>
          </w:tcPr>
          <w:p w14:paraId="20DE51B5"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Pas de saisie signalée pour ce taxon</w:t>
            </w:r>
          </w:p>
        </w:tc>
      </w:tr>
      <w:tr w:rsidR="00CF7917" w:rsidRPr="001C2800" w14:paraId="7BC9472C" w14:textId="77777777" w:rsidTr="001C2800">
        <w:tc>
          <w:tcPr>
            <w:tcW w:w="1980" w:type="dxa"/>
          </w:tcPr>
          <w:p w14:paraId="450E1D01"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3.5 Impact des menaces existantes</w:t>
            </w:r>
          </w:p>
        </w:tc>
        <w:tc>
          <w:tcPr>
            <w:tcW w:w="1843" w:type="dxa"/>
          </w:tcPr>
          <w:p w14:paraId="497B96EA"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p w14:paraId="255969E6" w14:textId="77777777" w:rsidR="00CF7917" w:rsidRPr="001C2800" w:rsidRDefault="00CF7917" w:rsidP="00154A49">
            <w:pPr>
              <w:spacing w:before="40" w:after="40"/>
              <w:jc w:val="both"/>
              <w:rPr>
                <w:rFonts w:ascii="Arial" w:hAnsi="Arial" w:cs="Arial"/>
                <w:sz w:val="19"/>
                <w:szCs w:val="19"/>
                <w:highlight w:val="green"/>
              </w:rPr>
            </w:pPr>
          </w:p>
        </w:tc>
        <w:tc>
          <w:tcPr>
            <w:tcW w:w="6520" w:type="dxa"/>
          </w:tcPr>
          <w:p w14:paraId="72405CB1" w14:textId="77777777" w:rsidR="00CF7917" w:rsidRPr="001C2800" w:rsidRDefault="00CF7917" w:rsidP="00154A49">
            <w:pPr>
              <w:spacing w:before="40" w:after="40"/>
              <w:jc w:val="both"/>
              <w:rPr>
                <w:rFonts w:ascii="Arial" w:hAnsi="Arial" w:cs="Arial"/>
                <w:iCs/>
                <w:sz w:val="18"/>
                <w:szCs w:val="18"/>
                <w:u w:val="single"/>
              </w:rPr>
            </w:pPr>
            <w:r w:rsidRPr="001C2800">
              <w:rPr>
                <w:rFonts w:ascii="Arial" w:hAnsi="Arial" w:cs="Arial"/>
                <w:sz w:val="18"/>
                <w:szCs w:val="18"/>
                <w:u w:val="single"/>
              </w:rPr>
              <w:t xml:space="preserve">Priorités </w:t>
            </w:r>
          </w:p>
          <w:p w14:paraId="2A30DEB9" w14:textId="77777777" w:rsidR="00CF7917" w:rsidRPr="001C2800" w:rsidRDefault="00CF7917" w:rsidP="00154A49">
            <w:pPr>
              <w:pStyle w:val="ListParagraph"/>
              <w:numPr>
                <w:ilvl w:val="0"/>
                <w:numId w:val="38"/>
              </w:numPr>
              <w:spacing w:before="40" w:after="40"/>
              <w:contextualSpacing w:val="0"/>
              <w:jc w:val="both"/>
              <w:rPr>
                <w:rFonts w:ascii="Arial" w:hAnsi="Arial" w:cs="Arial"/>
                <w:i/>
                <w:iCs/>
                <w:sz w:val="18"/>
                <w:szCs w:val="18"/>
              </w:rPr>
            </w:pPr>
            <w:r w:rsidRPr="001C2800">
              <w:rPr>
                <w:rFonts w:ascii="Arial" w:hAnsi="Arial" w:cs="Arial"/>
                <w:i/>
                <w:iCs/>
                <w:sz w:val="18"/>
                <w:szCs w:val="18"/>
              </w:rPr>
              <w:t>Recevabilité à l’Annexe I</w:t>
            </w:r>
            <w:r w:rsidRPr="001C2800">
              <w:rPr>
                <w:rFonts w:ascii="Arial" w:hAnsi="Arial" w:cs="Arial"/>
                <w:sz w:val="18"/>
                <w:szCs w:val="18"/>
              </w:rPr>
              <w:t> : taxons documentés comme étant actuellement exposés à de graves menaces ou risquant de l’être à l’avenir</w:t>
            </w:r>
            <w:r w:rsidRPr="001C2800">
              <w:rPr>
                <w:rFonts w:ascii="Arial" w:hAnsi="Arial" w:cs="Arial"/>
                <w:i/>
                <w:sz w:val="18"/>
                <w:szCs w:val="18"/>
              </w:rPr>
              <w:t xml:space="preserve"> </w:t>
            </w:r>
          </w:p>
          <w:p w14:paraId="2FDD32C1" w14:textId="77777777" w:rsidR="00CF7917" w:rsidRPr="001C2800" w:rsidRDefault="00CF7917" w:rsidP="00154A49">
            <w:pPr>
              <w:spacing w:before="40" w:after="40"/>
              <w:jc w:val="both"/>
              <w:rPr>
                <w:rFonts w:ascii="Arial" w:hAnsi="Arial" w:cs="Arial"/>
                <w:sz w:val="18"/>
                <w:szCs w:val="18"/>
                <w:highlight w:val="green"/>
              </w:rPr>
            </w:pPr>
          </w:p>
          <w:p w14:paraId="53F0DDE5" w14:textId="77777777" w:rsidR="00CF7917" w:rsidRPr="001C2800" w:rsidRDefault="00CF7917" w:rsidP="00154A49">
            <w:pPr>
              <w:spacing w:before="40" w:after="40"/>
              <w:jc w:val="both"/>
              <w:rPr>
                <w:rFonts w:ascii="Arial" w:hAnsi="Arial" w:cs="Arial"/>
                <w:sz w:val="18"/>
                <w:szCs w:val="18"/>
                <w:highlight w:val="green"/>
              </w:rPr>
            </w:pPr>
            <w:r w:rsidRPr="001C2800">
              <w:rPr>
                <w:rFonts w:ascii="Arial" w:hAnsi="Arial" w:cs="Arial"/>
                <w:sz w:val="18"/>
                <w:szCs w:val="18"/>
              </w:rPr>
              <w:t>Les menaces actuelles et futures, lorsqu’elles ont été évaluées, classées comme ayant un impact fort ou mesuré à partir du Système de notation de l’impact des menaces de l’UICN</w:t>
            </w:r>
            <w:r w:rsidRPr="001C2800">
              <w:rPr>
                <w:rStyle w:val="FootnoteReference"/>
                <w:rFonts w:ascii="Arial" w:hAnsi="Arial" w:cs="Arial"/>
                <w:sz w:val="18"/>
                <w:szCs w:val="18"/>
              </w:rPr>
              <w:footnoteReference w:id="21"/>
            </w:r>
            <w:r w:rsidRPr="001C2800">
              <w:rPr>
                <w:rFonts w:ascii="Arial" w:hAnsi="Arial" w:cs="Arial"/>
                <w:sz w:val="18"/>
                <w:szCs w:val="18"/>
                <w:highlight w:val="green"/>
              </w:rPr>
              <w:t xml:space="preserve"> </w:t>
            </w:r>
          </w:p>
        </w:tc>
        <w:tc>
          <w:tcPr>
            <w:tcW w:w="2410" w:type="dxa"/>
          </w:tcPr>
          <w:p w14:paraId="5A7D747B" w14:textId="77777777" w:rsidR="00CF7917" w:rsidRPr="001C2800" w:rsidRDefault="00CF7917" w:rsidP="001C2800">
            <w:pPr>
              <w:spacing w:before="40" w:after="40"/>
              <w:jc w:val="both"/>
              <w:rPr>
                <w:rFonts w:ascii="Arial" w:hAnsi="Arial" w:cs="Arial"/>
                <w:sz w:val="18"/>
                <w:szCs w:val="18"/>
              </w:rPr>
            </w:pPr>
            <w:r w:rsidRPr="001C2800">
              <w:rPr>
                <w:rFonts w:ascii="Arial" w:hAnsi="Arial" w:cs="Arial"/>
                <w:sz w:val="18"/>
                <w:szCs w:val="18"/>
              </w:rPr>
              <w:t>1 : tous les impacts forts</w:t>
            </w:r>
          </w:p>
          <w:p w14:paraId="19EA67CE" w14:textId="77777777" w:rsidR="00CF7917" w:rsidRPr="001C2800" w:rsidRDefault="00CF7917" w:rsidP="001C2800">
            <w:pPr>
              <w:spacing w:before="40" w:after="40"/>
              <w:jc w:val="both"/>
              <w:rPr>
                <w:rFonts w:ascii="Arial" w:hAnsi="Arial" w:cs="Arial"/>
                <w:sz w:val="18"/>
                <w:szCs w:val="18"/>
              </w:rPr>
            </w:pPr>
            <w:r w:rsidRPr="001C2800">
              <w:rPr>
                <w:rFonts w:ascii="Arial" w:hAnsi="Arial" w:cs="Arial"/>
                <w:sz w:val="18"/>
                <w:szCs w:val="18"/>
              </w:rPr>
              <w:t xml:space="preserve">0,75 : au moins un impact fort, mais pas la totalité </w:t>
            </w:r>
          </w:p>
          <w:p w14:paraId="509D0A80" w14:textId="77777777" w:rsidR="00CF7917" w:rsidRPr="001C2800" w:rsidRDefault="00CF7917" w:rsidP="001C2800">
            <w:pPr>
              <w:spacing w:before="40" w:after="40"/>
              <w:jc w:val="both"/>
              <w:rPr>
                <w:rFonts w:ascii="Arial" w:hAnsi="Arial" w:cs="Arial"/>
                <w:sz w:val="18"/>
                <w:szCs w:val="18"/>
              </w:rPr>
            </w:pPr>
            <w:r w:rsidRPr="001C2800">
              <w:rPr>
                <w:rFonts w:ascii="Arial" w:hAnsi="Arial" w:cs="Arial"/>
                <w:sz w:val="18"/>
                <w:szCs w:val="18"/>
              </w:rPr>
              <w:t>0,5 : tous les impacts mesurés</w:t>
            </w:r>
          </w:p>
          <w:p w14:paraId="33A8A0F9" w14:textId="4ED7D45A" w:rsidR="001C2800" w:rsidRPr="000C6648" w:rsidRDefault="00CF7917" w:rsidP="00154A49">
            <w:pPr>
              <w:spacing w:before="40" w:after="40"/>
              <w:jc w:val="both"/>
              <w:rPr>
                <w:rFonts w:ascii="Arial" w:hAnsi="Arial" w:cs="Arial"/>
                <w:sz w:val="18"/>
                <w:szCs w:val="18"/>
              </w:rPr>
            </w:pPr>
            <w:r w:rsidRPr="001C2800">
              <w:rPr>
                <w:rFonts w:ascii="Arial" w:hAnsi="Arial" w:cs="Arial"/>
                <w:sz w:val="18"/>
                <w:szCs w:val="18"/>
              </w:rPr>
              <w:t>0,25 : aucun impact fort mais au moins un impact mesuré 0 : aucune menace actuelle ni future, ou s’il y en a, elles ont toutes été classées comme ayant un impact faible ou négligeable</w:t>
            </w:r>
          </w:p>
        </w:tc>
        <w:tc>
          <w:tcPr>
            <w:tcW w:w="1843" w:type="dxa"/>
          </w:tcPr>
          <w:p w14:paraId="67344D71"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Catégorie de risque sur la Liste rouge : LC.</w:t>
            </w:r>
          </w:p>
          <w:p w14:paraId="5C8BD1D9" w14:textId="77777777" w:rsidR="00CF7917" w:rsidRPr="001C2800" w:rsidRDefault="00CF7917" w:rsidP="00154A49">
            <w:pPr>
              <w:spacing w:before="40" w:after="40"/>
              <w:jc w:val="both"/>
              <w:rPr>
                <w:rFonts w:ascii="Arial" w:hAnsi="Arial" w:cs="Arial"/>
                <w:sz w:val="18"/>
                <w:szCs w:val="18"/>
              </w:rPr>
            </w:pPr>
          </w:p>
          <w:p w14:paraId="7AFE5DF3" w14:textId="77777777" w:rsidR="00CF7917" w:rsidRPr="001C2800" w:rsidRDefault="00CF7917" w:rsidP="00154A49">
            <w:pPr>
              <w:spacing w:before="40" w:after="40"/>
              <w:jc w:val="both"/>
              <w:rPr>
                <w:rFonts w:ascii="Arial" w:hAnsi="Arial" w:cs="Arial"/>
                <w:sz w:val="18"/>
                <w:szCs w:val="18"/>
              </w:rPr>
            </w:pPr>
            <w:r w:rsidRPr="001C2800">
              <w:rPr>
                <w:rFonts w:ascii="Arial" w:hAnsi="Arial" w:cs="Arial"/>
                <w:sz w:val="18"/>
                <w:szCs w:val="18"/>
              </w:rPr>
              <w:t xml:space="preserve">Taxon n’ayant </w:t>
            </w:r>
            <w:r w:rsidRPr="001C2800">
              <w:rPr>
                <w:rFonts w:ascii="Arial" w:hAnsi="Arial" w:cs="Arial"/>
                <w:b/>
                <w:bCs/>
                <w:sz w:val="18"/>
                <w:szCs w:val="18"/>
              </w:rPr>
              <w:t>pas</w:t>
            </w:r>
            <w:r w:rsidRPr="001C2800">
              <w:rPr>
                <w:rFonts w:ascii="Arial" w:hAnsi="Arial" w:cs="Arial"/>
                <w:sz w:val="18"/>
                <w:szCs w:val="18"/>
              </w:rPr>
              <w:t xml:space="preserve"> reçu de classification de menace ni de score relatif à l’impact.</w:t>
            </w:r>
          </w:p>
          <w:p w14:paraId="0B67379B" w14:textId="77777777" w:rsidR="00CF7917" w:rsidRPr="001C2800" w:rsidRDefault="00CF7917" w:rsidP="00154A49">
            <w:pPr>
              <w:spacing w:before="40" w:after="40"/>
              <w:jc w:val="both"/>
              <w:rPr>
                <w:rFonts w:ascii="Arial" w:hAnsi="Arial" w:cs="Arial"/>
                <w:sz w:val="18"/>
                <w:szCs w:val="18"/>
              </w:rPr>
            </w:pPr>
          </w:p>
          <w:p w14:paraId="11CCE065" w14:textId="77777777" w:rsidR="00CF7917" w:rsidRPr="001C2800" w:rsidRDefault="00CF7917" w:rsidP="00154A49">
            <w:pPr>
              <w:spacing w:before="40" w:after="40"/>
              <w:jc w:val="both"/>
              <w:rPr>
                <w:rFonts w:ascii="Arial" w:hAnsi="Arial" w:cs="Arial"/>
                <w:sz w:val="18"/>
                <w:szCs w:val="18"/>
                <w:highlight w:val="green"/>
              </w:rPr>
            </w:pPr>
            <w:r w:rsidRPr="001C2800">
              <w:rPr>
                <w:rFonts w:ascii="Arial" w:hAnsi="Arial" w:cs="Arial"/>
                <w:sz w:val="18"/>
                <w:szCs w:val="18"/>
              </w:rPr>
              <w:t>Taxon pas encore évalué par l’UICN.</w:t>
            </w:r>
          </w:p>
        </w:tc>
      </w:tr>
      <w:tr w:rsidR="00CF7917" w:rsidRPr="001C2800" w14:paraId="1D52B8E5" w14:textId="77777777" w:rsidTr="001C2800">
        <w:tc>
          <w:tcPr>
            <w:tcW w:w="14596" w:type="dxa"/>
            <w:gridSpan w:val="5"/>
            <w:shd w:val="clear" w:color="auto" w:fill="00AEEF"/>
          </w:tcPr>
          <w:p w14:paraId="73BC63EF" w14:textId="77777777" w:rsidR="00CF7917" w:rsidRPr="001C2800" w:rsidRDefault="00CF7917" w:rsidP="00154A49">
            <w:pPr>
              <w:spacing w:before="40" w:after="40"/>
              <w:jc w:val="both"/>
              <w:rPr>
                <w:rFonts w:ascii="Arial" w:hAnsi="Arial" w:cs="Arial"/>
                <w:b/>
                <w:bCs/>
                <w:sz w:val="19"/>
                <w:szCs w:val="19"/>
              </w:rPr>
            </w:pPr>
            <w:r w:rsidRPr="001C2800">
              <w:rPr>
                <w:rFonts w:ascii="Arial" w:hAnsi="Arial" w:cs="Arial"/>
                <w:b/>
                <w:sz w:val="19"/>
                <w:szCs w:val="19"/>
              </w:rPr>
              <w:lastRenderedPageBreak/>
              <w:t>Gestion</w:t>
            </w:r>
          </w:p>
        </w:tc>
      </w:tr>
      <w:tr w:rsidR="00CF7917" w:rsidRPr="001C2800" w14:paraId="21A031F1" w14:textId="77777777" w:rsidTr="001C2800">
        <w:tc>
          <w:tcPr>
            <w:tcW w:w="1980" w:type="dxa"/>
          </w:tcPr>
          <w:p w14:paraId="098BE06B" w14:textId="77777777" w:rsidR="00CF7917" w:rsidRPr="001C2800" w:rsidRDefault="00CF7917" w:rsidP="00154A49">
            <w:pPr>
              <w:spacing w:before="40" w:after="40"/>
              <w:jc w:val="both"/>
              <w:rPr>
                <w:rFonts w:ascii="Arial" w:hAnsi="Arial" w:cs="Arial"/>
                <w:sz w:val="19"/>
                <w:szCs w:val="19"/>
                <w:highlight w:val="yellow"/>
              </w:rPr>
            </w:pPr>
            <w:r w:rsidRPr="001C2800">
              <w:rPr>
                <w:rFonts w:ascii="Arial" w:hAnsi="Arial" w:cs="Arial"/>
                <w:sz w:val="19"/>
                <w:szCs w:val="19"/>
              </w:rPr>
              <w:t>4.1 Mesures existantes au titre de la CITES</w:t>
            </w:r>
          </w:p>
        </w:tc>
        <w:tc>
          <w:tcPr>
            <w:tcW w:w="1843" w:type="dxa"/>
          </w:tcPr>
          <w:p w14:paraId="562D1753" w14:textId="77777777" w:rsidR="00CF7917" w:rsidRPr="001C2800" w:rsidRDefault="00CF7917" w:rsidP="00154A49">
            <w:pPr>
              <w:spacing w:before="40" w:after="40"/>
              <w:jc w:val="both"/>
              <w:rPr>
                <w:rFonts w:ascii="Arial" w:hAnsi="Arial" w:cs="Arial"/>
                <w:sz w:val="19"/>
                <w:szCs w:val="19"/>
                <w:highlight w:val="yellow"/>
              </w:rPr>
            </w:pPr>
            <w:r w:rsidRPr="001C2800">
              <w:rPr>
                <w:rFonts w:ascii="Arial" w:hAnsi="Arial" w:cs="Arial"/>
                <w:sz w:val="19"/>
                <w:szCs w:val="19"/>
              </w:rPr>
              <w:t>CITES</w:t>
            </w:r>
            <w:r w:rsidRPr="001C2800">
              <w:rPr>
                <w:rStyle w:val="FootnoteReference"/>
                <w:rFonts w:ascii="Arial" w:hAnsi="Arial" w:cs="Arial"/>
                <w:sz w:val="19"/>
                <w:szCs w:val="19"/>
              </w:rPr>
              <w:footnoteReference w:id="22"/>
            </w:r>
          </w:p>
        </w:tc>
        <w:tc>
          <w:tcPr>
            <w:tcW w:w="6520" w:type="dxa"/>
          </w:tcPr>
          <w:p w14:paraId="1AE4BCAC"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5426CD14" w14:textId="77777777" w:rsidR="00CF7917" w:rsidRPr="001C2800" w:rsidRDefault="00CF7917" w:rsidP="00154A49">
            <w:pPr>
              <w:pStyle w:val="ListParagraph"/>
              <w:numPr>
                <w:ilvl w:val="0"/>
                <w:numId w:val="38"/>
              </w:numPr>
              <w:spacing w:before="40" w:after="40"/>
              <w:contextualSpacing w:val="0"/>
              <w:jc w:val="both"/>
              <w:rPr>
                <w:rFonts w:ascii="Arial" w:hAnsi="Arial" w:cs="Arial"/>
                <w:i/>
                <w:sz w:val="19"/>
                <w:szCs w:val="19"/>
              </w:rPr>
            </w:pPr>
            <w:r w:rsidRPr="001C2800">
              <w:rPr>
                <w:rFonts w:ascii="Arial" w:hAnsi="Arial" w:cs="Arial"/>
                <w:i/>
                <w:iCs/>
                <w:sz w:val="19"/>
                <w:szCs w:val="19"/>
              </w:rPr>
              <w:t>Menace due à l’utilisation ou au commerce</w:t>
            </w:r>
            <w:r w:rsidRPr="001C2800">
              <w:rPr>
                <w:rFonts w:ascii="Arial" w:hAnsi="Arial" w:cs="Arial"/>
                <w:sz w:val="19"/>
                <w:szCs w:val="19"/>
              </w:rPr>
              <w:t xml:space="preserve"> : taxons qui ne font pas l’objet de mesures CITES </w:t>
            </w:r>
          </w:p>
          <w:p w14:paraId="6F9653C0" w14:textId="77777777" w:rsidR="00CF7917" w:rsidRPr="001C2800" w:rsidRDefault="00CF7917" w:rsidP="00154A49">
            <w:pPr>
              <w:spacing w:before="40" w:after="40"/>
              <w:ind w:left="142"/>
              <w:jc w:val="both"/>
              <w:rPr>
                <w:rFonts w:ascii="Arial" w:hAnsi="Arial" w:cs="Arial"/>
                <w:i/>
                <w:sz w:val="19"/>
                <w:szCs w:val="19"/>
              </w:rPr>
            </w:pPr>
          </w:p>
          <w:p w14:paraId="7517E4A2"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Si les taxons inscrits à l’Annexe I de la CMS le sont aussi, actuellement, aux annexes de la CITES et, le cas échéant, l’annexe sur laquelle ils sont inscrits.</w:t>
            </w:r>
          </w:p>
          <w:p w14:paraId="30AB0CA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Un degré de priorité plus important est accordé aux taxons inscrits à l’Annexe II de la CITES s’ils font l’objet d’au moins une des mesures suivantes de la CITES : résolution(s) de la CITES ; décision(s) de la CITES ; Équipe spéciale CITES ; ou s’il existe des quotas en vigueur approuvés par la COP (quotas définis dans les résolutions ou les annotations aux listes).</w:t>
            </w:r>
          </w:p>
        </w:tc>
        <w:tc>
          <w:tcPr>
            <w:tcW w:w="2410" w:type="dxa"/>
          </w:tcPr>
          <w:p w14:paraId="2D11D2AA" w14:textId="77777777" w:rsidR="00CF7917" w:rsidRPr="001C2800" w:rsidRDefault="00CF7917" w:rsidP="00154A49">
            <w:pPr>
              <w:pStyle w:val="CommentText"/>
              <w:spacing w:before="40" w:after="40"/>
              <w:jc w:val="both"/>
              <w:rPr>
                <w:rFonts w:ascii="Arial" w:hAnsi="Arial" w:cs="Arial"/>
                <w:sz w:val="19"/>
                <w:szCs w:val="19"/>
              </w:rPr>
            </w:pPr>
            <w:r w:rsidRPr="001C2800">
              <w:rPr>
                <w:rFonts w:ascii="Arial" w:hAnsi="Arial" w:cs="Arial"/>
                <w:sz w:val="19"/>
                <w:szCs w:val="19"/>
              </w:rPr>
              <w:t>1 : non inscrits à la CITES/Annexe III CITES</w:t>
            </w:r>
          </w:p>
          <w:p w14:paraId="1FCB95BB" w14:textId="77777777" w:rsidR="00CF7917" w:rsidRPr="001C2800" w:rsidRDefault="00CF7917" w:rsidP="00154A49">
            <w:pPr>
              <w:pStyle w:val="CommentText"/>
              <w:spacing w:before="40" w:after="40"/>
              <w:jc w:val="both"/>
              <w:rPr>
                <w:rFonts w:ascii="Arial" w:hAnsi="Arial" w:cs="Arial"/>
                <w:sz w:val="19"/>
                <w:szCs w:val="19"/>
              </w:rPr>
            </w:pPr>
            <w:r w:rsidRPr="001C2800">
              <w:rPr>
                <w:rFonts w:ascii="Arial" w:hAnsi="Arial" w:cs="Arial"/>
                <w:sz w:val="19"/>
                <w:szCs w:val="19"/>
              </w:rPr>
              <w:t xml:space="preserve">0,66 : inscrites à l’Annexe II, sans mesures spécifiques </w:t>
            </w:r>
          </w:p>
          <w:p w14:paraId="603BF5D5" w14:textId="77777777" w:rsidR="00CF7917" w:rsidRPr="001C2800" w:rsidRDefault="00CF7917" w:rsidP="00154A49">
            <w:pPr>
              <w:pStyle w:val="CommentText"/>
              <w:spacing w:before="40" w:after="40"/>
              <w:jc w:val="both"/>
              <w:rPr>
                <w:rFonts w:ascii="Arial" w:hAnsi="Arial" w:cs="Arial"/>
                <w:sz w:val="19"/>
                <w:szCs w:val="19"/>
              </w:rPr>
            </w:pPr>
            <w:r w:rsidRPr="001C2800">
              <w:rPr>
                <w:rFonts w:ascii="Arial" w:hAnsi="Arial" w:cs="Arial"/>
                <w:sz w:val="19"/>
                <w:szCs w:val="19"/>
              </w:rPr>
              <w:t xml:space="preserve">0,33 : inscrites à l’Annexe II, avec mesures </w:t>
            </w:r>
          </w:p>
          <w:p w14:paraId="7752D07B" w14:textId="77777777" w:rsidR="00CF7917" w:rsidRPr="001C2800" w:rsidRDefault="00CF7917" w:rsidP="00154A49">
            <w:pPr>
              <w:spacing w:before="40" w:after="40"/>
              <w:jc w:val="both"/>
              <w:rPr>
                <w:rFonts w:ascii="Arial" w:hAnsi="Arial" w:cs="Arial"/>
                <w:sz w:val="19"/>
                <w:szCs w:val="19"/>
                <w:highlight w:val="yellow"/>
              </w:rPr>
            </w:pPr>
            <w:r w:rsidRPr="001C2800">
              <w:rPr>
                <w:rFonts w:ascii="Arial" w:hAnsi="Arial" w:cs="Arial"/>
                <w:sz w:val="19"/>
                <w:szCs w:val="19"/>
              </w:rPr>
              <w:t>0 : Annexe I</w:t>
            </w:r>
          </w:p>
        </w:tc>
        <w:tc>
          <w:tcPr>
            <w:tcW w:w="1843" w:type="dxa"/>
          </w:tcPr>
          <w:p w14:paraId="3F14F24C" w14:textId="77777777" w:rsidR="00CF7917" w:rsidRPr="001C2800" w:rsidRDefault="00CF7917" w:rsidP="00154A49">
            <w:pPr>
              <w:spacing w:before="40" w:after="40"/>
              <w:jc w:val="both"/>
              <w:rPr>
                <w:rFonts w:ascii="Arial" w:hAnsi="Arial" w:cs="Arial"/>
                <w:sz w:val="19"/>
                <w:szCs w:val="19"/>
                <w:highlight w:val="yellow"/>
              </w:rPr>
            </w:pPr>
          </w:p>
        </w:tc>
      </w:tr>
      <w:tr w:rsidR="00CF7917" w:rsidRPr="001C2800" w14:paraId="2E462F05" w14:textId="77777777" w:rsidTr="001C2800">
        <w:tc>
          <w:tcPr>
            <w:tcW w:w="1980" w:type="dxa"/>
          </w:tcPr>
          <w:p w14:paraId="19A8A659"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4.2 Actions de conservation à l’œuvre</w:t>
            </w:r>
          </w:p>
        </w:tc>
        <w:tc>
          <w:tcPr>
            <w:tcW w:w="1843" w:type="dxa"/>
          </w:tcPr>
          <w:p w14:paraId="760255D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tc>
        <w:tc>
          <w:tcPr>
            <w:tcW w:w="6520" w:type="dxa"/>
          </w:tcPr>
          <w:p w14:paraId="52A4B53C"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13C9903F" w14:textId="77777777" w:rsidR="00CF7917" w:rsidRPr="001C2800" w:rsidRDefault="00CF7917" w:rsidP="00154A49">
            <w:pPr>
              <w:pStyle w:val="ListParagraph"/>
              <w:numPr>
                <w:ilvl w:val="0"/>
                <w:numId w:val="38"/>
              </w:numPr>
              <w:spacing w:before="40" w:after="40"/>
              <w:contextualSpacing w:val="0"/>
              <w:jc w:val="both"/>
              <w:rPr>
                <w:rFonts w:ascii="Arial" w:hAnsi="Arial" w:cs="Arial"/>
                <w:i/>
                <w:iCs/>
                <w:sz w:val="19"/>
                <w:szCs w:val="19"/>
              </w:rPr>
            </w:pPr>
            <w:r w:rsidRPr="001C2800">
              <w:rPr>
                <w:rFonts w:ascii="Arial" w:hAnsi="Arial" w:cs="Arial"/>
                <w:i/>
                <w:iCs/>
                <w:sz w:val="19"/>
                <w:szCs w:val="19"/>
              </w:rPr>
              <w:t>Menace due à l’utilisation ou au commerce</w:t>
            </w:r>
            <w:r w:rsidRPr="001C2800">
              <w:rPr>
                <w:rFonts w:ascii="Arial" w:hAnsi="Arial" w:cs="Arial"/>
                <w:sz w:val="19"/>
                <w:szCs w:val="19"/>
              </w:rPr>
              <w:t> : taxons pour lesquels il n’existe pas d’actions de conservation à l’œuvre, ou très peu</w:t>
            </w:r>
          </w:p>
          <w:p w14:paraId="36AF855F" w14:textId="77777777" w:rsidR="00CF7917" w:rsidRPr="001C2800" w:rsidRDefault="00CF7917" w:rsidP="00154A49">
            <w:pPr>
              <w:spacing w:before="40" w:after="40"/>
              <w:jc w:val="both"/>
              <w:rPr>
                <w:rFonts w:ascii="Arial" w:hAnsi="Arial" w:cs="Arial"/>
                <w:sz w:val="19"/>
                <w:szCs w:val="19"/>
              </w:rPr>
            </w:pPr>
          </w:p>
          <w:p w14:paraId="069C681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Lorsque les évaluations de la Liste rouge de l’UICN considéraient que des actions de conservation étaient à l’œuvre pour les classifications suivantes de l’UICN en la matière : protection des terres et des eaux ; gestion des sites ou des zones ; ou gestion des espèces</w:t>
            </w:r>
          </w:p>
        </w:tc>
        <w:tc>
          <w:tcPr>
            <w:tcW w:w="2410" w:type="dxa"/>
          </w:tcPr>
          <w:p w14:paraId="3952781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lorsque classifié, tous « Non »</w:t>
            </w:r>
          </w:p>
          <w:p w14:paraId="2BD54772"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0,5 : lorsque classifié, plus de « Non » que de « Oui »</w:t>
            </w:r>
          </w:p>
          <w:p w14:paraId="3022B263"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 : lorsque classifié, tous « Oui » ou presque.</w:t>
            </w:r>
          </w:p>
        </w:tc>
        <w:tc>
          <w:tcPr>
            <w:tcW w:w="1843" w:type="dxa"/>
          </w:tcPr>
          <w:p w14:paraId="3E224EDD"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Toutes actions de conservation « inconnues ».</w:t>
            </w:r>
          </w:p>
          <w:p w14:paraId="45385864" w14:textId="77777777" w:rsidR="00CF7917" w:rsidRPr="001C2800" w:rsidRDefault="00CF7917" w:rsidP="00154A49">
            <w:pPr>
              <w:spacing w:before="40" w:after="40"/>
              <w:jc w:val="both"/>
              <w:rPr>
                <w:rFonts w:ascii="Arial" w:hAnsi="Arial" w:cs="Arial"/>
                <w:sz w:val="19"/>
                <w:szCs w:val="19"/>
              </w:rPr>
            </w:pPr>
          </w:p>
          <w:p w14:paraId="1DA3C195"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Taxon pas encore évalué par l’UICN.</w:t>
            </w:r>
          </w:p>
        </w:tc>
      </w:tr>
      <w:tr w:rsidR="00CF7917" w:rsidRPr="001C2800" w14:paraId="5C1F6601" w14:textId="77777777" w:rsidTr="001C2800">
        <w:tc>
          <w:tcPr>
            <w:tcW w:w="1980" w:type="dxa"/>
          </w:tcPr>
          <w:p w14:paraId="5586AE01"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4.3 Interdiction de prélèvement (Article III, paragraphe 5)</w:t>
            </w:r>
          </w:p>
        </w:tc>
        <w:tc>
          <w:tcPr>
            <w:tcW w:w="1843" w:type="dxa"/>
          </w:tcPr>
          <w:p w14:paraId="2ACE3860" w14:textId="77777777" w:rsidR="00CF7917" w:rsidRPr="001C2800" w:rsidRDefault="00CF7917" w:rsidP="00154A49">
            <w:pPr>
              <w:spacing w:before="40" w:after="40"/>
              <w:jc w:val="both"/>
              <w:rPr>
                <w:rFonts w:ascii="Arial" w:hAnsi="Arial" w:cs="Arial"/>
                <w:sz w:val="19"/>
                <w:szCs w:val="19"/>
                <w:highlight w:val="green"/>
              </w:rPr>
            </w:pPr>
            <w:r w:rsidRPr="001C2800">
              <w:rPr>
                <w:rFonts w:ascii="Arial" w:hAnsi="Arial" w:cs="Arial"/>
                <w:sz w:val="19"/>
                <w:szCs w:val="19"/>
              </w:rPr>
              <w:t>Rapports nationaux de la CMS</w:t>
            </w:r>
            <w:r w:rsidRPr="001C2800">
              <w:rPr>
                <w:rStyle w:val="FootnoteReference"/>
                <w:rFonts w:ascii="Arial" w:hAnsi="Arial" w:cs="Arial"/>
                <w:sz w:val="19"/>
                <w:szCs w:val="19"/>
              </w:rPr>
              <w:footnoteReference w:id="23"/>
            </w:r>
          </w:p>
        </w:tc>
        <w:tc>
          <w:tcPr>
            <w:tcW w:w="6520" w:type="dxa"/>
          </w:tcPr>
          <w:p w14:paraId="445596D0"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430E007F" w14:textId="3A121B99" w:rsidR="00CF7917" w:rsidRPr="000C6648" w:rsidRDefault="00CF7917" w:rsidP="00154A49">
            <w:pPr>
              <w:pStyle w:val="ListParagraph"/>
              <w:numPr>
                <w:ilvl w:val="0"/>
                <w:numId w:val="38"/>
              </w:numPr>
              <w:spacing w:before="40" w:after="40"/>
              <w:contextualSpacing w:val="0"/>
              <w:jc w:val="both"/>
              <w:rPr>
                <w:rFonts w:ascii="Arial" w:hAnsi="Arial" w:cs="Arial"/>
                <w:sz w:val="19"/>
                <w:szCs w:val="19"/>
              </w:rPr>
            </w:pPr>
            <w:r w:rsidRPr="001C2800">
              <w:rPr>
                <w:rFonts w:ascii="Arial" w:hAnsi="Arial" w:cs="Arial"/>
                <w:i/>
                <w:iCs/>
                <w:sz w:val="19"/>
                <w:szCs w:val="19"/>
              </w:rPr>
              <w:t>Menace due à l’usage ou au commerce</w:t>
            </w:r>
            <w:r w:rsidRPr="001C2800">
              <w:rPr>
                <w:rFonts w:ascii="Arial" w:hAnsi="Arial" w:cs="Arial"/>
                <w:sz w:val="19"/>
                <w:szCs w:val="19"/>
              </w:rPr>
              <w:t> : taxons associés à une forte proportion d’États de l’aire de répartition dans lesquels le prélèvement n’est pas interdit</w:t>
            </w:r>
          </w:p>
          <w:p w14:paraId="2CFFE76F" w14:textId="63B99E36"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Si les États de l’aire de répartition ont indiqué avoir interdit le prélèvement des espèces de l’Annexe I dans leur rapport national de la CMS issu du dernier cycle d’établissement des rapports, en réponse à la question « </w:t>
            </w:r>
            <w:r w:rsidRPr="001C2800">
              <w:rPr>
                <w:rFonts w:ascii="Arial" w:hAnsi="Arial" w:cs="Arial"/>
                <w:i/>
                <w:sz w:val="19"/>
                <w:szCs w:val="19"/>
              </w:rPr>
              <w:t>Le prélèvement d’espèces de l’Annexe I est-il interdit par la législation nationale ou territoriale conformément à l’Article III(5) de la CMS ?</w:t>
            </w:r>
            <w:r w:rsidRPr="001C2800">
              <w:rPr>
                <w:rFonts w:ascii="Arial" w:hAnsi="Arial" w:cs="Arial"/>
                <w:sz w:val="19"/>
                <w:szCs w:val="19"/>
              </w:rPr>
              <w:t xml:space="preserve"> ». </w:t>
            </w:r>
          </w:p>
          <w:p w14:paraId="705E57CD"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Le prélèvement est considéré comme interdit si la législation s’applique à l’intégralité de l’État de l’aire de répartition. Lorsque l’interdiction de prélèvement n’était signalée que pour une partie du pays ou du territoire ou pour « certaines espèces » (sans précision desquelles), elle a été considérée comme « non confirmée ».</w:t>
            </w:r>
          </w:p>
          <w:p w14:paraId="3E10C357" w14:textId="6AFDCFF5"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lastRenderedPageBreak/>
              <w:t>Les États de l’aire de répartition sont répertoriés en fonction de la répartition d’origine du taxon</w:t>
            </w:r>
            <w:r w:rsidR="004221C7" w:rsidRPr="001C2800">
              <w:rPr>
                <w:rFonts w:ascii="Arial" w:hAnsi="Arial" w:cs="Arial"/>
                <w:sz w:val="19"/>
                <w:szCs w:val="19"/>
              </w:rPr>
              <w:t>.</w:t>
            </w:r>
            <w:r w:rsidRPr="001C2800">
              <w:rPr>
                <w:rFonts w:ascii="Arial" w:hAnsi="Arial" w:cs="Arial"/>
                <w:sz w:val="19"/>
                <w:szCs w:val="19"/>
              </w:rPr>
              <w:t>. Les États de l’aire de répartition (a) qui ne sont pas Parties à la CMS, (b) qui n’ont pas présenté de rapport national de la CMS lors du dernier cycle d’établissement des rapports ou (c) qui, s’ils ont transmis un rapport national, n’ont pas répondu à la question correspondante, ont été exclus.</w:t>
            </w:r>
          </w:p>
        </w:tc>
        <w:tc>
          <w:tcPr>
            <w:tcW w:w="2410" w:type="dxa"/>
          </w:tcPr>
          <w:p w14:paraId="2422B5CD"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lastRenderedPageBreak/>
              <w:t>1 : interdiction de prélèvement confirmée dans aucun État de l’aire de répartition</w:t>
            </w:r>
          </w:p>
          <w:p w14:paraId="62A5411A"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0,75 : interdiction de prélèvement confirmée dans &lt;25 % des États de l’aire de répartition</w:t>
            </w:r>
          </w:p>
          <w:p w14:paraId="78BF7528"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0,5 : interdiction de prélèvement confirmée dans entre 26 et 50 % des États de l’aire de répartition</w:t>
            </w:r>
          </w:p>
          <w:p w14:paraId="63FE8341"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lastRenderedPageBreak/>
              <w:t>0,25 : interdiction de prélèvement confirmée dans entre 51 et 75 % des États de l’aire de répartition</w:t>
            </w:r>
          </w:p>
          <w:p w14:paraId="35FE3B0B"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0 : interdiction de prélèvement confirmée dans &gt;75 % des États de l’aire de répartition</w:t>
            </w:r>
          </w:p>
          <w:p w14:paraId="752BD415" w14:textId="77777777" w:rsidR="00CF7917" w:rsidRPr="001C2800" w:rsidRDefault="00CF7917" w:rsidP="00154A49">
            <w:pPr>
              <w:spacing w:before="40" w:after="40"/>
              <w:jc w:val="both"/>
              <w:rPr>
                <w:rFonts w:ascii="Arial" w:hAnsi="Arial" w:cs="Arial"/>
                <w:sz w:val="19"/>
                <w:szCs w:val="19"/>
                <w:highlight w:val="green"/>
              </w:rPr>
            </w:pPr>
          </w:p>
        </w:tc>
        <w:tc>
          <w:tcPr>
            <w:tcW w:w="1843" w:type="dxa"/>
          </w:tcPr>
          <w:p w14:paraId="2D742796"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lastRenderedPageBreak/>
              <w:t>&lt;20 % des États de l’aire de répartition du taxon ont présenté un rapport national de la CMS lors du dernier cycle d’établissement des rapports.</w:t>
            </w:r>
          </w:p>
        </w:tc>
      </w:tr>
      <w:tr w:rsidR="00CF7917" w:rsidRPr="001C2800" w14:paraId="7C047891" w14:textId="77777777" w:rsidTr="000C6648">
        <w:tc>
          <w:tcPr>
            <w:tcW w:w="14596" w:type="dxa"/>
            <w:gridSpan w:val="5"/>
            <w:tcBorders>
              <w:bottom w:val="single" w:sz="4" w:space="0" w:color="auto"/>
            </w:tcBorders>
            <w:shd w:val="clear" w:color="auto" w:fill="00AEEF"/>
          </w:tcPr>
          <w:p w14:paraId="3B991D43" w14:textId="261FEC3B" w:rsidR="00CF7917" w:rsidRPr="001C2800" w:rsidRDefault="004221C7" w:rsidP="00154A49">
            <w:pPr>
              <w:spacing w:before="40" w:after="40"/>
              <w:jc w:val="both"/>
              <w:rPr>
                <w:rFonts w:ascii="Arial" w:hAnsi="Arial" w:cs="Arial"/>
                <w:b/>
                <w:bCs/>
                <w:sz w:val="19"/>
                <w:szCs w:val="19"/>
              </w:rPr>
            </w:pPr>
            <w:r w:rsidRPr="001C2800">
              <w:rPr>
                <w:rFonts w:ascii="Arial" w:hAnsi="Arial" w:cs="Arial"/>
                <w:b/>
                <w:sz w:val="19"/>
                <w:szCs w:val="19"/>
              </w:rPr>
              <w:t xml:space="preserve">Comportement </w:t>
            </w:r>
            <w:r w:rsidR="00CF7917" w:rsidRPr="001C2800">
              <w:rPr>
                <w:rFonts w:ascii="Arial" w:hAnsi="Arial" w:cs="Arial"/>
                <w:b/>
                <w:sz w:val="19"/>
                <w:szCs w:val="19"/>
              </w:rPr>
              <w:t>migratoire</w:t>
            </w:r>
            <w:r w:rsidRPr="001C2800">
              <w:rPr>
                <w:rStyle w:val="FootnoteReference"/>
                <w:rFonts w:ascii="Arial" w:hAnsi="Arial" w:cs="Arial"/>
                <w:i/>
                <w:sz w:val="19"/>
                <w:szCs w:val="19"/>
              </w:rPr>
              <w:footnoteReference w:id="24"/>
            </w:r>
          </w:p>
        </w:tc>
      </w:tr>
      <w:tr w:rsidR="00CF7917" w:rsidRPr="001C2800" w14:paraId="6EBE18AD" w14:textId="77777777" w:rsidTr="000C6648">
        <w:tc>
          <w:tcPr>
            <w:tcW w:w="1980" w:type="dxa"/>
            <w:tcBorders>
              <w:bottom w:val="single" w:sz="4" w:space="0" w:color="auto"/>
            </w:tcBorders>
          </w:tcPr>
          <w:p w14:paraId="52923BB9" w14:textId="31B66196"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5.1 S</w:t>
            </w:r>
            <w:r w:rsidR="001B2C18" w:rsidRPr="001C2800">
              <w:rPr>
                <w:rFonts w:ascii="Arial" w:hAnsi="Arial" w:cs="Arial"/>
                <w:sz w:val="19"/>
                <w:szCs w:val="19"/>
              </w:rPr>
              <w:t>chéma des mouvements</w:t>
            </w:r>
          </w:p>
          <w:p w14:paraId="4F0A1B85" w14:textId="77777777" w:rsidR="00CF7917" w:rsidRPr="001C2800" w:rsidRDefault="00CF7917" w:rsidP="00154A49">
            <w:pPr>
              <w:spacing w:before="40" w:after="40"/>
              <w:jc w:val="both"/>
              <w:rPr>
                <w:rFonts w:ascii="Arial" w:hAnsi="Arial" w:cs="Arial"/>
                <w:sz w:val="19"/>
                <w:szCs w:val="19"/>
              </w:rPr>
            </w:pPr>
          </w:p>
        </w:tc>
        <w:tc>
          <w:tcPr>
            <w:tcW w:w="1843" w:type="dxa"/>
            <w:tcBorders>
              <w:bottom w:val="single" w:sz="4" w:space="0" w:color="auto"/>
            </w:tcBorders>
          </w:tcPr>
          <w:p w14:paraId="51CEAC0F" w14:textId="77777777" w:rsidR="00CF7917" w:rsidRPr="001C2800" w:rsidRDefault="00CF7917" w:rsidP="00154A49">
            <w:pPr>
              <w:spacing w:before="40" w:after="40"/>
              <w:jc w:val="both"/>
              <w:rPr>
                <w:rFonts w:ascii="Arial" w:hAnsi="Arial" w:cs="Arial"/>
                <w:sz w:val="19"/>
                <w:szCs w:val="19"/>
                <w:vertAlign w:val="superscript"/>
              </w:rPr>
            </w:pPr>
            <w:r w:rsidRPr="001C2800">
              <w:rPr>
                <w:rFonts w:ascii="Arial" w:hAnsi="Arial" w:cs="Arial"/>
                <w:sz w:val="19"/>
                <w:szCs w:val="19"/>
              </w:rPr>
              <w:t>Liste rouge de l’UICN</w:t>
            </w:r>
            <w:r w:rsidRPr="001C2800">
              <w:rPr>
                <w:rFonts w:ascii="Arial" w:hAnsi="Arial" w:cs="Arial"/>
                <w:sz w:val="19"/>
                <w:szCs w:val="19"/>
                <w:vertAlign w:val="superscript"/>
              </w:rPr>
              <w:fldChar w:fldCharType="begin"/>
            </w:r>
            <w:r w:rsidRPr="001C2800">
              <w:rPr>
                <w:rFonts w:ascii="Arial" w:hAnsi="Arial" w:cs="Arial"/>
                <w:sz w:val="19"/>
                <w:szCs w:val="19"/>
                <w:vertAlign w:val="superscript"/>
              </w:rPr>
              <w:instrText xml:space="preserve"> NOTEREF _Ref40691319 \h  \* MERGEFORMAT </w:instrText>
            </w:r>
            <w:r w:rsidRPr="001C2800">
              <w:rPr>
                <w:rFonts w:ascii="Arial" w:hAnsi="Arial" w:cs="Arial"/>
                <w:sz w:val="19"/>
                <w:szCs w:val="19"/>
                <w:vertAlign w:val="superscript"/>
              </w:rPr>
            </w:r>
            <w:r w:rsidRPr="001C2800">
              <w:rPr>
                <w:rFonts w:ascii="Arial" w:hAnsi="Arial" w:cs="Arial"/>
                <w:sz w:val="19"/>
                <w:szCs w:val="19"/>
                <w:vertAlign w:val="superscript"/>
              </w:rPr>
              <w:fldChar w:fldCharType="separate"/>
            </w:r>
            <w:r w:rsidRPr="001C2800">
              <w:rPr>
                <w:rFonts w:ascii="Arial" w:hAnsi="Arial" w:cs="Arial"/>
                <w:sz w:val="19"/>
                <w:szCs w:val="19"/>
                <w:vertAlign w:val="superscript"/>
              </w:rPr>
              <w:t>7</w:t>
            </w:r>
            <w:r w:rsidRPr="001C2800">
              <w:rPr>
                <w:rFonts w:ascii="Arial" w:hAnsi="Arial" w:cs="Arial"/>
                <w:sz w:val="19"/>
                <w:szCs w:val="19"/>
                <w:vertAlign w:val="superscript"/>
              </w:rPr>
              <w:fldChar w:fldCharType="end"/>
            </w:r>
          </w:p>
          <w:p w14:paraId="00ABA720" w14:textId="77777777"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UNEP/CMS/COP13/Doc.27.3 Annexe 3</w:t>
            </w:r>
            <w:r w:rsidRPr="001C2800">
              <w:rPr>
                <w:rStyle w:val="FootnoteReference"/>
                <w:rFonts w:ascii="Arial" w:hAnsi="Arial" w:cs="Arial"/>
                <w:sz w:val="19"/>
                <w:szCs w:val="19"/>
              </w:rPr>
              <w:footnoteReference w:id="25"/>
            </w:r>
          </w:p>
        </w:tc>
        <w:tc>
          <w:tcPr>
            <w:tcW w:w="6520" w:type="dxa"/>
            <w:tcBorders>
              <w:bottom w:val="single" w:sz="4" w:space="0" w:color="auto"/>
            </w:tcBorders>
          </w:tcPr>
          <w:p w14:paraId="54372AC6" w14:textId="77777777" w:rsidR="00CF7917" w:rsidRPr="001C2800" w:rsidRDefault="00CF7917" w:rsidP="00154A49">
            <w:pPr>
              <w:spacing w:before="40" w:after="40"/>
              <w:jc w:val="both"/>
              <w:rPr>
                <w:rFonts w:ascii="Arial" w:hAnsi="Arial" w:cs="Arial"/>
                <w:iCs/>
                <w:sz w:val="19"/>
                <w:szCs w:val="19"/>
                <w:u w:val="single"/>
              </w:rPr>
            </w:pPr>
            <w:r w:rsidRPr="001C2800">
              <w:rPr>
                <w:rFonts w:ascii="Arial" w:hAnsi="Arial" w:cs="Arial"/>
                <w:sz w:val="19"/>
                <w:szCs w:val="19"/>
                <w:u w:val="single"/>
              </w:rPr>
              <w:t xml:space="preserve">Priorités </w:t>
            </w:r>
          </w:p>
          <w:p w14:paraId="6370D7F4" w14:textId="3CCA7C47" w:rsidR="00CF7917" w:rsidRPr="001C2800" w:rsidRDefault="00CF7917" w:rsidP="00154A49">
            <w:pPr>
              <w:pStyle w:val="ListParagraph"/>
              <w:numPr>
                <w:ilvl w:val="0"/>
                <w:numId w:val="38"/>
              </w:numPr>
              <w:spacing w:before="40" w:after="40"/>
              <w:contextualSpacing w:val="0"/>
              <w:jc w:val="both"/>
              <w:rPr>
                <w:rFonts w:ascii="Arial" w:hAnsi="Arial" w:cs="Arial"/>
                <w:i/>
                <w:iCs/>
                <w:sz w:val="19"/>
                <w:szCs w:val="19"/>
              </w:rPr>
            </w:pPr>
            <w:r w:rsidRPr="001C2800">
              <w:rPr>
                <w:rFonts w:ascii="Arial" w:hAnsi="Arial" w:cs="Arial"/>
                <w:i/>
                <w:iCs/>
                <w:sz w:val="19"/>
                <w:szCs w:val="19"/>
              </w:rPr>
              <w:t>Recevabilité à l’Annexe I</w:t>
            </w:r>
            <w:r w:rsidRPr="001C2800">
              <w:rPr>
                <w:rFonts w:ascii="Arial" w:hAnsi="Arial" w:cs="Arial"/>
                <w:sz w:val="19"/>
                <w:szCs w:val="19"/>
              </w:rPr>
              <w:t> :</w:t>
            </w:r>
            <w:r w:rsidR="001B2C18" w:rsidRPr="001C2800">
              <w:rPr>
                <w:rFonts w:ascii="Arial" w:hAnsi="Arial" w:cs="Arial"/>
                <w:sz w:val="19"/>
                <w:szCs w:val="19"/>
              </w:rPr>
              <w:t xml:space="preserve"> aucune preuve de comportement migratoire</w:t>
            </w:r>
            <w:r w:rsidRPr="001C2800">
              <w:rPr>
                <w:rFonts w:ascii="Arial" w:hAnsi="Arial" w:cs="Arial"/>
                <w:sz w:val="19"/>
                <w:szCs w:val="19"/>
              </w:rPr>
              <w:t xml:space="preserve"> </w:t>
            </w:r>
          </w:p>
          <w:p w14:paraId="7B1991C4" w14:textId="77777777" w:rsidR="00CF7917" w:rsidRPr="001C2800" w:rsidRDefault="00CF7917" w:rsidP="00154A49">
            <w:pPr>
              <w:spacing w:before="40" w:after="40"/>
              <w:jc w:val="both"/>
              <w:rPr>
                <w:rFonts w:ascii="Arial" w:hAnsi="Arial" w:cs="Arial"/>
                <w:sz w:val="19"/>
                <w:szCs w:val="19"/>
              </w:rPr>
            </w:pPr>
          </w:p>
          <w:p w14:paraId="1EF9FC26" w14:textId="48C1C168"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Si les </w:t>
            </w:r>
            <w:r w:rsidR="001B2C18" w:rsidRPr="001C2800">
              <w:rPr>
                <w:rFonts w:ascii="Arial" w:hAnsi="Arial" w:cs="Arial"/>
                <w:sz w:val="19"/>
                <w:szCs w:val="19"/>
              </w:rPr>
              <w:t>taxons</w:t>
            </w:r>
            <w:r w:rsidRPr="001C2800">
              <w:rPr>
                <w:rFonts w:ascii="Arial" w:hAnsi="Arial" w:cs="Arial"/>
                <w:sz w:val="19"/>
                <w:szCs w:val="19"/>
              </w:rPr>
              <w:t xml:space="preserve"> de l’Annexe I </w:t>
            </w:r>
            <w:r w:rsidR="008B3399" w:rsidRPr="001C2800">
              <w:rPr>
                <w:rFonts w:ascii="Arial" w:hAnsi="Arial" w:cs="Arial"/>
                <w:sz w:val="19"/>
                <w:szCs w:val="19"/>
              </w:rPr>
              <w:t xml:space="preserve">présentent des schémas de mouvements  </w:t>
            </w:r>
            <w:r w:rsidRPr="001C2800">
              <w:rPr>
                <w:rFonts w:ascii="Arial" w:hAnsi="Arial" w:cs="Arial"/>
                <w:sz w:val="19"/>
                <w:szCs w:val="19"/>
              </w:rPr>
              <w:t xml:space="preserve">selon l’évaluation de la Liste rouge de l’UICN </w:t>
            </w:r>
            <w:r w:rsidR="008B3399" w:rsidRPr="001C2800">
              <w:rPr>
                <w:rFonts w:ascii="Arial" w:hAnsi="Arial" w:cs="Arial"/>
                <w:sz w:val="19"/>
                <w:szCs w:val="19"/>
              </w:rPr>
              <w:t>et/</w:t>
            </w:r>
            <w:r w:rsidRPr="001C2800">
              <w:rPr>
                <w:rFonts w:ascii="Arial" w:hAnsi="Arial" w:cs="Arial"/>
                <w:sz w:val="19"/>
                <w:szCs w:val="19"/>
              </w:rPr>
              <w:t xml:space="preserve">ou sont </w:t>
            </w:r>
            <w:r w:rsidR="00595D4F" w:rsidRPr="001C2800">
              <w:rPr>
                <w:rFonts w:ascii="Arial" w:hAnsi="Arial" w:cs="Arial"/>
                <w:sz w:val="19"/>
                <w:szCs w:val="19"/>
              </w:rPr>
              <w:t>considérés comme étant mobile</w:t>
            </w:r>
            <w:r w:rsidR="00026468" w:rsidRPr="001C2800">
              <w:rPr>
                <w:rFonts w:ascii="Arial" w:hAnsi="Arial" w:cs="Arial"/>
                <w:sz w:val="19"/>
                <w:szCs w:val="19"/>
              </w:rPr>
              <w:t>s</w:t>
            </w:r>
            <w:r w:rsidR="00595D4F" w:rsidRPr="001C2800">
              <w:rPr>
                <w:rFonts w:ascii="Arial" w:hAnsi="Arial" w:cs="Arial"/>
                <w:sz w:val="19"/>
                <w:szCs w:val="19"/>
              </w:rPr>
              <w:t xml:space="preserve"> au-delà des frontières internationales </w:t>
            </w:r>
            <w:r w:rsidR="00026468" w:rsidRPr="001C2800">
              <w:rPr>
                <w:rFonts w:ascii="Arial" w:hAnsi="Arial" w:cs="Arial"/>
                <w:sz w:val="19"/>
                <w:szCs w:val="19"/>
              </w:rPr>
              <w:t xml:space="preserve">dans </w:t>
            </w:r>
            <w:r w:rsidRPr="001C2800">
              <w:rPr>
                <w:rFonts w:ascii="Arial" w:hAnsi="Arial" w:cs="Arial"/>
                <w:sz w:val="19"/>
                <w:szCs w:val="19"/>
              </w:rPr>
              <w:t xml:space="preserve">les familles et les genres désagrégés d’oiseaux inscrits à l’Annexe II (ne s’applique qu’aux taxons d’oiseaux de l’Annexe I qui sont également inscrits à l’Annexe II dans un classement de niveau supérieur).  </w:t>
            </w:r>
          </w:p>
        </w:tc>
        <w:tc>
          <w:tcPr>
            <w:tcW w:w="2410" w:type="dxa"/>
            <w:tcBorders>
              <w:bottom w:val="single" w:sz="4" w:space="0" w:color="auto"/>
            </w:tcBorders>
          </w:tcPr>
          <w:p w14:paraId="774AFFAA" w14:textId="4C257C23"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1 : taxons considérés comme</w:t>
            </w:r>
            <w:r w:rsidR="001B2C18" w:rsidRPr="001C2800">
              <w:rPr>
                <w:rFonts w:ascii="Arial" w:hAnsi="Arial" w:cs="Arial"/>
                <w:sz w:val="19"/>
                <w:szCs w:val="19"/>
              </w:rPr>
              <w:t xml:space="preserve"> « migrateur à part entière » par l'UICN/mobile au-delà des frontières (oiseaux)</w:t>
            </w:r>
          </w:p>
          <w:p w14:paraId="023B29A5" w14:textId="74F77D66" w:rsidR="001B2C18" w:rsidRPr="001C2800" w:rsidRDefault="001B2C18" w:rsidP="00154A49">
            <w:pPr>
              <w:spacing w:before="40" w:after="40"/>
              <w:jc w:val="both"/>
              <w:rPr>
                <w:rFonts w:ascii="Arial" w:hAnsi="Arial" w:cs="Arial"/>
                <w:sz w:val="19"/>
                <w:szCs w:val="19"/>
              </w:rPr>
            </w:pPr>
            <w:r w:rsidRPr="001C2800">
              <w:rPr>
                <w:rFonts w:ascii="Arial" w:hAnsi="Arial" w:cs="Arial"/>
                <w:sz w:val="19"/>
                <w:szCs w:val="19"/>
              </w:rPr>
              <w:t>0.5 Taxon considéré comme "nomade" ou "migrateur altitudinal" par l'UICN.</w:t>
            </w:r>
          </w:p>
          <w:p w14:paraId="133F1000" w14:textId="57C9BDE6"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 xml:space="preserve">0 : preuve directe qu’un taxon n’est </w:t>
            </w:r>
            <w:r w:rsidRPr="001C2800">
              <w:rPr>
                <w:rFonts w:ascii="Arial" w:hAnsi="Arial" w:cs="Arial"/>
                <w:b/>
                <w:bCs/>
                <w:sz w:val="19"/>
                <w:szCs w:val="19"/>
              </w:rPr>
              <w:t>pas</w:t>
            </w:r>
            <w:r w:rsidRPr="001C2800">
              <w:rPr>
                <w:rFonts w:ascii="Arial" w:hAnsi="Arial" w:cs="Arial"/>
                <w:sz w:val="19"/>
                <w:szCs w:val="19"/>
              </w:rPr>
              <w:t xml:space="preserve"> considéré comme migrateur</w:t>
            </w:r>
            <w:r w:rsidR="001B2C18" w:rsidRPr="001C2800">
              <w:rPr>
                <w:rFonts w:ascii="Arial" w:hAnsi="Arial" w:cs="Arial"/>
                <w:sz w:val="19"/>
                <w:szCs w:val="19"/>
              </w:rPr>
              <w:t xml:space="preserve"> selon la définition de migrateur par l'UICN </w:t>
            </w:r>
          </w:p>
        </w:tc>
        <w:tc>
          <w:tcPr>
            <w:tcW w:w="1843" w:type="dxa"/>
            <w:tcBorders>
              <w:bottom w:val="single" w:sz="4" w:space="0" w:color="auto"/>
            </w:tcBorders>
          </w:tcPr>
          <w:p w14:paraId="7555918F" w14:textId="55181DE2" w:rsidR="00CF7917" w:rsidRPr="001C2800" w:rsidRDefault="00CF7917" w:rsidP="00154A49">
            <w:pPr>
              <w:spacing w:before="40" w:after="40"/>
              <w:jc w:val="both"/>
              <w:rPr>
                <w:rFonts w:ascii="Arial" w:hAnsi="Arial" w:cs="Arial"/>
                <w:sz w:val="19"/>
                <w:szCs w:val="19"/>
              </w:rPr>
            </w:pPr>
            <w:r w:rsidRPr="001C2800">
              <w:rPr>
                <w:rFonts w:ascii="Arial" w:hAnsi="Arial" w:cs="Arial"/>
                <w:sz w:val="19"/>
                <w:szCs w:val="19"/>
              </w:rPr>
              <w:t>Aucune preuve d</w:t>
            </w:r>
            <w:r w:rsidR="001B2C18" w:rsidRPr="001C2800">
              <w:rPr>
                <w:rFonts w:ascii="Arial" w:hAnsi="Arial" w:cs="Arial"/>
                <w:sz w:val="19"/>
                <w:szCs w:val="19"/>
              </w:rPr>
              <w:t>e schéma des mouvements</w:t>
            </w:r>
          </w:p>
        </w:tc>
      </w:tr>
      <w:tr w:rsidR="000C6648" w:rsidRPr="001C2800" w14:paraId="4456F4FA" w14:textId="77777777" w:rsidTr="000C6648">
        <w:tc>
          <w:tcPr>
            <w:tcW w:w="1980" w:type="dxa"/>
            <w:tcBorders>
              <w:top w:val="single" w:sz="4" w:space="0" w:color="auto"/>
              <w:left w:val="nil"/>
              <w:bottom w:val="nil"/>
              <w:right w:val="nil"/>
            </w:tcBorders>
          </w:tcPr>
          <w:p w14:paraId="4D40734E" w14:textId="77777777" w:rsidR="000C6648" w:rsidRPr="001C2800" w:rsidRDefault="000C6648" w:rsidP="00154A49">
            <w:pPr>
              <w:spacing w:before="40" w:after="40"/>
              <w:jc w:val="both"/>
              <w:rPr>
                <w:rFonts w:ascii="Arial" w:hAnsi="Arial" w:cs="Arial"/>
                <w:sz w:val="19"/>
                <w:szCs w:val="19"/>
              </w:rPr>
            </w:pPr>
          </w:p>
        </w:tc>
        <w:tc>
          <w:tcPr>
            <w:tcW w:w="1843" w:type="dxa"/>
            <w:tcBorders>
              <w:top w:val="single" w:sz="4" w:space="0" w:color="auto"/>
              <w:left w:val="nil"/>
              <w:bottom w:val="nil"/>
              <w:right w:val="nil"/>
            </w:tcBorders>
          </w:tcPr>
          <w:p w14:paraId="3C945A04" w14:textId="77777777" w:rsidR="000C6648" w:rsidRPr="001C2800" w:rsidRDefault="000C6648" w:rsidP="00154A49">
            <w:pPr>
              <w:spacing w:before="40" w:after="40"/>
              <w:jc w:val="both"/>
              <w:rPr>
                <w:rFonts w:ascii="Arial" w:hAnsi="Arial" w:cs="Arial"/>
                <w:sz w:val="19"/>
                <w:szCs w:val="19"/>
              </w:rPr>
            </w:pPr>
          </w:p>
        </w:tc>
        <w:tc>
          <w:tcPr>
            <w:tcW w:w="6520" w:type="dxa"/>
            <w:tcBorders>
              <w:top w:val="single" w:sz="4" w:space="0" w:color="auto"/>
              <w:left w:val="nil"/>
              <w:bottom w:val="nil"/>
              <w:right w:val="nil"/>
            </w:tcBorders>
          </w:tcPr>
          <w:p w14:paraId="224E2DC3" w14:textId="77777777" w:rsidR="000C6648" w:rsidRPr="001C2800" w:rsidRDefault="000C6648" w:rsidP="00154A49">
            <w:pPr>
              <w:spacing w:before="40" w:after="40"/>
              <w:jc w:val="both"/>
              <w:rPr>
                <w:rFonts w:ascii="Arial" w:hAnsi="Arial" w:cs="Arial"/>
                <w:sz w:val="19"/>
                <w:szCs w:val="19"/>
                <w:u w:val="single"/>
              </w:rPr>
            </w:pPr>
          </w:p>
        </w:tc>
        <w:tc>
          <w:tcPr>
            <w:tcW w:w="2410" w:type="dxa"/>
            <w:tcBorders>
              <w:top w:val="single" w:sz="4" w:space="0" w:color="auto"/>
              <w:left w:val="nil"/>
              <w:bottom w:val="nil"/>
              <w:right w:val="nil"/>
            </w:tcBorders>
          </w:tcPr>
          <w:p w14:paraId="2C3E514E" w14:textId="77777777" w:rsidR="000C6648" w:rsidRPr="001C2800" w:rsidRDefault="000C6648" w:rsidP="00154A49">
            <w:pPr>
              <w:spacing w:before="40" w:after="40"/>
              <w:jc w:val="both"/>
              <w:rPr>
                <w:rFonts w:ascii="Arial" w:hAnsi="Arial" w:cs="Arial"/>
                <w:sz w:val="19"/>
                <w:szCs w:val="19"/>
              </w:rPr>
            </w:pPr>
          </w:p>
        </w:tc>
        <w:tc>
          <w:tcPr>
            <w:tcW w:w="1843" w:type="dxa"/>
            <w:tcBorders>
              <w:top w:val="single" w:sz="4" w:space="0" w:color="auto"/>
              <w:left w:val="nil"/>
              <w:bottom w:val="nil"/>
              <w:right w:val="nil"/>
            </w:tcBorders>
          </w:tcPr>
          <w:p w14:paraId="6DC1F167" w14:textId="77777777" w:rsidR="000C6648" w:rsidRPr="001C2800" w:rsidRDefault="000C6648" w:rsidP="00154A49">
            <w:pPr>
              <w:spacing w:before="40" w:after="40"/>
              <w:jc w:val="both"/>
              <w:rPr>
                <w:rFonts w:ascii="Arial" w:hAnsi="Arial" w:cs="Arial"/>
                <w:sz w:val="19"/>
                <w:szCs w:val="19"/>
              </w:rPr>
            </w:pPr>
          </w:p>
        </w:tc>
      </w:tr>
      <w:tr w:rsidR="000C6648" w:rsidRPr="001C2800" w14:paraId="364F96ED" w14:textId="77777777" w:rsidTr="000C6648">
        <w:tc>
          <w:tcPr>
            <w:tcW w:w="1980" w:type="dxa"/>
            <w:tcBorders>
              <w:top w:val="nil"/>
              <w:left w:val="nil"/>
              <w:bottom w:val="nil"/>
              <w:right w:val="nil"/>
            </w:tcBorders>
          </w:tcPr>
          <w:p w14:paraId="5700FEB3"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5C37F7BC" w14:textId="77777777" w:rsidR="000C6648" w:rsidRPr="001C2800" w:rsidRDefault="000C6648" w:rsidP="00154A49">
            <w:pPr>
              <w:spacing w:before="40" w:after="40"/>
              <w:jc w:val="both"/>
              <w:rPr>
                <w:rFonts w:ascii="Arial" w:hAnsi="Arial" w:cs="Arial"/>
                <w:sz w:val="19"/>
                <w:szCs w:val="19"/>
              </w:rPr>
            </w:pPr>
          </w:p>
        </w:tc>
        <w:tc>
          <w:tcPr>
            <w:tcW w:w="6520" w:type="dxa"/>
            <w:tcBorders>
              <w:top w:val="nil"/>
              <w:left w:val="nil"/>
              <w:bottom w:val="nil"/>
              <w:right w:val="nil"/>
            </w:tcBorders>
          </w:tcPr>
          <w:p w14:paraId="6A27D7E9" w14:textId="77777777" w:rsidR="000C6648" w:rsidRPr="001C2800" w:rsidRDefault="000C6648"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15930613"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445CC71E" w14:textId="77777777" w:rsidR="000C6648" w:rsidRPr="001C2800" w:rsidRDefault="000C6648" w:rsidP="00154A49">
            <w:pPr>
              <w:spacing w:before="40" w:after="40"/>
              <w:jc w:val="both"/>
              <w:rPr>
                <w:rFonts w:ascii="Arial" w:hAnsi="Arial" w:cs="Arial"/>
                <w:sz w:val="19"/>
                <w:szCs w:val="19"/>
              </w:rPr>
            </w:pPr>
          </w:p>
        </w:tc>
      </w:tr>
      <w:tr w:rsidR="000C6648" w:rsidRPr="001C2800" w14:paraId="133EA52F" w14:textId="77777777" w:rsidTr="000C6648">
        <w:tc>
          <w:tcPr>
            <w:tcW w:w="1980" w:type="dxa"/>
            <w:tcBorders>
              <w:top w:val="nil"/>
              <w:left w:val="nil"/>
              <w:bottom w:val="nil"/>
              <w:right w:val="nil"/>
            </w:tcBorders>
          </w:tcPr>
          <w:p w14:paraId="265DD173"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7838E9F6" w14:textId="77777777" w:rsidR="000C6648" w:rsidRPr="001C2800" w:rsidRDefault="000C6648" w:rsidP="00154A49">
            <w:pPr>
              <w:spacing w:before="40" w:after="40"/>
              <w:jc w:val="both"/>
              <w:rPr>
                <w:rFonts w:ascii="Arial" w:hAnsi="Arial" w:cs="Arial"/>
                <w:sz w:val="19"/>
                <w:szCs w:val="19"/>
              </w:rPr>
            </w:pPr>
          </w:p>
        </w:tc>
        <w:tc>
          <w:tcPr>
            <w:tcW w:w="6520" w:type="dxa"/>
            <w:tcBorders>
              <w:top w:val="nil"/>
              <w:left w:val="nil"/>
              <w:bottom w:val="nil"/>
              <w:right w:val="nil"/>
            </w:tcBorders>
          </w:tcPr>
          <w:p w14:paraId="3A74839F" w14:textId="77777777" w:rsidR="000C6648" w:rsidRPr="001C2800" w:rsidRDefault="000C6648"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22EA2AFA"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0C7F85DA" w14:textId="77777777" w:rsidR="000C6648" w:rsidRPr="001C2800" w:rsidRDefault="000C6648" w:rsidP="00154A49">
            <w:pPr>
              <w:spacing w:before="40" w:after="40"/>
              <w:jc w:val="both"/>
              <w:rPr>
                <w:rFonts w:ascii="Arial" w:hAnsi="Arial" w:cs="Arial"/>
                <w:sz w:val="19"/>
                <w:szCs w:val="19"/>
              </w:rPr>
            </w:pPr>
          </w:p>
        </w:tc>
      </w:tr>
      <w:tr w:rsidR="000C6648" w:rsidRPr="001C2800" w14:paraId="3C1FB09D" w14:textId="77777777" w:rsidTr="000C6648">
        <w:tc>
          <w:tcPr>
            <w:tcW w:w="1980" w:type="dxa"/>
            <w:tcBorders>
              <w:top w:val="nil"/>
              <w:left w:val="nil"/>
              <w:bottom w:val="nil"/>
              <w:right w:val="nil"/>
            </w:tcBorders>
          </w:tcPr>
          <w:p w14:paraId="7836928B"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60A0D781" w14:textId="77777777" w:rsidR="000C6648" w:rsidRPr="001C2800" w:rsidRDefault="000C6648" w:rsidP="00154A49">
            <w:pPr>
              <w:spacing w:before="40" w:after="40"/>
              <w:jc w:val="both"/>
              <w:rPr>
                <w:rFonts w:ascii="Arial" w:hAnsi="Arial" w:cs="Arial"/>
                <w:sz w:val="19"/>
                <w:szCs w:val="19"/>
              </w:rPr>
            </w:pPr>
          </w:p>
        </w:tc>
        <w:tc>
          <w:tcPr>
            <w:tcW w:w="6520" w:type="dxa"/>
            <w:tcBorders>
              <w:top w:val="nil"/>
              <w:left w:val="nil"/>
              <w:bottom w:val="nil"/>
              <w:right w:val="nil"/>
            </w:tcBorders>
          </w:tcPr>
          <w:p w14:paraId="15785731" w14:textId="77777777" w:rsidR="000C6648" w:rsidRPr="001C2800" w:rsidRDefault="000C6648"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44B5B8C9"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0A7EC386" w14:textId="77777777" w:rsidR="000C6648" w:rsidRPr="001C2800" w:rsidRDefault="000C6648" w:rsidP="00154A49">
            <w:pPr>
              <w:spacing w:before="40" w:after="40"/>
              <w:jc w:val="both"/>
              <w:rPr>
                <w:rFonts w:ascii="Arial" w:hAnsi="Arial" w:cs="Arial"/>
                <w:sz w:val="19"/>
                <w:szCs w:val="19"/>
              </w:rPr>
            </w:pPr>
          </w:p>
        </w:tc>
      </w:tr>
      <w:tr w:rsidR="000C6648" w:rsidRPr="001C2800" w14:paraId="51E4F724" w14:textId="77777777" w:rsidTr="000C6648">
        <w:tc>
          <w:tcPr>
            <w:tcW w:w="1980" w:type="dxa"/>
            <w:tcBorders>
              <w:top w:val="nil"/>
              <w:left w:val="nil"/>
              <w:bottom w:val="nil"/>
              <w:right w:val="nil"/>
            </w:tcBorders>
          </w:tcPr>
          <w:p w14:paraId="26C75512"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48176BCE" w14:textId="77777777" w:rsidR="000C6648" w:rsidRPr="001C2800" w:rsidRDefault="000C6648" w:rsidP="00154A49">
            <w:pPr>
              <w:spacing w:before="40" w:after="40"/>
              <w:jc w:val="both"/>
              <w:rPr>
                <w:rFonts w:ascii="Arial" w:hAnsi="Arial" w:cs="Arial"/>
                <w:sz w:val="19"/>
                <w:szCs w:val="19"/>
              </w:rPr>
            </w:pPr>
          </w:p>
        </w:tc>
        <w:tc>
          <w:tcPr>
            <w:tcW w:w="6520" w:type="dxa"/>
            <w:tcBorders>
              <w:top w:val="nil"/>
              <w:left w:val="nil"/>
              <w:bottom w:val="nil"/>
              <w:right w:val="nil"/>
            </w:tcBorders>
          </w:tcPr>
          <w:p w14:paraId="458F96A0" w14:textId="77777777" w:rsidR="000C6648" w:rsidRPr="001C2800" w:rsidRDefault="000C6648"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30925B55"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79C6923C" w14:textId="77777777" w:rsidR="000C6648" w:rsidRPr="001C2800" w:rsidRDefault="000C6648" w:rsidP="00154A49">
            <w:pPr>
              <w:spacing w:before="40" w:after="40"/>
              <w:jc w:val="both"/>
              <w:rPr>
                <w:rFonts w:ascii="Arial" w:hAnsi="Arial" w:cs="Arial"/>
                <w:sz w:val="19"/>
                <w:szCs w:val="19"/>
              </w:rPr>
            </w:pPr>
          </w:p>
        </w:tc>
      </w:tr>
      <w:tr w:rsidR="000C6648" w:rsidRPr="001C2800" w14:paraId="043ED97E" w14:textId="77777777" w:rsidTr="000C6648">
        <w:tc>
          <w:tcPr>
            <w:tcW w:w="1980" w:type="dxa"/>
            <w:tcBorders>
              <w:top w:val="nil"/>
              <w:left w:val="nil"/>
              <w:bottom w:val="nil"/>
              <w:right w:val="nil"/>
            </w:tcBorders>
          </w:tcPr>
          <w:p w14:paraId="48088491"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09D2770F" w14:textId="77777777" w:rsidR="000C6648" w:rsidRPr="001C2800" w:rsidRDefault="000C6648" w:rsidP="00154A49">
            <w:pPr>
              <w:spacing w:before="40" w:after="40"/>
              <w:jc w:val="both"/>
              <w:rPr>
                <w:rFonts w:ascii="Arial" w:hAnsi="Arial" w:cs="Arial"/>
                <w:sz w:val="19"/>
                <w:szCs w:val="19"/>
              </w:rPr>
            </w:pPr>
          </w:p>
        </w:tc>
        <w:tc>
          <w:tcPr>
            <w:tcW w:w="6520" w:type="dxa"/>
            <w:tcBorders>
              <w:top w:val="nil"/>
              <w:left w:val="nil"/>
              <w:bottom w:val="nil"/>
              <w:right w:val="nil"/>
            </w:tcBorders>
          </w:tcPr>
          <w:p w14:paraId="6A2E3FC1" w14:textId="77777777" w:rsidR="000C6648" w:rsidRPr="001C2800" w:rsidRDefault="000C6648"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0B50CFFE"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364806EF" w14:textId="77777777" w:rsidR="000C6648" w:rsidRPr="001C2800" w:rsidRDefault="000C6648" w:rsidP="00154A49">
            <w:pPr>
              <w:spacing w:before="40" w:after="40"/>
              <w:jc w:val="both"/>
              <w:rPr>
                <w:rFonts w:ascii="Arial" w:hAnsi="Arial" w:cs="Arial"/>
                <w:sz w:val="19"/>
                <w:szCs w:val="19"/>
              </w:rPr>
            </w:pPr>
          </w:p>
        </w:tc>
      </w:tr>
      <w:tr w:rsidR="000C6648" w:rsidRPr="001C2800" w14:paraId="37D29BC8" w14:textId="77777777" w:rsidTr="000C6648">
        <w:tc>
          <w:tcPr>
            <w:tcW w:w="1980" w:type="dxa"/>
            <w:tcBorders>
              <w:top w:val="nil"/>
              <w:left w:val="nil"/>
              <w:bottom w:val="nil"/>
              <w:right w:val="nil"/>
            </w:tcBorders>
          </w:tcPr>
          <w:p w14:paraId="0E58C2F6"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7E3C1315" w14:textId="77777777" w:rsidR="000C6648" w:rsidRPr="001C2800" w:rsidRDefault="000C6648" w:rsidP="00154A49">
            <w:pPr>
              <w:spacing w:before="40" w:after="40"/>
              <w:jc w:val="both"/>
              <w:rPr>
                <w:rFonts w:ascii="Arial" w:hAnsi="Arial" w:cs="Arial"/>
                <w:sz w:val="19"/>
                <w:szCs w:val="19"/>
              </w:rPr>
            </w:pPr>
          </w:p>
        </w:tc>
        <w:tc>
          <w:tcPr>
            <w:tcW w:w="6520" w:type="dxa"/>
            <w:tcBorders>
              <w:top w:val="nil"/>
              <w:left w:val="nil"/>
              <w:bottom w:val="nil"/>
              <w:right w:val="nil"/>
            </w:tcBorders>
          </w:tcPr>
          <w:p w14:paraId="61B503EA" w14:textId="77777777" w:rsidR="000C6648" w:rsidRPr="001C2800" w:rsidRDefault="000C6648" w:rsidP="00154A49">
            <w:pPr>
              <w:spacing w:before="40" w:after="40"/>
              <w:jc w:val="both"/>
              <w:rPr>
                <w:rFonts w:ascii="Arial" w:hAnsi="Arial" w:cs="Arial"/>
                <w:sz w:val="19"/>
                <w:szCs w:val="19"/>
                <w:u w:val="single"/>
              </w:rPr>
            </w:pPr>
          </w:p>
        </w:tc>
        <w:tc>
          <w:tcPr>
            <w:tcW w:w="2410" w:type="dxa"/>
            <w:tcBorders>
              <w:top w:val="nil"/>
              <w:left w:val="nil"/>
              <w:bottom w:val="nil"/>
              <w:right w:val="nil"/>
            </w:tcBorders>
          </w:tcPr>
          <w:p w14:paraId="78640870" w14:textId="77777777" w:rsidR="000C6648" w:rsidRPr="001C2800" w:rsidRDefault="000C6648" w:rsidP="00154A49">
            <w:pPr>
              <w:spacing w:before="40" w:after="40"/>
              <w:jc w:val="both"/>
              <w:rPr>
                <w:rFonts w:ascii="Arial" w:hAnsi="Arial" w:cs="Arial"/>
                <w:sz w:val="19"/>
                <w:szCs w:val="19"/>
              </w:rPr>
            </w:pPr>
          </w:p>
        </w:tc>
        <w:tc>
          <w:tcPr>
            <w:tcW w:w="1843" w:type="dxa"/>
            <w:tcBorders>
              <w:top w:val="nil"/>
              <w:left w:val="nil"/>
              <w:bottom w:val="nil"/>
              <w:right w:val="nil"/>
            </w:tcBorders>
          </w:tcPr>
          <w:p w14:paraId="30A4A820" w14:textId="77777777" w:rsidR="000C6648" w:rsidRPr="001C2800" w:rsidRDefault="000C6648" w:rsidP="00154A49">
            <w:pPr>
              <w:spacing w:before="40" w:after="40"/>
              <w:jc w:val="both"/>
              <w:rPr>
                <w:rFonts w:ascii="Arial" w:hAnsi="Arial" w:cs="Arial"/>
                <w:sz w:val="19"/>
                <w:szCs w:val="19"/>
              </w:rPr>
            </w:pPr>
          </w:p>
        </w:tc>
      </w:tr>
      <w:tr w:rsidR="00026468" w:rsidRPr="001C2800" w14:paraId="454E5946" w14:textId="77777777" w:rsidTr="000C6648">
        <w:tc>
          <w:tcPr>
            <w:tcW w:w="1980" w:type="dxa"/>
            <w:tcBorders>
              <w:top w:val="nil"/>
            </w:tcBorders>
          </w:tcPr>
          <w:p w14:paraId="01EC887B" w14:textId="62F77174" w:rsidR="00026468" w:rsidRPr="001C2800" w:rsidRDefault="00026468" w:rsidP="00154A49">
            <w:pPr>
              <w:spacing w:before="40" w:after="40"/>
              <w:jc w:val="both"/>
              <w:rPr>
                <w:rFonts w:ascii="Arial" w:hAnsi="Arial" w:cs="Arial"/>
                <w:sz w:val="19"/>
                <w:szCs w:val="19"/>
              </w:rPr>
            </w:pPr>
            <w:r w:rsidRPr="001C2800">
              <w:rPr>
                <w:rFonts w:ascii="Arial" w:hAnsi="Arial" w:cs="Arial"/>
                <w:sz w:val="19"/>
                <w:szCs w:val="19"/>
              </w:rPr>
              <w:lastRenderedPageBreak/>
              <w:t>5.2 Proportion de la population mondiale qui migre</w:t>
            </w:r>
          </w:p>
        </w:tc>
        <w:tc>
          <w:tcPr>
            <w:tcW w:w="1843" w:type="dxa"/>
            <w:tcBorders>
              <w:top w:val="nil"/>
            </w:tcBorders>
          </w:tcPr>
          <w:p w14:paraId="13DF31A9" w14:textId="49178259" w:rsidR="00026468" w:rsidRPr="001C2800" w:rsidRDefault="00026468" w:rsidP="00154A49">
            <w:pPr>
              <w:spacing w:before="40" w:after="40"/>
              <w:jc w:val="both"/>
              <w:rPr>
                <w:rFonts w:ascii="Arial" w:hAnsi="Arial" w:cs="Arial"/>
                <w:sz w:val="19"/>
                <w:szCs w:val="19"/>
                <w:vertAlign w:val="superscript"/>
              </w:rPr>
            </w:pPr>
            <w:r w:rsidRPr="001C2800">
              <w:rPr>
                <w:rFonts w:ascii="Arial" w:hAnsi="Arial" w:cs="Arial"/>
                <w:sz w:val="19"/>
                <w:szCs w:val="19"/>
              </w:rPr>
              <w:t>Liste rouge de l’UICN</w:t>
            </w:r>
            <w:r w:rsidRPr="001C2800">
              <w:rPr>
                <w:rFonts w:ascii="Arial" w:hAnsi="Arial" w:cs="Arial"/>
                <w:sz w:val="19"/>
                <w:szCs w:val="19"/>
                <w:vertAlign w:val="superscript"/>
              </w:rPr>
              <w:t>7</w:t>
            </w:r>
          </w:p>
          <w:p w14:paraId="5E7AFEE9" w14:textId="7B9DF1AB" w:rsidR="00026468" w:rsidRPr="00992FDF" w:rsidRDefault="00026468" w:rsidP="00154A49">
            <w:pPr>
              <w:spacing w:before="40" w:after="40"/>
              <w:jc w:val="both"/>
              <w:rPr>
                <w:rFonts w:ascii="Arial" w:hAnsi="Arial" w:cs="Arial"/>
                <w:sz w:val="18"/>
                <w:szCs w:val="18"/>
                <w:vertAlign w:val="superscript"/>
              </w:rPr>
            </w:pPr>
            <w:r w:rsidRPr="00992FDF">
              <w:rPr>
                <w:rFonts w:ascii="Arial" w:hAnsi="Arial" w:cs="Arial"/>
                <w:sz w:val="18"/>
                <w:szCs w:val="18"/>
              </w:rPr>
              <w:t>UNEP/CMS/COP13/Doc.27.3/Annexe 3</w:t>
            </w:r>
            <w:r w:rsidR="00DA59C3" w:rsidRPr="00992FDF">
              <w:rPr>
                <w:rStyle w:val="FootnoteReference"/>
                <w:rFonts w:ascii="Arial" w:hAnsi="Arial" w:cs="Arial"/>
                <w:sz w:val="18"/>
                <w:szCs w:val="18"/>
              </w:rPr>
              <w:footnoteReference w:id="26"/>
            </w:r>
          </w:p>
          <w:p w14:paraId="385339E3" w14:textId="77777777" w:rsidR="00DA59C3" w:rsidRPr="001C2800" w:rsidRDefault="00DA59C3" w:rsidP="00154A49">
            <w:pPr>
              <w:spacing w:before="40" w:after="40"/>
              <w:jc w:val="both"/>
              <w:rPr>
                <w:rFonts w:ascii="Arial" w:hAnsi="Arial" w:cs="Arial"/>
                <w:sz w:val="19"/>
                <w:szCs w:val="19"/>
              </w:rPr>
            </w:pPr>
            <w:r w:rsidRPr="001C2800">
              <w:rPr>
                <w:rFonts w:ascii="Arial" w:hAnsi="Arial" w:cs="Arial"/>
                <w:sz w:val="19"/>
                <w:szCs w:val="19"/>
              </w:rPr>
              <w:t xml:space="preserve">Eyres </w:t>
            </w:r>
            <w:r w:rsidRPr="001C2800">
              <w:rPr>
                <w:rFonts w:ascii="Arial" w:hAnsi="Arial" w:cs="Arial"/>
                <w:i/>
                <w:iCs/>
                <w:sz w:val="19"/>
                <w:szCs w:val="19"/>
              </w:rPr>
              <w:t>et al</w:t>
            </w:r>
            <w:r w:rsidRPr="001C2800">
              <w:rPr>
                <w:rFonts w:ascii="Arial" w:hAnsi="Arial" w:cs="Arial"/>
                <w:sz w:val="19"/>
                <w:szCs w:val="19"/>
              </w:rPr>
              <w:t>. (2017)</w:t>
            </w:r>
            <w:r w:rsidRPr="001C2800">
              <w:rPr>
                <w:rStyle w:val="FootnoteReference"/>
                <w:rFonts w:ascii="Arial" w:hAnsi="Arial" w:cs="Arial"/>
                <w:sz w:val="19"/>
                <w:szCs w:val="19"/>
              </w:rPr>
              <w:footnoteReference w:id="27"/>
            </w:r>
          </w:p>
          <w:p w14:paraId="6A3C9612" w14:textId="4F788B0B" w:rsidR="00DA59C3" w:rsidRPr="001C2800" w:rsidRDefault="00DA59C3" w:rsidP="00154A49">
            <w:pPr>
              <w:spacing w:before="40" w:after="40"/>
              <w:jc w:val="both"/>
              <w:rPr>
                <w:rFonts w:ascii="Arial" w:hAnsi="Arial" w:cs="Arial"/>
                <w:sz w:val="19"/>
                <w:szCs w:val="19"/>
                <w:vertAlign w:val="superscript"/>
              </w:rPr>
            </w:pPr>
          </w:p>
        </w:tc>
        <w:tc>
          <w:tcPr>
            <w:tcW w:w="6520" w:type="dxa"/>
            <w:tcBorders>
              <w:top w:val="nil"/>
            </w:tcBorders>
          </w:tcPr>
          <w:p w14:paraId="5BDC3517" w14:textId="4E408747" w:rsidR="00DA59C3" w:rsidRPr="001C2800" w:rsidRDefault="00DA59C3" w:rsidP="00154A49">
            <w:pPr>
              <w:spacing w:before="40" w:after="40"/>
              <w:jc w:val="both"/>
              <w:rPr>
                <w:rFonts w:ascii="Arial" w:hAnsi="Arial" w:cs="Arial"/>
                <w:sz w:val="19"/>
                <w:szCs w:val="19"/>
                <w:u w:val="single"/>
              </w:rPr>
            </w:pPr>
            <w:r w:rsidRPr="001C2800">
              <w:rPr>
                <w:rFonts w:ascii="Arial" w:hAnsi="Arial" w:cs="Arial"/>
                <w:sz w:val="19"/>
                <w:szCs w:val="19"/>
                <w:u w:val="single"/>
              </w:rPr>
              <w:t xml:space="preserve">Priorités </w:t>
            </w:r>
          </w:p>
          <w:p w14:paraId="29EDADB7" w14:textId="0E159E74" w:rsidR="00DA59C3" w:rsidRPr="000C6648" w:rsidRDefault="00DA59C3" w:rsidP="00154A49">
            <w:pPr>
              <w:pStyle w:val="ListParagraph"/>
              <w:numPr>
                <w:ilvl w:val="0"/>
                <w:numId w:val="38"/>
              </w:numPr>
              <w:spacing w:before="40" w:after="40"/>
              <w:contextualSpacing w:val="0"/>
              <w:jc w:val="both"/>
              <w:rPr>
                <w:rFonts w:ascii="Arial" w:hAnsi="Arial" w:cs="Arial"/>
                <w:sz w:val="19"/>
                <w:szCs w:val="19"/>
              </w:rPr>
            </w:pPr>
            <w:r w:rsidRPr="001C2800">
              <w:rPr>
                <w:rFonts w:ascii="Arial" w:hAnsi="Arial" w:cs="Arial"/>
                <w:i/>
                <w:iCs/>
                <w:sz w:val="19"/>
                <w:szCs w:val="19"/>
              </w:rPr>
              <w:t>Recevabilité à l’Annexe </w:t>
            </w:r>
            <w:r w:rsidRPr="000C6648">
              <w:rPr>
                <w:rFonts w:ascii="Arial" w:hAnsi="Arial" w:cs="Arial"/>
                <w:i/>
                <w:iCs/>
                <w:sz w:val="19"/>
                <w:szCs w:val="19"/>
              </w:rPr>
              <w:t>I</w:t>
            </w:r>
            <w:r w:rsidRPr="000C6648">
              <w:rPr>
                <w:rFonts w:ascii="Arial" w:hAnsi="Arial" w:cs="Arial"/>
                <w:sz w:val="19"/>
                <w:szCs w:val="19"/>
              </w:rPr>
              <w:t> : aucune preuve de comportement migratoire dans aucune population</w:t>
            </w:r>
          </w:p>
          <w:p w14:paraId="1E2E10B6" w14:textId="77777777" w:rsidR="00DA59C3" w:rsidRPr="000C6648" w:rsidRDefault="00DA59C3" w:rsidP="00154A49">
            <w:pPr>
              <w:spacing w:before="40" w:after="40"/>
              <w:jc w:val="both"/>
              <w:rPr>
                <w:rFonts w:ascii="Arial" w:hAnsi="Arial" w:cs="Arial"/>
                <w:sz w:val="19"/>
                <w:szCs w:val="19"/>
              </w:rPr>
            </w:pPr>
          </w:p>
          <w:p w14:paraId="04AD7B47" w14:textId="77777777" w:rsidR="00026468" w:rsidRPr="000C6648" w:rsidRDefault="00DA59C3" w:rsidP="00154A49">
            <w:pPr>
              <w:spacing w:before="40" w:after="40"/>
              <w:jc w:val="both"/>
              <w:rPr>
                <w:rFonts w:ascii="Arial" w:hAnsi="Arial" w:cs="Arial"/>
                <w:sz w:val="19"/>
                <w:szCs w:val="19"/>
              </w:rPr>
            </w:pPr>
            <w:r w:rsidRPr="000C6648">
              <w:rPr>
                <w:rFonts w:ascii="Arial" w:hAnsi="Arial" w:cs="Arial"/>
                <w:sz w:val="19"/>
                <w:szCs w:val="19"/>
              </w:rPr>
              <w:t xml:space="preserve">Si la </w:t>
            </w:r>
            <w:r w:rsidRPr="000C6648">
              <w:rPr>
                <w:rFonts w:ascii="Arial" w:hAnsi="Arial" w:cs="Arial"/>
                <w:b/>
                <w:bCs/>
                <w:sz w:val="19"/>
                <w:szCs w:val="19"/>
              </w:rPr>
              <w:t>totalité, ou seulement une partie</w:t>
            </w:r>
            <w:r w:rsidRPr="000C6648">
              <w:rPr>
                <w:rFonts w:ascii="Arial" w:hAnsi="Arial" w:cs="Arial"/>
                <w:sz w:val="19"/>
                <w:szCs w:val="19"/>
              </w:rPr>
              <w:t>, de la population mondiale des taxons de l'Annexe I présente un comportement migratoire, sur la base de trois sources de données. Les taxons seront considérés comme des migra</w:t>
            </w:r>
            <w:r w:rsidR="00CC5C63" w:rsidRPr="000C6648">
              <w:rPr>
                <w:rFonts w:ascii="Arial" w:hAnsi="Arial" w:cs="Arial"/>
                <w:sz w:val="19"/>
                <w:szCs w:val="19"/>
              </w:rPr>
              <w:t>teurs</w:t>
            </w:r>
            <w:r w:rsidRPr="000C6648">
              <w:rPr>
                <w:rFonts w:ascii="Arial" w:hAnsi="Arial" w:cs="Arial"/>
                <w:sz w:val="19"/>
                <w:szCs w:val="19"/>
              </w:rPr>
              <w:t xml:space="preserve"> partiels (c'est-à-dire que certains individus/populations du taxon, mais pas tous, présentent un comportement migratoire) s'ils sont considérés :</w:t>
            </w:r>
          </w:p>
          <w:p w14:paraId="4ED08D48" w14:textId="40CE0D12" w:rsidR="00CC5C63" w:rsidRPr="000C6648" w:rsidRDefault="00CC5C63" w:rsidP="00154A49">
            <w:pPr>
              <w:spacing w:before="40" w:after="40"/>
              <w:jc w:val="both"/>
              <w:rPr>
                <w:rFonts w:ascii="Arial" w:hAnsi="Arial" w:cs="Arial"/>
                <w:sz w:val="19"/>
                <w:szCs w:val="19"/>
              </w:rPr>
            </w:pPr>
            <w:r w:rsidRPr="000C6648">
              <w:rPr>
                <w:rFonts w:ascii="Arial" w:hAnsi="Arial" w:cs="Arial"/>
                <w:sz w:val="19"/>
                <w:szCs w:val="19"/>
              </w:rPr>
              <w:t xml:space="preserve">(a) </w:t>
            </w:r>
            <w:r w:rsidR="00C571D4">
              <w:rPr>
                <w:rFonts w:ascii="Arial" w:hAnsi="Arial" w:cs="Arial"/>
                <w:sz w:val="19"/>
                <w:szCs w:val="19"/>
              </w:rPr>
              <w:t>« </w:t>
            </w:r>
            <w:r w:rsidRPr="000C6648">
              <w:rPr>
                <w:rFonts w:ascii="Arial" w:hAnsi="Arial" w:cs="Arial"/>
                <w:sz w:val="19"/>
                <w:szCs w:val="19"/>
              </w:rPr>
              <w:t>migra</w:t>
            </w:r>
            <w:r w:rsidR="00992FDF">
              <w:rPr>
                <w:rFonts w:ascii="Arial" w:hAnsi="Arial" w:cs="Arial"/>
                <w:sz w:val="19"/>
                <w:szCs w:val="19"/>
              </w:rPr>
              <w:t>teur</w:t>
            </w:r>
            <w:r w:rsidRPr="000C6648">
              <w:rPr>
                <w:rFonts w:ascii="Arial" w:hAnsi="Arial" w:cs="Arial"/>
                <w:sz w:val="19"/>
                <w:szCs w:val="19"/>
              </w:rPr>
              <w:t xml:space="preserve"> partiel</w:t>
            </w:r>
            <w:r w:rsidR="00C571D4">
              <w:rPr>
                <w:rFonts w:ascii="Arial" w:hAnsi="Arial" w:cs="Arial"/>
                <w:sz w:val="19"/>
                <w:szCs w:val="19"/>
              </w:rPr>
              <w:t> »</w:t>
            </w:r>
            <w:r w:rsidRPr="000C6648">
              <w:rPr>
                <w:rFonts w:ascii="Arial" w:hAnsi="Arial" w:cs="Arial"/>
                <w:sz w:val="19"/>
                <w:szCs w:val="19"/>
              </w:rPr>
              <w:t>/</w:t>
            </w:r>
            <w:r w:rsidR="00C571D4">
              <w:rPr>
                <w:rFonts w:ascii="Arial" w:hAnsi="Arial" w:cs="Arial"/>
                <w:sz w:val="19"/>
                <w:szCs w:val="19"/>
              </w:rPr>
              <w:t xml:space="preserve"> « </w:t>
            </w:r>
            <w:r w:rsidR="00C571D4" w:rsidRPr="000C6648">
              <w:rPr>
                <w:rFonts w:ascii="Arial" w:hAnsi="Arial" w:cs="Arial"/>
                <w:sz w:val="19"/>
                <w:szCs w:val="19"/>
              </w:rPr>
              <w:t>partie</w:t>
            </w:r>
            <w:r w:rsidR="00C571D4">
              <w:rPr>
                <w:rFonts w:ascii="Arial" w:hAnsi="Arial" w:cs="Arial"/>
                <w:sz w:val="19"/>
                <w:szCs w:val="19"/>
              </w:rPr>
              <w:t xml:space="preserve">llement </w:t>
            </w:r>
            <w:r w:rsidRPr="000C6648">
              <w:rPr>
                <w:rFonts w:ascii="Arial" w:hAnsi="Arial" w:cs="Arial"/>
                <w:sz w:val="19"/>
                <w:szCs w:val="19"/>
              </w:rPr>
              <w:t>migrateur</w:t>
            </w:r>
            <w:r w:rsidR="00C571D4">
              <w:rPr>
                <w:rFonts w:ascii="Arial" w:hAnsi="Arial" w:cs="Arial"/>
                <w:sz w:val="19"/>
                <w:szCs w:val="19"/>
              </w:rPr>
              <w:t> »</w:t>
            </w:r>
            <w:r w:rsidRPr="000C6648">
              <w:rPr>
                <w:rFonts w:ascii="Arial" w:hAnsi="Arial" w:cs="Arial"/>
                <w:sz w:val="19"/>
                <w:szCs w:val="19"/>
              </w:rPr>
              <w:t xml:space="preserve"> dans les informations sur l'habitat de l'évaluation de la Liste rouge de l'UICN ; </w:t>
            </w:r>
          </w:p>
          <w:p w14:paraId="31C8DFB2" w14:textId="073D3AE5" w:rsidR="00CC5C63" w:rsidRPr="000C6648" w:rsidRDefault="00CC5C63" w:rsidP="00154A49">
            <w:pPr>
              <w:spacing w:before="40" w:after="40"/>
              <w:jc w:val="both"/>
              <w:rPr>
                <w:rFonts w:ascii="Arial" w:hAnsi="Arial" w:cs="Arial"/>
                <w:sz w:val="19"/>
                <w:szCs w:val="19"/>
              </w:rPr>
            </w:pPr>
            <w:r w:rsidRPr="000C6648">
              <w:rPr>
                <w:rFonts w:ascii="Arial" w:hAnsi="Arial" w:cs="Arial"/>
                <w:sz w:val="19"/>
                <w:szCs w:val="19"/>
              </w:rPr>
              <w:t xml:space="preserve">(b) </w:t>
            </w:r>
            <w:r w:rsidR="00C571D4">
              <w:rPr>
                <w:rFonts w:ascii="Arial" w:hAnsi="Arial" w:cs="Arial"/>
                <w:sz w:val="19"/>
                <w:szCs w:val="19"/>
              </w:rPr>
              <w:t>« </w:t>
            </w:r>
            <w:r w:rsidRPr="000C6648">
              <w:rPr>
                <w:rFonts w:ascii="Arial" w:hAnsi="Arial" w:cs="Arial"/>
                <w:sz w:val="19"/>
                <w:szCs w:val="19"/>
              </w:rPr>
              <w:t>migra</w:t>
            </w:r>
            <w:r w:rsidR="00992FDF">
              <w:rPr>
                <w:rFonts w:ascii="Arial" w:hAnsi="Arial" w:cs="Arial"/>
                <w:sz w:val="19"/>
                <w:szCs w:val="19"/>
              </w:rPr>
              <w:t>teurs</w:t>
            </w:r>
            <w:r w:rsidRPr="000C6648">
              <w:rPr>
                <w:rFonts w:ascii="Arial" w:hAnsi="Arial" w:cs="Arial"/>
                <w:sz w:val="19"/>
                <w:szCs w:val="19"/>
              </w:rPr>
              <w:t xml:space="preserve"> partiels</w:t>
            </w:r>
            <w:r w:rsidR="00C571D4">
              <w:rPr>
                <w:rFonts w:ascii="Arial" w:hAnsi="Arial" w:cs="Arial"/>
                <w:sz w:val="19"/>
                <w:szCs w:val="19"/>
              </w:rPr>
              <w:t> »</w:t>
            </w:r>
            <w:r w:rsidRPr="000C6648">
              <w:rPr>
                <w:rFonts w:ascii="Arial" w:hAnsi="Arial" w:cs="Arial"/>
                <w:sz w:val="19"/>
                <w:szCs w:val="19"/>
              </w:rPr>
              <w:t xml:space="preserve"> dans la désagrégation des familles et des genres d'oiseaux figurant à l'Annexe II ; et/ou </w:t>
            </w:r>
          </w:p>
          <w:p w14:paraId="023A6FA8" w14:textId="71C54533" w:rsidR="00CC5C63" w:rsidRPr="000C6648" w:rsidRDefault="00CC5C63" w:rsidP="00154A49">
            <w:pPr>
              <w:spacing w:before="40" w:after="40"/>
              <w:jc w:val="both"/>
              <w:rPr>
                <w:rFonts w:ascii="Arial" w:hAnsi="Arial" w:cs="Arial"/>
                <w:sz w:val="19"/>
                <w:szCs w:val="19"/>
              </w:rPr>
            </w:pPr>
            <w:r w:rsidRPr="000C6648">
              <w:rPr>
                <w:rFonts w:ascii="Arial" w:hAnsi="Arial" w:cs="Arial"/>
                <w:sz w:val="19"/>
                <w:szCs w:val="19"/>
              </w:rPr>
              <w:t xml:space="preserve">(c) </w:t>
            </w:r>
            <w:r w:rsidR="00C571D4">
              <w:rPr>
                <w:rFonts w:ascii="Arial" w:hAnsi="Arial" w:cs="Arial"/>
                <w:sz w:val="19"/>
                <w:szCs w:val="19"/>
              </w:rPr>
              <w:t>« </w:t>
            </w:r>
            <w:r w:rsidRPr="000C6648">
              <w:rPr>
                <w:rFonts w:ascii="Arial" w:hAnsi="Arial" w:cs="Arial"/>
                <w:sz w:val="19"/>
                <w:szCs w:val="19"/>
              </w:rPr>
              <w:t>migra</w:t>
            </w:r>
            <w:r w:rsidR="00992FDF">
              <w:rPr>
                <w:rFonts w:ascii="Arial" w:hAnsi="Arial" w:cs="Arial"/>
                <w:sz w:val="19"/>
                <w:szCs w:val="19"/>
              </w:rPr>
              <w:t>teurs</w:t>
            </w:r>
            <w:r w:rsidRPr="000C6648">
              <w:rPr>
                <w:rFonts w:ascii="Arial" w:hAnsi="Arial" w:cs="Arial"/>
                <w:sz w:val="19"/>
                <w:szCs w:val="19"/>
              </w:rPr>
              <w:t xml:space="preserve"> directionnels partiels</w:t>
            </w:r>
            <w:r w:rsidR="00C571D4">
              <w:rPr>
                <w:rFonts w:ascii="Arial" w:hAnsi="Arial" w:cs="Arial"/>
                <w:sz w:val="19"/>
                <w:szCs w:val="19"/>
              </w:rPr>
              <w:t> »</w:t>
            </w:r>
            <w:r w:rsidRPr="000C6648">
              <w:rPr>
                <w:rFonts w:ascii="Arial" w:hAnsi="Arial" w:cs="Arial"/>
                <w:sz w:val="19"/>
                <w:szCs w:val="19"/>
              </w:rPr>
              <w:t xml:space="preserve"> dans Eyres et al. (2017).</w:t>
            </w:r>
          </w:p>
          <w:p w14:paraId="16DA3828" w14:textId="77777777" w:rsidR="00CC5C63" w:rsidRPr="000C6648" w:rsidRDefault="00CC5C63" w:rsidP="00154A49">
            <w:pPr>
              <w:spacing w:before="40" w:after="40"/>
              <w:jc w:val="both"/>
              <w:rPr>
                <w:rFonts w:ascii="Arial" w:hAnsi="Arial" w:cs="Arial"/>
                <w:sz w:val="19"/>
                <w:szCs w:val="19"/>
              </w:rPr>
            </w:pPr>
          </w:p>
          <w:p w14:paraId="4CA90BE2" w14:textId="7BCA43F0" w:rsidR="00CC5C63" w:rsidRPr="000C6648" w:rsidRDefault="00CC5C63" w:rsidP="00154A49">
            <w:pPr>
              <w:spacing w:before="40" w:after="40"/>
              <w:jc w:val="both"/>
              <w:rPr>
                <w:rFonts w:ascii="Arial" w:hAnsi="Arial" w:cs="Arial"/>
                <w:sz w:val="19"/>
                <w:szCs w:val="19"/>
              </w:rPr>
            </w:pPr>
            <w:r w:rsidRPr="000C6648">
              <w:rPr>
                <w:rFonts w:ascii="Arial" w:hAnsi="Arial" w:cs="Arial"/>
                <w:sz w:val="19"/>
                <w:szCs w:val="19"/>
              </w:rPr>
              <w:t>S'il n'y a pas de preuve que les taxons sont des migra</w:t>
            </w:r>
            <w:r w:rsidR="00992FDF">
              <w:rPr>
                <w:rFonts w:ascii="Arial" w:hAnsi="Arial" w:cs="Arial"/>
                <w:sz w:val="19"/>
                <w:szCs w:val="19"/>
              </w:rPr>
              <w:t>teurs</w:t>
            </w:r>
            <w:r w:rsidRPr="000C6648">
              <w:rPr>
                <w:rFonts w:ascii="Arial" w:hAnsi="Arial" w:cs="Arial"/>
                <w:sz w:val="19"/>
                <w:szCs w:val="19"/>
              </w:rPr>
              <w:t xml:space="preserve"> partiels, toutes les populations de taxons identifiés comme </w:t>
            </w:r>
            <w:r w:rsidR="00992FDF">
              <w:rPr>
                <w:rFonts w:ascii="Arial" w:hAnsi="Arial" w:cs="Arial"/>
                <w:sz w:val="19"/>
                <w:szCs w:val="19"/>
              </w:rPr>
              <w:t>« </w:t>
            </w:r>
            <w:r w:rsidRPr="000C6648">
              <w:rPr>
                <w:rFonts w:ascii="Arial" w:hAnsi="Arial" w:cs="Arial"/>
                <w:sz w:val="19"/>
                <w:szCs w:val="19"/>
              </w:rPr>
              <w:t>migrateurs complets</w:t>
            </w:r>
            <w:r w:rsidR="00992FDF">
              <w:rPr>
                <w:rFonts w:ascii="Arial" w:hAnsi="Arial" w:cs="Arial"/>
                <w:sz w:val="19"/>
                <w:szCs w:val="19"/>
              </w:rPr>
              <w:t> »</w:t>
            </w:r>
            <w:r w:rsidRPr="000C6648">
              <w:rPr>
                <w:rFonts w:ascii="Arial" w:hAnsi="Arial" w:cs="Arial"/>
                <w:sz w:val="19"/>
                <w:szCs w:val="19"/>
              </w:rPr>
              <w:t xml:space="preserve">/ mobiles à travers les frontières dans le critère 5.1 seront supposées être des migrateurs complets. </w:t>
            </w:r>
          </w:p>
          <w:p w14:paraId="31562402" w14:textId="29985404" w:rsidR="00CC5C63" w:rsidRPr="001C2800" w:rsidRDefault="00CC5C63" w:rsidP="00154A49">
            <w:pPr>
              <w:spacing w:before="40" w:after="40"/>
              <w:jc w:val="both"/>
              <w:rPr>
                <w:rFonts w:ascii="Arial" w:hAnsi="Arial" w:cs="Arial"/>
                <w:sz w:val="19"/>
                <w:szCs w:val="19"/>
                <w:u w:val="single"/>
              </w:rPr>
            </w:pPr>
          </w:p>
        </w:tc>
        <w:tc>
          <w:tcPr>
            <w:tcW w:w="2410" w:type="dxa"/>
            <w:tcBorders>
              <w:top w:val="nil"/>
            </w:tcBorders>
          </w:tcPr>
          <w:p w14:paraId="1BB2C30E" w14:textId="77777777" w:rsidR="00C571D4" w:rsidRPr="00C571D4" w:rsidRDefault="00C571D4" w:rsidP="00C571D4">
            <w:pPr>
              <w:spacing w:before="40" w:after="40"/>
              <w:jc w:val="both"/>
              <w:rPr>
                <w:rFonts w:ascii="Arial" w:hAnsi="Arial" w:cs="Arial"/>
                <w:sz w:val="19"/>
                <w:szCs w:val="19"/>
              </w:rPr>
            </w:pPr>
            <w:r w:rsidRPr="00C571D4">
              <w:rPr>
                <w:rFonts w:ascii="Arial" w:hAnsi="Arial" w:cs="Arial"/>
                <w:sz w:val="19"/>
                <w:szCs w:val="19"/>
              </w:rPr>
              <w:t>1 : Tous les individus et toutes les populations du taxon sont supposés migrer.</w:t>
            </w:r>
          </w:p>
          <w:p w14:paraId="50B027AF" w14:textId="33F1AD61" w:rsidR="00026468" w:rsidRPr="001C2800" w:rsidRDefault="00C571D4" w:rsidP="00C571D4">
            <w:pPr>
              <w:spacing w:before="40" w:after="40"/>
              <w:jc w:val="both"/>
              <w:rPr>
                <w:rFonts w:ascii="Arial" w:hAnsi="Arial" w:cs="Arial"/>
                <w:sz w:val="19"/>
                <w:szCs w:val="19"/>
              </w:rPr>
            </w:pPr>
            <w:r w:rsidRPr="00C571D4">
              <w:rPr>
                <w:rFonts w:ascii="Arial" w:hAnsi="Arial" w:cs="Arial"/>
                <w:sz w:val="19"/>
                <w:szCs w:val="19"/>
              </w:rPr>
              <w:t>0.5 : Migrateur partiel (seuls certains individus/ populations au sein du taxon migrent)</w:t>
            </w:r>
          </w:p>
        </w:tc>
        <w:tc>
          <w:tcPr>
            <w:tcW w:w="1843" w:type="dxa"/>
            <w:tcBorders>
              <w:top w:val="nil"/>
            </w:tcBorders>
          </w:tcPr>
          <w:p w14:paraId="10EF3EF1" w14:textId="30625E10" w:rsidR="00026468" w:rsidRPr="001C2800" w:rsidRDefault="00C571D4" w:rsidP="00154A49">
            <w:pPr>
              <w:spacing w:before="40" w:after="40"/>
              <w:jc w:val="both"/>
              <w:rPr>
                <w:rFonts w:ascii="Arial" w:hAnsi="Arial" w:cs="Arial"/>
                <w:sz w:val="19"/>
                <w:szCs w:val="19"/>
              </w:rPr>
            </w:pPr>
            <w:r w:rsidRPr="00C571D4">
              <w:rPr>
                <w:rFonts w:ascii="Arial" w:hAnsi="Arial" w:cs="Arial"/>
                <w:sz w:val="19"/>
                <w:szCs w:val="19"/>
              </w:rPr>
              <w:t>Aucune preuve concernant la proportion de la population mondiale qui migre.</w:t>
            </w:r>
          </w:p>
        </w:tc>
      </w:tr>
    </w:tbl>
    <w:p w14:paraId="0DC59D43" w14:textId="77777777" w:rsidR="00CF7917" w:rsidRPr="00F52586" w:rsidRDefault="00CF7917" w:rsidP="00F52586">
      <w:pPr>
        <w:spacing w:after="0" w:line="240" w:lineRule="auto"/>
        <w:jc w:val="both"/>
        <w:rPr>
          <w:rFonts w:ascii="Arial" w:hAnsi="Arial" w:cs="Arial"/>
        </w:rPr>
      </w:pPr>
    </w:p>
    <w:p w14:paraId="4D514D92" w14:textId="77777777" w:rsidR="004A2D43" w:rsidRPr="00F52586" w:rsidRDefault="004A2D43" w:rsidP="00F52586">
      <w:pPr>
        <w:spacing w:after="0" w:line="240" w:lineRule="auto"/>
        <w:jc w:val="both"/>
        <w:rPr>
          <w:rFonts w:ascii="Arial" w:hAnsi="Arial" w:cs="Arial"/>
        </w:rPr>
      </w:pPr>
    </w:p>
    <w:sectPr w:rsidR="004A2D43" w:rsidRPr="00F52586" w:rsidSect="001C2800">
      <w:headerReference w:type="default" r:id="rId28"/>
      <w:pgSz w:w="16838" w:h="11906" w:orient="landscape"/>
      <w:pgMar w:top="851" w:right="1440" w:bottom="42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1481" w14:textId="77777777" w:rsidR="00F52586" w:rsidRDefault="00F52586" w:rsidP="00CF7917">
      <w:pPr>
        <w:spacing w:after="0" w:line="240" w:lineRule="auto"/>
      </w:pPr>
      <w:r>
        <w:separator/>
      </w:r>
    </w:p>
  </w:endnote>
  <w:endnote w:type="continuationSeparator" w:id="0">
    <w:p w14:paraId="0B5B2870" w14:textId="77777777" w:rsidR="00F52586" w:rsidRDefault="00F52586" w:rsidP="00CF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64984105"/>
      <w:docPartObj>
        <w:docPartGallery w:val="Page Numbers (Bottom of Page)"/>
        <w:docPartUnique/>
      </w:docPartObj>
    </w:sdtPr>
    <w:sdtEndPr>
      <w:rPr>
        <w:noProof/>
      </w:rPr>
    </w:sdtEndPr>
    <w:sdtContent>
      <w:p w14:paraId="42489213" w14:textId="77777777" w:rsidR="001C2800" w:rsidRDefault="001C2800" w:rsidP="00F52586">
        <w:pPr>
          <w:pStyle w:val="Footer"/>
          <w:jc w:val="center"/>
          <w:rPr>
            <w:rFonts w:ascii="Arial" w:hAnsi="Arial" w:cs="Arial"/>
            <w:sz w:val="18"/>
            <w:szCs w:val="18"/>
          </w:rPr>
        </w:pPr>
      </w:p>
      <w:p w14:paraId="7EB26872" w14:textId="38C3956F" w:rsidR="00F52586" w:rsidRPr="00F52586" w:rsidRDefault="00F52586" w:rsidP="00F52586">
        <w:pPr>
          <w:pStyle w:val="Footer"/>
          <w:jc w:val="center"/>
          <w:rPr>
            <w:rFonts w:ascii="Arial" w:hAnsi="Arial" w:cs="Arial"/>
            <w:sz w:val="18"/>
            <w:szCs w:val="18"/>
          </w:rPr>
        </w:pPr>
        <w:r w:rsidRPr="00F52586">
          <w:rPr>
            <w:rFonts w:ascii="Arial" w:hAnsi="Arial" w:cs="Arial"/>
            <w:sz w:val="18"/>
            <w:szCs w:val="18"/>
          </w:rPr>
          <w:fldChar w:fldCharType="begin"/>
        </w:r>
        <w:r w:rsidRPr="00F52586">
          <w:rPr>
            <w:rFonts w:ascii="Arial" w:hAnsi="Arial" w:cs="Arial"/>
            <w:sz w:val="18"/>
            <w:szCs w:val="18"/>
          </w:rPr>
          <w:instrText xml:space="preserve"> PAGE   \* MERGEFORMAT </w:instrText>
        </w:r>
        <w:r w:rsidRPr="00F52586">
          <w:rPr>
            <w:rFonts w:ascii="Arial" w:hAnsi="Arial" w:cs="Arial"/>
            <w:sz w:val="18"/>
            <w:szCs w:val="18"/>
          </w:rPr>
          <w:fldChar w:fldCharType="separate"/>
        </w:r>
        <w:r w:rsidRPr="00F52586">
          <w:rPr>
            <w:rFonts w:ascii="Arial" w:hAnsi="Arial" w:cs="Arial"/>
            <w:noProof/>
            <w:sz w:val="18"/>
            <w:szCs w:val="18"/>
          </w:rPr>
          <w:t>2</w:t>
        </w:r>
        <w:r w:rsidRPr="00F52586">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67824"/>
      <w:docPartObj>
        <w:docPartGallery w:val="Page Numbers (Bottom of Page)"/>
        <w:docPartUnique/>
      </w:docPartObj>
    </w:sdtPr>
    <w:sdtEndPr>
      <w:rPr>
        <w:rFonts w:ascii="Roboto" w:hAnsi="Roboto"/>
      </w:rPr>
    </w:sdtEndPr>
    <w:sdtContent>
      <w:p w14:paraId="1A7BF245" w14:textId="77777777" w:rsidR="000C6648" w:rsidRDefault="000C6648" w:rsidP="00343B22">
        <w:pPr>
          <w:pStyle w:val="Footer"/>
          <w:jc w:val="center"/>
        </w:pPr>
      </w:p>
      <w:p w14:paraId="52E31229" w14:textId="00175747" w:rsidR="00F52586" w:rsidRPr="00F775CC" w:rsidRDefault="00F52586" w:rsidP="00343B22">
        <w:pPr>
          <w:pStyle w:val="Footer"/>
          <w:jc w:val="center"/>
          <w:rPr>
            <w:rFonts w:ascii="Roboto" w:hAnsi="Roboto"/>
          </w:rPr>
        </w:pPr>
        <w:r w:rsidRPr="00154A49">
          <w:rPr>
            <w:rFonts w:ascii="Arial" w:hAnsi="Arial" w:cs="Arial"/>
            <w:sz w:val="18"/>
            <w:szCs w:val="18"/>
          </w:rPr>
          <w:fldChar w:fldCharType="begin"/>
        </w:r>
        <w:r w:rsidRPr="00154A49">
          <w:rPr>
            <w:rFonts w:ascii="Arial" w:hAnsi="Arial" w:cs="Arial"/>
            <w:sz w:val="18"/>
            <w:szCs w:val="18"/>
          </w:rPr>
          <w:instrText xml:space="preserve"> PAGE   \* MERGEFORMAT </w:instrText>
        </w:r>
        <w:r w:rsidRPr="00154A49">
          <w:rPr>
            <w:rFonts w:ascii="Arial" w:hAnsi="Arial" w:cs="Arial"/>
            <w:sz w:val="18"/>
            <w:szCs w:val="18"/>
          </w:rPr>
          <w:fldChar w:fldCharType="separate"/>
        </w:r>
        <w:r w:rsidRPr="00154A49">
          <w:rPr>
            <w:rFonts w:ascii="Arial" w:hAnsi="Arial" w:cs="Arial"/>
            <w:sz w:val="18"/>
            <w:szCs w:val="18"/>
          </w:rPr>
          <w:t>24</w:t>
        </w:r>
        <w:r w:rsidRPr="00154A49">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F52586" w14:paraId="07ACCD7F" w14:textId="77777777" w:rsidTr="00343B22">
      <w:tc>
        <w:tcPr>
          <w:tcW w:w="3009" w:type="dxa"/>
        </w:tcPr>
        <w:p w14:paraId="33378AD2" w14:textId="77777777" w:rsidR="00F52586" w:rsidRDefault="00F52586" w:rsidP="00343B22">
          <w:pPr>
            <w:pStyle w:val="Header"/>
            <w:ind w:left="-115"/>
          </w:pPr>
        </w:p>
      </w:tc>
      <w:tc>
        <w:tcPr>
          <w:tcW w:w="3009" w:type="dxa"/>
        </w:tcPr>
        <w:p w14:paraId="74D56AD6" w14:textId="77777777" w:rsidR="00F52586" w:rsidRDefault="00F52586" w:rsidP="00343B22">
          <w:pPr>
            <w:pStyle w:val="Header"/>
            <w:jc w:val="center"/>
          </w:pPr>
        </w:p>
      </w:tc>
      <w:tc>
        <w:tcPr>
          <w:tcW w:w="3009" w:type="dxa"/>
        </w:tcPr>
        <w:p w14:paraId="3A7077B2" w14:textId="77777777" w:rsidR="00F52586" w:rsidRDefault="00F52586" w:rsidP="00343B22">
          <w:pPr>
            <w:pStyle w:val="Header"/>
            <w:ind w:right="-115"/>
            <w:jc w:val="right"/>
          </w:pPr>
        </w:p>
      </w:tc>
    </w:tr>
  </w:tbl>
  <w:p w14:paraId="0B542ED9" w14:textId="77777777" w:rsidR="00F52586" w:rsidRDefault="00F5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62DD" w14:textId="77777777" w:rsidR="00F52586" w:rsidRDefault="00F52586" w:rsidP="00CF7917">
      <w:pPr>
        <w:spacing w:after="0" w:line="240" w:lineRule="auto"/>
      </w:pPr>
      <w:r>
        <w:separator/>
      </w:r>
    </w:p>
  </w:footnote>
  <w:footnote w:type="continuationSeparator" w:id="0">
    <w:p w14:paraId="3E4D2C2E" w14:textId="77777777" w:rsidR="00F52586" w:rsidRDefault="00F52586" w:rsidP="00CF7917">
      <w:pPr>
        <w:spacing w:after="0" w:line="240" w:lineRule="auto"/>
      </w:pPr>
      <w:r>
        <w:continuationSeparator/>
      </w:r>
    </w:p>
  </w:footnote>
  <w:footnote w:id="1">
    <w:p w14:paraId="2A5B276B" w14:textId="4B4ACC6C" w:rsidR="00F52586" w:rsidRPr="00154A49" w:rsidRDefault="00F52586" w:rsidP="001A63CD">
      <w:pPr>
        <w:pStyle w:val="FootnoteText"/>
        <w:rPr>
          <w:rFonts w:ascii="Arial" w:hAnsi="Arial" w:cs="Arial"/>
          <w:sz w:val="16"/>
          <w:szCs w:val="16"/>
        </w:rPr>
      </w:pPr>
      <w:r w:rsidRPr="00154A49">
        <w:rPr>
          <w:rStyle w:val="FootnoteReference"/>
          <w:rFonts w:ascii="Arial" w:hAnsi="Arial" w:cs="Arial"/>
          <w:sz w:val="16"/>
          <w:szCs w:val="16"/>
        </w:rPr>
        <w:footnoteRef/>
      </w:r>
      <w:r w:rsidRPr="00154A49">
        <w:rPr>
          <w:rFonts w:ascii="Arial" w:hAnsi="Arial" w:cs="Arial"/>
          <w:sz w:val="16"/>
          <w:szCs w:val="16"/>
        </w:rPr>
        <w:t xml:space="preserve"> Note : l'absence de données sur le comportement migratoire ne doit pas être considérée comme une preuve qu'un taxon n'est pas migrateur, mais plutôt comme un signe que les taxons sont insuffisamment étudiés ou qu'il leur manque des données sur les schémas de déplacement.. </w:t>
      </w:r>
    </w:p>
  </w:footnote>
  <w:footnote w:id="2">
    <w:p w14:paraId="29F89853" w14:textId="77777777" w:rsidR="00F52586" w:rsidRPr="00154A49" w:rsidRDefault="00F52586" w:rsidP="00CF7917">
      <w:pPr>
        <w:pStyle w:val="FootnoteText"/>
        <w:rPr>
          <w:rFonts w:ascii="Arial" w:hAnsi="Arial" w:cs="Arial"/>
          <w:sz w:val="16"/>
          <w:szCs w:val="16"/>
        </w:rPr>
      </w:pPr>
      <w:r w:rsidRPr="00154A49">
        <w:rPr>
          <w:rStyle w:val="FootnoteReference"/>
          <w:rFonts w:ascii="Arial" w:hAnsi="Arial" w:cs="Arial"/>
          <w:sz w:val="16"/>
          <w:szCs w:val="16"/>
        </w:rPr>
        <w:footnoteRef/>
      </w:r>
      <w:r w:rsidRPr="00154A49">
        <w:rPr>
          <w:rFonts w:ascii="Arial" w:hAnsi="Arial" w:cs="Arial"/>
          <w:sz w:val="16"/>
          <w:szCs w:val="16"/>
        </w:rPr>
        <w:t xml:space="preserve"> Consultables sur </w:t>
      </w:r>
      <w:hyperlink r:id="rId1" w:history="1">
        <w:r w:rsidRPr="00154A49">
          <w:rPr>
            <w:rStyle w:val="Hyperlink"/>
            <w:rFonts w:ascii="Arial" w:hAnsi="Arial" w:cs="Arial"/>
            <w:sz w:val="16"/>
            <w:szCs w:val="16"/>
          </w:rPr>
          <w:t>https://www.cms.int/fr/documents/national-reports</w:t>
        </w:r>
      </w:hyperlink>
      <w:r w:rsidRPr="00154A49">
        <w:rPr>
          <w:rFonts w:ascii="Arial" w:hAnsi="Arial" w:cs="Arial"/>
          <w:sz w:val="16"/>
          <w:szCs w:val="16"/>
        </w:rPr>
        <w:t>. Seuls 61 % des Parties actuelles à la CMS ont présenté des rapports nationaux au cours du dernier cycle.</w:t>
      </w:r>
    </w:p>
  </w:footnote>
  <w:footnote w:id="3">
    <w:p w14:paraId="40F871CF" w14:textId="77777777" w:rsidR="00F52586" w:rsidRPr="00154A49" w:rsidRDefault="00F52586" w:rsidP="00CF7917">
      <w:pPr>
        <w:pStyle w:val="FootnoteText"/>
        <w:rPr>
          <w:rFonts w:ascii="Arial" w:hAnsi="Arial" w:cs="Arial"/>
          <w:sz w:val="16"/>
          <w:szCs w:val="16"/>
        </w:rPr>
      </w:pPr>
      <w:r w:rsidRPr="00154A49">
        <w:rPr>
          <w:rStyle w:val="FootnoteReference"/>
          <w:rFonts w:ascii="Arial" w:hAnsi="Arial" w:cs="Arial"/>
          <w:sz w:val="16"/>
          <w:szCs w:val="16"/>
        </w:rPr>
        <w:footnoteRef/>
      </w:r>
      <w:r w:rsidRPr="00154A49">
        <w:rPr>
          <w:rFonts w:ascii="Arial" w:hAnsi="Arial" w:cs="Arial"/>
          <w:sz w:val="16"/>
          <w:szCs w:val="16"/>
        </w:rPr>
        <w:t xml:space="preserve"> Consultable sur </w:t>
      </w:r>
      <w:hyperlink r:id="rId2" w:history="1">
        <w:r w:rsidRPr="00154A49">
          <w:rPr>
            <w:rStyle w:val="Hyperlink"/>
            <w:rFonts w:ascii="Arial" w:hAnsi="Arial" w:cs="Arial"/>
            <w:sz w:val="16"/>
            <w:szCs w:val="16"/>
          </w:rPr>
          <w:t>https://www.cms.int/fr/node/19343</w:t>
        </w:r>
      </w:hyperlink>
      <w:r w:rsidRPr="00154A49">
        <w:rPr>
          <w:rFonts w:ascii="Arial" w:hAnsi="Arial" w:cs="Arial"/>
          <w:sz w:val="16"/>
          <w:szCs w:val="16"/>
        </w:rPr>
        <w:t xml:space="preserve"> </w:t>
      </w:r>
    </w:p>
  </w:footnote>
  <w:footnote w:id="4">
    <w:p w14:paraId="1632DAE2" w14:textId="77777777" w:rsidR="00F52586" w:rsidRPr="00154A49" w:rsidRDefault="00F52586" w:rsidP="00CF7917">
      <w:pPr>
        <w:pStyle w:val="FootnoteText"/>
        <w:rPr>
          <w:rFonts w:ascii="Arial" w:hAnsi="Arial" w:cs="Arial"/>
          <w:sz w:val="16"/>
          <w:szCs w:val="16"/>
        </w:rPr>
      </w:pPr>
      <w:r w:rsidRPr="00154A49">
        <w:rPr>
          <w:rStyle w:val="FootnoteReference"/>
          <w:rFonts w:ascii="Arial" w:hAnsi="Arial" w:cs="Arial"/>
          <w:sz w:val="16"/>
          <w:szCs w:val="16"/>
        </w:rPr>
        <w:footnoteRef/>
      </w:r>
      <w:r w:rsidRPr="00154A49">
        <w:rPr>
          <w:rFonts w:ascii="Arial" w:hAnsi="Arial" w:cs="Arial"/>
          <w:sz w:val="16"/>
          <w:szCs w:val="16"/>
        </w:rPr>
        <w:t xml:space="preserve"> Uniquement lorsque ces données sont accessibles au public.</w:t>
      </w:r>
    </w:p>
  </w:footnote>
  <w:footnote w:id="5">
    <w:p w14:paraId="048C89C4" w14:textId="77777777" w:rsidR="00F52586" w:rsidRPr="00154A49" w:rsidRDefault="00F52586" w:rsidP="00CF7917">
      <w:pPr>
        <w:pStyle w:val="FootnoteText"/>
        <w:rPr>
          <w:rFonts w:ascii="Arial" w:hAnsi="Arial" w:cs="Arial"/>
          <w:sz w:val="16"/>
          <w:szCs w:val="16"/>
        </w:rPr>
      </w:pPr>
      <w:r w:rsidRPr="00154A49">
        <w:rPr>
          <w:rStyle w:val="FootnoteReference"/>
          <w:rFonts w:ascii="Arial" w:hAnsi="Arial" w:cs="Arial"/>
          <w:sz w:val="16"/>
          <w:szCs w:val="16"/>
        </w:rPr>
        <w:footnoteRef/>
      </w:r>
      <w:r w:rsidRPr="00154A49">
        <w:rPr>
          <w:rFonts w:ascii="Arial" w:hAnsi="Arial" w:cs="Arial"/>
          <w:sz w:val="16"/>
          <w:szCs w:val="16"/>
        </w:rPr>
        <w:t xml:space="preserve"> Lorsque l’estimation de la taille de population est fournie sous forme d’intervalle, la valeur moyenne est retenue. Il n’a pas été possible d’inclure la taille estimée de la population d’après l’évaluation de la Liste rouge en tant que critère noté, car il s’agit d’un des facteurs-clés dans l’attribution de la catégorie de risque sur la Liste rouge, et ces deux critères sont donc fortement corrélés.</w:t>
      </w:r>
    </w:p>
  </w:footnote>
  <w:footnote w:id="6">
    <w:p w14:paraId="1E8DE95D" w14:textId="77777777" w:rsidR="00F52586" w:rsidRPr="001C2800" w:rsidRDefault="00F52586" w:rsidP="00CF7917">
      <w:pPr>
        <w:pBdr>
          <w:top w:val="nil"/>
          <w:left w:val="nil"/>
          <w:bottom w:val="nil"/>
          <w:right w:val="nil"/>
          <w:between w:val="nil"/>
        </w:pBdr>
        <w:spacing w:after="0" w:line="240" w:lineRule="auto"/>
        <w:rPr>
          <w:rFonts w:ascii="Arial" w:hAnsi="Arial" w:cs="Arial"/>
          <w:color w:val="000000"/>
          <w:sz w:val="16"/>
          <w:szCs w:val="16"/>
        </w:rPr>
      </w:pPr>
      <w:r w:rsidRPr="001C2800">
        <w:rPr>
          <w:rStyle w:val="FootnoteReference"/>
          <w:rFonts w:ascii="Arial" w:hAnsi="Arial" w:cs="Arial"/>
          <w:sz w:val="16"/>
          <w:szCs w:val="16"/>
        </w:rPr>
        <w:footnoteRef/>
      </w:r>
      <w:r w:rsidRPr="001C2800">
        <w:rPr>
          <w:rFonts w:ascii="Arial" w:hAnsi="Arial" w:cs="Arial"/>
          <w:color w:val="000000"/>
          <w:sz w:val="16"/>
          <w:szCs w:val="16"/>
        </w:rPr>
        <w:t xml:space="preserve"> Si un critère ne peut pas être noté pour un taxon donné, il sera exclu pour éviter de fausser le score final du taxon. </w:t>
      </w:r>
    </w:p>
  </w:footnote>
  <w:footnote w:id="7">
    <w:p w14:paraId="453E615D" w14:textId="77777777" w:rsidR="00F52586" w:rsidRPr="001C2800" w:rsidRDefault="00F52586" w:rsidP="00CF7917">
      <w:pPr>
        <w:pBdr>
          <w:top w:val="nil"/>
          <w:left w:val="nil"/>
          <w:bottom w:val="nil"/>
          <w:right w:val="nil"/>
          <w:between w:val="nil"/>
        </w:pBdr>
        <w:spacing w:after="0" w:line="240" w:lineRule="auto"/>
        <w:rPr>
          <w:rFonts w:ascii="Arial" w:hAnsi="Arial" w:cs="Arial"/>
          <w:color w:val="000000"/>
          <w:sz w:val="16"/>
          <w:szCs w:val="16"/>
        </w:rPr>
      </w:pPr>
      <w:r w:rsidRPr="001C2800">
        <w:rPr>
          <w:rStyle w:val="FootnoteReference"/>
          <w:rFonts w:ascii="Arial" w:hAnsi="Arial" w:cs="Arial"/>
          <w:sz w:val="16"/>
          <w:szCs w:val="16"/>
        </w:rPr>
        <w:footnoteRef/>
      </w:r>
      <w:r w:rsidRPr="001C2800">
        <w:rPr>
          <w:rFonts w:ascii="Arial" w:hAnsi="Arial" w:cs="Arial"/>
          <w:color w:val="000000"/>
          <w:sz w:val="16"/>
          <w:szCs w:val="16"/>
        </w:rPr>
        <w:t xml:space="preserve"> </w:t>
      </w:r>
      <w:r w:rsidRPr="001C2800">
        <w:rPr>
          <w:rFonts w:ascii="Arial" w:hAnsi="Arial" w:cs="Arial"/>
          <w:sz w:val="16"/>
          <w:szCs w:val="16"/>
        </w:rPr>
        <w:t xml:space="preserve">Consultable sur </w:t>
      </w:r>
      <w:hyperlink r:id="rId3">
        <w:r w:rsidRPr="001C2800">
          <w:rPr>
            <w:rFonts w:ascii="Arial" w:hAnsi="Arial" w:cs="Arial"/>
            <w:color w:val="0563C1"/>
            <w:sz w:val="16"/>
            <w:szCs w:val="16"/>
            <w:u w:val="single"/>
          </w:rPr>
          <w:t>www.iucnredlist.org</w:t>
        </w:r>
      </w:hyperlink>
      <w:r w:rsidRPr="001C2800">
        <w:rPr>
          <w:rFonts w:ascii="Arial" w:hAnsi="Arial" w:cs="Arial"/>
          <w:sz w:val="16"/>
          <w:szCs w:val="16"/>
        </w:rPr>
        <w:t xml:space="preserve">. </w:t>
      </w:r>
    </w:p>
  </w:footnote>
  <w:footnote w:id="8">
    <w:p w14:paraId="0529F8B1"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rPr>
        <w:t xml:space="preserve"> La catégorie « Éteinte à l’état sauvage » (EW) s’est vu attribuer le même score que celle de « Danger critique » (CR) en tablant sur l’hypothèse que les réintroductions de taxons éteints à l’état sauvage devaient afficher de faibles tailles de populations et que ces taxons pourraient demeurer vulnérables aux menaces dues au commerce.</w:t>
      </w:r>
    </w:p>
  </w:footnote>
  <w:footnote w:id="9">
    <w:p w14:paraId="363651DA"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lang w:val="en-GB"/>
        </w:rPr>
        <w:t xml:space="preserve"> Nathan P. Myhrvold, Elita Baldridge, Benjamin Chan, Dhileep Sivam, Daniel L. Freeman et S. K. Morgan Ernest. </w:t>
      </w:r>
      <w:r w:rsidRPr="001C2800">
        <w:rPr>
          <w:rFonts w:ascii="Arial" w:hAnsi="Arial" w:cs="Arial"/>
          <w:sz w:val="16"/>
          <w:szCs w:val="16"/>
        </w:rPr>
        <w:t>2015. « An amniote life-history database to perform comparative analyses with birds, mammals, and reptiles » (Une base de données sur le cycle vital des amniotes pour mener des analyses comparatives entre les oiseaux, les mammifères et les reptiles). Ecology 96:3109</w:t>
      </w:r>
    </w:p>
  </w:footnote>
  <w:footnote w:id="10">
    <w:p w14:paraId="5CEEF0D6"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rPr>
        <w:t xml:space="preserve"> Consultable sur </w:t>
      </w:r>
      <w:hyperlink r:id="rId4" w:history="1">
        <w:r w:rsidRPr="001C2800">
          <w:rPr>
            <w:rStyle w:val="Hyperlink"/>
            <w:rFonts w:ascii="Arial" w:hAnsi="Arial" w:cs="Arial"/>
            <w:sz w:val="16"/>
            <w:szCs w:val="16"/>
          </w:rPr>
          <w:t>https://genomics.senescence.info/</w:t>
        </w:r>
      </w:hyperlink>
      <w:r w:rsidRPr="001C2800">
        <w:rPr>
          <w:rFonts w:ascii="Arial" w:hAnsi="Arial" w:cs="Arial"/>
          <w:sz w:val="16"/>
          <w:szCs w:val="16"/>
        </w:rPr>
        <w:t xml:space="preserve"> </w:t>
      </w:r>
    </w:p>
  </w:footnote>
  <w:footnote w:id="11">
    <w:p w14:paraId="559A1702"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rPr>
        <w:t xml:space="preserve"> Consultable sur </w:t>
      </w:r>
      <w:hyperlink r:id="rId5" w:history="1">
        <w:r w:rsidRPr="001C2800">
          <w:rPr>
            <w:rStyle w:val="Hyperlink"/>
            <w:rFonts w:ascii="Arial" w:hAnsi="Arial" w:cs="Arial"/>
            <w:sz w:val="16"/>
            <w:szCs w:val="16"/>
          </w:rPr>
          <w:t>https://www.fishbase.se/</w:t>
        </w:r>
      </w:hyperlink>
      <w:r w:rsidRPr="001C2800">
        <w:rPr>
          <w:rFonts w:ascii="Arial" w:hAnsi="Arial" w:cs="Arial"/>
          <w:sz w:val="16"/>
          <w:szCs w:val="16"/>
        </w:rPr>
        <w:t xml:space="preserve"> </w:t>
      </w:r>
    </w:p>
  </w:footnote>
  <w:footnote w:id="12">
    <w:p w14:paraId="13719CB1" w14:textId="77777777" w:rsidR="00F52586" w:rsidRPr="00343B22" w:rsidRDefault="00F52586" w:rsidP="00CF7917">
      <w:pPr>
        <w:pStyle w:val="FootnoteText"/>
        <w:rPr>
          <w:lang w:val="en-GB"/>
        </w:rPr>
      </w:pPr>
      <w:r>
        <w:rPr>
          <w:rStyle w:val="FootnoteReference"/>
          <w:rFonts w:ascii="Roboto" w:hAnsi="Roboto"/>
          <w:sz w:val="18"/>
          <w:szCs w:val="18"/>
        </w:rPr>
        <w:footnoteRef/>
      </w:r>
      <w:r>
        <w:rPr>
          <w:rFonts w:ascii="Roboto" w:hAnsi="Roboto"/>
          <w:sz w:val="18"/>
        </w:rPr>
        <w:t xml:space="preserve"> Ducatez, S., Tingley, R. and Shine, R. (2016) « Using species co-occurrence patterns to quantify relative habitat breadth in terrestrial vertebrates » (Utilisation des modèles de cooccurrence pour quantifier l’étendue relative de l’habitat des vertébrés terrestres). </w:t>
      </w:r>
      <w:r w:rsidRPr="00343B22">
        <w:rPr>
          <w:rFonts w:ascii="Roboto" w:hAnsi="Roboto"/>
          <w:sz w:val="18"/>
          <w:lang w:val="en-GB"/>
        </w:rPr>
        <w:t xml:space="preserve">Ecosphere, 5(12) : 1-12. </w:t>
      </w:r>
      <w:hyperlink r:id="rId6" w:history="1">
        <w:r w:rsidRPr="00343B22">
          <w:rPr>
            <w:rStyle w:val="Hyperlink"/>
            <w:rFonts w:ascii="Roboto" w:hAnsi="Roboto"/>
            <w:sz w:val="18"/>
            <w:lang w:val="en-GB"/>
          </w:rPr>
          <w:t>https://figshare.com/collections/Using_species_co-occurrence_patterns_to_quantify_relative_habitat_breadth_in_terrestrial_vertebrates/3308385</w:t>
        </w:r>
      </w:hyperlink>
      <w:r w:rsidRPr="00343B22">
        <w:rPr>
          <w:rFonts w:ascii="Roboto" w:hAnsi="Roboto"/>
          <w:sz w:val="18"/>
          <w:lang w:val="en-GB"/>
        </w:rPr>
        <w:t xml:space="preserve"> </w:t>
      </w:r>
    </w:p>
  </w:footnote>
  <w:footnote w:id="13">
    <w:p w14:paraId="565C1124" w14:textId="77777777" w:rsidR="00F52586" w:rsidRPr="00154A49" w:rsidRDefault="00F52586" w:rsidP="00CF7917">
      <w:pPr>
        <w:pStyle w:val="FootnoteText"/>
        <w:rPr>
          <w:rFonts w:ascii="Arial" w:hAnsi="Arial" w:cs="Arial"/>
          <w:sz w:val="16"/>
          <w:szCs w:val="16"/>
        </w:rPr>
      </w:pPr>
      <w:r w:rsidRPr="00154A49">
        <w:rPr>
          <w:rStyle w:val="FootnoteReference"/>
          <w:rFonts w:ascii="Arial" w:hAnsi="Arial" w:cs="Arial"/>
          <w:sz w:val="16"/>
          <w:szCs w:val="16"/>
        </w:rPr>
        <w:footnoteRef/>
      </w:r>
      <w:r w:rsidRPr="00154A49">
        <w:rPr>
          <w:rFonts w:ascii="Arial" w:hAnsi="Arial" w:cs="Arial"/>
          <w:sz w:val="16"/>
          <w:szCs w:val="16"/>
        </w:rPr>
        <w:t xml:space="preserve"> Consultables sur </w:t>
      </w:r>
      <w:hyperlink r:id="rId7" w:history="1">
        <w:r w:rsidRPr="00154A49">
          <w:rPr>
            <w:rStyle w:val="Hyperlink"/>
            <w:rFonts w:ascii="Arial" w:hAnsi="Arial" w:cs="Arial"/>
            <w:sz w:val="16"/>
            <w:szCs w:val="16"/>
          </w:rPr>
          <w:t>https://www.iucnredlist.org/fr/resources/threat-classification-scheme</w:t>
        </w:r>
      </w:hyperlink>
      <w:r w:rsidRPr="00154A49">
        <w:rPr>
          <w:rFonts w:ascii="Arial" w:hAnsi="Arial" w:cs="Arial"/>
          <w:sz w:val="16"/>
          <w:szCs w:val="16"/>
        </w:rPr>
        <w:t xml:space="preserve">. </w:t>
      </w:r>
    </w:p>
  </w:footnote>
  <w:footnote w:id="14">
    <w:p w14:paraId="250A74D6" w14:textId="77777777" w:rsidR="00F52586" w:rsidRPr="00154A49" w:rsidRDefault="00F52586" w:rsidP="00CF7917">
      <w:pPr>
        <w:pBdr>
          <w:top w:val="nil"/>
          <w:left w:val="nil"/>
          <w:bottom w:val="nil"/>
          <w:right w:val="nil"/>
          <w:between w:val="nil"/>
        </w:pBdr>
        <w:spacing w:after="0" w:line="240" w:lineRule="auto"/>
        <w:rPr>
          <w:rFonts w:ascii="Arial" w:hAnsi="Arial" w:cs="Arial"/>
          <w:color w:val="000000"/>
          <w:sz w:val="16"/>
          <w:szCs w:val="16"/>
        </w:rPr>
      </w:pPr>
      <w:r w:rsidRPr="00154A49">
        <w:rPr>
          <w:rStyle w:val="FootnoteReference"/>
          <w:rFonts w:ascii="Arial" w:hAnsi="Arial" w:cs="Arial"/>
          <w:sz w:val="16"/>
          <w:szCs w:val="16"/>
        </w:rPr>
        <w:footnoteRef/>
      </w:r>
      <w:r w:rsidRPr="00154A49">
        <w:rPr>
          <w:rFonts w:ascii="Arial" w:hAnsi="Arial" w:cs="Arial"/>
          <w:color w:val="000000"/>
          <w:sz w:val="16"/>
          <w:szCs w:val="16"/>
        </w:rPr>
        <w:t xml:space="preserve"> Consultable sur </w:t>
      </w:r>
      <w:hyperlink r:id="rId8" w:history="1">
        <w:r w:rsidRPr="00154A49">
          <w:rPr>
            <w:rStyle w:val="Hyperlink"/>
            <w:rFonts w:ascii="Arial" w:hAnsi="Arial" w:cs="Arial"/>
            <w:sz w:val="16"/>
            <w:szCs w:val="16"/>
          </w:rPr>
          <w:t>https://trade.cites.org/</w:t>
        </w:r>
      </w:hyperlink>
      <w:r w:rsidRPr="00154A49">
        <w:rPr>
          <w:rFonts w:ascii="Arial" w:hAnsi="Arial" w:cs="Arial"/>
          <w:color w:val="000000"/>
          <w:sz w:val="16"/>
          <w:szCs w:val="16"/>
        </w:rPr>
        <w:t>.</w:t>
      </w:r>
    </w:p>
  </w:footnote>
  <w:footnote w:id="15">
    <w:p w14:paraId="1D30F8A8" w14:textId="77777777" w:rsidR="00F52586" w:rsidRPr="00154A49" w:rsidRDefault="00F52586" w:rsidP="00CF7917">
      <w:pPr>
        <w:pStyle w:val="FootnoteText"/>
        <w:rPr>
          <w:rFonts w:ascii="Arial" w:hAnsi="Arial" w:cs="Arial"/>
          <w:sz w:val="16"/>
          <w:szCs w:val="16"/>
        </w:rPr>
      </w:pPr>
      <w:r w:rsidRPr="00154A49">
        <w:rPr>
          <w:rStyle w:val="FootnoteReference"/>
          <w:rFonts w:ascii="Arial" w:hAnsi="Arial" w:cs="Arial"/>
          <w:sz w:val="16"/>
          <w:szCs w:val="16"/>
        </w:rPr>
        <w:footnoteRef/>
      </w:r>
      <w:r w:rsidRPr="00154A49">
        <w:rPr>
          <w:rFonts w:ascii="Arial" w:hAnsi="Arial" w:cs="Arial"/>
          <w:sz w:val="16"/>
          <w:szCs w:val="16"/>
        </w:rPr>
        <w:t xml:space="preserve"> Commerce direct fondé sur les exportations brutes (quantités les plus importantes communiquées par l’exportateur et l’importateur) pour les éléments suivants : </w:t>
      </w:r>
    </w:p>
    <w:p w14:paraId="7AC0005F" w14:textId="77777777" w:rsidR="00F52586" w:rsidRPr="00154A49" w:rsidRDefault="00F52586" w:rsidP="00CF7917">
      <w:pPr>
        <w:pStyle w:val="FootnoteText"/>
        <w:rPr>
          <w:rFonts w:ascii="Arial" w:hAnsi="Arial" w:cs="Arial"/>
          <w:sz w:val="16"/>
          <w:szCs w:val="16"/>
        </w:rPr>
      </w:pPr>
      <w:r w:rsidRPr="00154A49">
        <w:rPr>
          <w:rFonts w:ascii="Arial" w:hAnsi="Arial" w:cs="Arial"/>
          <w:b/>
          <w:sz w:val="16"/>
          <w:szCs w:val="16"/>
        </w:rPr>
        <w:t>sources </w:t>
      </w:r>
      <w:r w:rsidRPr="00154A49">
        <w:rPr>
          <w:rFonts w:ascii="Arial" w:hAnsi="Arial" w:cs="Arial"/>
          <w:sz w:val="16"/>
          <w:szCs w:val="16"/>
        </w:rPr>
        <w:t xml:space="preserve">: « R », « U », « W » et « pas de rapport » ; </w:t>
      </w:r>
      <w:r w:rsidRPr="00154A49">
        <w:rPr>
          <w:rFonts w:ascii="Arial" w:hAnsi="Arial" w:cs="Arial"/>
          <w:b/>
          <w:bCs/>
          <w:sz w:val="16"/>
          <w:szCs w:val="16"/>
        </w:rPr>
        <w:t>termes commerciaux </w:t>
      </w:r>
      <w:r w:rsidRPr="00154A49">
        <w:rPr>
          <w:rFonts w:ascii="Arial" w:hAnsi="Arial" w:cs="Arial"/>
          <w:sz w:val="16"/>
          <w:szCs w:val="16"/>
        </w:rPr>
        <w:t xml:space="preserve">: fanons, corps, os, sculptures-os, morceaux-os, carapaces, sculptures, œufs, œufs (vivants), ailerons, bile et vésicules biliaires, sculptures-corne, morceaux-corne, cornes, morceaux-ivoire, sculptures-ivoire, spécimens vivants, viande, nappes de fourrure, écailles, coquilles, morceaux de peau, peaux, squelettes, crânes, dents, trophées, défenses ; </w:t>
      </w:r>
      <w:r w:rsidRPr="00154A49">
        <w:rPr>
          <w:rFonts w:ascii="Arial" w:hAnsi="Arial" w:cs="Arial"/>
          <w:b/>
          <w:bCs/>
          <w:sz w:val="16"/>
          <w:szCs w:val="16"/>
        </w:rPr>
        <w:t>unités de mesure</w:t>
      </w:r>
      <w:r w:rsidRPr="00154A49">
        <w:rPr>
          <w:rFonts w:ascii="Arial" w:hAnsi="Arial" w:cs="Arial"/>
          <w:sz w:val="16"/>
          <w:szCs w:val="16"/>
        </w:rPr>
        <w:t xml:space="preserve">: nombre et poids (kg) uniquement ; </w:t>
      </w:r>
      <w:r w:rsidRPr="00154A49">
        <w:rPr>
          <w:rFonts w:ascii="Arial" w:hAnsi="Arial" w:cs="Arial"/>
          <w:b/>
          <w:bCs/>
          <w:sz w:val="16"/>
          <w:szCs w:val="16"/>
        </w:rPr>
        <w:t>buts</w:t>
      </w:r>
      <w:r w:rsidRPr="00154A49">
        <w:rPr>
          <w:rFonts w:ascii="Arial" w:hAnsi="Arial" w:cs="Arial"/>
          <w:sz w:val="16"/>
          <w:szCs w:val="16"/>
        </w:rPr>
        <w:t xml:space="preserve"> : tous sauf scientifiques (« S ») </w:t>
      </w:r>
    </w:p>
  </w:footnote>
  <w:footnote w:id="16">
    <w:p w14:paraId="32DB3752" w14:textId="77777777" w:rsidR="00F52586" w:rsidRPr="00154A49" w:rsidRDefault="00F52586" w:rsidP="00CF7917">
      <w:pPr>
        <w:pBdr>
          <w:top w:val="nil"/>
          <w:left w:val="nil"/>
          <w:bottom w:val="nil"/>
          <w:right w:val="nil"/>
          <w:between w:val="nil"/>
        </w:pBdr>
        <w:spacing w:after="0" w:line="240" w:lineRule="auto"/>
        <w:rPr>
          <w:rFonts w:ascii="Arial" w:hAnsi="Arial" w:cs="Arial"/>
          <w:color w:val="000000"/>
          <w:sz w:val="16"/>
          <w:szCs w:val="16"/>
        </w:rPr>
      </w:pPr>
      <w:r w:rsidRPr="00154A49">
        <w:rPr>
          <w:rStyle w:val="FootnoteReference"/>
          <w:rFonts w:ascii="Arial" w:hAnsi="Arial" w:cs="Arial"/>
          <w:sz w:val="16"/>
          <w:szCs w:val="16"/>
        </w:rPr>
        <w:footnoteRef/>
      </w:r>
      <w:r w:rsidRPr="00154A49">
        <w:rPr>
          <w:rFonts w:ascii="Arial" w:hAnsi="Arial" w:cs="Arial"/>
          <w:color w:val="000000"/>
          <w:sz w:val="16"/>
          <w:szCs w:val="16"/>
        </w:rPr>
        <w:t xml:space="preserve"> Dans les cas où seules certaines populations sont inscrites à l’Annexe I de la CMS, ce sont uniquement les données concernant ces populations qui seront incluses. </w:t>
      </w:r>
    </w:p>
  </w:footnote>
  <w:footnote w:id="17">
    <w:p w14:paraId="1EE6138B"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lang w:val="en-GB"/>
        </w:rPr>
        <w:t xml:space="preserve"> TRAFFIC International (2021). Wildlife Trade Portal. </w:t>
      </w:r>
      <w:r w:rsidRPr="001C2800">
        <w:rPr>
          <w:rFonts w:ascii="Arial" w:hAnsi="Arial" w:cs="Arial"/>
          <w:sz w:val="16"/>
          <w:szCs w:val="16"/>
        </w:rPr>
        <w:t xml:space="preserve">Consultable sur </w:t>
      </w:r>
      <w:hyperlink r:id="rId9" w:history="1">
        <w:r w:rsidRPr="001C2800">
          <w:rPr>
            <w:rStyle w:val="Hyperlink"/>
            <w:rFonts w:ascii="Arial" w:hAnsi="Arial" w:cs="Arial"/>
            <w:sz w:val="16"/>
            <w:szCs w:val="16"/>
          </w:rPr>
          <w:t>www.wildlifetradeportal.org</w:t>
        </w:r>
      </w:hyperlink>
      <w:r w:rsidRPr="001C2800">
        <w:rPr>
          <w:rFonts w:ascii="Arial" w:hAnsi="Arial" w:cs="Arial"/>
          <w:sz w:val="16"/>
          <w:szCs w:val="16"/>
        </w:rPr>
        <w:t>. Seule la cartographie taxinomique directe entre noms reconnus a été incluse.</w:t>
      </w:r>
    </w:p>
  </w:footnote>
  <w:footnote w:id="18">
    <w:p w14:paraId="7B886B4C"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rPr>
        <w:t xml:space="preserve"> P. ex. Brochet </w:t>
      </w:r>
      <w:r w:rsidRPr="001C2800">
        <w:rPr>
          <w:rFonts w:ascii="Arial" w:hAnsi="Arial" w:cs="Arial"/>
          <w:i/>
          <w:sz w:val="16"/>
          <w:szCs w:val="16"/>
        </w:rPr>
        <w:t>et al</w:t>
      </w:r>
      <w:r w:rsidRPr="001C2800">
        <w:rPr>
          <w:rFonts w:ascii="Arial" w:hAnsi="Arial" w:cs="Arial"/>
          <w:sz w:val="16"/>
          <w:szCs w:val="16"/>
        </w:rPr>
        <w:t>. 2016. « Preliminary assessment of the scope and scale of illegal killing and taking of birds in the Mediterranean » (Évaluation préliminaire du champ et de l’échelle de l’abattage et du prélèvement illégaux des oiseaux en Méditerranée). Bird Conservation International. 26 (1).</w:t>
      </w:r>
    </w:p>
  </w:footnote>
  <w:footnote w:id="19">
    <w:p w14:paraId="3B893E77" w14:textId="77777777" w:rsidR="00F52586" w:rsidRPr="001C2800" w:rsidRDefault="00F52586" w:rsidP="00CF7917">
      <w:pPr>
        <w:pBdr>
          <w:top w:val="nil"/>
          <w:left w:val="nil"/>
          <w:bottom w:val="nil"/>
          <w:right w:val="nil"/>
          <w:between w:val="nil"/>
        </w:pBdr>
        <w:spacing w:after="0" w:line="240" w:lineRule="auto"/>
        <w:rPr>
          <w:rFonts w:ascii="Arial" w:hAnsi="Arial" w:cs="Arial"/>
          <w:color w:val="000000"/>
          <w:sz w:val="16"/>
          <w:szCs w:val="16"/>
        </w:rPr>
      </w:pPr>
      <w:r w:rsidRPr="001C2800">
        <w:rPr>
          <w:rStyle w:val="FootnoteReference"/>
          <w:rFonts w:ascii="Arial" w:hAnsi="Arial" w:cs="Arial"/>
          <w:sz w:val="16"/>
          <w:szCs w:val="16"/>
        </w:rPr>
        <w:footnoteRef/>
      </w:r>
      <w:r w:rsidRPr="001C2800">
        <w:rPr>
          <w:rFonts w:ascii="Arial" w:hAnsi="Arial" w:cs="Arial"/>
          <w:sz w:val="16"/>
          <w:szCs w:val="16"/>
        </w:rPr>
        <w:t xml:space="preserve"> </w:t>
      </w:r>
      <w:r w:rsidRPr="001C2800">
        <w:rPr>
          <w:rFonts w:ascii="Arial" w:hAnsi="Arial" w:cs="Arial"/>
          <w:color w:val="000000"/>
          <w:sz w:val="16"/>
          <w:szCs w:val="16"/>
        </w:rPr>
        <w:t>Les saisies notifiées à un niveau taxinomique supérieur ont été exclues.</w:t>
      </w:r>
    </w:p>
  </w:footnote>
  <w:footnote w:id="20">
    <w:p w14:paraId="1B2E3ED0"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rPr>
        <w:t xml:space="preserve"> Compte tenu de la périodicité des rapports, les données de LEMIS n’étaient disponibles que pour les années 2015-2019.</w:t>
      </w:r>
    </w:p>
  </w:footnote>
  <w:footnote w:id="21">
    <w:p w14:paraId="582C7466" w14:textId="77777777" w:rsidR="00F52586" w:rsidRPr="001C2800" w:rsidRDefault="00F52586" w:rsidP="00CF7917">
      <w:pPr>
        <w:pStyle w:val="FootnoteText"/>
        <w:rPr>
          <w:rFonts w:ascii="Arial" w:hAnsi="Arial" w:cs="Arial"/>
          <w:sz w:val="16"/>
          <w:szCs w:val="16"/>
        </w:rPr>
      </w:pPr>
      <w:r w:rsidRPr="001C2800">
        <w:rPr>
          <w:rStyle w:val="FootnoteReference"/>
          <w:rFonts w:ascii="Arial" w:hAnsi="Arial" w:cs="Arial"/>
          <w:sz w:val="16"/>
          <w:szCs w:val="16"/>
        </w:rPr>
        <w:footnoteRef/>
      </w:r>
      <w:r w:rsidRPr="001C2800">
        <w:rPr>
          <w:rFonts w:ascii="Arial" w:hAnsi="Arial" w:cs="Arial"/>
          <w:sz w:val="16"/>
          <w:szCs w:val="16"/>
        </w:rPr>
        <w:t xml:space="preserve"> </w:t>
      </w:r>
      <w:hyperlink r:id="rId10" w:history="1">
        <w:r w:rsidRPr="001C2800">
          <w:rPr>
            <w:rStyle w:val="Hyperlink"/>
            <w:rFonts w:ascii="Arial" w:hAnsi="Arial" w:cs="Arial"/>
            <w:sz w:val="16"/>
            <w:szCs w:val="16"/>
          </w:rPr>
          <w:t>https://nc.iucnredlist.org/redlist/content/attachment_files/Dec_2012_Guidance_on_Threat_Impact_Scoring_Revised.pdf</w:t>
        </w:r>
      </w:hyperlink>
      <w:r w:rsidRPr="001C2800">
        <w:rPr>
          <w:rFonts w:ascii="Arial" w:hAnsi="Arial" w:cs="Arial"/>
          <w:sz w:val="16"/>
          <w:szCs w:val="16"/>
        </w:rPr>
        <w:t xml:space="preserve"> </w:t>
      </w:r>
    </w:p>
  </w:footnote>
  <w:footnote w:id="22">
    <w:p w14:paraId="3C7A47CB" w14:textId="77777777" w:rsidR="00F52586" w:rsidRPr="00B11CB3" w:rsidRDefault="00F52586" w:rsidP="00CF7917">
      <w:pPr>
        <w:pStyle w:val="FootnoteText"/>
        <w:rPr>
          <w:rFonts w:ascii="Arial" w:hAnsi="Arial" w:cs="Arial"/>
          <w:sz w:val="16"/>
          <w:szCs w:val="16"/>
        </w:rPr>
      </w:pPr>
      <w:r w:rsidRPr="00B11CB3">
        <w:rPr>
          <w:rStyle w:val="FootnoteReference"/>
          <w:rFonts w:ascii="Arial" w:hAnsi="Arial" w:cs="Arial"/>
          <w:sz w:val="16"/>
          <w:szCs w:val="16"/>
        </w:rPr>
        <w:footnoteRef/>
      </w:r>
      <w:r w:rsidRPr="00B11CB3">
        <w:rPr>
          <w:rFonts w:ascii="Arial" w:hAnsi="Arial" w:cs="Arial"/>
          <w:sz w:val="16"/>
          <w:szCs w:val="16"/>
        </w:rPr>
        <w:t xml:space="preserve"> Consultable sur </w:t>
      </w:r>
      <w:hyperlink r:id="rId11" w:history="1">
        <w:r w:rsidRPr="00B11CB3">
          <w:rPr>
            <w:rStyle w:val="Hyperlink"/>
            <w:rFonts w:ascii="Arial" w:hAnsi="Arial" w:cs="Arial"/>
            <w:sz w:val="16"/>
            <w:szCs w:val="16"/>
          </w:rPr>
          <w:t>www.cites.org</w:t>
        </w:r>
      </w:hyperlink>
      <w:r w:rsidRPr="00B11CB3">
        <w:rPr>
          <w:rFonts w:ascii="Arial" w:hAnsi="Arial" w:cs="Arial"/>
          <w:sz w:val="16"/>
          <w:szCs w:val="16"/>
        </w:rPr>
        <w:t>.</w:t>
      </w:r>
    </w:p>
  </w:footnote>
  <w:footnote w:id="23">
    <w:p w14:paraId="3A210F50" w14:textId="77777777" w:rsidR="00F52586" w:rsidRPr="00B11CB3" w:rsidRDefault="00F52586" w:rsidP="00CF7917">
      <w:pPr>
        <w:pStyle w:val="FootnoteText"/>
        <w:rPr>
          <w:rFonts w:ascii="Arial" w:hAnsi="Arial" w:cs="Arial"/>
          <w:sz w:val="16"/>
          <w:szCs w:val="16"/>
        </w:rPr>
      </w:pPr>
      <w:r w:rsidRPr="00B11CB3">
        <w:rPr>
          <w:rStyle w:val="FootnoteReference"/>
          <w:rFonts w:ascii="Arial" w:hAnsi="Arial" w:cs="Arial"/>
          <w:sz w:val="16"/>
          <w:szCs w:val="16"/>
        </w:rPr>
        <w:footnoteRef/>
      </w:r>
      <w:r w:rsidRPr="00B11CB3">
        <w:rPr>
          <w:rFonts w:ascii="Arial" w:hAnsi="Arial" w:cs="Arial"/>
          <w:sz w:val="16"/>
          <w:szCs w:val="16"/>
        </w:rPr>
        <w:t xml:space="preserve"> Consultables sur </w:t>
      </w:r>
      <w:hyperlink r:id="rId12" w:history="1">
        <w:r w:rsidRPr="00B11CB3">
          <w:rPr>
            <w:rStyle w:val="Hyperlink"/>
            <w:rFonts w:ascii="Arial" w:hAnsi="Arial" w:cs="Arial"/>
            <w:sz w:val="16"/>
            <w:szCs w:val="16"/>
          </w:rPr>
          <w:t>https://www.cms.int/fr/documents/national-reports</w:t>
        </w:r>
      </w:hyperlink>
      <w:r w:rsidRPr="00B11CB3">
        <w:rPr>
          <w:rFonts w:ascii="Arial" w:hAnsi="Arial" w:cs="Arial"/>
          <w:sz w:val="16"/>
          <w:szCs w:val="16"/>
        </w:rPr>
        <w:t>. Seuls 61 % des Parties actuelles à la CMS ont présenté des rapports nationaux au cours du dernier cycle.</w:t>
      </w:r>
    </w:p>
  </w:footnote>
  <w:footnote w:id="24">
    <w:p w14:paraId="3BB7329B" w14:textId="1F4925F9" w:rsidR="00F52586" w:rsidRPr="000C6648" w:rsidRDefault="00F52586" w:rsidP="004221C7">
      <w:pPr>
        <w:pStyle w:val="FootnoteText"/>
        <w:rPr>
          <w:rFonts w:ascii="Arial" w:hAnsi="Arial" w:cs="Arial"/>
          <w:sz w:val="16"/>
          <w:szCs w:val="16"/>
        </w:rPr>
      </w:pPr>
      <w:r w:rsidRPr="000C6648">
        <w:rPr>
          <w:rStyle w:val="FootnoteReference"/>
          <w:rFonts w:ascii="Arial" w:hAnsi="Arial" w:cs="Arial"/>
          <w:sz w:val="16"/>
          <w:szCs w:val="16"/>
        </w:rPr>
        <w:footnoteRef/>
      </w:r>
      <w:r w:rsidRPr="000C6648">
        <w:rPr>
          <w:rFonts w:ascii="Arial" w:hAnsi="Arial" w:cs="Arial"/>
          <w:sz w:val="16"/>
          <w:szCs w:val="16"/>
        </w:rPr>
        <w:t xml:space="preserve"> Les sources de données utilisées dans la catégorie 5 (comportement migratoire) peuvent différer de la CMS dans leur définition du terme "migrateur" et ne doivent pas être utilisées pour tirer des conclusions sur le respect de la définition spécifique du terme "migrateur" de la CMS. Les données manquantes (c'est-à-dire pour les taxons qui ne sont pas notés) ne sont pas une preuve qu'une espèce n'est pas migratrice.</w:t>
      </w:r>
    </w:p>
  </w:footnote>
  <w:footnote w:id="25">
    <w:p w14:paraId="21553E5D" w14:textId="77777777" w:rsidR="00F52586" w:rsidRPr="000C6648" w:rsidRDefault="00F52586" w:rsidP="00CF7917">
      <w:pPr>
        <w:pStyle w:val="FootnoteText"/>
        <w:rPr>
          <w:rFonts w:ascii="Arial" w:hAnsi="Arial" w:cs="Arial"/>
          <w:sz w:val="16"/>
          <w:szCs w:val="16"/>
        </w:rPr>
      </w:pPr>
      <w:r w:rsidRPr="000C6648">
        <w:rPr>
          <w:rStyle w:val="FootnoteReference"/>
          <w:rFonts w:ascii="Arial" w:hAnsi="Arial" w:cs="Arial"/>
          <w:sz w:val="16"/>
          <w:szCs w:val="16"/>
        </w:rPr>
        <w:footnoteRef/>
      </w:r>
      <w:r w:rsidRPr="000C6648">
        <w:rPr>
          <w:rFonts w:ascii="Arial" w:hAnsi="Arial" w:cs="Arial"/>
          <w:sz w:val="16"/>
          <w:szCs w:val="16"/>
        </w:rPr>
        <w:t xml:space="preserve"> Les espèces appartenant à des familles et des genres désagrégés d’oiseaux inscrits à l’Annexe II de la CMS. </w:t>
      </w:r>
      <w:hyperlink r:id="rId13" w:history="1">
        <w:r w:rsidRPr="000C6648">
          <w:rPr>
            <w:rStyle w:val="Hyperlink"/>
            <w:rFonts w:ascii="Arial" w:hAnsi="Arial" w:cs="Arial"/>
            <w:sz w:val="16"/>
            <w:szCs w:val="16"/>
          </w:rPr>
          <w:t>https://www.cms.int/fr/node/19343</w:t>
        </w:r>
      </w:hyperlink>
      <w:r w:rsidRPr="000C6648">
        <w:rPr>
          <w:rFonts w:ascii="Arial" w:hAnsi="Arial" w:cs="Arial"/>
          <w:sz w:val="16"/>
          <w:szCs w:val="16"/>
        </w:rPr>
        <w:t xml:space="preserve"> </w:t>
      </w:r>
    </w:p>
  </w:footnote>
  <w:footnote w:id="26">
    <w:p w14:paraId="754D36D6" w14:textId="262CEA51" w:rsidR="00F52586" w:rsidRPr="00C571D4" w:rsidRDefault="00F52586">
      <w:pPr>
        <w:pStyle w:val="FootnoteText"/>
        <w:rPr>
          <w:rFonts w:ascii="Arial" w:hAnsi="Arial" w:cs="Arial"/>
          <w:sz w:val="16"/>
          <w:szCs w:val="16"/>
        </w:rPr>
      </w:pPr>
      <w:r w:rsidRPr="00C571D4">
        <w:rPr>
          <w:rStyle w:val="FootnoteReference"/>
          <w:rFonts w:ascii="Arial" w:hAnsi="Arial" w:cs="Arial"/>
          <w:sz w:val="16"/>
          <w:szCs w:val="16"/>
        </w:rPr>
        <w:footnoteRef/>
      </w:r>
      <w:r w:rsidRPr="00C571D4">
        <w:rPr>
          <w:rFonts w:ascii="Arial" w:hAnsi="Arial" w:cs="Arial"/>
          <w:sz w:val="16"/>
          <w:szCs w:val="16"/>
        </w:rPr>
        <w:t xml:space="preserve"> Espèces appartenant aux familles et genres d'oiseaux désagrégés figurant à l'Annexe II de la CMS</w:t>
      </w:r>
      <w:hyperlink r:id="rId14" w:history="1">
        <w:r w:rsidRPr="00C571D4">
          <w:rPr>
            <w:rStyle w:val="Hyperlink"/>
            <w:rFonts w:ascii="Arial" w:hAnsi="Arial" w:cs="Arial"/>
            <w:sz w:val="16"/>
            <w:szCs w:val="16"/>
          </w:rPr>
          <w:t>https://www.cms.int/en/document/species-belonging-disaggregated-bird-families-and-genera-listed-under-appendix-ii-cms-0</w:t>
        </w:r>
      </w:hyperlink>
      <w:r w:rsidRPr="00C571D4">
        <w:rPr>
          <w:rFonts w:ascii="Arial" w:hAnsi="Arial" w:cs="Arial"/>
          <w:sz w:val="16"/>
          <w:szCs w:val="16"/>
        </w:rPr>
        <w:t xml:space="preserve">  0</w:t>
      </w:r>
    </w:p>
  </w:footnote>
  <w:footnote w:id="27">
    <w:p w14:paraId="6BE09AB8" w14:textId="77777777" w:rsidR="00F52586" w:rsidRPr="00C571D4" w:rsidRDefault="00F52586" w:rsidP="00DA59C3">
      <w:pPr>
        <w:pStyle w:val="FootnoteText"/>
        <w:rPr>
          <w:rFonts w:ascii="Arial" w:hAnsi="Arial" w:cs="Arial"/>
          <w:sz w:val="16"/>
          <w:szCs w:val="16"/>
          <w:lang w:val="en-GB"/>
        </w:rPr>
      </w:pPr>
      <w:r w:rsidRPr="00C571D4">
        <w:rPr>
          <w:rStyle w:val="FootnoteReference"/>
          <w:rFonts w:ascii="Arial" w:hAnsi="Arial" w:cs="Arial"/>
          <w:sz w:val="16"/>
          <w:szCs w:val="16"/>
        </w:rPr>
        <w:footnoteRef/>
      </w:r>
      <w:r w:rsidRPr="00C571D4">
        <w:rPr>
          <w:rFonts w:ascii="Arial" w:hAnsi="Arial" w:cs="Arial"/>
          <w:sz w:val="16"/>
          <w:szCs w:val="16"/>
          <w:lang w:val="en-GB"/>
        </w:rPr>
        <w:t xml:space="preserve"> Eyres, A., Böhning-Gaese, K. and Fritz, S. A. (2017) Quantification of climatic niches in birds: adding the temporal dimension. </w:t>
      </w:r>
      <w:r w:rsidRPr="00C571D4">
        <w:rPr>
          <w:rFonts w:ascii="Arial" w:hAnsi="Arial" w:cs="Arial"/>
          <w:i/>
          <w:sz w:val="16"/>
          <w:szCs w:val="16"/>
          <w:lang w:val="en-GB"/>
        </w:rPr>
        <w:t>Journal of Avian Biology</w:t>
      </w:r>
      <w:r w:rsidRPr="00C571D4">
        <w:rPr>
          <w:rFonts w:ascii="Arial" w:hAnsi="Arial" w:cs="Arial"/>
          <w:sz w:val="16"/>
          <w:szCs w:val="16"/>
          <w:lang w:val="en-GB"/>
        </w:rPr>
        <w:t xml:space="preserve"> 48(12), 1517-1531. </w:t>
      </w:r>
      <w:hyperlink r:id="rId15" w:history="1">
        <w:r w:rsidRPr="00C571D4">
          <w:rPr>
            <w:rStyle w:val="Hyperlink"/>
            <w:rFonts w:ascii="Arial" w:hAnsi="Arial" w:cs="Arial"/>
            <w:sz w:val="16"/>
            <w:szCs w:val="16"/>
            <w:lang w:val="en-GB"/>
          </w:rPr>
          <w:t>https://doi.org/10.1111/jav.01308</w:t>
        </w:r>
      </w:hyperlink>
      <w:r w:rsidRPr="00C571D4">
        <w:rPr>
          <w:rFonts w:ascii="Arial" w:hAnsi="Arial" w:cs="Arial"/>
          <w:sz w:val="16"/>
          <w:szCs w:val="16"/>
          <w:lang w:val="en-GB"/>
        </w:rPr>
        <w:t xml:space="preserve">. Data accessible via </w:t>
      </w:r>
      <w:hyperlink r:id="rId16" w:history="1">
        <w:r w:rsidRPr="00C571D4">
          <w:rPr>
            <w:rStyle w:val="Hyperlink"/>
            <w:rFonts w:ascii="Arial" w:hAnsi="Arial" w:cs="Arial"/>
            <w:sz w:val="16"/>
            <w:szCs w:val="16"/>
            <w:lang w:val="en-GB"/>
          </w:rPr>
          <w:t>https://dataportal.senckenberg.de/dataset/migratory-behaviour-in-birds-a-classification-across-all-living-species</w:t>
        </w:r>
      </w:hyperlink>
      <w:r w:rsidRPr="00C571D4">
        <w:rPr>
          <w:rStyle w:val="Hyperlink"/>
          <w:rFonts w:ascii="Arial" w:hAnsi="Arial" w:cs="Arial"/>
          <w:sz w:val="16"/>
          <w:szCs w:val="16"/>
          <w:lang w:val="en-GB"/>
        </w:rPr>
        <w:t>.</w:t>
      </w:r>
      <w:r w:rsidRPr="00C571D4">
        <w:rPr>
          <w:rFonts w:ascii="Arial" w:hAnsi="Arial"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9734" w14:textId="346F13CD" w:rsidR="00F52586" w:rsidRDefault="00F52586" w:rsidP="00F52586">
    <w:pPr>
      <w:pStyle w:val="Header"/>
      <w:pBdr>
        <w:bottom w:val="single" w:sz="4" w:space="1" w:color="auto"/>
      </w:pBdr>
    </w:pPr>
    <w:r w:rsidRPr="00F52586">
      <w:rPr>
        <w:rFonts w:ascii="Arial" w:hAnsi="Arial" w:cs="Arial"/>
        <w:i/>
        <w:iCs/>
        <w:sz w:val="18"/>
        <w:szCs w:val="18"/>
        <w:lang w:val="en-GB"/>
      </w:rPr>
      <w:t>UNEP/CMS/ScC-SC5/Doc.5/Rev.1/Annexe</w:t>
    </w:r>
    <w:r>
      <w:pict w14:anchorId="5E464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5" o:spid="_x0000_s1026" type="#_x0000_t136" style="position:absolute;margin-left:0;margin-top:0;width:374.6pt;height:224.75pt;rotation:315;z-index:-25165619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Pr>
        <w:rFonts w:ascii="Arial" w:hAnsi="Arial" w:cs="Arial"/>
        <w:i/>
        <w:iCs/>
        <w:sz w:val="18"/>
        <w:szCs w:val="18"/>
        <w:lang w:val="en-GB"/>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8DB0" w14:textId="49147AC9" w:rsidR="00F52586" w:rsidRPr="00F52586" w:rsidRDefault="00F52586" w:rsidP="00F52586">
    <w:pPr>
      <w:pStyle w:val="Header"/>
      <w:pBdr>
        <w:bottom w:val="single" w:sz="4" w:space="1" w:color="auto"/>
      </w:pBdr>
      <w:jc w:val="right"/>
      <w:rPr>
        <w:rFonts w:ascii="Arial" w:hAnsi="Arial" w:cs="Arial"/>
        <w:i/>
        <w:iCs/>
        <w:sz w:val="18"/>
        <w:szCs w:val="18"/>
        <w:lang w:val="en-GB"/>
      </w:rPr>
    </w:pPr>
    <w:r w:rsidRPr="00F52586">
      <w:rPr>
        <w:rFonts w:ascii="Arial" w:hAnsi="Arial" w:cs="Arial"/>
        <w:i/>
        <w:iCs/>
        <w:sz w:val="18"/>
        <w:szCs w:val="18"/>
      </w:rPr>
      <w:pict w14:anchorId="49586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6" o:spid="_x0000_s1027" type="#_x0000_t136" style="position:absolute;left:0;text-align:left;margin-left:0;margin-top:0;width:374.6pt;height:224.7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Pr="00F52586">
      <w:rPr>
        <w:rFonts w:ascii="Arial" w:hAnsi="Arial" w:cs="Arial"/>
        <w:i/>
        <w:iCs/>
        <w:sz w:val="18"/>
        <w:szCs w:val="18"/>
        <w:lang w:val="en-GB"/>
      </w:rPr>
      <w:t>UNEP/CMS/ScC-SC5/Doc.5/Rev.1/Annexe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4D14" w14:textId="07C74814" w:rsidR="00F52586" w:rsidRPr="00F52586" w:rsidRDefault="00F52586" w:rsidP="00F52586">
    <w:pPr>
      <w:pStyle w:val="Header"/>
      <w:pBdr>
        <w:bottom w:val="single" w:sz="4" w:space="1" w:color="auto"/>
      </w:pBdr>
      <w:jc w:val="right"/>
      <w:rPr>
        <w:rFonts w:ascii="Arial" w:hAnsi="Arial" w:cs="Arial"/>
        <w:i/>
        <w:iCs/>
        <w:sz w:val="18"/>
        <w:szCs w:val="18"/>
        <w:lang w:val="en-GB"/>
      </w:rPr>
    </w:pPr>
    <w:r w:rsidRPr="00F52586">
      <w:rPr>
        <w:rFonts w:ascii="Arial" w:hAnsi="Arial" w:cs="Arial"/>
        <w:i/>
        <w:iCs/>
        <w:sz w:val="18"/>
        <w:szCs w:val="18"/>
      </w:rPr>
      <w:pict w14:anchorId="6010E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4" o:spid="_x0000_s1025" type="#_x0000_t136" style="position:absolute;left:0;text-align:left;margin-left:0;margin-top:0;width:374.6pt;height:224.7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Pr="00F52586">
      <w:rPr>
        <w:rFonts w:ascii="Arial" w:hAnsi="Arial" w:cs="Arial"/>
        <w:i/>
        <w:iCs/>
        <w:sz w:val="18"/>
        <w:szCs w:val="18"/>
        <w:lang w:val="en-GB"/>
      </w:rPr>
      <w:t>UNEP/CMS/ScC-SC5/Doc.5/Rev.1/Annexe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4E48" w14:textId="77777777" w:rsidR="00F52586" w:rsidRPr="00F52586" w:rsidRDefault="00F52586" w:rsidP="00F52586">
    <w:pPr>
      <w:pStyle w:val="Header"/>
      <w:pBdr>
        <w:bottom w:val="single" w:sz="4" w:space="1" w:color="auto"/>
      </w:pBdr>
      <w:rPr>
        <w:rFonts w:ascii="Arial" w:hAnsi="Arial" w:cs="Arial"/>
        <w:i/>
        <w:iCs/>
        <w:sz w:val="18"/>
        <w:szCs w:val="18"/>
        <w:lang w:val="en-GB"/>
      </w:rPr>
    </w:pPr>
    <w:r w:rsidRPr="00F52586">
      <w:rPr>
        <w:rFonts w:ascii="Arial" w:hAnsi="Arial" w:cs="Arial"/>
        <w:i/>
        <w:iCs/>
        <w:sz w:val="18"/>
        <w:szCs w:val="18"/>
      </w:rPr>
      <w:pict w14:anchorId="52EBD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374.6pt;height:224.75pt;rotation:315;z-index:-25164800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Pr="00F52586">
      <w:rPr>
        <w:rFonts w:ascii="Arial" w:hAnsi="Arial" w:cs="Arial"/>
        <w:i/>
        <w:iCs/>
        <w:sz w:val="18"/>
        <w:szCs w:val="18"/>
        <w:lang w:val="en-GB"/>
      </w:rPr>
      <w:t>UNEP/CMS/ScC-SC5/Doc.5/Rev.1/Annexe 3</w:t>
    </w:r>
  </w:p>
  <w:p w14:paraId="13DEC27E" w14:textId="77777777" w:rsidR="00F52586" w:rsidRDefault="00F52586">
    <w:pPr>
      <w:pStyle w:val="Header"/>
    </w:pPr>
    <w:r>
      <w:pict w14:anchorId="03500677">
        <v:shape id="PowerPlusWaterMarkObject1093464338" o:spid="_x0000_s1029" type="#_x0000_t136" style="position:absolute;margin-left:0;margin-top:0;width:374.6pt;height:224.7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1DF3" w14:textId="77777777" w:rsidR="00F52586" w:rsidRPr="00F52586" w:rsidRDefault="00F52586" w:rsidP="00F52586">
    <w:pPr>
      <w:pStyle w:val="Header"/>
      <w:pBdr>
        <w:bottom w:val="single" w:sz="4" w:space="1" w:color="auto"/>
      </w:pBdr>
      <w:jc w:val="right"/>
      <w:rPr>
        <w:rFonts w:ascii="Arial" w:hAnsi="Arial" w:cs="Arial"/>
        <w:i/>
        <w:iCs/>
        <w:sz w:val="18"/>
        <w:szCs w:val="18"/>
        <w:lang w:val="en-GB"/>
      </w:rPr>
    </w:pPr>
    <w:r w:rsidRPr="00F52586">
      <w:rPr>
        <w:rFonts w:ascii="Arial" w:hAnsi="Arial" w:cs="Arial"/>
        <w:i/>
        <w:iCs/>
        <w:sz w:val="18"/>
        <w:szCs w:val="18"/>
      </w:rPr>
      <w:pict w14:anchorId="24F78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374.6pt;height:224.75pt;rotation:315;z-index:-25165004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Pr="00F52586">
      <w:rPr>
        <w:rFonts w:ascii="Arial" w:hAnsi="Arial" w:cs="Arial"/>
        <w:i/>
        <w:iCs/>
        <w:sz w:val="18"/>
        <w:szCs w:val="18"/>
        <w:lang w:val="en-GB"/>
      </w:rPr>
      <w:t>UNEP/CMS/ScC-SC5/Doc.5/Rev.1/Annexe 3</w:t>
    </w:r>
  </w:p>
  <w:p w14:paraId="75F2B7B5" w14:textId="77777777" w:rsidR="00F52586" w:rsidRDefault="00F52586">
    <w:pPr>
      <w:pStyle w:val="Header"/>
    </w:pPr>
    <w:r>
      <w:pict w14:anchorId="3014C445">
        <v:shape id="PowerPlusWaterMarkObject1093464339" o:spid="_x0000_s1030" type="#_x0000_t136" style="position:absolute;margin-left:0;margin-top:0;width:374.6pt;height:224.75pt;rotation:315;z-index:-25165209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40B3" w14:textId="77777777" w:rsidR="00F52586" w:rsidRDefault="00F52586">
    <w:pPr>
      <w:pStyle w:val="Header"/>
    </w:pPr>
    <w:r>
      <w:pict w14:anchorId="27BA5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3464337" o:spid="_x0000_s1028" type="#_x0000_t136" style="position:absolute;margin-left:0;margin-top:0;width:374.6pt;height:224.75pt;rotation:315;z-index:-25165414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0364" w14:textId="77777777" w:rsidR="00154A49" w:rsidRPr="00F52586" w:rsidRDefault="00154A49" w:rsidP="001C2800">
    <w:pPr>
      <w:pStyle w:val="Header"/>
      <w:pBdr>
        <w:bottom w:val="single" w:sz="4" w:space="1" w:color="auto"/>
      </w:pBdr>
      <w:ind w:right="-643"/>
      <w:jc w:val="right"/>
      <w:rPr>
        <w:rFonts w:ascii="Arial" w:hAnsi="Arial" w:cs="Arial"/>
        <w:i/>
        <w:iCs/>
        <w:sz w:val="18"/>
        <w:szCs w:val="18"/>
        <w:lang w:val="en-GB"/>
      </w:rPr>
    </w:pPr>
    <w:r w:rsidRPr="00F52586">
      <w:rPr>
        <w:rFonts w:ascii="Arial" w:hAnsi="Arial" w:cs="Arial"/>
        <w:i/>
        <w:iCs/>
        <w:sz w:val="18"/>
        <w:szCs w:val="18"/>
      </w:rPr>
      <w:pict w14:anchorId="737EC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374.6pt;height:224.75pt;rotation:315;z-index:-2516449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Pr="00F52586">
      <w:rPr>
        <w:rFonts w:ascii="Arial" w:hAnsi="Arial" w:cs="Arial"/>
        <w:i/>
        <w:iCs/>
        <w:sz w:val="18"/>
        <w:szCs w:val="18"/>
        <w:lang w:val="en-GB"/>
      </w:rPr>
      <w:t>UNEP/CMS/ScC-SC5/Doc.5/Rev.1/Annexe 3</w:t>
    </w:r>
  </w:p>
  <w:p w14:paraId="1818EE4B" w14:textId="77777777" w:rsidR="00154A49" w:rsidRDefault="00154A49">
    <w:pPr>
      <w:pStyle w:val="Header"/>
    </w:pPr>
    <w:r>
      <w:pict w14:anchorId="610D30B2">
        <v:shape id="_x0000_s1033" type="#_x0000_t136" style="position:absolute;margin-left:0;margin-top:0;width:374.6pt;height:224.75pt;rotation:315;z-index:-2516459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9CB"/>
    <w:multiLevelType w:val="hybridMultilevel"/>
    <w:tmpl w:val="FFFFFFFF"/>
    <w:lvl w:ilvl="0" w:tplc="FD4AA3CA">
      <w:start w:val="1"/>
      <w:numFmt w:val="bullet"/>
      <w:lvlText w:val="§"/>
      <w:lvlJc w:val="left"/>
      <w:pPr>
        <w:ind w:left="720" w:hanging="360"/>
      </w:pPr>
      <w:rPr>
        <w:rFonts w:ascii="Wingdings" w:hAnsi="Wingdings" w:hint="default"/>
      </w:rPr>
    </w:lvl>
    <w:lvl w:ilvl="1" w:tplc="169CCE0A">
      <w:start w:val="1"/>
      <w:numFmt w:val="bullet"/>
      <w:lvlText w:val="o"/>
      <w:lvlJc w:val="left"/>
      <w:pPr>
        <w:ind w:left="1440" w:hanging="360"/>
      </w:pPr>
      <w:rPr>
        <w:rFonts w:ascii="Courier New" w:hAnsi="Courier New" w:hint="default"/>
      </w:rPr>
    </w:lvl>
    <w:lvl w:ilvl="2" w:tplc="0F94FB66">
      <w:start w:val="1"/>
      <w:numFmt w:val="bullet"/>
      <w:lvlText w:val=""/>
      <w:lvlJc w:val="left"/>
      <w:pPr>
        <w:ind w:left="2160" w:hanging="360"/>
      </w:pPr>
      <w:rPr>
        <w:rFonts w:ascii="Wingdings" w:hAnsi="Wingdings" w:hint="default"/>
      </w:rPr>
    </w:lvl>
    <w:lvl w:ilvl="3" w:tplc="191A5CE2">
      <w:start w:val="1"/>
      <w:numFmt w:val="bullet"/>
      <w:lvlText w:val=""/>
      <w:lvlJc w:val="left"/>
      <w:pPr>
        <w:ind w:left="2880" w:hanging="360"/>
      </w:pPr>
      <w:rPr>
        <w:rFonts w:ascii="Symbol" w:hAnsi="Symbol" w:hint="default"/>
      </w:rPr>
    </w:lvl>
    <w:lvl w:ilvl="4" w:tplc="B71E84B2">
      <w:start w:val="1"/>
      <w:numFmt w:val="bullet"/>
      <w:lvlText w:val="o"/>
      <w:lvlJc w:val="left"/>
      <w:pPr>
        <w:ind w:left="3600" w:hanging="360"/>
      </w:pPr>
      <w:rPr>
        <w:rFonts w:ascii="Courier New" w:hAnsi="Courier New" w:hint="default"/>
      </w:rPr>
    </w:lvl>
    <w:lvl w:ilvl="5" w:tplc="28327702">
      <w:start w:val="1"/>
      <w:numFmt w:val="bullet"/>
      <w:lvlText w:val=""/>
      <w:lvlJc w:val="left"/>
      <w:pPr>
        <w:ind w:left="4320" w:hanging="360"/>
      </w:pPr>
      <w:rPr>
        <w:rFonts w:ascii="Wingdings" w:hAnsi="Wingdings" w:hint="default"/>
      </w:rPr>
    </w:lvl>
    <w:lvl w:ilvl="6" w:tplc="26B68358">
      <w:start w:val="1"/>
      <w:numFmt w:val="bullet"/>
      <w:lvlText w:val=""/>
      <w:lvlJc w:val="left"/>
      <w:pPr>
        <w:ind w:left="5040" w:hanging="360"/>
      </w:pPr>
      <w:rPr>
        <w:rFonts w:ascii="Symbol" w:hAnsi="Symbol" w:hint="default"/>
      </w:rPr>
    </w:lvl>
    <w:lvl w:ilvl="7" w:tplc="33F82C3E">
      <w:start w:val="1"/>
      <w:numFmt w:val="bullet"/>
      <w:lvlText w:val="o"/>
      <w:lvlJc w:val="left"/>
      <w:pPr>
        <w:ind w:left="5760" w:hanging="360"/>
      </w:pPr>
      <w:rPr>
        <w:rFonts w:ascii="Courier New" w:hAnsi="Courier New" w:hint="default"/>
      </w:rPr>
    </w:lvl>
    <w:lvl w:ilvl="8" w:tplc="D23251FA">
      <w:start w:val="1"/>
      <w:numFmt w:val="bullet"/>
      <w:lvlText w:val=""/>
      <w:lvlJc w:val="left"/>
      <w:pPr>
        <w:ind w:left="6480" w:hanging="360"/>
      </w:pPr>
      <w:rPr>
        <w:rFonts w:ascii="Wingdings" w:hAnsi="Wingdings" w:hint="default"/>
      </w:rPr>
    </w:lvl>
  </w:abstractNum>
  <w:abstractNum w:abstractNumId="1" w15:restartNumberingAfterBreak="0">
    <w:nsid w:val="03B30721"/>
    <w:multiLevelType w:val="hybridMultilevel"/>
    <w:tmpl w:val="FFFFFFFF"/>
    <w:lvl w:ilvl="0" w:tplc="6764FB18">
      <w:start w:val="1"/>
      <w:numFmt w:val="bullet"/>
      <w:lvlText w:val="§"/>
      <w:lvlJc w:val="left"/>
      <w:pPr>
        <w:ind w:left="720" w:hanging="360"/>
      </w:pPr>
      <w:rPr>
        <w:rFonts w:ascii="Wingdings" w:hAnsi="Wingdings" w:hint="default"/>
      </w:rPr>
    </w:lvl>
    <w:lvl w:ilvl="1" w:tplc="50FAE5E8">
      <w:start w:val="1"/>
      <w:numFmt w:val="bullet"/>
      <w:lvlText w:val="o"/>
      <w:lvlJc w:val="left"/>
      <w:pPr>
        <w:ind w:left="1440" w:hanging="360"/>
      </w:pPr>
      <w:rPr>
        <w:rFonts w:ascii="Courier New" w:hAnsi="Courier New" w:hint="default"/>
      </w:rPr>
    </w:lvl>
    <w:lvl w:ilvl="2" w:tplc="A3F43D58">
      <w:start w:val="1"/>
      <w:numFmt w:val="bullet"/>
      <w:lvlText w:val=""/>
      <w:lvlJc w:val="left"/>
      <w:pPr>
        <w:ind w:left="2160" w:hanging="360"/>
      </w:pPr>
      <w:rPr>
        <w:rFonts w:ascii="Wingdings" w:hAnsi="Wingdings" w:hint="default"/>
      </w:rPr>
    </w:lvl>
    <w:lvl w:ilvl="3" w:tplc="DD76A2B0">
      <w:start w:val="1"/>
      <w:numFmt w:val="bullet"/>
      <w:lvlText w:val=""/>
      <w:lvlJc w:val="left"/>
      <w:pPr>
        <w:ind w:left="2880" w:hanging="360"/>
      </w:pPr>
      <w:rPr>
        <w:rFonts w:ascii="Symbol" w:hAnsi="Symbol" w:hint="default"/>
      </w:rPr>
    </w:lvl>
    <w:lvl w:ilvl="4" w:tplc="BAD88B16">
      <w:start w:val="1"/>
      <w:numFmt w:val="bullet"/>
      <w:lvlText w:val="o"/>
      <w:lvlJc w:val="left"/>
      <w:pPr>
        <w:ind w:left="3600" w:hanging="360"/>
      </w:pPr>
      <w:rPr>
        <w:rFonts w:ascii="Courier New" w:hAnsi="Courier New" w:hint="default"/>
      </w:rPr>
    </w:lvl>
    <w:lvl w:ilvl="5" w:tplc="5CE2BB0E">
      <w:start w:val="1"/>
      <w:numFmt w:val="bullet"/>
      <w:lvlText w:val=""/>
      <w:lvlJc w:val="left"/>
      <w:pPr>
        <w:ind w:left="4320" w:hanging="360"/>
      </w:pPr>
      <w:rPr>
        <w:rFonts w:ascii="Wingdings" w:hAnsi="Wingdings" w:hint="default"/>
      </w:rPr>
    </w:lvl>
    <w:lvl w:ilvl="6" w:tplc="B69E7CB2">
      <w:start w:val="1"/>
      <w:numFmt w:val="bullet"/>
      <w:lvlText w:val=""/>
      <w:lvlJc w:val="left"/>
      <w:pPr>
        <w:ind w:left="5040" w:hanging="360"/>
      </w:pPr>
      <w:rPr>
        <w:rFonts w:ascii="Symbol" w:hAnsi="Symbol" w:hint="default"/>
      </w:rPr>
    </w:lvl>
    <w:lvl w:ilvl="7" w:tplc="5826FE5C">
      <w:start w:val="1"/>
      <w:numFmt w:val="bullet"/>
      <w:lvlText w:val="o"/>
      <w:lvlJc w:val="left"/>
      <w:pPr>
        <w:ind w:left="5760" w:hanging="360"/>
      </w:pPr>
      <w:rPr>
        <w:rFonts w:ascii="Courier New" w:hAnsi="Courier New" w:hint="default"/>
      </w:rPr>
    </w:lvl>
    <w:lvl w:ilvl="8" w:tplc="B6D22D02">
      <w:start w:val="1"/>
      <w:numFmt w:val="bullet"/>
      <w:lvlText w:val=""/>
      <w:lvlJc w:val="left"/>
      <w:pPr>
        <w:ind w:left="6480" w:hanging="360"/>
      </w:pPr>
      <w:rPr>
        <w:rFonts w:ascii="Wingdings" w:hAnsi="Wingdings" w:hint="default"/>
      </w:rPr>
    </w:lvl>
  </w:abstractNum>
  <w:abstractNum w:abstractNumId="2" w15:restartNumberingAfterBreak="0">
    <w:nsid w:val="06B62C86"/>
    <w:multiLevelType w:val="hybridMultilevel"/>
    <w:tmpl w:val="F42E50F6"/>
    <w:lvl w:ilvl="0" w:tplc="F8F44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042EA"/>
    <w:multiLevelType w:val="hybridMultilevel"/>
    <w:tmpl w:val="FFFFFFFF"/>
    <w:lvl w:ilvl="0" w:tplc="B0E61A00">
      <w:start w:val="1"/>
      <w:numFmt w:val="bullet"/>
      <w:lvlText w:val="§"/>
      <w:lvlJc w:val="left"/>
      <w:pPr>
        <w:ind w:left="720" w:hanging="360"/>
      </w:pPr>
      <w:rPr>
        <w:rFonts w:ascii="Wingdings" w:hAnsi="Wingdings" w:hint="default"/>
      </w:rPr>
    </w:lvl>
    <w:lvl w:ilvl="1" w:tplc="D6364F8A">
      <w:start w:val="1"/>
      <w:numFmt w:val="bullet"/>
      <w:lvlText w:val="o"/>
      <w:lvlJc w:val="left"/>
      <w:pPr>
        <w:ind w:left="1440" w:hanging="360"/>
      </w:pPr>
      <w:rPr>
        <w:rFonts w:ascii="Courier New" w:hAnsi="Courier New" w:hint="default"/>
      </w:rPr>
    </w:lvl>
    <w:lvl w:ilvl="2" w:tplc="EE84D694">
      <w:start w:val="1"/>
      <w:numFmt w:val="bullet"/>
      <w:lvlText w:val=""/>
      <w:lvlJc w:val="left"/>
      <w:pPr>
        <w:ind w:left="2160" w:hanging="360"/>
      </w:pPr>
      <w:rPr>
        <w:rFonts w:ascii="Wingdings" w:hAnsi="Wingdings" w:hint="default"/>
      </w:rPr>
    </w:lvl>
    <w:lvl w:ilvl="3" w:tplc="7478BD82">
      <w:start w:val="1"/>
      <w:numFmt w:val="bullet"/>
      <w:lvlText w:val=""/>
      <w:lvlJc w:val="left"/>
      <w:pPr>
        <w:ind w:left="2880" w:hanging="360"/>
      </w:pPr>
      <w:rPr>
        <w:rFonts w:ascii="Symbol" w:hAnsi="Symbol" w:hint="default"/>
      </w:rPr>
    </w:lvl>
    <w:lvl w:ilvl="4" w:tplc="C04EE346">
      <w:start w:val="1"/>
      <w:numFmt w:val="bullet"/>
      <w:lvlText w:val="o"/>
      <w:lvlJc w:val="left"/>
      <w:pPr>
        <w:ind w:left="3600" w:hanging="360"/>
      </w:pPr>
      <w:rPr>
        <w:rFonts w:ascii="Courier New" w:hAnsi="Courier New" w:hint="default"/>
      </w:rPr>
    </w:lvl>
    <w:lvl w:ilvl="5" w:tplc="739808E2">
      <w:start w:val="1"/>
      <w:numFmt w:val="bullet"/>
      <w:lvlText w:val=""/>
      <w:lvlJc w:val="left"/>
      <w:pPr>
        <w:ind w:left="4320" w:hanging="360"/>
      </w:pPr>
      <w:rPr>
        <w:rFonts w:ascii="Wingdings" w:hAnsi="Wingdings" w:hint="default"/>
      </w:rPr>
    </w:lvl>
    <w:lvl w:ilvl="6" w:tplc="1DC0ACFE">
      <w:start w:val="1"/>
      <w:numFmt w:val="bullet"/>
      <w:lvlText w:val=""/>
      <w:lvlJc w:val="left"/>
      <w:pPr>
        <w:ind w:left="5040" w:hanging="360"/>
      </w:pPr>
      <w:rPr>
        <w:rFonts w:ascii="Symbol" w:hAnsi="Symbol" w:hint="default"/>
      </w:rPr>
    </w:lvl>
    <w:lvl w:ilvl="7" w:tplc="0842322A">
      <w:start w:val="1"/>
      <w:numFmt w:val="bullet"/>
      <w:lvlText w:val="o"/>
      <w:lvlJc w:val="left"/>
      <w:pPr>
        <w:ind w:left="5760" w:hanging="360"/>
      </w:pPr>
      <w:rPr>
        <w:rFonts w:ascii="Courier New" w:hAnsi="Courier New" w:hint="default"/>
      </w:rPr>
    </w:lvl>
    <w:lvl w:ilvl="8" w:tplc="EEB64656">
      <w:start w:val="1"/>
      <w:numFmt w:val="bullet"/>
      <w:lvlText w:val=""/>
      <w:lvlJc w:val="left"/>
      <w:pPr>
        <w:ind w:left="6480" w:hanging="360"/>
      </w:pPr>
      <w:rPr>
        <w:rFonts w:ascii="Wingdings" w:hAnsi="Wingdings" w:hint="default"/>
      </w:rPr>
    </w:lvl>
  </w:abstractNum>
  <w:abstractNum w:abstractNumId="4" w15:restartNumberingAfterBreak="0">
    <w:nsid w:val="081416D4"/>
    <w:multiLevelType w:val="hybridMultilevel"/>
    <w:tmpl w:val="FFFFFFFF"/>
    <w:lvl w:ilvl="0" w:tplc="FEC8CDE8">
      <w:start w:val="1"/>
      <w:numFmt w:val="bullet"/>
      <w:lvlText w:val="-"/>
      <w:lvlJc w:val="left"/>
      <w:pPr>
        <w:ind w:left="720" w:hanging="360"/>
      </w:pPr>
      <w:rPr>
        <w:rFonts w:ascii="Calibri" w:hAnsi="Calibri" w:hint="default"/>
      </w:rPr>
    </w:lvl>
    <w:lvl w:ilvl="1" w:tplc="C158F830">
      <w:start w:val="1"/>
      <w:numFmt w:val="bullet"/>
      <w:lvlText w:val="o"/>
      <w:lvlJc w:val="left"/>
      <w:pPr>
        <w:ind w:left="1440" w:hanging="360"/>
      </w:pPr>
      <w:rPr>
        <w:rFonts w:ascii="Courier New" w:hAnsi="Courier New" w:hint="default"/>
      </w:rPr>
    </w:lvl>
    <w:lvl w:ilvl="2" w:tplc="07662016">
      <w:start w:val="1"/>
      <w:numFmt w:val="bullet"/>
      <w:lvlText w:val=""/>
      <w:lvlJc w:val="left"/>
      <w:pPr>
        <w:ind w:left="2160" w:hanging="360"/>
      </w:pPr>
      <w:rPr>
        <w:rFonts w:ascii="Wingdings" w:hAnsi="Wingdings" w:hint="default"/>
      </w:rPr>
    </w:lvl>
    <w:lvl w:ilvl="3" w:tplc="39F85E9A">
      <w:start w:val="1"/>
      <w:numFmt w:val="bullet"/>
      <w:lvlText w:val=""/>
      <w:lvlJc w:val="left"/>
      <w:pPr>
        <w:ind w:left="2880" w:hanging="360"/>
      </w:pPr>
      <w:rPr>
        <w:rFonts w:ascii="Symbol" w:hAnsi="Symbol" w:hint="default"/>
      </w:rPr>
    </w:lvl>
    <w:lvl w:ilvl="4" w:tplc="A558C736">
      <w:start w:val="1"/>
      <w:numFmt w:val="bullet"/>
      <w:lvlText w:val="o"/>
      <w:lvlJc w:val="left"/>
      <w:pPr>
        <w:ind w:left="3600" w:hanging="360"/>
      </w:pPr>
      <w:rPr>
        <w:rFonts w:ascii="Courier New" w:hAnsi="Courier New" w:hint="default"/>
      </w:rPr>
    </w:lvl>
    <w:lvl w:ilvl="5" w:tplc="09E27662">
      <w:start w:val="1"/>
      <w:numFmt w:val="bullet"/>
      <w:lvlText w:val=""/>
      <w:lvlJc w:val="left"/>
      <w:pPr>
        <w:ind w:left="4320" w:hanging="360"/>
      </w:pPr>
      <w:rPr>
        <w:rFonts w:ascii="Wingdings" w:hAnsi="Wingdings" w:hint="default"/>
      </w:rPr>
    </w:lvl>
    <w:lvl w:ilvl="6" w:tplc="0040FFD8">
      <w:start w:val="1"/>
      <w:numFmt w:val="bullet"/>
      <w:lvlText w:val=""/>
      <w:lvlJc w:val="left"/>
      <w:pPr>
        <w:ind w:left="5040" w:hanging="360"/>
      </w:pPr>
      <w:rPr>
        <w:rFonts w:ascii="Symbol" w:hAnsi="Symbol" w:hint="default"/>
      </w:rPr>
    </w:lvl>
    <w:lvl w:ilvl="7" w:tplc="B53EAF2C">
      <w:start w:val="1"/>
      <w:numFmt w:val="bullet"/>
      <w:lvlText w:val="o"/>
      <w:lvlJc w:val="left"/>
      <w:pPr>
        <w:ind w:left="5760" w:hanging="360"/>
      </w:pPr>
      <w:rPr>
        <w:rFonts w:ascii="Courier New" w:hAnsi="Courier New" w:hint="default"/>
      </w:rPr>
    </w:lvl>
    <w:lvl w:ilvl="8" w:tplc="BE9AA4A6">
      <w:start w:val="1"/>
      <w:numFmt w:val="bullet"/>
      <w:lvlText w:val=""/>
      <w:lvlJc w:val="left"/>
      <w:pPr>
        <w:ind w:left="6480" w:hanging="360"/>
      </w:pPr>
      <w:rPr>
        <w:rFonts w:ascii="Wingdings" w:hAnsi="Wingdings" w:hint="default"/>
      </w:rPr>
    </w:lvl>
  </w:abstractNum>
  <w:abstractNum w:abstractNumId="5" w15:restartNumberingAfterBreak="0">
    <w:nsid w:val="0B61421F"/>
    <w:multiLevelType w:val="hybridMultilevel"/>
    <w:tmpl w:val="E548B1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A5C54"/>
    <w:multiLevelType w:val="hybridMultilevel"/>
    <w:tmpl w:val="FFFFFFFF"/>
    <w:lvl w:ilvl="0" w:tplc="B2981002">
      <w:start w:val="1"/>
      <w:numFmt w:val="bullet"/>
      <w:lvlText w:val="-"/>
      <w:lvlJc w:val="left"/>
      <w:pPr>
        <w:ind w:left="720" w:hanging="360"/>
      </w:pPr>
      <w:rPr>
        <w:rFonts w:ascii="Calibri" w:hAnsi="Calibri" w:hint="default"/>
      </w:rPr>
    </w:lvl>
    <w:lvl w:ilvl="1" w:tplc="61489958">
      <w:start w:val="1"/>
      <w:numFmt w:val="bullet"/>
      <w:lvlText w:val="o"/>
      <w:lvlJc w:val="left"/>
      <w:pPr>
        <w:ind w:left="1440" w:hanging="360"/>
      </w:pPr>
      <w:rPr>
        <w:rFonts w:ascii="Courier New" w:hAnsi="Courier New" w:hint="default"/>
      </w:rPr>
    </w:lvl>
    <w:lvl w:ilvl="2" w:tplc="60B6AA6E">
      <w:start w:val="1"/>
      <w:numFmt w:val="bullet"/>
      <w:lvlText w:val=""/>
      <w:lvlJc w:val="left"/>
      <w:pPr>
        <w:ind w:left="2160" w:hanging="360"/>
      </w:pPr>
      <w:rPr>
        <w:rFonts w:ascii="Wingdings" w:hAnsi="Wingdings" w:hint="default"/>
      </w:rPr>
    </w:lvl>
    <w:lvl w:ilvl="3" w:tplc="D6341C46">
      <w:start w:val="1"/>
      <w:numFmt w:val="bullet"/>
      <w:lvlText w:val=""/>
      <w:lvlJc w:val="left"/>
      <w:pPr>
        <w:ind w:left="2880" w:hanging="360"/>
      </w:pPr>
      <w:rPr>
        <w:rFonts w:ascii="Symbol" w:hAnsi="Symbol" w:hint="default"/>
      </w:rPr>
    </w:lvl>
    <w:lvl w:ilvl="4" w:tplc="275A3336">
      <w:start w:val="1"/>
      <w:numFmt w:val="bullet"/>
      <w:lvlText w:val="o"/>
      <w:lvlJc w:val="left"/>
      <w:pPr>
        <w:ind w:left="3600" w:hanging="360"/>
      </w:pPr>
      <w:rPr>
        <w:rFonts w:ascii="Courier New" w:hAnsi="Courier New" w:hint="default"/>
      </w:rPr>
    </w:lvl>
    <w:lvl w:ilvl="5" w:tplc="0402395C">
      <w:start w:val="1"/>
      <w:numFmt w:val="bullet"/>
      <w:lvlText w:val=""/>
      <w:lvlJc w:val="left"/>
      <w:pPr>
        <w:ind w:left="4320" w:hanging="360"/>
      </w:pPr>
      <w:rPr>
        <w:rFonts w:ascii="Wingdings" w:hAnsi="Wingdings" w:hint="default"/>
      </w:rPr>
    </w:lvl>
    <w:lvl w:ilvl="6" w:tplc="D478B792">
      <w:start w:val="1"/>
      <w:numFmt w:val="bullet"/>
      <w:lvlText w:val=""/>
      <w:lvlJc w:val="left"/>
      <w:pPr>
        <w:ind w:left="5040" w:hanging="360"/>
      </w:pPr>
      <w:rPr>
        <w:rFonts w:ascii="Symbol" w:hAnsi="Symbol" w:hint="default"/>
      </w:rPr>
    </w:lvl>
    <w:lvl w:ilvl="7" w:tplc="13807278">
      <w:start w:val="1"/>
      <w:numFmt w:val="bullet"/>
      <w:lvlText w:val="o"/>
      <w:lvlJc w:val="left"/>
      <w:pPr>
        <w:ind w:left="5760" w:hanging="360"/>
      </w:pPr>
      <w:rPr>
        <w:rFonts w:ascii="Courier New" w:hAnsi="Courier New" w:hint="default"/>
      </w:rPr>
    </w:lvl>
    <w:lvl w:ilvl="8" w:tplc="EEC6C4C0">
      <w:start w:val="1"/>
      <w:numFmt w:val="bullet"/>
      <w:lvlText w:val=""/>
      <w:lvlJc w:val="left"/>
      <w:pPr>
        <w:ind w:left="6480" w:hanging="360"/>
      </w:pPr>
      <w:rPr>
        <w:rFonts w:ascii="Wingdings" w:hAnsi="Wingdings" w:hint="default"/>
      </w:rPr>
    </w:lvl>
  </w:abstractNum>
  <w:abstractNum w:abstractNumId="7" w15:restartNumberingAfterBreak="0">
    <w:nsid w:val="18133947"/>
    <w:multiLevelType w:val="hybridMultilevel"/>
    <w:tmpl w:val="FFFFFFFF"/>
    <w:lvl w:ilvl="0" w:tplc="4BAEC156">
      <w:start w:val="1"/>
      <w:numFmt w:val="bullet"/>
      <w:lvlText w:val="-"/>
      <w:lvlJc w:val="left"/>
      <w:pPr>
        <w:ind w:left="720" w:hanging="360"/>
      </w:pPr>
      <w:rPr>
        <w:rFonts w:ascii="Calibri" w:hAnsi="Calibri" w:hint="default"/>
      </w:rPr>
    </w:lvl>
    <w:lvl w:ilvl="1" w:tplc="B810CC82">
      <w:start w:val="1"/>
      <w:numFmt w:val="bullet"/>
      <w:lvlText w:val="o"/>
      <w:lvlJc w:val="left"/>
      <w:pPr>
        <w:ind w:left="1440" w:hanging="360"/>
      </w:pPr>
      <w:rPr>
        <w:rFonts w:ascii="Courier New" w:hAnsi="Courier New" w:hint="default"/>
      </w:rPr>
    </w:lvl>
    <w:lvl w:ilvl="2" w:tplc="327C328C">
      <w:start w:val="1"/>
      <w:numFmt w:val="bullet"/>
      <w:lvlText w:val=""/>
      <w:lvlJc w:val="left"/>
      <w:pPr>
        <w:ind w:left="2160" w:hanging="360"/>
      </w:pPr>
      <w:rPr>
        <w:rFonts w:ascii="Wingdings" w:hAnsi="Wingdings" w:hint="default"/>
      </w:rPr>
    </w:lvl>
    <w:lvl w:ilvl="3" w:tplc="A17A6912">
      <w:start w:val="1"/>
      <w:numFmt w:val="bullet"/>
      <w:lvlText w:val=""/>
      <w:lvlJc w:val="left"/>
      <w:pPr>
        <w:ind w:left="2880" w:hanging="360"/>
      </w:pPr>
      <w:rPr>
        <w:rFonts w:ascii="Symbol" w:hAnsi="Symbol" w:hint="default"/>
      </w:rPr>
    </w:lvl>
    <w:lvl w:ilvl="4" w:tplc="5590CA24">
      <w:start w:val="1"/>
      <w:numFmt w:val="bullet"/>
      <w:lvlText w:val="o"/>
      <w:lvlJc w:val="left"/>
      <w:pPr>
        <w:ind w:left="3600" w:hanging="360"/>
      </w:pPr>
      <w:rPr>
        <w:rFonts w:ascii="Courier New" w:hAnsi="Courier New" w:hint="default"/>
      </w:rPr>
    </w:lvl>
    <w:lvl w:ilvl="5" w:tplc="8604B2E0">
      <w:start w:val="1"/>
      <w:numFmt w:val="bullet"/>
      <w:lvlText w:val=""/>
      <w:lvlJc w:val="left"/>
      <w:pPr>
        <w:ind w:left="4320" w:hanging="360"/>
      </w:pPr>
      <w:rPr>
        <w:rFonts w:ascii="Wingdings" w:hAnsi="Wingdings" w:hint="default"/>
      </w:rPr>
    </w:lvl>
    <w:lvl w:ilvl="6" w:tplc="A9824AD4">
      <w:start w:val="1"/>
      <w:numFmt w:val="bullet"/>
      <w:lvlText w:val=""/>
      <w:lvlJc w:val="left"/>
      <w:pPr>
        <w:ind w:left="5040" w:hanging="360"/>
      </w:pPr>
      <w:rPr>
        <w:rFonts w:ascii="Symbol" w:hAnsi="Symbol" w:hint="default"/>
      </w:rPr>
    </w:lvl>
    <w:lvl w:ilvl="7" w:tplc="010EB512">
      <w:start w:val="1"/>
      <w:numFmt w:val="bullet"/>
      <w:lvlText w:val="o"/>
      <w:lvlJc w:val="left"/>
      <w:pPr>
        <w:ind w:left="5760" w:hanging="360"/>
      </w:pPr>
      <w:rPr>
        <w:rFonts w:ascii="Courier New" w:hAnsi="Courier New" w:hint="default"/>
      </w:rPr>
    </w:lvl>
    <w:lvl w:ilvl="8" w:tplc="199CC97C">
      <w:start w:val="1"/>
      <w:numFmt w:val="bullet"/>
      <w:lvlText w:val=""/>
      <w:lvlJc w:val="left"/>
      <w:pPr>
        <w:ind w:left="6480" w:hanging="360"/>
      </w:pPr>
      <w:rPr>
        <w:rFonts w:ascii="Wingdings" w:hAnsi="Wingdings" w:hint="default"/>
      </w:rPr>
    </w:lvl>
  </w:abstractNum>
  <w:abstractNum w:abstractNumId="8" w15:restartNumberingAfterBreak="0">
    <w:nsid w:val="1ABD7739"/>
    <w:multiLevelType w:val="hybridMultilevel"/>
    <w:tmpl w:val="FFFFFFFF"/>
    <w:lvl w:ilvl="0" w:tplc="41745938">
      <w:start w:val="1"/>
      <w:numFmt w:val="bullet"/>
      <w:lvlText w:val="-"/>
      <w:lvlJc w:val="left"/>
      <w:pPr>
        <w:ind w:left="720" w:hanging="360"/>
      </w:pPr>
      <w:rPr>
        <w:rFonts w:ascii="Calibri" w:hAnsi="Calibri" w:hint="default"/>
      </w:rPr>
    </w:lvl>
    <w:lvl w:ilvl="1" w:tplc="3E7201A2">
      <w:start w:val="1"/>
      <w:numFmt w:val="bullet"/>
      <w:lvlText w:val="o"/>
      <w:lvlJc w:val="left"/>
      <w:pPr>
        <w:ind w:left="1440" w:hanging="360"/>
      </w:pPr>
      <w:rPr>
        <w:rFonts w:ascii="Courier New" w:hAnsi="Courier New" w:hint="default"/>
      </w:rPr>
    </w:lvl>
    <w:lvl w:ilvl="2" w:tplc="1E4A533C">
      <w:start w:val="1"/>
      <w:numFmt w:val="bullet"/>
      <w:lvlText w:val=""/>
      <w:lvlJc w:val="left"/>
      <w:pPr>
        <w:ind w:left="2160" w:hanging="360"/>
      </w:pPr>
      <w:rPr>
        <w:rFonts w:ascii="Wingdings" w:hAnsi="Wingdings" w:hint="default"/>
      </w:rPr>
    </w:lvl>
    <w:lvl w:ilvl="3" w:tplc="A62C936E">
      <w:start w:val="1"/>
      <w:numFmt w:val="bullet"/>
      <w:lvlText w:val=""/>
      <w:lvlJc w:val="left"/>
      <w:pPr>
        <w:ind w:left="2880" w:hanging="360"/>
      </w:pPr>
      <w:rPr>
        <w:rFonts w:ascii="Symbol" w:hAnsi="Symbol" w:hint="default"/>
      </w:rPr>
    </w:lvl>
    <w:lvl w:ilvl="4" w:tplc="84844E68">
      <w:start w:val="1"/>
      <w:numFmt w:val="bullet"/>
      <w:lvlText w:val="o"/>
      <w:lvlJc w:val="left"/>
      <w:pPr>
        <w:ind w:left="3600" w:hanging="360"/>
      </w:pPr>
      <w:rPr>
        <w:rFonts w:ascii="Courier New" w:hAnsi="Courier New" w:hint="default"/>
      </w:rPr>
    </w:lvl>
    <w:lvl w:ilvl="5" w:tplc="3A7E4250">
      <w:start w:val="1"/>
      <w:numFmt w:val="bullet"/>
      <w:lvlText w:val=""/>
      <w:lvlJc w:val="left"/>
      <w:pPr>
        <w:ind w:left="4320" w:hanging="360"/>
      </w:pPr>
      <w:rPr>
        <w:rFonts w:ascii="Wingdings" w:hAnsi="Wingdings" w:hint="default"/>
      </w:rPr>
    </w:lvl>
    <w:lvl w:ilvl="6" w:tplc="7DEE8D44">
      <w:start w:val="1"/>
      <w:numFmt w:val="bullet"/>
      <w:lvlText w:val=""/>
      <w:lvlJc w:val="left"/>
      <w:pPr>
        <w:ind w:left="5040" w:hanging="360"/>
      </w:pPr>
      <w:rPr>
        <w:rFonts w:ascii="Symbol" w:hAnsi="Symbol" w:hint="default"/>
      </w:rPr>
    </w:lvl>
    <w:lvl w:ilvl="7" w:tplc="094E52E0">
      <w:start w:val="1"/>
      <w:numFmt w:val="bullet"/>
      <w:lvlText w:val="o"/>
      <w:lvlJc w:val="left"/>
      <w:pPr>
        <w:ind w:left="5760" w:hanging="360"/>
      </w:pPr>
      <w:rPr>
        <w:rFonts w:ascii="Courier New" w:hAnsi="Courier New" w:hint="default"/>
      </w:rPr>
    </w:lvl>
    <w:lvl w:ilvl="8" w:tplc="F2204136">
      <w:start w:val="1"/>
      <w:numFmt w:val="bullet"/>
      <w:lvlText w:val=""/>
      <w:lvlJc w:val="left"/>
      <w:pPr>
        <w:ind w:left="6480" w:hanging="360"/>
      </w:pPr>
      <w:rPr>
        <w:rFonts w:ascii="Wingdings" w:hAnsi="Wingdings" w:hint="default"/>
      </w:rPr>
    </w:lvl>
  </w:abstractNum>
  <w:abstractNum w:abstractNumId="9" w15:restartNumberingAfterBreak="0">
    <w:nsid w:val="1FF77336"/>
    <w:multiLevelType w:val="hybridMultilevel"/>
    <w:tmpl w:val="FFFFFFFF"/>
    <w:lvl w:ilvl="0" w:tplc="57A4B852">
      <w:start w:val="1"/>
      <w:numFmt w:val="bullet"/>
      <w:lvlText w:val="§"/>
      <w:lvlJc w:val="left"/>
      <w:pPr>
        <w:ind w:left="720" w:hanging="360"/>
      </w:pPr>
      <w:rPr>
        <w:rFonts w:ascii="Wingdings" w:hAnsi="Wingdings" w:hint="default"/>
      </w:rPr>
    </w:lvl>
    <w:lvl w:ilvl="1" w:tplc="9F0E728C">
      <w:start w:val="1"/>
      <w:numFmt w:val="bullet"/>
      <w:lvlText w:val="o"/>
      <w:lvlJc w:val="left"/>
      <w:pPr>
        <w:ind w:left="1440" w:hanging="360"/>
      </w:pPr>
      <w:rPr>
        <w:rFonts w:ascii="Courier New" w:hAnsi="Courier New" w:hint="default"/>
      </w:rPr>
    </w:lvl>
    <w:lvl w:ilvl="2" w:tplc="D2DE325E">
      <w:start w:val="1"/>
      <w:numFmt w:val="bullet"/>
      <w:lvlText w:val=""/>
      <w:lvlJc w:val="left"/>
      <w:pPr>
        <w:ind w:left="2160" w:hanging="360"/>
      </w:pPr>
      <w:rPr>
        <w:rFonts w:ascii="Wingdings" w:hAnsi="Wingdings" w:hint="default"/>
      </w:rPr>
    </w:lvl>
    <w:lvl w:ilvl="3" w:tplc="C6C0657C">
      <w:start w:val="1"/>
      <w:numFmt w:val="bullet"/>
      <w:lvlText w:val=""/>
      <w:lvlJc w:val="left"/>
      <w:pPr>
        <w:ind w:left="2880" w:hanging="360"/>
      </w:pPr>
      <w:rPr>
        <w:rFonts w:ascii="Symbol" w:hAnsi="Symbol" w:hint="default"/>
      </w:rPr>
    </w:lvl>
    <w:lvl w:ilvl="4" w:tplc="CCC4F824">
      <w:start w:val="1"/>
      <w:numFmt w:val="bullet"/>
      <w:lvlText w:val="o"/>
      <w:lvlJc w:val="left"/>
      <w:pPr>
        <w:ind w:left="3600" w:hanging="360"/>
      </w:pPr>
      <w:rPr>
        <w:rFonts w:ascii="Courier New" w:hAnsi="Courier New" w:hint="default"/>
      </w:rPr>
    </w:lvl>
    <w:lvl w:ilvl="5" w:tplc="0776B280">
      <w:start w:val="1"/>
      <w:numFmt w:val="bullet"/>
      <w:lvlText w:val=""/>
      <w:lvlJc w:val="left"/>
      <w:pPr>
        <w:ind w:left="4320" w:hanging="360"/>
      </w:pPr>
      <w:rPr>
        <w:rFonts w:ascii="Wingdings" w:hAnsi="Wingdings" w:hint="default"/>
      </w:rPr>
    </w:lvl>
    <w:lvl w:ilvl="6" w:tplc="7E1EC9DE">
      <w:start w:val="1"/>
      <w:numFmt w:val="bullet"/>
      <w:lvlText w:val=""/>
      <w:lvlJc w:val="left"/>
      <w:pPr>
        <w:ind w:left="5040" w:hanging="360"/>
      </w:pPr>
      <w:rPr>
        <w:rFonts w:ascii="Symbol" w:hAnsi="Symbol" w:hint="default"/>
      </w:rPr>
    </w:lvl>
    <w:lvl w:ilvl="7" w:tplc="D4A2D002">
      <w:start w:val="1"/>
      <w:numFmt w:val="bullet"/>
      <w:lvlText w:val="o"/>
      <w:lvlJc w:val="left"/>
      <w:pPr>
        <w:ind w:left="5760" w:hanging="360"/>
      </w:pPr>
      <w:rPr>
        <w:rFonts w:ascii="Courier New" w:hAnsi="Courier New" w:hint="default"/>
      </w:rPr>
    </w:lvl>
    <w:lvl w:ilvl="8" w:tplc="9AA2CBDE">
      <w:start w:val="1"/>
      <w:numFmt w:val="bullet"/>
      <w:lvlText w:val=""/>
      <w:lvlJc w:val="left"/>
      <w:pPr>
        <w:ind w:left="6480" w:hanging="360"/>
      </w:pPr>
      <w:rPr>
        <w:rFonts w:ascii="Wingdings" w:hAnsi="Wingdings" w:hint="default"/>
      </w:rPr>
    </w:lvl>
  </w:abstractNum>
  <w:abstractNum w:abstractNumId="10" w15:restartNumberingAfterBreak="0">
    <w:nsid w:val="211561B2"/>
    <w:multiLevelType w:val="hybridMultilevel"/>
    <w:tmpl w:val="7F3EE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C5F54"/>
    <w:multiLevelType w:val="hybridMultilevel"/>
    <w:tmpl w:val="726AEB02"/>
    <w:lvl w:ilvl="0" w:tplc="9B7C557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7074D"/>
    <w:multiLevelType w:val="hybridMultilevel"/>
    <w:tmpl w:val="FFFFFFFF"/>
    <w:lvl w:ilvl="0" w:tplc="6ADC03F6">
      <w:start w:val="1"/>
      <w:numFmt w:val="bullet"/>
      <w:lvlText w:val="§"/>
      <w:lvlJc w:val="left"/>
      <w:pPr>
        <w:ind w:left="720" w:hanging="360"/>
      </w:pPr>
      <w:rPr>
        <w:rFonts w:ascii="Wingdings" w:hAnsi="Wingdings" w:hint="default"/>
      </w:rPr>
    </w:lvl>
    <w:lvl w:ilvl="1" w:tplc="3996B674">
      <w:start w:val="1"/>
      <w:numFmt w:val="bullet"/>
      <w:lvlText w:val="o"/>
      <w:lvlJc w:val="left"/>
      <w:pPr>
        <w:ind w:left="1440" w:hanging="360"/>
      </w:pPr>
      <w:rPr>
        <w:rFonts w:ascii="Courier New" w:hAnsi="Courier New" w:hint="default"/>
      </w:rPr>
    </w:lvl>
    <w:lvl w:ilvl="2" w:tplc="026AFDC4">
      <w:start w:val="1"/>
      <w:numFmt w:val="bullet"/>
      <w:lvlText w:val=""/>
      <w:lvlJc w:val="left"/>
      <w:pPr>
        <w:ind w:left="2160" w:hanging="360"/>
      </w:pPr>
      <w:rPr>
        <w:rFonts w:ascii="Wingdings" w:hAnsi="Wingdings" w:hint="default"/>
      </w:rPr>
    </w:lvl>
    <w:lvl w:ilvl="3" w:tplc="F62EC6E8">
      <w:start w:val="1"/>
      <w:numFmt w:val="bullet"/>
      <w:lvlText w:val=""/>
      <w:lvlJc w:val="left"/>
      <w:pPr>
        <w:ind w:left="2880" w:hanging="360"/>
      </w:pPr>
      <w:rPr>
        <w:rFonts w:ascii="Symbol" w:hAnsi="Symbol" w:hint="default"/>
      </w:rPr>
    </w:lvl>
    <w:lvl w:ilvl="4" w:tplc="50403B82">
      <w:start w:val="1"/>
      <w:numFmt w:val="bullet"/>
      <w:lvlText w:val="o"/>
      <w:lvlJc w:val="left"/>
      <w:pPr>
        <w:ind w:left="3600" w:hanging="360"/>
      </w:pPr>
      <w:rPr>
        <w:rFonts w:ascii="Courier New" w:hAnsi="Courier New" w:hint="default"/>
      </w:rPr>
    </w:lvl>
    <w:lvl w:ilvl="5" w:tplc="64601438">
      <w:start w:val="1"/>
      <w:numFmt w:val="bullet"/>
      <w:lvlText w:val=""/>
      <w:lvlJc w:val="left"/>
      <w:pPr>
        <w:ind w:left="4320" w:hanging="360"/>
      </w:pPr>
      <w:rPr>
        <w:rFonts w:ascii="Wingdings" w:hAnsi="Wingdings" w:hint="default"/>
      </w:rPr>
    </w:lvl>
    <w:lvl w:ilvl="6" w:tplc="0978B78E">
      <w:start w:val="1"/>
      <w:numFmt w:val="bullet"/>
      <w:lvlText w:val=""/>
      <w:lvlJc w:val="left"/>
      <w:pPr>
        <w:ind w:left="5040" w:hanging="360"/>
      </w:pPr>
      <w:rPr>
        <w:rFonts w:ascii="Symbol" w:hAnsi="Symbol" w:hint="default"/>
      </w:rPr>
    </w:lvl>
    <w:lvl w:ilvl="7" w:tplc="4CE206F2">
      <w:start w:val="1"/>
      <w:numFmt w:val="bullet"/>
      <w:lvlText w:val="o"/>
      <w:lvlJc w:val="left"/>
      <w:pPr>
        <w:ind w:left="5760" w:hanging="360"/>
      </w:pPr>
      <w:rPr>
        <w:rFonts w:ascii="Courier New" w:hAnsi="Courier New" w:hint="default"/>
      </w:rPr>
    </w:lvl>
    <w:lvl w:ilvl="8" w:tplc="C3A08518">
      <w:start w:val="1"/>
      <w:numFmt w:val="bullet"/>
      <w:lvlText w:val=""/>
      <w:lvlJc w:val="left"/>
      <w:pPr>
        <w:ind w:left="6480" w:hanging="360"/>
      </w:pPr>
      <w:rPr>
        <w:rFonts w:ascii="Wingdings" w:hAnsi="Wingdings" w:hint="default"/>
      </w:rPr>
    </w:lvl>
  </w:abstractNum>
  <w:abstractNum w:abstractNumId="13" w15:restartNumberingAfterBreak="0">
    <w:nsid w:val="38B002B8"/>
    <w:multiLevelType w:val="hybridMultilevel"/>
    <w:tmpl w:val="FFFFFFFF"/>
    <w:lvl w:ilvl="0" w:tplc="0F8A9026">
      <w:start w:val="1"/>
      <w:numFmt w:val="bullet"/>
      <w:lvlText w:val="§"/>
      <w:lvlJc w:val="left"/>
      <w:pPr>
        <w:ind w:left="720" w:hanging="360"/>
      </w:pPr>
      <w:rPr>
        <w:rFonts w:ascii="Wingdings" w:hAnsi="Wingdings" w:hint="default"/>
      </w:rPr>
    </w:lvl>
    <w:lvl w:ilvl="1" w:tplc="9E603A2E">
      <w:start w:val="1"/>
      <w:numFmt w:val="bullet"/>
      <w:lvlText w:val="o"/>
      <w:lvlJc w:val="left"/>
      <w:pPr>
        <w:ind w:left="1440" w:hanging="360"/>
      </w:pPr>
      <w:rPr>
        <w:rFonts w:ascii="Courier New" w:hAnsi="Courier New" w:hint="default"/>
      </w:rPr>
    </w:lvl>
    <w:lvl w:ilvl="2" w:tplc="414A44DE">
      <w:start w:val="1"/>
      <w:numFmt w:val="bullet"/>
      <w:lvlText w:val=""/>
      <w:lvlJc w:val="left"/>
      <w:pPr>
        <w:ind w:left="2160" w:hanging="360"/>
      </w:pPr>
      <w:rPr>
        <w:rFonts w:ascii="Wingdings" w:hAnsi="Wingdings" w:hint="default"/>
      </w:rPr>
    </w:lvl>
    <w:lvl w:ilvl="3" w:tplc="53EE3944">
      <w:start w:val="1"/>
      <w:numFmt w:val="bullet"/>
      <w:lvlText w:val=""/>
      <w:lvlJc w:val="left"/>
      <w:pPr>
        <w:ind w:left="2880" w:hanging="360"/>
      </w:pPr>
      <w:rPr>
        <w:rFonts w:ascii="Symbol" w:hAnsi="Symbol" w:hint="default"/>
      </w:rPr>
    </w:lvl>
    <w:lvl w:ilvl="4" w:tplc="67361954">
      <w:start w:val="1"/>
      <w:numFmt w:val="bullet"/>
      <w:lvlText w:val="o"/>
      <w:lvlJc w:val="left"/>
      <w:pPr>
        <w:ind w:left="3600" w:hanging="360"/>
      </w:pPr>
      <w:rPr>
        <w:rFonts w:ascii="Courier New" w:hAnsi="Courier New" w:hint="default"/>
      </w:rPr>
    </w:lvl>
    <w:lvl w:ilvl="5" w:tplc="FEFA4CA0">
      <w:start w:val="1"/>
      <w:numFmt w:val="bullet"/>
      <w:lvlText w:val=""/>
      <w:lvlJc w:val="left"/>
      <w:pPr>
        <w:ind w:left="4320" w:hanging="360"/>
      </w:pPr>
      <w:rPr>
        <w:rFonts w:ascii="Wingdings" w:hAnsi="Wingdings" w:hint="default"/>
      </w:rPr>
    </w:lvl>
    <w:lvl w:ilvl="6" w:tplc="E39467A0">
      <w:start w:val="1"/>
      <w:numFmt w:val="bullet"/>
      <w:lvlText w:val=""/>
      <w:lvlJc w:val="left"/>
      <w:pPr>
        <w:ind w:left="5040" w:hanging="360"/>
      </w:pPr>
      <w:rPr>
        <w:rFonts w:ascii="Symbol" w:hAnsi="Symbol" w:hint="default"/>
      </w:rPr>
    </w:lvl>
    <w:lvl w:ilvl="7" w:tplc="E3D2B322">
      <w:start w:val="1"/>
      <w:numFmt w:val="bullet"/>
      <w:lvlText w:val="o"/>
      <w:lvlJc w:val="left"/>
      <w:pPr>
        <w:ind w:left="5760" w:hanging="360"/>
      </w:pPr>
      <w:rPr>
        <w:rFonts w:ascii="Courier New" w:hAnsi="Courier New" w:hint="default"/>
      </w:rPr>
    </w:lvl>
    <w:lvl w:ilvl="8" w:tplc="C6AAE766">
      <w:start w:val="1"/>
      <w:numFmt w:val="bullet"/>
      <w:lvlText w:val=""/>
      <w:lvlJc w:val="left"/>
      <w:pPr>
        <w:ind w:left="6480" w:hanging="360"/>
      </w:pPr>
      <w:rPr>
        <w:rFonts w:ascii="Wingdings" w:hAnsi="Wingdings" w:hint="default"/>
      </w:rPr>
    </w:lvl>
  </w:abstractNum>
  <w:abstractNum w:abstractNumId="14" w15:restartNumberingAfterBreak="0">
    <w:nsid w:val="3C315EAA"/>
    <w:multiLevelType w:val="hybridMultilevel"/>
    <w:tmpl w:val="FFFFFFFF"/>
    <w:lvl w:ilvl="0" w:tplc="E66655A4">
      <w:start w:val="1"/>
      <w:numFmt w:val="bullet"/>
      <w:lvlText w:val="-"/>
      <w:lvlJc w:val="left"/>
      <w:pPr>
        <w:ind w:left="720" w:hanging="360"/>
      </w:pPr>
      <w:rPr>
        <w:rFonts w:ascii="Calibri" w:hAnsi="Calibri" w:hint="default"/>
      </w:rPr>
    </w:lvl>
    <w:lvl w:ilvl="1" w:tplc="F8740CA2">
      <w:start w:val="1"/>
      <w:numFmt w:val="bullet"/>
      <w:lvlText w:val="o"/>
      <w:lvlJc w:val="left"/>
      <w:pPr>
        <w:ind w:left="1440" w:hanging="360"/>
      </w:pPr>
      <w:rPr>
        <w:rFonts w:ascii="Courier New" w:hAnsi="Courier New" w:hint="default"/>
      </w:rPr>
    </w:lvl>
    <w:lvl w:ilvl="2" w:tplc="EC366498">
      <w:start w:val="1"/>
      <w:numFmt w:val="bullet"/>
      <w:lvlText w:val=""/>
      <w:lvlJc w:val="left"/>
      <w:pPr>
        <w:ind w:left="2160" w:hanging="360"/>
      </w:pPr>
      <w:rPr>
        <w:rFonts w:ascii="Wingdings" w:hAnsi="Wingdings" w:hint="default"/>
      </w:rPr>
    </w:lvl>
    <w:lvl w:ilvl="3" w:tplc="76EA7AA8">
      <w:start w:val="1"/>
      <w:numFmt w:val="bullet"/>
      <w:lvlText w:val=""/>
      <w:lvlJc w:val="left"/>
      <w:pPr>
        <w:ind w:left="2880" w:hanging="360"/>
      </w:pPr>
      <w:rPr>
        <w:rFonts w:ascii="Symbol" w:hAnsi="Symbol" w:hint="default"/>
      </w:rPr>
    </w:lvl>
    <w:lvl w:ilvl="4" w:tplc="111CBD2A">
      <w:start w:val="1"/>
      <w:numFmt w:val="bullet"/>
      <w:lvlText w:val="o"/>
      <w:lvlJc w:val="left"/>
      <w:pPr>
        <w:ind w:left="3600" w:hanging="360"/>
      </w:pPr>
      <w:rPr>
        <w:rFonts w:ascii="Courier New" w:hAnsi="Courier New" w:hint="default"/>
      </w:rPr>
    </w:lvl>
    <w:lvl w:ilvl="5" w:tplc="8FD2DCB6">
      <w:start w:val="1"/>
      <w:numFmt w:val="bullet"/>
      <w:lvlText w:val=""/>
      <w:lvlJc w:val="left"/>
      <w:pPr>
        <w:ind w:left="4320" w:hanging="360"/>
      </w:pPr>
      <w:rPr>
        <w:rFonts w:ascii="Wingdings" w:hAnsi="Wingdings" w:hint="default"/>
      </w:rPr>
    </w:lvl>
    <w:lvl w:ilvl="6" w:tplc="CA3266EA">
      <w:start w:val="1"/>
      <w:numFmt w:val="bullet"/>
      <w:lvlText w:val=""/>
      <w:lvlJc w:val="left"/>
      <w:pPr>
        <w:ind w:left="5040" w:hanging="360"/>
      </w:pPr>
      <w:rPr>
        <w:rFonts w:ascii="Symbol" w:hAnsi="Symbol" w:hint="default"/>
      </w:rPr>
    </w:lvl>
    <w:lvl w:ilvl="7" w:tplc="BC06E2DE">
      <w:start w:val="1"/>
      <w:numFmt w:val="bullet"/>
      <w:lvlText w:val="o"/>
      <w:lvlJc w:val="left"/>
      <w:pPr>
        <w:ind w:left="5760" w:hanging="360"/>
      </w:pPr>
      <w:rPr>
        <w:rFonts w:ascii="Courier New" w:hAnsi="Courier New" w:hint="default"/>
      </w:rPr>
    </w:lvl>
    <w:lvl w:ilvl="8" w:tplc="16B20E94">
      <w:start w:val="1"/>
      <w:numFmt w:val="bullet"/>
      <w:lvlText w:val=""/>
      <w:lvlJc w:val="left"/>
      <w:pPr>
        <w:ind w:left="6480" w:hanging="360"/>
      </w:pPr>
      <w:rPr>
        <w:rFonts w:ascii="Wingdings" w:hAnsi="Wingdings" w:hint="default"/>
      </w:rPr>
    </w:lvl>
  </w:abstractNum>
  <w:abstractNum w:abstractNumId="15" w15:restartNumberingAfterBreak="0">
    <w:nsid w:val="3F0F6192"/>
    <w:multiLevelType w:val="hybridMultilevel"/>
    <w:tmpl w:val="E0C2137E"/>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F6B69"/>
    <w:multiLevelType w:val="hybridMultilevel"/>
    <w:tmpl w:val="FFFFFFFF"/>
    <w:lvl w:ilvl="0" w:tplc="EBAE14A0">
      <w:start w:val="1"/>
      <w:numFmt w:val="bullet"/>
      <w:lvlText w:val="§"/>
      <w:lvlJc w:val="left"/>
      <w:pPr>
        <w:ind w:left="720" w:hanging="360"/>
      </w:pPr>
      <w:rPr>
        <w:rFonts w:ascii="Wingdings" w:hAnsi="Wingdings" w:hint="default"/>
      </w:rPr>
    </w:lvl>
    <w:lvl w:ilvl="1" w:tplc="8A14B150">
      <w:start w:val="1"/>
      <w:numFmt w:val="bullet"/>
      <w:lvlText w:val="o"/>
      <w:lvlJc w:val="left"/>
      <w:pPr>
        <w:ind w:left="1440" w:hanging="360"/>
      </w:pPr>
      <w:rPr>
        <w:rFonts w:ascii="Courier New" w:hAnsi="Courier New" w:hint="default"/>
      </w:rPr>
    </w:lvl>
    <w:lvl w:ilvl="2" w:tplc="B8344006">
      <w:start w:val="1"/>
      <w:numFmt w:val="bullet"/>
      <w:lvlText w:val=""/>
      <w:lvlJc w:val="left"/>
      <w:pPr>
        <w:ind w:left="2160" w:hanging="360"/>
      </w:pPr>
      <w:rPr>
        <w:rFonts w:ascii="Wingdings" w:hAnsi="Wingdings" w:hint="default"/>
      </w:rPr>
    </w:lvl>
    <w:lvl w:ilvl="3" w:tplc="BAB0832A">
      <w:start w:val="1"/>
      <w:numFmt w:val="bullet"/>
      <w:lvlText w:val=""/>
      <w:lvlJc w:val="left"/>
      <w:pPr>
        <w:ind w:left="2880" w:hanging="360"/>
      </w:pPr>
      <w:rPr>
        <w:rFonts w:ascii="Symbol" w:hAnsi="Symbol" w:hint="default"/>
      </w:rPr>
    </w:lvl>
    <w:lvl w:ilvl="4" w:tplc="5C4A01E4">
      <w:start w:val="1"/>
      <w:numFmt w:val="bullet"/>
      <w:lvlText w:val="o"/>
      <w:lvlJc w:val="left"/>
      <w:pPr>
        <w:ind w:left="3600" w:hanging="360"/>
      </w:pPr>
      <w:rPr>
        <w:rFonts w:ascii="Courier New" w:hAnsi="Courier New" w:hint="default"/>
      </w:rPr>
    </w:lvl>
    <w:lvl w:ilvl="5" w:tplc="DFF2EEE0">
      <w:start w:val="1"/>
      <w:numFmt w:val="bullet"/>
      <w:lvlText w:val=""/>
      <w:lvlJc w:val="left"/>
      <w:pPr>
        <w:ind w:left="4320" w:hanging="360"/>
      </w:pPr>
      <w:rPr>
        <w:rFonts w:ascii="Wingdings" w:hAnsi="Wingdings" w:hint="default"/>
      </w:rPr>
    </w:lvl>
    <w:lvl w:ilvl="6" w:tplc="C8EEE7B0">
      <w:start w:val="1"/>
      <w:numFmt w:val="bullet"/>
      <w:lvlText w:val=""/>
      <w:lvlJc w:val="left"/>
      <w:pPr>
        <w:ind w:left="5040" w:hanging="360"/>
      </w:pPr>
      <w:rPr>
        <w:rFonts w:ascii="Symbol" w:hAnsi="Symbol" w:hint="default"/>
      </w:rPr>
    </w:lvl>
    <w:lvl w:ilvl="7" w:tplc="03FAF97E">
      <w:start w:val="1"/>
      <w:numFmt w:val="bullet"/>
      <w:lvlText w:val="o"/>
      <w:lvlJc w:val="left"/>
      <w:pPr>
        <w:ind w:left="5760" w:hanging="360"/>
      </w:pPr>
      <w:rPr>
        <w:rFonts w:ascii="Courier New" w:hAnsi="Courier New" w:hint="default"/>
      </w:rPr>
    </w:lvl>
    <w:lvl w:ilvl="8" w:tplc="E15AC150">
      <w:start w:val="1"/>
      <w:numFmt w:val="bullet"/>
      <w:lvlText w:val=""/>
      <w:lvlJc w:val="left"/>
      <w:pPr>
        <w:ind w:left="6480" w:hanging="360"/>
      </w:pPr>
      <w:rPr>
        <w:rFonts w:ascii="Wingdings" w:hAnsi="Wingdings" w:hint="default"/>
      </w:rPr>
    </w:lvl>
  </w:abstractNum>
  <w:abstractNum w:abstractNumId="17" w15:restartNumberingAfterBreak="0">
    <w:nsid w:val="4D0622E5"/>
    <w:multiLevelType w:val="hybridMultilevel"/>
    <w:tmpl w:val="52DC429A"/>
    <w:lvl w:ilvl="0" w:tplc="B30209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E59CE"/>
    <w:multiLevelType w:val="hybridMultilevel"/>
    <w:tmpl w:val="FFFFFFFF"/>
    <w:lvl w:ilvl="0" w:tplc="EBACBDD2">
      <w:start w:val="1"/>
      <w:numFmt w:val="bullet"/>
      <w:lvlText w:val="§"/>
      <w:lvlJc w:val="left"/>
      <w:pPr>
        <w:ind w:left="720" w:hanging="360"/>
      </w:pPr>
      <w:rPr>
        <w:rFonts w:ascii="Wingdings" w:hAnsi="Wingdings" w:hint="default"/>
      </w:rPr>
    </w:lvl>
    <w:lvl w:ilvl="1" w:tplc="913422C4">
      <w:start w:val="1"/>
      <w:numFmt w:val="bullet"/>
      <w:lvlText w:val="o"/>
      <w:lvlJc w:val="left"/>
      <w:pPr>
        <w:ind w:left="1440" w:hanging="360"/>
      </w:pPr>
      <w:rPr>
        <w:rFonts w:ascii="Courier New" w:hAnsi="Courier New" w:hint="default"/>
      </w:rPr>
    </w:lvl>
    <w:lvl w:ilvl="2" w:tplc="1EEA63F2">
      <w:start w:val="1"/>
      <w:numFmt w:val="bullet"/>
      <w:lvlText w:val=""/>
      <w:lvlJc w:val="left"/>
      <w:pPr>
        <w:ind w:left="2160" w:hanging="360"/>
      </w:pPr>
      <w:rPr>
        <w:rFonts w:ascii="Wingdings" w:hAnsi="Wingdings" w:hint="default"/>
      </w:rPr>
    </w:lvl>
    <w:lvl w:ilvl="3" w:tplc="B71C61D8">
      <w:start w:val="1"/>
      <w:numFmt w:val="bullet"/>
      <w:lvlText w:val=""/>
      <w:lvlJc w:val="left"/>
      <w:pPr>
        <w:ind w:left="2880" w:hanging="360"/>
      </w:pPr>
      <w:rPr>
        <w:rFonts w:ascii="Symbol" w:hAnsi="Symbol" w:hint="default"/>
      </w:rPr>
    </w:lvl>
    <w:lvl w:ilvl="4" w:tplc="0254C348">
      <w:start w:val="1"/>
      <w:numFmt w:val="bullet"/>
      <w:lvlText w:val="o"/>
      <w:lvlJc w:val="left"/>
      <w:pPr>
        <w:ind w:left="3600" w:hanging="360"/>
      </w:pPr>
      <w:rPr>
        <w:rFonts w:ascii="Courier New" w:hAnsi="Courier New" w:hint="default"/>
      </w:rPr>
    </w:lvl>
    <w:lvl w:ilvl="5" w:tplc="4F0A8A76">
      <w:start w:val="1"/>
      <w:numFmt w:val="bullet"/>
      <w:lvlText w:val=""/>
      <w:lvlJc w:val="left"/>
      <w:pPr>
        <w:ind w:left="4320" w:hanging="360"/>
      </w:pPr>
      <w:rPr>
        <w:rFonts w:ascii="Wingdings" w:hAnsi="Wingdings" w:hint="default"/>
      </w:rPr>
    </w:lvl>
    <w:lvl w:ilvl="6" w:tplc="4EFC6C1C">
      <w:start w:val="1"/>
      <w:numFmt w:val="bullet"/>
      <w:lvlText w:val=""/>
      <w:lvlJc w:val="left"/>
      <w:pPr>
        <w:ind w:left="5040" w:hanging="360"/>
      </w:pPr>
      <w:rPr>
        <w:rFonts w:ascii="Symbol" w:hAnsi="Symbol" w:hint="default"/>
      </w:rPr>
    </w:lvl>
    <w:lvl w:ilvl="7" w:tplc="E738FCCC">
      <w:start w:val="1"/>
      <w:numFmt w:val="bullet"/>
      <w:lvlText w:val="o"/>
      <w:lvlJc w:val="left"/>
      <w:pPr>
        <w:ind w:left="5760" w:hanging="360"/>
      </w:pPr>
      <w:rPr>
        <w:rFonts w:ascii="Courier New" w:hAnsi="Courier New" w:hint="default"/>
      </w:rPr>
    </w:lvl>
    <w:lvl w:ilvl="8" w:tplc="DA628FB6">
      <w:start w:val="1"/>
      <w:numFmt w:val="bullet"/>
      <w:lvlText w:val=""/>
      <w:lvlJc w:val="left"/>
      <w:pPr>
        <w:ind w:left="6480" w:hanging="360"/>
      </w:pPr>
      <w:rPr>
        <w:rFonts w:ascii="Wingdings" w:hAnsi="Wingdings" w:hint="default"/>
      </w:rPr>
    </w:lvl>
  </w:abstractNum>
  <w:abstractNum w:abstractNumId="19" w15:restartNumberingAfterBreak="0">
    <w:nsid w:val="4F1772E0"/>
    <w:multiLevelType w:val="hybridMultilevel"/>
    <w:tmpl w:val="7CBA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312FD"/>
    <w:multiLevelType w:val="hybridMultilevel"/>
    <w:tmpl w:val="FFFFFFFF"/>
    <w:lvl w:ilvl="0" w:tplc="40CC2890">
      <w:start w:val="1"/>
      <w:numFmt w:val="bullet"/>
      <w:lvlText w:val="§"/>
      <w:lvlJc w:val="left"/>
      <w:pPr>
        <w:ind w:left="720" w:hanging="360"/>
      </w:pPr>
      <w:rPr>
        <w:rFonts w:ascii="Wingdings" w:hAnsi="Wingdings" w:hint="default"/>
      </w:rPr>
    </w:lvl>
    <w:lvl w:ilvl="1" w:tplc="68D05A8E">
      <w:start w:val="1"/>
      <w:numFmt w:val="bullet"/>
      <w:lvlText w:val="o"/>
      <w:lvlJc w:val="left"/>
      <w:pPr>
        <w:ind w:left="1440" w:hanging="360"/>
      </w:pPr>
      <w:rPr>
        <w:rFonts w:ascii="Courier New" w:hAnsi="Courier New" w:hint="default"/>
      </w:rPr>
    </w:lvl>
    <w:lvl w:ilvl="2" w:tplc="82E054EC">
      <w:start w:val="1"/>
      <w:numFmt w:val="bullet"/>
      <w:lvlText w:val=""/>
      <w:lvlJc w:val="left"/>
      <w:pPr>
        <w:ind w:left="2160" w:hanging="360"/>
      </w:pPr>
      <w:rPr>
        <w:rFonts w:ascii="Wingdings" w:hAnsi="Wingdings" w:hint="default"/>
      </w:rPr>
    </w:lvl>
    <w:lvl w:ilvl="3" w:tplc="6B447FBA">
      <w:start w:val="1"/>
      <w:numFmt w:val="bullet"/>
      <w:lvlText w:val=""/>
      <w:lvlJc w:val="left"/>
      <w:pPr>
        <w:ind w:left="2880" w:hanging="360"/>
      </w:pPr>
      <w:rPr>
        <w:rFonts w:ascii="Symbol" w:hAnsi="Symbol" w:hint="default"/>
      </w:rPr>
    </w:lvl>
    <w:lvl w:ilvl="4" w:tplc="7E2A78DC">
      <w:start w:val="1"/>
      <w:numFmt w:val="bullet"/>
      <w:lvlText w:val="o"/>
      <w:lvlJc w:val="left"/>
      <w:pPr>
        <w:ind w:left="3600" w:hanging="360"/>
      </w:pPr>
      <w:rPr>
        <w:rFonts w:ascii="Courier New" w:hAnsi="Courier New" w:hint="default"/>
      </w:rPr>
    </w:lvl>
    <w:lvl w:ilvl="5" w:tplc="1458E8F2">
      <w:start w:val="1"/>
      <w:numFmt w:val="bullet"/>
      <w:lvlText w:val=""/>
      <w:lvlJc w:val="left"/>
      <w:pPr>
        <w:ind w:left="4320" w:hanging="360"/>
      </w:pPr>
      <w:rPr>
        <w:rFonts w:ascii="Wingdings" w:hAnsi="Wingdings" w:hint="default"/>
      </w:rPr>
    </w:lvl>
    <w:lvl w:ilvl="6" w:tplc="160C29AC">
      <w:start w:val="1"/>
      <w:numFmt w:val="bullet"/>
      <w:lvlText w:val=""/>
      <w:lvlJc w:val="left"/>
      <w:pPr>
        <w:ind w:left="5040" w:hanging="360"/>
      </w:pPr>
      <w:rPr>
        <w:rFonts w:ascii="Symbol" w:hAnsi="Symbol" w:hint="default"/>
      </w:rPr>
    </w:lvl>
    <w:lvl w:ilvl="7" w:tplc="11F4FF34">
      <w:start w:val="1"/>
      <w:numFmt w:val="bullet"/>
      <w:lvlText w:val="o"/>
      <w:lvlJc w:val="left"/>
      <w:pPr>
        <w:ind w:left="5760" w:hanging="360"/>
      </w:pPr>
      <w:rPr>
        <w:rFonts w:ascii="Courier New" w:hAnsi="Courier New" w:hint="default"/>
      </w:rPr>
    </w:lvl>
    <w:lvl w:ilvl="8" w:tplc="1E32D9D4">
      <w:start w:val="1"/>
      <w:numFmt w:val="bullet"/>
      <w:lvlText w:val=""/>
      <w:lvlJc w:val="left"/>
      <w:pPr>
        <w:ind w:left="6480" w:hanging="360"/>
      </w:pPr>
      <w:rPr>
        <w:rFonts w:ascii="Wingdings" w:hAnsi="Wingdings" w:hint="default"/>
      </w:rPr>
    </w:lvl>
  </w:abstractNum>
  <w:abstractNum w:abstractNumId="21" w15:restartNumberingAfterBreak="0">
    <w:nsid w:val="537C736D"/>
    <w:multiLevelType w:val="hybridMultilevel"/>
    <w:tmpl w:val="6BEA90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4E352CC"/>
    <w:multiLevelType w:val="hybridMultilevel"/>
    <w:tmpl w:val="FFFFFFFF"/>
    <w:lvl w:ilvl="0" w:tplc="48DCAC9E">
      <w:start w:val="1"/>
      <w:numFmt w:val="bullet"/>
      <w:lvlText w:val="-"/>
      <w:lvlJc w:val="left"/>
      <w:pPr>
        <w:ind w:left="720" w:hanging="360"/>
      </w:pPr>
      <w:rPr>
        <w:rFonts w:ascii="Calibri" w:hAnsi="Calibri" w:hint="default"/>
      </w:rPr>
    </w:lvl>
    <w:lvl w:ilvl="1" w:tplc="9782E624">
      <w:start w:val="1"/>
      <w:numFmt w:val="bullet"/>
      <w:lvlText w:val="o"/>
      <w:lvlJc w:val="left"/>
      <w:pPr>
        <w:ind w:left="1440" w:hanging="360"/>
      </w:pPr>
      <w:rPr>
        <w:rFonts w:ascii="Courier New" w:hAnsi="Courier New" w:hint="default"/>
      </w:rPr>
    </w:lvl>
    <w:lvl w:ilvl="2" w:tplc="8D72C30C">
      <w:start w:val="1"/>
      <w:numFmt w:val="bullet"/>
      <w:lvlText w:val=""/>
      <w:lvlJc w:val="left"/>
      <w:pPr>
        <w:ind w:left="2160" w:hanging="360"/>
      </w:pPr>
      <w:rPr>
        <w:rFonts w:ascii="Wingdings" w:hAnsi="Wingdings" w:hint="default"/>
      </w:rPr>
    </w:lvl>
    <w:lvl w:ilvl="3" w:tplc="1F1CB90A">
      <w:start w:val="1"/>
      <w:numFmt w:val="bullet"/>
      <w:lvlText w:val=""/>
      <w:lvlJc w:val="left"/>
      <w:pPr>
        <w:ind w:left="2880" w:hanging="360"/>
      </w:pPr>
      <w:rPr>
        <w:rFonts w:ascii="Symbol" w:hAnsi="Symbol" w:hint="default"/>
      </w:rPr>
    </w:lvl>
    <w:lvl w:ilvl="4" w:tplc="6B9A89B6">
      <w:start w:val="1"/>
      <w:numFmt w:val="bullet"/>
      <w:lvlText w:val="o"/>
      <w:lvlJc w:val="left"/>
      <w:pPr>
        <w:ind w:left="3600" w:hanging="360"/>
      </w:pPr>
      <w:rPr>
        <w:rFonts w:ascii="Courier New" w:hAnsi="Courier New" w:hint="default"/>
      </w:rPr>
    </w:lvl>
    <w:lvl w:ilvl="5" w:tplc="B5DE7530">
      <w:start w:val="1"/>
      <w:numFmt w:val="bullet"/>
      <w:lvlText w:val=""/>
      <w:lvlJc w:val="left"/>
      <w:pPr>
        <w:ind w:left="4320" w:hanging="360"/>
      </w:pPr>
      <w:rPr>
        <w:rFonts w:ascii="Wingdings" w:hAnsi="Wingdings" w:hint="default"/>
      </w:rPr>
    </w:lvl>
    <w:lvl w:ilvl="6" w:tplc="1750A4A4">
      <w:start w:val="1"/>
      <w:numFmt w:val="bullet"/>
      <w:lvlText w:val=""/>
      <w:lvlJc w:val="left"/>
      <w:pPr>
        <w:ind w:left="5040" w:hanging="360"/>
      </w:pPr>
      <w:rPr>
        <w:rFonts w:ascii="Symbol" w:hAnsi="Symbol" w:hint="default"/>
      </w:rPr>
    </w:lvl>
    <w:lvl w:ilvl="7" w:tplc="CCC66B5C">
      <w:start w:val="1"/>
      <w:numFmt w:val="bullet"/>
      <w:lvlText w:val="o"/>
      <w:lvlJc w:val="left"/>
      <w:pPr>
        <w:ind w:left="5760" w:hanging="360"/>
      </w:pPr>
      <w:rPr>
        <w:rFonts w:ascii="Courier New" w:hAnsi="Courier New" w:hint="default"/>
      </w:rPr>
    </w:lvl>
    <w:lvl w:ilvl="8" w:tplc="34D41FC8">
      <w:start w:val="1"/>
      <w:numFmt w:val="bullet"/>
      <w:lvlText w:val=""/>
      <w:lvlJc w:val="left"/>
      <w:pPr>
        <w:ind w:left="6480" w:hanging="360"/>
      </w:pPr>
      <w:rPr>
        <w:rFonts w:ascii="Wingdings" w:hAnsi="Wingdings" w:hint="default"/>
      </w:rPr>
    </w:lvl>
  </w:abstractNum>
  <w:abstractNum w:abstractNumId="23" w15:restartNumberingAfterBreak="0">
    <w:nsid w:val="5710448B"/>
    <w:multiLevelType w:val="hybridMultilevel"/>
    <w:tmpl w:val="FFFFFFFF"/>
    <w:lvl w:ilvl="0" w:tplc="9A1A58C0">
      <w:start w:val="1"/>
      <w:numFmt w:val="bullet"/>
      <w:lvlText w:val="§"/>
      <w:lvlJc w:val="left"/>
      <w:pPr>
        <w:ind w:left="720" w:hanging="360"/>
      </w:pPr>
      <w:rPr>
        <w:rFonts w:ascii="Wingdings" w:hAnsi="Wingdings" w:hint="default"/>
      </w:rPr>
    </w:lvl>
    <w:lvl w:ilvl="1" w:tplc="2190F98C">
      <w:start w:val="1"/>
      <w:numFmt w:val="bullet"/>
      <w:lvlText w:val="o"/>
      <w:lvlJc w:val="left"/>
      <w:pPr>
        <w:ind w:left="1440" w:hanging="360"/>
      </w:pPr>
      <w:rPr>
        <w:rFonts w:ascii="Courier New" w:hAnsi="Courier New" w:hint="default"/>
      </w:rPr>
    </w:lvl>
    <w:lvl w:ilvl="2" w:tplc="30EC5276">
      <w:start w:val="1"/>
      <w:numFmt w:val="bullet"/>
      <w:lvlText w:val=""/>
      <w:lvlJc w:val="left"/>
      <w:pPr>
        <w:ind w:left="2160" w:hanging="360"/>
      </w:pPr>
      <w:rPr>
        <w:rFonts w:ascii="Wingdings" w:hAnsi="Wingdings" w:hint="default"/>
      </w:rPr>
    </w:lvl>
    <w:lvl w:ilvl="3" w:tplc="D0C0FA02">
      <w:start w:val="1"/>
      <w:numFmt w:val="bullet"/>
      <w:lvlText w:val=""/>
      <w:lvlJc w:val="left"/>
      <w:pPr>
        <w:ind w:left="2880" w:hanging="360"/>
      </w:pPr>
      <w:rPr>
        <w:rFonts w:ascii="Symbol" w:hAnsi="Symbol" w:hint="default"/>
      </w:rPr>
    </w:lvl>
    <w:lvl w:ilvl="4" w:tplc="CC322800">
      <w:start w:val="1"/>
      <w:numFmt w:val="bullet"/>
      <w:lvlText w:val="o"/>
      <w:lvlJc w:val="left"/>
      <w:pPr>
        <w:ind w:left="3600" w:hanging="360"/>
      </w:pPr>
      <w:rPr>
        <w:rFonts w:ascii="Courier New" w:hAnsi="Courier New" w:hint="default"/>
      </w:rPr>
    </w:lvl>
    <w:lvl w:ilvl="5" w:tplc="E6E45030">
      <w:start w:val="1"/>
      <w:numFmt w:val="bullet"/>
      <w:lvlText w:val=""/>
      <w:lvlJc w:val="left"/>
      <w:pPr>
        <w:ind w:left="4320" w:hanging="360"/>
      </w:pPr>
      <w:rPr>
        <w:rFonts w:ascii="Wingdings" w:hAnsi="Wingdings" w:hint="default"/>
      </w:rPr>
    </w:lvl>
    <w:lvl w:ilvl="6" w:tplc="CE1A3E46">
      <w:start w:val="1"/>
      <w:numFmt w:val="bullet"/>
      <w:lvlText w:val=""/>
      <w:lvlJc w:val="left"/>
      <w:pPr>
        <w:ind w:left="5040" w:hanging="360"/>
      </w:pPr>
      <w:rPr>
        <w:rFonts w:ascii="Symbol" w:hAnsi="Symbol" w:hint="default"/>
      </w:rPr>
    </w:lvl>
    <w:lvl w:ilvl="7" w:tplc="683AF714">
      <w:start w:val="1"/>
      <w:numFmt w:val="bullet"/>
      <w:lvlText w:val="o"/>
      <w:lvlJc w:val="left"/>
      <w:pPr>
        <w:ind w:left="5760" w:hanging="360"/>
      </w:pPr>
      <w:rPr>
        <w:rFonts w:ascii="Courier New" w:hAnsi="Courier New" w:hint="default"/>
      </w:rPr>
    </w:lvl>
    <w:lvl w:ilvl="8" w:tplc="4E0ED0DC">
      <w:start w:val="1"/>
      <w:numFmt w:val="bullet"/>
      <w:lvlText w:val=""/>
      <w:lvlJc w:val="left"/>
      <w:pPr>
        <w:ind w:left="6480" w:hanging="360"/>
      </w:pPr>
      <w:rPr>
        <w:rFonts w:ascii="Wingdings" w:hAnsi="Wingdings" w:hint="default"/>
      </w:rPr>
    </w:lvl>
  </w:abstractNum>
  <w:abstractNum w:abstractNumId="24" w15:restartNumberingAfterBreak="0">
    <w:nsid w:val="573B2FCB"/>
    <w:multiLevelType w:val="hybridMultilevel"/>
    <w:tmpl w:val="FFFFFFFF"/>
    <w:lvl w:ilvl="0" w:tplc="5880B230">
      <w:start w:val="1"/>
      <w:numFmt w:val="bullet"/>
      <w:lvlText w:val="§"/>
      <w:lvlJc w:val="left"/>
      <w:pPr>
        <w:ind w:left="720" w:hanging="360"/>
      </w:pPr>
      <w:rPr>
        <w:rFonts w:ascii="Wingdings" w:hAnsi="Wingdings" w:hint="default"/>
      </w:rPr>
    </w:lvl>
    <w:lvl w:ilvl="1" w:tplc="8196F25C">
      <w:start w:val="1"/>
      <w:numFmt w:val="bullet"/>
      <w:lvlText w:val="o"/>
      <w:lvlJc w:val="left"/>
      <w:pPr>
        <w:ind w:left="1440" w:hanging="360"/>
      </w:pPr>
      <w:rPr>
        <w:rFonts w:ascii="Courier New" w:hAnsi="Courier New" w:hint="default"/>
      </w:rPr>
    </w:lvl>
    <w:lvl w:ilvl="2" w:tplc="4920C5FC">
      <w:start w:val="1"/>
      <w:numFmt w:val="bullet"/>
      <w:lvlText w:val=""/>
      <w:lvlJc w:val="left"/>
      <w:pPr>
        <w:ind w:left="2160" w:hanging="360"/>
      </w:pPr>
      <w:rPr>
        <w:rFonts w:ascii="Wingdings" w:hAnsi="Wingdings" w:hint="default"/>
      </w:rPr>
    </w:lvl>
    <w:lvl w:ilvl="3" w:tplc="DBF85A8C">
      <w:start w:val="1"/>
      <w:numFmt w:val="bullet"/>
      <w:lvlText w:val=""/>
      <w:lvlJc w:val="left"/>
      <w:pPr>
        <w:ind w:left="2880" w:hanging="360"/>
      </w:pPr>
      <w:rPr>
        <w:rFonts w:ascii="Symbol" w:hAnsi="Symbol" w:hint="default"/>
      </w:rPr>
    </w:lvl>
    <w:lvl w:ilvl="4" w:tplc="2AE4E3A0">
      <w:start w:val="1"/>
      <w:numFmt w:val="bullet"/>
      <w:lvlText w:val="o"/>
      <w:lvlJc w:val="left"/>
      <w:pPr>
        <w:ind w:left="3600" w:hanging="360"/>
      </w:pPr>
      <w:rPr>
        <w:rFonts w:ascii="Courier New" w:hAnsi="Courier New" w:hint="default"/>
      </w:rPr>
    </w:lvl>
    <w:lvl w:ilvl="5" w:tplc="00E0EE22">
      <w:start w:val="1"/>
      <w:numFmt w:val="bullet"/>
      <w:lvlText w:val=""/>
      <w:lvlJc w:val="left"/>
      <w:pPr>
        <w:ind w:left="4320" w:hanging="360"/>
      </w:pPr>
      <w:rPr>
        <w:rFonts w:ascii="Wingdings" w:hAnsi="Wingdings" w:hint="default"/>
      </w:rPr>
    </w:lvl>
    <w:lvl w:ilvl="6" w:tplc="0D20CE26">
      <w:start w:val="1"/>
      <w:numFmt w:val="bullet"/>
      <w:lvlText w:val=""/>
      <w:lvlJc w:val="left"/>
      <w:pPr>
        <w:ind w:left="5040" w:hanging="360"/>
      </w:pPr>
      <w:rPr>
        <w:rFonts w:ascii="Symbol" w:hAnsi="Symbol" w:hint="default"/>
      </w:rPr>
    </w:lvl>
    <w:lvl w:ilvl="7" w:tplc="152CAE66">
      <w:start w:val="1"/>
      <w:numFmt w:val="bullet"/>
      <w:lvlText w:val="o"/>
      <w:lvlJc w:val="left"/>
      <w:pPr>
        <w:ind w:left="5760" w:hanging="360"/>
      </w:pPr>
      <w:rPr>
        <w:rFonts w:ascii="Courier New" w:hAnsi="Courier New" w:hint="default"/>
      </w:rPr>
    </w:lvl>
    <w:lvl w:ilvl="8" w:tplc="2414682C">
      <w:start w:val="1"/>
      <w:numFmt w:val="bullet"/>
      <w:lvlText w:val=""/>
      <w:lvlJc w:val="left"/>
      <w:pPr>
        <w:ind w:left="6480" w:hanging="360"/>
      </w:pPr>
      <w:rPr>
        <w:rFonts w:ascii="Wingdings" w:hAnsi="Wingdings" w:hint="default"/>
      </w:rPr>
    </w:lvl>
  </w:abstractNum>
  <w:abstractNum w:abstractNumId="25" w15:restartNumberingAfterBreak="0">
    <w:nsid w:val="59CD6326"/>
    <w:multiLevelType w:val="hybridMultilevel"/>
    <w:tmpl w:val="FFFFFFFF"/>
    <w:lvl w:ilvl="0" w:tplc="D7580DBE">
      <w:start w:val="1"/>
      <w:numFmt w:val="bullet"/>
      <w:lvlText w:val="§"/>
      <w:lvlJc w:val="left"/>
      <w:pPr>
        <w:ind w:left="720" w:hanging="360"/>
      </w:pPr>
      <w:rPr>
        <w:rFonts w:ascii="Wingdings" w:hAnsi="Wingdings" w:hint="default"/>
      </w:rPr>
    </w:lvl>
    <w:lvl w:ilvl="1" w:tplc="A1E45438">
      <w:start w:val="1"/>
      <w:numFmt w:val="bullet"/>
      <w:lvlText w:val="o"/>
      <w:lvlJc w:val="left"/>
      <w:pPr>
        <w:ind w:left="1440" w:hanging="360"/>
      </w:pPr>
      <w:rPr>
        <w:rFonts w:ascii="Courier New" w:hAnsi="Courier New" w:hint="default"/>
      </w:rPr>
    </w:lvl>
    <w:lvl w:ilvl="2" w:tplc="66BE221C">
      <w:start w:val="1"/>
      <w:numFmt w:val="bullet"/>
      <w:lvlText w:val=""/>
      <w:lvlJc w:val="left"/>
      <w:pPr>
        <w:ind w:left="2160" w:hanging="360"/>
      </w:pPr>
      <w:rPr>
        <w:rFonts w:ascii="Wingdings" w:hAnsi="Wingdings" w:hint="default"/>
      </w:rPr>
    </w:lvl>
    <w:lvl w:ilvl="3" w:tplc="FA4E2C6C">
      <w:start w:val="1"/>
      <w:numFmt w:val="bullet"/>
      <w:lvlText w:val=""/>
      <w:lvlJc w:val="left"/>
      <w:pPr>
        <w:ind w:left="2880" w:hanging="360"/>
      </w:pPr>
      <w:rPr>
        <w:rFonts w:ascii="Symbol" w:hAnsi="Symbol" w:hint="default"/>
      </w:rPr>
    </w:lvl>
    <w:lvl w:ilvl="4" w:tplc="945E808E">
      <w:start w:val="1"/>
      <w:numFmt w:val="bullet"/>
      <w:lvlText w:val="o"/>
      <w:lvlJc w:val="left"/>
      <w:pPr>
        <w:ind w:left="3600" w:hanging="360"/>
      </w:pPr>
      <w:rPr>
        <w:rFonts w:ascii="Courier New" w:hAnsi="Courier New" w:hint="default"/>
      </w:rPr>
    </w:lvl>
    <w:lvl w:ilvl="5" w:tplc="41967614">
      <w:start w:val="1"/>
      <w:numFmt w:val="bullet"/>
      <w:lvlText w:val=""/>
      <w:lvlJc w:val="left"/>
      <w:pPr>
        <w:ind w:left="4320" w:hanging="360"/>
      </w:pPr>
      <w:rPr>
        <w:rFonts w:ascii="Wingdings" w:hAnsi="Wingdings" w:hint="default"/>
      </w:rPr>
    </w:lvl>
    <w:lvl w:ilvl="6" w:tplc="52CCB4FA">
      <w:start w:val="1"/>
      <w:numFmt w:val="bullet"/>
      <w:lvlText w:val=""/>
      <w:lvlJc w:val="left"/>
      <w:pPr>
        <w:ind w:left="5040" w:hanging="360"/>
      </w:pPr>
      <w:rPr>
        <w:rFonts w:ascii="Symbol" w:hAnsi="Symbol" w:hint="default"/>
      </w:rPr>
    </w:lvl>
    <w:lvl w:ilvl="7" w:tplc="5BB45B5E">
      <w:start w:val="1"/>
      <w:numFmt w:val="bullet"/>
      <w:lvlText w:val="o"/>
      <w:lvlJc w:val="left"/>
      <w:pPr>
        <w:ind w:left="5760" w:hanging="360"/>
      </w:pPr>
      <w:rPr>
        <w:rFonts w:ascii="Courier New" w:hAnsi="Courier New" w:hint="default"/>
      </w:rPr>
    </w:lvl>
    <w:lvl w:ilvl="8" w:tplc="A6E42294">
      <w:start w:val="1"/>
      <w:numFmt w:val="bullet"/>
      <w:lvlText w:val=""/>
      <w:lvlJc w:val="left"/>
      <w:pPr>
        <w:ind w:left="6480" w:hanging="360"/>
      </w:pPr>
      <w:rPr>
        <w:rFonts w:ascii="Wingdings" w:hAnsi="Wingdings" w:hint="default"/>
      </w:rPr>
    </w:lvl>
  </w:abstractNum>
  <w:abstractNum w:abstractNumId="26" w15:restartNumberingAfterBreak="0">
    <w:nsid w:val="59F72266"/>
    <w:multiLevelType w:val="hybridMultilevel"/>
    <w:tmpl w:val="C8CE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D5418"/>
    <w:multiLevelType w:val="hybridMultilevel"/>
    <w:tmpl w:val="EAEC259C"/>
    <w:lvl w:ilvl="0" w:tplc="A0185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D1E9A"/>
    <w:multiLevelType w:val="hybridMultilevel"/>
    <w:tmpl w:val="FFFFFFFF"/>
    <w:lvl w:ilvl="0" w:tplc="7F7A0120">
      <w:start w:val="1"/>
      <w:numFmt w:val="bullet"/>
      <w:lvlText w:val="§"/>
      <w:lvlJc w:val="left"/>
      <w:pPr>
        <w:ind w:left="720" w:hanging="360"/>
      </w:pPr>
      <w:rPr>
        <w:rFonts w:ascii="Wingdings" w:hAnsi="Wingdings" w:hint="default"/>
      </w:rPr>
    </w:lvl>
    <w:lvl w:ilvl="1" w:tplc="67DE3956">
      <w:start w:val="1"/>
      <w:numFmt w:val="bullet"/>
      <w:lvlText w:val="o"/>
      <w:lvlJc w:val="left"/>
      <w:pPr>
        <w:ind w:left="1440" w:hanging="360"/>
      </w:pPr>
      <w:rPr>
        <w:rFonts w:ascii="Courier New" w:hAnsi="Courier New" w:hint="default"/>
      </w:rPr>
    </w:lvl>
    <w:lvl w:ilvl="2" w:tplc="F9EA12B4">
      <w:start w:val="1"/>
      <w:numFmt w:val="bullet"/>
      <w:lvlText w:val=""/>
      <w:lvlJc w:val="left"/>
      <w:pPr>
        <w:ind w:left="2160" w:hanging="360"/>
      </w:pPr>
      <w:rPr>
        <w:rFonts w:ascii="Wingdings" w:hAnsi="Wingdings" w:hint="default"/>
      </w:rPr>
    </w:lvl>
    <w:lvl w:ilvl="3" w:tplc="C1462C14">
      <w:start w:val="1"/>
      <w:numFmt w:val="bullet"/>
      <w:lvlText w:val=""/>
      <w:lvlJc w:val="left"/>
      <w:pPr>
        <w:ind w:left="2880" w:hanging="360"/>
      </w:pPr>
      <w:rPr>
        <w:rFonts w:ascii="Symbol" w:hAnsi="Symbol" w:hint="default"/>
      </w:rPr>
    </w:lvl>
    <w:lvl w:ilvl="4" w:tplc="54D043D2">
      <w:start w:val="1"/>
      <w:numFmt w:val="bullet"/>
      <w:lvlText w:val="o"/>
      <w:lvlJc w:val="left"/>
      <w:pPr>
        <w:ind w:left="3600" w:hanging="360"/>
      </w:pPr>
      <w:rPr>
        <w:rFonts w:ascii="Courier New" w:hAnsi="Courier New" w:hint="default"/>
      </w:rPr>
    </w:lvl>
    <w:lvl w:ilvl="5" w:tplc="2462275A">
      <w:start w:val="1"/>
      <w:numFmt w:val="bullet"/>
      <w:lvlText w:val=""/>
      <w:lvlJc w:val="left"/>
      <w:pPr>
        <w:ind w:left="4320" w:hanging="360"/>
      </w:pPr>
      <w:rPr>
        <w:rFonts w:ascii="Wingdings" w:hAnsi="Wingdings" w:hint="default"/>
      </w:rPr>
    </w:lvl>
    <w:lvl w:ilvl="6" w:tplc="2F4E3F86">
      <w:start w:val="1"/>
      <w:numFmt w:val="bullet"/>
      <w:lvlText w:val=""/>
      <w:lvlJc w:val="left"/>
      <w:pPr>
        <w:ind w:left="5040" w:hanging="360"/>
      </w:pPr>
      <w:rPr>
        <w:rFonts w:ascii="Symbol" w:hAnsi="Symbol" w:hint="default"/>
      </w:rPr>
    </w:lvl>
    <w:lvl w:ilvl="7" w:tplc="78BC3F44">
      <w:start w:val="1"/>
      <w:numFmt w:val="bullet"/>
      <w:lvlText w:val="o"/>
      <w:lvlJc w:val="left"/>
      <w:pPr>
        <w:ind w:left="5760" w:hanging="360"/>
      </w:pPr>
      <w:rPr>
        <w:rFonts w:ascii="Courier New" w:hAnsi="Courier New" w:hint="default"/>
      </w:rPr>
    </w:lvl>
    <w:lvl w:ilvl="8" w:tplc="8C2031E6">
      <w:start w:val="1"/>
      <w:numFmt w:val="bullet"/>
      <w:lvlText w:val=""/>
      <w:lvlJc w:val="left"/>
      <w:pPr>
        <w:ind w:left="6480" w:hanging="360"/>
      </w:pPr>
      <w:rPr>
        <w:rFonts w:ascii="Wingdings" w:hAnsi="Wingdings" w:hint="default"/>
      </w:rPr>
    </w:lvl>
  </w:abstractNum>
  <w:abstractNum w:abstractNumId="29" w15:restartNumberingAfterBreak="0">
    <w:nsid w:val="671D1EB3"/>
    <w:multiLevelType w:val="hybridMultilevel"/>
    <w:tmpl w:val="FFFFFFFF"/>
    <w:lvl w:ilvl="0" w:tplc="FF5AAD44">
      <w:start w:val="1"/>
      <w:numFmt w:val="bullet"/>
      <w:lvlText w:val="-"/>
      <w:lvlJc w:val="left"/>
      <w:pPr>
        <w:ind w:left="720" w:hanging="360"/>
      </w:pPr>
      <w:rPr>
        <w:rFonts w:ascii="Calibri" w:hAnsi="Calibri" w:hint="default"/>
      </w:rPr>
    </w:lvl>
    <w:lvl w:ilvl="1" w:tplc="747663E0">
      <w:start w:val="1"/>
      <w:numFmt w:val="bullet"/>
      <w:lvlText w:val="o"/>
      <w:lvlJc w:val="left"/>
      <w:pPr>
        <w:ind w:left="1440" w:hanging="360"/>
      </w:pPr>
      <w:rPr>
        <w:rFonts w:ascii="Courier New" w:hAnsi="Courier New" w:hint="default"/>
      </w:rPr>
    </w:lvl>
    <w:lvl w:ilvl="2" w:tplc="0068F7DA">
      <w:start w:val="1"/>
      <w:numFmt w:val="bullet"/>
      <w:lvlText w:val=""/>
      <w:lvlJc w:val="left"/>
      <w:pPr>
        <w:ind w:left="2160" w:hanging="360"/>
      </w:pPr>
      <w:rPr>
        <w:rFonts w:ascii="Wingdings" w:hAnsi="Wingdings" w:hint="default"/>
      </w:rPr>
    </w:lvl>
    <w:lvl w:ilvl="3" w:tplc="F84AD956">
      <w:start w:val="1"/>
      <w:numFmt w:val="bullet"/>
      <w:lvlText w:val=""/>
      <w:lvlJc w:val="left"/>
      <w:pPr>
        <w:ind w:left="2880" w:hanging="360"/>
      </w:pPr>
      <w:rPr>
        <w:rFonts w:ascii="Symbol" w:hAnsi="Symbol" w:hint="default"/>
      </w:rPr>
    </w:lvl>
    <w:lvl w:ilvl="4" w:tplc="5E1E429A">
      <w:start w:val="1"/>
      <w:numFmt w:val="bullet"/>
      <w:lvlText w:val="o"/>
      <w:lvlJc w:val="left"/>
      <w:pPr>
        <w:ind w:left="3600" w:hanging="360"/>
      </w:pPr>
      <w:rPr>
        <w:rFonts w:ascii="Courier New" w:hAnsi="Courier New" w:hint="default"/>
      </w:rPr>
    </w:lvl>
    <w:lvl w:ilvl="5" w:tplc="67EAF5C6">
      <w:start w:val="1"/>
      <w:numFmt w:val="bullet"/>
      <w:lvlText w:val=""/>
      <w:lvlJc w:val="left"/>
      <w:pPr>
        <w:ind w:left="4320" w:hanging="360"/>
      </w:pPr>
      <w:rPr>
        <w:rFonts w:ascii="Wingdings" w:hAnsi="Wingdings" w:hint="default"/>
      </w:rPr>
    </w:lvl>
    <w:lvl w:ilvl="6" w:tplc="3CE0DFE6">
      <w:start w:val="1"/>
      <w:numFmt w:val="bullet"/>
      <w:lvlText w:val=""/>
      <w:lvlJc w:val="left"/>
      <w:pPr>
        <w:ind w:left="5040" w:hanging="360"/>
      </w:pPr>
      <w:rPr>
        <w:rFonts w:ascii="Symbol" w:hAnsi="Symbol" w:hint="default"/>
      </w:rPr>
    </w:lvl>
    <w:lvl w:ilvl="7" w:tplc="3C7839A6">
      <w:start w:val="1"/>
      <w:numFmt w:val="bullet"/>
      <w:lvlText w:val="o"/>
      <w:lvlJc w:val="left"/>
      <w:pPr>
        <w:ind w:left="5760" w:hanging="360"/>
      </w:pPr>
      <w:rPr>
        <w:rFonts w:ascii="Courier New" w:hAnsi="Courier New" w:hint="default"/>
      </w:rPr>
    </w:lvl>
    <w:lvl w:ilvl="8" w:tplc="F00A3280">
      <w:start w:val="1"/>
      <w:numFmt w:val="bullet"/>
      <w:lvlText w:val=""/>
      <w:lvlJc w:val="left"/>
      <w:pPr>
        <w:ind w:left="6480" w:hanging="360"/>
      </w:pPr>
      <w:rPr>
        <w:rFonts w:ascii="Wingdings" w:hAnsi="Wingdings" w:hint="default"/>
      </w:rPr>
    </w:lvl>
  </w:abstractNum>
  <w:abstractNum w:abstractNumId="30" w15:restartNumberingAfterBreak="0">
    <w:nsid w:val="6C507775"/>
    <w:multiLevelType w:val="hybridMultilevel"/>
    <w:tmpl w:val="B0B812FA"/>
    <w:lvl w:ilvl="0" w:tplc="97E4A88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C2154"/>
    <w:multiLevelType w:val="hybridMultilevel"/>
    <w:tmpl w:val="FFFFFFFF"/>
    <w:lvl w:ilvl="0" w:tplc="7D7C6A98">
      <w:start w:val="1"/>
      <w:numFmt w:val="bullet"/>
      <w:lvlText w:val="§"/>
      <w:lvlJc w:val="left"/>
      <w:pPr>
        <w:ind w:left="720" w:hanging="360"/>
      </w:pPr>
      <w:rPr>
        <w:rFonts w:ascii="Wingdings" w:hAnsi="Wingdings" w:hint="default"/>
      </w:rPr>
    </w:lvl>
    <w:lvl w:ilvl="1" w:tplc="A8DA5042">
      <w:start w:val="1"/>
      <w:numFmt w:val="bullet"/>
      <w:lvlText w:val="o"/>
      <w:lvlJc w:val="left"/>
      <w:pPr>
        <w:ind w:left="1440" w:hanging="360"/>
      </w:pPr>
      <w:rPr>
        <w:rFonts w:ascii="Courier New" w:hAnsi="Courier New" w:hint="default"/>
      </w:rPr>
    </w:lvl>
    <w:lvl w:ilvl="2" w:tplc="82BA7DCE">
      <w:start w:val="1"/>
      <w:numFmt w:val="bullet"/>
      <w:lvlText w:val=""/>
      <w:lvlJc w:val="left"/>
      <w:pPr>
        <w:ind w:left="2160" w:hanging="360"/>
      </w:pPr>
      <w:rPr>
        <w:rFonts w:ascii="Wingdings" w:hAnsi="Wingdings" w:hint="default"/>
      </w:rPr>
    </w:lvl>
    <w:lvl w:ilvl="3" w:tplc="B41C1A48">
      <w:start w:val="1"/>
      <w:numFmt w:val="bullet"/>
      <w:lvlText w:val=""/>
      <w:lvlJc w:val="left"/>
      <w:pPr>
        <w:ind w:left="2880" w:hanging="360"/>
      </w:pPr>
      <w:rPr>
        <w:rFonts w:ascii="Symbol" w:hAnsi="Symbol" w:hint="default"/>
      </w:rPr>
    </w:lvl>
    <w:lvl w:ilvl="4" w:tplc="9CF26FFE">
      <w:start w:val="1"/>
      <w:numFmt w:val="bullet"/>
      <w:lvlText w:val="o"/>
      <w:lvlJc w:val="left"/>
      <w:pPr>
        <w:ind w:left="3600" w:hanging="360"/>
      </w:pPr>
      <w:rPr>
        <w:rFonts w:ascii="Courier New" w:hAnsi="Courier New" w:hint="default"/>
      </w:rPr>
    </w:lvl>
    <w:lvl w:ilvl="5" w:tplc="C8306E4A">
      <w:start w:val="1"/>
      <w:numFmt w:val="bullet"/>
      <w:lvlText w:val=""/>
      <w:lvlJc w:val="left"/>
      <w:pPr>
        <w:ind w:left="4320" w:hanging="360"/>
      </w:pPr>
      <w:rPr>
        <w:rFonts w:ascii="Wingdings" w:hAnsi="Wingdings" w:hint="default"/>
      </w:rPr>
    </w:lvl>
    <w:lvl w:ilvl="6" w:tplc="6E8424F4">
      <w:start w:val="1"/>
      <w:numFmt w:val="bullet"/>
      <w:lvlText w:val=""/>
      <w:lvlJc w:val="left"/>
      <w:pPr>
        <w:ind w:left="5040" w:hanging="360"/>
      </w:pPr>
      <w:rPr>
        <w:rFonts w:ascii="Symbol" w:hAnsi="Symbol" w:hint="default"/>
      </w:rPr>
    </w:lvl>
    <w:lvl w:ilvl="7" w:tplc="EF36A8B4">
      <w:start w:val="1"/>
      <w:numFmt w:val="bullet"/>
      <w:lvlText w:val="o"/>
      <w:lvlJc w:val="left"/>
      <w:pPr>
        <w:ind w:left="5760" w:hanging="360"/>
      </w:pPr>
      <w:rPr>
        <w:rFonts w:ascii="Courier New" w:hAnsi="Courier New" w:hint="default"/>
      </w:rPr>
    </w:lvl>
    <w:lvl w:ilvl="8" w:tplc="933E4778">
      <w:start w:val="1"/>
      <w:numFmt w:val="bullet"/>
      <w:lvlText w:val=""/>
      <w:lvlJc w:val="left"/>
      <w:pPr>
        <w:ind w:left="6480" w:hanging="360"/>
      </w:pPr>
      <w:rPr>
        <w:rFonts w:ascii="Wingdings" w:hAnsi="Wingdings" w:hint="default"/>
      </w:rPr>
    </w:lvl>
  </w:abstractNum>
  <w:abstractNum w:abstractNumId="32" w15:restartNumberingAfterBreak="0">
    <w:nsid w:val="70CA4E42"/>
    <w:multiLevelType w:val="hybridMultilevel"/>
    <w:tmpl w:val="FFFFFFFF"/>
    <w:lvl w:ilvl="0" w:tplc="EB4EA0E2">
      <w:start w:val="1"/>
      <w:numFmt w:val="bullet"/>
      <w:lvlText w:val="§"/>
      <w:lvlJc w:val="left"/>
      <w:pPr>
        <w:ind w:left="720" w:hanging="360"/>
      </w:pPr>
      <w:rPr>
        <w:rFonts w:ascii="Wingdings" w:hAnsi="Wingdings" w:hint="default"/>
      </w:rPr>
    </w:lvl>
    <w:lvl w:ilvl="1" w:tplc="AA8EA37A">
      <w:start w:val="1"/>
      <w:numFmt w:val="bullet"/>
      <w:lvlText w:val="o"/>
      <w:lvlJc w:val="left"/>
      <w:pPr>
        <w:ind w:left="1440" w:hanging="360"/>
      </w:pPr>
      <w:rPr>
        <w:rFonts w:ascii="Courier New" w:hAnsi="Courier New" w:hint="default"/>
      </w:rPr>
    </w:lvl>
    <w:lvl w:ilvl="2" w:tplc="1676294C">
      <w:start w:val="1"/>
      <w:numFmt w:val="bullet"/>
      <w:lvlText w:val=""/>
      <w:lvlJc w:val="left"/>
      <w:pPr>
        <w:ind w:left="2160" w:hanging="360"/>
      </w:pPr>
      <w:rPr>
        <w:rFonts w:ascii="Wingdings" w:hAnsi="Wingdings" w:hint="default"/>
      </w:rPr>
    </w:lvl>
    <w:lvl w:ilvl="3" w:tplc="8D8249D8">
      <w:start w:val="1"/>
      <w:numFmt w:val="bullet"/>
      <w:lvlText w:val=""/>
      <w:lvlJc w:val="left"/>
      <w:pPr>
        <w:ind w:left="2880" w:hanging="360"/>
      </w:pPr>
      <w:rPr>
        <w:rFonts w:ascii="Symbol" w:hAnsi="Symbol" w:hint="default"/>
      </w:rPr>
    </w:lvl>
    <w:lvl w:ilvl="4" w:tplc="60D67D72">
      <w:start w:val="1"/>
      <w:numFmt w:val="bullet"/>
      <w:lvlText w:val="o"/>
      <w:lvlJc w:val="left"/>
      <w:pPr>
        <w:ind w:left="3600" w:hanging="360"/>
      </w:pPr>
      <w:rPr>
        <w:rFonts w:ascii="Courier New" w:hAnsi="Courier New" w:hint="default"/>
      </w:rPr>
    </w:lvl>
    <w:lvl w:ilvl="5" w:tplc="208603E8">
      <w:start w:val="1"/>
      <w:numFmt w:val="bullet"/>
      <w:lvlText w:val=""/>
      <w:lvlJc w:val="left"/>
      <w:pPr>
        <w:ind w:left="4320" w:hanging="360"/>
      </w:pPr>
      <w:rPr>
        <w:rFonts w:ascii="Wingdings" w:hAnsi="Wingdings" w:hint="default"/>
      </w:rPr>
    </w:lvl>
    <w:lvl w:ilvl="6" w:tplc="1DD82994">
      <w:start w:val="1"/>
      <w:numFmt w:val="bullet"/>
      <w:lvlText w:val=""/>
      <w:lvlJc w:val="left"/>
      <w:pPr>
        <w:ind w:left="5040" w:hanging="360"/>
      </w:pPr>
      <w:rPr>
        <w:rFonts w:ascii="Symbol" w:hAnsi="Symbol" w:hint="default"/>
      </w:rPr>
    </w:lvl>
    <w:lvl w:ilvl="7" w:tplc="9F90EF0A">
      <w:start w:val="1"/>
      <w:numFmt w:val="bullet"/>
      <w:lvlText w:val="o"/>
      <w:lvlJc w:val="left"/>
      <w:pPr>
        <w:ind w:left="5760" w:hanging="360"/>
      </w:pPr>
      <w:rPr>
        <w:rFonts w:ascii="Courier New" w:hAnsi="Courier New" w:hint="default"/>
      </w:rPr>
    </w:lvl>
    <w:lvl w:ilvl="8" w:tplc="E29C3B22">
      <w:start w:val="1"/>
      <w:numFmt w:val="bullet"/>
      <w:lvlText w:val=""/>
      <w:lvlJc w:val="left"/>
      <w:pPr>
        <w:ind w:left="6480" w:hanging="360"/>
      </w:pPr>
      <w:rPr>
        <w:rFonts w:ascii="Wingdings" w:hAnsi="Wingdings" w:hint="default"/>
      </w:rPr>
    </w:lvl>
  </w:abstractNum>
  <w:abstractNum w:abstractNumId="33" w15:restartNumberingAfterBreak="0">
    <w:nsid w:val="75E47652"/>
    <w:multiLevelType w:val="hybridMultilevel"/>
    <w:tmpl w:val="FFFFFFFF"/>
    <w:lvl w:ilvl="0" w:tplc="155E03BA">
      <w:start w:val="1"/>
      <w:numFmt w:val="bullet"/>
      <w:lvlText w:val="§"/>
      <w:lvlJc w:val="left"/>
      <w:pPr>
        <w:ind w:left="720" w:hanging="360"/>
      </w:pPr>
      <w:rPr>
        <w:rFonts w:ascii="Wingdings" w:hAnsi="Wingdings" w:hint="default"/>
      </w:rPr>
    </w:lvl>
    <w:lvl w:ilvl="1" w:tplc="5AD4CABA">
      <w:start w:val="1"/>
      <w:numFmt w:val="bullet"/>
      <w:lvlText w:val="o"/>
      <w:lvlJc w:val="left"/>
      <w:pPr>
        <w:ind w:left="1440" w:hanging="360"/>
      </w:pPr>
      <w:rPr>
        <w:rFonts w:ascii="Courier New" w:hAnsi="Courier New" w:hint="default"/>
      </w:rPr>
    </w:lvl>
    <w:lvl w:ilvl="2" w:tplc="BC0EDFA0">
      <w:start w:val="1"/>
      <w:numFmt w:val="bullet"/>
      <w:lvlText w:val=""/>
      <w:lvlJc w:val="left"/>
      <w:pPr>
        <w:ind w:left="2160" w:hanging="360"/>
      </w:pPr>
      <w:rPr>
        <w:rFonts w:ascii="Wingdings" w:hAnsi="Wingdings" w:hint="default"/>
      </w:rPr>
    </w:lvl>
    <w:lvl w:ilvl="3" w:tplc="7B0C1D1C">
      <w:start w:val="1"/>
      <w:numFmt w:val="bullet"/>
      <w:lvlText w:val=""/>
      <w:lvlJc w:val="left"/>
      <w:pPr>
        <w:ind w:left="2880" w:hanging="360"/>
      </w:pPr>
      <w:rPr>
        <w:rFonts w:ascii="Symbol" w:hAnsi="Symbol" w:hint="default"/>
      </w:rPr>
    </w:lvl>
    <w:lvl w:ilvl="4" w:tplc="0D664A9E">
      <w:start w:val="1"/>
      <w:numFmt w:val="bullet"/>
      <w:lvlText w:val="o"/>
      <w:lvlJc w:val="left"/>
      <w:pPr>
        <w:ind w:left="3600" w:hanging="360"/>
      </w:pPr>
      <w:rPr>
        <w:rFonts w:ascii="Courier New" w:hAnsi="Courier New" w:hint="default"/>
      </w:rPr>
    </w:lvl>
    <w:lvl w:ilvl="5" w:tplc="1166EF8C">
      <w:start w:val="1"/>
      <w:numFmt w:val="bullet"/>
      <w:lvlText w:val=""/>
      <w:lvlJc w:val="left"/>
      <w:pPr>
        <w:ind w:left="4320" w:hanging="360"/>
      </w:pPr>
      <w:rPr>
        <w:rFonts w:ascii="Wingdings" w:hAnsi="Wingdings" w:hint="default"/>
      </w:rPr>
    </w:lvl>
    <w:lvl w:ilvl="6" w:tplc="5E484498">
      <w:start w:val="1"/>
      <w:numFmt w:val="bullet"/>
      <w:lvlText w:val=""/>
      <w:lvlJc w:val="left"/>
      <w:pPr>
        <w:ind w:left="5040" w:hanging="360"/>
      </w:pPr>
      <w:rPr>
        <w:rFonts w:ascii="Symbol" w:hAnsi="Symbol" w:hint="default"/>
      </w:rPr>
    </w:lvl>
    <w:lvl w:ilvl="7" w:tplc="DD50F5A0">
      <w:start w:val="1"/>
      <w:numFmt w:val="bullet"/>
      <w:lvlText w:val="o"/>
      <w:lvlJc w:val="left"/>
      <w:pPr>
        <w:ind w:left="5760" w:hanging="360"/>
      </w:pPr>
      <w:rPr>
        <w:rFonts w:ascii="Courier New" w:hAnsi="Courier New" w:hint="default"/>
      </w:rPr>
    </w:lvl>
    <w:lvl w:ilvl="8" w:tplc="9E9C3E3C">
      <w:start w:val="1"/>
      <w:numFmt w:val="bullet"/>
      <w:lvlText w:val=""/>
      <w:lvlJc w:val="left"/>
      <w:pPr>
        <w:ind w:left="6480" w:hanging="360"/>
      </w:pPr>
      <w:rPr>
        <w:rFonts w:ascii="Wingdings" w:hAnsi="Wingdings" w:hint="default"/>
      </w:rPr>
    </w:lvl>
  </w:abstractNum>
  <w:abstractNum w:abstractNumId="34" w15:restartNumberingAfterBreak="0">
    <w:nsid w:val="7A667DE3"/>
    <w:multiLevelType w:val="hybridMultilevel"/>
    <w:tmpl w:val="18B2E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D309B0"/>
    <w:multiLevelType w:val="hybridMultilevel"/>
    <w:tmpl w:val="FFFFFFFF"/>
    <w:lvl w:ilvl="0" w:tplc="C25AAB2E">
      <w:start w:val="1"/>
      <w:numFmt w:val="bullet"/>
      <w:lvlText w:val="§"/>
      <w:lvlJc w:val="left"/>
      <w:pPr>
        <w:ind w:left="720" w:hanging="360"/>
      </w:pPr>
      <w:rPr>
        <w:rFonts w:ascii="Wingdings" w:hAnsi="Wingdings" w:hint="default"/>
      </w:rPr>
    </w:lvl>
    <w:lvl w:ilvl="1" w:tplc="83BA17FC">
      <w:start w:val="1"/>
      <w:numFmt w:val="bullet"/>
      <w:lvlText w:val="o"/>
      <w:lvlJc w:val="left"/>
      <w:pPr>
        <w:ind w:left="1440" w:hanging="360"/>
      </w:pPr>
      <w:rPr>
        <w:rFonts w:ascii="Courier New" w:hAnsi="Courier New" w:hint="default"/>
      </w:rPr>
    </w:lvl>
    <w:lvl w:ilvl="2" w:tplc="7F6255CA">
      <w:start w:val="1"/>
      <w:numFmt w:val="bullet"/>
      <w:lvlText w:val=""/>
      <w:lvlJc w:val="left"/>
      <w:pPr>
        <w:ind w:left="2160" w:hanging="360"/>
      </w:pPr>
      <w:rPr>
        <w:rFonts w:ascii="Wingdings" w:hAnsi="Wingdings" w:hint="default"/>
      </w:rPr>
    </w:lvl>
    <w:lvl w:ilvl="3" w:tplc="7DCEBE90">
      <w:start w:val="1"/>
      <w:numFmt w:val="bullet"/>
      <w:lvlText w:val=""/>
      <w:lvlJc w:val="left"/>
      <w:pPr>
        <w:ind w:left="2880" w:hanging="360"/>
      </w:pPr>
      <w:rPr>
        <w:rFonts w:ascii="Symbol" w:hAnsi="Symbol" w:hint="default"/>
      </w:rPr>
    </w:lvl>
    <w:lvl w:ilvl="4" w:tplc="334C7392">
      <w:start w:val="1"/>
      <w:numFmt w:val="bullet"/>
      <w:lvlText w:val="o"/>
      <w:lvlJc w:val="left"/>
      <w:pPr>
        <w:ind w:left="3600" w:hanging="360"/>
      </w:pPr>
      <w:rPr>
        <w:rFonts w:ascii="Courier New" w:hAnsi="Courier New" w:hint="default"/>
      </w:rPr>
    </w:lvl>
    <w:lvl w:ilvl="5" w:tplc="30B28A56">
      <w:start w:val="1"/>
      <w:numFmt w:val="bullet"/>
      <w:lvlText w:val=""/>
      <w:lvlJc w:val="left"/>
      <w:pPr>
        <w:ind w:left="4320" w:hanging="360"/>
      </w:pPr>
      <w:rPr>
        <w:rFonts w:ascii="Wingdings" w:hAnsi="Wingdings" w:hint="default"/>
      </w:rPr>
    </w:lvl>
    <w:lvl w:ilvl="6" w:tplc="766ED568">
      <w:start w:val="1"/>
      <w:numFmt w:val="bullet"/>
      <w:lvlText w:val=""/>
      <w:lvlJc w:val="left"/>
      <w:pPr>
        <w:ind w:left="5040" w:hanging="360"/>
      </w:pPr>
      <w:rPr>
        <w:rFonts w:ascii="Symbol" w:hAnsi="Symbol" w:hint="default"/>
      </w:rPr>
    </w:lvl>
    <w:lvl w:ilvl="7" w:tplc="814A828E">
      <w:start w:val="1"/>
      <w:numFmt w:val="bullet"/>
      <w:lvlText w:val="o"/>
      <w:lvlJc w:val="left"/>
      <w:pPr>
        <w:ind w:left="5760" w:hanging="360"/>
      </w:pPr>
      <w:rPr>
        <w:rFonts w:ascii="Courier New" w:hAnsi="Courier New" w:hint="default"/>
      </w:rPr>
    </w:lvl>
    <w:lvl w:ilvl="8" w:tplc="283A9CFE">
      <w:start w:val="1"/>
      <w:numFmt w:val="bullet"/>
      <w:lvlText w:val=""/>
      <w:lvlJc w:val="left"/>
      <w:pPr>
        <w:ind w:left="6480" w:hanging="360"/>
      </w:pPr>
      <w:rPr>
        <w:rFonts w:ascii="Wingdings" w:hAnsi="Wingdings" w:hint="default"/>
      </w:rPr>
    </w:lvl>
  </w:abstractNum>
  <w:abstractNum w:abstractNumId="36" w15:restartNumberingAfterBreak="0">
    <w:nsid w:val="7E3C0BBA"/>
    <w:multiLevelType w:val="hybridMultilevel"/>
    <w:tmpl w:val="8356E906"/>
    <w:lvl w:ilvl="0" w:tplc="D37AA28C">
      <w:start w:val="4"/>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117F2"/>
    <w:multiLevelType w:val="hybridMultilevel"/>
    <w:tmpl w:val="18B2E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972829"/>
    <w:multiLevelType w:val="hybridMultilevel"/>
    <w:tmpl w:val="FFFFFFFF"/>
    <w:lvl w:ilvl="0" w:tplc="CBAC02CA">
      <w:start w:val="1"/>
      <w:numFmt w:val="bullet"/>
      <w:lvlText w:val="§"/>
      <w:lvlJc w:val="left"/>
      <w:pPr>
        <w:ind w:left="720" w:hanging="360"/>
      </w:pPr>
      <w:rPr>
        <w:rFonts w:ascii="Wingdings" w:hAnsi="Wingdings" w:hint="default"/>
      </w:rPr>
    </w:lvl>
    <w:lvl w:ilvl="1" w:tplc="579EA4C0">
      <w:start w:val="1"/>
      <w:numFmt w:val="bullet"/>
      <w:lvlText w:val="o"/>
      <w:lvlJc w:val="left"/>
      <w:pPr>
        <w:ind w:left="1440" w:hanging="360"/>
      </w:pPr>
      <w:rPr>
        <w:rFonts w:ascii="Courier New" w:hAnsi="Courier New" w:hint="default"/>
      </w:rPr>
    </w:lvl>
    <w:lvl w:ilvl="2" w:tplc="F99EEC96">
      <w:start w:val="1"/>
      <w:numFmt w:val="bullet"/>
      <w:lvlText w:val=""/>
      <w:lvlJc w:val="left"/>
      <w:pPr>
        <w:ind w:left="2160" w:hanging="360"/>
      </w:pPr>
      <w:rPr>
        <w:rFonts w:ascii="Wingdings" w:hAnsi="Wingdings" w:hint="default"/>
      </w:rPr>
    </w:lvl>
    <w:lvl w:ilvl="3" w:tplc="D1D20C1E">
      <w:start w:val="1"/>
      <w:numFmt w:val="bullet"/>
      <w:lvlText w:val=""/>
      <w:lvlJc w:val="left"/>
      <w:pPr>
        <w:ind w:left="2880" w:hanging="360"/>
      </w:pPr>
      <w:rPr>
        <w:rFonts w:ascii="Symbol" w:hAnsi="Symbol" w:hint="default"/>
      </w:rPr>
    </w:lvl>
    <w:lvl w:ilvl="4" w:tplc="52AAB356">
      <w:start w:val="1"/>
      <w:numFmt w:val="bullet"/>
      <w:lvlText w:val="o"/>
      <w:lvlJc w:val="left"/>
      <w:pPr>
        <w:ind w:left="3600" w:hanging="360"/>
      </w:pPr>
      <w:rPr>
        <w:rFonts w:ascii="Courier New" w:hAnsi="Courier New" w:hint="default"/>
      </w:rPr>
    </w:lvl>
    <w:lvl w:ilvl="5" w:tplc="698C8192">
      <w:start w:val="1"/>
      <w:numFmt w:val="bullet"/>
      <w:lvlText w:val=""/>
      <w:lvlJc w:val="left"/>
      <w:pPr>
        <w:ind w:left="4320" w:hanging="360"/>
      </w:pPr>
      <w:rPr>
        <w:rFonts w:ascii="Wingdings" w:hAnsi="Wingdings" w:hint="default"/>
      </w:rPr>
    </w:lvl>
    <w:lvl w:ilvl="6" w:tplc="61E4F53C">
      <w:start w:val="1"/>
      <w:numFmt w:val="bullet"/>
      <w:lvlText w:val=""/>
      <w:lvlJc w:val="left"/>
      <w:pPr>
        <w:ind w:left="5040" w:hanging="360"/>
      </w:pPr>
      <w:rPr>
        <w:rFonts w:ascii="Symbol" w:hAnsi="Symbol" w:hint="default"/>
      </w:rPr>
    </w:lvl>
    <w:lvl w:ilvl="7" w:tplc="80F838B8">
      <w:start w:val="1"/>
      <w:numFmt w:val="bullet"/>
      <w:lvlText w:val="o"/>
      <w:lvlJc w:val="left"/>
      <w:pPr>
        <w:ind w:left="5760" w:hanging="360"/>
      </w:pPr>
      <w:rPr>
        <w:rFonts w:ascii="Courier New" w:hAnsi="Courier New" w:hint="default"/>
      </w:rPr>
    </w:lvl>
    <w:lvl w:ilvl="8" w:tplc="45C61BCC">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6"/>
  </w:num>
  <w:num w:numId="4">
    <w:abstractNumId w:val="9"/>
  </w:num>
  <w:num w:numId="5">
    <w:abstractNumId w:val="22"/>
  </w:num>
  <w:num w:numId="6">
    <w:abstractNumId w:val="29"/>
  </w:num>
  <w:num w:numId="7">
    <w:abstractNumId w:val="8"/>
  </w:num>
  <w:num w:numId="8">
    <w:abstractNumId w:val="7"/>
  </w:num>
  <w:num w:numId="9">
    <w:abstractNumId w:val="4"/>
  </w:num>
  <w:num w:numId="10">
    <w:abstractNumId w:val="14"/>
  </w:num>
  <w:num w:numId="11">
    <w:abstractNumId w:val="0"/>
  </w:num>
  <w:num w:numId="12">
    <w:abstractNumId w:val="33"/>
  </w:num>
  <w:num w:numId="13">
    <w:abstractNumId w:val="31"/>
  </w:num>
  <w:num w:numId="14">
    <w:abstractNumId w:val="35"/>
  </w:num>
  <w:num w:numId="15">
    <w:abstractNumId w:val="28"/>
  </w:num>
  <w:num w:numId="16">
    <w:abstractNumId w:val="20"/>
  </w:num>
  <w:num w:numId="17">
    <w:abstractNumId w:val="3"/>
  </w:num>
  <w:num w:numId="18">
    <w:abstractNumId w:val="12"/>
  </w:num>
  <w:num w:numId="19">
    <w:abstractNumId w:val="32"/>
  </w:num>
  <w:num w:numId="20">
    <w:abstractNumId w:val="23"/>
  </w:num>
  <w:num w:numId="21">
    <w:abstractNumId w:val="16"/>
  </w:num>
  <w:num w:numId="22">
    <w:abstractNumId w:val="25"/>
  </w:num>
  <w:num w:numId="23">
    <w:abstractNumId w:val="38"/>
  </w:num>
  <w:num w:numId="24">
    <w:abstractNumId w:val="24"/>
  </w:num>
  <w:num w:numId="25">
    <w:abstractNumId w:val="1"/>
  </w:num>
  <w:num w:numId="26">
    <w:abstractNumId w:val="13"/>
  </w:num>
  <w:num w:numId="27">
    <w:abstractNumId w:val="18"/>
  </w:num>
  <w:num w:numId="28">
    <w:abstractNumId w:val="36"/>
  </w:num>
  <w:num w:numId="29">
    <w:abstractNumId w:val="11"/>
  </w:num>
  <w:num w:numId="30">
    <w:abstractNumId w:val="37"/>
  </w:num>
  <w:num w:numId="31">
    <w:abstractNumId w:val="2"/>
  </w:num>
  <w:num w:numId="32">
    <w:abstractNumId w:val="34"/>
  </w:num>
  <w:num w:numId="33">
    <w:abstractNumId w:val="17"/>
  </w:num>
  <w:num w:numId="34">
    <w:abstractNumId w:val="26"/>
  </w:num>
  <w:num w:numId="35">
    <w:abstractNumId w:val="10"/>
  </w:num>
  <w:num w:numId="36">
    <w:abstractNumId w:val="19"/>
  </w:num>
  <w:num w:numId="37">
    <w:abstractNumId w:val="5"/>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17"/>
    <w:rsid w:val="00026468"/>
    <w:rsid w:val="000C5D27"/>
    <w:rsid w:val="000C6648"/>
    <w:rsid w:val="00154A49"/>
    <w:rsid w:val="001A63CD"/>
    <w:rsid w:val="001B2C18"/>
    <w:rsid w:val="001C2800"/>
    <w:rsid w:val="002C5BFE"/>
    <w:rsid w:val="00343B22"/>
    <w:rsid w:val="004221C7"/>
    <w:rsid w:val="004A2D43"/>
    <w:rsid w:val="0054348F"/>
    <w:rsid w:val="00567E56"/>
    <w:rsid w:val="00595D4F"/>
    <w:rsid w:val="005B70A4"/>
    <w:rsid w:val="007C1A81"/>
    <w:rsid w:val="0085259D"/>
    <w:rsid w:val="00860D3A"/>
    <w:rsid w:val="008B3399"/>
    <w:rsid w:val="00992FDF"/>
    <w:rsid w:val="009D20E2"/>
    <w:rsid w:val="00AF00F8"/>
    <w:rsid w:val="00B11CB3"/>
    <w:rsid w:val="00BC057E"/>
    <w:rsid w:val="00C571D4"/>
    <w:rsid w:val="00CC5C63"/>
    <w:rsid w:val="00CF7917"/>
    <w:rsid w:val="00DA59C3"/>
    <w:rsid w:val="00DF0107"/>
    <w:rsid w:val="00EA1972"/>
    <w:rsid w:val="00F4439A"/>
    <w:rsid w:val="00F52586"/>
    <w:rsid w:val="00FA7A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6EBAE"/>
  <w15:chartTrackingRefBased/>
  <w15:docId w15:val="{699B2793-F0D0-4582-BFDF-1B889A9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17"/>
    <w:rPr>
      <w:lang w:val="fr-FR"/>
    </w:rPr>
  </w:style>
  <w:style w:type="paragraph" w:styleId="Heading1">
    <w:name w:val="heading 1"/>
    <w:basedOn w:val="Normal"/>
    <w:next w:val="Normal"/>
    <w:link w:val="Heading1Char"/>
    <w:uiPriority w:val="9"/>
    <w:qFormat/>
    <w:rsid w:val="00CF7917"/>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CF7917"/>
    <w:pPr>
      <w:keepNext/>
      <w:keepLines/>
      <w:spacing w:before="40" w:after="0"/>
      <w:outlineLvl w:val="1"/>
    </w:pPr>
    <w:rPr>
      <w:rFonts w:asciiTheme="majorHAnsi" w:eastAsiaTheme="majorEastAsia" w:hAnsiTheme="majorHAnsi" w:cstheme="majorBidi"/>
      <w:color w:val="2F5496" w:themeColor="accent1" w:themeShade="BF"/>
      <w:sz w:val="26"/>
      <w:szCs w:val="26"/>
      <w:lang w:eastAsia="en-GB"/>
    </w:rPr>
  </w:style>
  <w:style w:type="paragraph" w:styleId="Heading4">
    <w:name w:val="heading 4"/>
    <w:basedOn w:val="Normal"/>
    <w:next w:val="Normal"/>
    <w:link w:val="Heading4Char"/>
    <w:uiPriority w:val="9"/>
    <w:semiHidden/>
    <w:unhideWhenUsed/>
    <w:qFormat/>
    <w:rsid w:val="00CF79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17"/>
    <w:rPr>
      <w:rFonts w:asciiTheme="majorHAnsi" w:eastAsiaTheme="majorEastAsia" w:hAnsiTheme="majorHAnsi" w:cstheme="majorBidi"/>
      <w:color w:val="2F5496" w:themeColor="accent1" w:themeShade="BF"/>
      <w:sz w:val="32"/>
      <w:szCs w:val="32"/>
      <w:lang w:val="fr-FR" w:eastAsia="en-GB"/>
    </w:rPr>
  </w:style>
  <w:style w:type="character" w:customStyle="1" w:styleId="Heading2Char">
    <w:name w:val="Heading 2 Char"/>
    <w:basedOn w:val="DefaultParagraphFont"/>
    <w:link w:val="Heading2"/>
    <w:uiPriority w:val="9"/>
    <w:rsid w:val="00CF7917"/>
    <w:rPr>
      <w:rFonts w:asciiTheme="majorHAnsi" w:eastAsiaTheme="majorEastAsia" w:hAnsiTheme="majorHAnsi" w:cstheme="majorBidi"/>
      <w:color w:val="2F5496" w:themeColor="accent1" w:themeShade="BF"/>
      <w:sz w:val="26"/>
      <w:szCs w:val="26"/>
      <w:lang w:val="fr-FR" w:eastAsia="en-GB"/>
    </w:rPr>
  </w:style>
  <w:style w:type="character" w:customStyle="1" w:styleId="Heading4Char">
    <w:name w:val="Heading 4 Char"/>
    <w:basedOn w:val="DefaultParagraphFont"/>
    <w:link w:val="Heading4"/>
    <w:uiPriority w:val="9"/>
    <w:semiHidden/>
    <w:rsid w:val="00CF7917"/>
    <w:rPr>
      <w:rFonts w:asciiTheme="majorHAnsi" w:eastAsiaTheme="majorEastAsia" w:hAnsiTheme="majorHAnsi" w:cstheme="majorBidi"/>
      <w:i/>
      <w:iCs/>
      <w:color w:val="2F5496" w:themeColor="accent1" w:themeShade="BF"/>
      <w:lang w:val="fr-FR"/>
    </w:rPr>
  </w:style>
  <w:style w:type="character" w:styleId="CommentReference">
    <w:name w:val="annotation reference"/>
    <w:basedOn w:val="DefaultParagraphFont"/>
    <w:uiPriority w:val="99"/>
    <w:semiHidden/>
    <w:unhideWhenUsed/>
    <w:rsid w:val="00CF7917"/>
    <w:rPr>
      <w:sz w:val="16"/>
      <w:szCs w:val="16"/>
    </w:rPr>
  </w:style>
  <w:style w:type="paragraph" w:styleId="CommentText">
    <w:name w:val="annotation text"/>
    <w:basedOn w:val="Normal"/>
    <w:link w:val="CommentTextChar"/>
    <w:uiPriority w:val="99"/>
    <w:unhideWhenUsed/>
    <w:rsid w:val="00CF7917"/>
    <w:pPr>
      <w:spacing w:line="240" w:lineRule="auto"/>
    </w:pPr>
    <w:rPr>
      <w:sz w:val="20"/>
      <w:szCs w:val="20"/>
    </w:rPr>
  </w:style>
  <w:style w:type="character" w:customStyle="1" w:styleId="CommentTextChar">
    <w:name w:val="Comment Text Char"/>
    <w:basedOn w:val="DefaultParagraphFont"/>
    <w:link w:val="CommentText"/>
    <w:uiPriority w:val="99"/>
    <w:rsid w:val="00CF7917"/>
    <w:rPr>
      <w:sz w:val="20"/>
      <w:szCs w:val="20"/>
      <w:lang w:val="fr-FR"/>
    </w:rPr>
  </w:style>
  <w:style w:type="table" w:styleId="TableGrid">
    <w:name w:val="Table Grid"/>
    <w:basedOn w:val="TableNormal"/>
    <w:uiPriority w:val="39"/>
    <w:rsid w:val="00CF791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917"/>
    <w:rPr>
      <w:color w:val="0563C1" w:themeColor="hyperlink"/>
      <w:u w:val="single"/>
    </w:rPr>
  </w:style>
  <w:style w:type="character" w:styleId="FootnoteReference">
    <w:name w:val="footnote reference"/>
    <w:basedOn w:val="DefaultParagraphFont"/>
    <w:semiHidden/>
    <w:unhideWhenUsed/>
    <w:rsid w:val="00CF7917"/>
    <w:rPr>
      <w:vertAlign w:val="superscript"/>
    </w:rPr>
  </w:style>
  <w:style w:type="paragraph" w:styleId="FootnoteText">
    <w:name w:val="footnote text"/>
    <w:basedOn w:val="Normal"/>
    <w:link w:val="FootnoteTextChar"/>
    <w:semiHidden/>
    <w:unhideWhenUsed/>
    <w:rsid w:val="00CF7917"/>
    <w:pPr>
      <w:spacing w:after="0" w:line="240" w:lineRule="auto"/>
    </w:pPr>
    <w:rPr>
      <w:rFonts w:ascii="Calibri" w:eastAsia="Calibri" w:hAnsi="Calibri" w:cs="Calibri"/>
      <w:sz w:val="20"/>
      <w:szCs w:val="20"/>
      <w:lang w:eastAsia="en-GB"/>
    </w:rPr>
  </w:style>
  <w:style w:type="character" w:customStyle="1" w:styleId="FootnoteTextChar">
    <w:name w:val="Footnote Text Char"/>
    <w:basedOn w:val="DefaultParagraphFont"/>
    <w:link w:val="FootnoteText"/>
    <w:semiHidden/>
    <w:rsid w:val="00CF7917"/>
    <w:rPr>
      <w:rFonts w:ascii="Calibri" w:eastAsia="Calibri" w:hAnsi="Calibri" w:cs="Calibri"/>
      <w:sz w:val="20"/>
      <w:szCs w:val="20"/>
      <w:lang w:val="fr-FR" w:eastAsia="en-GB"/>
    </w:rPr>
  </w:style>
  <w:style w:type="character" w:styleId="Emphasis">
    <w:name w:val="Emphasis"/>
    <w:basedOn w:val="DefaultParagraphFont"/>
    <w:uiPriority w:val="20"/>
    <w:qFormat/>
    <w:rsid w:val="00CF7917"/>
    <w:rPr>
      <w:i/>
      <w:iCs/>
    </w:rPr>
  </w:style>
  <w:style w:type="paragraph" w:styleId="BalloonText">
    <w:name w:val="Balloon Text"/>
    <w:basedOn w:val="Normal"/>
    <w:link w:val="BalloonTextChar"/>
    <w:uiPriority w:val="99"/>
    <w:semiHidden/>
    <w:unhideWhenUsed/>
    <w:rsid w:val="00CF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17"/>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CF7917"/>
    <w:rPr>
      <w:b/>
      <w:bCs/>
    </w:rPr>
  </w:style>
  <w:style w:type="character" w:customStyle="1" w:styleId="CommentSubjectChar">
    <w:name w:val="Comment Subject Char"/>
    <w:basedOn w:val="CommentTextChar"/>
    <w:link w:val="CommentSubject"/>
    <w:uiPriority w:val="99"/>
    <w:semiHidden/>
    <w:rsid w:val="00CF7917"/>
    <w:rPr>
      <w:b/>
      <w:bCs/>
      <w:sz w:val="20"/>
      <w:szCs w:val="20"/>
      <w:lang w:val="fr-FR"/>
    </w:rPr>
  </w:style>
  <w:style w:type="paragraph" w:styleId="ListParagraph">
    <w:name w:val="List Paragraph"/>
    <w:basedOn w:val="Normal"/>
    <w:uiPriority w:val="34"/>
    <w:qFormat/>
    <w:rsid w:val="00CF7917"/>
    <w:pPr>
      <w:ind w:left="720"/>
      <w:contextualSpacing/>
    </w:pPr>
  </w:style>
  <w:style w:type="character" w:styleId="UnresolvedMention">
    <w:name w:val="Unresolved Mention"/>
    <w:basedOn w:val="DefaultParagraphFont"/>
    <w:uiPriority w:val="99"/>
    <w:unhideWhenUsed/>
    <w:rsid w:val="00CF7917"/>
    <w:rPr>
      <w:color w:val="605E5C"/>
      <w:shd w:val="clear" w:color="auto" w:fill="E1DFDD"/>
    </w:rPr>
  </w:style>
  <w:style w:type="paragraph" w:styleId="Header">
    <w:name w:val="header"/>
    <w:basedOn w:val="Normal"/>
    <w:link w:val="HeaderChar"/>
    <w:uiPriority w:val="99"/>
    <w:unhideWhenUsed/>
    <w:rsid w:val="00CF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917"/>
    <w:rPr>
      <w:lang w:val="fr-FR"/>
    </w:rPr>
  </w:style>
  <w:style w:type="paragraph" w:styleId="Footer">
    <w:name w:val="footer"/>
    <w:basedOn w:val="Normal"/>
    <w:link w:val="FooterChar"/>
    <w:uiPriority w:val="99"/>
    <w:unhideWhenUsed/>
    <w:rsid w:val="00CF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917"/>
    <w:rPr>
      <w:lang w:val="fr-FR"/>
    </w:rPr>
  </w:style>
  <w:style w:type="character" w:styleId="Mention">
    <w:name w:val="Mention"/>
    <w:basedOn w:val="DefaultParagraphFont"/>
    <w:uiPriority w:val="99"/>
    <w:unhideWhenUsed/>
    <w:rsid w:val="00CF7917"/>
    <w:rPr>
      <w:color w:val="2B579A"/>
      <w:shd w:val="clear" w:color="auto" w:fill="E1DFDD"/>
    </w:rPr>
  </w:style>
  <w:style w:type="character" w:styleId="FollowedHyperlink">
    <w:name w:val="FollowedHyperlink"/>
    <w:basedOn w:val="DefaultParagraphFont"/>
    <w:uiPriority w:val="99"/>
    <w:semiHidden/>
    <w:unhideWhenUsed/>
    <w:rsid w:val="00CF7917"/>
    <w:rPr>
      <w:color w:val="954F72" w:themeColor="followedHyperlink"/>
      <w:u w:val="single"/>
    </w:rPr>
  </w:style>
  <w:style w:type="paragraph" w:styleId="Revision">
    <w:name w:val="Revision"/>
    <w:hidden/>
    <w:uiPriority w:val="99"/>
    <w:semiHidden/>
    <w:rsid w:val="00CF7917"/>
    <w:pPr>
      <w:spacing w:after="0" w:line="240" w:lineRule="auto"/>
    </w:pPr>
    <w:rPr>
      <w:lang w:val="fr-FR"/>
    </w:rPr>
  </w:style>
  <w:style w:type="paragraph" w:styleId="NormalWeb">
    <w:name w:val="Normal (Web)"/>
    <w:basedOn w:val="Normal"/>
    <w:uiPriority w:val="99"/>
    <w:semiHidden/>
    <w:unhideWhenUsed/>
    <w:rsid w:val="00CF79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CF7917"/>
    <w:pPr>
      <w:outlineLvl w:val="9"/>
    </w:pPr>
    <w:rPr>
      <w:lang w:eastAsia="en-US"/>
    </w:rPr>
  </w:style>
  <w:style w:type="paragraph" w:styleId="TOC1">
    <w:name w:val="toc 1"/>
    <w:basedOn w:val="Normal"/>
    <w:next w:val="Normal"/>
    <w:autoRedefine/>
    <w:uiPriority w:val="39"/>
    <w:unhideWhenUsed/>
    <w:rsid w:val="00CF7917"/>
    <w:pPr>
      <w:spacing w:after="100"/>
    </w:pPr>
    <w:rPr>
      <w:rFonts w:ascii="Calibri" w:eastAsia="Calibri" w:hAnsi="Calibri" w:cs="Calibri"/>
      <w:lang w:eastAsia="en-GB"/>
    </w:rPr>
  </w:style>
  <w:style w:type="paragraph" w:styleId="TOC2">
    <w:name w:val="toc 2"/>
    <w:basedOn w:val="Normal"/>
    <w:next w:val="Normal"/>
    <w:autoRedefine/>
    <w:uiPriority w:val="39"/>
    <w:unhideWhenUsed/>
    <w:rsid w:val="00CF7917"/>
    <w:pPr>
      <w:tabs>
        <w:tab w:val="right" w:leader="dot" w:pos="9016"/>
      </w:tabs>
      <w:spacing w:after="100"/>
      <w:ind w:left="220"/>
    </w:pPr>
  </w:style>
  <w:style w:type="paragraph" w:styleId="Title">
    <w:name w:val="Title"/>
    <w:basedOn w:val="Normal"/>
    <w:next w:val="Subtitle"/>
    <w:link w:val="TitleChar"/>
    <w:autoRedefine/>
    <w:uiPriority w:val="10"/>
    <w:qFormat/>
    <w:rsid w:val="00CF7917"/>
    <w:pPr>
      <w:spacing w:before="720" w:after="360" w:line="240" w:lineRule="auto"/>
      <w:contextualSpacing/>
    </w:pPr>
    <w:rPr>
      <w:rFonts w:ascii="Impact" w:eastAsiaTheme="majorEastAsia" w:hAnsi="Impact" w:cs="Times New Roman (Headings CS)"/>
      <w:caps/>
      <w:color w:val="FFFFFF" w:themeColor="background1"/>
      <w:spacing w:val="-10"/>
      <w:kern w:val="28"/>
      <w:sz w:val="52"/>
      <w:szCs w:val="52"/>
    </w:rPr>
  </w:style>
  <w:style w:type="character" w:customStyle="1" w:styleId="TitleChar">
    <w:name w:val="Title Char"/>
    <w:basedOn w:val="DefaultParagraphFont"/>
    <w:link w:val="Title"/>
    <w:uiPriority w:val="10"/>
    <w:rsid w:val="00CF7917"/>
    <w:rPr>
      <w:rFonts w:ascii="Impact" w:eastAsiaTheme="majorEastAsia" w:hAnsi="Impact" w:cs="Times New Roman (Headings CS)"/>
      <w:caps/>
      <w:color w:val="FFFFFF" w:themeColor="background1"/>
      <w:spacing w:val="-10"/>
      <w:kern w:val="28"/>
      <w:sz w:val="52"/>
      <w:szCs w:val="52"/>
      <w:lang w:val="fr-FR"/>
    </w:rPr>
  </w:style>
  <w:style w:type="paragraph" w:styleId="Subtitle">
    <w:name w:val="Subtitle"/>
    <w:basedOn w:val="Normal"/>
    <w:next w:val="Normal"/>
    <w:link w:val="SubtitleChar"/>
    <w:autoRedefine/>
    <w:uiPriority w:val="11"/>
    <w:qFormat/>
    <w:rsid w:val="00CF7917"/>
    <w:pPr>
      <w:numPr>
        <w:ilvl w:val="1"/>
      </w:numPr>
      <w:spacing w:after="840" w:line="500" w:lineRule="exact"/>
    </w:pPr>
    <w:rPr>
      <w:rFonts w:eastAsiaTheme="minorEastAsia"/>
      <w:b/>
      <w:color w:val="E7E6E6" w:themeColor="background2"/>
      <w:spacing w:val="15"/>
      <w:sz w:val="44"/>
    </w:rPr>
  </w:style>
  <w:style w:type="character" w:customStyle="1" w:styleId="SubtitleChar">
    <w:name w:val="Subtitle Char"/>
    <w:basedOn w:val="DefaultParagraphFont"/>
    <w:link w:val="Subtitle"/>
    <w:uiPriority w:val="11"/>
    <w:rsid w:val="00CF7917"/>
    <w:rPr>
      <w:rFonts w:eastAsiaTheme="minorEastAsia"/>
      <w:b/>
      <w:color w:val="E7E6E6" w:themeColor="background2"/>
      <w:spacing w:val="15"/>
      <w:sz w:val="44"/>
      <w:lang w:val="fr-FR"/>
    </w:rPr>
  </w:style>
  <w:style w:type="paragraph" w:customStyle="1" w:styleId="paragraph">
    <w:name w:val="paragraph"/>
    <w:basedOn w:val="Normal"/>
    <w:rsid w:val="00CF7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7917"/>
  </w:style>
  <w:style w:type="character" w:customStyle="1" w:styleId="eop">
    <w:name w:val="eop"/>
    <w:basedOn w:val="DefaultParagraphFont"/>
    <w:rsid w:val="00CF7917"/>
  </w:style>
  <w:style w:type="character" w:customStyle="1" w:styleId="scxw124125059">
    <w:name w:val="scxw124125059"/>
    <w:basedOn w:val="DefaultParagraphFont"/>
    <w:rsid w:val="00CF7917"/>
  </w:style>
  <w:style w:type="character" w:customStyle="1" w:styleId="highlight">
    <w:name w:val="highlight"/>
    <w:basedOn w:val="DefaultParagraphFont"/>
    <w:rsid w:val="00CF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fr/page/decisions-1316-%C3%A0-1319-application-de-l%E2%80%99article-iii-de-la-convention-concernant-le-commerce" TargetMode="External"/><Relationship Id="rId13" Type="http://schemas.openxmlformats.org/officeDocument/2006/relationships/hyperlink" Target="https://www.cms.int/fr/page/decisions-1324-%C3%A0-1326-%C3%A9tat-de-conservation-des-esp%C3%A8ces-migratrices"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ms.int/fr/page/decisions-1324-%C3%A0-1326-%C3%A9tat-de-conservation-des-esp%C3%A8ces-migratrices" TargetMode="External"/><Relationship Id="rId17" Type="http://schemas.openxmlformats.org/officeDocument/2006/relationships/hyperlink" Target="https://www.cms.int/fr/page/decisions-1324-%C3%A0-1326-%C3%A9tat-de-conservation-des-esp%C3%A8ces-migratrice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ites.org/fra/node/57061"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fr/page/decisions-1316-%C3%A0-1319-application-de-l%E2%80%99article-iii-de-la-convention-concernant-le-commerc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cites.org/fra/node/57061" TargetMode="External"/><Relationship Id="rId23" Type="http://schemas.openxmlformats.org/officeDocument/2006/relationships/hyperlink" Target="https://www.cms.int/fr/page/decisions-1316-%C3%A0-1319-application-de-l%E2%80%99article-iii-de-la-convention-concernant-le-commerce" TargetMode="External"/><Relationship Id="rId28" Type="http://schemas.openxmlformats.org/officeDocument/2006/relationships/header" Target="header7.xml"/><Relationship Id="rId10" Type="http://schemas.openxmlformats.org/officeDocument/2006/relationships/hyperlink" Target="https://www.cms.int/fr/page/decisions-1324-%C3%A0-1326-%C3%A9tat-de-conservation-des-esp%C3%A8ces-migratric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int/fr/page/decisions-1324-%C3%A0-1326-%C3%A9tat-de-conservation-des-esp%C3%A8ces-migratrices" TargetMode="External"/><Relationship Id="rId14" Type="http://schemas.openxmlformats.org/officeDocument/2006/relationships/hyperlink" Target="https://cites.org/sites/default/files/fra/com/ac-pc/ac31-pc25/F-AC31-09-PC25-10.pdf"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rade.cites.org/" TargetMode="External"/><Relationship Id="rId13" Type="http://schemas.openxmlformats.org/officeDocument/2006/relationships/hyperlink" Target="https://www.cms.int/fr/node/19343" TargetMode="External"/><Relationship Id="rId3" Type="http://schemas.openxmlformats.org/officeDocument/2006/relationships/hyperlink" Target="http://www.iucnredlist.org" TargetMode="External"/><Relationship Id="rId7" Type="http://schemas.openxmlformats.org/officeDocument/2006/relationships/hyperlink" Target="https://www.iucnredlist.org/fr/resources/threat-classification-scheme" TargetMode="External"/><Relationship Id="rId12" Type="http://schemas.openxmlformats.org/officeDocument/2006/relationships/hyperlink" Target="https://www.cms.int/fr/documents/national-reports" TargetMode="External"/><Relationship Id="rId2" Type="http://schemas.openxmlformats.org/officeDocument/2006/relationships/hyperlink" Target="https://www.cms.int/fr/node/19343" TargetMode="External"/><Relationship Id="rId16" Type="http://schemas.openxmlformats.org/officeDocument/2006/relationships/hyperlink" Target="https://dataportal.senckenberg.de/dataset/migratory-behaviour-in-birds-a-classification-across-all-living-species" TargetMode="External"/><Relationship Id="rId1" Type="http://schemas.openxmlformats.org/officeDocument/2006/relationships/hyperlink" Target="https://www.cms.int/fr/documents/national-reports" TargetMode="External"/><Relationship Id="rId6" Type="http://schemas.openxmlformats.org/officeDocument/2006/relationships/hyperlink" Target="https://figshare.com/collections/Using_species_co-occurrence_patterns_to_quantify_relative_habitat_breadth_in_terrestrial_vertebrates/3308385" TargetMode="External"/><Relationship Id="rId11" Type="http://schemas.openxmlformats.org/officeDocument/2006/relationships/hyperlink" Target="http://www.cites.org" TargetMode="External"/><Relationship Id="rId5" Type="http://schemas.openxmlformats.org/officeDocument/2006/relationships/hyperlink" Target="https://www.fishbase.se/" TargetMode="External"/><Relationship Id="rId15" Type="http://schemas.openxmlformats.org/officeDocument/2006/relationships/hyperlink" Target="https://doi.org/10.1111/jav.01308" TargetMode="External"/><Relationship Id="rId10" Type="http://schemas.openxmlformats.org/officeDocument/2006/relationships/hyperlink" Target="https://nc.iucnredlist.org/redlist/content/attachment_files/Dec_2012_Guidance_on_Threat_Impact_Scoring_Revised.pdf" TargetMode="External"/><Relationship Id="rId4" Type="http://schemas.openxmlformats.org/officeDocument/2006/relationships/hyperlink" Target="https://genomics.senescence.info/" TargetMode="External"/><Relationship Id="rId9" Type="http://schemas.openxmlformats.org/officeDocument/2006/relationships/hyperlink" Target="http://www.wildlifetradeportal.org" TargetMode="External"/><Relationship Id="rId14" Type="http://schemas.openxmlformats.org/officeDocument/2006/relationships/hyperlink" Target="https://www.cms.int/en/document/species-belonging-disaggregated-bird-families-and-genera-listed-under-appendix-ii-cm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22B6-1C6E-4229-9A07-074CB605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Translated by IDEST – info@idestnet.com</dc:description>
  <cp:lastModifiedBy>Catherine</cp:lastModifiedBy>
  <cp:revision>6</cp:revision>
  <dcterms:created xsi:type="dcterms:W3CDTF">2021-06-18T09:22:00Z</dcterms:created>
  <dcterms:modified xsi:type="dcterms:W3CDTF">2021-06-18T10:04:00Z</dcterms:modified>
</cp:coreProperties>
</file>