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237A" w14:textId="351FD16F" w:rsidR="00F023C1" w:rsidRPr="00DA4152" w:rsidRDefault="00F023C1" w:rsidP="00DA4152">
      <w:pPr>
        <w:pStyle w:val="Default"/>
        <w:jc w:val="right"/>
        <w:rPr>
          <w:b/>
          <w:bCs/>
          <w:sz w:val="22"/>
          <w:szCs w:val="22"/>
        </w:rPr>
      </w:pPr>
      <w:r w:rsidRPr="00DA4152">
        <w:rPr>
          <w:b/>
          <w:bCs/>
          <w:sz w:val="22"/>
          <w:szCs w:val="22"/>
        </w:rPr>
        <w:t>CRP 6.4.1/</w:t>
      </w:r>
      <w:r w:rsidR="00DA4152" w:rsidRPr="00DA4152">
        <w:rPr>
          <w:b/>
          <w:bCs/>
          <w:sz w:val="22"/>
          <w:szCs w:val="22"/>
        </w:rPr>
        <w:t>B</w:t>
      </w:r>
    </w:p>
    <w:p w14:paraId="33298921" w14:textId="5AD9BA12" w:rsidR="00F023C1" w:rsidRDefault="00F023C1" w:rsidP="00DA4152">
      <w:pPr>
        <w:pStyle w:val="Default"/>
        <w:rPr>
          <w:b/>
          <w:bCs/>
          <w:sz w:val="22"/>
          <w:szCs w:val="22"/>
        </w:rPr>
      </w:pPr>
    </w:p>
    <w:p w14:paraId="6DC41C34" w14:textId="77777777" w:rsidR="00DA4152" w:rsidRPr="00DA4152" w:rsidRDefault="00DA4152" w:rsidP="00DA4152">
      <w:pPr>
        <w:pStyle w:val="Default"/>
        <w:rPr>
          <w:b/>
          <w:bCs/>
          <w:sz w:val="22"/>
          <w:szCs w:val="22"/>
        </w:rPr>
      </w:pPr>
    </w:p>
    <w:p w14:paraId="793EEA33" w14:textId="1CDD0B72" w:rsidR="00DA4152" w:rsidRPr="00DA4152" w:rsidRDefault="00DA4152" w:rsidP="00DA4152">
      <w:pPr>
        <w:spacing w:after="0" w:line="240" w:lineRule="auto"/>
        <w:jc w:val="both"/>
        <w:rPr>
          <w:rFonts w:cs="Arial"/>
          <w:b/>
        </w:rPr>
      </w:pPr>
      <w:r w:rsidRPr="00DA4152">
        <w:rPr>
          <w:rFonts w:cs="Arial"/>
          <w:b/>
        </w:rPr>
        <w:t>DRAFT TERMS OF REFERENCE FOR A REVIEW OF MIGRATION AND WILDLIFE DISEASE DYNAMICS AND THE HEALTH OF MIGRATORY SPECIES WITHIN THE CONTEXT OF ONE HEALTH AND ECOSYSTEM APPROACHES TO HEALTH.</w:t>
      </w:r>
    </w:p>
    <w:p w14:paraId="7DABB21E" w14:textId="77777777" w:rsidR="00DA4152" w:rsidRPr="00DA4152" w:rsidRDefault="00DA4152" w:rsidP="00DA4152">
      <w:pPr>
        <w:spacing w:after="0" w:line="240" w:lineRule="auto"/>
        <w:jc w:val="both"/>
        <w:rPr>
          <w:rFonts w:cs="Arial"/>
          <w:b/>
        </w:rPr>
      </w:pPr>
    </w:p>
    <w:p w14:paraId="3F5BB245" w14:textId="77777777" w:rsidR="00DA4152" w:rsidRDefault="00DA4152" w:rsidP="00DA4152">
      <w:pPr>
        <w:spacing w:after="0" w:line="240" w:lineRule="auto"/>
        <w:jc w:val="both"/>
        <w:rPr>
          <w:rFonts w:cs="Arial"/>
          <w:b/>
        </w:rPr>
      </w:pPr>
    </w:p>
    <w:p w14:paraId="3EDD1206" w14:textId="721233D7" w:rsidR="00DA4152" w:rsidRPr="00DA4152" w:rsidRDefault="00DA4152" w:rsidP="00DA4152">
      <w:pPr>
        <w:spacing w:after="0" w:line="240" w:lineRule="auto"/>
        <w:jc w:val="both"/>
        <w:rPr>
          <w:rFonts w:cs="Arial"/>
          <w:b/>
        </w:rPr>
      </w:pPr>
      <w:r w:rsidRPr="00DA4152">
        <w:rPr>
          <w:rFonts w:cs="Arial"/>
          <w:b/>
        </w:rPr>
        <w:t xml:space="preserve">Purpose and context </w:t>
      </w:r>
    </w:p>
    <w:p w14:paraId="42094406" w14:textId="77777777" w:rsidR="00DA4152" w:rsidRPr="00DA4152" w:rsidRDefault="00DA4152" w:rsidP="00DA4152">
      <w:pPr>
        <w:spacing w:after="0" w:line="240" w:lineRule="auto"/>
        <w:jc w:val="both"/>
        <w:rPr>
          <w:rFonts w:cs="Arial"/>
          <w:u w:val="single"/>
        </w:rPr>
      </w:pPr>
    </w:p>
    <w:p w14:paraId="78837DD5" w14:textId="77777777" w:rsidR="00DA4152" w:rsidRPr="00DA4152" w:rsidRDefault="00DA4152" w:rsidP="00DA4152">
      <w:pPr>
        <w:pStyle w:val="Default"/>
        <w:jc w:val="both"/>
        <w:rPr>
          <w:sz w:val="22"/>
          <w:szCs w:val="22"/>
        </w:rPr>
      </w:pPr>
      <w:r w:rsidRPr="00DA4152">
        <w:rPr>
          <w:sz w:val="22"/>
          <w:szCs w:val="22"/>
        </w:rPr>
        <w:t xml:space="preserve">Environmental degradation and other drivers of migratory species declines are contributing to wildlife disease being a serious conservation threat to multiple species. There is also an increasing appreciation of the fundamental interdependence of wildlife health, livestock health, human health, and ecosystem health which are influenced by multiple factors, </w:t>
      </w:r>
      <w:r w:rsidRPr="00DA4152">
        <w:rPr>
          <w:i/>
          <w:iCs/>
          <w:sz w:val="22"/>
          <w:szCs w:val="22"/>
        </w:rPr>
        <w:t>inter alia</w:t>
      </w:r>
      <w:r w:rsidRPr="00DA4152">
        <w:rPr>
          <w:sz w:val="22"/>
          <w:szCs w:val="22"/>
        </w:rPr>
        <w:t xml:space="preserve">, </w:t>
      </w:r>
      <w:proofErr w:type="gramStart"/>
      <w:r w:rsidRPr="00DA4152">
        <w:rPr>
          <w:sz w:val="22"/>
          <w:szCs w:val="22"/>
        </w:rPr>
        <w:t>socio-economics</w:t>
      </w:r>
      <w:proofErr w:type="gramEnd"/>
      <w:r w:rsidRPr="00DA4152">
        <w:rPr>
          <w:sz w:val="22"/>
          <w:szCs w:val="22"/>
        </w:rPr>
        <w:t xml:space="preserve">, sustainability of agriculture, demographics, climate and landscape changes. </w:t>
      </w:r>
    </w:p>
    <w:p w14:paraId="677F448B" w14:textId="77777777" w:rsidR="00DA4152" w:rsidRPr="00DA4152" w:rsidRDefault="00DA4152" w:rsidP="00DA4152">
      <w:pPr>
        <w:pStyle w:val="Default"/>
        <w:jc w:val="both"/>
        <w:rPr>
          <w:sz w:val="22"/>
          <w:szCs w:val="22"/>
        </w:rPr>
      </w:pPr>
    </w:p>
    <w:p w14:paraId="1875858E" w14:textId="77777777" w:rsidR="00DA4152" w:rsidRPr="00DA4152" w:rsidRDefault="00DA4152" w:rsidP="00DA4152">
      <w:pPr>
        <w:pStyle w:val="Default"/>
        <w:jc w:val="both"/>
        <w:rPr>
          <w:sz w:val="22"/>
          <w:szCs w:val="22"/>
        </w:rPr>
      </w:pPr>
      <w:r w:rsidRPr="00DA4152">
        <w:rPr>
          <w:sz w:val="22"/>
          <w:szCs w:val="22"/>
        </w:rPr>
        <w:t xml:space="preserve">For human health, taxa including bats, rodents, ungulates, </w:t>
      </w:r>
      <w:proofErr w:type="gramStart"/>
      <w:r w:rsidRPr="00DA4152">
        <w:rPr>
          <w:sz w:val="22"/>
          <w:szCs w:val="22"/>
        </w:rPr>
        <w:t>waterbirds</w:t>
      </w:r>
      <w:proofErr w:type="gramEnd"/>
      <w:r w:rsidRPr="00DA4152">
        <w:rPr>
          <w:sz w:val="22"/>
          <w:szCs w:val="22"/>
        </w:rPr>
        <w:t xml:space="preserve"> and primates are known to host zoonotic pathogens and some migratory species have been associated with the spread of such infections. And yet, the same human activities that are causing the increasing risk of infectious diseases from wild animals, on which COVID-19 has shined a spotlight, are also causing the decline of wild species of animals. </w:t>
      </w:r>
    </w:p>
    <w:p w14:paraId="6F915221" w14:textId="77777777" w:rsidR="00DA4152" w:rsidRPr="00DA4152" w:rsidRDefault="00DA4152" w:rsidP="00DA4152">
      <w:pPr>
        <w:spacing w:after="0" w:line="240" w:lineRule="auto"/>
        <w:jc w:val="both"/>
        <w:rPr>
          <w:rFonts w:cs="Arial"/>
        </w:rPr>
      </w:pPr>
    </w:p>
    <w:p w14:paraId="3508A903" w14:textId="77777777" w:rsidR="00DA4152" w:rsidRPr="00DA4152" w:rsidRDefault="00DA4152" w:rsidP="00DA4152">
      <w:pPr>
        <w:spacing w:after="0" w:line="240" w:lineRule="auto"/>
        <w:jc w:val="both"/>
        <w:rPr>
          <w:rFonts w:cs="Arial"/>
        </w:rPr>
      </w:pPr>
      <w:r w:rsidRPr="00DA4152">
        <w:rPr>
          <w:rFonts w:cs="Arial"/>
        </w:rPr>
        <w:t xml:space="preserve">First is the direct use of wild species which includes the use of meat from wild animals as a source of food or income, use of animal parts for other commercial products, recreational hunting, and traditional healing practices.  Wild animals unquestionably provide an important source of protein for some poor communities and indigenous populations in various parts of the world. But any use of wild species of animals needs to be sustainable. And the current use and trade of wild animals go far beyond food security for vulnerable communities. </w:t>
      </w:r>
    </w:p>
    <w:p w14:paraId="284896A8" w14:textId="77777777" w:rsidR="00DA4152" w:rsidRPr="00DA4152" w:rsidRDefault="00DA4152" w:rsidP="00DA4152">
      <w:pPr>
        <w:spacing w:after="0" w:line="240" w:lineRule="auto"/>
        <w:jc w:val="both"/>
        <w:rPr>
          <w:rFonts w:cs="Arial"/>
        </w:rPr>
      </w:pPr>
    </w:p>
    <w:p w14:paraId="03C87836" w14:textId="77777777" w:rsidR="00DA4152" w:rsidRPr="00DA4152" w:rsidRDefault="00DA4152" w:rsidP="00DA4152">
      <w:pPr>
        <w:spacing w:after="0" w:line="240" w:lineRule="auto"/>
        <w:jc w:val="both"/>
        <w:rPr>
          <w:rFonts w:cs="Arial"/>
        </w:rPr>
      </w:pPr>
      <w:r w:rsidRPr="00DA4152">
        <w:rPr>
          <w:rFonts w:cs="Arial"/>
        </w:rPr>
        <w:t xml:space="preserve">Second is the destruction of natural habitats and the encroachment of activities that create interfaces bringing humans and their livestock </w:t>
      </w:r>
      <w:proofErr w:type="gramStart"/>
      <w:r w:rsidRPr="00DA4152">
        <w:rPr>
          <w:rFonts w:cs="Arial"/>
        </w:rPr>
        <w:t>in close proximity to</w:t>
      </w:r>
      <w:proofErr w:type="gramEnd"/>
      <w:r w:rsidRPr="00DA4152">
        <w:rPr>
          <w:rFonts w:cs="Arial"/>
        </w:rPr>
        <w:t xml:space="preserve"> wild species, increasing the risk of </w:t>
      </w:r>
      <w:proofErr w:type="spellStart"/>
      <w:r w:rsidRPr="00DA4152">
        <w:rPr>
          <w:rFonts w:cs="Arial"/>
        </w:rPr>
        <w:t>spillovers</w:t>
      </w:r>
      <w:proofErr w:type="spellEnd"/>
      <w:r w:rsidRPr="00DA4152">
        <w:rPr>
          <w:rFonts w:cs="Arial"/>
        </w:rPr>
        <w:t xml:space="preserve"> of pathogens to humans.   </w:t>
      </w:r>
    </w:p>
    <w:p w14:paraId="3CB8668A" w14:textId="77777777" w:rsidR="00DA4152" w:rsidRPr="00DA4152" w:rsidRDefault="00DA4152" w:rsidP="00DA4152">
      <w:pPr>
        <w:spacing w:after="0" w:line="240" w:lineRule="auto"/>
        <w:jc w:val="both"/>
        <w:rPr>
          <w:rFonts w:cs="Arial"/>
        </w:rPr>
      </w:pPr>
    </w:p>
    <w:p w14:paraId="09429B72" w14:textId="77777777" w:rsidR="00DA4152" w:rsidRPr="00DA4152" w:rsidRDefault="00DA4152" w:rsidP="00DA4152">
      <w:pPr>
        <w:pStyle w:val="Default"/>
        <w:jc w:val="both"/>
        <w:rPr>
          <w:sz w:val="22"/>
          <w:szCs w:val="22"/>
        </w:rPr>
      </w:pPr>
      <w:r w:rsidRPr="00DA4152">
        <w:rPr>
          <w:sz w:val="22"/>
          <w:szCs w:val="22"/>
        </w:rPr>
        <w:t xml:space="preserve">Key reports such as the 2020 </w:t>
      </w:r>
      <w:hyperlink r:id="rId11" w:history="1">
        <w:r w:rsidRPr="00DA4152">
          <w:rPr>
            <w:rStyle w:val="Hyperlink"/>
            <w:sz w:val="22"/>
            <w:szCs w:val="22"/>
          </w:rPr>
          <w:t>UNEP report on Preventing the Next Pandemic</w:t>
        </w:r>
      </w:hyperlink>
      <w:r w:rsidRPr="00DA4152">
        <w:rPr>
          <w:sz w:val="22"/>
          <w:szCs w:val="22"/>
        </w:rPr>
        <w:t xml:space="preserve"> reflect on the factors contributing to human pandemics and our relationships with wildlife.</w:t>
      </w:r>
    </w:p>
    <w:p w14:paraId="5B5219B0" w14:textId="77777777" w:rsidR="00DA4152" w:rsidRPr="00DA4152" w:rsidRDefault="00DA4152" w:rsidP="00DA4152">
      <w:pPr>
        <w:pStyle w:val="Default"/>
        <w:jc w:val="both"/>
        <w:rPr>
          <w:sz w:val="22"/>
          <w:szCs w:val="22"/>
        </w:rPr>
      </w:pPr>
    </w:p>
    <w:p w14:paraId="77B05465" w14:textId="7AB1F3EF" w:rsidR="00DA4152" w:rsidRPr="00DA4152" w:rsidRDefault="00DA4152" w:rsidP="00DA4152">
      <w:pPr>
        <w:spacing w:after="0" w:line="240" w:lineRule="auto"/>
        <w:jc w:val="both"/>
        <w:rPr>
          <w:rFonts w:cs="Arial"/>
        </w:rPr>
      </w:pPr>
      <w:r w:rsidRPr="00DA4152">
        <w:rPr>
          <w:rFonts w:cs="Arial"/>
        </w:rPr>
        <w:t xml:space="preserve">Unfortunately, as the pressures on wild animals and their habitats are expected to grow exponentially over the coming decades, which will profoundly affect migratory behaviour, there is an urgent need to further investigate links between animal migration and disease infection dynamics. Interestingly, migration has been shown to reduce infection transmission in some species. </w:t>
      </w:r>
      <w:proofErr w:type="gramStart"/>
      <w:r w:rsidRPr="00DA4152">
        <w:rPr>
          <w:rFonts w:cs="Arial"/>
        </w:rPr>
        <w:t>In particular, reduction</w:t>
      </w:r>
      <w:proofErr w:type="gramEnd"/>
      <w:r w:rsidRPr="00DA4152">
        <w:rPr>
          <w:rFonts w:cs="Arial"/>
        </w:rPr>
        <w:t xml:space="preserve"> of length or suppression of migration has been associated with increased load in pathogens. Literature exists on the subject, but a recent review of current scientific knowledge is currently not available. Moreover</w:t>
      </w:r>
      <w:r>
        <w:rPr>
          <w:rFonts w:cs="Arial"/>
        </w:rPr>
        <w:t>,</w:t>
      </w:r>
      <w:r w:rsidRPr="00DA4152">
        <w:rPr>
          <w:rFonts w:cs="Arial"/>
        </w:rPr>
        <w:t xml:space="preserve"> a </w:t>
      </w:r>
      <w:proofErr w:type="gramStart"/>
      <w:r w:rsidRPr="00DA4152">
        <w:rPr>
          <w:rFonts w:cs="Arial"/>
        </w:rPr>
        <w:t>high level</w:t>
      </w:r>
      <w:proofErr w:type="gramEnd"/>
      <w:r w:rsidRPr="00DA4152">
        <w:rPr>
          <w:rFonts w:cs="Arial"/>
        </w:rPr>
        <w:t xml:space="preserve"> review of the key health issues affecting migratory species is needed to help set priorities for further action. </w:t>
      </w:r>
    </w:p>
    <w:p w14:paraId="42A29044" w14:textId="77777777" w:rsidR="00DA4152" w:rsidRPr="00DA4152" w:rsidRDefault="00DA4152" w:rsidP="00DA4152">
      <w:pPr>
        <w:spacing w:after="0" w:line="240" w:lineRule="auto"/>
        <w:jc w:val="both"/>
        <w:rPr>
          <w:rFonts w:cs="Arial"/>
        </w:rPr>
      </w:pPr>
    </w:p>
    <w:p w14:paraId="718557FE" w14:textId="77777777" w:rsidR="00DA4152" w:rsidRPr="00DA4152" w:rsidRDefault="00DA4152" w:rsidP="00DA4152">
      <w:pPr>
        <w:spacing w:after="0" w:line="240" w:lineRule="auto"/>
        <w:jc w:val="both"/>
        <w:rPr>
          <w:rFonts w:cs="Arial"/>
        </w:rPr>
      </w:pPr>
      <w:r w:rsidRPr="00DA4152">
        <w:rPr>
          <w:rFonts w:cs="Arial"/>
        </w:rPr>
        <w:t xml:space="preserve">Such a review could then inform the work of relevant CMS mechanisms, such as the Working Group on Working Group on Wildlife and Health established under the CMS Scientific Council, and the Scientific Task Force on Avian Influenza and Wild Birds, co-convened by CMS and United Nations Food and Agriculture Organization (FAO) as well as the ongoing “One Health” collaborative efforts such as the One Health High-Level Expert Group of the World Health Organization (WHO), World Organization for Animal Health (OIE), FAO and UNEP. </w:t>
      </w:r>
    </w:p>
    <w:p w14:paraId="238D9C91" w14:textId="77777777" w:rsidR="00DA4152" w:rsidRPr="00DA4152" w:rsidRDefault="00DA4152" w:rsidP="00DA4152">
      <w:pPr>
        <w:spacing w:after="0" w:line="240" w:lineRule="auto"/>
        <w:jc w:val="both"/>
        <w:rPr>
          <w:rFonts w:cs="Arial"/>
        </w:rPr>
      </w:pPr>
    </w:p>
    <w:p w14:paraId="0ABC32BB" w14:textId="77777777" w:rsidR="00DA4152" w:rsidRPr="00DA4152" w:rsidRDefault="00DA4152" w:rsidP="00DA4152">
      <w:pPr>
        <w:spacing w:after="0" w:line="240" w:lineRule="auto"/>
        <w:jc w:val="both"/>
        <w:rPr>
          <w:rFonts w:cs="Arial"/>
        </w:rPr>
      </w:pPr>
      <w:r w:rsidRPr="00DA4152">
        <w:rPr>
          <w:rFonts w:cs="Arial"/>
        </w:rPr>
        <w:t xml:space="preserve">Furthermore a better understanding of the context and nature of risk of zoonoses will assist and contribute to the success of post-pandemic recovery as stated by the </w:t>
      </w:r>
      <w:hyperlink r:id="rId12" w:history="1">
        <w:r w:rsidRPr="00DA4152">
          <w:rPr>
            <w:rStyle w:val="Hyperlink"/>
            <w:rFonts w:cs="Arial"/>
          </w:rPr>
          <w:t>UN-framework-for-the-immediate-socio-economic-response-to-COVID-19</w:t>
        </w:r>
      </w:hyperlink>
      <w:r w:rsidRPr="00DA4152">
        <w:rPr>
          <w:rFonts w:cs="Arial"/>
        </w:rPr>
        <w:t xml:space="preserve"> published in April 2020.</w:t>
      </w:r>
    </w:p>
    <w:p w14:paraId="70F2F16B" w14:textId="77777777" w:rsidR="00DA4152" w:rsidRPr="00DA4152" w:rsidRDefault="00DA4152" w:rsidP="00DA4152">
      <w:pPr>
        <w:spacing w:after="0" w:line="240" w:lineRule="auto"/>
        <w:jc w:val="both"/>
        <w:rPr>
          <w:rFonts w:cs="Arial"/>
        </w:rPr>
      </w:pPr>
    </w:p>
    <w:p w14:paraId="2432FBCC" w14:textId="77777777" w:rsidR="00DA4152" w:rsidRDefault="00DA4152">
      <w:pPr>
        <w:rPr>
          <w:rFonts w:cs="Arial"/>
          <w:b/>
        </w:rPr>
      </w:pPr>
      <w:r>
        <w:rPr>
          <w:rFonts w:cs="Arial"/>
          <w:b/>
        </w:rPr>
        <w:br w:type="page"/>
      </w:r>
    </w:p>
    <w:p w14:paraId="33248CA2" w14:textId="3BD2E1F3" w:rsidR="00DA4152" w:rsidRPr="00DA4152" w:rsidRDefault="00DA4152" w:rsidP="00DA4152">
      <w:pPr>
        <w:spacing w:after="0" w:line="240" w:lineRule="auto"/>
        <w:jc w:val="both"/>
        <w:rPr>
          <w:rFonts w:cs="Arial"/>
          <w:b/>
        </w:rPr>
      </w:pPr>
      <w:r w:rsidRPr="00DA4152">
        <w:rPr>
          <w:rFonts w:cs="Arial"/>
          <w:b/>
        </w:rPr>
        <w:lastRenderedPageBreak/>
        <w:t>Workplan</w:t>
      </w:r>
    </w:p>
    <w:p w14:paraId="1C33F8F2" w14:textId="77777777" w:rsidR="00DA4152" w:rsidRPr="00DA4152" w:rsidRDefault="00DA4152" w:rsidP="00DA4152">
      <w:pPr>
        <w:spacing w:after="0" w:line="240" w:lineRule="auto"/>
        <w:jc w:val="both"/>
        <w:rPr>
          <w:rFonts w:cs="Arial"/>
          <w:b/>
        </w:rPr>
      </w:pPr>
    </w:p>
    <w:p w14:paraId="10E22A71" w14:textId="77777777" w:rsidR="00DA4152" w:rsidRPr="00DA4152" w:rsidRDefault="00DA4152" w:rsidP="00DA4152">
      <w:pPr>
        <w:spacing w:after="0" w:line="240" w:lineRule="auto"/>
        <w:jc w:val="both"/>
        <w:rPr>
          <w:rFonts w:cs="Arial"/>
          <w:u w:val="single"/>
        </w:rPr>
      </w:pPr>
      <w:r w:rsidRPr="00DA4152">
        <w:rPr>
          <w:rFonts w:cs="Arial"/>
          <w:u w:val="single"/>
        </w:rPr>
        <w:t xml:space="preserve">Objectives, output expectations </w:t>
      </w:r>
    </w:p>
    <w:p w14:paraId="4F82F250" w14:textId="77777777" w:rsidR="00DA4152" w:rsidRPr="00DA4152" w:rsidRDefault="00DA4152" w:rsidP="00DA4152">
      <w:pPr>
        <w:spacing w:after="0" w:line="240" w:lineRule="auto"/>
        <w:jc w:val="both"/>
        <w:rPr>
          <w:rFonts w:cs="Arial"/>
          <w:i/>
        </w:rPr>
      </w:pPr>
    </w:p>
    <w:p w14:paraId="6D96C8EB" w14:textId="77777777" w:rsidR="00DA4152" w:rsidRPr="00DA4152" w:rsidRDefault="00DA4152" w:rsidP="00DA4152">
      <w:pPr>
        <w:spacing w:after="0" w:line="240" w:lineRule="auto"/>
        <w:jc w:val="both"/>
        <w:rPr>
          <w:rFonts w:cs="Arial"/>
          <w:i/>
        </w:rPr>
      </w:pPr>
      <w:r w:rsidRPr="00DA4152">
        <w:rPr>
          <w:rFonts w:cs="Arial"/>
          <w:i/>
        </w:rPr>
        <w:t>Objective</w:t>
      </w:r>
    </w:p>
    <w:p w14:paraId="4CA6C1C0" w14:textId="77777777" w:rsidR="00DA4152" w:rsidRPr="00DA4152" w:rsidRDefault="00DA4152" w:rsidP="00DA4152">
      <w:pPr>
        <w:spacing w:after="0" w:line="240" w:lineRule="auto"/>
        <w:jc w:val="both"/>
        <w:rPr>
          <w:rFonts w:cs="Arial"/>
          <w:bCs/>
        </w:rPr>
      </w:pPr>
    </w:p>
    <w:p w14:paraId="3463CF9F" w14:textId="77777777" w:rsidR="00DA4152" w:rsidRPr="00DA4152" w:rsidRDefault="00DA4152" w:rsidP="00DA4152">
      <w:pPr>
        <w:spacing w:after="120" w:line="240" w:lineRule="auto"/>
        <w:jc w:val="both"/>
        <w:rPr>
          <w:rFonts w:cs="Arial"/>
        </w:rPr>
      </w:pPr>
      <w:r w:rsidRPr="00DA4152">
        <w:rPr>
          <w:rFonts w:cs="Arial"/>
        </w:rPr>
        <w:t>The overall objective of this consultancy is to inform the work of the Working Group on Wildlife and Health to assist them in their:</w:t>
      </w:r>
    </w:p>
    <w:p w14:paraId="7420DDAD" w14:textId="77777777" w:rsidR="00DA4152" w:rsidRPr="00DA4152" w:rsidRDefault="00DA4152" w:rsidP="00DA4152">
      <w:pPr>
        <w:pStyle w:val="ListParagraph"/>
        <w:numPr>
          <w:ilvl w:val="0"/>
          <w:numId w:val="10"/>
        </w:numPr>
        <w:spacing w:after="80"/>
        <w:ind w:left="900"/>
        <w:jc w:val="both"/>
        <w:rPr>
          <w:rFonts w:ascii="Arial" w:hAnsi="Arial" w:cs="Arial"/>
          <w:sz w:val="22"/>
          <w:szCs w:val="22"/>
        </w:rPr>
      </w:pPr>
      <w:r w:rsidRPr="00DA4152">
        <w:rPr>
          <w:rFonts w:ascii="Arial" w:hAnsi="Arial" w:cs="Arial"/>
          <w:sz w:val="22"/>
          <w:szCs w:val="22"/>
        </w:rPr>
        <w:t xml:space="preserve">development and prioritization of a work </w:t>
      </w:r>
      <w:proofErr w:type="spellStart"/>
      <w:proofErr w:type="gramStart"/>
      <w:r w:rsidRPr="00DA4152">
        <w:rPr>
          <w:rFonts w:ascii="Arial" w:hAnsi="Arial" w:cs="Arial"/>
          <w:sz w:val="22"/>
          <w:szCs w:val="22"/>
        </w:rPr>
        <w:t>programme</w:t>
      </w:r>
      <w:proofErr w:type="spellEnd"/>
      <w:r w:rsidRPr="00DA4152">
        <w:rPr>
          <w:rFonts w:ascii="Arial" w:hAnsi="Arial" w:cs="Arial"/>
          <w:sz w:val="22"/>
          <w:szCs w:val="22"/>
        </w:rPr>
        <w:t>;</w:t>
      </w:r>
      <w:proofErr w:type="gramEnd"/>
    </w:p>
    <w:p w14:paraId="2BE52AAA" w14:textId="77777777" w:rsidR="00DA4152" w:rsidRPr="00DA4152" w:rsidRDefault="00DA4152" w:rsidP="00DA4152">
      <w:pPr>
        <w:pStyle w:val="ListParagraph"/>
        <w:numPr>
          <w:ilvl w:val="0"/>
          <w:numId w:val="10"/>
        </w:numPr>
        <w:ind w:left="900"/>
        <w:jc w:val="both"/>
        <w:rPr>
          <w:rFonts w:ascii="Arial" w:hAnsi="Arial" w:cs="Arial"/>
          <w:bCs/>
          <w:sz w:val="22"/>
          <w:szCs w:val="22"/>
        </w:rPr>
      </w:pPr>
      <w:r w:rsidRPr="00DA4152">
        <w:rPr>
          <w:rFonts w:ascii="Arial" w:hAnsi="Arial" w:cs="Arial"/>
          <w:bCs/>
          <w:sz w:val="22"/>
          <w:szCs w:val="22"/>
        </w:rPr>
        <w:t xml:space="preserve">contribution to initiatives such as the </w:t>
      </w:r>
      <w:r w:rsidRPr="00DA4152">
        <w:rPr>
          <w:rFonts w:ascii="Arial" w:hAnsi="Arial" w:cs="Arial"/>
          <w:sz w:val="22"/>
          <w:szCs w:val="22"/>
        </w:rPr>
        <w:t xml:space="preserve">One Health High-Level Expert Group (involving UNEP, WHO, FAO and OIE) and other relevant initiatives. </w:t>
      </w:r>
    </w:p>
    <w:p w14:paraId="11A27621" w14:textId="77777777" w:rsidR="00DA4152" w:rsidRPr="00DA4152" w:rsidRDefault="00DA4152" w:rsidP="00DA4152">
      <w:pPr>
        <w:spacing w:after="0" w:line="240" w:lineRule="auto"/>
        <w:jc w:val="both"/>
        <w:rPr>
          <w:rFonts w:cs="Arial"/>
          <w:bCs/>
        </w:rPr>
      </w:pPr>
    </w:p>
    <w:p w14:paraId="209A9693" w14:textId="77777777" w:rsidR="00DA4152" w:rsidRPr="00DA4152" w:rsidRDefault="00DA4152" w:rsidP="00DA4152">
      <w:pPr>
        <w:spacing w:after="0" w:line="240" w:lineRule="auto"/>
        <w:jc w:val="both"/>
        <w:rPr>
          <w:rFonts w:cs="Arial"/>
          <w:bCs/>
          <w:i/>
          <w:iCs/>
        </w:rPr>
      </w:pPr>
      <w:r w:rsidRPr="00DA4152">
        <w:rPr>
          <w:rFonts w:cs="Arial"/>
          <w:bCs/>
          <w:i/>
          <w:iCs/>
        </w:rPr>
        <w:t>Outputs</w:t>
      </w:r>
    </w:p>
    <w:p w14:paraId="658F3CEC" w14:textId="77777777" w:rsidR="00DA4152" w:rsidRPr="00DA4152" w:rsidRDefault="00DA4152" w:rsidP="00DA4152">
      <w:pPr>
        <w:spacing w:after="0" w:line="240" w:lineRule="auto"/>
        <w:jc w:val="both"/>
        <w:rPr>
          <w:rFonts w:cs="Arial"/>
          <w:b/>
        </w:rPr>
      </w:pPr>
    </w:p>
    <w:p w14:paraId="43211A6D" w14:textId="77777777" w:rsidR="00DA4152" w:rsidRPr="00DA4152" w:rsidRDefault="00DA4152" w:rsidP="00DA4152">
      <w:pPr>
        <w:numPr>
          <w:ilvl w:val="0"/>
          <w:numId w:val="9"/>
        </w:numPr>
        <w:spacing w:after="120" w:line="240" w:lineRule="auto"/>
        <w:ind w:left="540" w:hanging="540"/>
        <w:jc w:val="both"/>
        <w:rPr>
          <w:rFonts w:cs="Arial"/>
          <w:bCs/>
        </w:rPr>
      </w:pPr>
      <w:r w:rsidRPr="00DA4152">
        <w:rPr>
          <w:rFonts w:cs="Arial"/>
          <w:bCs/>
        </w:rPr>
        <w:t>A report covering the following items:</w:t>
      </w:r>
    </w:p>
    <w:p w14:paraId="55F50AF1" w14:textId="77777777" w:rsidR="00DA4152" w:rsidRPr="00DA4152" w:rsidRDefault="00DA4152" w:rsidP="00DA4152">
      <w:pPr>
        <w:numPr>
          <w:ilvl w:val="0"/>
          <w:numId w:val="7"/>
        </w:numPr>
        <w:spacing w:after="80" w:line="240" w:lineRule="auto"/>
        <w:ind w:left="900"/>
        <w:jc w:val="both"/>
        <w:rPr>
          <w:rFonts w:cs="Arial"/>
          <w:bCs/>
        </w:rPr>
      </w:pPr>
      <w:r w:rsidRPr="00DA4152">
        <w:rPr>
          <w:rFonts w:cs="Arial"/>
          <w:bCs/>
        </w:rPr>
        <w:t>The context of health and conservation, the interdependence of health across the sectors and the need for One Health and ecosystem approaches.</w:t>
      </w:r>
    </w:p>
    <w:p w14:paraId="34B1B351" w14:textId="77777777" w:rsidR="00DA4152" w:rsidRPr="00DA4152" w:rsidRDefault="00DA4152" w:rsidP="00DA4152">
      <w:pPr>
        <w:numPr>
          <w:ilvl w:val="0"/>
          <w:numId w:val="7"/>
        </w:numPr>
        <w:spacing w:after="80" w:line="240" w:lineRule="auto"/>
        <w:ind w:left="900"/>
        <w:jc w:val="both"/>
        <w:rPr>
          <w:rFonts w:cs="Arial"/>
          <w:bCs/>
        </w:rPr>
      </w:pPr>
      <w:r w:rsidRPr="00DA4152">
        <w:rPr>
          <w:rFonts w:cs="Arial"/>
          <w:bCs/>
        </w:rPr>
        <w:t>A review at a high level of the key health issues affecting migratory species, including key specific known issues for CMS-listed species.</w:t>
      </w:r>
    </w:p>
    <w:p w14:paraId="2038F641" w14:textId="77777777" w:rsidR="00DA4152" w:rsidRPr="00DA4152" w:rsidRDefault="00DA4152" w:rsidP="00DA4152">
      <w:pPr>
        <w:numPr>
          <w:ilvl w:val="0"/>
          <w:numId w:val="7"/>
        </w:numPr>
        <w:spacing w:after="0" w:line="240" w:lineRule="auto"/>
        <w:ind w:left="900"/>
        <w:jc w:val="both"/>
        <w:rPr>
          <w:rFonts w:cs="Arial"/>
          <w:bCs/>
        </w:rPr>
      </w:pPr>
      <w:r w:rsidRPr="00DA4152">
        <w:rPr>
          <w:rFonts w:cs="Arial"/>
          <w:bCs/>
        </w:rPr>
        <w:t>A review of disease dynamics in relation to migration, and</w:t>
      </w:r>
      <w:r w:rsidRPr="00DA4152">
        <w:rPr>
          <w:rFonts w:cs="Arial"/>
          <w:color w:val="000000"/>
        </w:rPr>
        <w:t xml:space="preserve"> potential consequences of migration disruption for zoonotic risks. </w:t>
      </w:r>
    </w:p>
    <w:p w14:paraId="444BEE8F" w14:textId="77777777" w:rsidR="00DA4152" w:rsidRPr="00DA4152" w:rsidRDefault="00DA4152" w:rsidP="00DA4152">
      <w:pPr>
        <w:spacing w:after="0" w:line="240" w:lineRule="auto"/>
        <w:jc w:val="both"/>
        <w:rPr>
          <w:rFonts w:cs="Arial"/>
          <w:b/>
        </w:rPr>
      </w:pPr>
    </w:p>
    <w:p w14:paraId="300BC0B6" w14:textId="77777777" w:rsidR="00DA4152" w:rsidRPr="00DA4152" w:rsidRDefault="00DA4152" w:rsidP="00DA4152">
      <w:pPr>
        <w:spacing w:after="0" w:line="240" w:lineRule="auto"/>
        <w:jc w:val="both"/>
        <w:rPr>
          <w:rFonts w:cs="Arial"/>
          <w:u w:val="single"/>
        </w:rPr>
      </w:pPr>
      <w:r w:rsidRPr="00DA4152">
        <w:rPr>
          <w:rFonts w:cs="Arial"/>
          <w:u w:val="single"/>
        </w:rPr>
        <w:t>Specific tasks and responsibilities</w:t>
      </w:r>
    </w:p>
    <w:p w14:paraId="4DECDB03" w14:textId="77777777" w:rsidR="00DA4152" w:rsidRPr="00DA4152" w:rsidRDefault="00DA4152" w:rsidP="00DA4152">
      <w:pPr>
        <w:spacing w:after="0" w:line="240" w:lineRule="auto"/>
        <w:jc w:val="both"/>
        <w:rPr>
          <w:rFonts w:cs="Arial"/>
          <w:iCs/>
        </w:rPr>
      </w:pPr>
    </w:p>
    <w:p w14:paraId="129AD437" w14:textId="77777777" w:rsidR="00DA4152" w:rsidRPr="00DA4152" w:rsidRDefault="00DA4152" w:rsidP="00DA4152">
      <w:pPr>
        <w:spacing w:after="120" w:line="240" w:lineRule="auto"/>
        <w:jc w:val="both"/>
        <w:rPr>
          <w:rFonts w:cs="Arial"/>
          <w:bCs/>
          <w:iCs/>
        </w:rPr>
      </w:pPr>
      <w:r w:rsidRPr="00DA4152">
        <w:rPr>
          <w:rFonts w:cs="Arial"/>
          <w:bCs/>
          <w:iCs/>
        </w:rPr>
        <w:t xml:space="preserve">The consultant will: </w:t>
      </w:r>
    </w:p>
    <w:p w14:paraId="58CBF874" w14:textId="77777777" w:rsidR="00DA4152" w:rsidRPr="00DA4152" w:rsidRDefault="00DA4152" w:rsidP="00DA4152">
      <w:pPr>
        <w:spacing w:after="0" w:line="240" w:lineRule="auto"/>
        <w:jc w:val="both"/>
        <w:rPr>
          <w:rFonts w:cs="Arial"/>
          <w:bCs/>
          <w:iCs/>
        </w:rPr>
      </w:pPr>
    </w:p>
    <w:p w14:paraId="24075601" w14:textId="77777777" w:rsidR="00DA4152" w:rsidRPr="00DA4152" w:rsidRDefault="00DA4152" w:rsidP="00DA4152">
      <w:pPr>
        <w:numPr>
          <w:ilvl w:val="0"/>
          <w:numId w:val="8"/>
        </w:numPr>
        <w:spacing w:after="80" w:line="240" w:lineRule="auto"/>
        <w:ind w:left="547" w:hanging="547"/>
        <w:jc w:val="both"/>
        <w:rPr>
          <w:rFonts w:cs="Arial"/>
          <w:bCs/>
          <w:iCs/>
        </w:rPr>
      </w:pPr>
      <w:r w:rsidRPr="00DA4152">
        <w:rPr>
          <w:rFonts w:cs="Arial"/>
          <w:bCs/>
          <w:iCs/>
        </w:rPr>
        <w:t>Briefly provide a context of the issue of wildlife health and conservation and the need for One Health and ecosystem approaches.</w:t>
      </w:r>
    </w:p>
    <w:p w14:paraId="487B325D" w14:textId="77777777" w:rsidR="00DA4152" w:rsidRPr="00DA4152" w:rsidRDefault="00DA4152" w:rsidP="00DA4152">
      <w:pPr>
        <w:numPr>
          <w:ilvl w:val="0"/>
          <w:numId w:val="8"/>
        </w:numPr>
        <w:spacing w:after="80" w:line="240" w:lineRule="auto"/>
        <w:ind w:left="547" w:hanging="547"/>
        <w:jc w:val="both"/>
        <w:rPr>
          <w:rFonts w:cs="Arial"/>
          <w:bCs/>
          <w:iCs/>
        </w:rPr>
      </w:pPr>
      <w:r w:rsidRPr="00DA4152">
        <w:rPr>
          <w:rFonts w:cs="Arial"/>
          <w:bCs/>
          <w:iCs/>
        </w:rPr>
        <w:t xml:space="preserve">Review at a high level the key health issues affecting migratory species – to be provided in text and a tabular form for terrestrial, </w:t>
      </w:r>
      <w:proofErr w:type="gramStart"/>
      <w:r w:rsidRPr="00DA4152">
        <w:rPr>
          <w:rFonts w:cs="Arial"/>
          <w:bCs/>
          <w:iCs/>
        </w:rPr>
        <w:t>aquatic</w:t>
      </w:r>
      <w:proofErr w:type="gramEnd"/>
      <w:r w:rsidRPr="00DA4152">
        <w:rPr>
          <w:rFonts w:cs="Arial"/>
          <w:bCs/>
          <w:iCs/>
        </w:rPr>
        <w:t xml:space="preserve"> and avian taxa.</w:t>
      </w:r>
    </w:p>
    <w:p w14:paraId="3947F6FF" w14:textId="77777777" w:rsidR="00DA4152" w:rsidRPr="00DA4152" w:rsidRDefault="00DA4152" w:rsidP="00DA4152">
      <w:pPr>
        <w:numPr>
          <w:ilvl w:val="0"/>
          <w:numId w:val="8"/>
        </w:numPr>
        <w:spacing w:after="80" w:line="240" w:lineRule="auto"/>
        <w:ind w:left="547" w:hanging="547"/>
        <w:jc w:val="both"/>
        <w:rPr>
          <w:rFonts w:cs="Arial"/>
          <w:bCs/>
          <w:iCs/>
        </w:rPr>
      </w:pPr>
      <w:r w:rsidRPr="00DA4152">
        <w:rPr>
          <w:rFonts w:cs="Arial"/>
          <w:bCs/>
          <w:iCs/>
        </w:rPr>
        <w:t xml:space="preserve">Review disease dynamics in relation to migration highlighting </w:t>
      </w:r>
      <w:r w:rsidRPr="00DA4152">
        <w:rPr>
          <w:rFonts w:cs="Arial"/>
          <w:color w:val="000000"/>
        </w:rPr>
        <w:t>potential consequences of migration disruption for zoonotic risks. </w:t>
      </w:r>
    </w:p>
    <w:p w14:paraId="18DB6CFB" w14:textId="77777777" w:rsidR="00DA4152" w:rsidRPr="00DA4152" w:rsidRDefault="00DA4152" w:rsidP="00DA4152">
      <w:pPr>
        <w:numPr>
          <w:ilvl w:val="0"/>
          <w:numId w:val="8"/>
        </w:numPr>
        <w:spacing w:after="0" w:line="240" w:lineRule="auto"/>
        <w:ind w:left="540" w:hanging="540"/>
        <w:jc w:val="both"/>
        <w:rPr>
          <w:rFonts w:cs="Arial"/>
          <w:bCs/>
          <w:iCs/>
        </w:rPr>
      </w:pPr>
      <w:r w:rsidRPr="00DA4152">
        <w:rPr>
          <w:rFonts w:cs="Arial"/>
          <w:bCs/>
          <w:iCs/>
        </w:rPr>
        <w:t xml:space="preserve">Prepare a report covering the above items for review by the CMS Secretariat and the Scientific Council Working Group </w:t>
      </w:r>
      <w:proofErr w:type="gramStart"/>
      <w:r w:rsidRPr="00DA4152">
        <w:rPr>
          <w:rFonts w:cs="Arial"/>
          <w:bCs/>
          <w:iCs/>
        </w:rPr>
        <w:t>n</w:t>
      </w:r>
      <w:proofErr w:type="gramEnd"/>
      <w:r w:rsidRPr="00DA4152">
        <w:rPr>
          <w:rFonts w:cs="Arial"/>
          <w:bCs/>
          <w:iCs/>
        </w:rPr>
        <w:t xml:space="preserve"> Migratory Species and Health.</w:t>
      </w:r>
    </w:p>
    <w:sectPr w:rsidR="00DA4152" w:rsidRPr="00DA4152" w:rsidSect="000626CD">
      <w:headerReference w:type="even" r:id="rId13"/>
      <w:headerReference w:type="default" r:id="rId14"/>
      <w:footerReference w:type="even" r:id="rId15"/>
      <w:footerReference w:type="default" r:id="rId16"/>
      <w:headerReference w:type="first" r:id="rId17"/>
      <w:pgSz w:w="11906" w:h="16838"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FF73" w14:textId="77777777" w:rsidR="00AF498F" w:rsidRDefault="00AF498F" w:rsidP="00A134B2">
      <w:pPr>
        <w:spacing w:after="0" w:line="240" w:lineRule="auto"/>
      </w:pPr>
      <w:r>
        <w:separator/>
      </w:r>
    </w:p>
  </w:endnote>
  <w:endnote w:type="continuationSeparator" w:id="0">
    <w:p w14:paraId="11D31D06" w14:textId="77777777" w:rsidR="00AF498F" w:rsidRDefault="00AF498F" w:rsidP="00A134B2">
      <w:pPr>
        <w:spacing w:after="0" w:line="240" w:lineRule="auto"/>
      </w:pPr>
      <w:r>
        <w:continuationSeparator/>
      </w:r>
    </w:p>
  </w:endnote>
  <w:endnote w:type="continuationNotice" w:id="1">
    <w:p w14:paraId="718FDD5B" w14:textId="77777777" w:rsidR="00AF498F" w:rsidRDefault="00AF4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014424"/>
      <w:docPartObj>
        <w:docPartGallery w:val="Page Numbers (Bottom of Page)"/>
        <w:docPartUnique/>
      </w:docPartObj>
    </w:sdtPr>
    <w:sdtEndPr>
      <w:rPr>
        <w:noProof/>
        <w:sz w:val="18"/>
        <w:szCs w:val="18"/>
      </w:rPr>
    </w:sdtEndPr>
    <w:sdtContent>
      <w:p w14:paraId="6B84E4C2" w14:textId="57120912" w:rsidR="000626CD" w:rsidRPr="000626CD" w:rsidRDefault="000626CD">
        <w:pPr>
          <w:pStyle w:val="Footer"/>
          <w:jc w:val="center"/>
          <w:rPr>
            <w:sz w:val="18"/>
            <w:szCs w:val="18"/>
          </w:rPr>
        </w:pPr>
        <w:r w:rsidRPr="000626CD">
          <w:rPr>
            <w:sz w:val="18"/>
            <w:szCs w:val="18"/>
          </w:rPr>
          <w:fldChar w:fldCharType="begin"/>
        </w:r>
        <w:r w:rsidRPr="000626CD">
          <w:rPr>
            <w:sz w:val="18"/>
            <w:szCs w:val="18"/>
          </w:rPr>
          <w:instrText xml:space="preserve"> PAGE   \* MERGEFORMAT </w:instrText>
        </w:r>
        <w:r w:rsidRPr="000626CD">
          <w:rPr>
            <w:sz w:val="18"/>
            <w:szCs w:val="18"/>
          </w:rPr>
          <w:fldChar w:fldCharType="separate"/>
        </w:r>
        <w:r w:rsidRPr="000626CD">
          <w:rPr>
            <w:noProof/>
            <w:sz w:val="18"/>
            <w:szCs w:val="18"/>
          </w:rPr>
          <w:t>2</w:t>
        </w:r>
        <w:r w:rsidRPr="000626C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86815"/>
      <w:docPartObj>
        <w:docPartGallery w:val="Page Numbers (Bottom of Page)"/>
        <w:docPartUnique/>
      </w:docPartObj>
    </w:sdtPr>
    <w:sdtEndPr>
      <w:rPr>
        <w:noProof/>
        <w:sz w:val="18"/>
        <w:szCs w:val="18"/>
      </w:rPr>
    </w:sdtEndPr>
    <w:sdtContent>
      <w:p w14:paraId="070F0C64" w14:textId="2900A51B" w:rsidR="000626CD" w:rsidRPr="000626CD" w:rsidRDefault="000626CD">
        <w:pPr>
          <w:pStyle w:val="Footer"/>
          <w:jc w:val="center"/>
          <w:rPr>
            <w:sz w:val="18"/>
            <w:szCs w:val="18"/>
          </w:rPr>
        </w:pPr>
        <w:r w:rsidRPr="000626CD">
          <w:rPr>
            <w:sz w:val="18"/>
            <w:szCs w:val="18"/>
          </w:rPr>
          <w:fldChar w:fldCharType="begin"/>
        </w:r>
        <w:r w:rsidRPr="000626CD">
          <w:rPr>
            <w:sz w:val="18"/>
            <w:szCs w:val="18"/>
          </w:rPr>
          <w:instrText xml:space="preserve"> PAGE   \* MERGEFORMAT </w:instrText>
        </w:r>
        <w:r w:rsidRPr="000626CD">
          <w:rPr>
            <w:sz w:val="18"/>
            <w:szCs w:val="18"/>
          </w:rPr>
          <w:fldChar w:fldCharType="separate"/>
        </w:r>
        <w:r w:rsidRPr="000626CD">
          <w:rPr>
            <w:noProof/>
            <w:sz w:val="18"/>
            <w:szCs w:val="18"/>
          </w:rPr>
          <w:t>2</w:t>
        </w:r>
        <w:r w:rsidRPr="000626C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EE83" w14:textId="77777777" w:rsidR="00AF498F" w:rsidRDefault="00AF498F" w:rsidP="00A134B2">
      <w:pPr>
        <w:spacing w:after="0" w:line="240" w:lineRule="auto"/>
      </w:pPr>
      <w:r>
        <w:separator/>
      </w:r>
    </w:p>
  </w:footnote>
  <w:footnote w:type="continuationSeparator" w:id="0">
    <w:p w14:paraId="54196DD4" w14:textId="77777777" w:rsidR="00AF498F" w:rsidRDefault="00AF498F" w:rsidP="00A134B2">
      <w:pPr>
        <w:spacing w:after="0" w:line="240" w:lineRule="auto"/>
      </w:pPr>
      <w:r>
        <w:continuationSeparator/>
      </w:r>
    </w:p>
  </w:footnote>
  <w:footnote w:type="continuationNotice" w:id="1">
    <w:p w14:paraId="3C4EE6D3" w14:textId="77777777" w:rsidR="00AF498F" w:rsidRDefault="00AF49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9833" w14:textId="77777777" w:rsidR="000626CD" w:rsidRPr="000626CD" w:rsidRDefault="000626CD" w:rsidP="000626CD">
    <w:pPr>
      <w:pBdr>
        <w:bottom w:val="single" w:sz="4" w:space="1" w:color="auto"/>
      </w:pBdr>
      <w:tabs>
        <w:tab w:val="center" w:pos="4680"/>
        <w:tab w:val="right" w:pos="9360"/>
      </w:tabs>
      <w:spacing w:after="0" w:line="240" w:lineRule="auto"/>
      <w:rPr>
        <w:rFonts w:eastAsia="Calibri" w:cs="Arial"/>
        <w:i/>
        <w:iCs/>
        <w:sz w:val="18"/>
        <w:szCs w:val="18"/>
      </w:rPr>
    </w:pPr>
    <w:r w:rsidRPr="000626CD">
      <w:rPr>
        <w:rFonts w:eastAsia="Calibri" w:cs="Arial"/>
        <w:i/>
        <w:iCs/>
        <w:sz w:val="18"/>
        <w:szCs w:val="18"/>
      </w:rPr>
      <w:t>UNEP/CMS/ScS-SC5/Doc.</w:t>
    </w:r>
    <w:r>
      <w:rPr>
        <w:rFonts w:eastAsia="Calibri" w:cs="Arial"/>
        <w:i/>
        <w:iCs/>
        <w:sz w:val="18"/>
        <w:szCs w:val="18"/>
      </w:rPr>
      <w:t>6.4.1</w:t>
    </w:r>
  </w:p>
  <w:p w14:paraId="3062C922" w14:textId="77777777" w:rsidR="000626CD" w:rsidRDefault="0006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3E1B" w14:textId="77777777" w:rsidR="000626CD" w:rsidRPr="000626CD" w:rsidRDefault="000626CD" w:rsidP="000626CD">
    <w:pPr>
      <w:pBdr>
        <w:bottom w:val="single" w:sz="4" w:space="1" w:color="auto"/>
      </w:pBdr>
      <w:tabs>
        <w:tab w:val="center" w:pos="4680"/>
        <w:tab w:val="right" w:pos="9360"/>
      </w:tabs>
      <w:spacing w:after="0" w:line="240" w:lineRule="auto"/>
      <w:jc w:val="right"/>
      <w:rPr>
        <w:rFonts w:eastAsia="Calibri" w:cs="Arial"/>
        <w:i/>
        <w:iCs/>
        <w:sz w:val="18"/>
        <w:szCs w:val="18"/>
      </w:rPr>
    </w:pPr>
    <w:r w:rsidRPr="000626CD">
      <w:rPr>
        <w:rFonts w:eastAsia="Calibri" w:cs="Arial"/>
        <w:i/>
        <w:iCs/>
        <w:sz w:val="18"/>
        <w:szCs w:val="18"/>
      </w:rPr>
      <w:t>UNEP/CMS/ScS-SC5/Doc.</w:t>
    </w:r>
    <w:r>
      <w:rPr>
        <w:rFonts w:eastAsia="Calibri" w:cs="Arial"/>
        <w:i/>
        <w:iCs/>
        <w:sz w:val="18"/>
        <w:szCs w:val="18"/>
      </w:rPr>
      <w:t>6.4.1</w:t>
    </w:r>
  </w:p>
  <w:p w14:paraId="1B9F1823" w14:textId="77777777" w:rsidR="000626CD" w:rsidRDefault="00062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28DD" w14:textId="1C55F6C1" w:rsidR="000626CD" w:rsidRPr="000626CD" w:rsidRDefault="000626CD" w:rsidP="000626CD">
    <w:pPr>
      <w:pBdr>
        <w:bottom w:val="single" w:sz="4" w:space="1" w:color="auto"/>
      </w:pBdr>
      <w:tabs>
        <w:tab w:val="center" w:pos="4680"/>
        <w:tab w:val="right" w:pos="9360"/>
      </w:tabs>
      <w:spacing w:after="0" w:line="240" w:lineRule="auto"/>
      <w:jc w:val="right"/>
      <w:rPr>
        <w:rFonts w:eastAsia="Calibri" w:cs="Arial"/>
        <w:i/>
        <w:iCs/>
        <w:sz w:val="18"/>
        <w:szCs w:val="18"/>
      </w:rPr>
    </w:pPr>
    <w:bookmarkStart w:id="0" w:name="_Hlk76712162"/>
    <w:r w:rsidRPr="000626CD">
      <w:rPr>
        <w:rFonts w:eastAsia="Calibri" w:cs="Arial"/>
        <w:i/>
        <w:iCs/>
        <w:sz w:val="18"/>
        <w:szCs w:val="18"/>
      </w:rPr>
      <w:t>UNEP/CMS/ScS-SC5/Doc.</w:t>
    </w:r>
    <w:r>
      <w:rPr>
        <w:rFonts w:eastAsia="Calibri" w:cs="Arial"/>
        <w:i/>
        <w:iCs/>
        <w:sz w:val="18"/>
        <w:szCs w:val="18"/>
      </w:rPr>
      <w:t>6.4.1</w:t>
    </w:r>
  </w:p>
  <w:bookmarkEnd w:id="0"/>
  <w:p w14:paraId="5CAB8D40" w14:textId="77777777" w:rsidR="000626CD" w:rsidRDefault="0006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A35705"/>
    <w:multiLevelType w:val="hybridMultilevel"/>
    <w:tmpl w:val="77DA0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8189"/>
    <w:multiLevelType w:val="hybridMultilevel"/>
    <w:tmpl w:val="B36AD5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A16DA"/>
    <w:multiLevelType w:val="multilevel"/>
    <w:tmpl w:val="C4408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1D530E"/>
    <w:multiLevelType w:val="hybridMultilevel"/>
    <w:tmpl w:val="F6223B2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77FE6"/>
    <w:multiLevelType w:val="hybridMultilevel"/>
    <w:tmpl w:val="C5F85E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42DDD6D"/>
    <w:multiLevelType w:val="hybridMultilevel"/>
    <w:tmpl w:val="2AA157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2963B2"/>
    <w:multiLevelType w:val="hybridMultilevel"/>
    <w:tmpl w:val="DF08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6684F"/>
    <w:multiLevelType w:val="hybridMultilevel"/>
    <w:tmpl w:val="6E6E01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325AFF"/>
    <w:multiLevelType w:val="hybridMultilevel"/>
    <w:tmpl w:val="829AD0A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063E15"/>
    <w:multiLevelType w:val="hybridMultilevel"/>
    <w:tmpl w:val="F2F89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2"/>
  </w:num>
  <w:num w:numId="6">
    <w:abstractNumId w:val="4"/>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0C"/>
    <w:rsid w:val="00031BCA"/>
    <w:rsid w:val="00053524"/>
    <w:rsid w:val="00054265"/>
    <w:rsid w:val="0005509D"/>
    <w:rsid w:val="000626CD"/>
    <w:rsid w:val="0007300C"/>
    <w:rsid w:val="00080F5E"/>
    <w:rsid w:val="0008345D"/>
    <w:rsid w:val="00086B52"/>
    <w:rsid w:val="000C0F3C"/>
    <w:rsid w:val="000E05FB"/>
    <w:rsid w:val="000E09D0"/>
    <w:rsid w:val="000E1D3A"/>
    <w:rsid w:val="00103D2D"/>
    <w:rsid w:val="00105C58"/>
    <w:rsid w:val="001157A0"/>
    <w:rsid w:val="00121788"/>
    <w:rsid w:val="0015116A"/>
    <w:rsid w:val="001520FC"/>
    <w:rsid w:val="001907EC"/>
    <w:rsid w:val="001930F8"/>
    <w:rsid w:val="001B6DD4"/>
    <w:rsid w:val="001C04AD"/>
    <w:rsid w:val="001C3338"/>
    <w:rsid w:val="001E0E55"/>
    <w:rsid w:val="001E7097"/>
    <w:rsid w:val="00205842"/>
    <w:rsid w:val="002070F2"/>
    <w:rsid w:val="00215D33"/>
    <w:rsid w:val="00265AD3"/>
    <w:rsid w:val="00267E02"/>
    <w:rsid w:val="002A2EC2"/>
    <w:rsid w:val="002D077D"/>
    <w:rsid w:val="002D3F8D"/>
    <w:rsid w:val="003556E1"/>
    <w:rsid w:val="0037616F"/>
    <w:rsid w:val="003A27E7"/>
    <w:rsid w:val="003A2A14"/>
    <w:rsid w:val="003B5FCD"/>
    <w:rsid w:val="003C05F3"/>
    <w:rsid w:val="003C12FA"/>
    <w:rsid w:val="003D4D10"/>
    <w:rsid w:val="003F36F2"/>
    <w:rsid w:val="0041720C"/>
    <w:rsid w:val="00424DAE"/>
    <w:rsid w:val="0043278F"/>
    <w:rsid w:val="00436C35"/>
    <w:rsid w:val="00471428"/>
    <w:rsid w:val="00473BEE"/>
    <w:rsid w:val="004757F3"/>
    <w:rsid w:val="004A4FFC"/>
    <w:rsid w:val="004B4F88"/>
    <w:rsid w:val="004C45D5"/>
    <w:rsid w:val="004F655A"/>
    <w:rsid w:val="00501B91"/>
    <w:rsid w:val="00505856"/>
    <w:rsid w:val="0051168B"/>
    <w:rsid w:val="00517EE0"/>
    <w:rsid w:val="00523D98"/>
    <w:rsid w:val="005523D5"/>
    <w:rsid w:val="00570AA3"/>
    <w:rsid w:val="0058213B"/>
    <w:rsid w:val="005B23A8"/>
    <w:rsid w:val="005B5E8F"/>
    <w:rsid w:val="005C5435"/>
    <w:rsid w:val="005C6464"/>
    <w:rsid w:val="005E7564"/>
    <w:rsid w:val="005F2196"/>
    <w:rsid w:val="005F7CF1"/>
    <w:rsid w:val="00601478"/>
    <w:rsid w:val="006629E5"/>
    <w:rsid w:val="00670E9C"/>
    <w:rsid w:val="00676B28"/>
    <w:rsid w:val="0069298C"/>
    <w:rsid w:val="006A4E4A"/>
    <w:rsid w:val="006A7DF1"/>
    <w:rsid w:val="006B6C9C"/>
    <w:rsid w:val="006D5149"/>
    <w:rsid w:val="007067C3"/>
    <w:rsid w:val="00706CD2"/>
    <w:rsid w:val="007146BC"/>
    <w:rsid w:val="00714B28"/>
    <w:rsid w:val="007163E7"/>
    <w:rsid w:val="00780AFB"/>
    <w:rsid w:val="00782A8A"/>
    <w:rsid w:val="007B7758"/>
    <w:rsid w:val="007E2176"/>
    <w:rsid w:val="007E37E5"/>
    <w:rsid w:val="007F0C21"/>
    <w:rsid w:val="00802E36"/>
    <w:rsid w:val="00831CA6"/>
    <w:rsid w:val="00852A2C"/>
    <w:rsid w:val="0086493B"/>
    <w:rsid w:val="008F2696"/>
    <w:rsid w:val="00911B87"/>
    <w:rsid w:val="0092283D"/>
    <w:rsid w:val="00956AC7"/>
    <w:rsid w:val="0096629B"/>
    <w:rsid w:val="009C0FDF"/>
    <w:rsid w:val="009C41C9"/>
    <w:rsid w:val="009C54C6"/>
    <w:rsid w:val="009D5C01"/>
    <w:rsid w:val="009E470A"/>
    <w:rsid w:val="00A134B2"/>
    <w:rsid w:val="00A1650C"/>
    <w:rsid w:val="00A269E1"/>
    <w:rsid w:val="00A34AD2"/>
    <w:rsid w:val="00A4460D"/>
    <w:rsid w:val="00A44E3B"/>
    <w:rsid w:val="00A55505"/>
    <w:rsid w:val="00A851CD"/>
    <w:rsid w:val="00A97B3F"/>
    <w:rsid w:val="00AB4C0F"/>
    <w:rsid w:val="00AB6D82"/>
    <w:rsid w:val="00AE767D"/>
    <w:rsid w:val="00AF0715"/>
    <w:rsid w:val="00AF498F"/>
    <w:rsid w:val="00B07F61"/>
    <w:rsid w:val="00B52C18"/>
    <w:rsid w:val="00B558A2"/>
    <w:rsid w:val="00B5719C"/>
    <w:rsid w:val="00B6565C"/>
    <w:rsid w:val="00B71244"/>
    <w:rsid w:val="00BB720C"/>
    <w:rsid w:val="00BC0A04"/>
    <w:rsid w:val="00BC5CBC"/>
    <w:rsid w:val="00BE3F48"/>
    <w:rsid w:val="00BE650C"/>
    <w:rsid w:val="00BF65D3"/>
    <w:rsid w:val="00C33620"/>
    <w:rsid w:val="00C37709"/>
    <w:rsid w:val="00C40C4B"/>
    <w:rsid w:val="00C7562D"/>
    <w:rsid w:val="00C8550B"/>
    <w:rsid w:val="00C97CAF"/>
    <w:rsid w:val="00CA121C"/>
    <w:rsid w:val="00CB7642"/>
    <w:rsid w:val="00CE191C"/>
    <w:rsid w:val="00D04BC5"/>
    <w:rsid w:val="00D40E92"/>
    <w:rsid w:val="00D54A78"/>
    <w:rsid w:val="00D666AE"/>
    <w:rsid w:val="00D85C45"/>
    <w:rsid w:val="00D972D9"/>
    <w:rsid w:val="00DA4152"/>
    <w:rsid w:val="00DD2694"/>
    <w:rsid w:val="00DE7C62"/>
    <w:rsid w:val="00DF5CF3"/>
    <w:rsid w:val="00E11DB3"/>
    <w:rsid w:val="00E131C5"/>
    <w:rsid w:val="00E20E2E"/>
    <w:rsid w:val="00E25294"/>
    <w:rsid w:val="00E4164A"/>
    <w:rsid w:val="00E42DE4"/>
    <w:rsid w:val="00E57413"/>
    <w:rsid w:val="00E576C0"/>
    <w:rsid w:val="00E70F0B"/>
    <w:rsid w:val="00E806C2"/>
    <w:rsid w:val="00E819A6"/>
    <w:rsid w:val="00E8209B"/>
    <w:rsid w:val="00E842C1"/>
    <w:rsid w:val="00E95A64"/>
    <w:rsid w:val="00EA0DEF"/>
    <w:rsid w:val="00EC035E"/>
    <w:rsid w:val="00ED3697"/>
    <w:rsid w:val="00F023C1"/>
    <w:rsid w:val="00F31AF0"/>
    <w:rsid w:val="00F67E2D"/>
    <w:rsid w:val="00F903D2"/>
    <w:rsid w:val="00FB13EE"/>
    <w:rsid w:val="00FB78D7"/>
    <w:rsid w:val="00FC6AFF"/>
    <w:rsid w:val="00FE0CF3"/>
    <w:rsid w:val="0441A8BE"/>
    <w:rsid w:val="05365037"/>
    <w:rsid w:val="05A813A1"/>
    <w:rsid w:val="072189ED"/>
    <w:rsid w:val="07E16CAF"/>
    <w:rsid w:val="07EB2A13"/>
    <w:rsid w:val="0B2FB60F"/>
    <w:rsid w:val="0E601A32"/>
    <w:rsid w:val="0F0E6BF4"/>
    <w:rsid w:val="0FBE66E8"/>
    <w:rsid w:val="10AA3C55"/>
    <w:rsid w:val="134A44C4"/>
    <w:rsid w:val="151629FD"/>
    <w:rsid w:val="167BF3EC"/>
    <w:rsid w:val="1B29457F"/>
    <w:rsid w:val="1B9B26F8"/>
    <w:rsid w:val="1C7C7301"/>
    <w:rsid w:val="1F5B5152"/>
    <w:rsid w:val="2012540F"/>
    <w:rsid w:val="2075556F"/>
    <w:rsid w:val="20C84DA5"/>
    <w:rsid w:val="2282CAB9"/>
    <w:rsid w:val="22C07775"/>
    <w:rsid w:val="25ABC05A"/>
    <w:rsid w:val="26F126D2"/>
    <w:rsid w:val="2CD7AEBA"/>
    <w:rsid w:val="2F8DA43D"/>
    <w:rsid w:val="2FE33021"/>
    <w:rsid w:val="346DF893"/>
    <w:rsid w:val="38284D89"/>
    <w:rsid w:val="3B8134F5"/>
    <w:rsid w:val="3F754232"/>
    <w:rsid w:val="434D5FFC"/>
    <w:rsid w:val="4365018E"/>
    <w:rsid w:val="445A5114"/>
    <w:rsid w:val="47BBB97B"/>
    <w:rsid w:val="4D90972B"/>
    <w:rsid w:val="503B31A4"/>
    <w:rsid w:val="513E424A"/>
    <w:rsid w:val="518C159B"/>
    <w:rsid w:val="552A9B1A"/>
    <w:rsid w:val="586206F9"/>
    <w:rsid w:val="5E392E01"/>
    <w:rsid w:val="604E6C2B"/>
    <w:rsid w:val="6397BB70"/>
    <w:rsid w:val="658C109D"/>
    <w:rsid w:val="684B9C29"/>
    <w:rsid w:val="694D4103"/>
    <w:rsid w:val="6E6AAF06"/>
    <w:rsid w:val="6FBD7EA6"/>
    <w:rsid w:val="70E721FB"/>
    <w:rsid w:val="7433E58A"/>
    <w:rsid w:val="764E2189"/>
    <w:rsid w:val="76E14355"/>
    <w:rsid w:val="776BA02F"/>
    <w:rsid w:val="7B5B2BD7"/>
    <w:rsid w:val="7C18FE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8197"/>
  <w15:chartTrackingRefBased/>
  <w15:docId w15:val="{50BFBBF7-EED2-40BA-BF8B-700A3487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50C"/>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601478"/>
    <w:rPr>
      <w:color w:val="0563C1" w:themeColor="hyperlink"/>
      <w:u w:val="single"/>
    </w:rPr>
  </w:style>
  <w:style w:type="paragraph" w:styleId="FootnoteText">
    <w:name w:val="footnote text"/>
    <w:basedOn w:val="Normal"/>
    <w:link w:val="FootnoteTextChar"/>
    <w:uiPriority w:val="99"/>
    <w:semiHidden/>
    <w:unhideWhenUsed/>
    <w:rsid w:val="00A13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B2"/>
    <w:rPr>
      <w:sz w:val="20"/>
      <w:szCs w:val="20"/>
    </w:rPr>
  </w:style>
  <w:style w:type="character" w:styleId="FootnoteReference">
    <w:name w:val="footnote reference"/>
    <w:basedOn w:val="DefaultParagraphFont"/>
    <w:uiPriority w:val="99"/>
    <w:semiHidden/>
    <w:unhideWhenUsed/>
    <w:rsid w:val="00A134B2"/>
    <w:rPr>
      <w:vertAlign w:val="superscript"/>
    </w:rPr>
  </w:style>
  <w:style w:type="paragraph" w:styleId="BalloonText">
    <w:name w:val="Balloon Text"/>
    <w:basedOn w:val="Normal"/>
    <w:link w:val="BalloonTextChar"/>
    <w:uiPriority w:val="99"/>
    <w:semiHidden/>
    <w:unhideWhenUsed/>
    <w:rsid w:val="00A3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D2"/>
    <w:rPr>
      <w:rFonts w:ascii="Segoe UI" w:hAnsi="Segoe UI" w:cs="Segoe UI"/>
      <w:sz w:val="18"/>
      <w:szCs w:val="18"/>
    </w:rPr>
  </w:style>
  <w:style w:type="character" w:styleId="CommentReference">
    <w:name w:val="annotation reference"/>
    <w:basedOn w:val="DefaultParagraphFont"/>
    <w:uiPriority w:val="99"/>
    <w:semiHidden/>
    <w:unhideWhenUsed/>
    <w:rsid w:val="00CB7642"/>
    <w:rPr>
      <w:sz w:val="16"/>
      <w:szCs w:val="16"/>
    </w:rPr>
  </w:style>
  <w:style w:type="paragraph" w:styleId="CommentText">
    <w:name w:val="annotation text"/>
    <w:basedOn w:val="Normal"/>
    <w:link w:val="CommentTextChar"/>
    <w:uiPriority w:val="99"/>
    <w:semiHidden/>
    <w:unhideWhenUsed/>
    <w:rsid w:val="00CB7642"/>
    <w:pPr>
      <w:spacing w:line="240" w:lineRule="auto"/>
    </w:pPr>
    <w:rPr>
      <w:sz w:val="20"/>
      <w:szCs w:val="20"/>
    </w:rPr>
  </w:style>
  <w:style w:type="character" w:customStyle="1" w:styleId="CommentTextChar">
    <w:name w:val="Comment Text Char"/>
    <w:basedOn w:val="DefaultParagraphFont"/>
    <w:link w:val="CommentText"/>
    <w:uiPriority w:val="99"/>
    <w:semiHidden/>
    <w:rsid w:val="00CB7642"/>
    <w:rPr>
      <w:sz w:val="20"/>
      <w:szCs w:val="20"/>
    </w:rPr>
  </w:style>
  <w:style w:type="paragraph" w:styleId="CommentSubject">
    <w:name w:val="annotation subject"/>
    <w:basedOn w:val="CommentText"/>
    <w:next w:val="CommentText"/>
    <w:link w:val="CommentSubjectChar"/>
    <w:uiPriority w:val="99"/>
    <w:semiHidden/>
    <w:unhideWhenUsed/>
    <w:rsid w:val="00CB7642"/>
    <w:rPr>
      <w:b/>
      <w:bCs/>
    </w:rPr>
  </w:style>
  <w:style w:type="character" w:customStyle="1" w:styleId="CommentSubjectChar">
    <w:name w:val="Comment Subject Char"/>
    <w:basedOn w:val="CommentTextChar"/>
    <w:link w:val="CommentSubject"/>
    <w:uiPriority w:val="99"/>
    <w:semiHidden/>
    <w:rsid w:val="00CB7642"/>
    <w:rPr>
      <w:b/>
      <w:bCs/>
      <w:sz w:val="20"/>
      <w:szCs w:val="20"/>
    </w:rPr>
  </w:style>
  <w:style w:type="paragraph" w:styleId="Header">
    <w:name w:val="header"/>
    <w:basedOn w:val="Normal"/>
    <w:link w:val="HeaderChar"/>
    <w:uiPriority w:val="99"/>
    <w:unhideWhenUsed/>
    <w:rsid w:val="0092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3D"/>
  </w:style>
  <w:style w:type="paragraph" w:styleId="Footer">
    <w:name w:val="footer"/>
    <w:basedOn w:val="Normal"/>
    <w:link w:val="FooterChar"/>
    <w:uiPriority w:val="99"/>
    <w:unhideWhenUsed/>
    <w:rsid w:val="0092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83D"/>
  </w:style>
  <w:style w:type="paragraph" w:styleId="ListParagraph">
    <w:name w:val="List Paragraph"/>
    <w:basedOn w:val="Normal"/>
    <w:uiPriority w:val="34"/>
    <w:qFormat/>
    <w:rsid w:val="00DA4152"/>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5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dg.un.org/sites/default/files/2020-04/UN-framework-for-the-immediate-socio-economic-response-to-COVID-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p.org/resources/report/preventing-future-zoonotic-disease-outbreaks-protecting-environment-animals-a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3F00C23A6924B81AABDFB825C03FD" ma:contentTypeVersion="6" ma:contentTypeDescription="Create a new document." ma:contentTypeScope="" ma:versionID="5213f5d6cc836ea6a7062ed562051d58">
  <xsd:schema xmlns:xsd="http://www.w3.org/2001/XMLSchema" xmlns:xs="http://www.w3.org/2001/XMLSchema" xmlns:p="http://schemas.microsoft.com/office/2006/metadata/properties" xmlns:ns2="d224686e-12c7-446e-a682-04859b6c5832" targetNamespace="http://schemas.microsoft.com/office/2006/metadata/properties" ma:root="true" ma:fieldsID="5b131a24de7ba9a8c2f9b792e4fce5f4" ns2:_="">
    <xsd:import namespace="d224686e-12c7-446e-a682-04859b6c5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4686e-12c7-446e-a682-04859b6c5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EF523-D119-4D62-9543-6254EFEC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4686e-12c7-446e-a682-04859b6c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51C50-32EB-45C7-BE8C-5B8032CC1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3F8A7-3A21-437F-A90A-A4AF3CE57B88}">
  <ds:schemaRefs>
    <ds:schemaRef ds:uri="http://schemas.openxmlformats.org/officeDocument/2006/bibliography"/>
  </ds:schemaRefs>
</ds:datastoreItem>
</file>

<file path=customXml/itemProps4.xml><?xml version="1.0" encoding="utf-8"?>
<ds:datastoreItem xmlns:ds="http://schemas.openxmlformats.org/officeDocument/2006/customXml" ds:itemID="{0E45B0F5-6E21-4806-9420-112FBFC49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4542</Characters>
  <Application>Microsoft Office Word</Application>
  <DocSecurity>0</DocSecurity>
  <Lines>94</Lines>
  <Paragraphs>44</Paragraphs>
  <ScaleCrop>false</ScaleCrop>
  <Company>Wildfowl &amp; Wetlands Trust</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Ximena Victoria Cancino Ordenes</cp:lastModifiedBy>
  <cp:revision>2</cp:revision>
  <cp:lastPrinted>2021-07-02T09:11:00Z</cp:lastPrinted>
  <dcterms:created xsi:type="dcterms:W3CDTF">2021-07-09T06:56:00Z</dcterms:created>
  <dcterms:modified xsi:type="dcterms:W3CDTF">2021-07-09T06:56:00Z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0x010100D8C3F00C23A6924B81AABDFB825C03FD</vt:lpwstr>
  </property>
</Properties>
</file>