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D41851" w:rsidTr="008B5DF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B28CE"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bookmarkStart w:id="0" w:name="_GoBack"/>
            <w:bookmarkEnd w:id="0"/>
            <w:r w:rsidRPr="000B28CE">
              <w:rPr>
                <w:rFonts w:eastAsia="Times New Roman" w:cs="Arial"/>
                <w:noProof/>
                <w:szCs w:val="24"/>
                <w:lang w:val="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B28CE"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B28CE"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B28CE">
              <w:rPr>
                <w:rFonts w:eastAsia="Times New Roman" w:cs="Arial"/>
                <w:b/>
                <w:bCs/>
                <w:sz w:val="32"/>
                <w:szCs w:val="24"/>
                <w:lang w:val="es-ES" w:eastAsia="es-ES"/>
              </w:rPr>
              <w:t>CONVENCIÓN SOBRE</w:t>
            </w:r>
          </w:p>
          <w:p w:rsidR="00002A97" w:rsidRPr="000B28CE"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B28CE">
              <w:rPr>
                <w:rFonts w:eastAsia="Times New Roman" w:cs="Arial"/>
                <w:b/>
                <w:bCs/>
                <w:sz w:val="32"/>
                <w:szCs w:val="24"/>
                <w:lang w:val="es-ES" w:eastAsia="es-ES"/>
              </w:rPr>
              <w:t>LAS ESPECIES</w:t>
            </w:r>
          </w:p>
          <w:p w:rsidR="00002A97" w:rsidRPr="000B28CE"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B28CE">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B53ED9"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B53ED9">
              <w:rPr>
                <w:rFonts w:eastAsia="Times New Roman" w:cs="Arial"/>
                <w:szCs w:val="24"/>
                <w:lang w:eastAsia="es-ES"/>
              </w:rPr>
              <w:t>UNEP/CMS/COP13/Doc.</w:t>
            </w:r>
            <w:r w:rsidR="00A35E4D" w:rsidRPr="00B53ED9">
              <w:rPr>
                <w:rFonts w:eastAsia="Times New Roman" w:cs="Arial"/>
                <w:szCs w:val="24"/>
                <w:lang w:eastAsia="es-ES"/>
              </w:rPr>
              <w:t>13.2</w:t>
            </w:r>
            <w:r w:rsidR="00B53ED9" w:rsidRPr="00B53ED9">
              <w:rPr>
                <w:rFonts w:eastAsia="Times New Roman" w:cs="Arial"/>
                <w:szCs w:val="24"/>
                <w:lang w:eastAsia="es-ES"/>
              </w:rPr>
              <w:t>/R</w:t>
            </w:r>
            <w:r w:rsidR="00B53ED9">
              <w:rPr>
                <w:rFonts w:eastAsia="Times New Roman" w:cs="Arial"/>
                <w:szCs w:val="24"/>
                <w:lang w:eastAsia="es-ES"/>
              </w:rPr>
              <w:t>ev.1</w:t>
            </w:r>
          </w:p>
          <w:p w:rsidR="00002A97" w:rsidRPr="000B28CE" w:rsidRDefault="00C664FC"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20</w:t>
            </w:r>
            <w:r w:rsidR="00144AF9">
              <w:rPr>
                <w:rFonts w:eastAsia="Times New Roman" w:cs="Arial"/>
                <w:szCs w:val="24"/>
                <w:lang w:val="es-ES" w:eastAsia="es-ES"/>
              </w:rPr>
              <w:t xml:space="preserve"> de febrero de </w:t>
            </w:r>
            <w:r w:rsidR="00A35E4D" w:rsidRPr="000B28CE">
              <w:rPr>
                <w:rFonts w:eastAsia="Times New Roman" w:cs="Arial"/>
                <w:szCs w:val="24"/>
                <w:lang w:val="es-ES" w:eastAsia="es-ES"/>
              </w:rPr>
              <w:t xml:space="preserve"> </w:t>
            </w:r>
            <w:r w:rsidR="00002A97" w:rsidRPr="000B28CE">
              <w:rPr>
                <w:rFonts w:eastAsia="Times New Roman" w:cs="Arial"/>
                <w:szCs w:val="24"/>
                <w:lang w:val="es-ES" w:eastAsia="es-ES"/>
              </w:rPr>
              <w:t>20</w:t>
            </w:r>
            <w:r w:rsidR="00144AF9">
              <w:rPr>
                <w:rFonts w:eastAsia="Times New Roman" w:cs="Arial"/>
                <w:szCs w:val="24"/>
                <w:lang w:val="es-ES" w:eastAsia="es-ES"/>
              </w:rPr>
              <w:t>20</w:t>
            </w:r>
          </w:p>
          <w:p w:rsidR="00002A97" w:rsidRPr="000B28CE" w:rsidRDefault="00002A97" w:rsidP="000B28CE">
            <w:pPr>
              <w:widowControl w:val="0"/>
              <w:suppressAutoHyphens/>
              <w:autoSpaceDE w:val="0"/>
              <w:autoSpaceDN w:val="0"/>
              <w:spacing w:after="120" w:line="240" w:lineRule="auto"/>
              <w:textAlignment w:val="baseline"/>
              <w:rPr>
                <w:rFonts w:eastAsia="Times New Roman" w:cs="Arial"/>
                <w:szCs w:val="24"/>
                <w:lang w:val="es-ES" w:eastAsia="es-ES"/>
              </w:rPr>
            </w:pPr>
            <w:r w:rsidRPr="000B28CE">
              <w:rPr>
                <w:rFonts w:eastAsia="Times New Roman" w:cs="Arial"/>
                <w:szCs w:val="24"/>
                <w:lang w:val="es-ES" w:eastAsia="es-ES"/>
              </w:rPr>
              <w:t>Español</w:t>
            </w:r>
          </w:p>
          <w:p w:rsidR="00002A97" w:rsidRPr="000B28CE"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B28CE">
              <w:rPr>
                <w:rFonts w:eastAsia="Times New Roman" w:cs="Arial"/>
                <w:szCs w:val="24"/>
                <w:lang w:val="es-ES" w:eastAsia="es-ES"/>
              </w:rPr>
              <w:t>Original: Inglés</w:t>
            </w:r>
          </w:p>
          <w:p w:rsidR="00002A97" w:rsidRPr="000B28CE"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B28CE"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B28CE"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B28CE">
        <w:rPr>
          <w:rFonts w:eastAsia="Times New Roman" w:cs="Arial"/>
          <w:szCs w:val="24"/>
          <w:lang w:val="es-ES" w:eastAsia="es-ES"/>
        </w:rPr>
        <w:t>13ª REUNIÓN DE LA CONFERENCIA DE LAS PARTES</w:t>
      </w:r>
    </w:p>
    <w:p w:rsidR="00002A97" w:rsidRPr="000B28CE"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B28CE">
        <w:rPr>
          <w:rFonts w:eastAsia="Times New Roman" w:cs="Arial"/>
          <w:bCs/>
          <w:szCs w:val="24"/>
          <w:lang w:val="es-ES" w:eastAsia="es-ES"/>
        </w:rPr>
        <w:t>Gand</w:t>
      </w:r>
      <w:r w:rsidR="00BF7838" w:rsidRPr="000B28CE">
        <w:rPr>
          <w:rFonts w:eastAsia="Times New Roman" w:cs="Arial"/>
          <w:bCs/>
          <w:szCs w:val="24"/>
          <w:lang w:val="es-ES" w:eastAsia="es-ES"/>
        </w:rPr>
        <w:t>h</w:t>
      </w:r>
      <w:r w:rsidRPr="000B28CE">
        <w:rPr>
          <w:rFonts w:eastAsia="Times New Roman" w:cs="Arial"/>
          <w:bCs/>
          <w:szCs w:val="24"/>
          <w:lang w:val="es-ES" w:eastAsia="es-ES"/>
        </w:rPr>
        <w:t>inagar. India, 17 – 22 de febrero 2020</w:t>
      </w:r>
    </w:p>
    <w:p w:rsidR="00002A97" w:rsidRPr="000B28CE"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B28CE">
        <w:rPr>
          <w:rFonts w:eastAsia="Times New Roman" w:cs="Arial"/>
          <w:szCs w:val="24"/>
          <w:lang w:val="es-ES" w:eastAsia="es-ES"/>
        </w:rPr>
        <w:t xml:space="preserve">Punto </w:t>
      </w:r>
      <w:r w:rsidR="00A35E4D" w:rsidRPr="000B28CE">
        <w:rPr>
          <w:rFonts w:eastAsia="Times New Roman" w:cs="Arial"/>
          <w:szCs w:val="24"/>
          <w:lang w:val="es-ES" w:eastAsia="es-ES"/>
        </w:rPr>
        <w:t>13</w:t>
      </w:r>
      <w:r w:rsidRPr="000B28CE">
        <w:rPr>
          <w:rFonts w:eastAsia="Times New Roman" w:cs="Arial"/>
          <w:szCs w:val="24"/>
          <w:lang w:val="es-ES" w:eastAsia="es-ES"/>
        </w:rPr>
        <w:t xml:space="preserve"> del orden del día</w:t>
      </w:r>
    </w:p>
    <w:p w:rsidR="00002A97" w:rsidRPr="000B28CE"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B28CE"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35E4D" w:rsidRPr="000B28CE" w:rsidRDefault="00A35E4D" w:rsidP="00A35E4D">
      <w:pPr>
        <w:widowControl w:val="0"/>
        <w:suppressAutoHyphens/>
        <w:autoSpaceDE w:val="0"/>
        <w:autoSpaceDN w:val="0"/>
        <w:spacing w:after="0" w:line="240" w:lineRule="auto"/>
        <w:textAlignment w:val="baseline"/>
        <w:rPr>
          <w:rFonts w:eastAsia="Times New Roman" w:cs="Arial"/>
          <w:lang w:val="es-ES" w:eastAsia="es-ES"/>
        </w:rPr>
      </w:pPr>
    </w:p>
    <w:p w:rsidR="00A35E4D" w:rsidRDefault="00A35E4D" w:rsidP="0083679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0B28CE">
        <w:rPr>
          <w:b/>
          <w:caps/>
          <w:lang w:val="es-ES"/>
        </w:rPr>
        <w:t xml:space="preserve">PRESUPUESTO PARA </w:t>
      </w:r>
      <w:r w:rsidRPr="000B28CE">
        <w:rPr>
          <w:rFonts w:cs="Arial"/>
          <w:b/>
          <w:caps/>
          <w:lang w:val="es-ES"/>
        </w:rPr>
        <w:t>2021-2023</w:t>
      </w:r>
    </w:p>
    <w:p w:rsidR="00DA78F2" w:rsidRDefault="00DF145F" w:rsidP="00A35E4D">
      <w:pPr>
        <w:widowControl w:val="0"/>
        <w:suppressAutoHyphens/>
        <w:autoSpaceDE w:val="0"/>
        <w:autoSpaceDN w:val="0"/>
        <w:spacing w:after="0" w:line="240" w:lineRule="auto"/>
        <w:jc w:val="center"/>
        <w:textAlignment w:val="baseline"/>
        <w:rPr>
          <w:rFonts w:cs="Arial"/>
          <w:b/>
          <w:color w:val="000000"/>
          <w:lang w:val="es-ES" w:eastAsia="en-GB"/>
        </w:rPr>
      </w:pPr>
      <w:r>
        <w:rPr>
          <w:rFonts w:cs="Arial"/>
          <w:b/>
          <w:color w:val="000000"/>
          <w:lang w:val="es-ES" w:eastAsia="en-GB"/>
        </w:rPr>
        <w:t>P</w:t>
      </w:r>
      <w:r w:rsidR="00836797" w:rsidRPr="000B28CE">
        <w:rPr>
          <w:rFonts w:cs="Arial"/>
          <w:b/>
          <w:color w:val="000000"/>
          <w:lang w:val="es-ES" w:eastAsia="en-GB"/>
        </w:rPr>
        <w:t xml:space="preserve">ROGRAMA DE TRABAJO PARA EL CICLO </w:t>
      </w:r>
      <w:r w:rsidR="00E56190">
        <w:rPr>
          <w:rFonts w:cs="Arial"/>
          <w:b/>
          <w:color w:val="000000"/>
          <w:lang w:val="es-ES" w:eastAsia="en-GB"/>
        </w:rPr>
        <w:t xml:space="preserve">DEL PERIODO DE SESIONES </w:t>
      </w:r>
    </w:p>
    <w:p w:rsidR="00836797" w:rsidRDefault="00836797" w:rsidP="00A35E4D">
      <w:pPr>
        <w:widowControl w:val="0"/>
        <w:suppressAutoHyphens/>
        <w:autoSpaceDE w:val="0"/>
        <w:autoSpaceDN w:val="0"/>
        <w:spacing w:after="0" w:line="240" w:lineRule="auto"/>
        <w:jc w:val="center"/>
        <w:textAlignment w:val="baseline"/>
        <w:rPr>
          <w:rFonts w:eastAsia="Times New Roman" w:cs="Arial"/>
          <w:i/>
          <w:szCs w:val="24"/>
          <w:lang w:val="es-ES" w:eastAsia="es-ES"/>
        </w:rPr>
      </w:pPr>
      <w:r w:rsidRPr="000B28CE">
        <w:rPr>
          <w:rFonts w:cs="Arial"/>
          <w:b/>
          <w:color w:val="000000"/>
          <w:lang w:val="es-ES" w:eastAsia="en-GB"/>
        </w:rPr>
        <w:t>ENTRE LA COP13 Y LA COP14</w:t>
      </w:r>
      <w:r w:rsidR="00A35E4D" w:rsidRPr="000B28CE">
        <w:rPr>
          <w:rFonts w:eastAsia="Times New Roman" w:cs="Arial"/>
          <w:i/>
          <w:szCs w:val="24"/>
          <w:lang w:val="es-ES" w:eastAsia="es-ES"/>
        </w:rPr>
        <w:t xml:space="preserve"> </w:t>
      </w:r>
    </w:p>
    <w:p w:rsidR="00002A97" w:rsidRPr="000B28CE" w:rsidRDefault="00E77A9F" w:rsidP="00A35E4D">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B28CE">
        <w:rPr>
          <w:rFonts w:eastAsia="Times New Roman" w:cs="Arial"/>
          <w:i/>
          <w:szCs w:val="24"/>
          <w:lang w:val="es-ES" w:eastAsia="es-ES"/>
        </w:rPr>
        <w:t>(Preparado por la Secretaría)</w:t>
      </w:r>
      <w:r w:rsidR="00002A97" w:rsidRPr="000B28CE">
        <w:rPr>
          <w:rFonts w:eastAsia="Times New Roman" w:cs="Arial"/>
          <w:i/>
          <w:szCs w:val="24"/>
          <w:lang w:val="es-ES" w:eastAsia="es-ES"/>
        </w:rPr>
        <w:t xml:space="preserve"> </w:t>
      </w:r>
    </w:p>
    <w:p w:rsidR="00002A97" w:rsidRPr="000B28CE"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B28CE"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B28CE" w:rsidRDefault="00D7196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B28CE">
        <w:rPr>
          <w:rFonts w:eastAsia="Times New Roman" w:cs="Arial"/>
          <w:noProof/>
          <w:lang w:val="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718185</wp:posOffset>
                </wp:positionH>
                <wp:positionV relativeFrom="paragraph">
                  <wp:posOffset>149225</wp:posOffset>
                </wp:positionV>
                <wp:extent cx="4676775" cy="268605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676775" cy="2686050"/>
                        </a:xfrm>
                        <a:prstGeom prst="rect">
                          <a:avLst/>
                        </a:prstGeom>
                        <a:solidFill>
                          <a:srgbClr val="FFFFFF"/>
                        </a:solidFill>
                        <a:ln w="3172">
                          <a:solidFill>
                            <a:srgbClr val="000000"/>
                          </a:solidFill>
                          <a:prstDash val="solid"/>
                        </a:ln>
                      </wps:spPr>
                      <wps:txbx>
                        <w:txbxContent>
                          <w:p w:rsidR="00493A5A" w:rsidRPr="00A35E4D" w:rsidRDefault="00493A5A" w:rsidP="00D71967">
                            <w:pPr>
                              <w:spacing w:after="0" w:line="240" w:lineRule="auto"/>
                              <w:rPr>
                                <w:rFonts w:cs="Arial"/>
                                <w:lang w:val="es-ES"/>
                              </w:rPr>
                            </w:pPr>
                            <w:r w:rsidRPr="00A35E4D">
                              <w:rPr>
                                <w:lang w:val="es-ES"/>
                              </w:rPr>
                              <w:t>Resumen:</w:t>
                            </w:r>
                          </w:p>
                          <w:p w:rsidR="00493A5A" w:rsidRPr="00A35E4D" w:rsidRDefault="00493A5A" w:rsidP="00D71967">
                            <w:pPr>
                              <w:spacing w:after="0" w:line="240" w:lineRule="auto"/>
                              <w:rPr>
                                <w:rFonts w:cs="Arial"/>
                                <w:i/>
                                <w:lang w:val="es-ES"/>
                              </w:rPr>
                            </w:pPr>
                          </w:p>
                          <w:p w:rsidR="00493A5A" w:rsidRPr="00A35E4D" w:rsidRDefault="00493A5A" w:rsidP="00D71967">
                            <w:pPr>
                              <w:spacing w:after="0" w:line="240" w:lineRule="auto"/>
                              <w:jc w:val="both"/>
                              <w:rPr>
                                <w:rFonts w:cs="Arial"/>
                                <w:lang w:val="es-ES"/>
                              </w:rPr>
                            </w:pPr>
                            <w:r w:rsidRPr="00A35E4D">
                              <w:rPr>
                                <w:lang w:val="es-ES"/>
                              </w:rPr>
                              <w:t xml:space="preserve">Tal como </w:t>
                            </w:r>
                            <w:r>
                              <w:rPr>
                                <w:lang w:val="es-ES"/>
                              </w:rPr>
                              <w:t>se</w:t>
                            </w:r>
                            <w:r w:rsidRPr="00A35E4D">
                              <w:rPr>
                                <w:lang w:val="es-ES"/>
                              </w:rPr>
                              <w:t xml:space="preserve"> solicita</w:t>
                            </w:r>
                            <w:r>
                              <w:rPr>
                                <w:lang w:val="es-ES"/>
                              </w:rPr>
                              <w:t xml:space="preserve"> en la Resolución 12.2 </w:t>
                            </w:r>
                            <w:r w:rsidRPr="00A35E4D">
                              <w:rPr>
                                <w:i/>
                                <w:lang w:val="es-ES"/>
                              </w:rPr>
                              <w:t>Asuntos administrativos y financieros</w:t>
                            </w:r>
                            <w:r w:rsidRPr="00A35E4D">
                              <w:rPr>
                                <w:rFonts w:cs="Arial"/>
                                <w:lang w:val="es-ES"/>
                              </w:rPr>
                              <w:t xml:space="preserve"> </w:t>
                            </w:r>
                            <w:r w:rsidRPr="004020A2">
                              <w:rPr>
                                <w:rFonts w:cs="Arial"/>
                                <w:lang w:val="es-ES"/>
                              </w:rPr>
                              <w:t>adoptada por la Conferencia de las Partes en su 12ª reunión (COP12, Manila, 2017),</w:t>
                            </w:r>
                            <w:r>
                              <w:rPr>
                                <w:rFonts w:cs="Arial"/>
                                <w:lang w:val="es-ES"/>
                              </w:rPr>
                              <w:t xml:space="preserve"> </w:t>
                            </w:r>
                            <w:r w:rsidRPr="00A35E4D">
                              <w:rPr>
                                <w:lang w:val="es-ES"/>
                              </w:rPr>
                              <w:t>la Secretaría ha preparado l</w:t>
                            </w:r>
                            <w:r>
                              <w:rPr>
                                <w:lang w:val="es-ES"/>
                              </w:rPr>
                              <w:t>o</w:t>
                            </w:r>
                            <w:r w:rsidRPr="00A35E4D">
                              <w:rPr>
                                <w:lang w:val="es-ES"/>
                              </w:rPr>
                              <w:t xml:space="preserve">s siguientes </w:t>
                            </w:r>
                            <w:r>
                              <w:rPr>
                                <w:lang w:val="es-ES"/>
                              </w:rPr>
                              <w:t>cuatro</w:t>
                            </w:r>
                            <w:r w:rsidRPr="00A35E4D">
                              <w:rPr>
                                <w:lang w:val="es-ES"/>
                              </w:rPr>
                              <w:t xml:space="preserve"> escenarios presupuestari</w:t>
                            </w:r>
                            <w:r>
                              <w:rPr>
                                <w:lang w:val="es-ES"/>
                              </w:rPr>
                              <w:t>o</w:t>
                            </w:r>
                            <w:r w:rsidRPr="00A35E4D">
                              <w:rPr>
                                <w:lang w:val="es-ES"/>
                              </w:rPr>
                              <w:t xml:space="preserve">s para el trienio </w:t>
                            </w:r>
                            <w:r w:rsidRPr="00A35E4D">
                              <w:rPr>
                                <w:rFonts w:cs="Arial"/>
                                <w:lang w:val="es-ES"/>
                              </w:rPr>
                              <w:t xml:space="preserve">2021-2023. </w:t>
                            </w:r>
                          </w:p>
                          <w:p w:rsidR="00493A5A" w:rsidRDefault="00493A5A" w:rsidP="00D71967">
                            <w:pPr>
                              <w:spacing w:after="0" w:line="240" w:lineRule="auto"/>
                              <w:jc w:val="both"/>
                              <w:rPr>
                                <w:rFonts w:cs="Arial"/>
                                <w:lang w:val="es-ES"/>
                              </w:rPr>
                            </w:pPr>
                          </w:p>
                          <w:p w:rsidR="00493A5A" w:rsidRDefault="00493A5A" w:rsidP="00D71967">
                            <w:pPr>
                              <w:spacing w:after="0" w:line="240" w:lineRule="auto"/>
                              <w:jc w:val="both"/>
                              <w:rPr>
                                <w:rFonts w:cs="Arial"/>
                                <w:lang w:val="es-ES"/>
                              </w:rPr>
                            </w:pPr>
                            <w:r w:rsidRPr="004020A2">
                              <w:rPr>
                                <w:rFonts w:cs="Arial"/>
                                <w:lang w:val="es-ES"/>
                              </w:rPr>
                              <w:t xml:space="preserve">En </w:t>
                            </w:r>
                            <w:r w:rsidR="00C664FC">
                              <w:rPr>
                                <w:rFonts w:cs="Arial"/>
                                <w:lang w:val="es-ES"/>
                              </w:rPr>
                              <w:t>el</w:t>
                            </w:r>
                            <w:r w:rsidRPr="004020A2">
                              <w:rPr>
                                <w:rFonts w:cs="Arial"/>
                                <w:lang w:val="es-ES"/>
                              </w:rPr>
                              <w:t xml:space="preserve"> Anexo </w:t>
                            </w:r>
                            <w:r w:rsidR="00C664FC">
                              <w:rPr>
                                <w:rFonts w:cs="Arial"/>
                                <w:lang w:val="es-ES"/>
                              </w:rPr>
                              <w:t xml:space="preserve">6 </w:t>
                            </w:r>
                            <w:r w:rsidRPr="004020A2">
                              <w:rPr>
                                <w:rFonts w:cs="Arial"/>
                                <w:lang w:val="es-ES"/>
                              </w:rPr>
                              <w:t xml:space="preserve">se presenta un proyecto de programa de trabajo para el período </w:t>
                            </w:r>
                            <w:r w:rsidR="00C664FC">
                              <w:rPr>
                                <w:rFonts w:cs="Arial"/>
                                <w:lang w:val="es-ES"/>
                              </w:rPr>
                              <w:t>entre</w:t>
                            </w:r>
                            <w:r w:rsidRPr="004020A2">
                              <w:rPr>
                                <w:rFonts w:cs="Arial"/>
                                <w:lang w:val="es-ES"/>
                              </w:rPr>
                              <w:t xml:space="preserve"> sesiones entre la COP13 y la COP14.</w:t>
                            </w:r>
                          </w:p>
                          <w:p w:rsidR="00493A5A" w:rsidRPr="00A35E4D" w:rsidRDefault="00493A5A" w:rsidP="00D71967">
                            <w:pPr>
                              <w:spacing w:after="0" w:line="240" w:lineRule="auto"/>
                              <w:jc w:val="both"/>
                              <w:rPr>
                                <w:rFonts w:cs="Arial"/>
                                <w:lang w:val="es-ES"/>
                              </w:rPr>
                            </w:pPr>
                          </w:p>
                          <w:p w:rsidR="00493A5A" w:rsidRDefault="00493A5A" w:rsidP="00D71967">
                            <w:pPr>
                              <w:spacing w:after="0" w:line="240" w:lineRule="auto"/>
                              <w:jc w:val="both"/>
                              <w:rPr>
                                <w:i/>
                                <w:spacing w:val="-4"/>
                                <w:lang w:val="es-ES"/>
                              </w:rPr>
                            </w:pPr>
                            <w:r w:rsidRPr="00A35E4D">
                              <w:rPr>
                                <w:spacing w:val="-4"/>
                                <w:lang w:val="es-ES"/>
                              </w:rPr>
                              <w:t xml:space="preserve">El documento </w:t>
                            </w:r>
                            <w:r>
                              <w:rPr>
                                <w:spacing w:val="-4"/>
                                <w:lang w:val="es-ES"/>
                              </w:rPr>
                              <w:t>debe ser considerado en conjunto</w:t>
                            </w:r>
                            <w:r w:rsidRPr="00A35E4D">
                              <w:rPr>
                                <w:spacing w:val="-4"/>
                                <w:lang w:val="es-ES"/>
                              </w:rPr>
                              <w:t xml:space="preserve"> con los documentos: UNEP/CMS/COP12/Doc</w:t>
                            </w:r>
                            <w:r>
                              <w:rPr>
                                <w:rFonts w:cs="Arial"/>
                                <w:spacing w:val="-4"/>
                                <w:lang w:val="es-ES"/>
                              </w:rPr>
                              <w:t xml:space="preserve">. </w:t>
                            </w:r>
                            <w:r w:rsidRPr="00A35E4D">
                              <w:rPr>
                                <w:rFonts w:cs="Arial"/>
                                <w:spacing w:val="-4"/>
                                <w:lang w:val="es-ES"/>
                              </w:rPr>
                              <w:t xml:space="preserve">13.1 </w:t>
                            </w:r>
                            <w:r w:rsidRPr="00A35E4D">
                              <w:rPr>
                                <w:rFonts w:cs="Arial"/>
                                <w:i/>
                                <w:spacing w:val="-4"/>
                                <w:lang w:val="es-ES"/>
                              </w:rPr>
                              <w:t>E</w:t>
                            </w:r>
                            <w:r w:rsidRPr="00A35E4D">
                              <w:rPr>
                                <w:i/>
                                <w:spacing w:val="-4"/>
                                <w:lang w:val="es-ES"/>
                              </w:rPr>
                              <w:t xml:space="preserve">jecución del presupuesto </w:t>
                            </w:r>
                            <w:r w:rsidRPr="00A35E4D">
                              <w:rPr>
                                <w:rFonts w:cs="Arial"/>
                                <w:i/>
                                <w:spacing w:val="-4"/>
                                <w:lang w:val="es-ES"/>
                              </w:rPr>
                              <w:t>2018-2020</w:t>
                            </w:r>
                            <w:r w:rsidRPr="00A35E4D">
                              <w:rPr>
                                <w:rFonts w:cs="Arial"/>
                                <w:spacing w:val="-4"/>
                                <w:lang w:val="es-ES"/>
                              </w:rPr>
                              <w:t xml:space="preserve"> </w:t>
                            </w:r>
                            <w:r w:rsidRPr="00A35E4D">
                              <w:rPr>
                                <w:i/>
                                <w:spacing w:val="-4"/>
                                <w:lang w:val="es-ES"/>
                              </w:rPr>
                              <w:t>de la CMS</w:t>
                            </w:r>
                            <w:r w:rsidRPr="00A35E4D">
                              <w:rPr>
                                <w:rFonts w:cs="Arial"/>
                                <w:i/>
                                <w:spacing w:val="-4"/>
                                <w:lang w:val="es-ES"/>
                              </w:rPr>
                              <w:t xml:space="preserve"> </w:t>
                            </w:r>
                            <w:r w:rsidRPr="00A35E4D">
                              <w:rPr>
                                <w:rFonts w:cs="Arial"/>
                                <w:spacing w:val="-4"/>
                                <w:lang w:val="es-ES"/>
                              </w:rPr>
                              <w:t xml:space="preserve">and UNEP/CMS/COP13/Doc.14.3 </w:t>
                            </w:r>
                            <w:r w:rsidRPr="00A35E4D">
                              <w:rPr>
                                <w:i/>
                                <w:spacing w:val="-4"/>
                                <w:lang w:val="es-ES"/>
                              </w:rPr>
                              <w:t>Movilización de recursos</w:t>
                            </w:r>
                          </w:p>
                          <w:p w:rsidR="0031089F" w:rsidRDefault="0031089F" w:rsidP="00D71967">
                            <w:pPr>
                              <w:spacing w:after="0" w:line="240" w:lineRule="auto"/>
                              <w:jc w:val="both"/>
                              <w:rPr>
                                <w:i/>
                                <w:spacing w:val="-4"/>
                                <w:lang w:val="es-ES"/>
                              </w:rPr>
                            </w:pPr>
                          </w:p>
                          <w:p w:rsidR="0031089F" w:rsidRPr="0031089F" w:rsidRDefault="0031089F" w:rsidP="00D71967">
                            <w:pPr>
                              <w:spacing w:after="0" w:line="240" w:lineRule="auto"/>
                              <w:jc w:val="both"/>
                              <w:rPr>
                                <w:rFonts w:cs="Arial"/>
                                <w:iCs/>
                                <w:lang w:val="es-ES"/>
                              </w:rPr>
                            </w:pPr>
                            <w:r>
                              <w:rPr>
                                <w:iCs/>
                                <w:spacing w:val="-4"/>
                                <w:lang w:val="es-ES"/>
                              </w:rPr>
                              <w:t>Se ha publicado la Revisión 1 de este documento, que corrige errores de traducción en las distintas versiones lingüísticas en relación con el Anexo 5.</w:t>
                            </w:r>
                          </w:p>
                          <w:p w:rsidR="00493A5A" w:rsidRPr="006F22B0" w:rsidRDefault="00493A5A">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56.55pt;margin-top:11.75pt;width:368.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" strokeweight=".08811mm">
                <v:textbox>
                  <w:txbxContent>
                    <w:p w:rsidR="00493A5A" w:rsidRPr="00A35E4D" w:rsidRDefault="00493A5A" w:rsidP="00D71967">
                      <w:pPr>
                        <w:spacing w:after="0" w:line="240" w:lineRule="auto"/>
                        <w:rPr>
                          <w:rFonts w:cs="Arial"/>
                          <w:lang w:val="es-ES"/>
                        </w:rPr>
                      </w:pPr>
                      <w:r w:rsidRPr="00A35E4D">
                        <w:rPr>
                          <w:lang w:val="es-ES"/>
                        </w:rPr>
                        <w:t>Resumen:</w:t>
                      </w:r>
                    </w:p>
                    <w:p w:rsidR="00493A5A" w:rsidRPr="00A35E4D" w:rsidRDefault="00493A5A" w:rsidP="00D71967">
                      <w:pPr>
                        <w:spacing w:after="0" w:line="240" w:lineRule="auto"/>
                        <w:rPr>
                          <w:rFonts w:cs="Arial"/>
                          <w:i/>
                          <w:lang w:val="es-ES"/>
                        </w:rPr>
                      </w:pPr>
                    </w:p>
                    <w:p w:rsidR="00493A5A" w:rsidRPr="00A35E4D" w:rsidRDefault="00493A5A" w:rsidP="00D71967">
                      <w:pPr>
                        <w:spacing w:after="0" w:line="240" w:lineRule="auto"/>
                        <w:jc w:val="both"/>
                        <w:rPr>
                          <w:rFonts w:cs="Arial"/>
                          <w:lang w:val="es-ES"/>
                        </w:rPr>
                      </w:pPr>
                      <w:r w:rsidRPr="00A35E4D">
                        <w:rPr>
                          <w:lang w:val="es-ES"/>
                        </w:rPr>
                        <w:t xml:space="preserve">Tal como </w:t>
                      </w:r>
                      <w:r>
                        <w:rPr>
                          <w:lang w:val="es-ES"/>
                        </w:rPr>
                        <w:t>se</w:t>
                      </w:r>
                      <w:r w:rsidRPr="00A35E4D">
                        <w:rPr>
                          <w:lang w:val="es-ES"/>
                        </w:rPr>
                        <w:t xml:space="preserve"> solicita</w:t>
                      </w:r>
                      <w:r>
                        <w:rPr>
                          <w:lang w:val="es-ES"/>
                        </w:rPr>
                        <w:t xml:space="preserve"> en la Resolución 12.2 </w:t>
                      </w:r>
                      <w:r w:rsidRPr="00A35E4D">
                        <w:rPr>
                          <w:i/>
                          <w:lang w:val="es-ES"/>
                        </w:rPr>
                        <w:t>Asuntos administrativos y financieros</w:t>
                      </w:r>
                      <w:r w:rsidRPr="00A35E4D">
                        <w:rPr>
                          <w:rFonts w:cs="Arial"/>
                          <w:lang w:val="es-ES"/>
                        </w:rPr>
                        <w:t xml:space="preserve"> </w:t>
                      </w:r>
                      <w:r w:rsidRPr="004020A2">
                        <w:rPr>
                          <w:rFonts w:cs="Arial"/>
                          <w:lang w:val="es-ES"/>
                        </w:rPr>
                        <w:t>adoptada por la Conferencia de las Partes en su 12ª reunión (COP12, Manila, 2017),</w:t>
                      </w:r>
                      <w:r>
                        <w:rPr>
                          <w:rFonts w:cs="Arial"/>
                          <w:lang w:val="es-ES"/>
                        </w:rPr>
                        <w:t xml:space="preserve"> </w:t>
                      </w:r>
                      <w:r w:rsidRPr="00A35E4D">
                        <w:rPr>
                          <w:lang w:val="es-ES"/>
                        </w:rPr>
                        <w:t>la Secretaría ha preparado l</w:t>
                      </w:r>
                      <w:r>
                        <w:rPr>
                          <w:lang w:val="es-ES"/>
                        </w:rPr>
                        <w:t>o</w:t>
                      </w:r>
                      <w:r w:rsidRPr="00A35E4D">
                        <w:rPr>
                          <w:lang w:val="es-ES"/>
                        </w:rPr>
                        <w:t xml:space="preserve">s siguientes </w:t>
                      </w:r>
                      <w:r>
                        <w:rPr>
                          <w:lang w:val="es-ES"/>
                        </w:rPr>
                        <w:t>cuatro</w:t>
                      </w:r>
                      <w:r w:rsidRPr="00A35E4D">
                        <w:rPr>
                          <w:lang w:val="es-ES"/>
                        </w:rPr>
                        <w:t xml:space="preserve"> escenarios presupuestari</w:t>
                      </w:r>
                      <w:r>
                        <w:rPr>
                          <w:lang w:val="es-ES"/>
                        </w:rPr>
                        <w:t>o</w:t>
                      </w:r>
                      <w:r w:rsidRPr="00A35E4D">
                        <w:rPr>
                          <w:lang w:val="es-ES"/>
                        </w:rPr>
                        <w:t xml:space="preserve">s para el trienio </w:t>
                      </w:r>
                      <w:r w:rsidRPr="00A35E4D">
                        <w:rPr>
                          <w:rFonts w:cs="Arial"/>
                          <w:lang w:val="es-ES"/>
                        </w:rPr>
                        <w:t xml:space="preserve">2021-2023. </w:t>
                      </w:r>
                    </w:p>
                    <w:p w:rsidR="00493A5A" w:rsidRDefault="00493A5A" w:rsidP="00D71967">
                      <w:pPr>
                        <w:spacing w:after="0" w:line="240" w:lineRule="auto"/>
                        <w:jc w:val="both"/>
                        <w:rPr>
                          <w:rFonts w:cs="Arial"/>
                          <w:lang w:val="es-ES"/>
                        </w:rPr>
                      </w:pPr>
                    </w:p>
                    <w:p w:rsidR="00493A5A" w:rsidRDefault="00493A5A" w:rsidP="00D71967">
                      <w:pPr>
                        <w:spacing w:after="0" w:line="240" w:lineRule="auto"/>
                        <w:jc w:val="both"/>
                        <w:rPr>
                          <w:rFonts w:cs="Arial"/>
                          <w:lang w:val="es-ES"/>
                        </w:rPr>
                      </w:pPr>
                      <w:r w:rsidRPr="004020A2">
                        <w:rPr>
                          <w:rFonts w:cs="Arial"/>
                          <w:lang w:val="es-ES"/>
                        </w:rPr>
                        <w:t xml:space="preserve">En </w:t>
                      </w:r>
                      <w:r w:rsidR="00C664FC">
                        <w:rPr>
                          <w:rFonts w:cs="Arial"/>
                          <w:lang w:val="es-ES"/>
                        </w:rPr>
                        <w:t>el</w:t>
                      </w:r>
                      <w:r w:rsidRPr="004020A2">
                        <w:rPr>
                          <w:rFonts w:cs="Arial"/>
                          <w:lang w:val="es-ES"/>
                        </w:rPr>
                        <w:t xml:space="preserve"> Anexo </w:t>
                      </w:r>
                      <w:r w:rsidR="00C664FC">
                        <w:rPr>
                          <w:rFonts w:cs="Arial"/>
                          <w:lang w:val="es-ES"/>
                        </w:rPr>
                        <w:t xml:space="preserve">6 </w:t>
                      </w:r>
                      <w:r w:rsidRPr="004020A2">
                        <w:rPr>
                          <w:rFonts w:cs="Arial"/>
                          <w:lang w:val="es-ES"/>
                        </w:rPr>
                        <w:t xml:space="preserve">se presenta un proyecto de programa de trabajo para el período </w:t>
                      </w:r>
                      <w:r w:rsidR="00C664FC">
                        <w:rPr>
                          <w:rFonts w:cs="Arial"/>
                          <w:lang w:val="es-ES"/>
                        </w:rPr>
                        <w:t>entre</w:t>
                      </w:r>
                      <w:r w:rsidRPr="004020A2">
                        <w:rPr>
                          <w:rFonts w:cs="Arial"/>
                          <w:lang w:val="es-ES"/>
                        </w:rPr>
                        <w:t xml:space="preserve"> sesiones entre la COP13 y la COP14.</w:t>
                      </w:r>
                    </w:p>
                    <w:p w:rsidR="00493A5A" w:rsidRPr="00A35E4D" w:rsidRDefault="00493A5A" w:rsidP="00D71967">
                      <w:pPr>
                        <w:spacing w:after="0" w:line="240" w:lineRule="auto"/>
                        <w:jc w:val="both"/>
                        <w:rPr>
                          <w:rFonts w:cs="Arial"/>
                          <w:lang w:val="es-ES"/>
                        </w:rPr>
                      </w:pPr>
                    </w:p>
                    <w:p w:rsidR="00493A5A" w:rsidRDefault="00493A5A" w:rsidP="00D71967">
                      <w:pPr>
                        <w:spacing w:after="0" w:line="240" w:lineRule="auto"/>
                        <w:jc w:val="both"/>
                        <w:rPr>
                          <w:i/>
                          <w:spacing w:val="-4"/>
                          <w:lang w:val="es-ES"/>
                        </w:rPr>
                      </w:pPr>
                      <w:r w:rsidRPr="00A35E4D">
                        <w:rPr>
                          <w:spacing w:val="-4"/>
                          <w:lang w:val="es-ES"/>
                        </w:rPr>
                        <w:t xml:space="preserve">El documento </w:t>
                      </w:r>
                      <w:r>
                        <w:rPr>
                          <w:spacing w:val="-4"/>
                          <w:lang w:val="es-ES"/>
                        </w:rPr>
                        <w:t>debe ser considerado en conjunto</w:t>
                      </w:r>
                      <w:r w:rsidRPr="00A35E4D">
                        <w:rPr>
                          <w:spacing w:val="-4"/>
                          <w:lang w:val="es-ES"/>
                        </w:rPr>
                        <w:t xml:space="preserve"> con los documentos: UNEP/CMS/COP12/Doc</w:t>
                      </w:r>
                      <w:r>
                        <w:rPr>
                          <w:rFonts w:cs="Arial"/>
                          <w:spacing w:val="-4"/>
                          <w:lang w:val="es-ES"/>
                        </w:rPr>
                        <w:t xml:space="preserve">. </w:t>
                      </w:r>
                      <w:r w:rsidRPr="00A35E4D">
                        <w:rPr>
                          <w:rFonts w:cs="Arial"/>
                          <w:spacing w:val="-4"/>
                          <w:lang w:val="es-ES"/>
                        </w:rPr>
                        <w:t xml:space="preserve">13.1 </w:t>
                      </w:r>
                      <w:r w:rsidRPr="00A35E4D">
                        <w:rPr>
                          <w:rFonts w:cs="Arial"/>
                          <w:i/>
                          <w:spacing w:val="-4"/>
                          <w:lang w:val="es-ES"/>
                        </w:rPr>
                        <w:t>E</w:t>
                      </w:r>
                      <w:r w:rsidRPr="00A35E4D">
                        <w:rPr>
                          <w:i/>
                          <w:spacing w:val="-4"/>
                          <w:lang w:val="es-ES"/>
                        </w:rPr>
                        <w:t xml:space="preserve">jecución del presupuesto </w:t>
                      </w:r>
                      <w:r w:rsidRPr="00A35E4D">
                        <w:rPr>
                          <w:rFonts w:cs="Arial"/>
                          <w:i/>
                          <w:spacing w:val="-4"/>
                          <w:lang w:val="es-ES"/>
                        </w:rPr>
                        <w:t>2018-2020</w:t>
                      </w:r>
                      <w:r w:rsidRPr="00A35E4D">
                        <w:rPr>
                          <w:rFonts w:cs="Arial"/>
                          <w:spacing w:val="-4"/>
                          <w:lang w:val="es-ES"/>
                        </w:rPr>
                        <w:t xml:space="preserve"> </w:t>
                      </w:r>
                      <w:r w:rsidRPr="00A35E4D">
                        <w:rPr>
                          <w:i/>
                          <w:spacing w:val="-4"/>
                          <w:lang w:val="es-ES"/>
                        </w:rPr>
                        <w:t>de la CMS</w:t>
                      </w:r>
                      <w:r w:rsidRPr="00A35E4D">
                        <w:rPr>
                          <w:rFonts w:cs="Arial"/>
                          <w:i/>
                          <w:spacing w:val="-4"/>
                          <w:lang w:val="es-ES"/>
                        </w:rPr>
                        <w:t xml:space="preserve"> </w:t>
                      </w:r>
                      <w:r w:rsidRPr="00A35E4D">
                        <w:rPr>
                          <w:rFonts w:cs="Arial"/>
                          <w:spacing w:val="-4"/>
                          <w:lang w:val="es-ES"/>
                        </w:rPr>
                        <w:t xml:space="preserve">and UNEP/CMS/COP13/Doc.14.3 </w:t>
                      </w:r>
                      <w:r w:rsidRPr="00A35E4D">
                        <w:rPr>
                          <w:i/>
                          <w:spacing w:val="-4"/>
                          <w:lang w:val="es-ES"/>
                        </w:rPr>
                        <w:t>Movilización de recursos</w:t>
                      </w:r>
                    </w:p>
                    <w:p w:rsidR="0031089F" w:rsidRDefault="0031089F" w:rsidP="00D71967">
                      <w:pPr>
                        <w:spacing w:after="0" w:line="240" w:lineRule="auto"/>
                        <w:jc w:val="both"/>
                        <w:rPr>
                          <w:i/>
                          <w:spacing w:val="-4"/>
                          <w:lang w:val="es-ES"/>
                        </w:rPr>
                      </w:pPr>
                    </w:p>
                    <w:p w:rsidR="0031089F" w:rsidRPr="0031089F" w:rsidRDefault="0031089F" w:rsidP="00D71967">
                      <w:pPr>
                        <w:spacing w:after="0" w:line="240" w:lineRule="auto"/>
                        <w:jc w:val="both"/>
                        <w:rPr>
                          <w:rFonts w:cs="Arial"/>
                          <w:iCs/>
                          <w:lang w:val="es-ES"/>
                        </w:rPr>
                      </w:pPr>
                      <w:r>
                        <w:rPr>
                          <w:iCs/>
                          <w:spacing w:val="-4"/>
                          <w:lang w:val="es-ES"/>
                        </w:rPr>
                        <w:t>Se ha publicado la Revisión 1 de este documento, que corrige errores de traducción en las distintas versiones lingüísticas en relación con el Anexo 5.</w:t>
                      </w:r>
                    </w:p>
                    <w:p w:rsidR="00493A5A" w:rsidRPr="006F22B0" w:rsidRDefault="00493A5A">
                      <w:pPr>
                        <w:rPr>
                          <w:lang w:val="es-ES"/>
                        </w:rPr>
                      </w:pPr>
                    </w:p>
                  </w:txbxContent>
                </v:textbox>
              </v:shape>
            </w:pict>
          </mc:Fallback>
        </mc:AlternateContent>
      </w: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B28CE"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0B28CE"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0B28CE"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0B28CE"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Pr="000B28CE" w:rsidRDefault="00BC5707" w:rsidP="00A35E4D">
      <w:pPr>
        <w:widowControl w:val="0"/>
        <w:suppressAutoHyphens/>
        <w:autoSpaceDE w:val="0"/>
        <w:autoSpaceDN w:val="0"/>
        <w:spacing w:after="0" w:line="240" w:lineRule="auto"/>
        <w:textAlignment w:val="baseline"/>
        <w:rPr>
          <w:rFonts w:eastAsia="Times New Roman" w:cs="Arial"/>
          <w:lang w:val="es-ES" w:eastAsia="es-ES"/>
        </w:rPr>
      </w:pPr>
      <w:bookmarkStart w:id="1" w:name="_Hlk24541685"/>
    </w:p>
    <w:bookmarkEnd w:id="1"/>
    <w:p w:rsidR="00836797" w:rsidRDefault="00836797" w:rsidP="0083679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0B28CE">
        <w:rPr>
          <w:b/>
          <w:caps/>
          <w:lang w:val="es-ES"/>
        </w:rPr>
        <w:t xml:space="preserve">PRESUPUESTO PARA </w:t>
      </w:r>
      <w:r w:rsidRPr="000B28CE">
        <w:rPr>
          <w:rFonts w:cs="Arial"/>
          <w:b/>
          <w:caps/>
          <w:lang w:val="es-ES"/>
        </w:rPr>
        <w:t>2021-2023</w:t>
      </w:r>
    </w:p>
    <w:p w:rsidR="00E56190" w:rsidRDefault="00836797" w:rsidP="00836797">
      <w:pPr>
        <w:spacing w:after="0" w:line="240" w:lineRule="auto"/>
        <w:jc w:val="center"/>
        <w:rPr>
          <w:rFonts w:cs="Arial"/>
          <w:b/>
          <w:color w:val="000000"/>
          <w:lang w:val="es-ES" w:eastAsia="en-GB"/>
        </w:rPr>
      </w:pPr>
      <w:r>
        <w:rPr>
          <w:rFonts w:cs="Arial"/>
          <w:b/>
          <w:color w:val="000000"/>
          <w:lang w:val="es-ES" w:eastAsia="en-GB"/>
        </w:rPr>
        <w:t>P</w:t>
      </w:r>
      <w:r w:rsidRPr="000B28CE">
        <w:rPr>
          <w:rFonts w:cs="Arial"/>
          <w:b/>
          <w:color w:val="000000"/>
          <w:lang w:val="es-ES" w:eastAsia="en-GB"/>
        </w:rPr>
        <w:t xml:space="preserve">ROGRAMA DE TRABAJO PARA EL CICLO </w:t>
      </w:r>
      <w:r w:rsidR="00E56190">
        <w:rPr>
          <w:rFonts w:cs="Arial"/>
          <w:b/>
          <w:color w:val="000000"/>
          <w:lang w:val="es-ES" w:eastAsia="en-GB"/>
        </w:rPr>
        <w:t xml:space="preserve">DEL PERIODO DE SESIONES </w:t>
      </w:r>
    </w:p>
    <w:p w:rsidR="00D71967" w:rsidRPr="000B28CE" w:rsidRDefault="00836797" w:rsidP="00836797">
      <w:pPr>
        <w:spacing w:after="0" w:line="240" w:lineRule="auto"/>
        <w:jc w:val="center"/>
        <w:rPr>
          <w:rFonts w:cs="Arial"/>
          <w:lang w:val="es-ES"/>
        </w:rPr>
      </w:pPr>
      <w:r w:rsidRPr="000B28CE">
        <w:rPr>
          <w:rFonts w:cs="Arial"/>
          <w:b/>
          <w:color w:val="000000"/>
          <w:lang w:val="es-ES" w:eastAsia="en-GB"/>
        </w:rPr>
        <w:t>ENTRE LA COP13 Y LA COP14</w:t>
      </w:r>
    </w:p>
    <w:p w:rsidR="004020A2" w:rsidRPr="000B28CE" w:rsidRDefault="004020A2" w:rsidP="00FA4FBA">
      <w:pPr>
        <w:spacing w:after="0" w:line="240" w:lineRule="auto"/>
        <w:jc w:val="both"/>
        <w:rPr>
          <w:rFonts w:cs="Arial"/>
          <w:lang w:val="es-ES"/>
        </w:rPr>
      </w:pPr>
    </w:p>
    <w:p w:rsidR="00D71967" w:rsidRPr="000B28CE" w:rsidRDefault="00D71967" w:rsidP="00FA4FBA">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0B28CE">
        <w:rPr>
          <w:rFonts w:eastAsia="Times New Roman" w:cs="Arial"/>
          <w:szCs w:val="24"/>
          <w:u w:val="single"/>
          <w:lang w:val="es-ES" w:eastAsia="es-ES"/>
        </w:rPr>
        <w:t>Antecedentes</w:t>
      </w:r>
    </w:p>
    <w:p w:rsidR="00D71967" w:rsidRPr="000B28CE" w:rsidRDefault="00D71967" w:rsidP="00FA4FBA">
      <w:pPr>
        <w:widowControl w:val="0"/>
        <w:suppressAutoHyphens/>
        <w:autoSpaceDE w:val="0"/>
        <w:autoSpaceDN w:val="0"/>
        <w:spacing w:after="0" w:line="240" w:lineRule="auto"/>
        <w:textAlignment w:val="baseline"/>
        <w:rPr>
          <w:rFonts w:eastAsia="Times New Roman" w:cs="Arial"/>
          <w:lang w:val="es-ES" w:eastAsia="es-ES"/>
        </w:rPr>
      </w:pPr>
    </w:p>
    <w:p w:rsidR="00D71967" w:rsidRPr="000B28CE" w:rsidRDefault="00D71967" w:rsidP="00FA4FBA">
      <w:pPr>
        <w:pStyle w:val="Firstnumbering1"/>
      </w:pPr>
      <w:r w:rsidRPr="000B28CE">
        <w:t xml:space="preserve">El presente documento responde a la Resolución 12.2. </w:t>
      </w:r>
      <w:r w:rsidRPr="000B28CE">
        <w:rPr>
          <w:i/>
        </w:rPr>
        <w:t>Asuntos administrativos y financieros</w:t>
      </w:r>
      <w:r w:rsidRPr="000B28CE">
        <w:t xml:space="preserve"> adoptada por la Conferencia de las Partes en su 12ª reunió</w:t>
      </w:r>
      <w:r w:rsidR="004020A2" w:rsidRPr="000B28CE">
        <w:t>n (COP12)</w:t>
      </w:r>
      <w:r w:rsidRPr="000B28CE">
        <w:t>, por la que se decidió que la Secretaría deberá proporcionar una propuesta de presupuesto trienal, y ponerla a disposición de las Partes 90 días antes de la COP.</w:t>
      </w:r>
    </w:p>
    <w:p w:rsidR="00D71967" w:rsidRPr="000B28CE" w:rsidRDefault="00D71967" w:rsidP="00FA4FBA">
      <w:pPr>
        <w:spacing w:after="0" w:line="240" w:lineRule="auto"/>
        <w:ind w:left="360"/>
        <w:contextualSpacing/>
        <w:jc w:val="both"/>
        <w:rPr>
          <w:rFonts w:cs="Arial"/>
          <w:lang w:val="es-ES"/>
        </w:rPr>
      </w:pPr>
    </w:p>
    <w:p w:rsidR="00D71967" w:rsidRPr="000B28CE" w:rsidRDefault="00D71967" w:rsidP="00FA4FBA">
      <w:pPr>
        <w:pStyle w:val="Firstnumbering1"/>
      </w:pPr>
      <w:r w:rsidRPr="000B28CE">
        <w:t xml:space="preserve">Para la preparación de las propuestas de presupuesto que había de presentar a la COP13 la Secretaría consultó </w:t>
      </w:r>
      <w:r w:rsidR="00A35E4D" w:rsidRPr="000B28CE">
        <w:t xml:space="preserve">al Subcomité de Finanzas y Presupuesto en noviembre de 2019. Tras la consulta con el Subcomité de Finanzas y Presupuesto y el Comité Permanente en su 49ª reunión, la Secretaría ha preparado </w:t>
      </w:r>
      <w:r w:rsidR="004020A2" w:rsidRPr="000B28CE">
        <w:t>cuatro</w:t>
      </w:r>
      <w:r w:rsidR="00A35E4D" w:rsidRPr="000B28CE">
        <w:t xml:space="preserve"> escenarios de presupuesto con varias alternativas para la escala de contribuciones para su consideración por la COP13.</w:t>
      </w:r>
    </w:p>
    <w:p w:rsidR="00A35E4D" w:rsidRPr="000B28CE" w:rsidRDefault="00A35E4D" w:rsidP="00FA4FBA">
      <w:pPr>
        <w:widowControl w:val="0"/>
        <w:autoSpaceDE w:val="0"/>
        <w:autoSpaceDN w:val="0"/>
        <w:adjustRightInd w:val="0"/>
        <w:spacing w:after="0" w:line="240" w:lineRule="auto"/>
        <w:ind w:left="360"/>
        <w:contextualSpacing/>
        <w:jc w:val="both"/>
        <w:rPr>
          <w:rFonts w:cs="Arial"/>
          <w:lang w:val="es-ES"/>
        </w:rPr>
      </w:pPr>
    </w:p>
    <w:p w:rsidR="00D71967" w:rsidRPr="000B28CE" w:rsidRDefault="004020A2" w:rsidP="00FA4FBA">
      <w:pPr>
        <w:pStyle w:val="Firstnumbering1"/>
      </w:pPr>
      <w:r w:rsidRPr="000B28CE">
        <w:t xml:space="preserve">Se está preparando un proyecto de programa de trabajo para el ciclo entre períodos de sesiones entre la COP13 y la COP14, que se presentará a su debido tiempo. </w:t>
      </w:r>
      <w:r w:rsidR="00D71967" w:rsidRPr="000B28CE">
        <w:t xml:space="preserve"> </w:t>
      </w:r>
    </w:p>
    <w:p w:rsidR="00D71967" w:rsidRPr="000B28CE" w:rsidRDefault="00D71967" w:rsidP="00FA4FBA">
      <w:pPr>
        <w:spacing w:after="0" w:line="240" w:lineRule="auto"/>
        <w:jc w:val="both"/>
        <w:rPr>
          <w:rFonts w:cs="Arial"/>
          <w:u w:val="single"/>
          <w:lang w:val="es-ES"/>
        </w:rPr>
      </w:pPr>
    </w:p>
    <w:p w:rsidR="00D71967" w:rsidRPr="000B28CE" w:rsidRDefault="00D71967" w:rsidP="00FA4FBA">
      <w:pPr>
        <w:spacing w:after="0" w:line="240" w:lineRule="auto"/>
        <w:jc w:val="both"/>
        <w:rPr>
          <w:rFonts w:cs="Arial"/>
          <w:u w:val="single"/>
          <w:lang w:val="es-ES"/>
        </w:rPr>
      </w:pPr>
      <w:r w:rsidRPr="000B28CE">
        <w:rPr>
          <w:u w:val="single"/>
          <w:lang w:val="es-ES"/>
        </w:rPr>
        <w:t xml:space="preserve">Propuesta de proyecto de presupuesto para </w:t>
      </w:r>
      <w:r w:rsidRPr="000B28CE">
        <w:rPr>
          <w:rFonts w:cs="Arial"/>
          <w:u w:val="single"/>
          <w:lang w:val="es-ES"/>
        </w:rPr>
        <w:t>2021-2023</w:t>
      </w:r>
    </w:p>
    <w:p w:rsidR="00D71967" w:rsidRPr="000B28CE" w:rsidRDefault="00D71967" w:rsidP="00FA4FBA">
      <w:pPr>
        <w:spacing w:after="0" w:line="240" w:lineRule="auto"/>
        <w:jc w:val="both"/>
        <w:rPr>
          <w:rFonts w:cs="Arial"/>
          <w:u w:val="single"/>
          <w:lang w:val="es-ES"/>
        </w:rPr>
      </w:pPr>
    </w:p>
    <w:p w:rsidR="00D71967" w:rsidRPr="000B28CE" w:rsidRDefault="00D71967" w:rsidP="00FA4FBA">
      <w:pPr>
        <w:spacing w:after="0" w:line="240" w:lineRule="auto"/>
        <w:rPr>
          <w:rFonts w:cs="Arial"/>
          <w:b/>
          <w:lang w:val="es-ES"/>
        </w:rPr>
      </w:pPr>
      <w:r w:rsidRPr="000B28CE">
        <w:rPr>
          <w:b/>
          <w:lang w:val="es-ES"/>
        </w:rPr>
        <w:t>Introducción general</w:t>
      </w:r>
    </w:p>
    <w:p w:rsidR="00D71967" w:rsidRPr="000B28CE" w:rsidRDefault="00D71967" w:rsidP="00FA4FBA">
      <w:pPr>
        <w:pStyle w:val="NoSpacing"/>
        <w:jc w:val="both"/>
        <w:rPr>
          <w:rFonts w:ascii="Arial" w:hAnsi="Arial" w:cs="Arial"/>
          <w:lang w:val="es-ES"/>
        </w:rPr>
      </w:pPr>
    </w:p>
    <w:p w:rsidR="00D71967" w:rsidRPr="000B28CE" w:rsidRDefault="00D71967" w:rsidP="00FA4FBA">
      <w:pPr>
        <w:pStyle w:val="Firstnumbering1"/>
      </w:pPr>
      <w:r w:rsidRPr="000B28CE">
        <w:t>Utilizando como base el presupuesto para 2018-2020 aprobado en la COP12 y el informe sobre la ejecución del presupuesto de 2018-2019</w:t>
      </w:r>
      <w:r w:rsidR="004020A2" w:rsidRPr="000B28CE">
        <w:t>,</w:t>
      </w:r>
      <w:r w:rsidRPr="000B28CE">
        <w:t xml:space="preserve"> la presente propuesta comprende </w:t>
      </w:r>
      <w:r w:rsidR="004020A2" w:rsidRPr="000B28CE">
        <w:t>cuatro</w:t>
      </w:r>
      <w:r w:rsidRPr="000B28CE">
        <w:t xml:space="preserve"> escenarios diferentes para el presupuesto del trienio 2021-2023 tal como se resume a continuación: </w:t>
      </w:r>
    </w:p>
    <w:p w:rsidR="00D71967" w:rsidRPr="000B28CE" w:rsidRDefault="00D71967" w:rsidP="00FA4FBA">
      <w:pPr>
        <w:spacing w:after="0" w:line="240" w:lineRule="auto"/>
        <w:ind w:left="360"/>
        <w:contextualSpacing/>
        <w:jc w:val="both"/>
        <w:rPr>
          <w:rFonts w:cs="Arial"/>
          <w:lang w:val="es-ES"/>
        </w:rPr>
      </w:pPr>
    </w:p>
    <w:p w:rsidR="00D71967" w:rsidRPr="000B28CE" w:rsidRDefault="00D71967" w:rsidP="00FA4FBA">
      <w:pPr>
        <w:pStyle w:val="NoSpacing"/>
        <w:numPr>
          <w:ilvl w:val="0"/>
          <w:numId w:val="14"/>
        </w:numPr>
        <w:jc w:val="both"/>
        <w:rPr>
          <w:rFonts w:ascii="Arial" w:hAnsi="Arial" w:cs="Arial"/>
          <w:lang w:val="es-ES"/>
        </w:rPr>
      </w:pPr>
      <w:r w:rsidRPr="000B28CE">
        <w:rPr>
          <w:rFonts w:ascii="Arial" w:hAnsi="Arial"/>
          <w:lang w:val="es-ES"/>
        </w:rPr>
        <w:t xml:space="preserve">Escenario 1: Crecimiento </w:t>
      </w:r>
      <w:r w:rsidR="0019786F" w:rsidRPr="000B28CE">
        <w:rPr>
          <w:rFonts w:ascii="Arial" w:hAnsi="Arial"/>
          <w:lang w:val="es-ES"/>
        </w:rPr>
        <w:t>nominal</w:t>
      </w:r>
      <w:r w:rsidRPr="000B28CE">
        <w:rPr>
          <w:rFonts w:ascii="Arial" w:hAnsi="Arial"/>
          <w:lang w:val="es-ES"/>
        </w:rPr>
        <w:t xml:space="preserve"> cero con respecto al presupuesto para </w:t>
      </w:r>
      <w:r w:rsidRPr="000B28CE">
        <w:rPr>
          <w:rFonts w:ascii="Arial" w:hAnsi="Arial" w:cs="Arial"/>
          <w:lang w:val="es-ES"/>
        </w:rPr>
        <w:t>2018-2020</w:t>
      </w:r>
      <w:r w:rsidR="004020A2" w:rsidRPr="000B28CE">
        <w:rPr>
          <w:rFonts w:ascii="Arial" w:hAnsi="Arial" w:cs="Arial"/>
          <w:lang w:val="es-ES"/>
        </w:rPr>
        <w:t>.</w:t>
      </w:r>
    </w:p>
    <w:p w:rsidR="004020A2" w:rsidRPr="000B28CE" w:rsidRDefault="004020A2" w:rsidP="00FA4FBA">
      <w:pPr>
        <w:pStyle w:val="NoSpacing"/>
        <w:numPr>
          <w:ilvl w:val="0"/>
          <w:numId w:val="14"/>
        </w:numPr>
        <w:jc w:val="both"/>
        <w:rPr>
          <w:rFonts w:ascii="Arial" w:hAnsi="Arial" w:cs="Arial"/>
          <w:lang w:val="es-ES"/>
        </w:rPr>
      </w:pPr>
      <w:r w:rsidRPr="000B28CE">
        <w:rPr>
          <w:rFonts w:ascii="Arial" w:hAnsi="Arial" w:cs="Arial"/>
          <w:lang w:val="es-ES"/>
        </w:rPr>
        <w:t>Escenario 2: Crecimiento real cero</w:t>
      </w:r>
      <w:r w:rsidR="0019786F" w:rsidRPr="000B28CE">
        <w:rPr>
          <w:rFonts w:ascii="Arial" w:hAnsi="Arial" w:cs="Arial"/>
          <w:lang w:val="es-ES"/>
        </w:rPr>
        <w:t xml:space="preserve"> con respecto al presupuesto para 2018 – 2020.</w:t>
      </w:r>
    </w:p>
    <w:p w:rsidR="00D71967" w:rsidRPr="000B28CE" w:rsidRDefault="00D71967" w:rsidP="00FA4FBA">
      <w:pPr>
        <w:pStyle w:val="NoSpacing"/>
        <w:numPr>
          <w:ilvl w:val="0"/>
          <w:numId w:val="14"/>
        </w:numPr>
        <w:jc w:val="both"/>
        <w:rPr>
          <w:rFonts w:ascii="Arial" w:hAnsi="Arial" w:cs="Arial"/>
          <w:lang w:val="es-ES"/>
        </w:rPr>
      </w:pPr>
      <w:r w:rsidRPr="000B28CE">
        <w:rPr>
          <w:rFonts w:ascii="Arial" w:hAnsi="Arial"/>
          <w:lang w:val="es-ES"/>
        </w:rPr>
        <w:t xml:space="preserve">Escenario </w:t>
      </w:r>
      <w:r w:rsidR="0019786F" w:rsidRPr="000B28CE">
        <w:rPr>
          <w:rFonts w:ascii="Arial" w:hAnsi="Arial"/>
          <w:lang w:val="es-ES"/>
        </w:rPr>
        <w:t>3</w:t>
      </w:r>
      <w:r w:rsidRPr="000B28CE">
        <w:rPr>
          <w:rFonts w:ascii="Arial" w:hAnsi="Arial" w:cs="Arial"/>
          <w:lang w:val="es-ES"/>
        </w:rPr>
        <w:t xml:space="preserve"> </w:t>
      </w:r>
      <w:r w:rsidRPr="000B28CE">
        <w:rPr>
          <w:rFonts w:ascii="Arial" w:hAnsi="Arial"/>
          <w:lang w:val="es-ES"/>
        </w:rPr>
        <w:t xml:space="preserve">Aumento del </w:t>
      </w:r>
      <w:r w:rsidRPr="000B28CE">
        <w:rPr>
          <w:rFonts w:ascii="Arial" w:hAnsi="Arial" w:cs="Arial"/>
          <w:lang w:val="es-ES"/>
        </w:rPr>
        <w:t>1</w:t>
      </w:r>
      <w:r w:rsidR="0019786F" w:rsidRPr="000B28CE">
        <w:rPr>
          <w:rFonts w:ascii="Arial" w:hAnsi="Arial" w:cs="Arial"/>
          <w:lang w:val="es-ES"/>
        </w:rPr>
        <w:t>2.71</w:t>
      </w:r>
      <w:r w:rsidRPr="000B28CE">
        <w:rPr>
          <w:rFonts w:ascii="Arial" w:hAnsi="Arial" w:cs="Arial"/>
          <w:lang w:val="es-ES"/>
        </w:rPr>
        <w:t xml:space="preserve"> por ciento </w:t>
      </w:r>
      <w:r w:rsidRPr="000B28CE">
        <w:rPr>
          <w:rFonts w:ascii="Arial" w:hAnsi="Arial"/>
          <w:lang w:val="es-ES"/>
        </w:rPr>
        <w:t>con respecto a lo mencionad</w:t>
      </w:r>
      <w:r w:rsidR="0019786F" w:rsidRPr="000B28CE">
        <w:rPr>
          <w:rFonts w:ascii="Arial" w:hAnsi="Arial"/>
          <w:lang w:val="es-ES"/>
        </w:rPr>
        <w:t>o</w:t>
      </w:r>
      <w:r w:rsidRPr="000B28CE">
        <w:rPr>
          <w:rFonts w:ascii="Arial" w:hAnsi="Arial"/>
          <w:lang w:val="es-ES"/>
        </w:rPr>
        <w:t xml:space="preserve"> en el escenario </w:t>
      </w:r>
      <w:r w:rsidR="0019786F" w:rsidRPr="000B28CE">
        <w:rPr>
          <w:rFonts w:ascii="Arial" w:hAnsi="Arial"/>
          <w:lang w:val="es-ES"/>
        </w:rPr>
        <w:t>2.</w:t>
      </w:r>
    </w:p>
    <w:p w:rsidR="00D71967" w:rsidRPr="000B28CE" w:rsidRDefault="00D71967" w:rsidP="00FA4FBA">
      <w:pPr>
        <w:pStyle w:val="NoSpacing"/>
        <w:numPr>
          <w:ilvl w:val="0"/>
          <w:numId w:val="14"/>
        </w:numPr>
        <w:jc w:val="both"/>
        <w:rPr>
          <w:rFonts w:ascii="Arial" w:hAnsi="Arial" w:cs="Arial"/>
          <w:lang w:val="es-ES"/>
        </w:rPr>
      </w:pPr>
      <w:r w:rsidRPr="000B28CE">
        <w:rPr>
          <w:rFonts w:ascii="Arial" w:hAnsi="Arial"/>
          <w:lang w:val="es-ES"/>
        </w:rPr>
        <w:t>Escenario</w:t>
      </w:r>
      <w:r w:rsidRPr="000B28CE">
        <w:rPr>
          <w:rFonts w:ascii="Arial" w:hAnsi="Arial" w:cs="Arial"/>
          <w:lang w:val="es-ES"/>
        </w:rPr>
        <w:t xml:space="preserve"> </w:t>
      </w:r>
      <w:r w:rsidR="0019786F" w:rsidRPr="000B28CE">
        <w:rPr>
          <w:rFonts w:ascii="Arial" w:hAnsi="Arial" w:cs="Arial"/>
          <w:lang w:val="es-ES"/>
        </w:rPr>
        <w:t>4</w:t>
      </w:r>
      <w:r w:rsidRPr="000B28CE">
        <w:rPr>
          <w:rFonts w:ascii="Arial" w:hAnsi="Arial" w:cs="Arial"/>
          <w:lang w:val="es-ES"/>
        </w:rPr>
        <w:t xml:space="preserve">: </w:t>
      </w:r>
      <w:r w:rsidR="0019786F" w:rsidRPr="000B28CE">
        <w:rPr>
          <w:rFonts w:ascii="Arial" w:hAnsi="Arial" w:cs="Arial"/>
          <w:lang w:val="es-ES"/>
        </w:rPr>
        <w:t>Aumento del 2.82</w:t>
      </w:r>
      <w:r w:rsidRPr="000B28CE">
        <w:rPr>
          <w:rFonts w:ascii="Arial" w:hAnsi="Arial" w:cs="Arial"/>
          <w:lang w:val="es-ES"/>
        </w:rPr>
        <w:t xml:space="preserve"> por ciento con respecto a lo mencionado en el escenario </w:t>
      </w:r>
      <w:r w:rsidR="0019786F" w:rsidRPr="000B28CE">
        <w:rPr>
          <w:rFonts w:ascii="Arial" w:hAnsi="Arial" w:cs="Arial"/>
          <w:lang w:val="es-ES"/>
        </w:rPr>
        <w:t>3</w:t>
      </w:r>
      <w:r w:rsidRPr="000B28CE">
        <w:rPr>
          <w:rFonts w:ascii="Arial" w:hAnsi="Arial" w:cs="Arial"/>
          <w:lang w:val="es-ES"/>
        </w:rPr>
        <w:t xml:space="preserve"> </w:t>
      </w:r>
    </w:p>
    <w:p w:rsidR="00D71967" w:rsidRPr="000B28CE" w:rsidRDefault="00D71967" w:rsidP="00FA4FBA">
      <w:pPr>
        <w:pStyle w:val="NoSpacing"/>
        <w:ind w:left="360"/>
        <w:jc w:val="both"/>
        <w:rPr>
          <w:rFonts w:ascii="Arial" w:hAnsi="Arial" w:cs="Arial"/>
          <w:lang w:val="es-ES"/>
        </w:rPr>
      </w:pPr>
    </w:p>
    <w:p w:rsidR="00D71967" w:rsidRPr="000B28CE" w:rsidRDefault="00D71967" w:rsidP="00FA4FBA">
      <w:pPr>
        <w:pStyle w:val="Firstnumbering1"/>
      </w:pPr>
      <w:r w:rsidRPr="000B28CE">
        <w:t xml:space="preserve">En las secciones siguientes del presente documento se proporcionan detalles sobre la justificación de cada escenario. </w:t>
      </w:r>
    </w:p>
    <w:p w:rsidR="00D71967" w:rsidRPr="000B28CE" w:rsidRDefault="00D71967" w:rsidP="00FA4FBA">
      <w:pPr>
        <w:pStyle w:val="NoSpacing"/>
        <w:jc w:val="both"/>
        <w:rPr>
          <w:rFonts w:ascii="Arial" w:hAnsi="Arial" w:cs="Arial"/>
          <w:lang w:val="es-ES"/>
        </w:rPr>
      </w:pPr>
    </w:p>
    <w:p w:rsidR="00D71967" w:rsidRPr="000B28CE" w:rsidRDefault="00D71967" w:rsidP="00FA4FBA">
      <w:pPr>
        <w:pStyle w:val="Firstnumbering1"/>
      </w:pPr>
      <w:r w:rsidRPr="000B28CE">
        <w:t xml:space="preserve">Todos los escenarios </w:t>
      </w:r>
      <w:r w:rsidR="00A35E4D" w:rsidRPr="000B28CE">
        <w:t>se basan en los costos estándar revisados de los sueldos para 2021-2023 que figuran en el anexo 1 e incorporan una tasa de inflación interanual del 2</w:t>
      </w:r>
      <w:r w:rsidR="0019786F" w:rsidRPr="000B28CE">
        <w:t xml:space="preserve"> por ciento</w:t>
      </w:r>
      <w:r w:rsidRPr="000B28CE">
        <w:t>, que tiene en cuenta los efectos de</w:t>
      </w:r>
      <w:r w:rsidR="0019786F" w:rsidRPr="000B28CE">
        <w:t>l aumento de</w:t>
      </w:r>
      <w:r w:rsidRPr="000B28CE">
        <w:t xml:space="preserve"> los gastos de personal, tales como los ajustes por lugar de destin</w:t>
      </w:r>
      <w:r w:rsidR="0019786F" w:rsidRPr="000B28CE">
        <w:t>ación oficial</w:t>
      </w:r>
      <w:r w:rsidRPr="000B28CE">
        <w:t xml:space="preserve"> y otras prestaciones, así como las revisiones e incrementos salariales normales dentro del mismo grado. </w:t>
      </w:r>
      <w:r w:rsidR="0019786F" w:rsidRPr="000B28CE">
        <w:t>Con excepción del escenario de crecimiento nominal cero, se ha aplicado la misma tasa de inflación del 2 por ciento a los gastos de funcionamiento, como los servicios por contrata, el equipo y los suministros, y los viajes.</w:t>
      </w:r>
    </w:p>
    <w:p w:rsidR="00D71967" w:rsidRPr="000B28CE" w:rsidRDefault="00D71967" w:rsidP="0019786F">
      <w:pPr>
        <w:widowControl w:val="0"/>
        <w:autoSpaceDE w:val="0"/>
        <w:autoSpaceDN w:val="0"/>
        <w:adjustRightInd w:val="0"/>
        <w:spacing w:after="0" w:line="240" w:lineRule="auto"/>
        <w:contextualSpacing/>
        <w:jc w:val="both"/>
        <w:rPr>
          <w:rFonts w:cs="Arial"/>
          <w:lang w:val="es-ES"/>
        </w:rPr>
      </w:pPr>
    </w:p>
    <w:p w:rsidR="0019786F" w:rsidRPr="000B28CE" w:rsidRDefault="0019786F" w:rsidP="0019786F">
      <w:pPr>
        <w:widowControl w:val="0"/>
        <w:autoSpaceDE w:val="0"/>
        <w:autoSpaceDN w:val="0"/>
        <w:adjustRightInd w:val="0"/>
        <w:spacing w:after="0" w:line="240" w:lineRule="auto"/>
        <w:contextualSpacing/>
        <w:jc w:val="both"/>
        <w:rPr>
          <w:rFonts w:cs="Arial"/>
          <w:u w:val="single"/>
          <w:lang w:val="es-ES"/>
        </w:rPr>
      </w:pPr>
      <w:r w:rsidRPr="000B28CE">
        <w:rPr>
          <w:rFonts w:cs="Arial"/>
          <w:u w:val="single"/>
          <w:lang w:val="es-ES"/>
        </w:rPr>
        <w:t>Consideraciones clave para el proyecto de presupuesto 2021-2023</w:t>
      </w:r>
    </w:p>
    <w:p w:rsidR="0019786F" w:rsidRPr="000B28CE" w:rsidRDefault="0019786F" w:rsidP="0019786F">
      <w:pPr>
        <w:widowControl w:val="0"/>
        <w:autoSpaceDE w:val="0"/>
        <w:autoSpaceDN w:val="0"/>
        <w:adjustRightInd w:val="0"/>
        <w:spacing w:after="0" w:line="240" w:lineRule="auto"/>
        <w:contextualSpacing/>
        <w:jc w:val="both"/>
        <w:rPr>
          <w:rFonts w:cs="Arial"/>
          <w:lang w:val="es-ES"/>
        </w:rPr>
      </w:pPr>
    </w:p>
    <w:p w:rsidR="0019786F" w:rsidRPr="000B28CE" w:rsidRDefault="00DC6B23" w:rsidP="00DC6B23">
      <w:pPr>
        <w:pStyle w:val="Firstnumbering1"/>
      </w:pPr>
      <w:r w:rsidRPr="000B28CE">
        <w:t>Esta propuesta de presupuesto llega en un momento crítico para la Convención sobre las Especies Migratorias (CMS), y ha sido desarrollada con varias consideraciones clave en mente.</w:t>
      </w:r>
    </w:p>
    <w:p w:rsidR="00DC6B23" w:rsidRPr="000B28CE" w:rsidRDefault="00DC6B23" w:rsidP="00DC6B23">
      <w:pPr>
        <w:pStyle w:val="Firstnumbering1"/>
        <w:numPr>
          <w:ilvl w:val="0"/>
          <w:numId w:val="0"/>
        </w:numPr>
        <w:ind w:left="567"/>
      </w:pPr>
    </w:p>
    <w:p w:rsidR="00DC6B23" w:rsidRPr="000B28CE" w:rsidRDefault="00DC6B23" w:rsidP="00DC6B23">
      <w:pPr>
        <w:pStyle w:val="Firstnumbering1"/>
      </w:pPr>
      <w:r w:rsidRPr="000B28CE">
        <w:t xml:space="preserve">En primer lugar, las exigencias a la Secretaría en virtud de sus mandatos actuales han ido en constante aumento, con el resultado de que el personal de la Secretaría se encuentra en una situación de gran tensión. Los resultados positivos de la participación de la Secretaría en numerosas iniciativas han dado lugar a solicitudes de trabajo adicional.  Además, ante la falta </w:t>
      </w:r>
      <w:r w:rsidRPr="000B28CE">
        <w:lastRenderedPageBreak/>
        <w:t xml:space="preserve">de recursos extrapresupuestarios para una serie de áreas importantes (por ejemplo, una evaluación de la situación de las especies migratorias incluidas en las listas de la CMS), la Secretaría se ha comprometido a proporcionar aspectos de esa labor con recursos básicos. Además, existe un desequilibrio en el número de puestos del cuadro orgánico dentro de los diversos equipos de especies de la Secretaría de la CMS, por lo que la carga de trabajo no recibe un apoyo uniforme. </w:t>
      </w:r>
    </w:p>
    <w:p w:rsidR="00DC6B23" w:rsidRPr="000B28CE" w:rsidRDefault="00DC6B23" w:rsidP="00DC6B23">
      <w:pPr>
        <w:pStyle w:val="ListParagraph"/>
        <w:spacing w:after="0" w:line="240" w:lineRule="auto"/>
        <w:contextualSpacing w:val="0"/>
        <w:rPr>
          <w:lang w:val="es-ES"/>
        </w:rPr>
      </w:pPr>
    </w:p>
    <w:p w:rsidR="00DC6B23" w:rsidRPr="000B28CE" w:rsidRDefault="00DC6B23" w:rsidP="00DC6B23">
      <w:pPr>
        <w:pStyle w:val="Firstnumbering1"/>
        <w:contextualSpacing w:val="0"/>
      </w:pPr>
      <w:r w:rsidRPr="000B28CE">
        <w:t>En segundo lugar, los recientes avances científicos ponen de relieve la urgencia de hacer frente a las presiones sobre las especies migratorias. La primera evaluación mundial realizada por la Plataforma Intergubernamental Científico-normativa sobre Diversidad Biológica y Servicios de los Ecosistemas (IPBES), publicada en 2019, presentó la cruda realidad de la magnitud de la pérdida de diversidad biológica en todas las regiones del mundo.  De particular relevancia para el trabajo único de la CMS, la evaluación de IPBES encontró que más de un millón de especies se enfrentan a la perspectiva de extinción en las próximas décadas, si no se toman nuevas medidas. Al mismo tiempo, el Marco de la Diversidad Biológica Mundial posterior a 2020, que se adoptará a finales de 2020, ofrece una importante oportunidad para abordar las prioridades de la CMS. La Secretaría de la CMS necesita estar adecuadamente equipada para contribuir eficazmente al esfuerzo mundial para hacer frente a estos desafíos y oportunidades.</w:t>
      </w:r>
    </w:p>
    <w:p w:rsidR="00DC6B23" w:rsidRPr="000B28CE" w:rsidRDefault="00DC6B23" w:rsidP="00DC6B23">
      <w:pPr>
        <w:pStyle w:val="Firstnumbering1"/>
        <w:numPr>
          <w:ilvl w:val="0"/>
          <w:numId w:val="0"/>
        </w:numPr>
        <w:ind w:left="567"/>
      </w:pPr>
    </w:p>
    <w:p w:rsidR="00DC6B23" w:rsidRPr="000B28CE" w:rsidRDefault="00DC6B23" w:rsidP="00DC6B23">
      <w:pPr>
        <w:pStyle w:val="Firstnumbering1"/>
      </w:pPr>
      <w:r w:rsidRPr="000B28CE">
        <w:t xml:space="preserve">Por último, el Fondo Fiduciario de la CMS se enfrenta a niveles de atrasos sin precedentes. En las circunstancias actuales, esos atrasos podrían tener consecuencias negativas para la Secretaría durante el trienio en curso y amenazar la estabilidad financiera de la Convención. En el documento UNEP/CMS/COP13/Doc.13.1 </w:t>
      </w:r>
      <w:r w:rsidRPr="000B28CE">
        <w:rPr>
          <w:i/>
        </w:rPr>
        <w:t>Ejecución del presupuesto 2018-2020</w:t>
      </w:r>
      <w:r w:rsidRPr="000B28CE">
        <w:t xml:space="preserve"> se ofrece más información sobre el estado de las contribuciones y los atrasos. Dada la cuantía de los atrasos, la Secretaría ha adoptado medidas para reducir los gastos y propone una serie de alternativas para las contribuciones al presupuesto para 2021-2023.</w:t>
      </w:r>
    </w:p>
    <w:p w:rsidR="00DC6B23" w:rsidRPr="000B28CE" w:rsidRDefault="00DC6B23" w:rsidP="00DC6B23">
      <w:pPr>
        <w:pStyle w:val="Firstnumbering1"/>
        <w:numPr>
          <w:ilvl w:val="0"/>
          <w:numId w:val="0"/>
        </w:numPr>
      </w:pPr>
    </w:p>
    <w:p w:rsidR="00D71967" w:rsidRPr="000B28CE" w:rsidRDefault="00D71967" w:rsidP="00FA4FBA">
      <w:pPr>
        <w:spacing w:after="0" w:line="240" w:lineRule="auto"/>
        <w:rPr>
          <w:rFonts w:cs="Arial"/>
          <w:b/>
          <w:lang w:val="es-ES"/>
        </w:rPr>
      </w:pPr>
      <w:r w:rsidRPr="000B28CE">
        <w:rPr>
          <w:rFonts w:cs="Arial"/>
          <w:b/>
          <w:lang w:val="es-ES"/>
        </w:rPr>
        <w:t>Escenarios presupuestarios para el 2021- 2023</w:t>
      </w:r>
    </w:p>
    <w:p w:rsidR="00D71967" w:rsidRPr="000B28CE" w:rsidRDefault="00D71967" w:rsidP="00FA4FBA">
      <w:pPr>
        <w:pStyle w:val="NoSpacing"/>
        <w:jc w:val="both"/>
        <w:rPr>
          <w:rFonts w:ascii="Arial" w:hAnsi="Arial" w:cs="Arial"/>
          <w:lang w:val="es-ES"/>
        </w:rPr>
      </w:pPr>
    </w:p>
    <w:p w:rsidR="00A35E4D" w:rsidRPr="000B28CE" w:rsidRDefault="00A35E4D" w:rsidP="00FA4FBA">
      <w:pPr>
        <w:pStyle w:val="Firstnumbering1"/>
      </w:pPr>
      <w:r w:rsidRPr="000B28CE">
        <w:t xml:space="preserve">Las propuestas de presupuesto siguen el mismo formato que fue presentado y adoptado por la COP12.  En el anexo </w:t>
      </w:r>
      <w:r w:rsidR="00DC6B23" w:rsidRPr="000B28CE">
        <w:t>3</w:t>
      </w:r>
      <w:r w:rsidRPr="000B28CE">
        <w:t xml:space="preserve"> se ofrecen más detalles sobre cada escenario. Las cifras en rojo en el proyecto de presupuesto indican que se propone un aumento del importe de la partida presupuestaria en comparación con l</w:t>
      </w:r>
      <w:r w:rsidR="00521874" w:rsidRPr="000B28CE">
        <w:t>o</w:t>
      </w:r>
      <w:r w:rsidRPr="000B28CE">
        <w:t xml:space="preserve">s </w:t>
      </w:r>
      <w:r w:rsidR="00521874" w:rsidRPr="000B28CE">
        <w:t>escenarios</w:t>
      </w:r>
      <w:r w:rsidRPr="000B28CE">
        <w:t xml:space="preserve"> anteriores. En el anexo </w:t>
      </w:r>
      <w:r w:rsidR="00521874" w:rsidRPr="000B28CE">
        <w:t>4</w:t>
      </w:r>
      <w:r w:rsidRPr="000B28CE">
        <w:t xml:space="preserve"> se presenta un panorama general de la escala de contribuciones anuales </w:t>
      </w:r>
      <w:r w:rsidR="00521874" w:rsidRPr="000B28CE">
        <w:t>de</w:t>
      </w:r>
      <w:r w:rsidRPr="000B28CE">
        <w:t xml:space="preserve"> las Partes para el período 2021-2023, con el promedio indicativo de las contribuciones anuales de conformidad con el proyecto de presupuesto</w:t>
      </w:r>
      <w:r w:rsidR="00521874" w:rsidRPr="000B28CE">
        <w:t xml:space="preserve"> propuesto</w:t>
      </w:r>
      <w:r w:rsidRPr="000B28CE">
        <w:t>. E</w:t>
      </w:r>
      <w:r w:rsidR="00521874" w:rsidRPr="000B28CE">
        <w:t xml:space="preserve">ste </w:t>
      </w:r>
      <w:r w:rsidRPr="000B28CE">
        <w:t xml:space="preserve">anexo </w:t>
      </w:r>
      <w:r w:rsidR="00521874" w:rsidRPr="000B28CE">
        <w:t>también entrega</w:t>
      </w:r>
      <w:r w:rsidRPr="000B28CE">
        <w:t>, a efectos de comparación, las cuotas correspondientes al período 2018-2020.</w:t>
      </w:r>
    </w:p>
    <w:p w:rsidR="00D71967" w:rsidRPr="000B28CE" w:rsidRDefault="00D71967" w:rsidP="00FA4FBA">
      <w:pPr>
        <w:pStyle w:val="NoSpacing"/>
        <w:jc w:val="both"/>
        <w:rPr>
          <w:rFonts w:ascii="Arial" w:hAnsi="Arial" w:cs="Arial"/>
          <w:lang w:val="es-ES"/>
        </w:rPr>
      </w:pPr>
    </w:p>
    <w:p w:rsidR="00D71967" w:rsidRPr="000B28CE" w:rsidRDefault="005E0976" w:rsidP="00FA4FBA">
      <w:pPr>
        <w:pStyle w:val="NoSpacing"/>
        <w:jc w:val="both"/>
        <w:rPr>
          <w:rFonts w:ascii="Arial" w:hAnsi="Arial" w:cs="Arial"/>
          <w:b/>
          <w:lang w:val="es-ES"/>
        </w:rPr>
      </w:pPr>
      <w:r w:rsidRPr="000B28CE">
        <w:rPr>
          <w:rFonts w:ascii="Arial" w:hAnsi="Arial" w:cs="Arial"/>
          <w:b/>
          <w:lang w:val="es-ES"/>
        </w:rPr>
        <w:t>Es</w:t>
      </w:r>
      <w:r w:rsidR="00D71967" w:rsidRPr="000B28CE">
        <w:rPr>
          <w:rFonts w:ascii="Arial" w:hAnsi="Arial" w:cs="Arial"/>
          <w:b/>
          <w:lang w:val="es-ES"/>
        </w:rPr>
        <w:t xml:space="preserve">cenario 1: </w:t>
      </w:r>
      <w:r w:rsidRPr="000B28CE">
        <w:rPr>
          <w:rFonts w:ascii="Arial" w:hAnsi="Arial"/>
          <w:b/>
          <w:lang w:val="es-ES"/>
        </w:rPr>
        <w:t xml:space="preserve">Crecimiento </w:t>
      </w:r>
      <w:r w:rsidR="00521874" w:rsidRPr="000B28CE">
        <w:rPr>
          <w:rFonts w:ascii="Arial" w:hAnsi="Arial"/>
          <w:b/>
          <w:lang w:val="es-ES"/>
        </w:rPr>
        <w:t>nominal</w:t>
      </w:r>
      <w:r w:rsidRPr="000B28CE">
        <w:rPr>
          <w:rFonts w:ascii="Arial" w:hAnsi="Arial"/>
          <w:b/>
          <w:lang w:val="es-ES"/>
        </w:rPr>
        <w:t xml:space="preserve"> cero con respecto al presupuesto</w:t>
      </w:r>
      <w:r w:rsidR="00D71967" w:rsidRPr="000B28CE">
        <w:rPr>
          <w:rFonts w:ascii="Arial" w:hAnsi="Arial" w:cs="Arial"/>
          <w:b/>
          <w:lang w:val="es-ES"/>
        </w:rPr>
        <w:t xml:space="preserve"> 2018 - 2020</w:t>
      </w:r>
    </w:p>
    <w:p w:rsidR="00D71967" w:rsidRPr="000B28CE" w:rsidRDefault="00D71967" w:rsidP="00FA4FBA">
      <w:pPr>
        <w:pStyle w:val="NoSpacing"/>
        <w:jc w:val="both"/>
        <w:rPr>
          <w:rFonts w:ascii="Arial" w:hAnsi="Arial" w:cs="Arial"/>
          <w:b/>
          <w:lang w:val="es-ES"/>
        </w:rPr>
      </w:pPr>
    </w:p>
    <w:p w:rsidR="00521874" w:rsidRPr="000B28CE" w:rsidRDefault="005E0976" w:rsidP="00FA4FBA">
      <w:pPr>
        <w:pStyle w:val="Firstnumbering1"/>
      </w:pPr>
      <w:r w:rsidRPr="000B28CE">
        <w:t xml:space="preserve">Bajo el </w:t>
      </w:r>
      <w:r w:rsidR="00A35E4D" w:rsidRPr="000B28CE">
        <w:t>e</w:t>
      </w:r>
      <w:r w:rsidRPr="000B28CE">
        <w:t>scenario 1</w:t>
      </w:r>
      <w:r w:rsidR="00D71967" w:rsidRPr="000B28CE">
        <w:t xml:space="preserve">, </w:t>
      </w:r>
      <w:r w:rsidR="00521874" w:rsidRPr="000B28CE">
        <w:t>no se prevé ningún aumento con respecto al presupuesto aprobado para el trienio 2018-2020. Debido a la inflación y a otros aumentos de los costos reales, este escenario requeriría recortes en los servicios prestados por la Secretaría. En esta hipótesis, se mantendrían los puestos de planta actuales, al tiempo que se reflejarían los sueldos estándar revisados y una tasa de inflación incremental del 2 por ciento. Otras partidas presupuestarias se mantienen como antes en comparación con el presupuesto de 2018-2020. Con el fin de implementar este escenario presupuestario, la prestación de servicios a la COP14 se reduciría en dos tercios, con ahorros logrados al no contratar intérpretes y redactores de informes.</w:t>
      </w:r>
    </w:p>
    <w:p w:rsidR="00521874" w:rsidRPr="000B28CE" w:rsidRDefault="00521874">
      <w:pPr>
        <w:rPr>
          <w:rFonts w:eastAsia="Times New Roman" w:cs="Arial"/>
          <w:lang w:val="es-ES" w:eastAsia="es-ES"/>
        </w:rPr>
      </w:pPr>
      <w:r w:rsidRPr="000B28CE">
        <w:rPr>
          <w:lang w:val="es-ES"/>
        </w:rPr>
        <w:br w:type="page"/>
      </w:r>
    </w:p>
    <w:tbl>
      <w:tblPr>
        <w:tblW w:w="8362" w:type="dxa"/>
        <w:jc w:val="center"/>
        <w:tblLook w:val="04A0" w:firstRow="1" w:lastRow="0" w:firstColumn="1" w:lastColumn="0" w:noHBand="0" w:noVBand="1"/>
      </w:tblPr>
      <w:tblGrid>
        <w:gridCol w:w="5500"/>
        <w:gridCol w:w="2862"/>
      </w:tblGrid>
      <w:tr w:rsidR="00521874" w:rsidRPr="00D41851" w:rsidTr="00521874">
        <w:trPr>
          <w:trHeight w:val="562"/>
          <w:jc w:val="center"/>
        </w:trPr>
        <w:tc>
          <w:tcPr>
            <w:tcW w:w="8362"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noWrap/>
            <w:vAlign w:val="center"/>
            <w:hideMark/>
          </w:tcPr>
          <w:p w:rsidR="00521874" w:rsidRPr="000B28CE" w:rsidRDefault="00521874" w:rsidP="00B40E74">
            <w:pPr>
              <w:spacing w:after="0" w:line="240" w:lineRule="auto"/>
              <w:rPr>
                <w:rFonts w:cs="Arial"/>
                <w:color w:val="000000"/>
                <w:sz w:val="20"/>
                <w:szCs w:val="20"/>
                <w:lang w:val="es-ES"/>
              </w:rPr>
            </w:pPr>
            <w:r w:rsidRPr="000B28CE">
              <w:rPr>
                <w:b/>
                <w:color w:val="000000"/>
                <w:sz w:val="20"/>
                <w:szCs w:val="20"/>
                <w:lang w:val="es-ES"/>
              </w:rPr>
              <w:lastRenderedPageBreak/>
              <w:t xml:space="preserve">Costos totales por categoría para el período </w:t>
            </w:r>
            <w:r w:rsidRPr="000B28CE">
              <w:rPr>
                <w:rFonts w:cs="Arial"/>
                <w:b/>
                <w:bCs/>
                <w:color w:val="000000"/>
                <w:sz w:val="20"/>
                <w:szCs w:val="20"/>
                <w:lang w:val="es-ES"/>
              </w:rPr>
              <w:t xml:space="preserve">2021-2023 </w:t>
            </w:r>
            <w:r w:rsidRPr="000B28CE">
              <w:rPr>
                <w:b/>
                <w:color w:val="000000"/>
                <w:sz w:val="20"/>
                <w:szCs w:val="20"/>
                <w:lang w:val="es-ES"/>
              </w:rPr>
              <w:t>(en euros)</w:t>
            </w:r>
          </w:p>
        </w:tc>
      </w:tr>
      <w:tr w:rsidR="00521874" w:rsidRPr="000B28CE" w:rsidTr="00521874">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21874" w:rsidRPr="000B28CE" w:rsidRDefault="00521874" w:rsidP="00B40E74">
            <w:pPr>
              <w:spacing w:after="0" w:line="240" w:lineRule="auto"/>
              <w:rPr>
                <w:rFonts w:cs="Arial"/>
                <w:color w:val="000000"/>
                <w:sz w:val="20"/>
                <w:szCs w:val="20"/>
                <w:lang w:val="es-ES"/>
              </w:rPr>
            </w:pPr>
            <w:r w:rsidRPr="000B28CE">
              <w:rPr>
                <w:color w:val="000000"/>
                <w:sz w:val="20"/>
                <w:szCs w:val="20"/>
                <w:lang w:val="es-ES"/>
              </w:rPr>
              <w:t>Personal</w:t>
            </w:r>
            <w:r w:rsidRPr="000B28CE">
              <w:rPr>
                <w:rFonts w:cs="Arial"/>
                <w:color w:val="000000"/>
                <w:sz w:val="20"/>
                <w:szCs w:val="20"/>
                <w:lang w:val="es-ES"/>
              </w:rPr>
              <w:t xml:space="preserve"> </w:t>
            </w:r>
          </w:p>
        </w:tc>
        <w:tc>
          <w:tcPr>
            <w:tcW w:w="2862" w:type="dxa"/>
            <w:tcBorders>
              <w:top w:val="nil"/>
              <w:left w:val="nil"/>
              <w:bottom w:val="single" w:sz="4" w:space="0" w:color="auto"/>
              <w:right w:val="single" w:sz="8" w:space="0" w:color="auto"/>
            </w:tcBorders>
            <w:shd w:val="clear" w:color="auto" w:fill="auto"/>
            <w:noWrap/>
            <w:vAlign w:val="center"/>
          </w:tcPr>
          <w:p w:rsidR="00521874" w:rsidRPr="000B28CE" w:rsidRDefault="00521874" w:rsidP="00B40E74">
            <w:pPr>
              <w:spacing w:after="0" w:line="240" w:lineRule="auto"/>
              <w:jc w:val="right"/>
              <w:rPr>
                <w:rFonts w:cs="Arial"/>
                <w:color w:val="000000"/>
                <w:sz w:val="20"/>
                <w:szCs w:val="20"/>
                <w:lang w:val="es-ES"/>
              </w:rPr>
            </w:pPr>
            <w:r w:rsidRPr="000B28CE">
              <w:rPr>
                <w:rFonts w:cs="Arial"/>
                <w:color w:val="000000"/>
                <w:sz w:val="20"/>
                <w:szCs w:val="20"/>
                <w:lang w:val="es-ES"/>
              </w:rPr>
              <w:t xml:space="preserve"> 5 972 148 </w:t>
            </w:r>
          </w:p>
        </w:tc>
      </w:tr>
      <w:tr w:rsidR="00521874" w:rsidRPr="000B28CE" w:rsidTr="00521874">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21874" w:rsidRPr="000B28CE" w:rsidRDefault="00521874" w:rsidP="00B40E74">
            <w:pPr>
              <w:spacing w:after="0" w:line="240" w:lineRule="auto"/>
              <w:rPr>
                <w:rFonts w:cs="Arial"/>
                <w:color w:val="000000"/>
                <w:sz w:val="20"/>
                <w:szCs w:val="20"/>
                <w:lang w:val="es-ES"/>
              </w:rPr>
            </w:pPr>
            <w:r w:rsidRPr="000B28CE">
              <w:rPr>
                <w:color w:val="000000"/>
                <w:sz w:val="20"/>
                <w:szCs w:val="20"/>
                <w:lang w:val="es-ES"/>
              </w:rPr>
              <w:t>Servicios contractuales</w:t>
            </w:r>
          </w:p>
        </w:tc>
        <w:tc>
          <w:tcPr>
            <w:tcW w:w="2862" w:type="dxa"/>
            <w:tcBorders>
              <w:top w:val="nil"/>
              <w:left w:val="nil"/>
              <w:bottom w:val="single" w:sz="4" w:space="0" w:color="auto"/>
              <w:right w:val="single" w:sz="8" w:space="0" w:color="auto"/>
            </w:tcBorders>
            <w:shd w:val="clear" w:color="auto" w:fill="auto"/>
            <w:noWrap/>
            <w:vAlign w:val="center"/>
          </w:tcPr>
          <w:p w:rsidR="00521874" w:rsidRPr="000B28CE" w:rsidRDefault="00521874" w:rsidP="00B40E74">
            <w:pPr>
              <w:spacing w:after="0" w:line="240" w:lineRule="auto"/>
              <w:jc w:val="right"/>
              <w:rPr>
                <w:rFonts w:cs="Arial"/>
                <w:color w:val="000000"/>
                <w:sz w:val="20"/>
                <w:szCs w:val="20"/>
                <w:lang w:val="es-ES"/>
              </w:rPr>
            </w:pPr>
            <w:r w:rsidRPr="000B28CE">
              <w:rPr>
                <w:rFonts w:cs="Arial"/>
                <w:color w:val="000000"/>
                <w:sz w:val="20"/>
                <w:szCs w:val="20"/>
                <w:lang w:val="es-ES"/>
              </w:rPr>
              <w:t xml:space="preserve"> </w:t>
            </w:r>
            <w:r w:rsidRPr="000B28CE">
              <w:rPr>
                <w:rFonts w:eastAsia="Times New Roman" w:cs="Arial"/>
                <w:color w:val="000000"/>
                <w:sz w:val="20"/>
                <w:szCs w:val="20"/>
                <w:lang w:val="es-ES"/>
              </w:rPr>
              <w:t>419 937</w:t>
            </w:r>
            <w:r w:rsidRPr="000B28CE">
              <w:rPr>
                <w:rFonts w:cs="Arial"/>
                <w:color w:val="000000"/>
                <w:sz w:val="20"/>
                <w:szCs w:val="20"/>
                <w:lang w:val="es-ES"/>
              </w:rPr>
              <w:t xml:space="preserve"> </w:t>
            </w:r>
          </w:p>
        </w:tc>
      </w:tr>
      <w:tr w:rsidR="00521874" w:rsidRPr="000B28CE" w:rsidTr="00521874">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21874" w:rsidRPr="000B28CE" w:rsidRDefault="00521874" w:rsidP="00B40E74">
            <w:pPr>
              <w:spacing w:after="0" w:line="240" w:lineRule="auto"/>
              <w:rPr>
                <w:rFonts w:cs="Arial"/>
                <w:color w:val="000000"/>
                <w:sz w:val="20"/>
                <w:szCs w:val="20"/>
                <w:lang w:val="es-ES"/>
              </w:rPr>
            </w:pPr>
            <w:r w:rsidRPr="000B28CE">
              <w:rPr>
                <w:color w:val="000000"/>
                <w:sz w:val="20"/>
                <w:szCs w:val="20"/>
                <w:lang w:val="es-ES"/>
              </w:rPr>
              <w:t>Gastos de funcionamiento</w:t>
            </w:r>
          </w:p>
        </w:tc>
        <w:tc>
          <w:tcPr>
            <w:tcW w:w="2862" w:type="dxa"/>
            <w:tcBorders>
              <w:top w:val="nil"/>
              <w:left w:val="nil"/>
              <w:bottom w:val="single" w:sz="4" w:space="0" w:color="auto"/>
              <w:right w:val="single" w:sz="8" w:space="0" w:color="auto"/>
            </w:tcBorders>
            <w:shd w:val="clear" w:color="auto" w:fill="auto"/>
            <w:noWrap/>
            <w:vAlign w:val="center"/>
          </w:tcPr>
          <w:p w:rsidR="00521874" w:rsidRPr="000B28CE" w:rsidRDefault="00521874" w:rsidP="00B40E74">
            <w:pPr>
              <w:spacing w:after="0" w:line="240" w:lineRule="auto"/>
              <w:jc w:val="right"/>
              <w:rPr>
                <w:rFonts w:cs="Arial"/>
                <w:color w:val="000000"/>
                <w:sz w:val="20"/>
                <w:szCs w:val="20"/>
                <w:lang w:val="es-ES"/>
              </w:rPr>
            </w:pPr>
            <w:r w:rsidRPr="000B28CE">
              <w:rPr>
                <w:rFonts w:cs="Arial"/>
                <w:color w:val="000000"/>
                <w:sz w:val="20"/>
                <w:szCs w:val="20"/>
                <w:lang w:val="es-ES"/>
              </w:rPr>
              <w:t xml:space="preserve"> </w:t>
            </w:r>
            <w:r w:rsidRPr="000B28CE">
              <w:rPr>
                <w:rFonts w:eastAsia="Times New Roman" w:cs="Arial"/>
                <w:color w:val="000000"/>
                <w:sz w:val="20"/>
                <w:szCs w:val="20"/>
                <w:lang w:val="es-ES"/>
              </w:rPr>
              <w:t xml:space="preserve"> 367 532</w:t>
            </w:r>
            <w:r w:rsidRPr="000B28CE">
              <w:rPr>
                <w:rFonts w:cs="Arial"/>
                <w:color w:val="000000"/>
                <w:sz w:val="20"/>
                <w:szCs w:val="20"/>
                <w:lang w:val="es-ES"/>
              </w:rPr>
              <w:t xml:space="preserve"> </w:t>
            </w:r>
          </w:p>
        </w:tc>
      </w:tr>
      <w:tr w:rsidR="00521874" w:rsidRPr="000B28CE" w:rsidTr="00521874">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21874" w:rsidRPr="000B28CE" w:rsidRDefault="00521874" w:rsidP="00B40E74">
            <w:pPr>
              <w:spacing w:after="0" w:line="240" w:lineRule="auto"/>
              <w:rPr>
                <w:rFonts w:cs="Arial"/>
                <w:color w:val="000000"/>
                <w:sz w:val="20"/>
                <w:szCs w:val="20"/>
                <w:lang w:val="es-ES"/>
              </w:rPr>
            </w:pPr>
            <w:r w:rsidRPr="000B28CE">
              <w:rPr>
                <w:color w:val="000000"/>
                <w:sz w:val="20"/>
                <w:szCs w:val="20"/>
                <w:lang w:val="es-ES"/>
              </w:rPr>
              <w:t>Suministros</w:t>
            </w:r>
          </w:p>
        </w:tc>
        <w:tc>
          <w:tcPr>
            <w:tcW w:w="2862" w:type="dxa"/>
            <w:tcBorders>
              <w:top w:val="nil"/>
              <w:left w:val="nil"/>
              <w:bottom w:val="single" w:sz="4" w:space="0" w:color="auto"/>
              <w:right w:val="single" w:sz="8" w:space="0" w:color="auto"/>
            </w:tcBorders>
            <w:shd w:val="clear" w:color="auto" w:fill="auto"/>
            <w:noWrap/>
            <w:vAlign w:val="center"/>
          </w:tcPr>
          <w:p w:rsidR="00521874" w:rsidRPr="000B28CE" w:rsidRDefault="00521874" w:rsidP="00B40E74">
            <w:pPr>
              <w:spacing w:after="0" w:line="240" w:lineRule="auto"/>
              <w:jc w:val="right"/>
              <w:rPr>
                <w:rFonts w:cs="Arial"/>
                <w:color w:val="000000"/>
                <w:sz w:val="20"/>
                <w:szCs w:val="20"/>
                <w:lang w:val="es-ES"/>
              </w:rPr>
            </w:pPr>
            <w:r w:rsidRPr="000B28CE">
              <w:rPr>
                <w:rFonts w:cs="Arial"/>
                <w:color w:val="000000"/>
                <w:sz w:val="20"/>
                <w:szCs w:val="20"/>
                <w:lang w:val="es-ES"/>
              </w:rPr>
              <w:t xml:space="preserve"> </w:t>
            </w:r>
            <w:r w:rsidRPr="000B28CE">
              <w:rPr>
                <w:rFonts w:eastAsia="Times New Roman" w:cs="Arial"/>
                <w:color w:val="000000"/>
                <w:sz w:val="20"/>
                <w:szCs w:val="20"/>
                <w:lang w:val="es-ES"/>
              </w:rPr>
              <w:t xml:space="preserve">18 105 </w:t>
            </w:r>
          </w:p>
        </w:tc>
      </w:tr>
      <w:tr w:rsidR="00521874" w:rsidRPr="000B28CE" w:rsidTr="00521874">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21874" w:rsidRPr="000B28CE" w:rsidRDefault="00521874" w:rsidP="00B40E74">
            <w:pPr>
              <w:spacing w:after="0" w:line="240" w:lineRule="auto"/>
              <w:rPr>
                <w:rFonts w:cs="Arial"/>
                <w:color w:val="000000"/>
                <w:sz w:val="20"/>
                <w:szCs w:val="20"/>
                <w:lang w:val="es-ES"/>
              </w:rPr>
            </w:pPr>
            <w:r w:rsidRPr="000B28CE">
              <w:rPr>
                <w:color w:val="000000"/>
                <w:sz w:val="20"/>
                <w:szCs w:val="20"/>
                <w:lang w:val="es-ES"/>
              </w:rPr>
              <w:t>Equipo</w:t>
            </w:r>
          </w:p>
        </w:tc>
        <w:tc>
          <w:tcPr>
            <w:tcW w:w="2862" w:type="dxa"/>
            <w:tcBorders>
              <w:top w:val="nil"/>
              <w:left w:val="nil"/>
              <w:bottom w:val="single" w:sz="4" w:space="0" w:color="auto"/>
              <w:right w:val="single" w:sz="8" w:space="0" w:color="auto"/>
            </w:tcBorders>
            <w:shd w:val="clear" w:color="auto" w:fill="auto"/>
            <w:noWrap/>
            <w:vAlign w:val="center"/>
          </w:tcPr>
          <w:p w:rsidR="00521874" w:rsidRPr="000B28CE" w:rsidRDefault="00521874" w:rsidP="00B40E74">
            <w:pPr>
              <w:spacing w:after="0" w:line="240" w:lineRule="auto"/>
              <w:jc w:val="right"/>
              <w:rPr>
                <w:rFonts w:cs="Arial"/>
                <w:color w:val="000000"/>
                <w:sz w:val="20"/>
                <w:szCs w:val="20"/>
                <w:lang w:val="es-ES"/>
              </w:rPr>
            </w:pPr>
            <w:r w:rsidRPr="000B28CE">
              <w:rPr>
                <w:rFonts w:eastAsia="Times New Roman" w:cs="Arial"/>
                <w:color w:val="000000"/>
                <w:sz w:val="20"/>
                <w:szCs w:val="20"/>
                <w:lang w:val="es-ES"/>
              </w:rPr>
              <w:t xml:space="preserve">32 777 </w:t>
            </w:r>
            <w:r w:rsidRPr="000B28CE">
              <w:rPr>
                <w:rFonts w:cs="Arial"/>
                <w:color w:val="000000"/>
                <w:sz w:val="20"/>
                <w:szCs w:val="20"/>
                <w:lang w:val="es-ES"/>
              </w:rPr>
              <w:t xml:space="preserve"> </w:t>
            </w:r>
          </w:p>
        </w:tc>
      </w:tr>
      <w:tr w:rsidR="00521874" w:rsidRPr="000B28CE" w:rsidTr="00521874">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21874" w:rsidRPr="000B28CE" w:rsidRDefault="00521874" w:rsidP="00B40E74">
            <w:pPr>
              <w:spacing w:after="0" w:line="240" w:lineRule="auto"/>
              <w:rPr>
                <w:rFonts w:cs="Arial"/>
                <w:color w:val="000000"/>
                <w:sz w:val="20"/>
                <w:szCs w:val="20"/>
                <w:lang w:val="es-ES"/>
              </w:rPr>
            </w:pPr>
            <w:r w:rsidRPr="000B28CE">
              <w:rPr>
                <w:color w:val="000000"/>
                <w:sz w:val="20"/>
                <w:szCs w:val="20"/>
                <w:lang w:val="es-ES"/>
              </w:rPr>
              <w:t>Viajes</w:t>
            </w:r>
            <w:r w:rsidRPr="000B28CE">
              <w:rPr>
                <w:rFonts w:cs="Arial"/>
                <w:color w:val="000000"/>
                <w:sz w:val="20"/>
                <w:szCs w:val="20"/>
                <w:lang w:val="es-ES"/>
              </w:rPr>
              <w:t xml:space="preserve"> </w:t>
            </w:r>
          </w:p>
        </w:tc>
        <w:tc>
          <w:tcPr>
            <w:tcW w:w="2862" w:type="dxa"/>
            <w:tcBorders>
              <w:top w:val="nil"/>
              <w:left w:val="nil"/>
              <w:bottom w:val="single" w:sz="4" w:space="0" w:color="auto"/>
              <w:right w:val="single" w:sz="8" w:space="0" w:color="auto"/>
            </w:tcBorders>
            <w:shd w:val="clear" w:color="auto" w:fill="auto"/>
            <w:noWrap/>
            <w:vAlign w:val="center"/>
          </w:tcPr>
          <w:p w:rsidR="00521874" w:rsidRPr="000B28CE" w:rsidRDefault="00521874" w:rsidP="00B40E74">
            <w:pPr>
              <w:spacing w:after="0" w:line="240" w:lineRule="auto"/>
              <w:jc w:val="right"/>
              <w:rPr>
                <w:rFonts w:cs="Arial"/>
                <w:color w:val="000000"/>
                <w:sz w:val="20"/>
                <w:szCs w:val="20"/>
                <w:lang w:val="es-ES"/>
              </w:rPr>
            </w:pPr>
            <w:r w:rsidRPr="000B28CE">
              <w:rPr>
                <w:rFonts w:eastAsia="Times New Roman" w:cs="Arial"/>
                <w:color w:val="000000"/>
                <w:sz w:val="20"/>
                <w:szCs w:val="20"/>
                <w:lang w:val="es-ES"/>
              </w:rPr>
              <w:t xml:space="preserve">407 378 </w:t>
            </w:r>
            <w:r w:rsidRPr="000B28CE">
              <w:rPr>
                <w:rFonts w:cs="Arial"/>
                <w:color w:val="000000"/>
                <w:sz w:val="20"/>
                <w:szCs w:val="20"/>
                <w:lang w:val="es-ES"/>
              </w:rPr>
              <w:t xml:space="preserve"> </w:t>
            </w:r>
          </w:p>
        </w:tc>
      </w:tr>
      <w:tr w:rsidR="00521874" w:rsidRPr="000B28CE" w:rsidTr="00521874">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21874" w:rsidRPr="000B28CE" w:rsidRDefault="00521874" w:rsidP="00B40E74">
            <w:pPr>
              <w:spacing w:after="0" w:line="240" w:lineRule="auto"/>
              <w:rPr>
                <w:rFonts w:cs="Arial"/>
                <w:color w:val="000000"/>
                <w:sz w:val="20"/>
                <w:szCs w:val="20"/>
                <w:lang w:val="es-ES"/>
              </w:rPr>
            </w:pPr>
            <w:r w:rsidRPr="000B28CE">
              <w:rPr>
                <w:color w:val="000000"/>
                <w:sz w:val="20"/>
                <w:szCs w:val="20"/>
                <w:lang w:val="es-ES"/>
              </w:rPr>
              <w:t>Gastos de apoyo a los programas</w:t>
            </w:r>
          </w:p>
        </w:tc>
        <w:tc>
          <w:tcPr>
            <w:tcW w:w="2862" w:type="dxa"/>
            <w:tcBorders>
              <w:top w:val="nil"/>
              <w:left w:val="nil"/>
              <w:bottom w:val="single" w:sz="4" w:space="0" w:color="auto"/>
              <w:right w:val="single" w:sz="8" w:space="0" w:color="auto"/>
            </w:tcBorders>
            <w:shd w:val="clear" w:color="auto" w:fill="auto"/>
            <w:noWrap/>
            <w:vAlign w:val="center"/>
          </w:tcPr>
          <w:p w:rsidR="00521874" w:rsidRPr="000B28CE" w:rsidRDefault="00521874" w:rsidP="00B40E74">
            <w:pPr>
              <w:spacing w:after="0" w:line="240" w:lineRule="auto"/>
              <w:jc w:val="right"/>
              <w:rPr>
                <w:rFonts w:cs="Arial"/>
                <w:color w:val="000000"/>
                <w:sz w:val="20"/>
                <w:szCs w:val="20"/>
                <w:lang w:val="es-ES"/>
              </w:rPr>
            </w:pPr>
            <w:r w:rsidRPr="000B28CE">
              <w:rPr>
                <w:rFonts w:cs="Arial"/>
                <w:color w:val="000000"/>
                <w:sz w:val="20"/>
                <w:szCs w:val="20"/>
                <w:lang w:val="es-ES"/>
              </w:rPr>
              <w:t xml:space="preserve"> </w:t>
            </w:r>
            <w:r w:rsidRPr="000B28CE">
              <w:rPr>
                <w:rFonts w:eastAsia="Times New Roman" w:cs="Arial"/>
                <w:color w:val="000000"/>
                <w:sz w:val="20"/>
                <w:szCs w:val="20"/>
                <w:lang w:val="es-ES"/>
              </w:rPr>
              <w:t>938,324</w:t>
            </w:r>
            <w:r w:rsidRPr="000B28CE">
              <w:rPr>
                <w:rFonts w:cs="Arial"/>
                <w:color w:val="000000"/>
                <w:sz w:val="20"/>
                <w:szCs w:val="20"/>
                <w:lang w:val="es-ES"/>
              </w:rPr>
              <w:t xml:space="preserve"> </w:t>
            </w:r>
          </w:p>
        </w:tc>
      </w:tr>
      <w:tr w:rsidR="00521874" w:rsidRPr="000B28CE" w:rsidTr="00521874">
        <w:trPr>
          <w:trHeight w:val="430"/>
          <w:jc w:val="center"/>
        </w:trPr>
        <w:tc>
          <w:tcPr>
            <w:tcW w:w="5500" w:type="dxa"/>
            <w:tcBorders>
              <w:top w:val="nil"/>
              <w:left w:val="single" w:sz="8" w:space="0" w:color="auto"/>
              <w:bottom w:val="single" w:sz="8" w:space="0" w:color="auto"/>
              <w:right w:val="single" w:sz="4" w:space="0" w:color="auto"/>
            </w:tcBorders>
            <w:shd w:val="clear" w:color="auto" w:fill="D9E2F3" w:themeFill="accent1" w:themeFillTint="33"/>
            <w:noWrap/>
            <w:vAlign w:val="center"/>
            <w:hideMark/>
          </w:tcPr>
          <w:p w:rsidR="00521874" w:rsidRPr="000B28CE" w:rsidRDefault="00521874" w:rsidP="00B40E74">
            <w:pPr>
              <w:spacing w:after="0" w:line="240" w:lineRule="auto"/>
              <w:rPr>
                <w:rFonts w:cs="Arial"/>
                <w:b/>
                <w:bCs/>
                <w:color w:val="000000"/>
                <w:sz w:val="20"/>
                <w:szCs w:val="20"/>
                <w:lang w:val="es-ES"/>
              </w:rPr>
            </w:pPr>
            <w:r w:rsidRPr="000B28CE">
              <w:rPr>
                <w:b/>
                <w:color w:val="000000"/>
                <w:sz w:val="20"/>
                <w:szCs w:val="20"/>
                <w:lang w:val="es-ES"/>
              </w:rPr>
              <w:t>Total general que deberá ser compartido por las Partes</w:t>
            </w:r>
          </w:p>
        </w:tc>
        <w:tc>
          <w:tcPr>
            <w:tcW w:w="2862" w:type="dxa"/>
            <w:tcBorders>
              <w:top w:val="nil"/>
              <w:left w:val="nil"/>
              <w:bottom w:val="single" w:sz="8" w:space="0" w:color="auto"/>
              <w:right w:val="single" w:sz="8" w:space="0" w:color="auto"/>
            </w:tcBorders>
            <w:shd w:val="clear" w:color="auto" w:fill="D9E2F3" w:themeFill="accent1" w:themeFillTint="33"/>
            <w:noWrap/>
            <w:vAlign w:val="center"/>
          </w:tcPr>
          <w:p w:rsidR="00521874" w:rsidRPr="000B28CE" w:rsidRDefault="00521874" w:rsidP="00B40E74">
            <w:pPr>
              <w:spacing w:after="0" w:line="240" w:lineRule="auto"/>
              <w:jc w:val="right"/>
              <w:rPr>
                <w:rFonts w:cs="Arial"/>
                <w:b/>
                <w:color w:val="000000"/>
                <w:sz w:val="20"/>
                <w:szCs w:val="20"/>
                <w:lang w:val="es-ES"/>
              </w:rPr>
            </w:pPr>
            <w:r w:rsidRPr="000B28CE">
              <w:rPr>
                <w:rFonts w:eastAsia="Times New Roman" w:cs="Arial"/>
                <w:b/>
                <w:color w:val="000000"/>
                <w:sz w:val="20"/>
                <w:szCs w:val="20"/>
                <w:lang w:val="es-ES"/>
              </w:rPr>
              <w:t xml:space="preserve">8,156,202 </w:t>
            </w:r>
          </w:p>
        </w:tc>
      </w:tr>
    </w:tbl>
    <w:p w:rsidR="00CC7223" w:rsidRPr="000B28CE" w:rsidRDefault="00CC7223" w:rsidP="00CC7223">
      <w:pPr>
        <w:pStyle w:val="Firstnumbering1"/>
        <w:numPr>
          <w:ilvl w:val="0"/>
          <w:numId w:val="0"/>
        </w:numPr>
        <w:ind w:left="567"/>
      </w:pPr>
    </w:p>
    <w:p w:rsidR="00CC7223" w:rsidRPr="000B28CE" w:rsidRDefault="00CC7223" w:rsidP="00CC7223">
      <w:pPr>
        <w:pStyle w:val="Firstnumbering1"/>
        <w:numPr>
          <w:ilvl w:val="0"/>
          <w:numId w:val="0"/>
        </w:numPr>
        <w:rPr>
          <w:b/>
        </w:rPr>
      </w:pPr>
      <w:r w:rsidRPr="000B28CE">
        <w:rPr>
          <w:b/>
        </w:rPr>
        <w:t>Escenario 2: Crecimiento real cero con respecto al presupuesto 2018 – 2020</w:t>
      </w:r>
    </w:p>
    <w:p w:rsidR="00CC7223" w:rsidRPr="000B28CE" w:rsidRDefault="00CC7223" w:rsidP="00CC7223">
      <w:pPr>
        <w:pStyle w:val="Firstnumbering1"/>
        <w:numPr>
          <w:ilvl w:val="0"/>
          <w:numId w:val="0"/>
        </w:numPr>
        <w:ind w:left="567"/>
      </w:pPr>
    </w:p>
    <w:p w:rsidR="00A35E4D" w:rsidRPr="000B28CE" w:rsidRDefault="00CC7223" w:rsidP="00FA4FBA">
      <w:pPr>
        <w:pStyle w:val="Firstnumbering1"/>
      </w:pPr>
      <w:r w:rsidRPr="000B28CE">
        <w:t xml:space="preserve">Bajo el escenario 2, se prevé </w:t>
      </w:r>
      <w:r w:rsidR="005E0976" w:rsidRPr="000B28CE">
        <w:t xml:space="preserve">un leve incremento del </w:t>
      </w:r>
      <w:r w:rsidR="00D71967" w:rsidRPr="000B28CE">
        <w:t>4.45 p</w:t>
      </w:r>
      <w:r w:rsidR="005E0976" w:rsidRPr="000B28CE">
        <w:t>or ciento</w:t>
      </w:r>
      <w:r w:rsidR="00D71967" w:rsidRPr="000B28CE">
        <w:t xml:space="preserve"> </w:t>
      </w:r>
      <w:r w:rsidR="005E0976" w:rsidRPr="000B28CE">
        <w:t>con respecto al presupuesto aprobado para el trienio</w:t>
      </w:r>
      <w:r w:rsidR="00D71967" w:rsidRPr="000B28CE">
        <w:t xml:space="preserve"> 2018-2020. </w:t>
      </w:r>
      <w:r w:rsidRPr="000B28CE">
        <w:t>Todos los puestos actuales del personal de planta se mantendrían con los sueldos estándar revisados y se aplicaría una tasa de inflación incremental del 2 por ciento a todas las partidas presupuestarias</w:t>
      </w:r>
      <w:r w:rsidR="00A35E4D" w:rsidRPr="000B28CE">
        <w:t>. Además, al estar situada en un lugar de destino fuera de la Sede</w:t>
      </w:r>
      <w:r w:rsidRPr="000B28CE">
        <w:t xml:space="preserve"> de PNUMA</w:t>
      </w:r>
      <w:r w:rsidR="00A35E4D" w:rsidRPr="000B28CE">
        <w:t>, la Secretaría no puede beneficiarse de todas las actividades de formación impartidas de manera centralizada, por lo que</w:t>
      </w:r>
      <w:r w:rsidRPr="000B28CE">
        <w:t xml:space="preserve"> da lugar a la necesidad de traer instructores especializados </w:t>
      </w:r>
      <w:r w:rsidR="00620956" w:rsidRPr="000B28CE">
        <w:t>a Bonn o de pagar viajes del personal para que participen en</w:t>
      </w:r>
      <w:r w:rsidR="00A35E4D" w:rsidRPr="000B28CE">
        <w:t xml:space="preserve"> los cursos necesarios sobre instrumentos básicos como Umoja (sistema de planificación de los recursos institucionales de las Naciones Unidas) e Inspira (sistema de selección de personal), así como sobre la aplicación de diversas normas y reglamentos de las Naciones Unidas, que se actualizan con frecuencia. </w:t>
      </w:r>
      <w:r w:rsidR="00620956" w:rsidRPr="000B28CE">
        <w:t xml:space="preserve">El resultado es que sólo los pocos funcionarios capacitados en estas áreas pueden llevar a cabo ciertas tareas básicas, y el ascenso del personal se ve obstaculizado. Por lo tanto, el Escenario 2 incluye un presupuesto para el desarrollo del personal, que se ha incrementado en 10 000 euros anuales en comparación con el presupuesto de 2018-2020, con el fin de proporcionar a los miembros del personal más oportunidades de formación, lo que redundará directamente en beneficio del funcionamiento de la Secretaría.  </w:t>
      </w:r>
    </w:p>
    <w:p w:rsidR="00D71967" w:rsidRPr="000B28CE" w:rsidRDefault="00D71967" w:rsidP="00FA4FBA">
      <w:pPr>
        <w:pStyle w:val="ListParagraph"/>
        <w:kinsoku w:val="0"/>
        <w:overflowPunct w:val="0"/>
        <w:spacing w:after="0" w:line="240" w:lineRule="auto"/>
        <w:ind w:left="0"/>
        <w:jc w:val="both"/>
        <w:textAlignment w:val="baseline"/>
        <w:rPr>
          <w:rFonts w:cs="Arial"/>
          <w:lang w:val="es-ES"/>
        </w:rPr>
      </w:pPr>
    </w:p>
    <w:tbl>
      <w:tblPr>
        <w:tblW w:w="8362" w:type="dxa"/>
        <w:jc w:val="center"/>
        <w:tblLook w:val="04A0" w:firstRow="1" w:lastRow="0" w:firstColumn="1" w:lastColumn="0" w:noHBand="0" w:noVBand="1"/>
      </w:tblPr>
      <w:tblGrid>
        <w:gridCol w:w="5500"/>
        <w:gridCol w:w="2862"/>
      </w:tblGrid>
      <w:tr w:rsidR="00D71967" w:rsidRPr="00D41851" w:rsidTr="00A35E4D">
        <w:trPr>
          <w:trHeight w:val="562"/>
          <w:jc w:val="center"/>
        </w:trPr>
        <w:tc>
          <w:tcPr>
            <w:tcW w:w="8362"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noWrap/>
            <w:vAlign w:val="center"/>
            <w:hideMark/>
          </w:tcPr>
          <w:p w:rsidR="00D71967" w:rsidRPr="000B28CE" w:rsidRDefault="005E0976" w:rsidP="00FA4FBA">
            <w:pPr>
              <w:spacing w:after="0" w:line="240" w:lineRule="auto"/>
              <w:rPr>
                <w:rFonts w:cs="Arial"/>
                <w:color w:val="000000"/>
                <w:sz w:val="20"/>
                <w:szCs w:val="20"/>
                <w:lang w:val="es-ES"/>
              </w:rPr>
            </w:pPr>
            <w:bookmarkStart w:id="2" w:name="_Hlk27144329"/>
            <w:r w:rsidRPr="000B28CE">
              <w:rPr>
                <w:b/>
                <w:color w:val="000000"/>
                <w:sz w:val="20"/>
                <w:szCs w:val="20"/>
                <w:lang w:val="es-ES"/>
              </w:rPr>
              <w:t xml:space="preserve">Costos totales por categoría para el período </w:t>
            </w:r>
            <w:r w:rsidR="00D71967" w:rsidRPr="000B28CE">
              <w:rPr>
                <w:rFonts w:cs="Arial"/>
                <w:b/>
                <w:bCs/>
                <w:color w:val="000000"/>
                <w:sz w:val="20"/>
                <w:szCs w:val="20"/>
                <w:lang w:val="es-ES"/>
              </w:rPr>
              <w:t xml:space="preserve">2021-2023 </w:t>
            </w:r>
            <w:r w:rsidRPr="000B28CE">
              <w:rPr>
                <w:b/>
                <w:color w:val="000000"/>
                <w:sz w:val="20"/>
                <w:szCs w:val="20"/>
                <w:lang w:val="es-ES"/>
              </w:rPr>
              <w:t>(en euros)</w:t>
            </w:r>
          </w:p>
        </w:tc>
      </w:tr>
      <w:tr w:rsidR="00D71967" w:rsidRPr="000B28CE" w:rsidTr="008B5DF7">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5E0976" w:rsidP="00FA4FBA">
            <w:pPr>
              <w:spacing w:after="0" w:line="240" w:lineRule="auto"/>
              <w:rPr>
                <w:rFonts w:cs="Arial"/>
                <w:color w:val="000000"/>
                <w:sz w:val="20"/>
                <w:szCs w:val="20"/>
                <w:lang w:val="es-ES"/>
              </w:rPr>
            </w:pPr>
            <w:r w:rsidRPr="000B28CE">
              <w:rPr>
                <w:color w:val="000000"/>
                <w:sz w:val="20"/>
                <w:szCs w:val="20"/>
                <w:lang w:val="es-ES"/>
              </w:rPr>
              <w:t>Personal</w:t>
            </w:r>
            <w:r w:rsidR="00D71967" w:rsidRPr="000B28CE">
              <w:rPr>
                <w:rFonts w:cs="Arial"/>
                <w:color w:val="000000"/>
                <w:sz w:val="20"/>
                <w:szCs w:val="20"/>
                <w:lang w:val="es-ES"/>
              </w:rPr>
              <w:t xml:space="preserve"> </w:t>
            </w:r>
          </w:p>
        </w:tc>
        <w:tc>
          <w:tcPr>
            <w:tcW w:w="2862"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5</w:t>
            </w:r>
            <w:r w:rsidR="006C4084" w:rsidRPr="000B28CE">
              <w:rPr>
                <w:rFonts w:cs="Arial"/>
                <w:color w:val="000000"/>
                <w:sz w:val="20"/>
                <w:szCs w:val="20"/>
                <w:lang w:val="es-ES"/>
              </w:rPr>
              <w:t xml:space="preserve"> </w:t>
            </w:r>
            <w:r w:rsidRPr="000B28CE">
              <w:rPr>
                <w:rFonts w:cs="Arial"/>
                <w:color w:val="000000"/>
                <w:sz w:val="20"/>
                <w:szCs w:val="20"/>
                <w:lang w:val="es-ES"/>
              </w:rPr>
              <w:t>972</w:t>
            </w:r>
            <w:r w:rsidR="006C4084" w:rsidRPr="000B28CE">
              <w:rPr>
                <w:rFonts w:cs="Arial"/>
                <w:color w:val="000000"/>
                <w:sz w:val="20"/>
                <w:szCs w:val="20"/>
                <w:lang w:val="es-ES"/>
              </w:rPr>
              <w:t xml:space="preserve"> </w:t>
            </w:r>
            <w:r w:rsidRPr="000B28CE">
              <w:rPr>
                <w:rFonts w:cs="Arial"/>
                <w:color w:val="000000"/>
                <w:sz w:val="20"/>
                <w:szCs w:val="20"/>
                <w:lang w:val="es-ES"/>
              </w:rPr>
              <w:t xml:space="preserve">148 </w:t>
            </w:r>
          </w:p>
        </w:tc>
      </w:tr>
      <w:tr w:rsidR="00D71967" w:rsidRPr="000B28CE" w:rsidTr="008B5DF7">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5E0976" w:rsidP="00FA4FBA">
            <w:pPr>
              <w:spacing w:after="0" w:line="240" w:lineRule="auto"/>
              <w:rPr>
                <w:rFonts w:cs="Arial"/>
                <w:color w:val="000000"/>
                <w:sz w:val="20"/>
                <w:szCs w:val="20"/>
                <w:lang w:val="es-ES"/>
              </w:rPr>
            </w:pPr>
            <w:r w:rsidRPr="000B28CE">
              <w:rPr>
                <w:color w:val="000000"/>
                <w:sz w:val="20"/>
                <w:szCs w:val="20"/>
                <w:lang w:val="es-ES"/>
              </w:rPr>
              <w:t>Servicios contractuales</w:t>
            </w:r>
          </w:p>
        </w:tc>
        <w:tc>
          <w:tcPr>
            <w:tcW w:w="2862"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660</w:t>
            </w:r>
            <w:r w:rsidR="006C4084" w:rsidRPr="000B28CE">
              <w:rPr>
                <w:rFonts w:cs="Arial"/>
                <w:color w:val="000000"/>
                <w:sz w:val="20"/>
                <w:szCs w:val="20"/>
                <w:lang w:val="es-ES"/>
              </w:rPr>
              <w:t xml:space="preserve"> </w:t>
            </w:r>
            <w:r w:rsidRPr="000B28CE">
              <w:rPr>
                <w:rFonts w:cs="Arial"/>
                <w:color w:val="000000"/>
                <w:sz w:val="20"/>
                <w:szCs w:val="20"/>
                <w:lang w:val="es-ES"/>
              </w:rPr>
              <w:t xml:space="preserve">117 </w:t>
            </w:r>
          </w:p>
        </w:tc>
      </w:tr>
      <w:tr w:rsidR="00D71967" w:rsidRPr="000B28CE" w:rsidTr="008B5DF7">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D71967" w:rsidRPr="00173641" w:rsidRDefault="005E0976" w:rsidP="00FA4FBA">
            <w:pPr>
              <w:spacing w:after="0" w:line="240" w:lineRule="auto"/>
              <w:rPr>
                <w:rFonts w:cs="Arial"/>
                <w:color w:val="FF0000"/>
                <w:sz w:val="20"/>
                <w:szCs w:val="20"/>
                <w:lang w:val="es-ES"/>
              </w:rPr>
            </w:pPr>
            <w:r w:rsidRPr="00173641">
              <w:rPr>
                <w:color w:val="FF0000"/>
                <w:sz w:val="20"/>
                <w:szCs w:val="20"/>
                <w:lang w:val="es-ES"/>
              </w:rPr>
              <w:t>Gastos de funcionamiento</w:t>
            </w:r>
          </w:p>
        </w:tc>
        <w:tc>
          <w:tcPr>
            <w:tcW w:w="2862"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w:t>
            </w:r>
            <w:r w:rsidRPr="000B28CE">
              <w:rPr>
                <w:rFonts w:cs="Arial"/>
                <w:color w:val="FF0000"/>
                <w:sz w:val="20"/>
                <w:szCs w:val="20"/>
                <w:lang w:val="es-ES"/>
              </w:rPr>
              <w:t>420</w:t>
            </w:r>
            <w:r w:rsidR="006C4084" w:rsidRPr="000B28CE">
              <w:rPr>
                <w:rFonts w:cs="Arial"/>
                <w:color w:val="FF0000"/>
                <w:sz w:val="20"/>
                <w:szCs w:val="20"/>
                <w:lang w:val="es-ES"/>
              </w:rPr>
              <w:t xml:space="preserve"> </w:t>
            </w:r>
            <w:r w:rsidRPr="000B28CE">
              <w:rPr>
                <w:rFonts w:cs="Arial"/>
                <w:color w:val="FF0000"/>
                <w:sz w:val="20"/>
                <w:szCs w:val="20"/>
                <w:lang w:val="es-ES"/>
              </w:rPr>
              <w:t xml:space="preserve">632 </w:t>
            </w:r>
          </w:p>
        </w:tc>
      </w:tr>
      <w:tr w:rsidR="00D71967" w:rsidRPr="000B28CE" w:rsidTr="008B5DF7">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5E0976" w:rsidP="00FA4FBA">
            <w:pPr>
              <w:spacing w:after="0" w:line="240" w:lineRule="auto"/>
              <w:rPr>
                <w:rFonts w:cs="Arial"/>
                <w:color w:val="000000"/>
                <w:sz w:val="20"/>
                <w:szCs w:val="20"/>
                <w:lang w:val="es-ES"/>
              </w:rPr>
            </w:pPr>
            <w:r w:rsidRPr="000B28CE">
              <w:rPr>
                <w:color w:val="000000"/>
                <w:sz w:val="20"/>
                <w:szCs w:val="20"/>
                <w:lang w:val="es-ES"/>
              </w:rPr>
              <w:t>Suministros</w:t>
            </w:r>
          </w:p>
        </w:tc>
        <w:tc>
          <w:tcPr>
            <w:tcW w:w="2862"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19</w:t>
            </w:r>
            <w:r w:rsidR="005A303F" w:rsidRPr="000B28CE">
              <w:rPr>
                <w:rFonts w:cs="Arial"/>
                <w:color w:val="000000"/>
                <w:sz w:val="20"/>
                <w:szCs w:val="20"/>
                <w:lang w:val="es-ES"/>
              </w:rPr>
              <w:t xml:space="preserve"> </w:t>
            </w:r>
            <w:r w:rsidRPr="000B28CE">
              <w:rPr>
                <w:rFonts w:cs="Arial"/>
                <w:color w:val="000000"/>
                <w:sz w:val="20"/>
                <w:szCs w:val="20"/>
                <w:lang w:val="es-ES"/>
              </w:rPr>
              <w:t xml:space="preserve">214 </w:t>
            </w:r>
          </w:p>
        </w:tc>
      </w:tr>
      <w:tr w:rsidR="00D71967" w:rsidRPr="000B28CE" w:rsidTr="008B5DF7">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5E0976" w:rsidP="00FA4FBA">
            <w:pPr>
              <w:spacing w:after="0" w:line="240" w:lineRule="auto"/>
              <w:rPr>
                <w:rFonts w:cs="Arial"/>
                <w:color w:val="000000"/>
                <w:sz w:val="20"/>
                <w:szCs w:val="20"/>
                <w:lang w:val="es-ES"/>
              </w:rPr>
            </w:pPr>
            <w:r w:rsidRPr="000B28CE">
              <w:rPr>
                <w:color w:val="000000"/>
                <w:sz w:val="20"/>
                <w:szCs w:val="20"/>
                <w:lang w:val="es-ES"/>
              </w:rPr>
              <w:t>Equipo</w:t>
            </w:r>
          </w:p>
        </w:tc>
        <w:tc>
          <w:tcPr>
            <w:tcW w:w="2862"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34</w:t>
            </w:r>
            <w:r w:rsidR="005A303F" w:rsidRPr="000B28CE">
              <w:rPr>
                <w:rFonts w:cs="Arial"/>
                <w:color w:val="000000"/>
                <w:sz w:val="20"/>
                <w:szCs w:val="20"/>
                <w:lang w:val="es-ES"/>
              </w:rPr>
              <w:t xml:space="preserve"> </w:t>
            </w:r>
            <w:r w:rsidRPr="000B28CE">
              <w:rPr>
                <w:rFonts w:cs="Arial"/>
                <w:color w:val="000000"/>
                <w:sz w:val="20"/>
                <w:szCs w:val="20"/>
                <w:lang w:val="es-ES"/>
              </w:rPr>
              <w:t xml:space="preserve">783 </w:t>
            </w:r>
          </w:p>
        </w:tc>
      </w:tr>
      <w:tr w:rsidR="00D71967" w:rsidRPr="000B28CE" w:rsidTr="008B5DF7">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5E0976" w:rsidP="00FA4FBA">
            <w:pPr>
              <w:spacing w:after="0" w:line="240" w:lineRule="auto"/>
              <w:rPr>
                <w:rFonts w:cs="Arial"/>
                <w:color w:val="000000"/>
                <w:sz w:val="20"/>
                <w:szCs w:val="20"/>
                <w:lang w:val="es-ES"/>
              </w:rPr>
            </w:pPr>
            <w:r w:rsidRPr="000B28CE">
              <w:rPr>
                <w:color w:val="000000"/>
                <w:sz w:val="20"/>
                <w:szCs w:val="20"/>
                <w:lang w:val="es-ES"/>
              </w:rPr>
              <w:t>Viajes</w:t>
            </w:r>
            <w:r w:rsidR="00D71967" w:rsidRPr="000B28CE">
              <w:rPr>
                <w:rFonts w:cs="Arial"/>
                <w:color w:val="000000"/>
                <w:sz w:val="20"/>
                <w:szCs w:val="20"/>
                <w:lang w:val="es-ES"/>
              </w:rPr>
              <w:t xml:space="preserve"> </w:t>
            </w:r>
          </w:p>
        </w:tc>
        <w:tc>
          <w:tcPr>
            <w:tcW w:w="2862"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432</w:t>
            </w:r>
            <w:r w:rsidR="005A303F" w:rsidRPr="000B28CE">
              <w:rPr>
                <w:rFonts w:cs="Arial"/>
                <w:color w:val="000000"/>
                <w:sz w:val="20"/>
                <w:szCs w:val="20"/>
                <w:lang w:val="es-ES"/>
              </w:rPr>
              <w:t xml:space="preserve"> </w:t>
            </w:r>
            <w:r w:rsidRPr="000B28CE">
              <w:rPr>
                <w:rFonts w:cs="Arial"/>
                <w:color w:val="000000"/>
                <w:sz w:val="20"/>
                <w:szCs w:val="20"/>
                <w:lang w:val="es-ES"/>
              </w:rPr>
              <w:t xml:space="preserve">313 </w:t>
            </w:r>
          </w:p>
        </w:tc>
      </w:tr>
      <w:tr w:rsidR="00D71967" w:rsidRPr="000B28CE" w:rsidTr="008B5DF7">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5E0976" w:rsidP="00FA4FBA">
            <w:pPr>
              <w:spacing w:after="0" w:line="240" w:lineRule="auto"/>
              <w:rPr>
                <w:rFonts w:cs="Arial"/>
                <w:color w:val="000000"/>
                <w:sz w:val="20"/>
                <w:szCs w:val="20"/>
                <w:lang w:val="es-ES"/>
              </w:rPr>
            </w:pPr>
            <w:r w:rsidRPr="000B28CE">
              <w:rPr>
                <w:color w:val="000000"/>
                <w:sz w:val="20"/>
                <w:szCs w:val="20"/>
                <w:lang w:val="es-ES"/>
              </w:rPr>
              <w:t>Gastos de apoyo a los programas</w:t>
            </w:r>
          </w:p>
        </w:tc>
        <w:tc>
          <w:tcPr>
            <w:tcW w:w="2862"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980</w:t>
            </w:r>
            <w:r w:rsidR="005A303F" w:rsidRPr="000B28CE">
              <w:rPr>
                <w:rFonts w:cs="Arial"/>
                <w:color w:val="000000"/>
                <w:sz w:val="20"/>
                <w:szCs w:val="20"/>
                <w:lang w:val="es-ES"/>
              </w:rPr>
              <w:t xml:space="preserve"> </w:t>
            </w:r>
            <w:r w:rsidRPr="000B28CE">
              <w:rPr>
                <w:rFonts w:cs="Arial"/>
                <w:color w:val="000000"/>
                <w:sz w:val="20"/>
                <w:szCs w:val="20"/>
                <w:lang w:val="es-ES"/>
              </w:rPr>
              <w:t xml:space="preserve">097 </w:t>
            </w:r>
          </w:p>
        </w:tc>
      </w:tr>
      <w:tr w:rsidR="00D71967" w:rsidRPr="000B28CE" w:rsidTr="008B5DF7">
        <w:trPr>
          <w:trHeight w:val="430"/>
          <w:jc w:val="center"/>
        </w:trPr>
        <w:tc>
          <w:tcPr>
            <w:tcW w:w="5500" w:type="dxa"/>
            <w:tcBorders>
              <w:top w:val="nil"/>
              <w:left w:val="single" w:sz="8" w:space="0" w:color="auto"/>
              <w:bottom w:val="single" w:sz="8" w:space="0" w:color="auto"/>
              <w:right w:val="single" w:sz="4" w:space="0" w:color="auto"/>
            </w:tcBorders>
            <w:shd w:val="clear" w:color="auto" w:fill="D9E2F3" w:themeFill="accent1" w:themeFillTint="33"/>
            <w:noWrap/>
            <w:vAlign w:val="center"/>
            <w:hideMark/>
          </w:tcPr>
          <w:p w:rsidR="00D71967" w:rsidRPr="000B28CE" w:rsidRDefault="005E0976" w:rsidP="00FA4FBA">
            <w:pPr>
              <w:spacing w:after="0" w:line="240" w:lineRule="auto"/>
              <w:rPr>
                <w:rFonts w:cs="Arial"/>
                <w:b/>
                <w:bCs/>
                <w:color w:val="000000"/>
                <w:sz w:val="20"/>
                <w:szCs w:val="20"/>
                <w:lang w:val="es-ES"/>
              </w:rPr>
            </w:pPr>
            <w:r w:rsidRPr="000B28CE">
              <w:rPr>
                <w:b/>
                <w:color w:val="000000"/>
                <w:sz w:val="20"/>
                <w:szCs w:val="20"/>
                <w:lang w:val="es-ES"/>
              </w:rPr>
              <w:t>Total general que deberá ser compartido por las Partes</w:t>
            </w:r>
          </w:p>
        </w:tc>
        <w:tc>
          <w:tcPr>
            <w:tcW w:w="2862" w:type="dxa"/>
            <w:tcBorders>
              <w:top w:val="nil"/>
              <w:left w:val="nil"/>
              <w:bottom w:val="single" w:sz="8" w:space="0" w:color="auto"/>
              <w:right w:val="single" w:sz="8" w:space="0" w:color="auto"/>
            </w:tcBorders>
            <w:shd w:val="clear" w:color="auto" w:fill="D9E2F3" w:themeFill="accent1" w:themeFillTint="33"/>
            <w:noWrap/>
            <w:vAlign w:val="center"/>
          </w:tcPr>
          <w:p w:rsidR="00D71967" w:rsidRPr="000B28CE" w:rsidRDefault="00D71967" w:rsidP="00FA4FBA">
            <w:pPr>
              <w:spacing w:after="0" w:line="240" w:lineRule="auto"/>
              <w:jc w:val="right"/>
              <w:rPr>
                <w:rFonts w:cs="Arial"/>
                <w:b/>
                <w:color w:val="000000"/>
                <w:sz w:val="20"/>
                <w:szCs w:val="20"/>
                <w:lang w:val="es-ES"/>
              </w:rPr>
            </w:pPr>
            <w:r w:rsidRPr="000B28CE">
              <w:rPr>
                <w:rFonts w:cs="Arial"/>
                <w:b/>
                <w:color w:val="000000"/>
                <w:sz w:val="20"/>
                <w:szCs w:val="20"/>
                <w:lang w:val="es-ES"/>
              </w:rPr>
              <w:t xml:space="preserve"> 8</w:t>
            </w:r>
            <w:r w:rsidR="005A303F" w:rsidRPr="000B28CE">
              <w:rPr>
                <w:rFonts w:cs="Arial"/>
                <w:b/>
                <w:color w:val="000000"/>
                <w:sz w:val="20"/>
                <w:szCs w:val="20"/>
                <w:lang w:val="es-ES"/>
              </w:rPr>
              <w:t xml:space="preserve"> </w:t>
            </w:r>
            <w:r w:rsidRPr="000B28CE">
              <w:rPr>
                <w:rFonts w:cs="Arial"/>
                <w:b/>
                <w:color w:val="000000"/>
                <w:sz w:val="20"/>
                <w:szCs w:val="20"/>
                <w:lang w:val="es-ES"/>
              </w:rPr>
              <w:t>519</w:t>
            </w:r>
            <w:r w:rsidR="005A303F" w:rsidRPr="000B28CE">
              <w:rPr>
                <w:rFonts w:cs="Arial"/>
                <w:b/>
                <w:color w:val="000000"/>
                <w:sz w:val="20"/>
                <w:szCs w:val="20"/>
                <w:lang w:val="es-ES"/>
              </w:rPr>
              <w:t xml:space="preserve"> </w:t>
            </w:r>
            <w:r w:rsidRPr="000B28CE">
              <w:rPr>
                <w:rFonts w:cs="Arial"/>
                <w:b/>
                <w:color w:val="000000"/>
                <w:sz w:val="20"/>
                <w:szCs w:val="20"/>
                <w:lang w:val="es-ES"/>
              </w:rPr>
              <w:t xml:space="preserve">304 </w:t>
            </w:r>
          </w:p>
        </w:tc>
      </w:tr>
      <w:bookmarkEnd w:id="2"/>
    </w:tbl>
    <w:p w:rsidR="00D71967" w:rsidRPr="000B28CE" w:rsidRDefault="00D71967" w:rsidP="00FA4FBA">
      <w:pPr>
        <w:pStyle w:val="NoSpacing"/>
        <w:jc w:val="both"/>
        <w:rPr>
          <w:rFonts w:ascii="Arial" w:hAnsi="Arial" w:cs="Arial"/>
          <w:b/>
          <w:lang w:val="es-ES"/>
        </w:rPr>
      </w:pPr>
    </w:p>
    <w:p w:rsidR="00D71967" w:rsidRPr="000B28CE" w:rsidRDefault="005E0976" w:rsidP="00FA4FBA">
      <w:pPr>
        <w:pStyle w:val="NoSpacing"/>
        <w:jc w:val="both"/>
        <w:rPr>
          <w:rFonts w:ascii="Arial" w:hAnsi="Arial" w:cs="Arial"/>
          <w:b/>
          <w:lang w:val="es-ES"/>
        </w:rPr>
      </w:pPr>
      <w:r w:rsidRPr="000B28CE">
        <w:rPr>
          <w:rFonts w:ascii="Arial" w:hAnsi="Arial" w:cs="Arial"/>
          <w:b/>
          <w:lang w:val="es-ES"/>
        </w:rPr>
        <w:t>Es</w:t>
      </w:r>
      <w:r w:rsidR="00D71967" w:rsidRPr="000B28CE">
        <w:rPr>
          <w:rFonts w:ascii="Arial" w:hAnsi="Arial" w:cs="Arial"/>
          <w:b/>
          <w:lang w:val="es-ES"/>
        </w:rPr>
        <w:t xml:space="preserve">cenario </w:t>
      </w:r>
      <w:r w:rsidR="00620956" w:rsidRPr="000B28CE">
        <w:rPr>
          <w:rFonts w:ascii="Arial" w:hAnsi="Arial" w:cs="Arial"/>
          <w:b/>
          <w:lang w:val="es-ES"/>
        </w:rPr>
        <w:t>3</w:t>
      </w:r>
      <w:r w:rsidR="00D71967" w:rsidRPr="000B28CE">
        <w:rPr>
          <w:rFonts w:ascii="Arial" w:hAnsi="Arial" w:cs="Arial"/>
          <w:b/>
          <w:lang w:val="es-ES"/>
        </w:rPr>
        <w:t xml:space="preserve">: </w:t>
      </w:r>
      <w:r w:rsidR="00A35E4D" w:rsidRPr="000B28CE">
        <w:rPr>
          <w:rFonts w:ascii="Arial" w:hAnsi="Arial" w:cs="Arial"/>
          <w:b/>
          <w:lang w:val="es-ES"/>
        </w:rPr>
        <w:t>Fortalecimiento de la capacidad de la Secretaría</w:t>
      </w:r>
    </w:p>
    <w:p w:rsidR="00A35E4D" w:rsidRPr="000B28CE" w:rsidRDefault="00A35E4D" w:rsidP="00FA4FBA">
      <w:pPr>
        <w:pStyle w:val="NoSpacing"/>
        <w:jc w:val="both"/>
        <w:rPr>
          <w:rFonts w:ascii="Arial" w:hAnsi="Arial" w:cs="Arial"/>
          <w:b/>
          <w:lang w:val="es-ES"/>
        </w:rPr>
      </w:pPr>
    </w:p>
    <w:p w:rsidR="00620956" w:rsidRPr="000B28CE" w:rsidRDefault="005E0976" w:rsidP="00FA4FBA">
      <w:pPr>
        <w:pStyle w:val="Firstnumbering1"/>
      </w:pPr>
      <w:r w:rsidRPr="000B28CE">
        <w:t xml:space="preserve">El Escenario </w:t>
      </w:r>
      <w:r w:rsidR="00620956" w:rsidRPr="000B28CE">
        <w:t>3</w:t>
      </w:r>
      <w:r w:rsidRPr="000B28CE">
        <w:t xml:space="preserve"> se basa en el Escenario </w:t>
      </w:r>
      <w:r w:rsidR="00620956" w:rsidRPr="000B28CE">
        <w:t>2</w:t>
      </w:r>
      <w:r w:rsidR="00AB4A01" w:rsidRPr="000B28CE">
        <w:t xml:space="preserve"> </w:t>
      </w:r>
      <w:r w:rsidRPr="000B28CE">
        <w:t>con la adición de fondos para</w:t>
      </w:r>
      <w:r w:rsidR="00D71967" w:rsidRPr="000B28CE">
        <w:t xml:space="preserve"> </w:t>
      </w:r>
      <w:r w:rsidR="00A35E4D" w:rsidRPr="000B28CE">
        <w:t>fortalecer la capacidad de la Secretaría</w:t>
      </w:r>
      <w:r w:rsidR="00D71967" w:rsidRPr="000B28CE">
        <w:t xml:space="preserve">. </w:t>
      </w:r>
      <w:r w:rsidR="00620956" w:rsidRPr="000B28CE">
        <w:t>Como se indica en los párrafos 8 y 9supra, la Secretaría no puede cumplir sus mandatos básicos actuales y las necesidades previstas para el período 2021-2023 con su personal de planta actual. Por consiguiente, el escenario 3 tiene por objeto proporcionar un aumento modesto y eficaz en función de los costos (1,66 para los puestos del cuadro orgánico y 2 para los puestos de apoyo general) al contingente actual de personal.  A continuación, se presenta un resumen de los cambios propuestos y su justificación; en el Anexo 2 se ofrecen más detalles al respecto.</w:t>
      </w:r>
    </w:p>
    <w:p w:rsidR="00620956" w:rsidRPr="000B28CE" w:rsidRDefault="00620956" w:rsidP="00620956">
      <w:pPr>
        <w:pStyle w:val="Firstnumbering1"/>
        <w:numPr>
          <w:ilvl w:val="0"/>
          <w:numId w:val="0"/>
        </w:numPr>
        <w:ind w:left="567"/>
      </w:pPr>
    </w:p>
    <w:p w:rsidR="00620956" w:rsidRPr="000B28CE" w:rsidRDefault="00620956" w:rsidP="00FA4FBA">
      <w:pPr>
        <w:pStyle w:val="Firstnumbering1"/>
      </w:pPr>
      <w:r w:rsidRPr="000B28CE">
        <w:t>El Equipo de Aves cuenta actualmente con un solo puesto de personal P (P4) (actualmente vacante), que es insuficiente para satisfacer las demandas programáticas.  El personal del Equipo Acuático P se dedica en gran medida a instrumentos específicos, con poco tiempo de personal disponible para los mandatos básicos de la CMS; además del jefe de unidad (P4, con un 15 por ciento cubierto por el Acuerdo sobre la Conservación de los Pequeños Cetáceos del Mar Báltico, el Atlántico Nororiental, Irlanda y el Mar del Norte), sólo el 20 por ciento de un P3, y el 25 por ciento de un P2, está asignado a la CMS. El Equipo Terrestre cuenta actualmente con un P4, un P2 a tiempo completo y un P2 al 50%. Por lo tanto, el Escenario 3 propone establecer un Oficial Asociado de Programa a tiempo completo para el Equipo de Especies de aves (P2) y un Oficial Asociado de Programa a tiempo parcial para el Equipo de Especies Acuáticas (P2).</w:t>
      </w:r>
    </w:p>
    <w:p w:rsidR="00620956" w:rsidRPr="000B28CE" w:rsidRDefault="00620956" w:rsidP="00620956">
      <w:pPr>
        <w:pStyle w:val="ListParagraph"/>
        <w:rPr>
          <w:lang w:val="es-ES"/>
        </w:rPr>
      </w:pPr>
    </w:p>
    <w:p w:rsidR="00B40E74" w:rsidRPr="000B28CE" w:rsidRDefault="00B40E74" w:rsidP="00B40E74">
      <w:pPr>
        <w:pStyle w:val="Firstnumbering1"/>
      </w:pPr>
      <w:r w:rsidRPr="000B28CE">
        <w:t>En segundo lugar, la Unidad de Servicios de Conferencias carece actualmente de un editor/escritor dedicado, lo que, dado el enorme número de documentos producidos para las reuniones de la CMS y su familia de acuerdos, no es sostenible. Por consiguiente, la Secretaría propone crear un puesto de editor a tiempo completo (SG-5) en la Unidad de Servicios de Conferencias. En otras secretarías de los Acuerdos Multilaterales de Medioambiente, ese puesto suele ser de categoría profesional.</w:t>
      </w:r>
    </w:p>
    <w:p w:rsidR="00B40E74" w:rsidRPr="000B28CE" w:rsidRDefault="00B40E74" w:rsidP="00B40E74">
      <w:pPr>
        <w:pStyle w:val="Firstnumbering1"/>
        <w:numPr>
          <w:ilvl w:val="0"/>
          <w:numId w:val="0"/>
        </w:numPr>
        <w:ind w:left="567"/>
      </w:pPr>
    </w:p>
    <w:p w:rsidR="00B40E74" w:rsidRPr="000B28CE" w:rsidRDefault="00B40E74" w:rsidP="00B40E74">
      <w:pPr>
        <w:pStyle w:val="Firstnumbering1"/>
      </w:pPr>
      <w:r w:rsidRPr="000B28CE">
        <w:t>En tercer lugar, si bien la Unidad conjunta CMS-AEWA de Gestión de la Información, Comunicación y Sensibilización (IMCA) funciona bien, la asignación de tiempo entre las dos Secretarías indica la necesidad de apoyo adicional por parte de la CMS. Por consiguiente, la Secretaría propone reclasificar el actual puesto de Oficial Adjunto de Información (Coordinador del IMCA) de categoría P2 a la categoría P3, ya que las responsabilidades del puesto superan con creces las que se suelen asignar a un oficial de categoría P2.  Como esta propuesta sería neutral en cuanto a costos para AEWA y produciría sinergias significativas para la Familia CMS, se espera que las Partes de AEWA la apoyen. Además, la Secretaría propone aumentar la ocupación del puesto de un auxiliar de información a tiempo parcial en la Unidad IMCA al 100 por ciento, con lo que la CMS cubriría un aumento del 50 por ciento.</w:t>
      </w:r>
    </w:p>
    <w:p w:rsidR="00B40E74" w:rsidRPr="000B28CE" w:rsidRDefault="00B40E74" w:rsidP="00CE17E7">
      <w:pPr>
        <w:pStyle w:val="Firstnumbering1"/>
        <w:numPr>
          <w:ilvl w:val="0"/>
          <w:numId w:val="0"/>
        </w:numPr>
        <w:ind w:left="567"/>
      </w:pPr>
    </w:p>
    <w:p w:rsidR="00CE17E7" w:rsidRPr="000B28CE" w:rsidRDefault="00CE17E7" w:rsidP="00CE17E7">
      <w:pPr>
        <w:pStyle w:val="Firstnumbering1"/>
      </w:pPr>
      <w:r w:rsidRPr="000B28CE">
        <w:t xml:space="preserve">Por último, un número significativo del personal administrativo del Cuadro de Servicios Generales (SG) sólo trabaja a tiempo parcial, con el resultado de que el apoyo a las distintas unidades de especies es insuficiente. Por lo tanto, en la Hipótesis 3 se propone aumentar la ocupación de un puesto del cuadro de servicios generales 4 en la Unidad de Servicios de Conferencias del 50% al 100% a fin de prestar el apoyo necesario a los equipos de especies y liberar tiempo del personal profesional que de otro modo se dedicaría a cuestiones administrativas. </w:t>
      </w:r>
    </w:p>
    <w:p w:rsidR="00CE17E7" w:rsidRPr="000B28CE" w:rsidRDefault="00CE17E7" w:rsidP="00CE17E7">
      <w:pPr>
        <w:pStyle w:val="Firstnumbering1"/>
        <w:numPr>
          <w:ilvl w:val="0"/>
          <w:numId w:val="0"/>
        </w:numPr>
        <w:ind w:left="567"/>
      </w:pPr>
    </w:p>
    <w:p w:rsidR="00CE17E7" w:rsidRPr="000B28CE" w:rsidRDefault="00CE17E7" w:rsidP="00CE17E7">
      <w:pPr>
        <w:pStyle w:val="Firstnumbering1"/>
      </w:pPr>
      <w:r w:rsidRPr="000B28CE">
        <w:t>El uso previsto de los fondos solicitados es el siguiente:</w:t>
      </w:r>
    </w:p>
    <w:p w:rsidR="00CE17E7" w:rsidRPr="000B28CE" w:rsidRDefault="00CE17E7" w:rsidP="00CE17E7">
      <w:pPr>
        <w:pStyle w:val="ListParagraph"/>
        <w:spacing w:after="0" w:line="240" w:lineRule="auto"/>
        <w:rPr>
          <w:lang w:val="es-ES"/>
        </w:rPr>
      </w:pPr>
    </w:p>
    <w:p w:rsidR="00CE17E7" w:rsidRPr="000B28CE" w:rsidRDefault="00CE17E7" w:rsidP="00CE17E7">
      <w:pPr>
        <w:widowControl w:val="0"/>
        <w:numPr>
          <w:ilvl w:val="0"/>
          <w:numId w:val="16"/>
        </w:numPr>
        <w:tabs>
          <w:tab w:val="left" w:pos="567"/>
        </w:tabs>
        <w:autoSpaceDE w:val="0"/>
        <w:autoSpaceDN w:val="0"/>
        <w:adjustRightInd w:val="0"/>
        <w:spacing w:after="0" w:line="240" w:lineRule="auto"/>
        <w:ind w:left="851" w:hanging="284"/>
        <w:contextualSpacing/>
        <w:jc w:val="both"/>
        <w:rPr>
          <w:rFonts w:cs="Arial"/>
          <w:lang w:val="es-ES"/>
        </w:rPr>
      </w:pPr>
      <w:r w:rsidRPr="000B28CE">
        <w:rPr>
          <w:rFonts w:cs="Arial"/>
          <w:lang w:val="es-ES"/>
        </w:rPr>
        <w:t xml:space="preserve">Un puesto a tiempo completo de Oficial Asociado de Programas en la Unidad de Especies de Aves (P2) </w:t>
      </w:r>
    </w:p>
    <w:p w:rsidR="00CE17E7" w:rsidRPr="000B28CE" w:rsidRDefault="00CE17E7" w:rsidP="00CE17E7">
      <w:pPr>
        <w:widowControl w:val="0"/>
        <w:numPr>
          <w:ilvl w:val="0"/>
          <w:numId w:val="16"/>
        </w:numPr>
        <w:tabs>
          <w:tab w:val="left" w:pos="567"/>
        </w:tabs>
        <w:autoSpaceDE w:val="0"/>
        <w:autoSpaceDN w:val="0"/>
        <w:adjustRightInd w:val="0"/>
        <w:spacing w:after="0" w:line="240" w:lineRule="auto"/>
        <w:ind w:left="851" w:hanging="284"/>
        <w:contextualSpacing/>
        <w:jc w:val="both"/>
        <w:rPr>
          <w:rFonts w:cs="Arial"/>
          <w:lang w:val="es-ES"/>
        </w:rPr>
      </w:pPr>
      <w:r w:rsidRPr="000B28CE">
        <w:rPr>
          <w:rFonts w:cs="Arial"/>
          <w:lang w:val="es-ES"/>
        </w:rPr>
        <w:t>Un puesto a tiempo parcial de Oficial Asociado de Programas (50 por ciento) en la unidad de Especies Acuáticas (P2).</w:t>
      </w:r>
    </w:p>
    <w:p w:rsidR="00CE17E7" w:rsidRPr="000B28CE" w:rsidRDefault="00CE17E7" w:rsidP="00CE17E7">
      <w:pPr>
        <w:widowControl w:val="0"/>
        <w:numPr>
          <w:ilvl w:val="0"/>
          <w:numId w:val="16"/>
        </w:numPr>
        <w:tabs>
          <w:tab w:val="left" w:pos="567"/>
        </w:tabs>
        <w:autoSpaceDE w:val="0"/>
        <w:autoSpaceDN w:val="0"/>
        <w:adjustRightInd w:val="0"/>
        <w:spacing w:after="0" w:line="240" w:lineRule="auto"/>
        <w:ind w:left="851" w:hanging="284"/>
        <w:contextualSpacing/>
        <w:jc w:val="both"/>
        <w:rPr>
          <w:rFonts w:cs="Arial"/>
          <w:lang w:val="es-ES"/>
        </w:rPr>
      </w:pPr>
      <w:r w:rsidRPr="000B28CE">
        <w:rPr>
          <w:rFonts w:cs="Arial"/>
          <w:lang w:val="es-ES"/>
        </w:rPr>
        <w:t>Un puesto de Editor a tiempo completo (GS5)</w:t>
      </w:r>
    </w:p>
    <w:p w:rsidR="00F46D3A" w:rsidRPr="000B28CE" w:rsidRDefault="00F46D3A" w:rsidP="00CE17E7">
      <w:pPr>
        <w:widowControl w:val="0"/>
        <w:numPr>
          <w:ilvl w:val="0"/>
          <w:numId w:val="16"/>
        </w:numPr>
        <w:tabs>
          <w:tab w:val="left" w:pos="567"/>
        </w:tabs>
        <w:autoSpaceDE w:val="0"/>
        <w:autoSpaceDN w:val="0"/>
        <w:adjustRightInd w:val="0"/>
        <w:spacing w:after="0" w:line="240" w:lineRule="auto"/>
        <w:ind w:left="851" w:hanging="284"/>
        <w:contextualSpacing/>
        <w:jc w:val="both"/>
        <w:rPr>
          <w:rFonts w:cs="Arial"/>
          <w:lang w:val="es-ES"/>
        </w:rPr>
      </w:pPr>
      <w:r w:rsidRPr="000B28CE">
        <w:rPr>
          <w:rFonts w:cs="Arial"/>
          <w:lang w:val="es-ES"/>
        </w:rPr>
        <w:t>Ascenso de la posición del Coordinador de Comunicación e Información de P2 a P3.</w:t>
      </w:r>
    </w:p>
    <w:p w:rsidR="00F46D3A" w:rsidRPr="000B28CE" w:rsidRDefault="00F46D3A" w:rsidP="00F46D3A">
      <w:pPr>
        <w:widowControl w:val="0"/>
        <w:numPr>
          <w:ilvl w:val="0"/>
          <w:numId w:val="16"/>
        </w:numPr>
        <w:tabs>
          <w:tab w:val="left" w:pos="567"/>
        </w:tabs>
        <w:autoSpaceDE w:val="0"/>
        <w:autoSpaceDN w:val="0"/>
        <w:adjustRightInd w:val="0"/>
        <w:spacing w:after="0" w:line="240" w:lineRule="auto"/>
        <w:ind w:left="851" w:hanging="284"/>
        <w:contextualSpacing/>
        <w:jc w:val="both"/>
        <w:rPr>
          <w:rFonts w:cs="Arial"/>
          <w:lang w:val="es-ES"/>
        </w:rPr>
      </w:pPr>
      <w:r w:rsidRPr="000B28CE">
        <w:rPr>
          <w:rFonts w:cs="Arial"/>
          <w:lang w:val="es-ES"/>
        </w:rPr>
        <w:t xml:space="preserve">Un asistente de información a tiempo parcial en la categoría GS5 del Equipo de Información, Gestión y Comunicación (compartido al 50 por ciento con la Secretaría del AEWA). </w:t>
      </w:r>
    </w:p>
    <w:p w:rsidR="00F46D3A" w:rsidRPr="000B28CE" w:rsidRDefault="00F46D3A" w:rsidP="00F46D3A">
      <w:pPr>
        <w:widowControl w:val="0"/>
        <w:numPr>
          <w:ilvl w:val="0"/>
          <w:numId w:val="16"/>
        </w:numPr>
        <w:tabs>
          <w:tab w:val="left" w:pos="567"/>
        </w:tabs>
        <w:autoSpaceDE w:val="0"/>
        <w:autoSpaceDN w:val="0"/>
        <w:adjustRightInd w:val="0"/>
        <w:spacing w:after="0" w:line="240" w:lineRule="auto"/>
        <w:ind w:left="851" w:hanging="284"/>
        <w:contextualSpacing/>
        <w:jc w:val="both"/>
        <w:rPr>
          <w:rFonts w:cs="Arial"/>
          <w:lang w:val="es-ES"/>
        </w:rPr>
      </w:pPr>
      <w:r w:rsidRPr="000B28CE">
        <w:rPr>
          <w:rFonts w:cs="Arial"/>
          <w:lang w:val="es-ES"/>
        </w:rPr>
        <w:t>Un incremento del 50 por ciento de una posición de GS4 en la Unidad de Servicios de Conferencia (50 por ciento a 100 por ciento)</w:t>
      </w:r>
    </w:p>
    <w:p w:rsidR="00F46D3A" w:rsidRPr="000B28CE" w:rsidRDefault="00F46D3A">
      <w:pPr>
        <w:rPr>
          <w:rFonts w:cs="Arial"/>
          <w:lang w:val="es-ES"/>
        </w:rPr>
      </w:pPr>
      <w:r w:rsidRPr="000B28CE">
        <w:rPr>
          <w:rFonts w:cs="Arial"/>
          <w:lang w:val="es-ES"/>
        </w:rPr>
        <w:br w:type="page"/>
      </w:r>
    </w:p>
    <w:p w:rsidR="00F46D3A" w:rsidRPr="000B28CE" w:rsidRDefault="00F46D3A" w:rsidP="00F46D3A">
      <w:pPr>
        <w:widowControl w:val="0"/>
        <w:tabs>
          <w:tab w:val="left" w:pos="567"/>
        </w:tabs>
        <w:autoSpaceDE w:val="0"/>
        <w:autoSpaceDN w:val="0"/>
        <w:adjustRightInd w:val="0"/>
        <w:spacing w:after="0" w:line="240" w:lineRule="auto"/>
        <w:ind w:left="851"/>
        <w:contextualSpacing/>
        <w:jc w:val="both"/>
        <w:rPr>
          <w:rFonts w:cs="Arial"/>
          <w:lang w:val="es-ES"/>
        </w:rPr>
      </w:pPr>
    </w:p>
    <w:tbl>
      <w:tblPr>
        <w:tblW w:w="8370" w:type="dxa"/>
        <w:tblInd w:w="800" w:type="dxa"/>
        <w:tblLook w:val="04A0" w:firstRow="1" w:lastRow="0" w:firstColumn="1" w:lastColumn="0" w:noHBand="0" w:noVBand="1"/>
      </w:tblPr>
      <w:tblGrid>
        <w:gridCol w:w="6120"/>
        <w:gridCol w:w="2250"/>
      </w:tblGrid>
      <w:tr w:rsidR="00F46D3A" w:rsidRPr="00D41851" w:rsidTr="00D5794F">
        <w:trPr>
          <w:trHeight w:val="511"/>
        </w:trPr>
        <w:tc>
          <w:tcPr>
            <w:tcW w:w="837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rsidR="00F46D3A" w:rsidRPr="000B28CE" w:rsidRDefault="00F46D3A" w:rsidP="00D5794F">
            <w:pPr>
              <w:spacing w:after="0" w:line="240" w:lineRule="auto"/>
              <w:rPr>
                <w:rFonts w:eastAsia="Times New Roman" w:cs="Arial"/>
                <w:b/>
                <w:bCs/>
                <w:color w:val="000000"/>
                <w:sz w:val="20"/>
                <w:szCs w:val="20"/>
                <w:lang w:val="es-ES"/>
              </w:rPr>
            </w:pPr>
            <w:r w:rsidRPr="000B28CE">
              <w:rPr>
                <w:b/>
                <w:color w:val="000000"/>
                <w:sz w:val="20"/>
                <w:szCs w:val="20"/>
                <w:lang w:val="es-ES"/>
              </w:rPr>
              <w:t xml:space="preserve">Costos totales por categoría para el período </w:t>
            </w:r>
            <w:r w:rsidRPr="000B28CE">
              <w:rPr>
                <w:rFonts w:cs="Arial"/>
                <w:b/>
                <w:bCs/>
                <w:color w:val="000000"/>
                <w:sz w:val="20"/>
                <w:szCs w:val="20"/>
                <w:lang w:val="es-ES"/>
              </w:rPr>
              <w:t xml:space="preserve">2021-2023 </w:t>
            </w:r>
            <w:r w:rsidRPr="000B28CE">
              <w:rPr>
                <w:b/>
                <w:color w:val="000000"/>
                <w:sz w:val="20"/>
                <w:szCs w:val="20"/>
                <w:lang w:val="es-ES"/>
              </w:rPr>
              <w:t>(en euros)</w:t>
            </w:r>
          </w:p>
        </w:tc>
      </w:tr>
      <w:tr w:rsidR="00F46D3A" w:rsidRPr="000B28CE" w:rsidTr="00D5794F">
        <w:trPr>
          <w:trHeight w:val="278"/>
        </w:trPr>
        <w:tc>
          <w:tcPr>
            <w:tcW w:w="6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6D3A" w:rsidRPr="000B28CE" w:rsidRDefault="00F46D3A" w:rsidP="00D5794F">
            <w:pPr>
              <w:spacing w:after="0" w:line="240" w:lineRule="auto"/>
              <w:rPr>
                <w:rFonts w:eastAsia="Times New Roman" w:cs="Arial"/>
                <w:color w:val="FF0000"/>
                <w:sz w:val="20"/>
                <w:szCs w:val="20"/>
                <w:lang w:val="es-ES"/>
              </w:rPr>
            </w:pPr>
            <w:r w:rsidRPr="000B28CE">
              <w:rPr>
                <w:color w:val="FF0000"/>
                <w:sz w:val="20"/>
                <w:szCs w:val="20"/>
                <w:lang w:val="es-ES"/>
              </w:rPr>
              <w:t>Personal</w:t>
            </w:r>
            <w:r w:rsidRPr="000B28CE">
              <w:rPr>
                <w:rFonts w:eastAsia="Times New Roman" w:cs="Arial"/>
                <w:color w:val="FF0000"/>
                <w:sz w:val="20"/>
                <w:szCs w:val="20"/>
                <w:lang w:val="es-ES"/>
              </w:rPr>
              <w:t xml:space="preserve"> </w:t>
            </w:r>
          </w:p>
        </w:tc>
        <w:tc>
          <w:tcPr>
            <w:tcW w:w="2250" w:type="dxa"/>
            <w:tcBorders>
              <w:top w:val="single" w:sz="8" w:space="0" w:color="auto"/>
              <w:left w:val="nil"/>
              <w:bottom w:val="single" w:sz="4" w:space="0" w:color="auto"/>
              <w:right w:val="single" w:sz="8" w:space="0" w:color="auto"/>
            </w:tcBorders>
            <w:shd w:val="clear" w:color="auto" w:fill="auto"/>
            <w:noWrap/>
            <w:vAlign w:val="center"/>
          </w:tcPr>
          <w:p w:rsidR="00F46D3A" w:rsidRPr="000B28CE" w:rsidRDefault="00F46D3A" w:rsidP="00D5794F">
            <w:pPr>
              <w:spacing w:after="0" w:line="240" w:lineRule="auto"/>
              <w:jc w:val="right"/>
              <w:rPr>
                <w:rFonts w:eastAsia="Times New Roman" w:cs="Arial"/>
                <w:color w:val="FF0000"/>
                <w:sz w:val="20"/>
                <w:szCs w:val="20"/>
                <w:lang w:val="es-ES"/>
              </w:rPr>
            </w:pPr>
            <w:r w:rsidRPr="000B28CE">
              <w:rPr>
                <w:rFonts w:cs="Arial"/>
                <w:color w:val="FF0000"/>
                <w:sz w:val="20"/>
                <w:szCs w:val="20"/>
                <w:lang w:val="es-ES"/>
              </w:rPr>
              <w:t xml:space="preserve"> 6 930 356 </w:t>
            </w:r>
          </w:p>
        </w:tc>
      </w:tr>
      <w:tr w:rsidR="00F46D3A" w:rsidRPr="000B28CE" w:rsidTr="00D5794F">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rsidR="00F46D3A" w:rsidRPr="000B28CE" w:rsidRDefault="00F46D3A" w:rsidP="00D5794F">
            <w:pPr>
              <w:spacing w:after="0" w:line="240" w:lineRule="auto"/>
              <w:rPr>
                <w:rFonts w:eastAsia="Times New Roman" w:cs="Arial"/>
                <w:color w:val="000000"/>
                <w:sz w:val="20"/>
                <w:szCs w:val="20"/>
                <w:lang w:val="es-ES"/>
              </w:rPr>
            </w:pPr>
            <w:r w:rsidRPr="000B28CE">
              <w:rPr>
                <w:color w:val="000000"/>
                <w:sz w:val="20"/>
                <w:szCs w:val="20"/>
                <w:lang w:val="es-ES"/>
              </w:rPr>
              <w:t>Servicios contractuales</w:t>
            </w:r>
          </w:p>
        </w:tc>
        <w:tc>
          <w:tcPr>
            <w:tcW w:w="2250" w:type="dxa"/>
            <w:tcBorders>
              <w:top w:val="nil"/>
              <w:left w:val="nil"/>
              <w:bottom w:val="single" w:sz="4" w:space="0" w:color="auto"/>
              <w:right w:val="single" w:sz="8" w:space="0" w:color="auto"/>
            </w:tcBorders>
            <w:shd w:val="clear" w:color="auto" w:fill="auto"/>
            <w:noWrap/>
            <w:vAlign w:val="center"/>
          </w:tcPr>
          <w:p w:rsidR="00F46D3A" w:rsidRPr="000B28CE" w:rsidRDefault="00F46D3A" w:rsidP="00D5794F">
            <w:pPr>
              <w:spacing w:after="0" w:line="240" w:lineRule="auto"/>
              <w:jc w:val="right"/>
              <w:rPr>
                <w:rFonts w:eastAsia="Times New Roman" w:cs="Arial"/>
                <w:color w:val="000000"/>
                <w:sz w:val="20"/>
                <w:szCs w:val="20"/>
                <w:lang w:val="es-ES"/>
              </w:rPr>
            </w:pPr>
            <w:r w:rsidRPr="000B28CE">
              <w:rPr>
                <w:rFonts w:cs="Arial"/>
                <w:sz w:val="20"/>
                <w:szCs w:val="20"/>
                <w:lang w:val="es-ES"/>
              </w:rPr>
              <w:t xml:space="preserve"> 660 117 </w:t>
            </w:r>
          </w:p>
        </w:tc>
      </w:tr>
      <w:tr w:rsidR="00F46D3A" w:rsidRPr="000B28CE" w:rsidTr="00D5794F">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rsidR="00F46D3A" w:rsidRPr="000B28CE" w:rsidRDefault="00F46D3A" w:rsidP="00D5794F">
            <w:pPr>
              <w:spacing w:after="0" w:line="240" w:lineRule="auto"/>
              <w:rPr>
                <w:rFonts w:eastAsia="Times New Roman" w:cs="Arial"/>
                <w:color w:val="000000"/>
                <w:sz w:val="20"/>
                <w:szCs w:val="20"/>
                <w:lang w:val="es-ES"/>
              </w:rPr>
            </w:pPr>
            <w:r w:rsidRPr="000B28CE">
              <w:rPr>
                <w:color w:val="000000"/>
                <w:sz w:val="20"/>
                <w:szCs w:val="20"/>
                <w:lang w:val="es-ES"/>
              </w:rPr>
              <w:t>Gastos de funcionamiento</w:t>
            </w:r>
          </w:p>
        </w:tc>
        <w:tc>
          <w:tcPr>
            <w:tcW w:w="2250" w:type="dxa"/>
            <w:tcBorders>
              <w:top w:val="nil"/>
              <w:left w:val="nil"/>
              <w:bottom w:val="single" w:sz="4" w:space="0" w:color="auto"/>
              <w:right w:val="single" w:sz="8" w:space="0" w:color="auto"/>
            </w:tcBorders>
            <w:shd w:val="clear" w:color="auto" w:fill="auto"/>
            <w:noWrap/>
            <w:vAlign w:val="center"/>
          </w:tcPr>
          <w:p w:rsidR="00F46D3A" w:rsidRPr="000B28CE" w:rsidRDefault="00F46D3A" w:rsidP="00D5794F">
            <w:pPr>
              <w:spacing w:after="0" w:line="240" w:lineRule="auto"/>
              <w:jc w:val="right"/>
              <w:rPr>
                <w:rFonts w:eastAsia="Times New Roman" w:cs="Arial"/>
                <w:color w:val="000000"/>
                <w:sz w:val="20"/>
                <w:szCs w:val="20"/>
                <w:lang w:val="es-ES"/>
              </w:rPr>
            </w:pPr>
            <w:r w:rsidRPr="000B28CE">
              <w:rPr>
                <w:rFonts w:cs="Arial"/>
                <w:sz w:val="20"/>
                <w:szCs w:val="20"/>
                <w:lang w:val="es-ES"/>
              </w:rPr>
              <w:t xml:space="preserve"> 420 632 </w:t>
            </w:r>
          </w:p>
        </w:tc>
      </w:tr>
      <w:tr w:rsidR="00F46D3A" w:rsidRPr="000B28CE" w:rsidTr="00D5794F">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rsidR="00F46D3A" w:rsidRPr="000B28CE" w:rsidRDefault="00F46D3A" w:rsidP="00D5794F">
            <w:pPr>
              <w:spacing w:after="0" w:line="240" w:lineRule="auto"/>
              <w:rPr>
                <w:rFonts w:eastAsia="Times New Roman" w:cs="Arial"/>
                <w:color w:val="000000"/>
                <w:sz w:val="20"/>
                <w:szCs w:val="20"/>
                <w:lang w:val="es-ES"/>
              </w:rPr>
            </w:pPr>
            <w:r w:rsidRPr="000B28CE">
              <w:rPr>
                <w:color w:val="000000"/>
                <w:sz w:val="20"/>
                <w:szCs w:val="20"/>
                <w:lang w:val="es-ES"/>
              </w:rPr>
              <w:t>Suministro</w:t>
            </w:r>
          </w:p>
        </w:tc>
        <w:tc>
          <w:tcPr>
            <w:tcW w:w="2250" w:type="dxa"/>
            <w:tcBorders>
              <w:top w:val="nil"/>
              <w:left w:val="nil"/>
              <w:bottom w:val="single" w:sz="4" w:space="0" w:color="auto"/>
              <w:right w:val="single" w:sz="8" w:space="0" w:color="auto"/>
            </w:tcBorders>
            <w:shd w:val="clear" w:color="auto" w:fill="auto"/>
            <w:noWrap/>
            <w:vAlign w:val="center"/>
          </w:tcPr>
          <w:p w:rsidR="00F46D3A" w:rsidRPr="000B28CE" w:rsidRDefault="00F46D3A" w:rsidP="00D5794F">
            <w:pPr>
              <w:spacing w:after="0" w:line="240" w:lineRule="auto"/>
              <w:jc w:val="right"/>
              <w:rPr>
                <w:rFonts w:eastAsia="Times New Roman" w:cs="Arial"/>
                <w:color w:val="000000"/>
                <w:sz w:val="20"/>
                <w:szCs w:val="20"/>
                <w:lang w:val="es-ES"/>
              </w:rPr>
            </w:pPr>
            <w:r w:rsidRPr="000B28CE">
              <w:rPr>
                <w:rFonts w:cs="Arial"/>
                <w:sz w:val="20"/>
                <w:szCs w:val="20"/>
                <w:lang w:val="es-ES"/>
              </w:rPr>
              <w:t xml:space="preserve"> 19 214 </w:t>
            </w:r>
          </w:p>
        </w:tc>
      </w:tr>
      <w:tr w:rsidR="00F46D3A" w:rsidRPr="000B28CE" w:rsidTr="00D5794F">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rsidR="00F46D3A" w:rsidRPr="000B28CE" w:rsidRDefault="00F46D3A" w:rsidP="00D5794F">
            <w:pPr>
              <w:spacing w:after="0" w:line="240" w:lineRule="auto"/>
              <w:rPr>
                <w:rFonts w:eastAsia="Times New Roman" w:cs="Arial"/>
                <w:color w:val="000000"/>
                <w:sz w:val="20"/>
                <w:szCs w:val="20"/>
                <w:lang w:val="es-ES"/>
              </w:rPr>
            </w:pPr>
            <w:r w:rsidRPr="000B28CE">
              <w:rPr>
                <w:color w:val="000000"/>
                <w:sz w:val="20"/>
                <w:szCs w:val="20"/>
                <w:lang w:val="es-ES"/>
              </w:rPr>
              <w:t>Equipo</w:t>
            </w:r>
          </w:p>
        </w:tc>
        <w:tc>
          <w:tcPr>
            <w:tcW w:w="2250" w:type="dxa"/>
            <w:tcBorders>
              <w:top w:val="nil"/>
              <w:left w:val="nil"/>
              <w:bottom w:val="single" w:sz="4" w:space="0" w:color="auto"/>
              <w:right w:val="single" w:sz="8" w:space="0" w:color="auto"/>
            </w:tcBorders>
            <w:shd w:val="clear" w:color="auto" w:fill="auto"/>
            <w:noWrap/>
            <w:vAlign w:val="center"/>
          </w:tcPr>
          <w:p w:rsidR="00F46D3A" w:rsidRPr="000B28CE" w:rsidRDefault="00F46D3A" w:rsidP="00D5794F">
            <w:pPr>
              <w:spacing w:after="0" w:line="240" w:lineRule="auto"/>
              <w:jc w:val="right"/>
              <w:rPr>
                <w:rFonts w:eastAsia="Times New Roman" w:cs="Arial"/>
                <w:color w:val="000000"/>
                <w:sz w:val="20"/>
                <w:szCs w:val="20"/>
                <w:lang w:val="es-ES"/>
              </w:rPr>
            </w:pPr>
            <w:r w:rsidRPr="000B28CE">
              <w:rPr>
                <w:rFonts w:cs="Arial"/>
                <w:sz w:val="20"/>
                <w:szCs w:val="20"/>
                <w:lang w:val="es-ES"/>
              </w:rPr>
              <w:t xml:space="preserve"> 34 783 </w:t>
            </w:r>
          </w:p>
        </w:tc>
      </w:tr>
      <w:tr w:rsidR="00F46D3A" w:rsidRPr="000B28CE" w:rsidTr="00D5794F">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rsidR="00F46D3A" w:rsidRPr="000B28CE" w:rsidRDefault="00F46D3A" w:rsidP="00D5794F">
            <w:pPr>
              <w:spacing w:after="0" w:line="240" w:lineRule="auto"/>
              <w:rPr>
                <w:rFonts w:eastAsia="Times New Roman" w:cs="Arial"/>
                <w:color w:val="000000"/>
                <w:sz w:val="20"/>
                <w:szCs w:val="20"/>
                <w:lang w:val="es-ES"/>
              </w:rPr>
            </w:pPr>
            <w:r w:rsidRPr="000B28CE">
              <w:rPr>
                <w:color w:val="000000"/>
                <w:sz w:val="20"/>
                <w:szCs w:val="20"/>
                <w:lang w:val="es-ES"/>
              </w:rPr>
              <w:t>Viajes</w:t>
            </w:r>
            <w:r w:rsidRPr="000B28CE">
              <w:rPr>
                <w:rFonts w:eastAsia="Times New Roman" w:cs="Arial"/>
                <w:color w:val="000000"/>
                <w:sz w:val="20"/>
                <w:szCs w:val="20"/>
                <w:lang w:val="es-ES"/>
              </w:rPr>
              <w:t xml:space="preserve"> </w:t>
            </w:r>
          </w:p>
        </w:tc>
        <w:tc>
          <w:tcPr>
            <w:tcW w:w="2250" w:type="dxa"/>
            <w:tcBorders>
              <w:top w:val="nil"/>
              <w:left w:val="nil"/>
              <w:bottom w:val="single" w:sz="4" w:space="0" w:color="auto"/>
              <w:right w:val="single" w:sz="8" w:space="0" w:color="auto"/>
            </w:tcBorders>
            <w:shd w:val="clear" w:color="auto" w:fill="auto"/>
            <w:noWrap/>
            <w:vAlign w:val="center"/>
          </w:tcPr>
          <w:p w:rsidR="00F46D3A" w:rsidRPr="000B28CE" w:rsidRDefault="00F46D3A" w:rsidP="00D5794F">
            <w:pPr>
              <w:spacing w:after="0" w:line="240" w:lineRule="auto"/>
              <w:jc w:val="right"/>
              <w:rPr>
                <w:rFonts w:eastAsia="Times New Roman" w:cs="Arial"/>
                <w:color w:val="000000"/>
                <w:sz w:val="20"/>
                <w:szCs w:val="20"/>
                <w:lang w:val="es-ES"/>
              </w:rPr>
            </w:pPr>
            <w:r w:rsidRPr="000B28CE">
              <w:rPr>
                <w:rFonts w:cs="Arial"/>
                <w:sz w:val="20"/>
                <w:szCs w:val="20"/>
                <w:lang w:val="es-ES"/>
              </w:rPr>
              <w:t xml:space="preserve"> 432 313 </w:t>
            </w:r>
          </w:p>
        </w:tc>
      </w:tr>
      <w:tr w:rsidR="00F46D3A" w:rsidRPr="000B28CE" w:rsidTr="00D5794F">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rsidR="00F46D3A" w:rsidRPr="000B28CE" w:rsidRDefault="00F46D3A" w:rsidP="00D5794F">
            <w:pPr>
              <w:spacing w:after="0" w:line="240" w:lineRule="auto"/>
              <w:rPr>
                <w:rFonts w:eastAsia="Times New Roman" w:cs="Arial"/>
                <w:color w:val="000000"/>
                <w:sz w:val="20"/>
                <w:szCs w:val="20"/>
                <w:lang w:val="es-ES"/>
              </w:rPr>
            </w:pPr>
            <w:r w:rsidRPr="000B28CE">
              <w:rPr>
                <w:color w:val="000000"/>
                <w:sz w:val="20"/>
                <w:szCs w:val="20"/>
                <w:lang w:val="es-ES"/>
              </w:rPr>
              <w:t>Gastos de apoyo a los programas</w:t>
            </w:r>
          </w:p>
        </w:tc>
        <w:tc>
          <w:tcPr>
            <w:tcW w:w="2250" w:type="dxa"/>
            <w:tcBorders>
              <w:top w:val="nil"/>
              <w:left w:val="nil"/>
              <w:bottom w:val="single" w:sz="4" w:space="0" w:color="auto"/>
              <w:right w:val="single" w:sz="8" w:space="0" w:color="auto"/>
            </w:tcBorders>
            <w:shd w:val="clear" w:color="auto" w:fill="auto"/>
            <w:noWrap/>
            <w:vAlign w:val="center"/>
          </w:tcPr>
          <w:p w:rsidR="00F46D3A" w:rsidRPr="000B28CE" w:rsidRDefault="00F46D3A" w:rsidP="00D5794F">
            <w:pPr>
              <w:spacing w:after="0" w:line="240" w:lineRule="auto"/>
              <w:jc w:val="right"/>
              <w:rPr>
                <w:rFonts w:eastAsia="Times New Roman" w:cs="Arial"/>
                <w:color w:val="000000"/>
                <w:sz w:val="20"/>
                <w:szCs w:val="20"/>
                <w:lang w:val="es-ES"/>
              </w:rPr>
            </w:pPr>
            <w:r w:rsidRPr="000B28CE">
              <w:rPr>
                <w:rFonts w:cs="Arial"/>
                <w:sz w:val="20"/>
                <w:szCs w:val="20"/>
                <w:lang w:val="es-ES"/>
              </w:rPr>
              <w:t xml:space="preserve"> 1 104 664 </w:t>
            </w:r>
          </w:p>
        </w:tc>
      </w:tr>
      <w:tr w:rsidR="00F46D3A" w:rsidRPr="000B28CE" w:rsidTr="00D5794F">
        <w:trPr>
          <w:trHeight w:val="416"/>
        </w:trPr>
        <w:tc>
          <w:tcPr>
            <w:tcW w:w="6120" w:type="dxa"/>
            <w:tcBorders>
              <w:top w:val="nil"/>
              <w:left w:val="single" w:sz="8" w:space="0" w:color="auto"/>
              <w:bottom w:val="single" w:sz="8" w:space="0" w:color="auto"/>
              <w:right w:val="single" w:sz="4" w:space="0" w:color="auto"/>
            </w:tcBorders>
            <w:shd w:val="clear" w:color="auto" w:fill="D9E2F3" w:themeFill="accent1" w:themeFillTint="33"/>
            <w:noWrap/>
            <w:vAlign w:val="center"/>
            <w:hideMark/>
          </w:tcPr>
          <w:p w:rsidR="00F46D3A" w:rsidRPr="000B28CE" w:rsidRDefault="00F46D3A" w:rsidP="00D5794F">
            <w:pPr>
              <w:spacing w:after="0" w:line="240" w:lineRule="auto"/>
              <w:rPr>
                <w:rFonts w:eastAsia="Times New Roman" w:cs="Arial"/>
                <w:b/>
                <w:bCs/>
                <w:color w:val="000000"/>
                <w:sz w:val="20"/>
                <w:szCs w:val="20"/>
                <w:lang w:val="es-ES"/>
              </w:rPr>
            </w:pPr>
            <w:r w:rsidRPr="000B28CE">
              <w:rPr>
                <w:b/>
                <w:color w:val="000000"/>
                <w:sz w:val="20"/>
                <w:szCs w:val="20"/>
                <w:lang w:val="es-ES"/>
              </w:rPr>
              <w:t>Total general que deberá ser compartido por las Partes</w:t>
            </w:r>
          </w:p>
        </w:tc>
        <w:tc>
          <w:tcPr>
            <w:tcW w:w="2250" w:type="dxa"/>
            <w:tcBorders>
              <w:top w:val="nil"/>
              <w:left w:val="nil"/>
              <w:bottom w:val="single" w:sz="8" w:space="0" w:color="auto"/>
              <w:right w:val="single" w:sz="8" w:space="0" w:color="auto"/>
            </w:tcBorders>
            <w:shd w:val="clear" w:color="auto" w:fill="D9E2F3" w:themeFill="accent1" w:themeFillTint="33"/>
            <w:noWrap/>
            <w:vAlign w:val="center"/>
          </w:tcPr>
          <w:p w:rsidR="00F46D3A" w:rsidRPr="000B28CE" w:rsidRDefault="00F46D3A" w:rsidP="00D5794F">
            <w:pPr>
              <w:spacing w:after="0" w:line="240" w:lineRule="auto"/>
              <w:jc w:val="right"/>
              <w:rPr>
                <w:rFonts w:eastAsia="Times New Roman" w:cs="Arial"/>
                <w:b/>
                <w:color w:val="000000"/>
                <w:sz w:val="20"/>
                <w:szCs w:val="20"/>
                <w:lang w:val="es-ES"/>
              </w:rPr>
            </w:pPr>
            <w:r w:rsidRPr="000B28CE">
              <w:rPr>
                <w:rFonts w:cs="Arial"/>
                <w:b/>
                <w:sz w:val="20"/>
                <w:szCs w:val="20"/>
                <w:lang w:val="es-ES"/>
              </w:rPr>
              <w:t xml:space="preserve"> 9</w:t>
            </w:r>
            <w:r w:rsidR="00173641">
              <w:rPr>
                <w:rFonts w:cs="Arial"/>
                <w:b/>
                <w:sz w:val="20"/>
                <w:szCs w:val="20"/>
                <w:lang w:val="es-ES"/>
              </w:rPr>
              <w:t xml:space="preserve"> </w:t>
            </w:r>
            <w:r w:rsidRPr="000B28CE">
              <w:rPr>
                <w:rFonts w:cs="Arial"/>
                <w:b/>
                <w:sz w:val="20"/>
                <w:szCs w:val="20"/>
                <w:lang w:val="es-ES"/>
              </w:rPr>
              <w:t>602</w:t>
            </w:r>
            <w:r w:rsidR="00173641">
              <w:rPr>
                <w:rFonts w:cs="Arial"/>
                <w:b/>
                <w:sz w:val="20"/>
                <w:szCs w:val="20"/>
                <w:lang w:val="es-ES"/>
              </w:rPr>
              <w:t xml:space="preserve"> </w:t>
            </w:r>
            <w:r w:rsidRPr="000B28CE">
              <w:rPr>
                <w:rFonts w:cs="Arial"/>
                <w:b/>
                <w:sz w:val="20"/>
                <w:szCs w:val="20"/>
                <w:lang w:val="es-ES"/>
              </w:rPr>
              <w:t xml:space="preserve">079 </w:t>
            </w:r>
          </w:p>
        </w:tc>
      </w:tr>
    </w:tbl>
    <w:p w:rsidR="00620956" w:rsidRPr="000B28CE" w:rsidRDefault="00620956" w:rsidP="00CE17E7">
      <w:pPr>
        <w:pStyle w:val="Firstnumbering1"/>
        <w:numPr>
          <w:ilvl w:val="0"/>
          <w:numId w:val="0"/>
        </w:numPr>
        <w:ind w:left="567"/>
      </w:pPr>
    </w:p>
    <w:p w:rsidR="00F46D3A" w:rsidRPr="000B28CE" w:rsidRDefault="00F46D3A" w:rsidP="00F46D3A">
      <w:pPr>
        <w:pStyle w:val="NoSpacing"/>
        <w:jc w:val="both"/>
        <w:rPr>
          <w:rFonts w:ascii="Arial" w:hAnsi="Arial" w:cs="Arial"/>
          <w:b/>
          <w:lang w:val="es-ES"/>
        </w:rPr>
      </w:pPr>
      <w:r w:rsidRPr="000B28CE">
        <w:rPr>
          <w:rFonts w:ascii="Arial" w:hAnsi="Arial" w:cs="Arial"/>
          <w:b/>
          <w:lang w:val="es-ES"/>
        </w:rPr>
        <w:t xml:space="preserve">Escenario 4: Programa de Trabajo en adición al Escenario 3  </w:t>
      </w:r>
    </w:p>
    <w:p w:rsidR="00F46D3A" w:rsidRPr="000B28CE" w:rsidRDefault="00F46D3A" w:rsidP="00CE17E7">
      <w:pPr>
        <w:pStyle w:val="Firstnumbering1"/>
        <w:numPr>
          <w:ilvl w:val="0"/>
          <w:numId w:val="0"/>
        </w:numPr>
        <w:ind w:left="567"/>
      </w:pPr>
    </w:p>
    <w:p w:rsidR="00D71967" w:rsidRPr="000B28CE" w:rsidRDefault="00D71967" w:rsidP="00FA4FBA">
      <w:pPr>
        <w:pStyle w:val="NoSpacing"/>
        <w:jc w:val="both"/>
        <w:rPr>
          <w:rFonts w:ascii="Arial" w:hAnsi="Arial" w:cs="Arial"/>
          <w:lang w:val="es-ES"/>
        </w:rPr>
      </w:pPr>
    </w:p>
    <w:p w:rsidR="00D71967" w:rsidRPr="000B28CE" w:rsidRDefault="00C13795" w:rsidP="00FA4FBA">
      <w:pPr>
        <w:pStyle w:val="NoSpacing"/>
        <w:jc w:val="both"/>
        <w:rPr>
          <w:rFonts w:ascii="Arial" w:hAnsi="Arial" w:cs="Arial"/>
          <w:b/>
          <w:lang w:val="es-ES"/>
        </w:rPr>
      </w:pPr>
      <w:r w:rsidRPr="000B28CE">
        <w:rPr>
          <w:rFonts w:ascii="Arial" w:hAnsi="Arial" w:cs="Arial"/>
          <w:b/>
          <w:lang w:val="es-ES"/>
        </w:rPr>
        <w:t>Es</w:t>
      </w:r>
      <w:r w:rsidR="00D71967" w:rsidRPr="000B28CE">
        <w:rPr>
          <w:rFonts w:ascii="Arial" w:hAnsi="Arial" w:cs="Arial"/>
          <w:b/>
          <w:lang w:val="es-ES"/>
        </w:rPr>
        <w:t>cenario 3: Program</w:t>
      </w:r>
      <w:r w:rsidR="006C4084" w:rsidRPr="000B28CE">
        <w:rPr>
          <w:rFonts w:ascii="Arial" w:hAnsi="Arial" w:cs="Arial"/>
          <w:b/>
          <w:lang w:val="es-ES"/>
        </w:rPr>
        <w:t>a de Trabajo en adición al Es</w:t>
      </w:r>
      <w:r w:rsidR="00D71967" w:rsidRPr="000B28CE">
        <w:rPr>
          <w:rFonts w:ascii="Arial" w:hAnsi="Arial" w:cs="Arial"/>
          <w:b/>
          <w:lang w:val="es-ES"/>
        </w:rPr>
        <w:t xml:space="preserve">cenario 2  </w:t>
      </w:r>
    </w:p>
    <w:p w:rsidR="00D71967" w:rsidRPr="000B28CE" w:rsidRDefault="00D71967" w:rsidP="00FA4FBA">
      <w:pPr>
        <w:pStyle w:val="NoSpacing"/>
        <w:jc w:val="both"/>
        <w:rPr>
          <w:rFonts w:ascii="Arial" w:hAnsi="Arial" w:cs="Arial"/>
          <w:b/>
          <w:lang w:val="es-ES"/>
        </w:rPr>
      </w:pPr>
    </w:p>
    <w:p w:rsidR="00D71967" w:rsidRPr="000B28CE" w:rsidRDefault="00C13795" w:rsidP="00FA4FBA">
      <w:pPr>
        <w:pStyle w:val="Firstnumbering1"/>
      </w:pPr>
      <w:r w:rsidRPr="000B28CE">
        <w:t xml:space="preserve">En la </w:t>
      </w:r>
      <w:r w:rsidR="006B4097" w:rsidRPr="000B28CE">
        <w:t>Escenario</w:t>
      </w:r>
      <w:r w:rsidRPr="000B28CE">
        <w:t xml:space="preserve"> </w:t>
      </w:r>
      <w:r w:rsidR="00E05A60" w:rsidRPr="000B28CE">
        <w:t>4</w:t>
      </w:r>
      <w:r w:rsidRPr="000B28CE">
        <w:t xml:space="preserve"> se prevé un leve aumento de</w:t>
      </w:r>
      <w:r w:rsidR="00D71967" w:rsidRPr="000B28CE">
        <w:t xml:space="preserve"> 2.</w:t>
      </w:r>
      <w:r w:rsidR="00E05A60" w:rsidRPr="000B28CE">
        <w:t>82</w:t>
      </w:r>
      <w:r w:rsidR="00D71967" w:rsidRPr="000B28CE">
        <w:t xml:space="preserve"> p</w:t>
      </w:r>
      <w:r w:rsidRPr="000B28CE">
        <w:t>or ciento del Esc</w:t>
      </w:r>
      <w:r w:rsidR="00D71967" w:rsidRPr="000B28CE">
        <w:t xml:space="preserve">enario </w:t>
      </w:r>
      <w:r w:rsidR="00E05A60" w:rsidRPr="000B28CE">
        <w:t>3</w:t>
      </w:r>
      <w:r w:rsidR="00D71967" w:rsidRPr="000B28CE">
        <w:t xml:space="preserve">. </w:t>
      </w:r>
      <w:r w:rsidRPr="000B28CE">
        <w:t>En el Es</w:t>
      </w:r>
      <w:r w:rsidR="00D71967" w:rsidRPr="000B28CE">
        <w:t xml:space="preserve">cenario </w:t>
      </w:r>
      <w:r w:rsidR="00E05A60" w:rsidRPr="000B28CE">
        <w:t>4</w:t>
      </w:r>
      <w:r w:rsidR="00D71967" w:rsidRPr="000B28CE">
        <w:t xml:space="preserve"> </w:t>
      </w:r>
      <w:r w:rsidRPr="000B28CE">
        <w:t>se mantienen todos los elementos ya incluidos en el Escenario</w:t>
      </w:r>
      <w:r w:rsidR="00D71967" w:rsidRPr="000B28CE">
        <w:t xml:space="preserve"> </w:t>
      </w:r>
      <w:r w:rsidR="00E05A60" w:rsidRPr="000B28CE">
        <w:t>3</w:t>
      </w:r>
      <w:r w:rsidR="00D71967" w:rsidRPr="000B28CE">
        <w:t xml:space="preserve"> </w:t>
      </w:r>
      <w:r w:rsidRPr="000B28CE">
        <w:t xml:space="preserve">y con la adición </w:t>
      </w:r>
      <w:r w:rsidR="00E05A60" w:rsidRPr="000B28CE">
        <w:t xml:space="preserve">un número discreto </w:t>
      </w:r>
      <w:r w:rsidRPr="000B28CE">
        <w:t>de</w:t>
      </w:r>
      <w:r w:rsidR="00D71967" w:rsidRPr="000B28CE">
        <w:t xml:space="preserve"> </w:t>
      </w:r>
      <w:r w:rsidR="006C4084" w:rsidRPr="000B28CE">
        <w:t xml:space="preserve">actividades relacionadas con la ejecución del programa de trabajo para </w:t>
      </w:r>
      <w:r w:rsidR="00E05A60" w:rsidRPr="000B28CE">
        <w:t>el ciclo entre la COP13 y la COP14.</w:t>
      </w:r>
      <w:r w:rsidR="006C4084" w:rsidRPr="000B28CE">
        <w:t xml:space="preserve"> Anteriormente, el presupuesto básico de la CMS solía tener una asignación presupuestaria relacionada con la ejecución del Programa de Trabajo. Sin embargo, desde 2015 no se ha hecho ninguna asignación de este tipo. La falta de asignación de fondos para el programa de trabajo en el presupuesto básico </w:t>
      </w:r>
      <w:r w:rsidR="00E05A60" w:rsidRPr="000B28CE">
        <w:t>contribuye a que la Secretaría no pueda llevar a cabo una serie de tareas centrales. También contribuye a la ineficiencia, ya que hay que invertir una cantidad considerable de tiempo en la recaudación de fondos y contratación de consultores.</w:t>
      </w:r>
      <w:r w:rsidR="006C4084" w:rsidRPr="000B28CE">
        <w:t xml:space="preserve">  Por lo tanto, la Secretaría propone que las siguientes tres actividades específicas se financien con cargo al presupuesto básico durante el trienio 2021-2023.</w:t>
      </w:r>
      <w:r w:rsidR="00D71967" w:rsidRPr="000B28CE">
        <w:t xml:space="preserve"> </w:t>
      </w:r>
    </w:p>
    <w:p w:rsidR="00D71967" w:rsidRPr="000B28CE" w:rsidRDefault="00D71967" w:rsidP="00FA4FBA">
      <w:pPr>
        <w:pStyle w:val="ListParagraph"/>
        <w:tabs>
          <w:tab w:val="left" w:pos="360"/>
        </w:tabs>
        <w:spacing w:after="0" w:line="240" w:lineRule="auto"/>
        <w:ind w:left="360"/>
        <w:jc w:val="both"/>
        <w:rPr>
          <w:rFonts w:cs="Arial"/>
          <w:lang w:val="es-ES"/>
        </w:rPr>
      </w:pPr>
    </w:p>
    <w:p w:rsidR="00D71967" w:rsidRPr="000B28CE" w:rsidRDefault="006C4084" w:rsidP="00FA4FBA">
      <w:pPr>
        <w:pStyle w:val="Secondnumberinga"/>
      </w:pPr>
      <w:r w:rsidRPr="000B28CE">
        <w:rPr>
          <w:i/>
        </w:rPr>
        <w:t xml:space="preserve">Análisis de los informes nacionales:  </w:t>
      </w:r>
      <w:r w:rsidRPr="000B28CE">
        <w:t>El proceso de presentación de informes nacionales representa una obligación fundamental de la Convención establecida en el artículo VI 3.  De conformidad con la Resolución 12.9</w:t>
      </w:r>
      <w:r w:rsidR="00E05A60" w:rsidRPr="000B28CE">
        <w:t xml:space="preserve"> </w:t>
      </w:r>
      <w:r w:rsidR="00E05A60" w:rsidRPr="000B28CE">
        <w:rPr>
          <w:i/>
        </w:rPr>
        <w:t>Establec</w:t>
      </w:r>
      <w:r w:rsidR="0087046A" w:rsidRPr="000B28CE">
        <w:rPr>
          <w:i/>
        </w:rPr>
        <w:t>i</w:t>
      </w:r>
      <w:r w:rsidR="00E05A60" w:rsidRPr="000B28CE">
        <w:rPr>
          <w:i/>
        </w:rPr>
        <w:t xml:space="preserve">miento de un Mecanismo de Revisión y </w:t>
      </w:r>
      <w:r w:rsidR="0087046A" w:rsidRPr="000B28CE">
        <w:rPr>
          <w:i/>
        </w:rPr>
        <w:t>un Programa de Legislación Nacional</w:t>
      </w:r>
      <w:r w:rsidRPr="000B28CE">
        <w:t>, el análisis de los informes nacionales también sirve ahora como una de las bases para iniciar el Mecanismo de Revisión, que se puso en marcha en 2018. Además, el proceso de presentación de informes ha estado estrechamente vinculado a la aplicación del Plan Estratégico para las Especies Migratorias a fin de garantizar la capacidad de los informes nacionales para proporcionar información sobre la evaluación del progreso hacia el logro de las metas contenidas en el Plan, sin crear cargas adicionales de presentación de informes. En los últimos tres trienios, y con una capacidad interna limitada, la contratación externa del análisis ha dependido de la aportación de contribuciones voluntarias.  El pleno potencial del proceso de presentación de informes nacionales sólo puede lograrse con un apoyo financiero adecuado y previsible. La asignación de fondos solicitad</w:t>
      </w:r>
      <w:r w:rsidR="0087046A" w:rsidRPr="000B28CE">
        <w:t>a</w:t>
      </w:r>
      <w:r w:rsidRPr="000B28CE">
        <w:t xml:space="preserve"> es de 30.000 euros en 2023.</w:t>
      </w:r>
    </w:p>
    <w:p w:rsidR="006C4084" w:rsidRPr="000B28CE" w:rsidRDefault="006C4084" w:rsidP="00FA4FBA">
      <w:pPr>
        <w:pStyle w:val="ListParagraph"/>
        <w:tabs>
          <w:tab w:val="left" w:pos="360"/>
        </w:tabs>
        <w:spacing w:after="0" w:line="240" w:lineRule="auto"/>
        <w:jc w:val="both"/>
        <w:rPr>
          <w:rFonts w:cs="Arial"/>
          <w:lang w:val="es-ES"/>
        </w:rPr>
      </w:pPr>
    </w:p>
    <w:p w:rsidR="00D71967" w:rsidRPr="000B28CE" w:rsidRDefault="006C4084" w:rsidP="00FA4FBA">
      <w:pPr>
        <w:pStyle w:val="Secondnumberinga"/>
      </w:pPr>
      <w:r w:rsidRPr="000B28CE">
        <w:rPr>
          <w:i/>
        </w:rPr>
        <w:t>Elaboración del informe "Estado de las Especies Migratorias del Mundo"</w:t>
      </w:r>
      <w:r w:rsidRPr="000B28CE">
        <w:t>: De conformidad con el Artículo VII, la Conferencia de las Partes examinará el estado de conservación de las especies migratorias enumeradas en sus Apéndices en cada una de sus sesiones. La COP11 (Quito, 2014) identificó la preparación de un informe sobre el estado de conservación de las especies de la CMS como una actividad de alta prioridad a realizar en el marco del Programa de Trabajo de la CMS, y su desarrollo está sujeto a la disponibilidad de contribuciones voluntarias. El concepto y las estimaciones correspondientes del informe sobre el "</w:t>
      </w:r>
      <w:r w:rsidRPr="000B28CE">
        <w:rPr>
          <w:i/>
        </w:rPr>
        <w:t>Estado de las Especies Migratorias del Mundo"</w:t>
      </w:r>
      <w:r w:rsidRPr="000B28CE">
        <w:t xml:space="preserve"> se presentaron a la COP12, pero si bien se han realizado algunos progresos en la preparación de algunos elementos iniciales de dicho informe utilizando recursos internos</w:t>
      </w:r>
      <w:r w:rsidR="006D2C79" w:rsidRPr="000B28CE">
        <w:t xml:space="preserve"> </w:t>
      </w:r>
      <w:r w:rsidR="006D2C79" w:rsidRPr="000B28CE">
        <w:lastRenderedPageBreak/>
        <w:t>(véase UNEP/CMS/COP13/Doc.24) pero</w:t>
      </w:r>
      <w:r w:rsidRPr="000B28CE">
        <w:t xml:space="preserve"> la capacidad de producir una publicación tan emblemática para la CMS es limitada. </w:t>
      </w:r>
      <w:r w:rsidR="006D2C79" w:rsidRPr="000B28CE">
        <w:t xml:space="preserve">Al proporcionar up presupuesto básico para este informe, se podría llevar a cabo un </w:t>
      </w:r>
      <w:r w:rsidRPr="000B28CE">
        <w:t>análisis más robusto y detallado a nivel de especie y presentarlo a la COP14. La asignación de fondos solicitada es de 50.000 euros al año, lo que supone un total de 150.000 euros para el trienio.</w:t>
      </w:r>
    </w:p>
    <w:p w:rsidR="006C4084" w:rsidRPr="000B28CE" w:rsidRDefault="006C4084" w:rsidP="00FA4FBA">
      <w:pPr>
        <w:pStyle w:val="Secondnumberinga"/>
        <w:numPr>
          <w:ilvl w:val="0"/>
          <w:numId w:val="0"/>
        </w:numPr>
        <w:ind w:left="1134"/>
      </w:pPr>
    </w:p>
    <w:p w:rsidR="006C4084" w:rsidRPr="000B28CE" w:rsidRDefault="006C4084" w:rsidP="00FA4FBA">
      <w:pPr>
        <w:pStyle w:val="Secondnumberinga"/>
      </w:pPr>
      <w:r w:rsidRPr="000B28CE">
        <w:rPr>
          <w:i/>
        </w:rPr>
        <w:t xml:space="preserve">Actividades de divulgación. </w:t>
      </w:r>
      <w:r w:rsidRPr="000B28CE">
        <w:t xml:space="preserve">Con los limitados recursos disponibles, el esfuerzo regular de divulgación de la Secretaría se basa en gran medida en la creación de contenidos para diferentes plataformas de medios de comunicación con el objetivo de retratar el trabajo de la CMS y demostrar cómo encaja en el panorama más amplio de la conservación de la diversidad biológica mundial.  Con el suministro de fondos </w:t>
      </w:r>
      <w:r w:rsidR="006D2C79" w:rsidRPr="000B28CE">
        <w:t>básicos para las actividades de divulgación</w:t>
      </w:r>
      <w:r w:rsidRPr="000B28CE">
        <w:t>, la Secretaría estaría mejor equipada para satisfacer las necesidades generales de comunicación de la Convención, incluida la campaña anual de sensibilización sobre el Día Mundial de las Aves Migratorias, y producir materiales de comunicación profesionales y contenidos creativos que podrían requerir conocimientos especializados externos (vídeos, sitios web de campañas, infografía y otros trabajos de diseño, consultores en medios de comunicación y medios sociales, etc.). La asignación de fondos solicitada es de 20.000 euros anuales, lo que supone un total de 60.000 euros para el trienio.</w:t>
      </w:r>
    </w:p>
    <w:p w:rsidR="006C4084" w:rsidRPr="000B28CE" w:rsidRDefault="006C4084" w:rsidP="00FA4FBA">
      <w:pPr>
        <w:pStyle w:val="Secondnumberinga"/>
        <w:numPr>
          <w:ilvl w:val="0"/>
          <w:numId w:val="0"/>
        </w:numPr>
        <w:rPr>
          <w:iCs/>
        </w:rPr>
      </w:pPr>
    </w:p>
    <w:tbl>
      <w:tblPr>
        <w:tblW w:w="8667" w:type="dxa"/>
        <w:tblInd w:w="350" w:type="dxa"/>
        <w:tblLook w:val="04A0" w:firstRow="1" w:lastRow="0" w:firstColumn="1" w:lastColumn="0" w:noHBand="0" w:noVBand="1"/>
      </w:tblPr>
      <w:tblGrid>
        <w:gridCol w:w="6550"/>
        <w:gridCol w:w="2117"/>
      </w:tblGrid>
      <w:tr w:rsidR="00D71967" w:rsidRPr="00D41851" w:rsidTr="006C4084">
        <w:trPr>
          <w:trHeight w:val="520"/>
        </w:trPr>
        <w:tc>
          <w:tcPr>
            <w:tcW w:w="8667" w:type="dxa"/>
            <w:gridSpan w:val="2"/>
            <w:tcBorders>
              <w:top w:val="single" w:sz="8" w:space="0" w:color="auto"/>
              <w:left w:val="single" w:sz="8" w:space="0" w:color="auto"/>
              <w:bottom w:val="single" w:sz="8" w:space="0" w:color="auto"/>
              <w:right w:val="single" w:sz="8" w:space="0" w:color="auto"/>
            </w:tcBorders>
            <w:shd w:val="clear" w:color="auto" w:fill="BDD6EE" w:themeFill="accent5" w:themeFillTint="66"/>
            <w:noWrap/>
            <w:vAlign w:val="center"/>
            <w:hideMark/>
          </w:tcPr>
          <w:p w:rsidR="00D71967" w:rsidRPr="000B28CE" w:rsidRDefault="00C13795" w:rsidP="00FA4FBA">
            <w:pPr>
              <w:spacing w:after="0" w:line="240" w:lineRule="auto"/>
              <w:rPr>
                <w:rFonts w:cs="Arial"/>
                <w:b/>
                <w:bCs/>
                <w:color w:val="000000"/>
                <w:sz w:val="20"/>
                <w:szCs w:val="20"/>
                <w:lang w:val="es-ES"/>
              </w:rPr>
            </w:pPr>
            <w:r w:rsidRPr="000B28CE">
              <w:rPr>
                <w:b/>
                <w:color w:val="000000"/>
                <w:sz w:val="20"/>
                <w:szCs w:val="20"/>
                <w:lang w:val="es-ES"/>
              </w:rPr>
              <w:t>Costos totales por categoría para el período 2018-2020 (en euros)</w:t>
            </w:r>
          </w:p>
        </w:tc>
      </w:tr>
      <w:tr w:rsidR="00D71967" w:rsidRPr="000B28CE" w:rsidTr="008B5DF7">
        <w:trPr>
          <w:trHeight w:val="288"/>
        </w:trPr>
        <w:tc>
          <w:tcPr>
            <w:tcW w:w="6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71967" w:rsidRPr="000B28CE" w:rsidRDefault="00C13795" w:rsidP="00FA4FBA">
            <w:pPr>
              <w:spacing w:after="0" w:line="240" w:lineRule="auto"/>
              <w:rPr>
                <w:rFonts w:cs="Arial"/>
                <w:color w:val="000000"/>
                <w:sz w:val="20"/>
                <w:szCs w:val="20"/>
                <w:lang w:val="es-ES"/>
              </w:rPr>
            </w:pPr>
            <w:r w:rsidRPr="000B28CE">
              <w:rPr>
                <w:color w:val="000000"/>
                <w:sz w:val="20"/>
                <w:szCs w:val="20"/>
                <w:lang w:val="es-ES"/>
              </w:rPr>
              <w:t>Personal</w:t>
            </w:r>
            <w:r w:rsidR="00D71967" w:rsidRPr="000B28CE">
              <w:rPr>
                <w:rFonts w:cs="Arial"/>
                <w:color w:val="000000"/>
                <w:sz w:val="20"/>
                <w:szCs w:val="20"/>
                <w:lang w:val="es-ES"/>
              </w:rPr>
              <w:t xml:space="preserve"> </w:t>
            </w:r>
          </w:p>
        </w:tc>
        <w:tc>
          <w:tcPr>
            <w:tcW w:w="2116" w:type="dxa"/>
            <w:tcBorders>
              <w:top w:val="single" w:sz="8" w:space="0" w:color="auto"/>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w:t>
            </w:r>
            <w:r w:rsidR="006D2C79" w:rsidRPr="000B28CE">
              <w:rPr>
                <w:sz w:val="20"/>
                <w:szCs w:val="20"/>
                <w:lang w:val="es-ES"/>
              </w:rPr>
              <w:t>6 930 356</w:t>
            </w:r>
          </w:p>
        </w:tc>
      </w:tr>
      <w:tr w:rsidR="00D71967" w:rsidRPr="000B28CE" w:rsidTr="008B5DF7">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C13795" w:rsidP="00FA4FBA">
            <w:pPr>
              <w:spacing w:after="0" w:line="240" w:lineRule="auto"/>
              <w:rPr>
                <w:rFonts w:cs="Arial"/>
                <w:color w:val="FF0000"/>
                <w:sz w:val="20"/>
                <w:szCs w:val="20"/>
                <w:lang w:val="es-ES"/>
              </w:rPr>
            </w:pPr>
            <w:r w:rsidRPr="000B28CE">
              <w:rPr>
                <w:color w:val="FF0000"/>
                <w:sz w:val="20"/>
                <w:szCs w:val="20"/>
                <w:lang w:val="es-ES"/>
              </w:rPr>
              <w:t>Servicios contractuales</w:t>
            </w:r>
          </w:p>
        </w:tc>
        <w:tc>
          <w:tcPr>
            <w:tcW w:w="2116"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FF0000"/>
                <w:sz w:val="20"/>
                <w:szCs w:val="20"/>
                <w:lang w:val="es-ES"/>
              </w:rPr>
            </w:pPr>
            <w:r w:rsidRPr="000B28CE">
              <w:rPr>
                <w:rFonts w:cs="Arial"/>
                <w:color w:val="FF0000"/>
                <w:sz w:val="20"/>
                <w:szCs w:val="20"/>
                <w:lang w:val="es-ES"/>
              </w:rPr>
              <w:t xml:space="preserve"> 720</w:t>
            </w:r>
            <w:r w:rsidR="005A303F" w:rsidRPr="000B28CE">
              <w:rPr>
                <w:rFonts w:cs="Arial"/>
                <w:color w:val="FF0000"/>
                <w:sz w:val="20"/>
                <w:szCs w:val="20"/>
                <w:lang w:val="es-ES"/>
              </w:rPr>
              <w:t xml:space="preserve"> </w:t>
            </w:r>
            <w:r w:rsidRPr="000B28CE">
              <w:rPr>
                <w:rFonts w:cs="Arial"/>
                <w:color w:val="FF0000"/>
                <w:sz w:val="20"/>
                <w:szCs w:val="20"/>
                <w:lang w:val="es-ES"/>
              </w:rPr>
              <w:t xml:space="preserve">117 </w:t>
            </w:r>
          </w:p>
        </w:tc>
      </w:tr>
      <w:tr w:rsidR="00D71967" w:rsidRPr="000B28CE" w:rsidTr="008B5DF7">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C13795" w:rsidP="00FA4FBA">
            <w:pPr>
              <w:spacing w:after="0" w:line="240" w:lineRule="auto"/>
              <w:rPr>
                <w:rFonts w:cs="Arial"/>
                <w:color w:val="000000"/>
                <w:sz w:val="20"/>
                <w:szCs w:val="20"/>
                <w:lang w:val="es-ES"/>
              </w:rPr>
            </w:pPr>
            <w:r w:rsidRPr="000B28CE">
              <w:rPr>
                <w:color w:val="000000"/>
                <w:sz w:val="20"/>
                <w:szCs w:val="20"/>
                <w:lang w:val="es-ES"/>
              </w:rPr>
              <w:t>Gastos de funcionamiento</w:t>
            </w:r>
          </w:p>
        </w:tc>
        <w:tc>
          <w:tcPr>
            <w:tcW w:w="2116"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420</w:t>
            </w:r>
            <w:r w:rsidR="005A303F" w:rsidRPr="000B28CE">
              <w:rPr>
                <w:rFonts w:cs="Arial"/>
                <w:color w:val="000000"/>
                <w:sz w:val="20"/>
                <w:szCs w:val="20"/>
                <w:lang w:val="es-ES"/>
              </w:rPr>
              <w:t xml:space="preserve"> </w:t>
            </w:r>
            <w:r w:rsidRPr="000B28CE">
              <w:rPr>
                <w:rFonts w:cs="Arial"/>
                <w:color w:val="000000"/>
                <w:sz w:val="20"/>
                <w:szCs w:val="20"/>
                <w:lang w:val="es-ES"/>
              </w:rPr>
              <w:t xml:space="preserve">632 </w:t>
            </w:r>
          </w:p>
        </w:tc>
      </w:tr>
      <w:tr w:rsidR="00D71967" w:rsidRPr="000B28CE" w:rsidTr="008B5DF7">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C13795" w:rsidP="00FA4FBA">
            <w:pPr>
              <w:spacing w:after="0" w:line="240" w:lineRule="auto"/>
              <w:rPr>
                <w:rFonts w:cs="Arial"/>
                <w:color w:val="000000"/>
                <w:sz w:val="20"/>
                <w:szCs w:val="20"/>
                <w:lang w:val="es-ES"/>
              </w:rPr>
            </w:pPr>
            <w:r w:rsidRPr="000B28CE">
              <w:rPr>
                <w:color w:val="000000"/>
                <w:sz w:val="20"/>
                <w:szCs w:val="20"/>
                <w:lang w:val="es-ES"/>
              </w:rPr>
              <w:t>Suministros</w:t>
            </w:r>
          </w:p>
        </w:tc>
        <w:tc>
          <w:tcPr>
            <w:tcW w:w="2116"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19</w:t>
            </w:r>
            <w:r w:rsidR="005A303F" w:rsidRPr="000B28CE">
              <w:rPr>
                <w:rFonts w:cs="Arial"/>
                <w:color w:val="000000"/>
                <w:sz w:val="20"/>
                <w:szCs w:val="20"/>
                <w:lang w:val="es-ES"/>
              </w:rPr>
              <w:t xml:space="preserve"> </w:t>
            </w:r>
            <w:r w:rsidRPr="000B28CE">
              <w:rPr>
                <w:rFonts w:cs="Arial"/>
                <w:color w:val="000000"/>
                <w:sz w:val="20"/>
                <w:szCs w:val="20"/>
                <w:lang w:val="es-ES"/>
              </w:rPr>
              <w:t xml:space="preserve">214 </w:t>
            </w:r>
          </w:p>
        </w:tc>
      </w:tr>
      <w:tr w:rsidR="00D71967" w:rsidRPr="000B28CE" w:rsidTr="008B5DF7">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C13795" w:rsidP="00FA4FBA">
            <w:pPr>
              <w:spacing w:after="0" w:line="240" w:lineRule="auto"/>
              <w:rPr>
                <w:rFonts w:cs="Arial"/>
                <w:color w:val="000000"/>
                <w:sz w:val="20"/>
                <w:szCs w:val="20"/>
                <w:lang w:val="es-ES"/>
              </w:rPr>
            </w:pPr>
            <w:r w:rsidRPr="000B28CE">
              <w:rPr>
                <w:color w:val="000000"/>
                <w:sz w:val="20"/>
                <w:szCs w:val="20"/>
                <w:lang w:val="es-ES"/>
              </w:rPr>
              <w:t>Equipo</w:t>
            </w:r>
          </w:p>
        </w:tc>
        <w:tc>
          <w:tcPr>
            <w:tcW w:w="2116"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34</w:t>
            </w:r>
            <w:r w:rsidR="005A303F" w:rsidRPr="000B28CE">
              <w:rPr>
                <w:rFonts w:cs="Arial"/>
                <w:color w:val="000000"/>
                <w:sz w:val="20"/>
                <w:szCs w:val="20"/>
                <w:lang w:val="es-ES"/>
              </w:rPr>
              <w:t xml:space="preserve"> </w:t>
            </w:r>
            <w:r w:rsidRPr="000B28CE">
              <w:rPr>
                <w:rFonts w:cs="Arial"/>
                <w:color w:val="000000"/>
                <w:sz w:val="20"/>
                <w:szCs w:val="20"/>
                <w:lang w:val="es-ES"/>
              </w:rPr>
              <w:t xml:space="preserve">783 </w:t>
            </w:r>
          </w:p>
        </w:tc>
      </w:tr>
      <w:tr w:rsidR="00D71967" w:rsidRPr="000B28CE" w:rsidTr="008B5DF7">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tcPr>
          <w:p w:rsidR="00D71967" w:rsidRPr="000B28CE" w:rsidRDefault="00C13795" w:rsidP="00FA4FBA">
            <w:pPr>
              <w:spacing w:after="0" w:line="240" w:lineRule="auto"/>
              <w:rPr>
                <w:rFonts w:cs="Arial"/>
                <w:color w:val="FF0000"/>
                <w:sz w:val="20"/>
                <w:szCs w:val="20"/>
                <w:lang w:val="es-ES"/>
              </w:rPr>
            </w:pPr>
            <w:r w:rsidRPr="000B28CE">
              <w:rPr>
                <w:rFonts w:cs="Arial"/>
                <w:color w:val="FF0000"/>
                <w:sz w:val="20"/>
                <w:szCs w:val="20"/>
                <w:lang w:val="es-ES"/>
              </w:rPr>
              <w:t>Socios ejecutores</w:t>
            </w:r>
          </w:p>
        </w:tc>
        <w:tc>
          <w:tcPr>
            <w:tcW w:w="2116"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FF0000"/>
                <w:sz w:val="20"/>
                <w:szCs w:val="20"/>
                <w:lang w:val="es-ES"/>
              </w:rPr>
            </w:pPr>
            <w:r w:rsidRPr="000B28CE">
              <w:rPr>
                <w:rFonts w:cs="Arial"/>
                <w:color w:val="FF0000"/>
                <w:sz w:val="20"/>
                <w:szCs w:val="20"/>
                <w:lang w:val="es-ES"/>
              </w:rPr>
              <w:t xml:space="preserve"> 180</w:t>
            </w:r>
            <w:r w:rsidR="005A303F" w:rsidRPr="000B28CE">
              <w:rPr>
                <w:rFonts w:cs="Arial"/>
                <w:color w:val="FF0000"/>
                <w:sz w:val="20"/>
                <w:szCs w:val="20"/>
                <w:lang w:val="es-ES"/>
              </w:rPr>
              <w:t xml:space="preserve"> </w:t>
            </w:r>
            <w:r w:rsidRPr="000B28CE">
              <w:rPr>
                <w:rFonts w:cs="Arial"/>
                <w:color w:val="FF0000"/>
                <w:sz w:val="20"/>
                <w:szCs w:val="20"/>
                <w:lang w:val="es-ES"/>
              </w:rPr>
              <w:t xml:space="preserve">000 </w:t>
            </w:r>
          </w:p>
        </w:tc>
      </w:tr>
      <w:tr w:rsidR="00D71967" w:rsidRPr="000B28CE" w:rsidTr="008B5DF7">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C13795" w:rsidP="00FA4FBA">
            <w:pPr>
              <w:spacing w:after="0" w:line="240" w:lineRule="auto"/>
              <w:rPr>
                <w:rFonts w:cs="Arial"/>
                <w:color w:val="000000"/>
                <w:sz w:val="20"/>
                <w:szCs w:val="20"/>
                <w:lang w:val="es-ES"/>
              </w:rPr>
            </w:pPr>
            <w:r w:rsidRPr="000B28CE">
              <w:rPr>
                <w:color w:val="000000"/>
                <w:sz w:val="20"/>
                <w:szCs w:val="20"/>
                <w:lang w:val="es-ES"/>
              </w:rPr>
              <w:t>Viajes</w:t>
            </w:r>
            <w:r w:rsidRPr="000B28CE">
              <w:rPr>
                <w:rFonts w:cs="Arial"/>
                <w:color w:val="000000"/>
                <w:sz w:val="20"/>
                <w:szCs w:val="20"/>
                <w:lang w:val="es-ES"/>
              </w:rPr>
              <w:t xml:space="preserve"> </w:t>
            </w:r>
          </w:p>
        </w:tc>
        <w:tc>
          <w:tcPr>
            <w:tcW w:w="2116"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sz w:val="20"/>
                <w:szCs w:val="20"/>
                <w:lang w:val="es-ES"/>
              </w:rPr>
            </w:pPr>
            <w:r w:rsidRPr="000B28CE">
              <w:rPr>
                <w:rFonts w:cs="Arial"/>
                <w:color w:val="000000"/>
                <w:sz w:val="20"/>
                <w:szCs w:val="20"/>
                <w:lang w:val="es-ES"/>
              </w:rPr>
              <w:t xml:space="preserve"> 432</w:t>
            </w:r>
            <w:r w:rsidR="005A303F" w:rsidRPr="000B28CE">
              <w:rPr>
                <w:rFonts w:cs="Arial"/>
                <w:color w:val="000000"/>
                <w:sz w:val="20"/>
                <w:szCs w:val="20"/>
                <w:lang w:val="es-ES"/>
              </w:rPr>
              <w:t xml:space="preserve"> </w:t>
            </w:r>
            <w:r w:rsidRPr="000B28CE">
              <w:rPr>
                <w:rFonts w:cs="Arial"/>
                <w:color w:val="000000"/>
                <w:sz w:val="20"/>
                <w:szCs w:val="20"/>
                <w:lang w:val="es-ES"/>
              </w:rPr>
              <w:t xml:space="preserve">313 </w:t>
            </w:r>
          </w:p>
        </w:tc>
      </w:tr>
      <w:tr w:rsidR="00D71967" w:rsidRPr="000B28CE" w:rsidTr="008B5DF7">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71967" w:rsidRPr="000B28CE" w:rsidRDefault="00C13795" w:rsidP="00FA4FBA">
            <w:pPr>
              <w:spacing w:after="0" w:line="240" w:lineRule="auto"/>
              <w:rPr>
                <w:rFonts w:cs="Arial"/>
                <w:color w:val="000000" w:themeColor="text1"/>
                <w:sz w:val="20"/>
                <w:szCs w:val="20"/>
                <w:lang w:val="es-ES"/>
              </w:rPr>
            </w:pPr>
            <w:r w:rsidRPr="000B28CE">
              <w:rPr>
                <w:color w:val="000000"/>
                <w:sz w:val="20"/>
                <w:szCs w:val="20"/>
                <w:lang w:val="es-ES"/>
              </w:rPr>
              <w:t>Gastos de apoyo a los programas</w:t>
            </w:r>
          </w:p>
        </w:tc>
        <w:tc>
          <w:tcPr>
            <w:tcW w:w="2116" w:type="dxa"/>
            <w:tcBorders>
              <w:top w:val="nil"/>
              <w:left w:val="nil"/>
              <w:bottom w:val="single" w:sz="4" w:space="0" w:color="auto"/>
              <w:right w:val="single" w:sz="8" w:space="0" w:color="auto"/>
            </w:tcBorders>
            <w:shd w:val="clear" w:color="auto" w:fill="auto"/>
            <w:noWrap/>
            <w:vAlign w:val="center"/>
          </w:tcPr>
          <w:p w:rsidR="00D71967" w:rsidRPr="000B28CE" w:rsidRDefault="00D71967" w:rsidP="00FA4FBA">
            <w:pPr>
              <w:spacing w:after="0" w:line="240" w:lineRule="auto"/>
              <w:jc w:val="right"/>
              <w:rPr>
                <w:rFonts w:cs="Arial"/>
                <w:color w:val="000000" w:themeColor="text1"/>
                <w:sz w:val="20"/>
                <w:szCs w:val="20"/>
                <w:lang w:val="es-ES"/>
              </w:rPr>
            </w:pPr>
            <w:r w:rsidRPr="000B28CE">
              <w:rPr>
                <w:rFonts w:cs="Arial"/>
                <w:color w:val="000000" w:themeColor="text1"/>
                <w:sz w:val="20"/>
                <w:szCs w:val="20"/>
                <w:lang w:val="es-ES"/>
              </w:rPr>
              <w:t xml:space="preserve"> 1</w:t>
            </w:r>
            <w:r w:rsidR="005A303F" w:rsidRPr="000B28CE">
              <w:rPr>
                <w:rFonts w:cs="Arial"/>
                <w:color w:val="000000" w:themeColor="text1"/>
                <w:sz w:val="20"/>
                <w:szCs w:val="20"/>
                <w:lang w:val="es-ES"/>
              </w:rPr>
              <w:t xml:space="preserve"> </w:t>
            </w:r>
            <w:r w:rsidRPr="000B28CE">
              <w:rPr>
                <w:rFonts w:cs="Arial"/>
                <w:color w:val="000000" w:themeColor="text1"/>
                <w:sz w:val="20"/>
                <w:szCs w:val="20"/>
                <w:lang w:val="es-ES"/>
              </w:rPr>
              <w:t>1</w:t>
            </w:r>
            <w:r w:rsidR="006D2C79" w:rsidRPr="000B28CE">
              <w:rPr>
                <w:rFonts w:cs="Arial"/>
                <w:color w:val="000000" w:themeColor="text1"/>
                <w:sz w:val="20"/>
                <w:szCs w:val="20"/>
                <w:lang w:val="es-ES"/>
              </w:rPr>
              <w:t>35 864</w:t>
            </w:r>
            <w:r w:rsidRPr="000B28CE">
              <w:rPr>
                <w:rFonts w:cs="Arial"/>
                <w:color w:val="000000" w:themeColor="text1"/>
                <w:sz w:val="20"/>
                <w:szCs w:val="20"/>
                <w:lang w:val="es-ES"/>
              </w:rPr>
              <w:t xml:space="preserve"> </w:t>
            </w:r>
          </w:p>
        </w:tc>
      </w:tr>
      <w:tr w:rsidR="00D71967" w:rsidRPr="000B28CE" w:rsidTr="006C4084">
        <w:trPr>
          <w:trHeight w:val="581"/>
        </w:trPr>
        <w:tc>
          <w:tcPr>
            <w:tcW w:w="6550" w:type="dxa"/>
            <w:tcBorders>
              <w:top w:val="nil"/>
              <w:left w:val="single" w:sz="8" w:space="0" w:color="auto"/>
              <w:bottom w:val="single" w:sz="8" w:space="0" w:color="auto"/>
              <w:right w:val="single" w:sz="4" w:space="0" w:color="auto"/>
            </w:tcBorders>
            <w:shd w:val="clear" w:color="auto" w:fill="BDD6EE" w:themeFill="accent5" w:themeFillTint="66"/>
            <w:noWrap/>
            <w:vAlign w:val="center"/>
            <w:hideMark/>
          </w:tcPr>
          <w:p w:rsidR="00D71967" w:rsidRPr="000B28CE" w:rsidRDefault="00C13795" w:rsidP="00FA4FBA">
            <w:pPr>
              <w:spacing w:after="0" w:line="240" w:lineRule="auto"/>
              <w:rPr>
                <w:rFonts w:cs="Arial"/>
                <w:b/>
                <w:bCs/>
                <w:color w:val="000000"/>
                <w:sz w:val="20"/>
                <w:szCs w:val="20"/>
                <w:lang w:val="es-ES"/>
              </w:rPr>
            </w:pPr>
            <w:r w:rsidRPr="000B28CE">
              <w:rPr>
                <w:b/>
                <w:color w:val="000000"/>
                <w:sz w:val="20"/>
                <w:szCs w:val="20"/>
                <w:lang w:val="es-ES"/>
              </w:rPr>
              <w:t>Total general que deberá ser compartido por las Partes</w:t>
            </w:r>
          </w:p>
        </w:tc>
        <w:tc>
          <w:tcPr>
            <w:tcW w:w="2116" w:type="dxa"/>
            <w:tcBorders>
              <w:top w:val="nil"/>
              <w:left w:val="nil"/>
              <w:bottom w:val="single" w:sz="8" w:space="0" w:color="auto"/>
              <w:right w:val="single" w:sz="8" w:space="0" w:color="auto"/>
            </w:tcBorders>
            <w:shd w:val="clear" w:color="auto" w:fill="BDD6EE" w:themeFill="accent5" w:themeFillTint="66"/>
            <w:noWrap/>
            <w:vAlign w:val="center"/>
          </w:tcPr>
          <w:p w:rsidR="00D71967" w:rsidRPr="000B28CE" w:rsidRDefault="00D71967" w:rsidP="00FA4FBA">
            <w:pPr>
              <w:spacing w:after="0" w:line="240" w:lineRule="auto"/>
              <w:jc w:val="right"/>
              <w:rPr>
                <w:rFonts w:cs="Arial"/>
                <w:b/>
                <w:color w:val="000000"/>
                <w:sz w:val="20"/>
                <w:szCs w:val="20"/>
                <w:lang w:val="es-ES"/>
              </w:rPr>
            </w:pPr>
            <w:r w:rsidRPr="000B28CE">
              <w:rPr>
                <w:rFonts w:cs="Arial"/>
                <w:b/>
                <w:color w:val="000000"/>
                <w:sz w:val="20"/>
                <w:szCs w:val="20"/>
                <w:lang w:val="es-ES"/>
              </w:rPr>
              <w:t xml:space="preserve"> </w:t>
            </w:r>
            <w:r w:rsidR="006D2C79" w:rsidRPr="000B28CE">
              <w:rPr>
                <w:b/>
                <w:sz w:val="20"/>
                <w:szCs w:val="20"/>
                <w:lang w:val="es-ES"/>
              </w:rPr>
              <w:t>9 873 279</w:t>
            </w:r>
          </w:p>
        </w:tc>
      </w:tr>
    </w:tbl>
    <w:p w:rsidR="005A303F" w:rsidRPr="000B28CE" w:rsidRDefault="005A303F" w:rsidP="00FA4FBA">
      <w:pPr>
        <w:tabs>
          <w:tab w:val="left" w:pos="360"/>
        </w:tabs>
        <w:spacing w:after="0" w:line="240" w:lineRule="auto"/>
        <w:contextualSpacing/>
        <w:jc w:val="both"/>
        <w:rPr>
          <w:rFonts w:cs="Arial"/>
          <w:lang w:val="es-ES"/>
        </w:rPr>
      </w:pPr>
    </w:p>
    <w:p w:rsidR="00D71967" w:rsidRPr="000B28CE" w:rsidRDefault="006D2C79" w:rsidP="00FA4FBA">
      <w:pPr>
        <w:pStyle w:val="Firstnumbering1"/>
      </w:pPr>
      <w:r w:rsidRPr="000B28CE">
        <w:t>La dotación de personal</w:t>
      </w:r>
      <w:r w:rsidR="00C13795" w:rsidRPr="000B28CE">
        <w:t xml:space="preserve"> en los </w:t>
      </w:r>
      <w:r w:rsidRPr="000B28CE">
        <w:t>cuatro</w:t>
      </w:r>
      <w:r w:rsidR="00C13795" w:rsidRPr="000B28CE">
        <w:t xml:space="preserve"> </w:t>
      </w:r>
      <w:r w:rsidR="008A196A" w:rsidRPr="000B28CE">
        <w:t>escenarios</w:t>
      </w:r>
      <w:r w:rsidR="00C13795" w:rsidRPr="000B28CE">
        <w:t xml:space="preserve"> se ha calculado sobre la base de una plantilla indicativa establecida para el trienio </w:t>
      </w:r>
      <w:r w:rsidR="00D71967" w:rsidRPr="000B28CE">
        <w:t xml:space="preserve">2018–2020. </w:t>
      </w:r>
      <w:r w:rsidR="008A196A" w:rsidRPr="000B28CE">
        <w:t xml:space="preserve">La </w:t>
      </w:r>
      <w:r w:rsidR="00D71967" w:rsidRPr="000B28CE">
        <w:t xml:space="preserve">COP12 </w:t>
      </w:r>
      <w:r w:rsidR="008A196A" w:rsidRPr="000B28CE">
        <w:t xml:space="preserve">aprobó los </w:t>
      </w:r>
      <w:r w:rsidR="00D71967" w:rsidRPr="000B28CE">
        <w:t>9</w:t>
      </w:r>
      <w:r w:rsidRPr="000B28CE">
        <w:t>.</w:t>
      </w:r>
      <w:r w:rsidR="00D71967" w:rsidRPr="000B28CE">
        <w:t>695 p</w:t>
      </w:r>
      <w:r w:rsidR="008A196A" w:rsidRPr="000B28CE">
        <w:t>uestos de profesionales y 7 puestos de servicios generales</w:t>
      </w:r>
      <w:r w:rsidR="00D71967" w:rsidRPr="000B28CE">
        <w:t xml:space="preserve"> </w:t>
      </w:r>
      <w:r w:rsidR="008A196A" w:rsidRPr="000B28CE">
        <w:t xml:space="preserve">financiados con cargo al presupuesto básico. </w:t>
      </w:r>
      <w:r w:rsidR="005A303F" w:rsidRPr="000B28CE">
        <w:t xml:space="preserve">Con el escenario de crecimiento </w:t>
      </w:r>
      <w:r w:rsidRPr="000B28CE">
        <w:t>nominal</w:t>
      </w:r>
      <w:r w:rsidR="005A303F" w:rsidRPr="000B28CE">
        <w:t xml:space="preserve"> cero, los puestos de</w:t>
      </w:r>
      <w:r w:rsidR="00E37FAD" w:rsidRPr="000B28CE">
        <w:t xml:space="preserve"> profesionales</w:t>
      </w:r>
      <w:r w:rsidR="005A303F" w:rsidRPr="000B28CE">
        <w:t xml:space="preserve"> y de los servicios generales de apoyo financiados con cargo al presupuesto básico seguirían siendo los mismos. En </w:t>
      </w:r>
      <w:r w:rsidR="00E37FAD" w:rsidRPr="000B28CE">
        <w:t>el escenario 3</w:t>
      </w:r>
      <w:r w:rsidR="005A303F" w:rsidRPr="000B28CE">
        <w:t xml:space="preserve">, se propone que el número de puestos de </w:t>
      </w:r>
      <w:r w:rsidR="00E37FAD" w:rsidRPr="000B28CE">
        <w:t>profesionales</w:t>
      </w:r>
      <w:r w:rsidR="005A303F" w:rsidRPr="000B28CE">
        <w:t xml:space="preserve"> y de personal de apoyo general financiados con cargo al presupuesto básico aumente en 1.</w:t>
      </w:r>
      <w:r w:rsidR="00E37FAD" w:rsidRPr="000B28CE">
        <w:t>66</w:t>
      </w:r>
      <w:r w:rsidR="005A303F" w:rsidRPr="000B28CE">
        <w:t xml:space="preserve"> y </w:t>
      </w:r>
      <w:r w:rsidR="00E37FAD" w:rsidRPr="000B28CE">
        <w:t>2</w:t>
      </w:r>
      <w:r w:rsidR="005A303F" w:rsidRPr="000B28CE">
        <w:t xml:space="preserve">, respectivamente, en comparación con la plantilla de personal de la Secretaría para el período 2018-2020. En el Escenario </w:t>
      </w:r>
      <w:r w:rsidR="00E37FAD" w:rsidRPr="000B28CE">
        <w:t>4</w:t>
      </w:r>
      <w:r w:rsidR="005A303F" w:rsidRPr="000B28CE">
        <w:t xml:space="preserve">, no se refleja ningún cambio en términos de puestos de trabajo en comparación con el Escenario </w:t>
      </w:r>
      <w:r w:rsidR="00E37FAD" w:rsidRPr="000B28CE">
        <w:t>3</w:t>
      </w:r>
      <w:r w:rsidR="005A303F" w:rsidRPr="000B28CE">
        <w:t>.</w:t>
      </w:r>
    </w:p>
    <w:p w:rsidR="00D71967" w:rsidRPr="000B28CE" w:rsidRDefault="00D71967" w:rsidP="00FA4FBA">
      <w:pPr>
        <w:pStyle w:val="NoSpacing"/>
        <w:jc w:val="both"/>
        <w:rPr>
          <w:rFonts w:ascii="Arial" w:hAnsi="Arial" w:cs="Arial"/>
          <w:lang w:val="es-ES"/>
        </w:rPr>
      </w:pPr>
    </w:p>
    <w:p w:rsidR="00D71967" w:rsidRPr="000B28CE" w:rsidRDefault="008A196A" w:rsidP="00FA4FBA">
      <w:pPr>
        <w:pStyle w:val="NoSpacing"/>
        <w:jc w:val="both"/>
        <w:rPr>
          <w:rFonts w:ascii="Arial" w:hAnsi="Arial" w:cs="Arial"/>
          <w:b/>
          <w:lang w:val="es-ES"/>
        </w:rPr>
      </w:pPr>
      <w:r w:rsidRPr="000B28CE">
        <w:rPr>
          <w:rFonts w:ascii="Arial" w:hAnsi="Arial"/>
          <w:b/>
          <w:i/>
          <w:lang w:val="es-ES"/>
        </w:rPr>
        <w:t>Gastos de apoyo a los programas</w:t>
      </w:r>
      <w:r w:rsidRPr="000B28CE">
        <w:rPr>
          <w:rFonts w:ascii="Arial" w:hAnsi="Arial" w:cs="Arial"/>
          <w:b/>
          <w:lang w:val="es-ES"/>
        </w:rPr>
        <w:t xml:space="preserve"> </w:t>
      </w:r>
      <w:r w:rsidR="00D71967" w:rsidRPr="000B28CE">
        <w:rPr>
          <w:rFonts w:ascii="Arial" w:hAnsi="Arial" w:cs="Arial"/>
          <w:b/>
          <w:lang w:val="es-ES"/>
        </w:rPr>
        <w:t>(PSC)</w:t>
      </w:r>
    </w:p>
    <w:p w:rsidR="00D71967" w:rsidRPr="000B28CE" w:rsidRDefault="00D71967" w:rsidP="00FA4FBA">
      <w:pPr>
        <w:spacing w:after="0" w:line="240" w:lineRule="auto"/>
        <w:jc w:val="both"/>
        <w:rPr>
          <w:rFonts w:cs="Arial"/>
          <w:lang w:val="es-ES"/>
        </w:rPr>
      </w:pPr>
    </w:p>
    <w:p w:rsidR="008A196A" w:rsidRPr="000B28CE" w:rsidRDefault="008A196A" w:rsidP="00FA4FBA">
      <w:pPr>
        <w:pStyle w:val="Firstnumbering1"/>
      </w:pPr>
      <w:r w:rsidRPr="000B28CE">
        <w:t xml:space="preserve">De conformidad con la Resolución 35/217 de la Asamblea General de las Naciones Unidas, de 17 de diciembre de 1980, la ONU Medio Ambiente aplica una tasa del 13% sobre los gastos del Fondo Fiduciario realizados para la administración de la Secretaría de la CMS. La resolución de la Asamblea General tiene por objeto asegurar que los recursos básicos proporcionados a los organismos de las Naciones Unidas no se desvíen de los mandatos básicos aprobados por sus órganos legislativos hacia la administración o implementación de actividades extrapresupuestarias. En el caso de la </w:t>
      </w:r>
      <w:r w:rsidR="00E37FAD" w:rsidRPr="000B28CE">
        <w:t>PNUMA</w:t>
      </w:r>
      <w:r w:rsidRPr="000B28CE">
        <w:t>, el Director Ejecutivo, de conformidad con lo establecido en la política de los gastos de apoyo a los programas (PSC por sus siglas en inglés), decidió devolver una parte del 13% de los PSC aplicado a los gastos de todos los fondos de la familia de la CMS, para ayudar a cubrir los gastos de los servicios de apoyo administrativo de la Secretaría de la CMS. Estos recursos se utilizan actualmente para financiar un puesto de categoría profesional (Oficial de gestión administrativa y financiera P-4</w:t>
      </w:r>
      <w:r w:rsidR="00075E27" w:rsidRPr="000B28CE">
        <w:t xml:space="preserve"> actualmente ocupado por un P3</w:t>
      </w:r>
      <w:r w:rsidRPr="000B28CE">
        <w:t>) y cinco puestos del cuadro de servicios generales (cuatro con sede en Bonn</w:t>
      </w:r>
      <w:r w:rsidR="00075E27" w:rsidRPr="000B28CE">
        <w:t>,</w:t>
      </w:r>
      <w:r w:rsidR="00E37FAD" w:rsidRPr="000B28CE">
        <w:t xml:space="preserve"> </w:t>
      </w:r>
      <w:r w:rsidRPr="000B28CE">
        <w:t xml:space="preserve">Alemania y uno </w:t>
      </w:r>
      <w:r w:rsidR="00075E27" w:rsidRPr="000B28CE">
        <w:t>u</w:t>
      </w:r>
      <w:r w:rsidRPr="000B28CE">
        <w:t>bicado en Abu Dhabi, Emiratos Árabes Unidos).</w:t>
      </w:r>
    </w:p>
    <w:p w:rsidR="00075E27" w:rsidRPr="000B28CE" w:rsidRDefault="00075E27" w:rsidP="00FA4FBA">
      <w:pPr>
        <w:widowControl w:val="0"/>
        <w:tabs>
          <w:tab w:val="left" w:pos="360"/>
        </w:tabs>
        <w:autoSpaceDE w:val="0"/>
        <w:autoSpaceDN w:val="0"/>
        <w:adjustRightInd w:val="0"/>
        <w:spacing w:after="0" w:line="240" w:lineRule="auto"/>
        <w:contextualSpacing/>
        <w:jc w:val="both"/>
        <w:rPr>
          <w:rFonts w:cs="Arial"/>
          <w:lang w:val="es-ES"/>
        </w:rPr>
      </w:pPr>
    </w:p>
    <w:p w:rsidR="00075E27" w:rsidRPr="000B28CE" w:rsidRDefault="00075E27" w:rsidP="00FA4FBA">
      <w:pPr>
        <w:spacing w:after="0" w:line="240" w:lineRule="auto"/>
        <w:jc w:val="both"/>
        <w:rPr>
          <w:rFonts w:cs="Arial"/>
          <w:u w:val="single"/>
          <w:lang w:val="es-ES"/>
        </w:rPr>
      </w:pPr>
      <w:r w:rsidRPr="000B28CE">
        <w:rPr>
          <w:u w:val="single"/>
          <w:lang w:val="es-ES"/>
        </w:rPr>
        <w:t>Escala de cuotas de contribución abonables por las Partes</w:t>
      </w:r>
    </w:p>
    <w:p w:rsidR="00D71967" w:rsidRPr="000B28CE" w:rsidRDefault="00D71967" w:rsidP="00FA4FBA">
      <w:pPr>
        <w:pStyle w:val="NoSpacing"/>
        <w:jc w:val="both"/>
        <w:rPr>
          <w:rFonts w:ascii="Arial" w:hAnsi="Arial" w:cs="Arial"/>
          <w:lang w:val="es-ES"/>
        </w:rPr>
      </w:pPr>
    </w:p>
    <w:p w:rsidR="00075E27" w:rsidRPr="000B28CE" w:rsidRDefault="00075E27" w:rsidP="00FA4FBA">
      <w:pPr>
        <w:pStyle w:val="Firstnumbering1"/>
      </w:pPr>
      <w:r w:rsidRPr="000B28CE">
        <w:t>Las cuotas asignadas de las Partes para cada un</w:t>
      </w:r>
      <w:r w:rsidR="005A303F" w:rsidRPr="000B28CE">
        <w:t>o</w:t>
      </w:r>
      <w:r w:rsidRPr="000B28CE">
        <w:t xml:space="preserve"> de los Escenarios presupuestarios se presentan en el Anexo </w:t>
      </w:r>
      <w:r w:rsidR="00E37FAD" w:rsidRPr="000B28CE">
        <w:t>4</w:t>
      </w:r>
      <w:r w:rsidR="00D71967" w:rsidRPr="000B28CE">
        <w:t xml:space="preserve">. </w:t>
      </w:r>
      <w:r w:rsidRPr="000B28CE">
        <w:t>Las cuotas asignadas se basan en la actual escala de cuotas de las Naciones Unidas para</w:t>
      </w:r>
      <w:r w:rsidR="00D71967" w:rsidRPr="000B28CE">
        <w:t xml:space="preserve"> 2019-2021, </w:t>
      </w:r>
      <w:r w:rsidRPr="000B28CE">
        <w:t>que fue adoptada por la Asamblea General mediante su Resolución</w:t>
      </w:r>
      <w:r w:rsidR="00D71967" w:rsidRPr="000B28CE">
        <w:t xml:space="preserve"> A/RES/73/271 </w:t>
      </w:r>
      <w:r w:rsidRPr="000B28CE">
        <w:t xml:space="preserve">del 4 de enero </w:t>
      </w:r>
      <w:r w:rsidR="00D71967" w:rsidRPr="000B28CE">
        <w:t xml:space="preserve">2019, </w:t>
      </w:r>
      <w:r w:rsidRPr="000B28CE">
        <w:t xml:space="preserve">ajustada para tener en cuenta el hecho de que no todos los Estados Miembros de las Naciones Unidas son Partes en la Convención. </w:t>
      </w:r>
    </w:p>
    <w:p w:rsidR="00D71967" w:rsidRPr="000B28CE" w:rsidRDefault="00D71967" w:rsidP="00FA4FBA">
      <w:pPr>
        <w:tabs>
          <w:tab w:val="left" w:pos="360"/>
        </w:tabs>
        <w:spacing w:after="0" w:line="240" w:lineRule="auto"/>
        <w:ind w:left="360"/>
        <w:contextualSpacing/>
        <w:jc w:val="both"/>
        <w:rPr>
          <w:rFonts w:cs="Arial"/>
          <w:lang w:val="es-ES"/>
        </w:rPr>
      </w:pPr>
    </w:p>
    <w:p w:rsidR="00E37FAD" w:rsidRPr="000B28CE" w:rsidRDefault="005A303F" w:rsidP="00E37FAD">
      <w:pPr>
        <w:pStyle w:val="Firstnumbering1"/>
        <w:rPr>
          <w:b/>
        </w:rPr>
      </w:pPr>
      <w:r w:rsidRPr="000B28CE">
        <w:t xml:space="preserve">Además, </w:t>
      </w:r>
      <w:r w:rsidR="00E37FAD" w:rsidRPr="000B28CE">
        <w:t xml:space="preserve">el Anexo 4 </w:t>
      </w:r>
      <w:r w:rsidRPr="000B28CE">
        <w:t>incluye una escala de contribuciones con opciones de contribuciones mínimas de 1.000 euros o 2.000 euros anuales, según lo dispuesto en la 48ª reunión del Comité Permanente en octubre de 2018. Este enfoque se utiliza actualmente para las contribuciones al Acuerdo sobre la conservación de las poblaciones de murciélagos europeos (EUROBATS) y al Acuerdo sobre la conservación de las aves acuáticas migratorias de África y Eurasia (AEWA), respectivamente.</w:t>
      </w:r>
      <w:r w:rsidR="00E37FAD" w:rsidRPr="000B28CE">
        <w:t xml:space="preserve"> </w:t>
      </w:r>
      <w:r w:rsidRPr="000B28CE">
        <w:rPr>
          <w:rFonts w:eastAsiaTheme="minorHAnsi"/>
        </w:rPr>
        <w:t>Se propone la introducción de contribuciones mínimas debido a que el costo administrativo de la tramitación de las cuotas es relativamente alto teniendo en cuenta el valor de las cuotas.</w:t>
      </w:r>
      <w:r w:rsidR="00E37FAD" w:rsidRPr="000B28CE">
        <w:t xml:space="preserve"> </w:t>
      </w:r>
      <w:r w:rsidR="00E37FAD" w:rsidRPr="000B28CE">
        <w:rPr>
          <w:rFonts w:eastAsiaTheme="minorHAnsi"/>
        </w:rPr>
        <w:t xml:space="preserve">Varias Partes también han señalado la dificultad de que se procesen los pagos cuando su valor es relativamente bajo. </w:t>
      </w:r>
    </w:p>
    <w:p w:rsidR="00E37FAD" w:rsidRPr="000B28CE" w:rsidRDefault="00E37FAD" w:rsidP="00E37FAD">
      <w:pPr>
        <w:pStyle w:val="ListParagraph"/>
        <w:spacing w:after="0" w:line="240" w:lineRule="auto"/>
        <w:rPr>
          <w:lang w:val="es-ES"/>
        </w:rPr>
      </w:pPr>
    </w:p>
    <w:p w:rsidR="00D71967" w:rsidRPr="000B28CE" w:rsidRDefault="00E37FAD" w:rsidP="00E37FAD">
      <w:pPr>
        <w:pStyle w:val="Firstnumbering1"/>
        <w:rPr>
          <w:b/>
        </w:rPr>
      </w:pPr>
      <w:r w:rsidRPr="000B28CE">
        <w:rPr>
          <w:rFonts w:eastAsiaTheme="minorHAnsi"/>
        </w:rPr>
        <w:t>Con la introducción de una contribución mínima de 1</w:t>
      </w:r>
      <w:r w:rsidR="006B2C64" w:rsidRPr="000B28CE">
        <w:rPr>
          <w:rFonts w:eastAsiaTheme="minorHAnsi"/>
        </w:rPr>
        <w:t xml:space="preserve"> </w:t>
      </w:r>
      <w:r w:rsidRPr="000B28CE">
        <w:rPr>
          <w:rFonts w:eastAsiaTheme="minorHAnsi"/>
        </w:rPr>
        <w:t>000 euros anuales, se revisará el nivel de las contribuciones de 59 Partes, lo que dará lugar a ingresos adicionales para el Fondo Fiduciario en comparación con el presupuesto total que deberán compartir las Partes. El nivel de las contribuciones de otras Partes evaluadas en más de 1</w:t>
      </w:r>
      <w:r w:rsidR="006B2C64" w:rsidRPr="000B28CE">
        <w:rPr>
          <w:rFonts w:eastAsiaTheme="minorHAnsi"/>
        </w:rPr>
        <w:t xml:space="preserve"> </w:t>
      </w:r>
      <w:r w:rsidRPr="000B28CE">
        <w:rPr>
          <w:rFonts w:eastAsiaTheme="minorHAnsi"/>
        </w:rPr>
        <w:t xml:space="preserve">000 euros anuales utilizando la actual escala de cuotas de las Naciones Unidas sigue siendo el mismo. </w:t>
      </w:r>
    </w:p>
    <w:p w:rsidR="00E37FAD" w:rsidRPr="000B28CE" w:rsidRDefault="00E37FAD" w:rsidP="00E37FAD">
      <w:pPr>
        <w:pStyle w:val="ListParagraph"/>
        <w:spacing w:after="0" w:line="240" w:lineRule="auto"/>
        <w:contextualSpacing w:val="0"/>
        <w:rPr>
          <w:lang w:val="es-ES"/>
        </w:rPr>
      </w:pPr>
    </w:p>
    <w:p w:rsidR="00E37FAD" w:rsidRPr="000B28CE" w:rsidRDefault="00E37FAD" w:rsidP="00E37FAD">
      <w:pPr>
        <w:pStyle w:val="Firstnumbering1"/>
      </w:pPr>
      <w:r w:rsidRPr="000B28CE">
        <w:t>En el Escenario 1, la aplicación de 1</w:t>
      </w:r>
      <w:r w:rsidR="006B2C64" w:rsidRPr="000B28CE">
        <w:t xml:space="preserve"> </w:t>
      </w:r>
      <w:r w:rsidRPr="000B28CE">
        <w:t>000 euros anuales eleva el total de las contribuciones a 8</w:t>
      </w:r>
      <w:r w:rsidR="006B2C64" w:rsidRPr="000B28CE">
        <w:t xml:space="preserve"> </w:t>
      </w:r>
      <w:r w:rsidRPr="000B28CE">
        <w:t>274</w:t>
      </w:r>
      <w:r w:rsidR="006B2C64" w:rsidRPr="000B28CE">
        <w:t xml:space="preserve"> </w:t>
      </w:r>
      <w:r w:rsidRPr="000B28CE">
        <w:t>859 euros, lo que supone unos ingresos adicionales de 118</w:t>
      </w:r>
      <w:r w:rsidR="006B2C64" w:rsidRPr="000B28CE">
        <w:t xml:space="preserve"> </w:t>
      </w:r>
      <w:r w:rsidRPr="000B28CE">
        <w:t>657 euros. En el Escenario 2, 1</w:t>
      </w:r>
      <w:r w:rsidR="006B2C64" w:rsidRPr="000B28CE">
        <w:t xml:space="preserve"> </w:t>
      </w:r>
      <w:r w:rsidRPr="000B28CE">
        <w:t>000 euros anuales elevan las contribuciones totales a 8</w:t>
      </w:r>
      <w:r w:rsidR="006B2C64" w:rsidRPr="000B28CE">
        <w:t xml:space="preserve"> </w:t>
      </w:r>
      <w:r w:rsidRPr="000B28CE">
        <w:t>635</w:t>
      </w:r>
      <w:r w:rsidR="006B2C64" w:rsidRPr="000B28CE">
        <w:t xml:space="preserve"> </w:t>
      </w:r>
      <w:r w:rsidRPr="000B28CE">
        <w:t>366 euros, lo que supone unos ingresos adicionales de 116</w:t>
      </w:r>
      <w:r w:rsidR="006B2C64" w:rsidRPr="000B28CE">
        <w:t xml:space="preserve"> </w:t>
      </w:r>
      <w:r w:rsidRPr="000B28CE">
        <w:t>063 euros. En las hipótesis 3 y 4, se generarán 108</w:t>
      </w:r>
      <w:r w:rsidR="006B2C64" w:rsidRPr="000B28CE">
        <w:t xml:space="preserve"> </w:t>
      </w:r>
      <w:r w:rsidRPr="000B28CE">
        <w:t>466 y 106</w:t>
      </w:r>
      <w:r w:rsidR="006B2C64" w:rsidRPr="000B28CE">
        <w:t xml:space="preserve"> </w:t>
      </w:r>
      <w:r w:rsidRPr="000B28CE">
        <w:t>765 euros, respectivamente, como ingresos adicionales al Fondo Fiduciario.</w:t>
      </w:r>
    </w:p>
    <w:p w:rsidR="006B2C64" w:rsidRPr="000B28CE" w:rsidRDefault="006B2C64" w:rsidP="006B2C64">
      <w:pPr>
        <w:pStyle w:val="ListParagraph"/>
        <w:spacing w:after="0" w:line="240" w:lineRule="auto"/>
        <w:rPr>
          <w:lang w:val="es-ES"/>
        </w:rPr>
      </w:pPr>
    </w:p>
    <w:p w:rsidR="006B2C64" w:rsidRPr="000B28CE" w:rsidRDefault="006B2C64" w:rsidP="00E37FAD">
      <w:pPr>
        <w:pStyle w:val="Firstnumbering1"/>
      </w:pPr>
      <w:r w:rsidRPr="000B28CE">
        <w:t>Con la introducción de una contribución mínima de 2 000 euros anuales, se revisará el nivel de contribuciones de 68 Partes, lo que dará lugar a ingresos adicionales para el Fondo Fiduciario en comparación con el presupuesto total que deberán compartir las Partes. El nivel de las contribuciones de otras Partes evaluadas en más de 2 000 euros anuales utilizando la actual escala de cuotas de las Naciones Unidas sigue siendo el mismo.</w:t>
      </w:r>
    </w:p>
    <w:p w:rsidR="006B2C64" w:rsidRPr="000B28CE" w:rsidRDefault="006B2C64" w:rsidP="006B2C64">
      <w:pPr>
        <w:pStyle w:val="Firstnumbering1"/>
        <w:numPr>
          <w:ilvl w:val="0"/>
          <w:numId w:val="0"/>
        </w:numPr>
      </w:pPr>
    </w:p>
    <w:p w:rsidR="005A303F" w:rsidRPr="000B28CE" w:rsidRDefault="006B2C64" w:rsidP="006B2C64">
      <w:pPr>
        <w:pStyle w:val="Firstnumbering1"/>
        <w:rPr>
          <w:u w:val="single"/>
        </w:rPr>
      </w:pPr>
      <w:r w:rsidRPr="000B28CE">
        <w:t>En el Escenario 1, si se aplican 2 000 euros anuales, las contribuciones totales ascienden a 8 470 519 euros, lo que supone una contribución adicional de 314 317 euros. En el Escenario 2, 2 000 euros anuales elevan las contribuciones totales a 8 829 484 euros, lo que supone una contribución adicional de 310 180 euros. De acuerdo con las hipótesis 3 y 4, se generarán 298 127 y 29 276 euros como contribuciones adicionales al Fondo Fiduciario.</w:t>
      </w:r>
    </w:p>
    <w:p w:rsidR="006B2C64" w:rsidRPr="000B28CE" w:rsidRDefault="006B2C64" w:rsidP="006B2C64">
      <w:pPr>
        <w:pStyle w:val="ListParagraph"/>
        <w:spacing w:after="0" w:line="240" w:lineRule="auto"/>
        <w:rPr>
          <w:u w:val="single"/>
          <w:lang w:val="es-ES"/>
        </w:rPr>
      </w:pPr>
    </w:p>
    <w:p w:rsidR="006B2C64" w:rsidRPr="000B28CE" w:rsidRDefault="006B2C64" w:rsidP="006B2C64">
      <w:pPr>
        <w:pStyle w:val="Firstnumbering1"/>
      </w:pPr>
      <w:r w:rsidRPr="000B28CE">
        <w:t>Aparte de las tres propuestas anteriores, se podrían considerar otras alternativas para la escala de contribuciones, que se han discutido con el Subcomité de Finanzas y Presupuesto. Estos incluyen:</w:t>
      </w:r>
    </w:p>
    <w:p w:rsidR="006B2C64" w:rsidRPr="000B28CE" w:rsidRDefault="006B2C64" w:rsidP="006B2C64">
      <w:pPr>
        <w:pStyle w:val="Firstnumbering1"/>
        <w:numPr>
          <w:ilvl w:val="0"/>
          <w:numId w:val="0"/>
        </w:numPr>
      </w:pPr>
    </w:p>
    <w:p w:rsidR="006B2C64" w:rsidRPr="000B28CE" w:rsidRDefault="006B2C64" w:rsidP="006B2C64">
      <w:pPr>
        <w:pStyle w:val="ListParagraph"/>
        <w:numPr>
          <w:ilvl w:val="0"/>
          <w:numId w:val="29"/>
        </w:numPr>
        <w:ind w:left="993" w:hanging="426"/>
        <w:jc w:val="both"/>
        <w:rPr>
          <w:lang w:val="es-ES"/>
        </w:rPr>
      </w:pPr>
      <w:r w:rsidRPr="000B28CE">
        <w:rPr>
          <w:lang w:val="es-ES"/>
        </w:rPr>
        <w:t>la escala de contribuciones para el próximo trienio puede basarse en las Partes existentes del período presupuestario en curso, lo que significa que sus contribuciones no se reducirán en caso de que nuevas Partes se hayan adherido a la Convención desde que se adoptó el presupuesto en curso. Las contribuciones de las nuevas Partes se calcularán por separado como contribuciones adicionales al Fondo Fiduciario;</w:t>
      </w:r>
    </w:p>
    <w:p w:rsidR="006B2C64" w:rsidRPr="000B28CE" w:rsidRDefault="006B2C64" w:rsidP="006B2C64">
      <w:pPr>
        <w:pStyle w:val="ListParagraph"/>
        <w:rPr>
          <w:lang w:val="es-ES"/>
        </w:rPr>
      </w:pPr>
    </w:p>
    <w:p w:rsidR="006B2C64" w:rsidRPr="000B28CE" w:rsidRDefault="006B2C64" w:rsidP="006B2C64">
      <w:pPr>
        <w:pStyle w:val="ListParagraph"/>
        <w:numPr>
          <w:ilvl w:val="0"/>
          <w:numId w:val="29"/>
        </w:numPr>
        <w:ind w:left="993" w:hanging="426"/>
        <w:rPr>
          <w:lang w:val="es-ES"/>
        </w:rPr>
      </w:pPr>
      <w:r w:rsidRPr="000B28CE">
        <w:rPr>
          <w:lang w:val="es-ES"/>
        </w:rPr>
        <w:t xml:space="preserve">ningún cambio en la escala de contribuciones para el próximo trienio para las Partes cuyo nivel propuesto sea inferior a la escala actual de contribuciones; </w:t>
      </w:r>
    </w:p>
    <w:p w:rsidR="006B2C64" w:rsidRPr="000B28CE" w:rsidRDefault="006B2C64" w:rsidP="006B2C64">
      <w:pPr>
        <w:pStyle w:val="ListParagraph"/>
        <w:rPr>
          <w:lang w:val="es-ES"/>
        </w:rPr>
      </w:pPr>
    </w:p>
    <w:p w:rsidR="006B2C64" w:rsidRPr="000B28CE" w:rsidRDefault="006B2C64" w:rsidP="006B2C64">
      <w:pPr>
        <w:pStyle w:val="ListParagraph"/>
        <w:numPr>
          <w:ilvl w:val="0"/>
          <w:numId w:val="29"/>
        </w:numPr>
        <w:ind w:left="993" w:hanging="426"/>
        <w:rPr>
          <w:lang w:val="es-ES"/>
        </w:rPr>
      </w:pPr>
      <w:r w:rsidRPr="000B28CE">
        <w:rPr>
          <w:lang w:val="es-ES"/>
        </w:rPr>
        <w:t>podría prepararse una escala voluntaria de cuotas para las Partes a fin de compensar los atrasos actuales.</w:t>
      </w:r>
    </w:p>
    <w:p w:rsidR="006B2C64" w:rsidRPr="000B28CE" w:rsidRDefault="006B2C64" w:rsidP="006B2C64">
      <w:pPr>
        <w:spacing w:after="0" w:line="240" w:lineRule="auto"/>
        <w:jc w:val="both"/>
        <w:rPr>
          <w:rFonts w:cs="Arial"/>
          <w:u w:val="single"/>
          <w:lang w:val="es-ES"/>
        </w:rPr>
      </w:pPr>
    </w:p>
    <w:p w:rsidR="006B2C64" w:rsidRPr="000B28CE" w:rsidRDefault="006B2C64" w:rsidP="006B2C64">
      <w:pPr>
        <w:spacing w:after="0" w:line="240" w:lineRule="auto"/>
        <w:jc w:val="both"/>
        <w:rPr>
          <w:rFonts w:cs="Arial"/>
          <w:u w:val="single"/>
          <w:lang w:val="es-ES"/>
        </w:rPr>
      </w:pPr>
      <w:r w:rsidRPr="000B28CE">
        <w:rPr>
          <w:rFonts w:cs="Arial"/>
          <w:u w:val="single"/>
          <w:lang w:val="es-ES"/>
        </w:rPr>
        <w:t>Acciones recomendadas</w:t>
      </w:r>
    </w:p>
    <w:p w:rsidR="006B2C64" w:rsidRPr="000B28CE" w:rsidRDefault="006B2C64" w:rsidP="006B2C64">
      <w:pPr>
        <w:spacing w:after="0" w:line="240" w:lineRule="auto"/>
        <w:jc w:val="both"/>
        <w:rPr>
          <w:rFonts w:cs="Arial"/>
          <w:u w:val="single"/>
          <w:lang w:val="es-ES"/>
        </w:rPr>
      </w:pPr>
    </w:p>
    <w:p w:rsidR="006B2C64" w:rsidRPr="000B28CE" w:rsidRDefault="006B2C64" w:rsidP="006B2C64">
      <w:pPr>
        <w:pStyle w:val="Firstnumbering1"/>
      </w:pPr>
      <w:r w:rsidRPr="000B28CE">
        <w:t>Se recomienda a la Conferencia de las Partes:</w:t>
      </w:r>
    </w:p>
    <w:p w:rsidR="006B2C64" w:rsidRPr="000B28CE" w:rsidRDefault="006B2C64" w:rsidP="006B2C64">
      <w:pPr>
        <w:spacing w:after="0" w:line="240" w:lineRule="auto"/>
        <w:jc w:val="both"/>
        <w:rPr>
          <w:rFonts w:cs="Arial"/>
          <w:lang w:val="es-ES"/>
        </w:rPr>
      </w:pPr>
    </w:p>
    <w:p w:rsidR="006B2C64" w:rsidRPr="000B28CE" w:rsidRDefault="006B2C64" w:rsidP="006B2C64">
      <w:pPr>
        <w:numPr>
          <w:ilvl w:val="0"/>
          <w:numId w:val="13"/>
        </w:numPr>
        <w:autoSpaceDN w:val="0"/>
        <w:spacing w:after="0" w:line="240" w:lineRule="auto"/>
        <w:ind w:left="993" w:hanging="426"/>
        <w:contextualSpacing/>
        <w:jc w:val="both"/>
        <w:rPr>
          <w:rFonts w:cs="Arial"/>
          <w:lang w:val="es-ES"/>
        </w:rPr>
      </w:pPr>
      <w:r w:rsidRPr="000B28CE">
        <w:rPr>
          <w:lang w:val="es-ES"/>
        </w:rPr>
        <w:t>adoptar el proyecto de Resolución que figura en el Anexo 5</w:t>
      </w:r>
      <w:r w:rsidRPr="000B28CE">
        <w:rPr>
          <w:rFonts w:cs="Arial"/>
          <w:lang w:val="es-ES"/>
        </w:rPr>
        <w:t xml:space="preserve"> </w:t>
      </w:r>
      <w:r w:rsidRPr="000B28CE">
        <w:rPr>
          <w:lang w:val="es-ES"/>
        </w:rPr>
        <w:t>del presente documento.</w:t>
      </w:r>
    </w:p>
    <w:p w:rsidR="006B2C64" w:rsidRPr="000B28CE" w:rsidRDefault="006B2C64" w:rsidP="006B2C64">
      <w:pPr>
        <w:pStyle w:val="Firstnumbering1"/>
        <w:numPr>
          <w:ilvl w:val="0"/>
          <w:numId w:val="0"/>
        </w:numPr>
        <w:ind w:left="567"/>
      </w:pPr>
    </w:p>
    <w:p w:rsidR="006B2C64" w:rsidRPr="000B28CE" w:rsidRDefault="006B2C64" w:rsidP="00FA4FBA">
      <w:pPr>
        <w:spacing w:after="0" w:line="240" w:lineRule="auto"/>
        <w:jc w:val="both"/>
        <w:rPr>
          <w:rFonts w:cs="Arial"/>
          <w:u w:val="single"/>
          <w:lang w:val="es-ES"/>
        </w:rPr>
      </w:pPr>
    </w:p>
    <w:p w:rsidR="00D71967" w:rsidRPr="000B28CE" w:rsidRDefault="00D71967" w:rsidP="00142D0F">
      <w:pPr>
        <w:spacing w:after="120" w:line="240" w:lineRule="auto"/>
        <w:jc w:val="both"/>
        <w:rPr>
          <w:rFonts w:cs="Arial"/>
          <w:u w:val="single"/>
          <w:lang w:val="es-ES"/>
        </w:rPr>
      </w:pPr>
      <w:r w:rsidRPr="000B28CE">
        <w:rPr>
          <w:rFonts w:cs="Arial"/>
          <w:u w:val="single"/>
          <w:lang w:val="es-ES"/>
        </w:rPr>
        <w:t>An</w:t>
      </w:r>
      <w:r w:rsidR="00075E27" w:rsidRPr="000B28CE">
        <w:rPr>
          <w:rFonts w:cs="Arial"/>
          <w:u w:val="single"/>
          <w:lang w:val="es-ES"/>
        </w:rPr>
        <w:t>exos</w:t>
      </w:r>
    </w:p>
    <w:p w:rsidR="00D71967" w:rsidRPr="000B28CE" w:rsidRDefault="00075E2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rFonts w:cs="Arial"/>
          <w:lang w:val="es-ES"/>
        </w:rPr>
        <w:t>Costos estándar de salarios</w:t>
      </w:r>
      <w:r w:rsidR="00D71967" w:rsidRPr="000B28CE">
        <w:rPr>
          <w:rFonts w:cs="Arial"/>
          <w:lang w:val="es-ES"/>
        </w:rPr>
        <w:t xml:space="preserve"> – Anex</w:t>
      </w:r>
      <w:r w:rsidR="006B2C64" w:rsidRPr="000B28CE">
        <w:rPr>
          <w:rFonts w:cs="Arial"/>
          <w:lang w:val="es-ES"/>
        </w:rPr>
        <w:t>o</w:t>
      </w:r>
      <w:r w:rsidR="00D71967" w:rsidRPr="000B28CE">
        <w:rPr>
          <w:rFonts w:cs="Arial"/>
          <w:lang w:val="es-ES"/>
        </w:rPr>
        <w:t xml:space="preserve"> 1</w:t>
      </w:r>
    </w:p>
    <w:p w:rsidR="006B2C64" w:rsidRPr="000B28CE" w:rsidRDefault="006B2C64"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rFonts w:cs="Arial"/>
          <w:lang w:val="es-ES"/>
        </w:rPr>
        <w:t>Información adicional sobre cambios de personal propuestos en el Escenario 3 – Anexo 2</w:t>
      </w:r>
    </w:p>
    <w:p w:rsidR="00D71967" w:rsidRPr="000B28CE" w:rsidRDefault="00075E2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lang w:val="es-ES"/>
        </w:rPr>
        <w:t xml:space="preserve">Presupuesto propuesto para el trienio </w:t>
      </w:r>
      <w:r w:rsidR="00D71967" w:rsidRPr="000B28CE">
        <w:rPr>
          <w:rFonts w:cs="Arial"/>
          <w:lang w:val="es-ES"/>
        </w:rPr>
        <w:t xml:space="preserve">2021-2023 - </w:t>
      </w:r>
      <w:r w:rsidRPr="000B28CE">
        <w:rPr>
          <w:rFonts w:cs="Arial"/>
          <w:lang w:val="es-ES"/>
        </w:rPr>
        <w:t>Es</w:t>
      </w:r>
      <w:r w:rsidR="00D71967" w:rsidRPr="000B28CE">
        <w:rPr>
          <w:rFonts w:cs="Arial"/>
          <w:lang w:val="es-ES"/>
        </w:rPr>
        <w:t xml:space="preserve">cenario 1 – </w:t>
      </w:r>
      <w:r w:rsidRPr="000B28CE">
        <w:rPr>
          <w:lang w:val="es-ES"/>
        </w:rPr>
        <w:t xml:space="preserve">Crecimiento </w:t>
      </w:r>
      <w:r w:rsidR="006B2C64" w:rsidRPr="000B28CE">
        <w:rPr>
          <w:lang w:val="es-ES"/>
        </w:rPr>
        <w:t>nominal</w:t>
      </w:r>
      <w:r w:rsidRPr="000B28CE">
        <w:rPr>
          <w:lang w:val="es-ES"/>
        </w:rPr>
        <w:t xml:space="preserve"> cero</w:t>
      </w:r>
      <w:r w:rsidR="00D71967" w:rsidRPr="000B28CE">
        <w:rPr>
          <w:rFonts w:cs="Arial"/>
          <w:lang w:val="es-ES"/>
        </w:rPr>
        <w:t>, An</w:t>
      </w:r>
      <w:r w:rsidRPr="000B28CE">
        <w:rPr>
          <w:rFonts w:cs="Arial"/>
          <w:lang w:val="es-ES"/>
        </w:rPr>
        <w:t>exo</w:t>
      </w:r>
      <w:r w:rsidR="00D71967" w:rsidRPr="000B28CE">
        <w:rPr>
          <w:rFonts w:cs="Arial"/>
          <w:lang w:val="es-ES"/>
        </w:rPr>
        <w:t xml:space="preserve"> </w:t>
      </w:r>
      <w:r w:rsidR="00142D0F" w:rsidRPr="000B28CE">
        <w:rPr>
          <w:rFonts w:cs="Arial"/>
          <w:lang w:val="es-ES"/>
        </w:rPr>
        <w:t>3</w:t>
      </w:r>
      <w:r w:rsidR="00D71967" w:rsidRPr="000B28CE">
        <w:rPr>
          <w:rFonts w:cs="Arial"/>
          <w:lang w:val="es-ES"/>
        </w:rPr>
        <w:t xml:space="preserve"> (A)</w:t>
      </w:r>
    </w:p>
    <w:p w:rsidR="00D71967" w:rsidRPr="000B28CE" w:rsidRDefault="00075E2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lang w:val="es-ES"/>
        </w:rPr>
        <w:t xml:space="preserve">Presupuesto propuesto para el trienio </w:t>
      </w:r>
      <w:r w:rsidR="00D71967" w:rsidRPr="000B28CE">
        <w:rPr>
          <w:rFonts w:cs="Arial"/>
          <w:lang w:val="es-ES"/>
        </w:rPr>
        <w:t xml:space="preserve">2021-2023 - </w:t>
      </w:r>
      <w:r w:rsidRPr="000B28CE">
        <w:rPr>
          <w:rFonts w:cs="Arial"/>
          <w:lang w:val="es-ES"/>
        </w:rPr>
        <w:t>Es</w:t>
      </w:r>
      <w:r w:rsidR="00D71967" w:rsidRPr="000B28CE">
        <w:rPr>
          <w:rFonts w:cs="Arial"/>
          <w:lang w:val="es-ES"/>
        </w:rPr>
        <w:t>cenario 2, Anex</w:t>
      </w:r>
      <w:r w:rsidRPr="000B28CE">
        <w:rPr>
          <w:rFonts w:cs="Arial"/>
          <w:lang w:val="es-ES"/>
        </w:rPr>
        <w:t>o</w:t>
      </w:r>
      <w:r w:rsidR="00D71967" w:rsidRPr="000B28CE">
        <w:rPr>
          <w:rFonts w:cs="Arial"/>
          <w:lang w:val="es-ES"/>
        </w:rPr>
        <w:t xml:space="preserve"> </w:t>
      </w:r>
      <w:r w:rsidR="00142D0F" w:rsidRPr="000B28CE">
        <w:rPr>
          <w:rFonts w:cs="Arial"/>
          <w:lang w:val="es-ES"/>
        </w:rPr>
        <w:t>3</w:t>
      </w:r>
      <w:r w:rsidR="00D71967" w:rsidRPr="000B28CE">
        <w:rPr>
          <w:rFonts w:cs="Arial"/>
          <w:lang w:val="es-ES"/>
        </w:rPr>
        <w:t xml:space="preserve"> (B)</w:t>
      </w:r>
    </w:p>
    <w:p w:rsidR="00D71967" w:rsidRPr="000B28CE" w:rsidRDefault="00075E2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lang w:val="es-ES"/>
        </w:rPr>
        <w:t xml:space="preserve">Presupuesto propuesto para el trienio </w:t>
      </w:r>
      <w:r w:rsidR="00D71967" w:rsidRPr="000B28CE">
        <w:rPr>
          <w:rFonts w:cs="Arial"/>
          <w:lang w:val="es-ES"/>
        </w:rPr>
        <w:t xml:space="preserve">2021-2023 - </w:t>
      </w:r>
      <w:r w:rsidRPr="000B28CE">
        <w:rPr>
          <w:rFonts w:cs="Arial"/>
          <w:lang w:val="es-ES"/>
        </w:rPr>
        <w:t>Es</w:t>
      </w:r>
      <w:r w:rsidR="00D71967" w:rsidRPr="000B28CE">
        <w:rPr>
          <w:rFonts w:cs="Arial"/>
          <w:lang w:val="es-ES"/>
        </w:rPr>
        <w:t>cenario 3, Anex</w:t>
      </w:r>
      <w:r w:rsidRPr="000B28CE">
        <w:rPr>
          <w:rFonts w:cs="Arial"/>
          <w:lang w:val="es-ES"/>
        </w:rPr>
        <w:t>o</w:t>
      </w:r>
      <w:r w:rsidR="00D71967" w:rsidRPr="000B28CE">
        <w:rPr>
          <w:rFonts w:cs="Arial"/>
          <w:lang w:val="es-ES"/>
        </w:rPr>
        <w:t xml:space="preserve"> </w:t>
      </w:r>
      <w:r w:rsidR="00142D0F" w:rsidRPr="000B28CE">
        <w:rPr>
          <w:rFonts w:cs="Arial"/>
          <w:lang w:val="es-ES"/>
        </w:rPr>
        <w:t>3</w:t>
      </w:r>
      <w:r w:rsidR="00D71967" w:rsidRPr="000B28CE">
        <w:rPr>
          <w:rFonts w:cs="Arial"/>
          <w:lang w:val="es-ES"/>
        </w:rPr>
        <w:t xml:space="preserve"> (C)</w:t>
      </w:r>
    </w:p>
    <w:p w:rsidR="00D71967" w:rsidRPr="000B28CE" w:rsidRDefault="006B409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lang w:val="es-ES"/>
        </w:rPr>
        <w:t xml:space="preserve">Escala de cuotas para el trienio </w:t>
      </w:r>
      <w:r w:rsidR="00D71967" w:rsidRPr="000B28CE">
        <w:rPr>
          <w:rFonts w:cs="Arial"/>
          <w:lang w:val="es-ES"/>
        </w:rPr>
        <w:t xml:space="preserve">2021 – 2023 </w:t>
      </w:r>
      <w:r w:rsidRPr="000B28CE">
        <w:rPr>
          <w:rFonts w:cs="Arial"/>
          <w:lang w:val="es-ES"/>
        </w:rPr>
        <w:t>Presupuesto basado en la Escala de Cuotas de las Naciones Unidas</w:t>
      </w:r>
      <w:r w:rsidR="00D71967" w:rsidRPr="000B28CE">
        <w:rPr>
          <w:rFonts w:cs="Arial"/>
          <w:lang w:val="es-ES"/>
        </w:rPr>
        <w:t>, Anex</w:t>
      </w:r>
      <w:r w:rsidRPr="000B28CE">
        <w:rPr>
          <w:rFonts w:cs="Arial"/>
          <w:lang w:val="es-ES"/>
        </w:rPr>
        <w:t>o</w:t>
      </w:r>
      <w:r w:rsidR="00D71967" w:rsidRPr="000B28CE">
        <w:rPr>
          <w:rFonts w:cs="Arial"/>
          <w:lang w:val="es-ES"/>
        </w:rPr>
        <w:t xml:space="preserve"> </w:t>
      </w:r>
      <w:r w:rsidR="00142D0F" w:rsidRPr="000B28CE">
        <w:rPr>
          <w:rFonts w:cs="Arial"/>
          <w:lang w:val="es-ES"/>
        </w:rPr>
        <w:t>4</w:t>
      </w:r>
      <w:r w:rsidR="00D71967" w:rsidRPr="000B28CE">
        <w:rPr>
          <w:rFonts w:cs="Arial"/>
          <w:lang w:val="es-ES"/>
        </w:rPr>
        <w:t xml:space="preserve"> (A)</w:t>
      </w:r>
    </w:p>
    <w:p w:rsidR="00D71967" w:rsidRPr="000B28CE" w:rsidRDefault="006B409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rFonts w:cs="Arial"/>
          <w:lang w:val="es-ES"/>
        </w:rPr>
        <w:t>Escala de contribuciones para el trienio</w:t>
      </w:r>
      <w:r w:rsidR="00D71967" w:rsidRPr="000B28CE">
        <w:rPr>
          <w:rFonts w:cs="Arial"/>
          <w:lang w:val="es-ES"/>
        </w:rPr>
        <w:t xml:space="preserve"> 2021 – 2023 </w:t>
      </w:r>
      <w:r w:rsidRPr="000B28CE">
        <w:rPr>
          <w:rFonts w:cs="Arial"/>
          <w:lang w:val="es-ES"/>
        </w:rPr>
        <w:t xml:space="preserve">Presupuesto con una contribución mínima de </w:t>
      </w:r>
      <w:r w:rsidR="00D71967" w:rsidRPr="000B28CE">
        <w:rPr>
          <w:rFonts w:cs="Arial"/>
          <w:lang w:val="es-ES"/>
        </w:rPr>
        <w:t xml:space="preserve">1000 </w:t>
      </w:r>
      <w:r w:rsidR="00142D0F" w:rsidRPr="000B28CE">
        <w:rPr>
          <w:rFonts w:cs="Arial"/>
          <w:lang w:val="es-ES"/>
        </w:rPr>
        <w:t xml:space="preserve">euros </w:t>
      </w:r>
      <w:r w:rsidR="00D71967" w:rsidRPr="000B28CE">
        <w:rPr>
          <w:rFonts w:cs="Arial"/>
          <w:lang w:val="es-ES"/>
        </w:rPr>
        <w:t>p</w:t>
      </w:r>
      <w:r w:rsidRPr="000B28CE">
        <w:rPr>
          <w:rFonts w:cs="Arial"/>
          <w:lang w:val="es-ES"/>
        </w:rPr>
        <w:t>or año</w:t>
      </w:r>
      <w:r w:rsidR="00D71967" w:rsidRPr="000B28CE">
        <w:rPr>
          <w:rFonts w:cs="Arial"/>
          <w:lang w:val="es-ES"/>
        </w:rPr>
        <w:t>, Anex</w:t>
      </w:r>
      <w:r w:rsidRPr="000B28CE">
        <w:rPr>
          <w:rFonts w:cs="Arial"/>
          <w:lang w:val="es-ES"/>
        </w:rPr>
        <w:t>o</w:t>
      </w:r>
      <w:r w:rsidR="00D71967" w:rsidRPr="000B28CE">
        <w:rPr>
          <w:rFonts w:cs="Arial"/>
          <w:lang w:val="es-ES"/>
        </w:rPr>
        <w:t xml:space="preserve"> </w:t>
      </w:r>
      <w:r w:rsidR="00142D0F" w:rsidRPr="000B28CE">
        <w:rPr>
          <w:rFonts w:cs="Arial"/>
          <w:lang w:val="es-ES"/>
        </w:rPr>
        <w:t>4</w:t>
      </w:r>
      <w:r w:rsidR="00D71967" w:rsidRPr="000B28CE">
        <w:rPr>
          <w:rFonts w:cs="Arial"/>
          <w:lang w:val="es-ES"/>
        </w:rPr>
        <w:t xml:space="preserve"> (B)</w:t>
      </w:r>
    </w:p>
    <w:p w:rsidR="00D71967" w:rsidRPr="000B28CE" w:rsidRDefault="006B409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rFonts w:cs="Arial"/>
          <w:lang w:val="es-ES"/>
        </w:rPr>
        <w:t xml:space="preserve">Escala de contribuciones para el trienio </w:t>
      </w:r>
      <w:r w:rsidR="00D71967" w:rsidRPr="000B28CE">
        <w:rPr>
          <w:rFonts w:cs="Arial"/>
          <w:lang w:val="es-ES"/>
        </w:rPr>
        <w:t xml:space="preserve">2021 – 2023 </w:t>
      </w:r>
      <w:r w:rsidRPr="000B28CE">
        <w:rPr>
          <w:rFonts w:cs="Arial"/>
          <w:lang w:val="es-ES"/>
        </w:rPr>
        <w:t xml:space="preserve">Presupuesto con una contribución de </w:t>
      </w:r>
      <w:r w:rsidR="00D71967" w:rsidRPr="000B28CE">
        <w:rPr>
          <w:rFonts w:cs="Arial"/>
          <w:lang w:val="es-ES"/>
        </w:rPr>
        <w:t>2</w:t>
      </w:r>
      <w:r w:rsidR="00142D0F" w:rsidRPr="000B28CE">
        <w:rPr>
          <w:rFonts w:cs="Arial"/>
          <w:lang w:val="es-ES"/>
        </w:rPr>
        <w:t xml:space="preserve"> </w:t>
      </w:r>
      <w:r w:rsidR="00D71967" w:rsidRPr="000B28CE">
        <w:rPr>
          <w:rFonts w:cs="Arial"/>
          <w:lang w:val="es-ES"/>
        </w:rPr>
        <w:t xml:space="preserve">000 </w:t>
      </w:r>
      <w:r w:rsidR="00142D0F" w:rsidRPr="000B28CE">
        <w:rPr>
          <w:rFonts w:cs="Arial"/>
          <w:lang w:val="es-ES"/>
        </w:rPr>
        <w:t xml:space="preserve">euros </w:t>
      </w:r>
      <w:r w:rsidR="00D71967" w:rsidRPr="000B28CE">
        <w:rPr>
          <w:rFonts w:cs="Arial"/>
          <w:lang w:val="es-ES"/>
        </w:rPr>
        <w:t>p</w:t>
      </w:r>
      <w:r w:rsidRPr="000B28CE">
        <w:rPr>
          <w:rFonts w:cs="Arial"/>
          <w:lang w:val="es-ES"/>
        </w:rPr>
        <w:t>or año</w:t>
      </w:r>
      <w:r w:rsidR="00D71967" w:rsidRPr="000B28CE">
        <w:rPr>
          <w:rFonts w:cs="Arial"/>
          <w:lang w:val="es-ES"/>
        </w:rPr>
        <w:t>, An</w:t>
      </w:r>
      <w:r w:rsidRPr="000B28CE">
        <w:rPr>
          <w:rFonts w:cs="Arial"/>
          <w:lang w:val="es-ES"/>
        </w:rPr>
        <w:t>exo</w:t>
      </w:r>
      <w:r w:rsidR="00D71967" w:rsidRPr="000B28CE">
        <w:rPr>
          <w:rFonts w:cs="Arial"/>
          <w:lang w:val="es-ES"/>
        </w:rPr>
        <w:t xml:space="preserve"> </w:t>
      </w:r>
      <w:r w:rsidR="00142D0F" w:rsidRPr="000B28CE">
        <w:rPr>
          <w:rFonts w:cs="Arial"/>
          <w:lang w:val="es-ES"/>
        </w:rPr>
        <w:t>4</w:t>
      </w:r>
      <w:r w:rsidR="00D71967" w:rsidRPr="000B28CE">
        <w:rPr>
          <w:rFonts w:cs="Arial"/>
          <w:lang w:val="es-ES"/>
        </w:rPr>
        <w:t xml:space="preserve"> (C)</w:t>
      </w:r>
    </w:p>
    <w:p w:rsidR="00D71967" w:rsidRPr="000B28CE" w:rsidRDefault="006B4097" w:rsidP="00142D0F">
      <w:pPr>
        <w:pStyle w:val="ListParagraph"/>
        <w:numPr>
          <w:ilvl w:val="0"/>
          <w:numId w:val="15"/>
        </w:numPr>
        <w:autoSpaceDN w:val="0"/>
        <w:spacing w:after="40" w:line="240" w:lineRule="auto"/>
        <w:ind w:left="851" w:hanging="284"/>
        <w:contextualSpacing w:val="0"/>
        <w:jc w:val="both"/>
        <w:rPr>
          <w:rFonts w:cs="Arial"/>
          <w:lang w:val="es-ES"/>
        </w:rPr>
      </w:pPr>
      <w:r w:rsidRPr="000B28CE">
        <w:rPr>
          <w:rFonts w:cs="Arial"/>
          <w:lang w:val="es-ES"/>
        </w:rPr>
        <w:t>Proyecto de Resolución sobre Asuntos Financieros y Administrativos</w:t>
      </w:r>
      <w:r w:rsidR="00D71967" w:rsidRPr="000B28CE">
        <w:rPr>
          <w:rFonts w:cs="Arial"/>
          <w:lang w:val="es-ES"/>
        </w:rPr>
        <w:t>, An</w:t>
      </w:r>
      <w:r w:rsidRPr="000B28CE">
        <w:rPr>
          <w:rFonts w:cs="Arial"/>
          <w:lang w:val="es-ES"/>
        </w:rPr>
        <w:t>exo</w:t>
      </w:r>
      <w:r w:rsidR="00D71967" w:rsidRPr="000B28CE">
        <w:rPr>
          <w:rFonts w:cs="Arial"/>
          <w:lang w:val="es-ES"/>
        </w:rPr>
        <w:t xml:space="preserve"> </w:t>
      </w:r>
      <w:r w:rsidR="00142D0F" w:rsidRPr="000B28CE">
        <w:rPr>
          <w:rFonts w:cs="Arial"/>
          <w:lang w:val="es-ES"/>
        </w:rPr>
        <w:t>5</w:t>
      </w:r>
    </w:p>
    <w:p w:rsidR="00D71967" w:rsidRPr="000B28CE" w:rsidRDefault="00D71967" w:rsidP="00142D0F">
      <w:pPr>
        <w:pStyle w:val="ListParagraph"/>
        <w:numPr>
          <w:ilvl w:val="0"/>
          <w:numId w:val="15"/>
        </w:numPr>
        <w:autoSpaceDN w:val="0"/>
        <w:spacing w:after="0" w:line="240" w:lineRule="auto"/>
        <w:ind w:left="851" w:hanging="284"/>
        <w:contextualSpacing w:val="0"/>
        <w:jc w:val="both"/>
        <w:rPr>
          <w:rFonts w:cs="Arial"/>
          <w:lang w:val="es-ES"/>
        </w:rPr>
      </w:pPr>
      <w:r w:rsidRPr="000B28CE">
        <w:rPr>
          <w:rFonts w:cs="Arial"/>
          <w:lang w:val="es-ES"/>
        </w:rPr>
        <w:t>Pro</w:t>
      </w:r>
      <w:r w:rsidR="006B4097" w:rsidRPr="000B28CE">
        <w:rPr>
          <w:rFonts w:cs="Arial"/>
          <w:lang w:val="es-ES"/>
        </w:rPr>
        <w:t>grama de Trabajo propuesto para</w:t>
      </w:r>
      <w:r w:rsidRPr="000B28CE">
        <w:rPr>
          <w:rFonts w:cs="Arial"/>
          <w:lang w:val="es-ES"/>
        </w:rPr>
        <w:t xml:space="preserve"> </w:t>
      </w:r>
      <w:r w:rsidR="00142D0F" w:rsidRPr="000B28CE">
        <w:rPr>
          <w:rFonts w:cs="Arial"/>
          <w:lang w:val="es-ES"/>
        </w:rPr>
        <w:t xml:space="preserve">el ciclo entre la COP13 y la COP14, </w:t>
      </w:r>
      <w:r w:rsidRPr="000B28CE">
        <w:rPr>
          <w:rFonts w:cs="Arial"/>
          <w:lang w:val="es-ES"/>
        </w:rPr>
        <w:t>2021-2023, An</w:t>
      </w:r>
      <w:r w:rsidR="006B4097" w:rsidRPr="000B28CE">
        <w:rPr>
          <w:rFonts w:cs="Arial"/>
          <w:lang w:val="es-ES"/>
        </w:rPr>
        <w:t>exo</w:t>
      </w:r>
      <w:r w:rsidRPr="000B28CE">
        <w:rPr>
          <w:rFonts w:cs="Arial"/>
          <w:lang w:val="es-ES"/>
        </w:rPr>
        <w:t xml:space="preserve"> </w:t>
      </w:r>
      <w:r w:rsidR="00142D0F" w:rsidRPr="000B28CE">
        <w:rPr>
          <w:rFonts w:cs="Arial"/>
          <w:lang w:val="es-ES"/>
        </w:rPr>
        <w:t>6.</w:t>
      </w:r>
    </w:p>
    <w:p w:rsidR="00D71967" w:rsidRPr="000B28CE" w:rsidRDefault="00D71967" w:rsidP="00142D0F">
      <w:pPr>
        <w:spacing w:after="0" w:line="240" w:lineRule="auto"/>
        <w:ind w:left="851" w:hanging="284"/>
        <w:jc w:val="both"/>
        <w:rPr>
          <w:rFonts w:cs="Arial"/>
          <w:lang w:val="es-ES"/>
        </w:rPr>
      </w:pPr>
    </w:p>
    <w:p w:rsidR="005A303F" w:rsidRPr="000B28CE" w:rsidRDefault="005A303F" w:rsidP="00FA4FBA">
      <w:pPr>
        <w:spacing w:after="0" w:line="240" w:lineRule="auto"/>
        <w:jc w:val="both"/>
        <w:rPr>
          <w:rFonts w:cs="Arial"/>
          <w:lang w:val="es-ES"/>
        </w:rPr>
      </w:pPr>
    </w:p>
    <w:p w:rsidR="00AC09AE" w:rsidRPr="000B28CE" w:rsidRDefault="00AC09AE" w:rsidP="00FA4FBA">
      <w:pPr>
        <w:pStyle w:val="Firstnumbering1"/>
        <w:numPr>
          <w:ilvl w:val="0"/>
          <w:numId w:val="0"/>
        </w:numPr>
        <w:ind w:left="567"/>
      </w:pPr>
    </w:p>
    <w:p w:rsidR="00AC09AE" w:rsidRPr="000B28CE" w:rsidRDefault="00AC09AE" w:rsidP="00FA4FBA">
      <w:pPr>
        <w:pStyle w:val="ListParagraph"/>
        <w:widowControl w:val="0"/>
        <w:suppressAutoHyphens/>
        <w:autoSpaceDE w:val="0"/>
        <w:autoSpaceDN w:val="0"/>
        <w:spacing w:after="0" w:line="240" w:lineRule="auto"/>
        <w:textAlignment w:val="baseline"/>
        <w:rPr>
          <w:lang w:val="es-ES"/>
        </w:rPr>
      </w:pPr>
    </w:p>
    <w:p w:rsidR="006B4097" w:rsidRPr="000B28CE" w:rsidRDefault="006B4097" w:rsidP="00FA4FBA">
      <w:pPr>
        <w:pStyle w:val="Firstnumbering1"/>
        <w:numPr>
          <w:ilvl w:val="0"/>
          <w:numId w:val="0"/>
        </w:numPr>
        <w:ind w:left="567"/>
        <w:sectPr w:rsidR="006B4097" w:rsidRPr="000B28CE" w:rsidSect="00B104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6B4097" w:rsidRPr="000B28CE" w:rsidRDefault="006B4097" w:rsidP="00FA4FBA">
      <w:pPr>
        <w:spacing w:after="0" w:line="240" w:lineRule="auto"/>
        <w:jc w:val="right"/>
        <w:rPr>
          <w:rFonts w:cs="Arial"/>
          <w:b/>
          <w:caps/>
          <w:lang w:val="es-ES"/>
        </w:rPr>
      </w:pPr>
      <w:r w:rsidRPr="000B28CE">
        <w:rPr>
          <w:rFonts w:cs="Arial"/>
          <w:b/>
          <w:caps/>
          <w:lang w:val="es-ES"/>
        </w:rPr>
        <w:t xml:space="preserve">AnexO 1 </w:t>
      </w:r>
    </w:p>
    <w:p w:rsidR="006B4097" w:rsidRPr="000B28CE" w:rsidRDefault="006B4097" w:rsidP="00FA4FBA">
      <w:pPr>
        <w:spacing w:after="0" w:line="240" w:lineRule="auto"/>
        <w:jc w:val="right"/>
        <w:rPr>
          <w:rFonts w:cs="Arial"/>
          <w:b/>
          <w:caps/>
          <w:lang w:val="es-ES"/>
        </w:rPr>
      </w:pPr>
    </w:p>
    <w:p w:rsidR="006B4097" w:rsidRPr="000B28CE" w:rsidRDefault="006B4097" w:rsidP="00FA4FBA">
      <w:pPr>
        <w:spacing w:after="0" w:line="240" w:lineRule="auto"/>
        <w:jc w:val="right"/>
        <w:rPr>
          <w:rFonts w:cs="Arial"/>
          <w:b/>
          <w:caps/>
          <w:lang w:val="es-ES"/>
        </w:rPr>
      </w:pPr>
    </w:p>
    <w:p w:rsidR="006B4097" w:rsidRPr="000B28CE" w:rsidRDefault="005A303F" w:rsidP="00FA4FBA">
      <w:pPr>
        <w:pStyle w:val="NoSpacing"/>
        <w:jc w:val="both"/>
        <w:rPr>
          <w:rFonts w:ascii="Arial" w:eastAsiaTheme="minorHAnsi" w:hAnsi="Arial" w:cs="Arial"/>
          <w:lang w:val="es-ES"/>
        </w:rPr>
      </w:pPr>
      <w:r w:rsidRPr="000B28CE">
        <w:rPr>
          <w:rFonts w:ascii="Arial" w:eastAsiaTheme="minorHAnsi" w:hAnsi="Arial" w:cs="Arial"/>
          <w:lang w:val="es-ES"/>
        </w:rPr>
        <w:t xml:space="preserve">La COP12 adoptó el presupuesto para el trienio 2018-2020, que se basaba en el costo salarial estándar aplicable al lugar de destino en Bonn. Esos costos estándar de los sueldos se han revisado sobre la base de una escala de sueldos unificada para 2019 para los funcionarios </w:t>
      </w:r>
      <w:r w:rsidR="00142D0F" w:rsidRPr="000B28CE">
        <w:rPr>
          <w:rFonts w:ascii="Arial" w:eastAsiaTheme="minorHAnsi" w:hAnsi="Arial" w:cs="Arial"/>
          <w:lang w:val="es-ES"/>
        </w:rPr>
        <w:t>Profesionales</w:t>
      </w:r>
      <w:r w:rsidRPr="000B28CE">
        <w:rPr>
          <w:rFonts w:ascii="Arial" w:eastAsiaTheme="minorHAnsi" w:hAnsi="Arial" w:cs="Arial"/>
          <w:lang w:val="es-ES"/>
        </w:rPr>
        <w:t xml:space="preserve"> y categorías superiores. Cada categoría de personal, incluidos todos los gastos reglamentarios de personal, como el ajuste por lugar de destino y otras prestaciones, así como los incrementos y revisiones normales dentro de la categoría. Las cifras utilizadas para calcular los gastos de personal figuran en el cuadro 1</w:t>
      </w:r>
      <w:r w:rsidR="00142D0F" w:rsidRPr="000B28CE">
        <w:rPr>
          <w:rFonts w:ascii="Arial" w:eastAsiaTheme="minorHAnsi" w:hAnsi="Arial" w:cs="Arial"/>
          <w:lang w:val="es-ES"/>
        </w:rPr>
        <w:t xml:space="preserve"> a continuación</w:t>
      </w:r>
      <w:r w:rsidRPr="000B28CE">
        <w:rPr>
          <w:rFonts w:ascii="Arial" w:eastAsiaTheme="minorHAnsi" w:hAnsi="Arial" w:cs="Arial"/>
          <w:lang w:val="es-ES"/>
        </w:rPr>
        <w:t>.</w:t>
      </w:r>
    </w:p>
    <w:p w:rsidR="005A303F" w:rsidRPr="000B28CE" w:rsidRDefault="005A303F" w:rsidP="00FA4FBA">
      <w:pPr>
        <w:pStyle w:val="NoSpacing"/>
        <w:jc w:val="both"/>
        <w:rPr>
          <w:rFonts w:ascii="Arial" w:hAnsi="Arial" w:cs="Arial"/>
          <w:lang w:val="es-ES"/>
        </w:rPr>
      </w:pPr>
    </w:p>
    <w:p w:rsidR="006B4097" w:rsidRPr="000B28CE" w:rsidRDefault="006B4097" w:rsidP="00FA4FBA">
      <w:pPr>
        <w:pStyle w:val="NoSpacing"/>
        <w:ind w:firstLine="360"/>
        <w:jc w:val="both"/>
        <w:rPr>
          <w:rFonts w:ascii="Arial" w:hAnsi="Arial" w:cs="Arial"/>
          <w:b/>
          <w:sz w:val="20"/>
          <w:szCs w:val="20"/>
          <w:lang w:val="es-ES"/>
        </w:rPr>
      </w:pPr>
      <w:r w:rsidRPr="000B28CE">
        <w:rPr>
          <w:rFonts w:ascii="Arial" w:hAnsi="Arial" w:cs="Arial"/>
          <w:b/>
          <w:sz w:val="20"/>
          <w:szCs w:val="20"/>
          <w:lang w:val="es-ES"/>
        </w:rPr>
        <w:t>Tabl</w:t>
      </w:r>
      <w:r w:rsidR="005A303F" w:rsidRPr="000B28CE">
        <w:rPr>
          <w:rFonts w:ascii="Arial" w:hAnsi="Arial" w:cs="Arial"/>
          <w:b/>
          <w:sz w:val="20"/>
          <w:szCs w:val="20"/>
          <w:lang w:val="es-ES"/>
        </w:rPr>
        <w:t>a</w:t>
      </w:r>
      <w:r w:rsidRPr="000B28CE">
        <w:rPr>
          <w:rFonts w:ascii="Arial" w:hAnsi="Arial" w:cs="Arial"/>
          <w:b/>
          <w:sz w:val="20"/>
          <w:szCs w:val="20"/>
          <w:lang w:val="es-ES"/>
        </w:rPr>
        <w:t xml:space="preserve"> 1</w:t>
      </w:r>
    </w:p>
    <w:p w:rsidR="005A303F" w:rsidRPr="000B28CE" w:rsidRDefault="005A303F" w:rsidP="00FA4FBA">
      <w:pPr>
        <w:pStyle w:val="NoSpacing"/>
        <w:ind w:firstLine="360"/>
        <w:jc w:val="both"/>
        <w:rPr>
          <w:rFonts w:ascii="Arial" w:hAnsi="Arial" w:cs="Arial"/>
          <w:b/>
          <w:sz w:val="20"/>
          <w:szCs w:val="20"/>
          <w:lang w:val="es-ES"/>
        </w:rPr>
      </w:pPr>
    </w:p>
    <w:p w:rsidR="006B4097" w:rsidRPr="000B28CE" w:rsidRDefault="00FE2868" w:rsidP="00FA4FBA">
      <w:pPr>
        <w:spacing w:after="0" w:line="240" w:lineRule="auto"/>
        <w:ind w:firstLine="360"/>
        <w:rPr>
          <w:rFonts w:cs="Arial"/>
          <w:b/>
          <w:szCs w:val="20"/>
          <w:lang w:val="es-ES"/>
        </w:rPr>
      </w:pPr>
      <w:r w:rsidRPr="000B28CE">
        <w:rPr>
          <w:rFonts w:cs="Arial"/>
          <w:b/>
          <w:szCs w:val="20"/>
          <w:lang w:val="es-ES"/>
        </w:rPr>
        <w:t>Gastos de personal estándar</w:t>
      </w:r>
      <w:r w:rsidR="006B4097" w:rsidRPr="000B28CE">
        <w:rPr>
          <w:rFonts w:cs="Arial"/>
          <w:b/>
          <w:szCs w:val="20"/>
          <w:lang w:val="es-ES"/>
        </w:rPr>
        <w:t xml:space="preserve"> (in Euros)</w:t>
      </w:r>
    </w:p>
    <w:p w:rsidR="006B4097" w:rsidRPr="000B28CE" w:rsidRDefault="006B4097" w:rsidP="00FA4FBA">
      <w:pPr>
        <w:spacing w:after="0" w:line="240" w:lineRule="auto"/>
        <w:rPr>
          <w:rFonts w:cs="Arial"/>
          <w:lang w:val="es-ES"/>
        </w:rPr>
      </w:pPr>
    </w:p>
    <w:tbl>
      <w:tblPr>
        <w:tblW w:w="7694" w:type="dxa"/>
        <w:tblInd w:w="701" w:type="dxa"/>
        <w:tblLayout w:type="fixed"/>
        <w:tblLook w:val="04A0" w:firstRow="1" w:lastRow="0" w:firstColumn="1" w:lastColumn="0" w:noHBand="0" w:noVBand="1"/>
      </w:tblPr>
      <w:tblGrid>
        <w:gridCol w:w="2282"/>
        <w:gridCol w:w="1804"/>
        <w:gridCol w:w="1804"/>
        <w:gridCol w:w="1804"/>
      </w:tblGrid>
      <w:tr w:rsidR="006B4097" w:rsidRPr="000B28CE" w:rsidTr="008B5DF7">
        <w:trPr>
          <w:trHeight w:val="316"/>
        </w:trPr>
        <w:tc>
          <w:tcPr>
            <w:tcW w:w="2282" w:type="dxa"/>
            <w:tcBorders>
              <w:top w:val="nil"/>
              <w:left w:val="nil"/>
              <w:bottom w:val="single" w:sz="12" w:space="0" w:color="auto"/>
              <w:right w:val="nil"/>
            </w:tcBorders>
            <w:shd w:val="clear" w:color="auto" w:fill="auto"/>
            <w:noWrap/>
            <w:vAlign w:val="center"/>
            <w:hideMark/>
          </w:tcPr>
          <w:p w:rsidR="006B4097" w:rsidRPr="000B28CE" w:rsidRDefault="00FE2868" w:rsidP="008B5DF7">
            <w:pPr>
              <w:jc w:val="center"/>
              <w:rPr>
                <w:rFonts w:cs="Arial"/>
                <w:b/>
                <w:i/>
                <w:iCs/>
                <w:color w:val="000000"/>
                <w:sz w:val="20"/>
                <w:szCs w:val="20"/>
                <w:lang w:val="es-ES"/>
              </w:rPr>
            </w:pPr>
            <w:r w:rsidRPr="000B28CE">
              <w:rPr>
                <w:rFonts w:cs="Arial"/>
                <w:b/>
                <w:i/>
                <w:iCs/>
                <w:color w:val="000000"/>
                <w:sz w:val="20"/>
                <w:szCs w:val="20"/>
                <w:lang w:val="es-ES"/>
              </w:rPr>
              <w:t>Nivel</w:t>
            </w:r>
          </w:p>
        </w:tc>
        <w:tc>
          <w:tcPr>
            <w:tcW w:w="1804" w:type="dxa"/>
            <w:tcBorders>
              <w:top w:val="nil"/>
              <w:left w:val="nil"/>
              <w:bottom w:val="single" w:sz="12" w:space="0" w:color="auto"/>
              <w:right w:val="nil"/>
            </w:tcBorders>
            <w:shd w:val="clear" w:color="auto" w:fill="auto"/>
            <w:vAlign w:val="center"/>
            <w:hideMark/>
          </w:tcPr>
          <w:p w:rsidR="006B4097" w:rsidRPr="000B28CE" w:rsidRDefault="006B4097" w:rsidP="008B5DF7">
            <w:pPr>
              <w:jc w:val="center"/>
              <w:rPr>
                <w:rFonts w:cs="Arial"/>
                <w:b/>
                <w:i/>
                <w:iCs/>
                <w:color w:val="000000"/>
                <w:sz w:val="20"/>
                <w:szCs w:val="20"/>
                <w:lang w:val="es-ES"/>
              </w:rPr>
            </w:pPr>
            <w:r w:rsidRPr="000B28CE">
              <w:rPr>
                <w:rFonts w:cs="Arial"/>
                <w:b/>
                <w:i/>
                <w:iCs/>
                <w:color w:val="000000"/>
                <w:sz w:val="20"/>
                <w:szCs w:val="20"/>
                <w:lang w:val="es-ES"/>
              </w:rPr>
              <w:t>2021</w:t>
            </w:r>
          </w:p>
        </w:tc>
        <w:tc>
          <w:tcPr>
            <w:tcW w:w="1804" w:type="dxa"/>
            <w:tcBorders>
              <w:top w:val="nil"/>
              <w:left w:val="nil"/>
              <w:bottom w:val="single" w:sz="12" w:space="0" w:color="auto"/>
              <w:right w:val="nil"/>
            </w:tcBorders>
            <w:shd w:val="clear" w:color="auto" w:fill="auto"/>
            <w:vAlign w:val="center"/>
            <w:hideMark/>
          </w:tcPr>
          <w:p w:rsidR="006B4097" w:rsidRPr="000B28CE" w:rsidRDefault="006B4097" w:rsidP="008B5DF7">
            <w:pPr>
              <w:jc w:val="center"/>
              <w:rPr>
                <w:rFonts w:cs="Arial"/>
                <w:b/>
                <w:i/>
                <w:iCs/>
                <w:color w:val="000000"/>
                <w:sz w:val="20"/>
                <w:szCs w:val="20"/>
                <w:lang w:val="es-ES"/>
              </w:rPr>
            </w:pPr>
            <w:r w:rsidRPr="000B28CE">
              <w:rPr>
                <w:rFonts w:cs="Arial"/>
                <w:b/>
                <w:i/>
                <w:iCs/>
                <w:color w:val="000000"/>
                <w:sz w:val="20"/>
                <w:szCs w:val="20"/>
                <w:lang w:val="es-ES"/>
              </w:rPr>
              <w:t>2022</w:t>
            </w:r>
          </w:p>
        </w:tc>
        <w:tc>
          <w:tcPr>
            <w:tcW w:w="1804" w:type="dxa"/>
            <w:tcBorders>
              <w:top w:val="nil"/>
              <w:left w:val="nil"/>
              <w:bottom w:val="single" w:sz="12" w:space="0" w:color="auto"/>
              <w:right w:val="nil"/>
            </w:tcBorders>
            <w:shd w:val="clear" w:color="auto" w:fill="auto"/>
            <w:vAlign w:val="center"/>
            <w:hideMark/>
          </w:tcPr>
          <w:p w:rsidR="006B4097" w:rsidRPr="000B28CE" w:rsidRDefault="006B4097" w:rsidP="008B5DF7">
            <w:pPr>
              <w:jc w:val="center"/>
              <w:rPr>
                <w:rFonts w:cs="Arial"/>
                <w:b/>
                <w:i/>
                <w:iCs/>
                <w:color w:val="000000"/>
                <w:sz w:val="20"/>
                <w:szCs w:val="20"/>
                <w:lang w:val="es-ES"/>
              </w:rPr>
            </w:pPr>
            <w:r w:rsidRPr="000B28CE">
              <w:rPr>
                <w:rFonts w:cs="Arial"/>
                <w:b/>
                <w:i/>
                <w:iCs/>
                <w:color w:val="000000"/>
                <w:sz w:val="20"/>
                <w:szCs w:val="20"/>
                <w:lang w:val="es-ES"/>
              </w:rPr>
              <w:t>2023</w:t>
            </w:r>
          </w:p>
        </w:tc>
      </w:tr>
      <w:tr w:rsidR="006B4097" w:rsidRPr="000B28CE" w:rsidTr="008B5DF7">
        <w:trPr>
          <w:trHeight w:val="316"/>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D-1</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215</w:t>
            </w:r>
            <w:r w:rsidR="00FE2868" w:rsidRPr="000B28CE">
              <w:rPr>
                <w:sz w:val="20"/>
                <w:szCs w:val="20"/>
                <w:lang w:val="es-ES"/>
              </w:rPr>
              <w:t xml:space="preserve"> </w:t>
            </w:r>
            <w:r w:rsidRPr="000B28CE">
              <w:rPr>
                <w:sz w:val="20"/>
                <w:szCs w:val="20"/>
                <w:lang w:val="es-ES"/>
              </w:rPr>
              <w:t>864</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220</w:t>
            </w:r>
            <w:r w:rsidR="00FE2868" w:rsidRPr="000B28CE">
              <w:rPr>
                <w:sz w:val="20"/>
                <w:szCs w:val="20"/>
                <w:lang w:val="es-ES"/>
              </w:rPr>
              <w:t xml:space="preserve"> </w:t>
            </w:r>
            <w:r w:rsidRPr="000B28CE">
              <w:rPr>
                <w:sz w:val="20"/>
                <w:szCs w:val="20"/>
                <w:lang w:val="es-ES"/>
              </w:rPr>
              <w:t>182</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224</w:t>
            </w:r>
            <w:r w:rsidR="00FE2868" w:rsidRPr="000B28CE">
              <w:rPr>
                <w:sz w:val="20"/>
                <w:szCs w:val="20"/>
                <w:lang w:val="es-ES"/>
              </w:rPr>
              <w:t xml:space="preserve"> </w:t>
            </w:r>
            <w:r w:rsidRPr="000B28CE">
              <w:rPr>
                <w:sz w:val="20"/>
                <w:szCs w:val="20"/>
                <w:lang w:val="es-ES"/>
              </w:rPr>
              <w:t>585</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P-5</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186</w:t>
            </w:r>
            <w:r w:rsidR="00FE2868" w:rsidRPr="000B28CE">
              <w:rPr>
                <w:sz w:val="20"/>
                <w:szCs w:val="20"/>
                <w:lang w:val="es-ES"/>
              </w:rPr>
              <w:t xml:space="preserve"> </w:t>
            </w:r>
            <w:r w:rsidRPr="000B28CE">
              <w:rPr>
                <w:sz w:val="20"/>
                <w:szCs w:val="20"/>
                <w:lang w:val="es-ES"/>
              </w:rPr>
              <w:t>656</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190</w:t>
            </w:r>
            <w:r w:rsidR="00FE2868" w:rsidRPr="000B28CE">
              <w:rPr>
                <w:sz w:val="20"/>
                <w:szCs w:val="20"/>
                <w:lang w:val="es-ES"/>
              </w:rPr>
              <w:t xml:space="preserve"> </w:t>
            </w:r>
            <w:r w:rsidRPr="000B28CE">
              <w:rPr>
                <w:sz w:val="20"/>
                <w:szCs w:val="20"/>
                <w:lang w:val="es-ES"/>
              </w:rPr>
              <w:t>389</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194</w:t>
            </w:r>
            <w:r w:rsidR="00FE2868" w:rsidRPr="000B28CE">
              <w:rPr>
                <w:sz w:val="20"/>
                <w:szCs w:val="20"/>
                <w:lang w:val="es-ES"/>
              </w:rPr>
              <w:t xml:space="preserve"> </w:t>
            </w:r>
            <w:r w:rsidRPr="000B28CE">
              <w:rPr>
                <w:sz w:val="20"/>
                <w:szCs w:val="20"/>
                <w:lang w:val="es-ES"/>
              </w:rPr>
              <w:t>197</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P-4</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159</w:t>
            </w:r>
            <w:r w:rsidR="00FE2868" w:rsidRPr="000B28CE">
              <w:rPr>
                <w:sz w:val="20"/>
                <w:szCs w:val="20"/>
                <w:lang w:val="es-ES"/>
              </w:rPr>
              <w:t xml:space="preserve"> </w:t>
            </w:r>
            <w:r w:rsidRPr="000B28CE">
              <w:rPr>
                <w:sz w:val="20"/>
                <w:szCs w:val="20"/>
                <w:lang w:val="es-ES"/>
              </w:rPr>
              <w:t>451</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162</w:t>
            </w:r>
            <w:r w:rsidR="00FE2868" w:rsidRPr="000B28CE">
              <w:rPr>
                <w:sz w:val="20"/>
                <w:szCs w:val="20"/>
                <w:lang w:val="es-ES"/>
              </w:rPr>
              <w:t xml:space="preserve"> </w:t>
            </w:r>
            <w:r w:rsidRPr="000B28CE">
              <w:rPr>
                <w:sz w:val="20"/>
                <w:szCs w:val="20"/>
                <w:lang w:val="es-ES"/>
              </w:rPr>
              <w:t>640</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165</w:t>
            </w:r>
            <w:r w:rsidR="00FE2868" w:rsidRPr="000B28CE">
              <w:rPr>
                <w:sz w:val="20"/>
                <w:szCs w:val="20"/>
                <w:lang w:val="es-ES"/>
              </w:rPr>
              <w:t xml:space="preserve"> </w:t>
            </w:r>
            <w:r w:rsidRPr="000B28CE">
              <w:rPr>
                <w:sz w:val="20"/>
                <w:szCs w:val="20"/>
                <w:lang w:val="es-ES"/>
              </w:rPr>
              <w:t>893</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P-3</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133</w:t>
            </w:r>
            <w:r w:rsidR="00FE2868" w:rsidRPr="000B28CE">
              <w:rPr>
                <w:sz w:val="20"/>
                <w:szCs w:val="20"/>
                <w:lang w:val="es-ES"/>
              </w:rPr>
              <w:t xml:space="preserve"> </w:t>
            </w:r>
            <w:r w:rsidRPr="000B28CE">
              <w:rPr>
                <w:sz w:val="20"/>
                <w:szCs w:val="20"/>
                <w:lang w:val="es-ES"/>
              </w:rPr>
              <w:t>206</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135</w:t>
            </w:r>
            <w:r w:rsidR="00FE2868" w:rsidRPr="000B28CE">
              <w:rPr>
                <w:sz w:val="20"/>
                <w:szCs w:val="20"/>
                <w:lang w:val="es-ES"/>
              </w:rPr>
              <w:t xml:space="preserve"> </w:t>
            </w:r>
            <w:r w:rsidRPr="000B28CE">
              <w:rPr>
                <w:sz w:val="20"/>
                <w:szCs w:val="20"/>
                <w:lang w:val="es-ES"/>
              </w:rPr>
              <w:t>870</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138</w:t>
            </w:r>
            <w:r w:rsidR="00FE2868" w:rsidRPr="000B28CE">
              <w:rPr>
                <w:sz w:val="20"/>
                <w:szCs w:val="20"/>
                <w:lang w:val="es-ES"/>
              </w:rPr>
              <w:t xml:space="preserve"> </w:t>
            </w:r>
            <w:r w:rsidRPr="000B28CE">
              <w:rPr>
                <w:sz w:val="20"/>
                <w:szCs w:val="20"/>
                <w:lang w:val="es-ES"/>
              </w:rPr>
              <w:t>587</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P-2</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103</w:t>
            </w:r>
            <w:r w:rsidR="00FE2868" w:rsidRPr="000B28CE">
              <w:rPr>
                <w:sz w:val="20"/>
                <w:szCs w:val="20"/>
                <w:lang w:val="es-ES"/>
              </w:rPr>
              <w:t xml:space="preserve"> </w:t>
            </w:r>
            <w:r w:rsidRPr="000B28CE">
              <w:rPr>
                <w:sz w:val="20"/>
                <w:szCs w:val="20"/>
                <w:lang w:val="es-ES"/>
              </w:rPr>
              <w:t>362</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105</w:t>
            </w:r>
            <w:r w:rsidR="00FE2868" w:rsidRPr="000B28CE">
              <w:rPr>
                <w:sz w:val="20"/>
                <w:szCs w:val="20"/>
                <w:lang w:val="es-ES"/>
              </w:rPr>
              <w:t xml:space="preserve"> </w:t>
            </w:r>
            <w:r w:rsidRPr="000B28CE">
              <w:rPr>
                <w:sz w:val="20"/>
                <w:szCs w:val="20"/>
                <w:lang w:val="es-ES"/>
              </w:rPr>
              <w:t>429</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107</w:t>
            </w:r>
            <w:r w:rsidR="00FE2868" w:rsidRPr="000B28CE">
              <w:rPr>
                <w:sz w:val="20"/>
                <w:szCs w:val="20"/>
                <w:lang w:val="es-ES"/>
              </w:rPr>
              <w:t xml:space="preserve"> </w:t>
            </w:r>
            <w:r w:rsidRPr="000B28CE">
              <w:rPr>
                <w:sz w:val="20"/>
                <w:szCs w:val="20"/>
                <w:lang w:val="es-ES"/>
              </w:rPr>
              <w:t>538</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G-7</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90</w:t>
            </w:r>
            <w:r w:rsidR="00FE2868" w:rsidRPr="000B28CE">
              <w:rPr>
                <w:sz w:val="20"/>
                <w:szCs w:val="20"/>
                <w:lang w:val="es-ES"/>
              </w:rPr>
              <w:t xml:space="preserve"> </w:t>
            </w:r>
            <w:r w:rsidRPr="000B28CE">
              <w:rPr>
                <w:sz w:val="20"/>
                <w:szCs w:val="20"/>
                <w:lang w:val="es-ES"/>
              </w:rPr>
              <w:t>604</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92</w:t>
            </w:r>
            <w:r w:rsidR="00FE2868" w:rsidRPr="000B28CE">
              <w:rPr>
                <w:sz w:val="20"/>
                <w:szCs w:val="20"/>
                <w:lang w:val="es-ES"/>
              </w:rPr>
              <w:t xml:space="preserve"> </w:t>
            </w:r>
            <w:r w:rsidRPr="000B28CE">
              <w:rPr>
                <w:sz w:val="20"/>
                <w:szCs w:val="20"/>
                <w:lang w:val="es-ES"/>
              </w:rPr>
              <w:t>416</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94</w:t>
            </w:r>
            <w:r w:rsidR="00FE2868" w:rsidRPr="000B28CE">
              <w:rPr>
                <w:sz w:val="20"/>
                <w:szCs w:val="20"/>
                <w:lang w:val="es-ES"/>
              </w:rPr>
              <w:t xml:space="preserve"> </w:t>
            </w:r>
            <w:r w:rsidRPr="000B28CE">
              <w:rPr>
                <w:sz w:val="20"/>
                <w:szCs w:val="20"/>
                <w:lang w:val="es-ES"/>
              </w:rPr>
              <w:t>265</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G-6</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80</w:t>
            </w:r>
            <w:r w:rsidR="00FE2868" w:rsidRPr="000B28CE">
              <w:rPr>
                <w:sz w:val="20"/>
                <w:szCs w:val="20"/>
                <w:lang w:val="es-ES"/>
              </w:rPr>
              <w:t xml:space="preserve"> </w:t>
            </w:r>
            <w:r w:rsidRPr="000B28CE">
              <w:rPr>
                <w:sz w:val="20"/>
                <w:szCs w:val="20"/>
                <w:lang w:val="es-ES"/>
              </w:rPr>
              <w:t>276</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81</w:t>
            </w:r>
            <w:r w:rsidR="00FE2868" w:rsidRPr="000B28CE">
              <w:rPr>
                <w:sz w:val="20"/>
                <w:szCs w:val="20"/>
                <w:lang w:val="es-ES"/>
              </w:rPr>
              <w:t xml:space="preserve"> </w:t>
            </w:r>
            <w:r w:rsidRPr="000B28CE">
              <w:rPr>
                <w:sz w:val="20"/>
                <w:szCs w:val="20"/>
                <w:lang w:val="es-ES"/>
              </w:rPr>
              <w:t>882</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83</w:t>
            </w:r>
            <w:r w:rsidR="00FE2868" w:rsidRPr="000B28CE">
              <w:rPr>
                <w:sz w:val="20"/>
                <w:szCs w:val="20"/>
                <w:lang w:val="es-ES"/>
              </w:rPr>
              <w:t xml:space="preserve"> </w:t>
            </w:r>
            <w:r w:rsidRPr="000B28CE">
              <w:rPr>
                <w:sz w:val="20"/>
                <w:szCs w:val="20"/>
                <w:lang w:val="es-ES"/>
              </w:rPr>
              <w:t>520</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G-5</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71</w:t>
            </w:r>
            <w:r w:rsidR="00FE2868" w:rsidRPr="000B28CE">
              <w:rPr>
                <w:sz w:val="20"/>
                <w:szCs w:val="20"/>
                <w:lang w:val="es-ES"/>
              </w:rPr>
              <w:t xml:space="preserve"> </w:t>
            </w:r>
            <w:r w:rsidRPr="000B28CE">
              <w:rPr>
                <w:sz w:val="20"/>
                <w:szCs w:val="20"/>
                <w:lang w:val="es-ES"/>
              </w:rPr>
              <w:t>068</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72</w:t>
            </w:r>
            <w:r w:rsidR="00FE2868" w:rsidRPr="000B28CE">
              <w:rPr>
                <w:sz w:val="20"/>
                <w:szCs w:val="20"/>
                <w:lang w:val="es-ES"/>
              </w:rPr>
              <w:t xml:space="preserve"> </w:t>
            </w:r>
            <w:r w:rsidRPr="000B28CE">
              <w:rPr>
                <w:sz w:val="20"/>
                <w:szCs w:val="20"/>
                <w:lang w:val="es-ES"/>
              </w:rPr>
              <w:t>489</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73</w:t>
            </w:r>
            <w:r w:rsidR="00FE2868" w:rsidRPr="000B28CE">
              <w:rPr>
                <w:sz w:val="20"/>
                <w:szCs w:val="20"/>
                <w:lang w:val="es-ES"/>
              </w:rPr>
              <w:t xml:space="preserve"> </w:t>
            </w:r>
            <w:r w:rsidRPr="000B28CE">
              <w:rPr>
                <w:sz w:val="20"/>
                <w:szCs w:val="20"/>
                <w:lang w:val="es-ES"/>
              </w:rPr>
              <w:t>939</w:t>
            </w:r>
          </w:p>
        </w:tc>
      </w:tr>
      <w:tr w:rsidR="006B4097" w:rsidRPr="000B28CE" w:rsidTr="008B5DF7">
        <w:trPr>
          <w:trHeight w:val="302"/>
        </w:trPr>
        <w:tc>
          <w:tcPr>
            <w:tcW w:w="2282" w:type="dxa"/>
            <w:tcBorders>
              <w:top w:val="nil"/>
              <w:left w:val="nil"/>
              <w:bottom w:val="nil"/>
              <w:right w:val="nil"/>
            </w:tcBorders>
            <w:shd w:val="clear" w:color="auto" w:fill="auto"/>
            <w:noWrap/>
            <w:vAlign w:val="center"/>
            <w:hideMark/>
          </w:tcPr>
          <w:p w:rsidR="006B4097" w:rsidRPr="000B28CE" w:rsidRDefault="006B4097" w:rsidP="008B5DF7">
            <w:pPr>
              <w:jc w:val="center"/>
              <w:rPr>
                <w:rFonts w:cs="Arial"/>
                <w:color w:val="000000"/>
                <w:sz w:val="20"/>
                <w:szCs w:val="20"/>
                <w:lang w:val="es-ES"/>
              </w:rPr>
            </w:pPr>
            <w:r w:rsidRPr="000B28CE">
              <w:rPr>
                <w:rFonts w:cs="Arial"/>
                <w:color w:val="000000"/>
                <w:sz w:val="20"/>
                <w:szCs w:val="20"/>
                <w:lang w:val="es-ES"/>
              </w:rPr>
              <w:t>G-4</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62</w:t>
            </w:r>
            <w:r w:rsidR="00FE2868" w:rsidRPr="000B28CE">
              <w:rPr>
                <w:sz w:val="20"/>
                <w:szCs w:val="20"/>
                <w:lang w:val="es-ES"/>
              </w:rPr>
              <w:t xml:space="preserve"> </w:t>
            </w:r>
            <w:r w:rsidRPr="000B28CE">
              <w:rPr>
                <w:sz w:val="20"/>
                <w:szCs w:val="20"/>
                <w:lang w:val="es-ES"/>
              </w:rPr>
              <w:t>835</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64</w:t>
            </w:r>
            <w:r w:rsidR="00FE2868" w:rsidRPr="000B28CE">
              <w:rPr>
                <w:sz w:val="20"/>
                <w:szCs w:val="20"/>
                <w:lang w:val="es-ES"/>
              </w:rPr>
              <w:t xml:space="preserve"> </w:t>
            </w:r>
            <w:r w:rsidRPr="000B28CE">
              <w:rPr>
                <w:sz w:val="20"/>
                <w:szCs w:val="20"/>
                <w:lang w:val="es-ES"/>
              </w:rPr>
              <w:t>092</w:t>
            </w:r>
          </w:p>
        </w:tc>
        <w:tc>
          <w:tcPr>
            <w:tcW w:w="1804" w:type="dxa"/>
            <w:tcBorders>
              <w:top w:val="nil"/>
              <w:left w:val="nil"/>
              <w:bottom w:val="nil"/>
              <w:right w:val="nil"/>
            </w:tcBorders>
            <w:shd w:val="clear" w:color="auto" w:fill="auto"/>
            <w:noWrap/>
            <w:vAlign w:val="center"/>
            <w:hideMark/>
          </w:tcPr>
          <w:p w:rsidR="006B4097" w:rsidRPr="000B28CE" w:rsidRDefault="006B4097" w:rsidP="008B5DF7">
            <w:pPr>
              <w:jc w:val="center"/>
              <w:rPr>
                <w:sz w:val="20"/>
                <w:szCs w:val="20"/>
                <w:lang w:val="es-ES"/>
              </w:rPr>
            </w:pPr>
            <w:r w:rsidRPr="000B28CE">
              <w:rPr>
                <w:sz w:val="20"/>
                <w:szCs w:val="20"/>
                <w:lang w:val="es-ES"/>
              </w:rPr>
              <w:t>65</w:t>
            </w:r>
            <w:r w:rsidR="00FE2868" w:rsidRPr="000B28CE">
              <w:rPr>
                <w:sz w:val="20"/>
                <w:szCs w:val="20"/>
                <w:lang w:val="es-ES"/>
              </w:rPr>
              <w:t xml:space="preserve"> </w:t>
            </w:r>
            <w:r w:rsidRPr="000B28CE">
              <w:rPr>
                <w:sz w:val="20"/>
                <w:szCs w:val="20"/>
                <w:lang w:val="es-ES"/>
              </w:rPr>
              <w:t>374</w:t>
            </w:r>
          </w:p>
        </w:tc>
      </w:tr>
    </w:tbl>
    <w:p w:rsidR="00142D0F" w:rsidRPr="000B28CE" w:rsidRDefault="00142D0F" w:rsidP="006B4097">
      <w:pPr>
        <w:jc w:val="right"/>
        <w:rPr>
          <w:rFonts w:cs="Arial"/>
          <w:b/>
          <w:caps/>
          <w:lang w:val="es-ES"/>
        </w:rPr>
        <w:sectPr w:rsidR="00142D0F" w:rsidRPr="000B28CE" w:rsidSect="00B104EC">
          <w:headerReference w:type="first" r:id="rId15"/>
          <w:pgSz w:w="11906" w:h="16838" w:code="9"/>
          <w:pgMar w:top="1134" w:right="1134" w:bottom="1134" w:left="1134" w:header="720" w:footer="720" w:gutter="0"/>
          <w:cols w:space="720"/>
          <w:titlePg/>
          <w:docGrid w:linePitch="360"/>
        </w:sectPr>
      </w:pPr>
    </w:p>
    <w:p w:rsidR="006B4097" w:rsidRPr="000B28CE" w:rsidRDefault="006F215D" w:rsidP="006B4097">
      <w:pPr>
        <w:jc w:val="right"/>
        <w:rPr>
          <w:rFonts w:cs="Arial"/>
          <w:b/>
          <w:caps/>
          <w:lang w:val="es-ES"/>
        </w:rPr>
      </w:pPr>
      <w:r w:rsidRPr="000B28CE">
        <w:rPr>
          <w:rFonts w:cs="Arial"/>
          <w:b/>
          <w:caps/>
          <w:lang w:val="es-ES"/>
        </w:rPr>
        <w:t>Anexo 2</w:t>
      </w:r>
    </w:p>
    <w:p w:rsidR="006F215D" w:rsidRPr="000B28CE" w:rsidRDefault="006F215D" w:rsidP="006F215D">
      <w:pPr>
        <w:jc w:val="center"/>
        <w:rPr>
          <w:rFonts w:cs="Arial"/>
          <w:b/>
          <w:caps/>
          <w:lang w:val="es-ES"/>
        </w:rPr>
      </w:pPr>
      <w:r w:rsidRPr="000B28CE">
        <w:rPr>
          <w:rFonts w:cs="Arial"/>
          <w:b/>
          <w:caps/>
          <w:lang w:val="es-ES"/>
        </w:rPr>
        <w:t>INFORMACIÓN ADICIONAL RELATIVO A LOS CAMBIOS DE PERSONAL PROPUESTOS EN EL ESCENARIO 3, PRESUPUESTO PROPUESTO PARA EL TRIENIO 2021 – 2023</w:t>
      </w:r>
    </w:p>
    <w:p w:rsidR="006F215D" w:rsidRPr="000B28CE" w:rsidRDefault="006F215D" w:rsidP="00F87291">
      <w:pPr>
        <w:spacing w:after="0" w:line="240" w:lineRule="auto"/>
        <w:jc w:val="both"/>
        <w:rPr>
          <w:rFonts w:cs="Arial"/>
          <w:caps/>
          <w:lang w:val="es-ES"/>
        </w:rPr>
      </w:pPr>
    </w:p>
    <w:p w:rsidR="006F215D" w:rsidRPr="000B28CE" w:rsidRDefault="00F87291" w:rsidP="00F87291">
      <w:pPr>
        <w:spacing w:after="0" w:line="240" w:lineRule="auto"/>
        <w:jc w:val="both"/>
        <w:rPr>
          <w:rFonts w:cs="Arial"/>
          <w:caps/>
          <w:lang w:val="es-ES"/>
        </w:rPr>
      </w:pPr>
      <w:r w:rsidRPr="000B28CE">
        <w:rPr>
          <w:rFonts w:cs="Arial"/>
          <w:lang w:val="es-ES"/>
        </w:rPr>
        <w:t>Como ya se ha puesto de relieve, el personal de la Secretaría de la CMS está muy sobrecargado, con un desequilibrio significativo entre las actividades previstas en consonancia con las resoluciones y decisiones de la COP y los recursos humanos existentes. Para fortalecer su capacidad, la Secretaría propone, por lo tanto, un aumento modesto y eficaz en función de los costos de la financiación para reforzar su dotación actual de personal, con indicación de la cantidad total solicitada para todo el trienio, excluidos los gastos de apoyo a los programas. La base del aumento es la siguiente:</w:t>
      </w:r>
    </w:p>
    <w:p w:rsidR="00F87291" w:rsidRPr="000B28CE" w:rsidRDefault="00F87291" w:rsidP="00F87291">
      <w:pPr>
        <w:spacing w:after="0" w:line="240" w:lineRule="auto"/>
        <w:jc w:val="both"/>
        <w:rPr>
          <w:rFonts w:cs="Arial"/>
          <w:caps/>
          <w:lang w:val="es-ES"/>
        </w:rPr>
      </w:pPr>
    </w:p>
    <w:p w:rsidR="00F87291" w:rsidRPr="000B28CE" w:rsidRDefault="00F87291" w:rsidP="00F87291">
      <w:pPr>
        <w:widowControl w:val="0"/>
        <w:numPr>
          <w:ilvl w:val="0"/>
          <w:numId w:val="30"/>
        </w:numPr>
        <w:autoSpaceDE w:val="0"/>
        <w:autoSpaceDN w:val="0"/>
        <w:adjustRightInd w:val="0"/>
        <w:spacing w:after="0" w:line="240" w:lineRule="auto"/>
        <w:contextualSpacing/>
        <w:jc w:val="both"/>
        <w:rPr>
          <w:rFonts w:cs="Arial"/>
          <w:b/>
          <w:i/>
          <w:lang w:val="es-ES"/>
        </w:rPr>
      </w:pPr>
      <w:r w:rsidRPr="000B28CE">
        <w:rPr>
          <w:rFonts w:cs="Arial"/>
          <w:b/>
          <w:i/>
          <w:lang w:val="es-ES"/>
        </w:rPr>
        <w:t xml:space="preserve">Un puesto a tiempo completo de Oficial Asociado del Programa en </w:t>
      </w:r>
      <w:r w:rsidR="00CB7490" w:rsidRPr="000B28CE">
        <w:rPr>
          <w:rFonts w:cs="Arial"/>
          <w:b/>
          <w:i/>
          <w:lang w:val="es-ES"/>
        </w:rPr>
        <w:t>la</w:t>
      </w:r>
      <w:r w:rsidRPr="000B28CE">
        <w:rPr>
          <w:rFonts w:cs="Arial"/>
          <w:b/>
          <w:i/>
          <w:lang w:val="es-ES"/>
        </w:rPr>
        <w:t xml:space="preserve"> Unidad de Especies de Aves (P2): 316</w:t>
      </w:r>
      <w:r w:rsidR="00896512" w:rsidRPr="000B28CE">
        <w:rPr>
          <w:rFonts w:cs="Arial"/>
          <w:b/>
          <w:i/>
          <w:lang w:val="es-ES"/>
        </w:rPr>
        <w:t xml:space="preserve"> </w:t>
      </w:r>
      <w:r w:rsidRPr="000B28CE">
        <w:rPr>
          <w:rFonts w:cs="Arial"/>
          <w:b/>
          <w:i/>
          <w:lang w:val="es-ES"/>
        </w:rPr>
        <w:t>329 €.</w:t>
      </w:r>
    </w:p>
    <w:p w:rsidR="00F87291" w:rsidRPr="000B28CE" w:rsidRDefault="00F87291" w:rsidP="00F87291">
      <w:pPr>
        <w:spacing w:after="0" w:line="240" w:lineRule="auto"/>
        <w:jc w:val="both"/>
        <w:rPr>
          <w:rFonts w:cs="Arial"/>
          <w:lang w:val="es-ES"/>
        </w:rPr>
      </w:pPr>
    </w:p>
    <w:p w:rsidR="00F87291" w:rsidRPr="000B28CE" w:rsidRDefault="00F87291" w:rsidP="00CB7490">
      <w:pPr>
        <w:spacing w:after="0" w:line="240" w:lineRule="auto"/>
        <w:ind w:left="426"/>
        <w:jc w:val="both"/>
        <w:rPr>
          <w:rFonts w:cs="Arial"/>
          <w:lang w:val="es-ES"/>
        </w:rPr>
      </w:pPr>
      <w:r w:rsidRPr="000B28CE">
        <w:rPr>
          <w:rFonts w:cs="Arial"/>
          <w:lang w:val="es-ES"/>
        </w:rPr>
        <w:t xml:space="preserve">Como parte del equipo de apoyo a la ejecución, la Unidad de Especies de Aves de la oficina de Bonn está integrado normalmente por el jefe de unidad (P4, vacante) y un oficial de apoyo general a tiempo parcial (G4; bajo la supervisión general de la Unidad de Servicios de Conferencias). Desde la jubilación del anterior jefe de unidad en octubre de 2018, un funcionario </w:t>
      </w:r>
      <w:r w:rsidR="00C77D63" w:rsidRPr="000B28CE">
        <w:rPr>
          <w:rFonts w:cs="Arial"/>
          <w:lang w:val="es-ES"/>
        </w:rPr>
        <w:t xml:space="preserve">profesional </w:t>
      </w:r>
      <w:r w:rsidRPr="000B28CE">
        <w:rPr>
          <w:rFonts w:cs="Arial"/>
          <w:lang w:val="es-ES"/>
        </w:rPr>
        <w:t>subalterno (JPO), financiado por Alemania, ha estado prestando apoyo a la unidad y dirigiendo las cuestiones relativas a las aves. El acuerdo de JPO terminará en octubre de 2020. Ya se hizo hincapié en la urgente necesidad de personal adicional cuando se solicitó apoyo a través de un JPO en 2015, ya que los servicios de secretaría para el elevado número de iniciativas y memorandos de entendimiento sobre aves ya superaban la capacidad de un único oficial de programas en ese momento.</w:t>
      </w:r>
    </w:p>
    <w:p w:rsidR="00C77D63" w:rsidRPr="000B28CE" w:rsidRDefault="00C77D63" w:rsidP="00CB7490">
      <w:pPr>
        <w:spacing w:after="0" w:line="240" w:lineRule="auto"/>
        <w:ind w:left="426"/>
        <w:jc w:val="both"/>
        <w:rPr>
          <w:rFonts w:cs="Arial"/>
          <w:lang w:val="es-ES"/>
        </w:rPr>
      </w:pPr>
    </w:p>
    <w:p w:rsidR="00F87291" w:rsidRPr="000B28CE" w:rsidRDefault="00C77D63" w:rsidP="00CB7490">
      <w:pPr>
        <w:spacing w:after="0" w:line="240" w:lineRule="auto"/>
        <w:ind w:left="426"/>
        <w:jc w:val="both"/>
        <w:rPr>
          <w:rFonts w:cs="Arial"/>
          <w:lang w:val="es-ES"/>
        </w:rPr>
      </w:pPr>
      <w:r w:rsidRPr="000B28CE">
        <w:rPr>
          <w:rFonts w:cs="Arial"/>
          <w:lang w:val="es-ES"/>
        </w:rPr>
        <w:t>La unidad</w:t>
      </w:r>
      <w:r w:rsidR="00F87291" w:rsidRPr="000B28CE">
        <w:rPr>
          <w:rFonts w:cs="Arial"/>
          <w:lang w:val="es-ES"/>
        </w:rPr>
        <w:t xml:space="preserve"> apoya actualmente a tres grupos de trabajo sobre aves bajo el mandato del Consejo Científico, tres grupos de trabajo intergubernamentales y de múltiples partes interesadas, y la aplicación de siete MdE. Con el desarrollo ulterior del Programa de trabajo para las aves de la CMS y el establecimiento de nuevas iniciativas solicitadas por la COP11 y la COP12, tales como el Grupo de trabajo sobre energía de la CMS y el Grupo de trabajo sobre corredores aéreos de las Américas, el apoyo suficiente a las Partes en la aplicación de las disposiciones relacionadas con las aves en el marco de la Convención y las iniciativas y acuerdos conexos ya no puede garantizarse en el marco de la dotación de personal que prevé un solo oficial de programa. </w:t>
      </w:r>
    </w:p>
    <w:p w:rsidR="00C77D63" w:rsidRPr="000B28CE" w:rsidRDefault="00C77D63" w:rsidP="00CB7490">
      <w:pPr>
        <w:spacing w:after="0" w:line="240" w:lineRule="auto"/>
        <w:ind w:left="426"/>
        <w:jc w:val="both"/>
        <w:rPr>
          <w:rFonts w:cs="Arial"/>
          <w:lang w:val="es-ES"/>
        </w:rPr>
      </w:pPr>
    </w:p>
    <w:p w:rsidR="00F87291" w:rsidRPr="000B28CE" w:rsidRDefault="00F87291" w:rsidP="00CB7490">
      <w:pPr>
        <w:spacing w:after="0" w:line="240" w:lineRule="auto"/>
        <w:ind w:left="426"/>
        <w:jc w:val="both"/>
        <w:rPr>
          <w:rFonts w:cs="Arial"/>
          <w:lang w:val="es-ES"/>
        </w:rPr>
      </w:pPr>
      <w:r w:rsidRPr="000B28CE">
        <w:rPr>
          <w:rFonts w:cs="Arial"/>
          <w:lang w:val="es-ES"/>
        </w:rPr>
        <w:t xml:space="preserve">En la actualidad, la coordinación del Grupo de Trabajo Intergubernamental sobre la Matanza, Captura y Comercio Ilegal de Aves Migratorias (MIKT) y del Grupo de Trabajo sobre Energía se apoya en acuerdos contractuales gracias a contribuciones voluntarias. Sin embargo, la continuidad de su coordinación es incierta después de 2020, ya que no se ha confirmado la financiación adicional. </w:t>
      </w:r>
    </w:p>
    <w:p w:rsidR="00C77D63" w:rsidRPr="000B28CE" w:rsidRDefault="00C77D63" w:rsidP="00CB7490">
      <w:pPr>
        <w:spacing w:after="0" w:line="240" w:lineRule="auto"/>
        <w:ind w:left="426"/>
        <w:jc w:val="both"/>
        <w:rPr>
          <w:rFonts w:cs="Arial"/>
          <w:lang w:val="es-ES"/>
        </w:rPr>
      </w:pPr>
    </w:p>
    <w:p w:rsidR="00F87291" w:rsidRPr="000B28CE" w:rsidRDefault="00F87291" w:rsidP="00CB7490">
      <w:pPr>
        <w:spacing w:after="0" w:line="240" w:lineRule="auto"/>
        <w:ind w:left="426"/>
        <w:jc w:val="both"/>
        <w:rPr>
          <w:rFonts w:cs="Arial"/>
          <w:lang w:val="es-ES"/>
        </w:rPr>
      </w:pPr>
      <w:r w:rsidRPr="000B28CE">
        <w:rPr>
          <w:rFonts w:cs="Arial"/>
          <w:lang w:val="es-ES"/>
        </w:rPr>
        <w:t xml:space="preserve">Considerando que las aves representan el mayor grupo de especies enumeradas en la CMS, así como el amplio enfoque geográfico y temático de los instrumentos </w:t>
      </w:r>
      <w:r w:rsidR="00C77D63" w:rsidRPr="000B28CE">
        <w:rPr>
          <w:rFonts w:cs="Arial"/>
          <w:lang w:val="es-ES"/>
        </w:rPr>
        <w:t>de aves</w:t>
      </w:r>
      <w:r w:rsidRPr="000B28CE">
        <w:rPr>
          <w:rFonts w:cs="Arial"/>
          <w:lang w:val="es-ES"/>
        </w:rPr>
        <w:t xml:space="preserve"> en el marco del Programa de trabajo mundial sobre corredores aéreos de la CMS, las responsabilidades de la coordinación estratégica y los servicios de la secretaría relacionados con l</w:t>
      </w:r>
      <w:r w:rsidR="00C77D63" w:rsidRPr="000B28CE">
        <w:rPr>
          <w:rFonts w:cs="Arial"/>
          <w:lang w:val="es-ES"/>
        </w:rPr>
        <w:t>os temas de aves</w:t>
      </w:r>
      <w:r w:rsidRPr="000B28CE">
        <w:rPr>
          <w:rFonts w:cs="Arial"/>
          <w:lang w:val="es-ES"/>
        </w:rPr>
        <w:t xml:space="preserve"> requieren al menos un</w:t>
      </w:r>
      <w:r w:rsidR="00C77D63" w:rsidRPr="000B28CE">
        <w:rPr>
          <w:rFonts w:cs="Arial"/>
          <w:lang w:val="es-ES"/>
        </w:rPr>
        <w:t>a posición de un profesional nivel-P2.</w:t>
      </w:r>
    </w:p>
    <w:p w:rsidR="00C77D63" w:rsidRPr="000B28CE" w:rsidRDefault="00C77D63" w:rsidP="00F87291">
      <w:pPr>
        <w:spacing w:after="0" w:line="240" w:lineRule="auto"/>
        <w:jc w:val="both"/>
        <w:rPr>
          <w:rFonts w:cs="Arial"/>
          <w:caps/>
          <w:lang w:val="es-ES"/>
        </w:rPr>
      </w:pPr>
    </w:p>
    <w:p w:rsidR="00C77D63" w:rsidRPr="000B28CE" w:rsidRDefault="00C77D63" w:rsidP="00CB7490">
      <w:pPr>
        <w:widowControl w:val="0"/>
        <w:numPr>
          <w:ilvl w:val="0"/>
          <w:numId w:val="30"/>
        </w:numPr>
        <w:autoSpaceDE w:val="0"/>
        <w:autoSpaceDN w:val="0"/>
        <w:adjustRightInd w:val="0"/>
        <w:spacing w:after="0" w:line="240" w:lineRule="auto"/>
        <w:contextualSpacing/>
        <w:jc w:val="both"/>
        <w:rPr>
          <w:rFonts w:cs="Arial"/>
          <w:b/>
          <w:i/>
          <w:lang w:val="es-ES"/>
        </w:rPr>
      </w:pPr>
      <w:r w:rsidRPr="000B28CE">
        <w:rPr>
          <w:rFonts w:cs="Arial"/>
          <w:b/>
          <w:i/>
          <w:lang w:val="es-ES"/>
        </w:rPr>
        <w:t xml:space="preserve">Un puesto a tiempo parcial de Oficial Asociado de Programas (50 por ciento) en </w:t>
      </w:r>
      <w:r w:rsidR="00CB7490" w:rsidRPr="000B28CE">
        <w:rPr>
          <w:rFonts w:cs="Arial"/>
          <w:b/>
          <w:i/>
          <w:lang w:val="es-ES"/>
        </w:rPr>
        <w:t>la Unidad</w:t>
      </w:r>
      <w:r w:rsidRPr="000B28CE">
        <w:rPr>
          <w:rFonts w:cs="Arial"/>
          <w:b/>
          <w:i/>
          <w:lang w:val="es-ES"/>
        </w:rPr>
        <w:t xml:space="preserve"> de Especies Acuáticas (P2): 158 165€  </w:t>
      </w:r>
    </w:p>
    <w:p w:rsidR="00F87291" w:rsidRPr="000B28CE" w:rsidRDefault="00F87291" w:rsidP="00F87291">
      <w:pPr>
        <w:spacing w:after="0" w:line="240" w:lineRule="auto"/>
        <w:jc w:val="both"/>
        <w:rPr>
          <w:rFonts w:cs="Arial"/>
          <w:caps/>
          <w:lang w:val="es-ES"/>
        </w:rPr>
      </w:pPr>
    </w:p>
    <w:p w:rsidR="00CB7490" w:rsidRPr="000B28CE" w:rsidRDefault="00CB7490" w:rsidP="00CB7490">
      <w:pPr>
        <w:spacing w:after="0" w:line="240" w:lineRule="auto"/>
        <w:ind w:left="426"/>
        <w:jc w:val="both"/>
        <w:rPr>
          <w:rFonts w:cs="Arial"/>
          <w:lang w:val="es-ES"/>
        </w:rPr>
      </w:pPr>
      <w:r w:rsidRPr="000B28CE">
        <w:rPr>
          <w:rFonts w:cs="Arial"/>
          <w:lang w:val="es-ES"/>
        </w:rPr>
        <w:t xml:space="preserve">Mientras que la Unidad de Especies Acuáticas cuenta con cuatro profesionales, tres de ellos trabajan total o principalmente para instrumentos hijos de la CMS tales como el MdE IOSEA, el MdE Tiburones y ASCOBANS. Esto significa que el Jefe de la Unidad de Especies Acuáticas tiene sólo 0,45 equivalentes a tiempo completo de personal profesional disponible para apoyar la aplicación de las numerosas resoluciones y decisiones dirigidas por la unidad, que además de las cuestiones puramente acuáticas incluye varios temas transversales, así como el trabajo relacionado del Consejo Científico y sus grupos de trabajo. </w:t>
      </w:r>
    </w:p>
    <w:p w:rsidR="00CB7490" w:rsidRPr="000B28CE" w:rsidRDefault="00CB7490" w:rsidP="00CB7490">
      <w:pPr>
        <w:spacing w:after="0" w:line="240" w:lineRule="auto"/>
        <w:ind w:left="426"/>
        <w:jc w:val="both"/>
        <w:rPr>
          <w:rFonts w:cs="Arial"/>
          <w:lang w:val="es-ES"/>
        </w:rPr>
      </w:pPr>
    </w:p>
    <w:p w:rsidR="00F87291" w:rsidRPr="000B28CE" w:rsidRDefault="00CB7490" w:rsidP="00CB7490">
      <w:pPr>
        <w:spacing w:after="0" w:line="240" w:lineRule="auto"/>
        <w:ind w:left="426"/>
        <w:jc w:val="both"/>
        <w:rPr>
          <w:rFonts w:cs="Arial"/>
          <w:lang w:val="es-ES"/>
        </w:rPr>
      </w:pPr>
      <w:r w:rsidRPr="000B28CE">
        <w:rPr>
          <w:rFonts w:cs="Arial"/>
          <w:lang w:val="es-ES"/>
        </w:rPr>
        <w:t>Por lo tanto, la Secretaría propone un 50% adicional de un P2.  Esto aumentaría el tiempo asignado a la CMS a casi un equivalente a tiempo completo y mejoraría la capacidad de la unidad para apoyar las numerosas líneas de trabajo de la CMS y proporcionar un mejor servicio a las Partes y al Consejo Científico.</w:t>
      </w:r>
    </w:p>
    <w:p w:rsidR="00CB7490" w:rsidRPr="000B28CE" w:rsidRDefault="00CB7490" w:rsidP="00CB7490">
      <w:pPr>
        <w:spacing w:after="0" w:line="240" w:lineRule="auto"/>
        <w:ind w:left="426"/>
        <w:jc w:val="both"/>
        <w:rPr>
          <w:rFonts w:cs="Arial"/>
          <w:lang w:val="es-ES"/>
        </w:rPr>
      </w:pPr>
    </w:p>
    <w:p w:rsidR="00CB7490" w:rsidRPr="000B28CE" w:rsidRDefault="00CB7490" w:rsidP="00CB7490">
      <w:pPr>
        <w:widowControl w:val="0"/>
        <w:numPr>
          <w:ilvl w:val="0"/>
          <w:numId w:val="30"/>
        </w:numPr>
        <w:autoSpaceDE w:val="0"/>
        <w:autoSpaceDN w:val="0"/>
        <w:adjustRightInd w:val="0"/>
        <w:spacing w:after="0" w:line="240" w:lineRule="auto"/>
        <w:contextualSpacing/>
        <w:jc w:val="both"/>
        <w:rPr>
          <w:rFonts w:eastAsia="Palatino Linotype" w:cs="Arial"/>
          <w:b/>
          <w:i/>
          <w:lang w:val="es-ES"/>
        </w:rPr>
      </w:pPr>
      <w:r w:rsidRPr="000B28CE">
        <w:rPr>
          <w:rFonts w:cs="Arial"/>
          <w:b/>
          <w:i/>
          <w:lang w:val="es-ES"/>
        </w:rPr>
        <w:t>Un puesto de redactor a tiempo completo (GS5) en la Unidad de Servicios de Conferencias: 217</w:t>
      </w:r>
      <w:r w:rsidR="00896512" w:rsidRPr="000B28CE">
        <w:rPr>
          <w:rFonts w:cs="Arial"/>
          <w:b/>
          <w:i/>
          <w:lang w:val="es-ES"/>
        </w:rPr>
        <w:t xml:space="preserve"> </w:t>
      </w:r>
      <w:r w:rsidRPr="000B28CE">
        <w:rPr>
          <w:rFonts w:cs="Arial"/>
          <w:b/>
          <w:i/>
          <w:lang w:val="es-ES"/>
        </w:rPr>
        <w:t>496</w:t>
      </w:r>
      <w:r w:rsidRPr="000B28CE">
        <w:rPr>
          <w:rFonts w:eastAsia="Times New Roman" w:cs="Arial"/>
          <w:b/>
          <w:i/>
          <w:lang w:val="es-ES"/>
        </w:rPr>
        <w:t>€</w:t>
      </w:r>
    </w:p>
    <w:p w:rsidR="00CB7490" w:rsidRPr="000B28CE" w:rsidRDefault="00CB7490" w:rsidP="00CB7490">
      <w:pPr>
        <w:spacing w:after="0" w:line="240" w:lineRule="auto"/>
        <w:ind w:left="426"/>
        <w:jc w:val="both"/>
        <w:rPr>
          <w:rFonts w:cs="Arial"/>
          <w:lang w:val="es-ES"/>
        </w:rPr>
      </w:pPr>
    </w:p>
    <w:p w:rsidR="00CB7490" w:rsidRPr="000B28CE" w:rsidRDefault="00CB7490" w:rsidP="00CB7490">
      <w:pPr>
        <w:spacing w:after="0" w:line="240" w:lineRule="auto"/>
        <w:ind w:left="426"/>
        <w:jc w:val="both"/>
        <w:rPr>
          <w:rFonts w:cs="Arial"/>
          <w:lang w:val="es-ES"/>
        </w:rPr>
      </w:pPr>
      <w:r w:rsidRPr="000B28CE">
        <w:rPr>
          <w:rFonts w:cs="Arial"/>
          <w:lang w:val="es-ES"/>
        </w:rPr>
        <w:t>La preparación de documentos es una función clave de la Secretaría de la CMS. La Secretaría produce un enorme volumen de documentos para las numerosas reuniones formales de la CMS, sus numerosos instrumentos distintos, así como informes de estas y otras reuniones técnicas.  Se necesita un puesto de editor a tiempo completo (GS5) para garantizar que los documentos preparados por la Secretaría cumplan las normas editoriales requeridas. El puesto sería un puesto básico de asistente la unidad Servicios de Conferencias y prestaría apoyo a la Secretaría en la redacción de informes y otras necesidades de edición en inglés.</w:t>
      </w:r>
    </w:p>
    <w:p w:rsidR="00CB7490" w:rsidRPr="000B28CE" w:rsidRDefault="00CB7490" w:rsidP="00CB7490">
      <w:pPr>
        <w:spacing w:after="0" w:line="240" w:lineRule="auto"/>
        <w:ind w:left="426"/>
        <w:jc w:val="both"/>
        <w:rPr>
          <w:rFonts w:cs="Arial"/>
          <w:lang w:val="es-ES"/>
        </w:rPr>
      </w:pPr>
    </w:p>
    <w:p w:rsidR="00CB7490" w:rsidRPr="000B28CE" w:rsidRDefault="00CB7490" w:rsidP="00CB7490">
      <w:pPr>
        <w:widowControl w:val="0"/>
        <w:numPr>
          <w:ilvl w:val="0"/>
          <w:numId w:val="30"/>
        </w:numPr>
        <w:autoSpaceDE w:val="0"/>
        <w:autoSpaceDN w:val="0"/>
        <w:adjustRightInd w:val="0"/>
        <w:spacing w:after="0" w:line="240" w:lineRule="auto"/>
        <w:contextualSpacing/>
        <w:rPr>
          <w:rFonts w:cs="Arial"/>
          <w:b/>
          <w:i/>
          <w:lang w:val="es-ES"/>
        </w:rPr>
      </w:pPr>
      <w:r w:rsidRPr="000B28CE">
        <w:rPr>
          <w:rFonts w:cs="Arial"/>
          <w:b/>
          <w:i/>
          <w:lang w:val="es-ES"/>
        </w:rPr>
        <w:t>Ascenso del puesto de coordinador de IMCA de P2 a P3: 61320</w:t>
      </w:r>
      <w:r w:rsidR="00896512" w:rsidRPr="000B28CE">
        <w:rPr>
          <w:rFonts w:eastAsia="Times New Roman" w:cs="Arial"/>
          <w:b/>
          <w:i/>
          <w:lang w:val="es-ES"/>
        </w:rPr>
        <w:t>€</w:t>
      </w:r>
    </w:p>
    <w:p w:rsidR="00CB7490" w:rsidRPr="000B28CE" w:rsidRDefault="00CB7490" w:rsidP="00CB7490">
      <w:pPr>
        <w:widowControl w:val="0"/>
        <w:autoSpaceDE w:val="0"/>
        <w:autoSpaceDN w:val="0"/>
        <w:adjustRightInd w:val="0"/>
        <w:spacing w:after="0" w:line="240" w:lineRule="auto"/>
        <w:ind w:left="360"/>
        <w:contextualSpacing/>
        <w:rPr>
          <w:rFonts w:cs="Arial"/>
          <w:lang w:val="es-ES"/>
        </w:rPr>
      </w:pPr>
    </w:p>
    <w:p w:rsidR="00CB7490" w:rsidRPr="000B28CE" w:rsidRDefault="00896512" w:rsidP="00CB7490">
      <w:pPr>
        <w:spacing w:after="0" w:line="240" w:lineRule="auto"/>
        <w:ind w:left="426"/>
        <w:jc w:val="both"/>
        <w:rPr>
          <w:rFonts w:cs="Arial"/>
          <w:lang w:val="es-ES"/>
        </w:rPr>
      </w:pPr>
      <w:r w:rsidRPr="000B28CE">
        <w:rPr>
          <w:rFonts w:cs="Arial"/>
          <w:lang w:val="es-ES"/>
        </w:rPr>
        <w:t>El Coordinador del IMCA administra la Unidad Conjunta de Gestión de la Información y Comunicación de la CMS y el AEWA. Las responsabilidades del puesto superan con creces las que se suelen asignar a un oficial de categoría P-2. La actualización también ha sido recomendada en la "Revisión de la Clasificación de Puestos de Trabajo de la CMS" realizada en octubre de 2016 y también fue incluida en las propuestas de presupuesto por la Secretaría en la COP11 y COP12 de la CMS. Los puestos con tareas similares en otros Acuerdos Multilaterales de Medioambiente (como CITES, CDB y UNCCD) se clasifican y se cubren en los niveles P4 e incluso P5. Los órganos rectores del AEWA también han acordado mejorar el puesto, siempre que sea neutral desde el punto de vista presupuestario para AEWA. La contribución de la CMS para la actualización de P2 a P3 ayudaría a asegurar que se cumpla el equilibrio acordado de la contribución de la CMS a la Unidad conjunta.</w:t>
      </w:r>
    </w:p>
    <w:p w:rsidR="00CB7490" w:rsidRPr="000B28CE" w:rsidRDefault="00CB7490" w:rsidP="00CB7490">
      <w:pPr>
        <w:spacing w:after="0" w:line="240" w:lineRule="auto"/>
        <w:ind w:left="426"/>
        <w:jc w:val="both"/>
        <w:rPr>
          <w:rFonts w:cs="Arial"/>
          <w:caps/>
          <w:lang w:val="es-ES"/>
        </w:rPr>
      </w:pPr>
    </w:p>
    <w:p w:rsidR="00896512" w:rsidRPr="000B28CE" w:rsidRDefault="00896512" w:rsidP="00CB7490">
      <w:pPr>
        <w:widowControl w:val="0"/>
        <w:numPr>
          <w:ilvl w:val="0"/>
          <w:numId w:val="30"/>
        </w:numPr>
        <w:autoSpaceDE w:val="0"/>
        <w:autoSpaceDN w:val="0"/>
        <w:adjustRightInd w:val="0"/>
        <w:spacing w:after="0" w:line="240" w:lineRule="auto"/>
        <w:ind w:left="426"/>
        <w:contextualSpacing/>
        <w:jc w:val="both"/>
        <w:rPr>
          <w:rFonts w:cs="Arial"/>
          <w:caps/>
          <w:lang w:val="es-ES"/>
        </w:rPr>
      </w:pPr>
      <w:r w:rsidRPr="000B28CE">
        <w:rPr>
          <w:rFonts w:cs="Arial"/>
          <w:b/>
          <w:i/>
          <w:lang w:val="es-ES"/>
        </w:rPr>
        <w:t>Un asistente de información a tiempo parcial en la categoría GS5 de la Unidad Conjunta de Información, Gestión y Comunicación (compartido al 50% con la Secretaría del AEWA): 108</w:t>
      </w:r>
      <w:r w:rsidR="00ED7321" w:rsidRPr="000B28CE">
        <w:rPr>
          <w:rFonts w:cs="Arial"/>
          <w:b/>
          <w:i/>
          <w:lang w:val="es-ES"/>
        </w:rPr>
        <w:t xml:space="preserve"> </w:t>
      </w:r>
      <w:r w:rsidRPr="000B28CE">
        <w:rPr>
          <w:rFonts w:cs="Arial"/>
          <w:b/>
          <w:i/>
          <w:lang w:val="es-ES"/>
        </w:rPr>
        <w:t xml:space="preserve">748€. </w:t>
      </w:r>
    </w:p>
    <w:p w:rsidR="00896512" w:rsidRPr="000B28CE" w:rsidRDefault="00896512" w:rsidP="00CB7490">
      <w:pPr>
        <w:spacing w:after="0" w:line="240" w:lineRule="auto"/>
        <w:ind w:left="426"/>
        <w:jc w:val="both"/>
        <w:rPr>
          <w:rFonts w:cs="Arial"/>
          <w:caps/>
          <w:lang w:val="es-ES"/>
        </w:rPr>
      </w:pPr>
    </w:p>
    <w:p w:rsidR="00896512" w:rsidRPr="000B28CE" w:rsidRDefault="001E3AA4" w:rsidP="00CB7490">
      <w:pPr>
        <w:spacing w:after="0" w:line="240" w:lineRule="auto"/>
        <w:ind w:left="426"/>
        <w:jc w:val="both"/>
        <w:rPr>
          <w:rFonts w:cs="Arial"/>
          <w:caps/>
          <w:lang w:val="es-ES"/>
        </w:rPr>
      </w:pPr>
      <w:r w:rsidRPr="000B28CE">
        <w:rPr>
          <w:rFonts w:cs="Arial"/>
          <w:lang w:val="es-ES"/>
        </w:rPr>
        <w:t>El puesto de Asistente de Información de servicios generales (otras categorías) es actualmente sólo un puesto a tiempo parcial del 50% de AEWA en la Unidad Conjunta de Comunicaciones. La propuesta es convertirla en una posición del 100 por ciento, por lo que la CMS cubriría el aumento del 50 por ciento. El puesto es un puesto clave en la Unidad Conjunta que gestiona todo el trabajo de diseño interno de ambas secretarías y también presta apoyo a una amplia gama de otras tareas, incluido el sitio web</w:t>
      </w:r>
    </w:p>
    <w:p w:rsidR="00896512" w:rsidRPr="000B28CE" w:rsidRDefault="00896512" w:rsidP="00CB7490">
      <w:pPr>
        <w:spacing w:after="0" w:line="240" w:lineRule="auto"/>
        <w:ind w:left="426"/>
        <w:jc w:val="both"/>
        <w:rPr>
          <w:rFonts w:cs="Arial"/>
          <w:caps/>
          <w:lang w:val="es-ES"/>
        </w:rPr>
      </w:pPr>
    </w:p>
    <w:p w:rsidR="001E3AA4" w:rsidRPr="000B28CE" w:rsidRDefault="00ED7321" w:rsidP="00ED7321">
      <w:pPr>
        <w:widowControl w:val="0"/>
        <w:numPr>
          <w:ilvl w:val="0"/>
          <w:numId w:val="30"/>
        </w:numPr>
        <w:autoSpaceDE w:val="0"/>
        <w:autoSpaceDN w:val="0"/>
        <w:adjustRightInd w:val="0"/>
        <w:spacing w:after="0" w:line="240" w:lineRule="auto"/>
        <w:contextualSpacing/>
        <w:jc w:val="both"/>
        <w:rPr>
          <w:rFonts w:cs="Arial"/>
          <w:b/>
          <w:i/>
          <w:lang w:val="es-ES"/>
        </w:rPr>
      </w:pPr>
      <w:r w:rsidRPr="000B28CE">
        <w:rPr>
          <w:rFonts w:cs="Arial"/>
          <w:b/>
          <w:i/>
          <w:lang w:val="es-ES"/>
        </w:rPr>
        <w:t>Un puesto en GS4 en la Unidad de Servicios de Conferencias (del 50 al 100 por ciento): 96 150</w:t>
      </w:r>
      <w:r w:rsidR="001E3AA4" w:rsidRPr="000B28CE">
        <w:rPr>
          <w:rFonts w:eastAsia="Times New Roman" w:cs="Arial"/>
          <w:b/>
          <w:i/>
          <w:lang w:val="es-ES"/>
        </w:rPr>
        <w:t>€</w:t>
      </w:r>
      <w:r w:rsidR="001E3AA4" w:rsidRPr="000B28CE">
        <w:rPr>
          <w:rFonts w:cs="Arial"/>
          <w:b/>
          <w:i/>
          <w:lang w:val="es-ES"/>
        </w:rPr>
        <w:t xml:space="preserve"> </w:t>
      </w:r>
    </w:p>
    <w:p w:rsidR="001E3AA4" w:rsidRPr="000B28CE" w:rsidRDefault="001E3AA4" w:rsidP="00CB7490">
      <w:pPr>
        <w:spacing w:after="0" w:line="240" w:lineRule="auto"/>
        <w:ind w:left="426"/>
        <w:jc w:val="both"/>
        <w:rPr>
          <w:rFonts w:cs="Arial"/>
          <w:caps/>
          <w:lang w:val="es-ES"/>
        </w:rPr>
      </w:pPr>
    </w:p>
    <w:p w:rsidR="001E3AA4" w:rsidRPr="000B28CE" w:rsidRDefault="00ED7321" w:rsidP="00CB7490">
      <w:pPr>
        <w:spacing w:after="0" w:line="240" w:lineRule="auto"/>
        <w:ind w:left="426"/>
        <w:jc w:val="both"/>
        <w:rPr>
          <w:rFonts w:cs="Arial"/>
          <w:caps/>
          <w:lang w:val="es-ES"/>
        </w:rPr>
      </w:pPr>
      <w:r w:rsidRPr="000B28CE">
        <w:rPr>
          <w:rFonts w:cs="Arial"/>
          <w:lang w:val="es-ES"/>
        </w:rPr>
        <w:t>Con el despliegue de la UMOJA en 2015 y la separación de funciones, el personal de servicios generales de la Unidad de Servicios de Conferencias tuvo que asumir funciones administrativas adicionales relacionadas con los viajes y los recursos humanos. Como resultado, el personal de Servicios Generales tiene tiempo limitado para apoyar las actividades de las Unidades de Especies. Por lo tanto, aumentar la ocupación de los puestos del 50 al 100 por ciento permitirá el apoyo necesario para las unidades de especies a fin de aplicar plenamente el programa de trabajo adoptado por la COP.</w:t>
      </w:r>
    </w:p>
    <w:p w:rsidR="00F87291" w:rsidRPr="000B28CE" w:rsidRDefault="00F87291" w:rsidP="00CB7490">
      <w:pPr>
        <w:ind w:left="426"/>
        <w:jc w:val="both"/>
        <w:rPr>
          <w:rFonts w:cs="Arial"/>
          <w:caps/>
          <w:lang w:val="es-ES"/>
        </w:rPr>
      </w:pPr>
    </w:p>
    <w:p w:rsidR="00FE2868" w:rsidRPr="000B28CE" w:rsidRDefault="00FE2868" w:rsidP="00F87291">
      <w:pPr>
        <w:jc w:val="both"/>
        <w:rPr>
          <w:rFonts w:cs="Arial"/>
          <w:caps/>
          <w:lang w:val="es-ES"/>
        </w:rPr>
        <w:sectPr w:rsidR="00FE2868" w:rsidRPr="000B28CE" w:rsidSect="00B104EC">
          <w:headerReference w:type="even" r:id="rId16"/>
          <w:headerReference w:type="first" r:id="rId17"/>
          <w:pgSz w:w="11906" w:h="16838" w:code="9"/>
          <w:pgMar w:top="1134" w:right="1134" w:bottom="1134" w:left="1134" w:header="720" w:footer="720" w:gutter="0"/>
          <w:cols w:space="720"/>
          <w:titlePg/>
          <w:docGrid w:linePitch="360"/>
        </w:sectPr>
      </w:pPr>
    </w:p>
    <w:p w:rsidR="006B4097" w:rsidRPr="000B28CE" w:rsidRDefault="006B4097" w:rsidP="00FE2868">
      <w:pPr>
        <w:spacing w:after="0" w:line="240" w:lineRule="auto"/>
        <w:jc w:val="right"/>
        <w:rPr>
          <w:rFonts w:cs="Arial"/>
          <w:b/>
          <w:bCs/>
          <w:caps/>
          <w:lang w:val="es-ES"/>
        </w:rPr>
      </w:pPr>
      <w:r w:rsidRPr="000B28CE">
        <w:rPr>
          <w:rFonts w:cs="Arial"/>
          <w:b/>
          <w:caps/>
          <w:lang w:val="es-ES"/>
        </w:rPr>
        <w:t>Anex</w:t>
      </w:r>
      <w:r w:rsidR="00095F60" w:rsidRPr="000B28CE">
        <w:rPr>
          <w:rFonts w:cs="Arial"/>
          <w:b/>
          <w:caps/>
          <w:lang w:val="es-ES"/>
        </w:rPr>
        <w:t>O</w:t>
      </w:r>
      <w:r w:rsidRPr="000B28CE">
        <w:rPr>
          <w:rFonts w:cs="Arial"/>
          <w:b/>
          <w:caps/>
          <w:lang w:val="es-ES"/>
        </w:rPr>
        <w:t xml:space="preserve"> </w:t>
      </w:r>
      <w:r w:rsidR="00B02389" w:rsidRPr="000B28CE">
        <w:rPr>
          <w:rFonts w:cs="Arial"/>
          <w:b/>
          <w:caps/>
          <w:lang w:val="es-ES"/>
        </w:rPr>
        <w:t>3</w:t>
      </w:r>
      <w:r w:rsidRPr="000B28CE">
        <w:rPr>
          <w:rFonts w:cs="Arial"/>
          <w:b/>
          <w:caps/>
          <w:lang w:val="es-ES"/>
        </w:rPr>
        <w:t xml:space="preserve"> (a)</w:t>
      </w:r>
    </w:p>
    <w:p w:rsidR="006B4097" w:rsidRPr="000B28CE" w:rsidRDefault="00095F60" w:rsidP="00FE2868">
      <w:pPr>
        <w:spacing w:after="0" w:line="240" w:lineRule="auto"/>
        <w:jc w:val="center"/>
        <w:rPr>
          <w:rFonts w:cs="Arial"/>
          <w:b/>
          <w:bCs/>
          <w:color w:val="000000"/>
          <w:lang w:val="es-ES"/>
        </w:rPr>
      </w:pPr>
      <w:r w:rsidRPr="000B28CE">
        <w:rPr>
          <w:b/>
          <w:color w:val="000000"/>
          <w:lang w:val="es-ES"/>
        </w:rPr>
        <w:t xml:space="preserve">PRESUPUESTO PROPUESTO PARA EL TRIENIO </w:t>
      </w:r>
      <w:r w:rsidR="006B4097" w:rsidRPr="000B28CE">
        <w:rPr>
          <w:rFonts w:cs="Arial"/>
          <w:b/>
          <w:bCs/>
          <w:color w:val="000000"/>
          <w:lang w:val="es-ES"/>
        </w:rPr>
        <w:t>2021 – 2023</w:t>
      </w:r>
    </w:p>
    <w:p w:rsidR="006B4097" w:rsidRPr="000B28CE" w:rsidRDefault="00095F60" w:rsidP="00FE2868">
      <w:pPr>
        <w:spacing w:after="0" w:line="240" w:lineRule="auto"/>
        <w:jc w:val="center"/>
        <w:outlineLvl w:val="1"/>
        <w:rPr>
          <w:rFonts w:cs="Arial"/>
          <w:b/>
          <w:bCs/>
          <w:iCs/>
          <w:color w:val="000000"/>
          <w:lang w:val="es-ES"/>
        </w:rPr>
      </w:pPr>
      <w:r w:rsidRPr="000B28CE">
        <w:rPr>
          <w:rFonts w:cs="Arial"/>
          <w:b/>
          <w:bCs/>
          <w:iCs/>
          <w:color w:val="000000"/>
          <w:lang w:val="es-ES"/>
        </w:rPr>
        <w:t>E</w:t>
      </w:r>
      <w:r w:rsidR="006B4097" w:rsidRPr="000B28CE">
        <w:rPr>
          <w:rFonts w:cs="Arial"/>
          <w:b/>
          <w:bCs/>
          <w:iCs/>
          <w:color w:val="000000"/>
          <w:lang w:val="es-ES"/>
        </w:rPr>
        <w:t xml:space="preserve">SCENARIO 1 - </w:t>
      </w:r>
      <w:r w:rsidRPr="000B28CE">
        <w:rPr>
          <w:b/>
          <w:color w:val="000000"/>
          <w:lang w:val="es-ES"/>
        </w:rPr>
        <w:t xml:space="preserve">CRECIMIENTO </w:t>
      </w:r>
      <w:r w:rsidR="001D468B" w:rsidRPr="000B28CE">
        <w:rPr>
          <w:b/>
          <w:color w:val="000000"/>
          <w:lang w:val="es-ES"/>
        </w:rPr>
        <w:t>NOMINAL</w:t>
      </w:r>
      <w:r w:rsidRPr="000B28CE">
        <w:rPr>
          <w:b/>
          <w:color w:val="000000"/>
          <w:lang w:val="es-ES"/>
        </w:rPr>
        <w:t xml:space="preserve"> CERO</w:t>
      </w:r>
    </w:p>
    <w:p w:rsidR="006B4097" w:rsidRPr="000B28CE" w:rsidRDefault="006B4097" w:rsidP="00FE2868">
      <w:pPr>
        <w:spacing w:after="0" w:line="240" w:lineRule="auto"/>
        <w:jc w:val="center"/>
        <w:outlineLvl w:val="1"/>
        <w:rPr>
          <w:rFonts w:cs="Arial"/>
          <w:iCs/>
          <w:color w:val="000000"/>
          <w:sz w:val="18"/>
          <w:szCs w:val="18"/>
          <w:lang w:val="es-ES"/>
        </w:rPr>
      </w:pPr>
      <w:r w:rsidRPr="000B28CE">
        <w:rPr>
          <w:rFonts w:cs="Arial"/>
          <w:iCs/>
          <w:color w:val="000000"/>
          <w:sz w:val="18"/>
          <w:szCs w:val="18"/>
          <w:lang w:val="es-ES"/>
        </w:rPr>
        <w:t>(</w:t>
      </w:r>
      <w:r w:rsidR="00095F60" w:rsidRPr="000B28CE">
        <w:rPr>
          <w:color w:val="000000"/>
          <w:sz w:val="18"/>
          <w:szCs w:val="18"/>
          <w:lang w:val="es-ES"/>
        </w:rPr>
        <w:t>Todas las cifras en euros</w:t>
      </w:r>
      <w:r w:rsidRPr="000B28CE">
        <w:rPr>
          <w:rFonts w:cs="Arial"/>
          <w:iCs/>
          <w:color w:val="000000"/>
          <w:sz w:val="18"/>
          <w:szCs w:val="18"/>
          <w:lang w:val="es-ES"/>
        </w:rPr>
        <w:t>)</w:t>
      </w:r>
    </w:p>
    <w:p w:rsidR="006F3913" w:rsidRPr="000B28CE" w:rsidRDefault="006F3913" w:rsidP="00FE2868">
      <w:pPr>
        <w:spacing w:after="0" w:line="240" w:lineRule="auto"/>
        <w:jc w:val="center"/>
        <w:outlineLvl w:val="1"/>
        <w:rPr>
          <w:rFonts w:cs="Arial"/>
          <w:iCs/>
          <w:color w:val="000000"/>
          <w:sz w:val="18"/>
          <w:szCs w:val="18"/>
          <w:lang w:val="es-ES"/>
        </w:rPr>
      </w:pPr>
    </w:p>
    <w:tbl>
      <w:tblPr>
        <w:tblW w:w="5074" w:type="pct"/>
        <w:jc w:val="center"/>
        <w:tblLook w:val="04A0" w:firstRow="1" w:lastRow="0" w:firstColumn="1" w:lastColumn="0" w:noHBand="0" w:noVBand="1"/>
      </w:tblPr>
      <w:tblGrid>
        <w:gridCol w:w="6140"/>
        <w:gridCol w:w="1017"/>
        <w:gridCol w:w="1017"/>
        <w:gridCol w:w="1017"/>
        <w:gridCol w:w="1017"/>
      </w:tblGrid>
      <w:tr w:rsidR="001C60EB" w:rsidRPr="000B28CE" w:rsidTr="003023C0">
        <w:trPr>
          <w:trHeight w:val="601"/>
          <w:jc w:val="center"/>
        </w:trPr>
        <w:tc>
          <w:tcPr>
            <w:tcW w:w="2950"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i/>
                <w:sz w:val="18"/>
                <w:szCs w:val="18"/>
                <w:lang w:val="es-ES"/>
              </w:rPr>
              <w:t xml:space="preserve">Partida de gastos  </w:t>
            </w:r>
          </w:p>
        </w:tc>
        <w:tc>
          <w:tcPr>
            <w:tcW w:w="494"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2021</w:t>
            </w:r>
          </w:p>
        </w:tc>
        <w:tc>
          <w:tcPr>
            <w:tcW w:w="494"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2022</w:t>
            </w:r>
          </w:p>
        </w:tc>
        <w:tc>
          <w:tcPr>
            <w:tcW w:w="494"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2023</w:t>
            </w:r>
          </w:p>
        </w:tc>
        <w:tc>
          <w:tcPr>
            <w:tcW w:w="56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Total</w:t>
            </w:r>
          </w:p>
        </w:tc>
      </w:tr>
      <w:tr w:rsidR="001C60EB" w:rsidRPr="000B28CE" w:rsidTr="003023C0">
        <w:trPr>
          <w:trHeight w:val="358"/>
          <w:jc w:val="center"/>
        </w:trPr>
        <w:tc>
          <w:tcPr>
            <w:tcW w:w="2950"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Gastos de personal</w:t>
            </w:r>
          </w:p>
        </w:tc>
        <w:tc>
          <w:tcPr>
            <w:tcW w:w="494"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c>
          <w:tcPr>
            <w:tcW w:w="494"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c>
          <w:tcPr>
            <w:tcW w:w="494"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c>
          <w:tcPr>
            <w:tcW w:w="567"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Personal profesional</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1 454 022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1 483 102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1 512 764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4 449 889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Personal de apoyo general</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497 405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507 353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517 500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1 522 259 </w:t>
            </w:r>
          </w:p>
        </w:tc>
      </w:tr>
      <w:tr w:rsidR="001C60EB" w:rsidRPr="000B28CE" w:rsidTr="003023C0">
        <w:trPr>
          <w:trHeight w:val="358"/>
          <w:jc w:val="center"/>
        </w:trPr>
        <w:tc>
          <w:tcPr>
            <w:tcW w:w="2950"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1 951 427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1 990 456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2 030 265 </w:t>
            </w:r>
          </w:p>
        </w:tc>
        <w:tc>
          <w:tcPr>
            <w:tcW w:w="56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5 972 148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Servicios contractuales</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Servicios contractuales (traducciones generales y edición de documentos)</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90 168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91 971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93 811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275 950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sz w:val="18"/>
                <w:szCs w:val="18"/>
                <w:lang w:val="es-ES"/>
              </w:rPr>
              <w:t>Servicios a los órganos rectores (traducciones</w:t>
            </w:r>
            <w:r w:rsidR="003023C0" w:rsidRPr="000B28CE">
              <w:rPr>
                <w:sz w:val="18"/>
                <w:szCs w:val="18"/>
                <w:lang w:val="es-ES"/>
              </w:rPr>
              <w:t>,</w:t>
            </w:r>
            <w:r w:rsidRPr="000B28CE">
              <w:rPr>
                <w:sz w:val="18"/>
                <w:szCs w:val="18"/>
                <w:lang w:val="es-ES"/>
              </w:rPr>
              <w:t xml:space="preserve"> interpretación</w:t>
            </w:r>
            <w:r w:rsidR="003023C0" w:rsidRPr="000B28CE">
              <w:rPr>
                <w:sz w:val="18"/>
                <w:szCs w:val="18"/>
                <w:lang w:val="es-ES"/>
              </w:rPr>
              <w:t>,</w:t>
            </w:r>
            <w:r w:rsidRPr="000B28CE">
              <w:rPr>
                <w:sz w:val="18"/>
                <w:szCs w:val="18"/>
                <w:lang w:val="es-ES"/>
              </w:rPr>
              <w:t xml:space="preserve"> etc.)</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104 967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104 967 </w:t>
            </w:r>
          </w:p>
        </w:tc>
      </w:tr>
      <w:tr w:rsidR="001C60EB" w:rsidRPr="000B28CE" w:rsidTr="003023C0">
        <w:trPr>
          <w:trHeight w:val="358"/>
          <w:jc w:val="center"/>
        </w:trPr>
        <w:tc>
          <w:tcPr>
            <w:tcW w:w="2950"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Producción de materiales de información</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12 750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13 005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13 265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39 020 </w:t>
            </w:r>
          </w:p>
        </w:tc>
      </w:tr>
      <w:tr w:rsidR="001C60EB" w:rsidRPr="000B28CE" w:rsidTr="003023C0">
        <w:trPr>
          <w:trHeight w:val="358"/>
          <w:jc w:val="center"/>
        </w:trPr>
        <w:tc>
          <w:tcPr>
            <w:tcW w:w="2950"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102 918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104 976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212 043 </w:t>
            </w:r>
          </w:p>
        </w:tc>
        <w:tc>
          <w:tcPr>
            <w:tcW w:w="56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419 937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Gastos de funcionamiento</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Instrumentos de TIC</w:t>
            </w:r>
            <w:r w:rsidR="003023C0" w:rsidRPr="000B28CE">
              <w:rPr>
                <w:color w:val="000000"/>
                <w:sz w:val="18"/>
                <w:szCs w:val="18"/>
                <w:lang w:val="es-ES"/>
              </w:rPr>
              <w:t>,</w:t>
            </w:r>
            <w:r w:rsidRPr="000B28CE">
              <w:rPr>
                <w:color w:val="000000"/>
                <w:sz w:val="18"/>
                <w:szCs w:val="18"/>
                <w:lang w:val="es-ES"/>
              </w:rPr>
              <w:t xml:space="preserve"> elaboración y gestión del sitio web</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6 630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6 763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6 898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20 290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sz w:val="18"/>
                <w:szCs w:val="18"/>
                <w:lang w:val="es-ES"/>
              </w:rPr>
              <w:t>Formación del personal (capacitación retiros)</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10 200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10 404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10 612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31 216 </w:t>
            </w:r>
          </w:p>
        </w:tc>
      </w:tr>
      <w:tr w:rsidR="001C60EB" w:rsidRPr="000B28CE" w:rsidTr="003023C0">
        <w:trPr>
          <w:trHeight w:val="358"/>
          <w:jc w:val="center"/>
        </w:trPr>
        <w:tc>
          <w:tcPr>
            <w:tcW w:w="2950"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Servicios de tecnología de la información (UNV)</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71 400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72 828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74 285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218 513 </w:t>
            </w:r>
          </w:p>
        </w:tc>
      </w:tr>
      <w:tr w:rsidR="001C60EB" w:rsidRPr="000B28CE" w:rsidTr="003023C0">
        <w:trPr>
          <w:trHeight w:val="358"/>
          <w:jc w:val="center"/>
        </w:trPr>
        <w:tc>
          <w:tcPr>
            <w:tcW w:w="2950"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Servicios de automatización de oficinas (alojamiento de impresoras alquiladas</w:t>
            </w:r>
            <w:r w:rsidR="003023C0" w:rsidRPr="000B28CE">
              <w:rPr>
                <w:color w:val="000000"/>
                <w:sz w:val="18"/>
                <w:szCs w:val="18"/>
                <w:lang w:val="es-ES"/>
              </w:rPr>
              <w:t>,</w:t>
            </w:r>
            <w:r w:rsidRPr="000B28CE">
              <w:rPr>
                <w:color w:val="000000"/>
                <w:sz w:val="18"/>
                <w:szCs w:val="18"/>
                <w:lang w:val="es-ES"/>
              </w:rPr>
              <w:t xml:space="preserve"> etc.)</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10 200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10 404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10 612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31 216 </w:t>
            </w:r>
          </w:p>
        </w:tc>
      </w:tr>
      <w:tr w:rsidR="001C60EB" w:rsidRPr="000B28CE" w:rsidTr="003023C0">
        <w:trPr>
          <w:trHeight w:val="358"/>
          <w:jc w:val="center"/>
        </w:trPr>
        <w:tc>
          <w:tcPr>
            <w:tcW w:w="2950"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Servicios de comunicación y de mensajería</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17 850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18 207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18 571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54 628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Varios</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3 813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3 889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3 967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11 669 </w:t>
            </w:r>
          </w:p>
        </w:tc>
      </w:tr>
      <w:tr w:rsidR="001C60EB" w:rsidRPr="000B28CE" w:rsidTr="003023C0">
        <w:trPr>
          <w:trHeight w:val="358"/>
          <w:jc w:val="center"/>
        </w:trPr>
        <w:tc>
          <w:tcPr>
            <w:tcW w:w="2950"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120 093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122 495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124 945 </w:t>
            </w:r>
          </w:p>
        </w:tc>
        <w:tc>
          <w:tcPr>
            <w:tcW w:w="56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367 532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Suministros</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3023C0">
        <w:trPr>
          <w:trHeight w:val="358"/>
          <w:jc w:val="center"/>
        </w:trPr>
        <w:tc>
          <w:tcPr>
            <w:tcW w:w="2950"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Suministros de oficina</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5 916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6 034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6 155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18 105 </w:t>
            </w:r>
          </w:p>
        </w:tc>
      </w:tr>
      <w:tr w:rsidR="001C60EB" w:rsidRPr="000B28CE" w:rsidTr="003023C0">
        <w:trPr>
          <w:trHeight w:val="358"/>
          <w:jc w:val="center"/>
        </w:trPr>
        <w:tc>
          <w:tcPr>
            <w:tcW w:w="2950" w:type="pct"/>
            <w:tcBorders>
              <w:top w:val="single" w:sz="4" w:space="0" w:color="auto"/>
              <w:left w:val="nil"/>
              <w:bottom w:val="single" w:sz="4" w:space="0" w:color="auto"/>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5 916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6 034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6 155 </w:t>
            </w:r>
          </w:p>
        </w:tc>
        <w:tc>
          <w:tcPr>
            <w:tcW w:w="56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18 105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Equipo</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3023C0">
        <w:trPr>
          <w:trHeight w:val="358"/>
          <w:jc w:val="center"/>
        </w:trPr>
        <w:tc>
          <w:tcPr>
            <w:tcW w:w="2950"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Equipo no fungible</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10 710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10 924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11 143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32 777 </w:t>
            </w:r>
          </w:p>
        </w:tc>
      </w:tr>
      <w:tr w:rsidR="001C60EB" w:rsidRPr="000B28CE" w:rsidTr="003023C0">
        <w:trPr>
          <w:trHeight w:val="358"/>
          <w:jc w:val="center"/>
        </w:trPr>
        <w:tc>
          <w:tcPr>
            <w:tcW w:w="2950" w:type="pct"/>
            <w:tcBorders>
              <w:top w:val="single" w:sz="4" w:space="0" w:color="auto"/>
              <w:left w:val="nil"/>
              <w:bottom w:val="single" w:sz="4" w:space="0" w:color="auto"/>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10 710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10 924 </w:t>
            </w:r>
          </w:p>
        </w:tc>
        <w:tc>
          <w:tcPr>
            <w:tcW w:w="494"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11 143 </w:t>
            </w:r>
          </w:p>
        </w:tc>
        <w:tc>
          <w:tcPr>
            <w:tcW w:w="56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32 777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3023C0"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Viajes</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Viajes del personal</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64 974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66 273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6 599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198 846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 xml:space="preserve">Viajes del personal </w:t>
            </w:r>
            <w:r w:rsidRPr="000B28CE">
              <w:rPr>
                <w:sz w:val="18"/>
                <w:szCs w:val="18"/>
                <w:lang w:val="es-ES"/>
              </w:rPr>
              <w:t>- COP14</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56 245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56 245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Reuniones del Comité Permanente</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22 965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23 425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46 390 </w:t>
            </w:r>
          </w:p>
        </w:tc>
      </w:tr>
      <w:tr w:rsidR="001C60EB" w:rsidRPr="000B28CE" w:rsidTr="003023C0">
        <w:trPr>
          <w:trHeight w:val="358"/>
          <w:jc w:val="center"/>
        </w:trPr>
        <w:tc>
          <w:tcPr>
            <w:tcW w:w="2950"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Reuniones del Consejo Científico</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52 424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53 473 </w:t>
            </w:r>
          </w:p>
        </w:tc>
        <w:tc>
          <w:tcPr>
            <w:tcW w:w="494"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56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105 897 </w:t>
            </w:r>
          </w:p>
        </w:tc>
      </w:tr>
      <w:tr w:rsidR="001C60EB" w:rsidRPr="000B28CE" w:rsidTr="003023C0">
        <w:trPr>
          <w:trHeight w:val="358"/>
          <w:jc w:val="center"/>
        </w:trPr>
        <w:tc>
          <w:tcPr>
            <w:tcW w:w="2950"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94"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140 364 </w:t>
            </w:r>
          </w:p>
        </w:tc>
        <w:tc>
          <w:tcPr>
            <w:tcW w:w="494"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143 171 </w:t>
            </w:r>
          </w:p>
        </w:tc>
        <w:tc>
          <w:tcPr>
            <w:tcW w:w="494"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123 844 </w:t>
            </w:r>
          </w:p>
        </w:tc>
        <w:tc>
          <w:tcPr>
            <w:tcW w:w="567"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407 378 </w:t>
            </w:r>
          </w:p>
        </w:tc>
      </w:tr>
      <w:tr w:rsidR="001C60EB" w:rsidRPr="000B28CE" w:rsidTr="003023C0">
        <w:trPr>
          <w:trHeight w:val="358"/>
          <w:jc w:val="center"/>
        </w:trPr>
        <w:tc>
          <w:tcPr>
            <w:tcW w:w="2950"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rFonts w:eastAsia="Times New Roman" w:cs="Times New Roman"/>
                <w:b/>
                <w:sz w:val="18"/>
                <w:szCs w:val="24"/>
                <w:lang w:val="es-ES"/>
              </w:rPr>
              <w:t xml:space="preserve">Total </w:t>
            </w:r>
          </w:p>
        </w:tc>
        <w:tc>
          <w:tcPr>
            <w:tcW w:w="494"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2 331 428 </w:t>
            </w:r>
          </w:p>
        </w:tc>
        <w:tc>
          <w:tcPr>
            <w:tcW w:w="494"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2 378 056 </w:t>
            </w:r>
          </w:p>
        </w:tc>
        <w:tc>
          <w:tcPr>
            <w:tcW w:w="494"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2 508 394 </w:t>
            </w:r>
          </w:p>
        </w:tc>
        <w:tc>
          <w:tcPr>
            <w:tcW w:w="567"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7 217 878 </w:t>
            </w:r>
          </w:p>
        </w:tc>
      </w:tr>
      <w:tr w:rsidR="001C60EB" w:rsidRPr="000B28CE" w:rsidTr="003023C0">
        <w:trPr>
          <w:trHeight w:val="358"/>
          <w:jc w:val="center"/>
        </w:trPr>
        <w:tc>
          <w:tcPr>
            <w:tcW w:w="2950" w:type="pct"/>
            <w:tcBorders>
              <w:top w:val="nil"/>
              <w:left w:val="nil"/>
              <w:bottom w:val="single" w:sz="12" w:space="0" w:color="auto"/>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Gastos de apoyo a los programas</w:t>
            </w:r>
            <w:r w:rsidRPr="000B28CE">
              <w:rPr>
                <w:sz w:val="18"/>
                <w:szCs w:val="18"/>
                <w:lang w:val="es-ES"/>
              </w:rPr>
              <w:t xml:space="preserve"> (13%)</w:t>
            </w:r>
          </w:p>
        </w:tc>
        <w:tc>
          <w:tcPr>
            <w:tcW w:w="494"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303 086 </w:t>
            </w:r>
          </w:p>
        </w:tc>
        <w:tc>
          <w:tcPr>
            <w:tcW w:w="494"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309 147 </w:t>
            </w:r>
          </w:p>
        </w:tc>
        <w:tc>
          <w:tcPr>
            <w:tcW w:w="494"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326 091 </w:t>
            </w:r>
          </w:p>
        </w:tc>
        <w:tc>
          <w:tcPr>
            <w:tcW w:w="567"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938 324 </w:t>
            </w:r>
          </w:p>
        </w:tc>
      </w:tr>
      <w:tr w:rsidR="001C60EB" w:rsidRPr="000B28CE" w:rsidTr="003023C0">
        <w:trPr>
          <w:trHeight w:val="358"/>
          <w:jc w:val="center"/>
        </w:trPr>
        <w:tc>
          <w:tcPr>
            <w:tcW w:w="2950" w:type="pct"/>
            <w:tcBorders>
              <w:top w:val="single" w:sz="12" w:space="0" w:color="auto"/>
              <w:left w:val="nil"/>
              <w:bottom w:val="single" w:sz="12" w:space="0" w:color="auto"/>
              <w:right w:val="nil"/>
            </w:tcBorders>
            <w:shd w:val="clear" w:color="auto" w:fill="BDD6EE" w:themeFill="accent5" w:themeFillTint="66"/>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general</w:t>
            </w:r>
          </w:p>
        </w:tc>
        <w:tc>
          <w:tcPr>
            <w:tcW w:w="494"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2 634 513 </w:t>
            </w:r>
          </w:p>
        </w:tc>
        <w:tc>
          <w:tcPr>
            <w:tcW w:w="494"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2 687 203 </w:t>
            </w:r>
          </w:p>
        </w:tc>
        <w:tc>
          <w:tcPr>
            <w:tcW w:w="494"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2 834 485 </w:t>
            </w:r>
          </w:p>
        </w:tc>
        <w:tc>
          <w:tcPr>
            <w:tcW w:w="56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8 156 202 </w:t>
            </w:r>
          </w:p>
        </w:tc>
      </w:tr>
    </w:tbl>
    <w:p w:rsidR="006F3913" w:rsidRPr="000B28CE" w:rsidRDefault="006F3913" w:rsidP="00FE2868">
      <w:pPr>
        <w:spacing w:after="0" w:line="240" w:lineRule="auto"/>
        <w:jc w:val="center"/>
        <w:outlineLvl w:val="1"/>
        <w:rPr>
          <w:rFonts w:cs="Arial"/>
          <w:iCs/>
          <w:color w:val="000000"/>
          <w:sz w:val="18"/>
          <w:szCs w:val="18"/>
          <w:lang w:val="es-ES"/>
        </w:rPr>
      </w:pPr>
    </w:p>
    <w:p w:rsidR="006F3913" w:rsidRPr="000B28CE" w:rsidRDefault="006F3913" w:rsidP="00FE2868">
      <w:pPr>
        <w:spacing w:after="0" w:line="240" w:lineRule="auto"/>
        <w:jc w:val="center"/>
        <w:outlineLvl w:val="1"/>
        <w:rPr>
          <w:rFonts w:cs="Arial"/>
          <w:sz w:val="18"/>
          <w:szCs w:val="18"/>
          <w:lang w:val="es-ES"/>
        </w:rPr>
      </w:pPr>
    </w:p>
    <w:p w:rsidR="008B5DF7" w:rsidRPr="000B28CE" w:rsidRDefault="008B5DF7" w:rsidP="00B40E07">
      <w:pPr>
        <w:pStyle w:val="Firstnumbering1"/>
        <w:numPr>
          <w:ilvl w:val="0"/>
          <w:numId w:val="0"/>
        </w:numPr>
        <w:ind w:left="567"/>
        <w:sectPr w:rsidR="008B5DF7" w:rsidRPr="000B28CE" w:rsidSect="00FE2868">
          <w:headerReference w:type="even" r:id="rId18"/>
          <w:headerReference w:type="first" r:id="rId19"/>
          <w:pgSz w:w="11906" w:h="16838" w:code="9"/>
          <w:pgMar w:top="1134" w:right="1134" w:bottom="993" w:left="1134" w:header="720" w:footer="720" w:gutter="0"/>
          <w:cols w:space="720"/>
          <w:titlePg/>
          <w:docGrid w:linePitch="360"/>
        </w:sectPr>
      </w:pPr>
    </w:p>
    <w:p w:rsidR="008B5DF7" w:rsidRPr="000B28CE" w:rsidRDefault="008B5DF7" w:rsidP="004203A1">
      <w:pPr>
        <w:spacing w:after="0" w:line="240" w:lineRule="auto"/>
        <w:ind w:firstLine="142"/>
        <w:jc w:val="right"/>
        <w:rPr>
          <w:rFonts w:cs="Arial"/>
          <w:b/>
          <w:bCs/>
          <w:caps/>
          <w:lang w:val="es-ES"/>
        </w:rPr>
      </w:pPr>
      <w:r w:rsidRPr="000B28CE">
        <w:rPr>
          <w:rFonts w:cs="Arial"/>
          <w:b/>
          <w:caps/>
          <w:lang w:val="es-ES"/>
        </w:rPr>
        <w:t>Anex</w:t>
      </w:r>
      <w:r w:rsidR="00FE2868" w:rsidRPr="000B28CE">
        <w:rPr>
          <w:rFonts w:cs="Arial"/>
          <w:b/>
          <w:caps/>
          <w:lang w:val="es-ES"/>
        </w:rPr>
        <w:t>o</w:t>
      </w:r>
      <w:r w:rsidRPr="000B28CE">
        <w:rPr>
          <w:rFonts w:cs="Arial"/>
          <w:b/>
          <w:caps/>
          <w:lang w:val="es-ES"/>
        </w:rPr>
        <w:t xml:space="preserve"> </w:t>
      </w:r>
      <w:r w:rsidR="00D5794F" w:rsidRPr="000B28CE">
        <w:rPr>
          <w:rFonts w:cs="Arial"/>
          <w:b/>
          <w:caps/>
          <w:lang w:val="es-ES"/>
        </w:rPr>
        <w:t>3</w:t>
      </w:r>
      <w:r w:rsidRPr="000B28CE">
        <w:rPr>
          <w:rFonts w:cs="Arial"/>
          <w:b/>
          <w:caps/>
          <w:lang w:val="es-ES"/>
        </w:rPr>
        <w:t xml:space="preserve"> (b)</w:t>
      </w:r>
    </w:p>
    <w:p w:rsidR="008B5DF7" w:rsidRPr="000B28CE" w:rsidRDefault="00ED2ECF" w:rsidP="00FE2868">
      <w:pPr>
        <w:spacing w:after="0" w:line="240" w:lineRule="auto"/>
        <w:jc w:val="center"/>
        <w:rPr>
          <w:rFonts w:cs="Arial"/>
          <w:b/>
          <w:bCs/>
          <w:color w:val="000000"/>
          <w:lang w:val="es-ES"/>
        </w:rPr>
      </w:pPr>
      <w:r w:rsidRPr="000B28CE">
        <w:rPr>
          <w:b/>
          <w:color w:val="000000"/>
          <w:lang w:val="es-ES"/>
        </w:rPr>
        <w:t>PRESUPUESTO PROPUESTO PARA EL TRIENIO</w:t>
      </w:r>
      <w:r w:rsidRPr="000B28CE">
        <w:rPr>
          <w:rFonts w:cs="Arial"/>
          <w:b/>
          <w:bCs/>
          <w:color w:val="000000"/>
          <w:lang w:val="es-ES"/>
        </w:rPr>
        <w:t xml:space="preserve"> </w:t>
      </w:r>
      <w:r w:rsidR="008B5DF7" w:rsidRPr="000B28CE">
        <w:rPr>
          <w:rFonts w:cs="Arial"/>
          <w:b/>
          <w:bCs/>
          <w:color w:val="000000"/>
          <w:lang w:val="es-ES"/>
        </w:rPr>
        <w:t>2021 – 2023</w:t>
      </w:r>
    </w:p>
    <w:p w:rsidR="008B5DF7" w:rsidRPr="000B28CE" w:rsidRDefault="00ED2ECF" w:rsidP="00FE2868">
      <w:pPr>
        <w:spacing w:after="0" w:line="240" w:lineRule="auto"/>
        <w:jc w:val="center"/>
        <w:outlineLvl w:val="1"/>
        <w:rPr>
          <w:rFonts w:cs="Arial"/>
          <w:b/>
          <w:bCs/>
          <w:iCs/>
          <w:color w:val="000000"/>
          <w:lang w:val="es-ES"/>
        </w:rPr>
      </w:pPr>
      <w:r w:rsidRPr="000B28CE">
        <w:rPr>
          <w:rFonts w:cs="Arial"/>
          <w:b/>
          <w:bCs/>
          <w:iCs/>
          <w:color w:val="000000"/>
          <w:lang w:val="es-ES"/>
        </w:rPr>
        <w:t>E</w:t>
      </w:r>
      <w:r w:rsidR="008B5DF7" w:rsidRPr="000B28CE">
        <w:rPr>
          <w:rFonts w:cs="Arial"/>
          <w:b/>
          <w:bCs/>
          <w:iCs/>
          <w:color w:val="000000"/>
          <w:lang w:val="es-ES"/>
        </w:rPr>
        <w:t>SCENARIO 2</w:t>
      </w:r>
      <w:r w:rsidR="00D5794F" w:rsidRPr="000B28CE">
        <w:rPr>
          <w:b/>
          <w:color w:val="000000"/>
          <w:lang w:val="es-ES"/>
        </w:rPr>
        <w:t xml:space="preserve"> CRECIMIENTO REAL CERO</w:t>
      </w:r>
    </w:p>
    <w:p w:rsidR="008B5DF7" w:rsidRPr="000B28CE" w:rsidRDefault="008B5DF7" w:rsidP="00FE2868">
      <w:pPr>
        <w:spacing w:after="0" w:line="240" w:lineRule="auto"/>
        <w:jc w:val="center"/>
        <w:outlineLvl w:val="1"/>
        <w:rPr>
          <w:rFonts w:cs="Arial"/>
          <w:iCs/>
          <w:color w:val="000000"/>
          <w:sz w:val="18"/>
          <w:szCs w:val="18"/>
          <w:lang w:val="es-ES"/>
        </w:rPr>
      </w:pPr>
      <w:r w:rsidRPr="000B28CE">
        <w:rPr>
          <w:rFonts w:cs="Arial"/>
          <w:iCs/>
          <w:color w:val="000000"/>
          <w:sz w:val="18"/>
          <w:szCs w:val="18"/>
          <w:lang w:val="es-ES"/>
        </w:rPr>
        <w:t>(</w:t>
      </w:r>
      <w:r w:rsidR="00ED2ECF" w:rsidRPr="000B28CE">
        <w:rPr>
          <w:color w:val="000000"/>
          <w:sz w:val="18"/>
          <w:szCs w:val="18"/>
          <w:lang w:val="es-ES"/>
        </w:rPr>
        <w:t>Todas las cifras en euros</w:t>
      </w:r>
      <w:r w:rsidRPr="000B28CE">
        <w:rPr>
          <w:rFonts w:cs="Arial"/>
          <w:iCs/>
          <w:color w:val="000000"/>
          <w:sz w:val="18"/>
          <w:szCs w:val="18"/>
          <w:lang w:val="es-ES"/>
        </w:rPr>
        <w:t>)</w:t>
      </w:r>
    </w:p>
    <w:p w:rsidR="001C60EB" w:rsidRPr="000B28CE" w:rsidRDefault="001C60EB" w:rsidP="00FE2868">
      <w:pPr>
        <w:spacing w:after="0" w:line="240" w:lineRule="auto"/>
        <w:jc w:val="center"/>
        <w:outlineLvl w:val="1"/>
        <w:rPr>
          <w:rFonts w:cs="Arial"/>
          <w:iCs/>
          <w:color w:val="000000"/>
          <w:sz w:val="18"/>
          <w:szCs w:val="18"/>
          <w:lang w:val="es-ES"/>
        </w:rPr>
      </w:pPr>
    </w:p>
    <w:tbl>
      <w:tblPr>
        <w:tblW w:w="5148" w:type="pct"/>
        <w:jc w:val="center"/>
        <w:tblLook w:val="04A0" w:firstRow="1" w:lastRow="0" w:firstColumn="1" w:lastColumn="0" w:noHBand="0" w:noVBand="1"/>
      </w:tblPr>
      <w:tblGrid>
        <w:gridCol w:w="6140"/>
        <w:gridCol w:w="1017"/>
        <w:gridCol w:w="1017"/>
        <w:gridCol w:w="1017"/>
        <w:gridCol w:w="1017"/>
      </w:tblGrid>
      <w:tr w:rsidR="001C60EB" w:rsidRPr="000B28CE" w:rsidTr="001C60EB">
        <w:trPr>
          <w:trHeight w:val="601"/>
          <w:jc w:val="center"/>
        </w:trPr>
        <w:tc>
          <w:tcPr>
            <w:tcW w:w="2907" w:type="pct"/>
            <w:tcBorders>
              <w:top w:val="single" w:sz="12" w:space="0" w:color="auto"/>
              <w:left w:val="nil"/>
              <w:bottom w:val="single" w:sz="12" w:space="0" w:color="auto"/>
              <w:right w:val="nil"/>
            </w:tcBorders>
            <w:shd w:val="clear" w:color="auto" w:fill="BDD6EE" w:themeFill="accent5" w:themeFillTint="66"/>
            <w:noWrap/>
            <w:vAlign w:val="center"/>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p>
        </w:tc>
        <w:tc>
          <w:tcPr>
            <w:tcW w:w="48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2021</w:t>
            </w:r>
          </w:p>
        </w:tc>
        <w:tc>
          <w:tcPr>
            <w:tcW w:w="48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2022</w:t>
            </w:r>
          </w:p>
        </w:tc>
        <w:tc>
          <w:tcPr>
            <w:tcW w:w="48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2023</w:t>
            </w:r>
          </w:p>
        </w:tc>
        <w:tc>
          <w:tcPr>
            <w:tcW w:w="631"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center"/>
              <w:rPr>
                <w:rFonts w:eastAsia="Times New Roman" w:cs="Times New Roman"/>
                <w:b/>
                <w:sz w:val="18"/>
                <w:szCs w:val="24"/>
                <w:lang w:val="es-ES"/>
              </w:rPr>
            </w:pPr>
            <w:r w:rsidRPr="000B28CE">
              <w:rPr>
                <w:rFonts w:eastAsia="Times New Roman" w:cs="Times New Roman"/>
                <w:b/>
                <w:sz w:val="18"/>
                <w:szCs w:val="24"/>
                <w:lang w:val="es-ES"/>
              </w:rPr>
              <w:t>Total</w:t>
            </w:r>
          </w:p>
        </w:tc>
      </w:tr>
      <w:tr w:rsidR="001C60EB" w:rsidRPr="000B28CE" w:rsidTr="001C60EB">
        <w:trPr>
          <w:trHeight w:val="358"/>
          <w:jc w:val="center"/>
        </w:trPr>
        <w:tc>
          <w:tcPr>
            <w:tcW w:w="2907"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Gastos de personal</w:t>
            </w:r>
          </w:p>
        </w:tc>
        <w:tc>
          <w:tcPr>
            <w:tcW w:w="487"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c>
          <w:tcPr>
            <w:tcW w:w="487"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c>
          <w:tcPr>
            <w:tcW w:w="487"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c>
          <w:tcPr>
            <w:tcW w:w="631" w:type="pct"/>
            <w:tcBorders>
              <w:top w:val="single" w:sz="12" w:space="0" w:color="auto"/>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24"/>
                <w:lang w:val="es-ES"/>
              </w:rPr>
            </w:pP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sz w:val="18"/>
                <w:szCs w:val="24"/>
                <w:lang w:val="es-ES"/>
              </w:rPr>
            </w:pPr>
            <w:r w:rsidRPr="000B28CE">
              <w:rPr>
                <w:color w:val="000000"/>
                <w:sz w:val="18"/>
                <w:szCs w:val="18"/>
                <w:lang w:val="es-ES"/>
              </w:rPr>
              <w:t>Personal profesional</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1 454 022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1 483 102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1 512 764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4 449 889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sz w:val="18"/>
                <w:szCs w:val="24"/>
                <w:lang w:val="es-ES"/>
              </w:rPr>
            </w:pPr>
            <w:r w:rsidRPr="000B28CE">
              <w:rPr>
                <w:color w:val="000000"/>
                <w:sz w:val="18"/>
                <w:szCs w:val="18"/>
                <w:lang w:val="es-ES"/>
              </w:rPr>
              <w:t>Personal de apoyo general</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497 405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507 353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517 500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sz w:val="18"/>
                <w:szCs w:val="18"/>
                <w:lang w:val="es-ES"/>
              </w:rPr>
            </w:pPr>
            <w:r w:rsidRPr="000B28CE">
              <w:rPr>
                <w:sz w:val="18"/>
                <w:szCs w:val="18"/>
                <w:lang w:val="es-ES"/>
              </w:rPr>
              <w:t xml:space="preserve">1 522 259 </w:t>
            </w:r>
          </w:p>
        </w:tc>
      </w:tr>
      <w:tr w:rsidR="001C60EB" w:rsidRPr="000B28CE" w:rsidTr="001C60EB">
        <w:trPr>
          <w:trHeight w:val="358"/>
          <w:jc w:val="center"/>
        </w:trPr>
        <w:tc>
          <w:tcPr>
            <w:tcW w:w="290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1 951 427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1 990 456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2 030 265 </w:t>
            </w:r>
          </w:p>
        </w:tc>
        <w:tc>
          <w:tcPr>
            <w:tcW w:w="631"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5 972 148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Servicios contractuales</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Servicios contractuales (traducciones generales y edición de documentos)</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95 687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97 601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99 553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292 841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sz w:val="18"/>
                <w:szCs w:val="18"/>
                <w:lang w:val="es-ES"/>
              </w:rPr>
              <w:t>Servicios a los órganos rectores (traducciones</w:t>
            </w:r>
            <w:r w:rsidR="003023C0" w:rsidRPr="000B28CE">
              <w:rPr>
                <w:sz w:val="18"/>
                <w:szCs w:val="18"/>
                <w:lang w:val="es-ES"/>
              </w:rPr>
              <w:t>,</w:t>
            </w:r>
            <w:r w:rsidRPr="000B28CE">
              <w:rPr>
                <w:sz w:val="18"/>
                <w:szCs w:val="18"/>
                <w:lang w:val="es-ES"/>
              </w:rPr>
              <w:t xml:space="preserve"> interpretación</w:t>
            </w:r>
            <w:r w:rsidR="003023C0" w:rsidRPr="000B28CE">
              <w:rPr>
                <w:sz w:val="18"/>
                <w:szCs w:val="18"/>
                <w:lang w:val="es-ES"/>
              </w:rPr>
              <w:t>,</w:t>
            </w:r>
            <w:r w:rsidRPr="000B28CE">
              <w:rPr>
                <w:sz w:val="18"/>
                <w:szCs w:val="18"/>
                <w:lang w:val="es-ES"/>
              </w:rPr>
              <w:t xml:space="preserve"> etc.)</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325 868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325 868 </w:t>
            </w:r>
          </w:p>
        </w:tc>
      </w:tr>
      <w:tr w:rsidR="001C60EB" w:rsidRPr="000B28CE" w:rsidTr="001C60EB">
        <w:trPr>
          <w:trHeight w:val="358"/>
          <w:jc w:val="center"/>
        </w:trPr>
        <w:tc>
          <w:tcPr>
            <w:tcW w:w="2907"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Producción de materiales de información</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13 530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13 801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14 077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41 408 </w:t>
            </w:r>
          </w:p>
        </w:tc>
      </w:tr>
      <w:tr w:rsidR="001C60EB" w:rsidRPr="000B28CE" w:rsidTr="001C60EB">
        <w:trPr>
          <w:trHeight w:val="358"/>
          <w:jc w:val="center"/>
        </w:trPr>
        <w:tc>
          <w:tcPr>
            <w:tcW w:w="290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109 217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111 402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439 498 </w:t>
            </w:r>
          </w:p>
        </w:tc>
        <w:tc>
          <w:tcPr>
            <w:tcW w:w="631"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660 117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Gastos de funcionamiento</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Instrumentos de TIC</w:t>
            </w:r>
            <w:r w:rsidR="003023C0" w:rsidRPr="000B28CE">
              <w:rPr>
                <w:color w:val="000000"/>
                <w:sz w:val="18"/>
                <w:szCs w:val="18"/>
                <w:lang w:val="es-ES"/>
              </w:rPr>
              <w:t>,</w:t>
            </w:r>
            <w:r w:rsidRPr="000B28CE">
              <w:rPr>
                <w:color w:val="000000"/>
                <w:sz w:val="18"/>
                <w:szCs w:val="18"/>
                <w:lang w:val="es-ES"/>
              </w:rPr>
              <w:t xml:space="preserve"> elaboración y gestión del sitio web</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7 036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7 177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7 320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21 532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FF0000"/>
                <w:sz w:val="18"/>
                <w:szCs w:val="24"/>
                <w:lang w:val="es-ES"/>
              </w:rPr>
            </w:pPr>
            <w:r w:rsidRPr="000B28CE">
              <w:rPr>
                <w:color w:val="FF0000"/>
                <w:sz w:val="18"/>
                <w:szCs w:val="18"/>
                <w:lang w:val="es-ES"/>
              </w:rPr>
              <w:t>Formación del personal (capacitación retiros)</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FF0000"/>
                <w:sz w:val="18"/>
                <w:szCs w:val="18"/>
                <w:lang w:val="es-ES"/>
              </w:rPr>
            </w:pPr>
            <w:r w:rsidRPr="000B28CE">
              <w:rPr>
                <w:color w:val="FF0000"/>
                <w:sz w:val="18"/>
                <w:szCs w:val="18"/>
                <w:lang w:val="es-ES"/>
              </w:rPr>
              <w:t xml:space="preserve">20 824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FF0000"/>
                <w:sz w:val="18"/>
                <w:szCs w:val="18"/>
                <w:lang w:val="es-ES"/>
              </w:rPr>
            </w:pPr>
            <w:r w:rsidRPr="000B28CE">
              <w:rPr>
                <w:color w:val="FF0000"/>
                <w:sz w:val="18"/>
                <w:szCs w:val="18"/>
                <w:lang w:val="es-ES"/>
              </w:rPr>
              <w:t xml:space="preserve">21 241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FF0000"/>
                <w:sz w:val="18"/>
                <w:szCs w:val="18"/>
                <w:lang w:val="es-ES"/>
              </w:rPr>
            </w:pPr>
            <w:r w:rsidRPr="000B28CE">
              <w:rPr>
                <w:color w:val="FF0000"/>
                <w:sz w:val="18"/>
                <w:szCs w:val="18"/>
                <w:lang w:val="es-ES"/>
              </w:rPr>
              <w:t xml:space="preserve">21 666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FF0000"/>
                <w:sz w:val="18"/>
                <w:szCs w:val="18"/>
                <w:lang w:val="es-ES"/>
              </w:rPr>
            </w:pPr>
            <w:r w:rsidRPr="000B28CE">
              <w:rPr>
                <w:color w:val="FF0000"/>
                <w:sz w:val="18"/>
                <w:szCs w:val="18"/>
                <w:lang w:val="es-ES"/>
              </w:rPr>
              <w:t xml:space="preserve">63 731 </w:t>
            </w:r>
          </w:p>
        </w:tc>
      </w:tr>
      <w:tr w:rsidR="001C60EB" w:rsidRPr="000B28CE" w:rsidTr="001C60EB">
        <w:trPr>
          <w:trHeight w:val="358"/>
          <w:jc w:val="center"/>
        </w:trPr>
        <w:tc>
          <w:tcPr>
            <w:tcW w:w="2907"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Servicios de tecnología de la información (UNV)</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75 770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77 286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78 831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231 887 </w:t>
            </w:r>
          </w:p>
        </w:tc>
      </w:tr>
      <w:tr w:rsidR="001C60EB" w:rsidRPr="000B28CE" w:rsidTr="001C60EB">
        <w:trPr>
          <w:trHeight w:val="358"/>
          <w:jc w:val="center"/>
        </w:trPr>
        <w:tc>
          <w:tcPr>
            <w:tcW w:w="2907"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Servicios de automatización de oficinas (alojamiento de impresoras alquiladas</w:t>
            </w:r>
            <w:r w:rsidR="003023C0" w:rsidRPr="000B28CE">
              <w:rPr>
                <w:color w:val="000000"/>
                <w:sz w:val="18"/>
                <w:szCs w:val="18"/>
                <w:lang w:val="es-ES"/>
              </w:rPr>
              <w:t>,</w:t>
            </w:r>
            <w:r w:rsidRPr="000B28CE">
              <w:rPr>
                <w:color w:val="000000"/>
                <w:sz w:val="18"/>
                <w:szCs w:val="18"/>
                <w:lang w:val="es-ES"/>
              </w:rPr>
              <w:t>etc.)</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10 824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11 041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11 262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33 127 </w:t>
            </w:r>
          </w:p>
        </w:tc>
      </w:tr>
      <w:tr w:rsidR="001C60EB" w:rsidRPr="000B28CE" w:rsidTr="001C60EB">
        <w:trPr>
          <w:trHeight w:val="358"/>
          <w:jc w:val="center"/>
        </w:trPr>
        <w:tc>
          <w:tcPr>
            <w:tcW w:w="2907"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Servicios de comunicación y de mensajería</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18 943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19 321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19 708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57 972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Varios</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4 046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4 127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4 210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12 383 </w:t>
            </w:r>
          </w:p>
        </w:tc>
      </w:tr>
      <w:tr w:rsidR="001C60EB" w:rsidRPr="000B28CE" w:rsidTr="001C60EB">
        <w:trPr>
          <w:trHeight w:val="358"/>
          <w:jc w:val="center"/>
        </w:trPr>
        <w:tc>
          <w:tcPr>
            <w:tcW w:w="290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137 443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140 192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142 996 </w:t>
            </w:r>
          </w:p>
        </w:tc>
        <w:tc>
          <w:tcPr>
            <w:tcW w:w="631"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420 632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Suministros</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1C60EB">
        <w:trPr>
          <w:trHeight w:val="358"/>
          <w:jc w:val="center"/>
        </w:trPr>
        <w:tc>
          <w:tcPr>
            <w:tcW w:w="2907"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Suministros de oficina</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6 278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6 404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6 532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19 214 </w:t>
            </w:r>
          </w:p>
        </w:tc>
      </w:tr>
      <w:tr w:rsidR="001C60EB" w:rsidRPr="000B28CE" w:rsidTr="001C60EB">
        <w:trPr>
          <w:trHeight w:val="358"/>
          <w:jc w:val="center"/>
        </w:trPr>
        <w:tc>
          <w:tcPr>
            <w:tcW w:w="2907" w:type="pct"/>
            <w:tcBorders>
              <w:top w:val="single" w:sz="4" w:space="0" w:color="auto"/>
              <w:left w:val="nil"/>
              <w:bottom w:val="single" w:sz="4" w:space="0" w:color="auto"/>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parcial</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6 278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6 404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6 532 </w:t>
            </w:r>
          </w:p>
        </w:tc>
        <w:tc>
          <w:tcPr>
            <w:tcW w:w="631"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19 214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Equipo</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p>
        </w:tc>
      </w:tr>
      <w:tr w:rsidR="001C60EB" w:rsidRPr="000B28CE" w:rsidTr="001C60EB">
        <w:trPr>
          <w:trHeight w:val="358"/>
          <w:jc w:val="center"/>
        </w:trPr>
        <w:tc>
          <w:tcPr>
            <w:tcW w:w="2907" w:type="pct"/>
            <w:tcBorders>
              <w:top w:val="nil"/>
              <w:left w:val="nil"/>
              <w:bottom w:val="nil"/>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Equipo no fungible</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11 366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11 593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11 825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34 783 </w:t>
            </w:r>
          </w:p>
        </w:tc>
      </w:tr>
      <w:tr w:rsidR="001C60EB" w:rsidRPr="000B28CE" w:rsidTr="001C60EB">
        <w:trPr>
          <w:trHeight w:val="358"/>
          <w:jc w:val="center"/>
        </w:trPr>
        <w:tc>
          <w:tcPr>
            <w:tcW w:w="2907" w:type="pct"/>
            <w:tcBorders>
              <w:top w:val="single" w:sz="4" w:space="0" w:color="auto"/>
              <w:left w:val="nil"/>
              <w:bottom w:val="single" w:sz="4" w:space="0" w:color="auto"/>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color w:val="000000" w:themeColor="text1"/>
                <w:sz w:val="18"/>
                <w:szCs w:val="24"/>
                <w:lang w:val="es-ES"/>
              </w:rPr>
            </w:pPr>
            <w:r w:rsidRPr="000B28CE">
              <w:rPr>
                <w:b/>
                <w:color w:val="000000"/>
                <w:sz w:val="18"/>
                <w:szCs w:val="18"/>
                <w:lang w:val="es-ES"/>
              </w:rPr>
              <w:t>Total parcial</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11 366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11 593 </w:t>
            </w:r>
          </w:p>
        </w:tc>
        <w:tc>
          <w:tcPr>
            <w:tcW w:w="487"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11 825 </w:t>
            </w:r>
          </w:p>
        </w:tc>
        <w:tc>
          <w:tcPr>
            <w:tcW w:w="631" w:type="pct"/>
            <w:tcBorders>
              <w:top w:val="single" w:sz="4" w:space="0" w:color="auto"/>
              <w:left w:val="nil"/>
              <w:bottom w:val="single" w:sz="4"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34 783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color w:val="000000" w:themeColor="text1"/>
                <w:sz w:val="18"/>
                <w:szCs w:val="24"/>
                <w:lang w:val="es-ES"/>
              </w:rPr>
            </w:pPr>
            <w:r w:rsidRPr="000B28CE">
              <w:rPr>
                <w:b/>
                <w:color w:val="000000"/>
                <w:sz w:val="18"/>
                <w:szCs w:val="18"/>
                <w:lang w:val="es-ES"/>
              </w:rPr>
              <w:t>Viajes</w:t>
            </w:r>
            <w:r w:rsidRPr="000B28CE">
              <w:rPr>
                <w:rFonts w:eastAsia="Times New Roman" w:cs="Times New Roman"/>
                <w:b/>
                <w:color w:val="000000" w:themeColor="text1"/>
                <w:sz w:val="18"/>
                <w:szCs w:val="24"/>
                <w:lang w:val="es-ES"/>
              </w:rPr>
              <w:t xml:space="preserve">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Viajes del personal</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68 951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70 330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71 737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211 017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 xml:space="preserve">Viajes del personal </w:t>
            </w:r>
            <w:r w:rsidRPr="000B28CE">
              <w:rPr>
                <w:sz w:val="18"/>
                <w:szCs w:val="18"/>
                <w:lang w:val="es-ES"/>
              </w:rPr>
              <w:t>- COP14</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59 688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59 688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Reuniones del Comité Permanente</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24 371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24 858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49 229 </w:t>
            </w:r>
          </w:p>
        </w:tc>
      </w:tr>
      <w:tr w:rsidR="001C60EB" w:rsidRPr="000B28CE" w:rsidTr="001C60EB">
        <w:trPr>
          <w:trHeight w:val="358"/>
          <w:jc w:val="center"/>
        </w:trPr>
        <w:tc>
          <w:tcPr>
            <w:tcW w:w="290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Reuniones del Consejo Científico</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55 633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56 746 </w:t>
            </w:r>
          </w:p>
        </w:tc>
        <w:tc>
          <w:tcPr>
            <w:tcW w:w="487"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0 </w:t>
            </w:r>
          </w:p>
        </w:tc>
        <w:tc>
          <w:tcPr>
            <w:tcW w:w="631" w:type="pct"/>
            <w:tcBorders>
              <w:top w:val="nil"/>
              <w:left w:val="nil"/>
              <w:bottom w:val="nil"/>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color w:val="000000" w:themeColor="text1"/>
                <w:sz w:val="18"/>
                <w:szCs w:val="18"/>
                <w:lang w:val="es-ES"/>
              </w:rPr>
            </w:pPr>
            <w:r w:rsidRPr="000B28CE">
              <w:rPr>
                <w:color w:val="000000" w:themeColor="text1"/>
                <w:sz w:val="18"/>
                <w:szCs w:val="18"/>
                <w:lang w:val="es-ES"/>
              </w:rPr>
              <w:t xml:space="preserve">112 379 </w:t>
            </w:r>
          </w:p>
        </w:tc>
      </w:tr>
      <w:tr w:rsidR="001C60EB" w:rsidRPr="000B28CE" w:rsidTr="001C60EB">
        <w:trPr>
          <w:trHeight w:val="358"/>
          <w:jc w:val="center"/>
        </w:trPr>
        <w:tc>
          <w:tcPr>
            <w:tcW w:w="2907"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color w:val="000000" w:themeColor="text1"/>
                <w:sz w:val="18"/>
                <w:szCs w:val="24"/>
                <w:lang w:val="es-ES"/>
              </w:rPr>
            </w:pPr>
            <w:r w:rsidRPr="000B28CE">
              <w:rPr>
                <w:b/>
                <w:color w:val="000000"/>
                <w:sz w:val="18"/>
                <w:szCs w:val="18"/>
                <w:lang w:val="es-ES"/>
              </w:rPr>
              <w:t>Total parcial</w:t>
            </w:r>
          </w:p>
        </w:tc>
        <w:tc>
          <w:tcPr>
            <w:tcW w:w="487"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148 955 </w:t>
            </w:r>
          </w:p>
        </w:tc>
        <w:tc>
          <w:tcPr>
            <w:tcW w:w="487"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151 934 </w:t>
            </w:r>
          </w:p>
        </w:tc>
        <w:tc>
          <w:tcPr>
            <w:tcW w:w="487"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131 424 </w:t>
            </w:r>
          </w:p>
        </w:tc>
        <w:tc>
          <w:tcPr>
            <w:tcW w:w="631" w:type="pct"/>
            <w:tcBorders>
              <w:top w:val="single" w:sz="4" w:space="0" w:color="auto"/>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color w:val="000000" w:themeColor="text1"/>
                <w:sz w:val="18"/>
                <w:szCs w:val="18"/>
                <w:lang w:val="es-ES"/>
              </w:rPr>
            </w:pPr>
            <w:r w:rsidRPr="000B28CE">
              <w:rPr>
                <w:b/>
                <w:color w:val="000000" w:themeColor="text1"/>
                <w:sz w:val="18"/>
                <w:szCs w:val="18"/>
                <w:lang w:val="es-ES"/>
              </w:rPr>
              <w:t xml:space="preserve">432 313 </w:t>
            </w:r>
          </w:p>
        </w:tc>
      </w:tr>
      <w:tr w:rsidR="001C60EB" w:rsidRPr="000B28CE" w:rsidTr="001C60EB">
        <w:trPr>
          <w:trHeight w:val="358"/>
          <w:jc w:val="center"/>
        </w:trPr>
        <w:tc>
          <w:tcPr>
            <w:tcW w:w="2907"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rFonts w:eastAsia="Times New Roman" w:cs="Times New Roman"/>
                <w:b/>
                <w:sz w:val="18"/>
                <w:szCs w:val="24"/>
                <w:lang w:val="es-ES"/>
              </w:rPr>
              <w:t xml:space="preserve">Total </w:t>
            </w:r>
          </w:p>
        </w:tc>
        <w:tc>
          <w:tcPr>
            <w:tcW w:w="487"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2 364 687 </w:t>
            </w:r>
          </w:p>
        </w:tc>
        <w:tc>
          <w:tcPr>
            <w:tcW w:w="487"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2 411 980 </w:t>
            </w:r>
          </w:p>
        </w:tc>
        <w:tc>
          <w:tcPr>
            <w:tcW w:w="487"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2 762 540 </w:t>
            </w:r>
          </w:p>
        </w:tc>
        <w:tc>
          <w:tcPr>
            <w:tcW w:w="631" w:type="pct"/>
            <w:tcBorders>
              <w:top w:val="single" w:sz="12" w:space="0" w:color="auto"/>
              <w:left w:val="nil"/>
              <w:bottom w:val="single" w:sz="8"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7 539 207 </w:t>
            </w:r>
          </w:p>
        </w:tc>
      </w:tr>
      <w:tr w:rsidR="001C60EB" w:rsidRPr="000B28CE" w:rsidTr="001C60EB">
        <w:trPr>
          <w:trHeight w:val="358"/>
          <w:jc w:val="center"/>
        </w:trPr>
        <w:tc>
          <w:tcPr>
            <w:tcW w:w="2907" w:type="pct"/>
            <w:tcBorders>
              <w:top w:val="nil"/>
              <w:left w:val="nil"/>
              <w:bottom w:val="single" w:sz="12" w:space="0" w:color="auto"/>
              <w:right w:val="nil"/>
            </w:tcBorders>
            <w:shd w:val="clear" w:color="auto" w:fill="auto"/>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sz w:val="18"/>
                <w:szCs w:val="24"/>
                <w:lang w:val="es-ES"/>
              </w:rPr>
            </w:pPr>
            <w:r w:rsidRPr="000B28CE">
              <w:rPr>
                <w:color w:val="000000"/>
                <w:sz w:val="18"/>
                <w:szCs w:val="18"/>
                <w:lang w:val="es-ES"/>
              </w:rPr>
              <w:t>Gastos de apoyo a los programas</w:t>
            </w:r>
            <w:r w:rsidRPr="000B28CE">
              <w:rPr>
                <w:sz w:val="18"/>
                <w:szCs w:val="18"/>
                <w:lang w:val="es-ES"/>
              </w:rPr>
              <w:t xml:space="preserve"> (13%)</w:t>
            </w:r>
          </w:p>
        </w:tc>
        <w:tc>
          <w:tcPr>
            <w:tcW w:w="487"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307 409 </w:t>
            </w:r>
          </w:p>
        </w:tc>
        <w:tc>
          <w:tcPr>
            <w:tcW w:w="487"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313 557 </w:t>
            </w:r>
          </w:p>
        </w:tc>
        <w:tc>
          <w:tcPr>
            <w:tcW w:w="487"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359 130 </w:t>
            </w:r>
          </w:p>
        </w:tc>
        <w:tc>
          <w:tcPr>
            <w:tcW w:w="631" w:type="pct"/>
            <w:tcBorders>
              <w:top w:val="nil"/>
              <w:left w:val="nil"/>
              <w:bottom w:val="single" w:sz="12" w:space="0" w:color="auto"/>
              <w:right w:val="nil"/>
            </w:tcBorders>
            <w:shd w:val="clear" w:color="auto" w:fill="auto"/>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980 097 </w:t>
            </w:r>
          </w:p>
        </w:tc>
      </w:tr>
      <w:tr w:rsidR="001C60EB" w:rsidRPr="000B28CE" w:rsidTr="001C60EB">
        <w:trPr>
          <w:trHeight w:val="358"/>
          <w:jc w:val="center"/>
        </w:trPr>
        <w:tc>
          <w:tcPr>
            <w:tcW w:w="2907" w:type="pct"/>
            <w:tcBorders>
              <w:top w:val="single" w:sz="12" w:space="0" w:color="auto"/>
              <w:left w:val="nil"/>
              <w:bottom w:val="single" w:sz="12" w:space="0" w:color="auto"/>
              <w:right w:val="nil"/>
            </w:tcBorders>
            <w:shd w:val="clear" w:color="auto" w:fill="BDD6EE" w:themeFill="accent5" w:themeFillTint="66"/>
            <w:vAlign w:val="center"/>
            <w:hideMark/>
          </w:tcPr>
          <w:p w:rsidR="001C60EB" w:rsidRPr="000B28CE" w:rsidRDefault="001C60EB" w:rsidP="003023C0">
            <w:pPr>
              <w:widowControl w:val="0"/>
              <w:autoSpaceDE w:val="0"/>
              <w:autoSpaceDN w:val="0"/>
              <w:adjustRightInd w:val="0"/>
              <w:spacing w:after="0" w:line="240" w:lineRule="auto"/>
              <w:rPr>
                <w:rFonts w:eastAsia="Times New Roman" w:cs="Times New Roman"/>
                <w:b/>
                <w:sz w:val="18"/>
                <w:szCs w:val="24"/>
                <w:lang w:val="es-ES"/>
              </w:rPr>
            </w:pPr>
            <w:r w:rsidRPr="000B28CE">
              <w:rPr>
                <w:b/>
                <w:color w:val="000000"/>
                <w:sz w:val="18"/>
                <w:szCs w:val="18"/>
                <w:lang w:val="es-ES"/>
              </w:rPr>
              <w:t>Total general</w:t>
            </w:r>
          </w:p>
        </w:tc>
        <w:tc>
          <w:tcPr>
            <w:tcW w:w="48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2 672 096 </w:t>
            </w:r>
          </w:p>
        </w:tc>
        <w:tc>
          <w:tcPr>
            <w:tcW w:w="48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2 725 538 </w:t>
            </w:r>
          </w:p>
        </w:tc>
        <w:tc>
          <w:tcPr>
            <w:tcW w:w="487"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3 121 670 </w:t>
            </w:r>
          </w:p>
        </w:tc>
        <w:tc>
          <w:tcPr>
            <w:tcW w:w="631" w:type="pct"/>
            <w:tcBorders>
              <w:top w:val="single" w:sz="12" w:space="0" w:color="auto"/>
              <w:left w:val="nil"/>
              <w:bottom w:val="single" w:sz="12" w:space="0" w:color="auto"/>
              <w:right w:val="nil"/>
            </w:tcBorders>
            <w:shd w:val="clear" w:color="auto" w:fill="BDD6EE" w:themeFill="accent5" w:themeFillTint="66"/>
            <w:noWrap/>
            <w:vAlign w:val="center"/>
            <w:hideMark/>
          </w:tcPr>
          <w:p w:rsidR="001C60EB" w:rsidRPr="000B28CE" w:rsidRDefault="001C60EB" w:rsidP="003023C0">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8 519 304 </w:t>
            </w:r>
          </w:p>
        </w:tc>
      </w:tr>
    </w:tbl>
    <w:p w:rsidR="001C60EB" w:rsidRPr="000B28CE" w:rsidRDefault="001C60EB" w:rsidP="00FE2868">
      <w:pPr>
        <w:spacing w:after="0" w:line="240" w:lineRule="auto"/>
        <w:jc w:val="center"/>
        <w:outlineLvl w:val="1"/>
        <w:rPr>
          <w:rFonts w:cs="Arial"/>
          <w:iCs/>
          <w:color w:val="000000"/>
          <w:sz w:val="18"/>
          <w:szCs w:val="18"/>
          <w:lang w:val="es-ES"/>
        </w:rPr>
      </w:pPr>
    </w:p>
    <w:p w:rsidR="00D5794F" w:rsidRPr="000B28CE" w:rsidRDefault="00D5794F" w:rsidP="00D5794F">
      <w:pPr>
        <w:spacing w:after="0" w:line="240" w:lineRule="auto"/>
        <w:jc w:val="both"/>
        <w:outlineLvl w:val="1"/>
        <w:rPr>
          <w:rFonts w:cs="Arial"/>
          <w:iCs/>
          <w:color w:val="000000"/>
          <w:sz w:val="18"/>
          <w:szCs w:val="18"/>
          <w:lang w:val="es-ES"/>
        </w:rPr>
      </w:pPr>
    </w:p>
    <w:p w:rsidR="00D5794F" w:rsidRPr="000B28CE" w:rsidRDefault="00D5794F" w:rsidP="00FE2868">
      <w:pPr>
        <w:spacing w:after="0" w:line="240" w:lineRule="auto"/>
        <w:jc w:val="center"/>
        <w:outlineLvl w:val="1"/>
        <w:rPr>
          <w:rFonts w:cs="Arial"/>
          <w:iCs/>
          <w:color w:val="000000"/>
          <w:sz w:val="18"/>
          <w:szCs w:val="18"/>
          <w:lang w:val="es-ES"/>
        </w:rPr>
      </w:pPr>
    </w:p>
    <w:p w:rsidR="008B5DF7" w:rsidRPr="000B28CE" w:rsidRDefault="008B5DF7" w:rsidP="00B40E07">
      <w:pPr>
        <w:pStyle w:val="Firstnumbering1"/>
        <w:numPr>
          <w:ilvl w:val="0"/>
          <w:numId w:val="0"/>
        </w:numPr>
        <w:ind w:left="567"/>
        <w:sectPr w:rsidR="008B5DF7" w:rsidRPr="000B28CE" w:rsidSect="00B104EC">
          <w:headerReference w:type="first" r:id="rId20"/>
          <w:pgSz w:w="11906" w:h="16838" w:code="9"/>
          <w:pgMar w:top="1134" w:right="1134" w:bottom="1134" w:left="1134" w:header="720" w:footer="720" w:gutter="0"/>
          <w:cols w:space="720"/>
          <w:titlePg/>
          <w:docGrid w:linePitch="360"/>
        </w:sectPr>
      </w:pPr>
    </w:p>
    <w:p w:rsidR="008B5DF7" w:rsidRPr="000B28CE" w:rsidRDefault="008B5DF7" w:rsidP="008B5DF7">
      <w:pPr>
        <w:jc w:val="right"/>
        <w:rPr>
          <w:rFonts w:cs="Arial"/>
          <w:b/>
          <w:caps/>
          <w:lang w:val="es-ES"/>
        </w:rPr>
      </w:pPr>
      <w:r w:rsidRPr="000B28CE">
        <w:rPr>
          <w:rFonts w:cs="Arial"/>
          <w:b/>
          <w:caps/>
          <w:lang w:val="es-ES"/>
        </w:rPr>
        <w:t>Anex</w:t>
      </w:r>
      <w:r w:rsidR="004203A1" w:rsidRPr="000B28CE">
        <w:rPr>
          <w:rFonts w:cs="Arial"/>
          <w:b/>
          <w:caps/>
          <w:lang w:val="es-ES"/>
        </w:rPr>
        <w:t>o</w:t>
      </w:r>
      <w:r w:rsidRPr="000B28CE">
        <w:rPr>
          <w:rFonts w:cs="Arial"/>
          <w:b/>
          <w:caps/>
          <w:lang w:val="es-ES"/>
        </w:rPr>
        <w:t xml:space="preserve"> </w:t>
      </w:r>
      <w:r w:rsidR="001C60EB" w:rsidRPr="000B28CE">
        <w:rPr>
          <w:rFonts w:cs="Arial"/>
          <w:b/>
          <w:caps/>
          <w:lang w:val="es-ES"/>
        </w:rPr>
        <w:t>3</w:t>
      </w:r>
      <w:r w:rsidRPr="000B28CE">
        <w:rPr>
          <w:rFonts w:cs="Arial"/>
          <w:b/>
          <w:caps/>
          <w:lang w:val="es-ES"/>
        </w:rPr>
        <w:t xml:space="preserve"> (c)</w:t>
      </w:r>
    </w:p>
    <w:p w:rsidR="00ED2ECF" w:rsidRPr="000B28CE" w:rsidRDefault="00ED2ECF" w:rsidP="00156672">
      <w:pPr>
        <w:spacing w:after="0" w:line="240" w:lineRule="auto"/>
        <w:jc w:val="center"/>
        <w:rPr>
          <w:rFonts w:cs="Arial"/>
          <w:b/>
          <w:bCs/>
          <w:color w:val="000000"/>
          <w:lang w:val="es-ES"/>
        </w:rPr>
      </w:pPr>
      <w:r w:rsidRPr="000B28CE">
        <w:rPr>
          <w:b/>
          <w:color w:val="000000"/>
          <w:lang w:val="es-ES"/>
        </w:rPr>
        <w:t>PRESUPUESTO PROPUESTO PARA EL TRIENIO</w:t>
      </w:r>
      <w:r w:rsidRPr="000B28CE">
        <w:rPr>
          <w:rFonts w:cs="Arial"/>
          <w:b/>
          <w:bCs/>
          <w:color w:val="000000"/>
          <w:lang w:val="es-ES"/>
        </w:rPr>
        <w:t xml:space="preserve"> 2021 – 2023</w:t>
      </w:r>
    </w:p>
    <w:p w:rsidR="008B5DF7" w:rsidRPr="000B28CE" w:rsidRDefault="00ED2ECF" w:rsidP="00156672">
      <w:pPr>
        <w:spacing w:after="0" w:line="240" w:lineRule="auto"/>
        <w:jc w:val="center"/>
        <w:outlineLvl w:val="1"/>
        <w:rPr>
          <w:rFonts w:cs="Arial"/>
          <w:b/>
          <w:bCs/>
          <w:iCs/>
          <w:color w:val="000000"/>
          <w:lang w:val="es-ES"/>
        </w:rPr>
      </w:pPr>
      <w:r w:rsidRPr="000B28CE">
        <w:rPr>
          <w:rFonts w:cs="Arial"/>
          <w:b/>
          <w:bCs/>
          <w:iCs/>
          <w:color w:val="000000"/>
          <w:lang w:val="es-ES"/>
        </w:rPr>
        <w:t xml:space="preserve">ESCENARIO </w:t>
      </w:r>
      <w:r w:rsidR="008B5DF7" w:rsidRPr="000B28CE">
        <w:rPr>
          <w:rFonts w:cs="Arial"/>
          <w:b/>
          <w:bCs/>
          <w:iCs/>
          <w:color w:val="000000"/>
          <w:lang w:val="es-ES"/>
        </w:rPr>
        <w:t>3</w:t>
      </w:r>
    </w:p>
    <w:p w:rsidR="008B5DF7" w:rsidRPr="000B28CE" w:rsidRDefault="008B5DF7" w:rsidP="00156672">
      <w:pPr>
        <w:spacing w:after="0" w:line="240" w:lineRule="auto"/>
        <w:jc w:val="center"/>
        <w:outlineLvl w:val="1"/>
        <w:rPr>
          <w:rFonts w:cs="Arial"/>
          <w:sz w:val="18"/>
          <w:szCs w:val="18"/>
          <w:lang w:val="es-ES"/>
        </w:rPr>
      </w:pPr>
      <w:r w:rsidRPr="000B28CE">
        <w:rPr>
          <w:rFonts w:cs="Arial"/>
          <w:iCs/>
          <w:color w:val="000000"/>
          <w:sz w:val="18"/>
          <w:szCs w:val="18"/>
          <w:lang w:val="es-ES"/>
        </w:rPr>
        <w:t>(</w:t>
      </w:r>
      <w:r w:rsidR="00ED2ECF" w:rsidRPr="000B28CE">
        <w:rPr>
          <w:color w:val="000000"/>
          <w:sz w:val="18"/>
          <w:szCs w:val="18"/>
          <w:lang w:val="es-ES"/>
        </w:rPr>
        <w:t>Todas las cifras en euros</w:t>
      </w:r>
      <w:r w:rsidRPr="000B28CE">
        <w:rPr>
          <w:rFonts w:cs="Arial"/>
          <w:iCs/>
          <w:color w:val="000000"/>
          <w:sz w:val="18"/>
          <w:szCs w:val="18"/>
          <w:lang w:val="es-ES"/>
        </w:rPr>
        <w:t>)</w:t>
      </w:r>
    </w:p>
    <w:tbl>
      <w:tblPr>
        <w:tblW w:w="5222" w:type="pct"/>
        <w:jc w:val="center"/>
        <w:tblLook w:val="04A0" w:firstRow="1" w:lastRow="0" w:firstColumn="1" w:lastColumn="0" w:noHBand="0" w:noVBand="1"/>
      </w:tblPr>
      <w:tblGrid>
        <w:gridCol w:w="6140"/>
        <w:gridCol w:w="1017"/>
        <w:gridCol w:w="1017"/>
        <w:gridCol w:w="1017"/>
        <w:gridCol w:w="1017"/>
      </w:tblGrid>
      <w:tr w:rsidR="003023C0" w:rsidRPr="000B28CE" w:rsidTr="003023C0">
        <w:trPr>
          <w:trHeight w:val="605"/>
          <w:jc w:val="center"/>
        </w:trPr>
        <w:tc>
          <w:tcPr>
            <w:tcW w:w="2866"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spacing w:after="0" w:line="240" w:lineRule="auto"/>
              <w:rPr>
                <w:rFonts w:eastAsia="Times New Roman" w:cs="Arial"/>
                <w:b/>
                <w:bCs/>
                <w:i/>
                <w:iCs/>
                <w:sz w:val="18"/>
                <w:szCs w:val="18"/>
                <w:lang w:val="es-ES"/>
              </w:rPr>
            </w:pPr>
            <w:r w:rsidRPr="000B28CE">
              <w:rPr>
                <w:b/>
                <w:i/>
                <w:sz w:val="18"/>
                <w:szCs w:val="18"/>
                <w:lang w:val="es-ES"/>
              </w:rPr>
              <w:t xml:space="preserve">Partida de gastos  </w:t>
            </w:r>
          </w:p>
        </w:tc>
        <w:tc>
          <w:tcPr>
            <w:tcW w:w="480"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2021 </w:t>
            </w:r>
          </w:p>
        </w:tc>
        <w:tc>
          <w:tcPr>
            <w:tcW w:w="480"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2022 </w:t>
            </w:r>
          </w:p>
        </w:tc>
        <w:tc>
          <w:tcPr>
            <w:tcW w:w="480"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2023 </w:t>
            </w:r>
          </w:p>
        </w:tc>
        <w:tc>
          <w:tcPr>
            <w:tcW w:w="692"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 Total </w:t>
            </w:r>
          </w:p>
        </w:tc>
      </w:tr>
      <w:tr w:rsidR="003023C0" w:rsidRPr="000B28CE" w:rsidTr="003023C0">
        <w:trPr>
          <w:trHeight w:val="361"/>
          <w:jc w:val="center"/>
        </w:trPr>
        <w:tc>
          <w:tcPr>
            <w:tcW w:w="2866" w:type="pct"/>
            <w:tcBorders>
              <w:top w:val="single" w:sz="12" w:space="0" w:color="auto"/>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Gastos de personal</w:t>
            </w:r>
          </w:p>
        </w:tc>
        <w:tc>
          <w:tcPr>
            <w:tcW w:w="480" w:type="pct"/>
            <w:tcBorders>
              <w:top w:val="single" w:sz="12" w:space="0" w:color="auto"/>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480" w:type="pct"/>
            <w:tcBorders>
              <w:top w:val="single" w:sz="12" w:space="0" w:color="auto"/>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480" w:type="pct"/>
            <w:tcBorders>
              <w:top w:val="single" w:sz="12" w:space="0" w:color="auto"/>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692" w:type="pct"/>
            <w:tcBorders>
              <w:top w:val="single" w:sz="12" w:space="0" w:color="auto"/>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color w:val="FF0000"/>
                <w:sz w:val="18"/>
                <w:szCs w:val="18"/>
                <w:lang w:val="es-ES"/>
              </w:rPr>
            </w:pPr>
            <w:r w:rsidRPr="000B28CE">
              <w:rPr>
                <w:color w:val="FF0000"/>
                <w:sz w:val="18"/>
                <w:szCs w:val="18"/>
                <w:lang w:val="es-ES"/>
              </w:rPr>
              <w:t>Personal profesional</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1 629 102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1 661 684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1 694 917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4 985 703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color w:val="FF0000"/>
                <w:sz w:val="18"/>
                <w:szCs w:val="18"/>
                <w:lang w:val="es-ES"/>
              </w:rPr>
            </w:pPr>
            <w:r w:rsidRPr="000B28CE">
              <w:rPr>
                <w:color w:val="FF0000"/>
                <w:sz w:val="18"/>
                <w:szCs w:val="18"/>
                <w:lang w:val="es-ES"/>
              </w:rPr>
              <w:t>Personal de apoyo general</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635 425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648 133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661 096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1 944 653 </w:t>
            </w:r>
          </w:p>
        </w:tc>
      </w:tr>
      <w:tr w:rsidR="003023C0" w:rsidRPr="000B28CE" w:rsidTr="003023C0">
        <w:trPr>
          <w:trHeight w:val="361"/>
          <w:jc w:val="center"/>
        </w:trPr>
        <w:tc>
          <w:tcPr>
            <w:tcW w:w="2866"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Total parcial</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2 264 526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2 309 817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2 356 013 </w:t>
            </w:r>
          </w:p>
        </w:tc>
        <w:tc>
          <w:tcPr>
            <w:tcW w:w="692"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6 930 356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Servicios contractuales</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Servicios contractuales (traducciones generales y edición de documentos)</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95 687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97 601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99 553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292 841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sz w:val="18"/>
                <w:szCs w:val="18"/>
                <w:lang w:val="es-ES"/>
              </w:rPr>
              <w:t>Servicios a los órganos rectores (traducciones, interpretación, etc.)</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0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0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325 868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325 868 </w:t>
            </w:r>
          </w:p>
        </w:tc>
      </w:tr>
      <w:tr w:rsidR="003023C0" w:rsidRPr="000B28CE" w:rsidTr="003023C0">
        <w:trPr>
          <w:trHeight w:val="361"/>
          <w:jc w:val="center"/>
        </w:trPr>
        <w:tc>
          <w:tcPr>
            <w:tcW w:w="2866" w:type="pct"/>
            <w:tcBorders>
              <w:top w:val="nil"/>
              <w:left w:val="nil"/>
              <w:bottom w:val="nil"/>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Producción de materiales de información</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13 530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13 801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14 077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41 408 </w:t>
            </w:r>
          </w:p>
        </w:tc>
      </w:tr>
      <w:tr w:rsidR="003023C0" w:rsidRPr="000B28CE" w:rsidTr="003023C0">
        <w:trPr>
          <w:trHeight w:val="361"/>
          <w:jc w:val="center"/>
        </w:trPr>
        <w:tc>
          <w:tcPr>
            <w:tcW w:w="2866"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Total parcial</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109 217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111 402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439 498 </w:t>
            </w:r>
          </w:p>
        </w:tc>
        <w:tc>
          <w:tcPr>
            <w:tcW w:w="692"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660 117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Gastos de funcionamiento</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Instrumentos de TIC, elaboración y gestión del sitio web</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7 036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7 177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7 320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21 532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sz w:val="18"/>
                <w:szCs w:val="18"/>
                <w:lang w:val="es-ES"/>
              </w:rPr>
              <w:t>Formación del personal (capacitación retiros)</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20 824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21 241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21 666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63 731 </w:t>
            </w:r>
          </w:p>
        </w:tc>
      </w:tr>
      <w:tr w:rsidR="003023C0" w:rsidRPr="000B28CE" w:rsidTr="003023C0">
        <w:trPr>
          <w:trHeight w:val="361"/>
          <w:jc w:val="center"/>
        </w:trPr>
        <w:tc>
          <w:tcPr>
            <w:tcW w:w="2866" w:type="pct"/>
            <w:tcBorders>
              <w:top w:val="nil"/>
              <w:left w:val="nil"/>
              <w:bottom w:val="nil"/>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Servicios de tecnología de la información (UNV)</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75 770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77 286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78 831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231 887 </w:t>
            </w:r>
          </w:p>
        </w:tc>
      </w:tr>
      <w:tr w:rsidR="003023C0" w:rsidRPr="000B28CE" w:rsidTr="003023C0">
        <w:trPr>
          <w:trHeight w:val="361"/>
          <w:jc w:val="center"/>
        </w:trPr>
        <w:tc>
          <w:tcPr>
            <w:tcW w:w="2866" w:type="pct"/>
            <w:tcBorders>
              <w:top w:val="nil"/>
              <w:left w:val="nil"/>
              <w:bottom w:val="nil"/>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Servicios de automatización de oficinas (alojamiento de impresoras alquiladas, etc.)</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10 824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11 041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11 262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33 127 </w:t>
            </w:r>
          </w:p>
        </w:tc>
      </w:tr>
      <w:tr w:rsidR="003023C0" w:rsidRPr="000B28CE" w:rsidTr="003023C0">
        <w:trPr>
          <w:trHeight w:val="361"/>
          <w:jc w:val="center"/>
        </w:trPr>
        <w:tc>
          <w:tcPr>
            <w:tcW w:w="2866" w:type="pct"/>
            <w:tcBorders>
              <w:top w:val="nil"/>
              <w:left w:val="nil"/>
              <w:bottom w:val="nil"/>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Servicios de comunicación y de mensajería</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18 943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19 321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19 708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57 972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Varios</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4 046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4 127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4 210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12 383 </w:t>
            </w:r>
          </w:p>
        </w:tc>
      </w:tr>
      <w:tr w:rsidR="003023C0" w:rsidRPr="000B28CE" w:rsidTr="003023C0">
        <w:trPr>
          <w:trHeight w:val="361"/>
          <w:jc w:val="center"/>
        </w:trPr>
        <w:tc>
          <w:tcPr>
            <w:tcW w:w="2866"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Total parcial</w:t>
            </w:r>
            <w:r w:rsidRPr="000B28CE">
              <w:rPr>
                <w:rFonts w:eastAsia="Times New Roman" w:cs="Arial"/>
                <w:b/>
                <w:sz w:val="18"/>
                <w:szCs w:val="18"/>
                <w:lang w:val="es-ES"/>
              </w:rPr>
              <w:t xml:space="preserve"> l</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137 443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140 192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142 996 </w:t>
            </w:r>
          </w:p>
        </w:tc>
        <w:tc>
          <w:tcPr>
            <w:tcW w:w="692"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420 632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b/>
                <w:color w:val="000000"/>
                <w:sz w:val="18"/>
                <w:szCs w:val="18"/>
                <w:lang w:val="es-ES"/>
              </w:rPr>
              <w:t>Suministros</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p>
        </w:tc>
      </w:tr>
      <w:tr w:rsidR="003023C0" w:rsidRPr="000B28CE" w:rsidTr="003023C0">
        <w:trPr>
          <w:trHeight w:val="361"/>
          <w:jc w:val="center"/>
        </w:trPr>
        <w:tc>
          <w:tcPr>
            <w:tcW w:w="2866" w:type="pct"/>
            <w:tcBorders>
              <w:top w:val="nil"/>
              <w:left w:val="nil"/>
              <w:bottom w:val="nil"/>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Suministros de oficina</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6 278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6 404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6 532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19 214 </w:t>
            </w:r>
          </w:p>
        </w:tc>
      </w:tr>
      <w:tr w:rsidR="003023C0" w:rsidRPr="000B28CE" w:rsidTr="003023C0">
        <w:trPr>
          <w:trHeight w:val="361"/>
          <w:jc w:val="center"/>
        </w:trPr>
        <w:tc>
          <w:tcPr>
            <w:tcW w:w="2866" w:type="pct"/>
            <w:tcBorders>
              <w:top w:val="single" w:sz="4" w:space="0" w:color="auto"/>
              <w:left w:val="nil"/>
              <w:bottom w:val="single" w:sz="4" w:space="0" w:color="auto"/>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Total parcial</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6 278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6 404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6 532 </w:t>
            </w:r>
          </w:p>
        </w:tc>
        <w:tc>
          <w:tcPr>
            <w:tcW w:w="692"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19 214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Equipo</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r>
      <w:tr w:rsidR="003023C0" w:rsidRPr="000B28CE" w:rsidTr="003023C0">
        <w:trPr>
          <w:trHeight w:val="361"/>
          <w:jc w:val="center"/>
        </w:trPr>
        <w:tc>
          <w:tcPr>
            <w:tcW w:w="2866" w:type="pct"/>
            <w:tcBorders>
              <w:top w:val="nil"/>
              <w:left w:val="nil"/>
              <w:bottom w:val="nil"/>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Equipo no fungible</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11 366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11 593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11 825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34 783 </w:t>
            </w:r>
          </w:p>
        </w:tc>
      </w:tr>
      <w:tr w:rsidR="003023C0" w:rsidRPr="000B28CE" w:rsidTr="003023C0">
        <w:trPr>
          <w:trHeight w:val="361"/>
          <w:jc w:val="center"/>
        </w:trPr>
        <w:tc>
          <w:tcPr>
            <w:tcW w:w="2866" w:type="pct"/>
            <w:tcBorders>
              <w:top w:val="single" w:sz="4" w:space="0" w:color="auto"/>
              <w:left w:val="nil"/>
              <w:bottom w:val="single" w:sz="4" w:space="0" w:color="auto"/>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Total parcial</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11 366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11 593 </w:t>
            </w:r>
          </w:p>
        </w:tc>
        <w:tc>
          <w:tcPr>
            <w:tcW w:w="480"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11 825 </w:t>
            </w:r>
          </w:p>
        </w:tc>
        <w:tc>
          <w:tcPr>
            <w:tcW w:w="692" w:type="pct"/>
            <w:tcBorders>
              <w:top w:val="single" w:sz="4" w:space="0" w:color="auto"/>
              <w:left w:val="nil"/>
              <w:bottom w:val="single" w:sz="4"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34 783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Viajes</w:t>
            </w:r>
            <w:r w:rsidRPr="000B28CE">
              <w:rPr>
                <w:rFonts w:eastAsia="Times New Roman" w:cs="Arial"/>
                <w:b/>
                <w:sz w:val="18"/>
                <w:szCs w:val="18"/>
                <w:lang w:val="es-ES"/>
              </w:rPr>
              <w:t xml:space="preserve">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Viajes del personal</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68 951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70 330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71 737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211 017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 xml:space="preserve">Viajes del personal </w:t>
            </w:r>
            <w:r w:rsidRPr="000B28CE">
              <w:rPr>
                <w:sz w:val="18"/>
                <w:szCs w:val="18"/>
                <w:lang w:val="es-ES"/>
              </w:rPr>
              <w:t>- COP14</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0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0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59 688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59 688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Reuniones del Comité Permanente</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24 371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24 858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0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49 229 </w:t>
            </w:r>
          </w:p>
        </w:tc>
      </w:tr>
      <w:tr w:rsidR="003023C0" w:rsidRPr="000B28CE" w:rsidTr="003023C0">
        <w:trPr>
          <w:trHeight w:val="361"/>
          <w:jc w:val="center"/>
        </w:trPr>
        <w:tc>
          <w:tcPr>
            <w:tcW w:w="2866"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Reuniones del Consejo Científico</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55 633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56 746 </w:t>
            </w:r>
          </w:p>
        </w:tc>
        <w:tc>
          <w:tcPr>
            <w:tcW w:w="480"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0 </w:t>
            </w:r>
          </w:p>
        </w:tc>
        <w:tc>
          <w:tcPr>
            <w:tcW w:w="692" w:type="pct"/>
            <w:tcBorders>
              <w:top w:val="nil"/>
              <w:left w:val="nil"/>
              <w:bottom w:val="nil"/>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rFonts w:eastAsia="Times New Roman" w:cs="Arial"/>
                <w:sz w:val="18"/>
                <w:szCs w:val="18"/>
                <w:lang w:val="es-ES"/>
              </w:rPr>
              <w:t xml:space="preserve">112 379 </w:t>
            </w:r>
          </w:p>
        </w:tc>
      </w:tr>
      <w:tr w:rsidR="003023C0" w:rsidRPr="000B28CE" w:rsidTr="003023C0">
        <w:trPr>
          <w:trHeight w:val="361"/>
          <w:jc w:val="center"/>
        </w:trPr>
        <w:tc>
          <w:tcPr>
            <w:tcW w:w="2866" w:type="pct"/>
            <w:tcBorders>
              <w:top w:val="single" w:sz="4" w:space="0" w:color="auto"/>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Total parcial</w:t>
            </w:r>
            <w:r w:rsidRPr="000B28CE">
              <w:rPr>
                <w:rFonts w:eastAsia="Times New Roman" w:cs="Arial"/>
                <w:b/>
                <w:sz w:val="18"/>
                <w:szCs w:val="18"/>
                <w:lang w:val="es-ES"/>
              </w:rPr>
              <w:t xml:space="preserve"> l</w:t>
            </w:r>
          </w:p>
        </w:tc>
        <w:tc>
          <w:tcPr>
            <w:tcW w:w="480" w:type="pct"/>
            <w:tcBorders>
              <w:top w:val="single" w:sz="4" w:space="0" w:color="auto"/>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148 955 </w:t>
            </w:r>
          </w:p>
        </w:tc>
        <w:tc>
          <w:tcPr>
            <w:tcW w:w="480" w:type="pct"/>
            <w:tcBorders>
              <w:top w:val="single" w:sz="4" w:space="0" w:color="auto"/>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151 934 </w:t>
            </w:r>
          </w:p>
        </w:tc>
        <w:tc>
          <w:tcPr>
            <w:tcW w:w="480" w:type="pct"/>
            <w:tcBorders>
              <w:top w:val="single" w:sz="4" w:space="0" w:color="auto"/>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131 424 </w:t>
            </w:r>
          </w:p>
        </w:tc>
        <w:tc>
          <w:tcPr>
            <w:tcW w:w="692" w:type="pct"/>
            <w:tcBorders>
              <w:top w:val="single" w:sz="4" w:space="0" w:color="auto"/>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rFonts w:eastAsia="Times New Roman" w:cs="Arial"/>
                <w:b/>
                <w:sz w:val="18"/>
                <w:szCs w:val="18"/>
                <w:lang w:val="es-ES"/>
              </w:rPr>
              <w:t xml:space="preserve">432 313 </w:t>
            </w:r>
          </w:p>
        </w:tc>
      </w:tr>
      <w:tr w:rsidR="003023C0" w:rsidRPr="000B28CE" w:rsidTr="003023C0">
        <w:trPr>
          <w:trHeight w:val="361"/>
          <w:jc w:val="center"/>
        </w:trPr>
        <w:tc>
          <w:tcPr>
            <w:tcW w:w="2866" w:type="pct"/>
            <w:tcBorders>
              <w:top w:val="single" w:sz="12" w:space="0" w:color="auto"/>
              <w:left w:val="nil"/>
              <w:bottom w:val="single" w:sz="8"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rFonts w:eastAsia="Times New Roman" w:cs="Arial"/>
                <w:b/>
                <w:sz w:val="18"/>
                <w:szCs w:val="18"/>
                <w:lang w:val="es-ES"/>
              </w:rPr>
              <w:t xml:space="preserve">Total </w:t>
            </w:r>
          </w:p>
        </w:tc>
        <w:tc>
          <w:tcPr>
            <w:tcW w:w="480" w:type="pct"/>
            <w:tcBorders>
              <w:top w:val="single" w:sz="12" w:space="0" w:color="auto"/>
              <w:left w:val="nil"/>
              <w:bottom w:val="single" w:sz="8"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2 677 786 </w:t>
            </w:r>
          </w:p>
        </w:tc>
        <w:tc>
          <w:tcPr>
            <w:tcW w:w="480" w:type="pct"/>
            <w:tcBorders>
              <w:top w:val="single" w:sz="12" w:space="0" w:color="auto"/>
              <w:left w:val="nil"/>
              <w:bottom w:val="single" w:sz="8"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2 731 341 </w:t>
            </w:r>
          </w:p>
        </w:tc>
        <w:tc>
          <w:tcPr>
            <w:tcW w:w="480" w:type="pct"/>
            <w:tcBorders>
              <w:top w:val="single" w:sz="12" w:space="0" w:color="auto"/>
              <w:left w:val="nil"/>
              <w:bottom w:val="single" w:sz="8"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3 088 288 </w:t>
            </w:r>
          </w:p>
        </w:tc>
        <w:tc>
          <w:tcPr>
            <w:tcW w:w="692" w:type="pct"/>
            <w:tcBorders>
              <w:top w:val="single" w:sz="12" w:space="0" w:color="auto"/>
              <w:left w:val="nil"/>
              <w:bottom w:val="single" w:sz="8"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8 497 415 </w:t>
            </w:r>
          </w:p>
        </w:tc>
      </w:tr>
      <w:tr w:rsidR="003023C0" w:rsidRPr="000B28CE" w:rsidTr="003023C0">
        <w:trPr>
          <w:trHeight w:val="361"/>
          <w:jc w:val="center"/>
        </w:trPr>
        <w:tc>
          <w:tcPr>
            <w:tcW w:w="2866" w:type="pct"/>
            <w:tcBorders>
              <w:top w:val="nil"/>
              <w:left w:val="nil"/>
              <w:bottom w:val="single" w:sz="12" w:space="0" w:color="auto"/>
              <w:right w:val="nil"/>
            </w:tcBorders>
            <w:shd w:val="clear" w:color="auto" w:fill="auto"/>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sz w:val="18"/>
                <w:szCs w:val="18"/>
                <w:lang w:val="es-ES"/>
              </w:rPr>
            </w:pPr>
            <w:r w:rsidRPr="000B28CE">
              <w:rPr>
                <w:color w:val="000000"/>
                <w:sz w:val="18"/>
                <w:szCs w:val="18"/>
                <w:lang w:val="es-ES"/>
              </w:rPr>
              <w:t>Gastos de apoyo a los programas</w:t>
            </w:r>
            <w:r w:rsidRPr="000B28CE">
              <w:rPr>
                <w:sz w:val="18"/>
                <w:szCs w:val="18"/>
                <w:lang w:val="es-ES"/>
              </w:rPr>
              <w:t xml:space="preserve"> (13%)</w:t>
            </w:r>
          </w:p>
        </w:tc>
        <w:tc>
          <w:tcPr>
            <w:tcW w:w="480" w:type="pct"/>
            <w:tcBorders>
              <w:top w:val="nil"/>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348 112 </w:t>
            </w:r>
          </w:p>
        </w:tc>
        <w:tc>
          <w:tcPr>
            <w:tcW w:w="480" w:type="pct"/>
            <w:tcBorders>
              <w:top w:val="nil"/>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355 074 </w:t>
            </w:r>
          </w:p>
        </w:tc>
        <w:tc>
          <w:tcPr>
            <w:tcW w:w="480" w:type="pct"/>
            <w:tcBorders>
              <w:top w:val="nil"/>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401 477 </w:t>
            </w:r>
          </w:p>
        </w:tc>
        <w:tc>
          <w:tcPr>
            <w:tcW w:w="692" w:type="pct"/>
            <w:tcBorders>
              <w:top w:val="nil"/>
              <w:left w:val="nil"/>
              <w:bottom w:val="single" w:sz="12" w:space="0" w:color="auto"/>
              <w:right w:val="nil"/>
            </w:tcBorders>
            <w:shd w:val="clear" w:color="auto" w:fill="auto"/>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1 104 664 </w:t>
            </w:r>
          </w:p>
        </w:tc>
      </w:tr>
      <w:tr w:rsidR="003023C0" w:rsidRPr="000B28CE" w:rsidTr="003023C0">
        <w:trPr>
          <w:trHeight w:val="361"/>
          <w:jc w:val="center"/>
        </w:trPr>
        <w:tc>
          <w:tcPr>
            <w:tcW w:w="2866" w:type="pct"/>
            <w:tcBorders>
              <w:top w:val="single" w:sz="12" w:space="0" w:color="auto"/>
              <w:left w:val="nil"/>
              <w:bottom w:val="single" w:sz="12" w:space="0" w:color="auto"/>
              <w:right w:val="nil"/>
            </w:tcBorders>
            <w:shd w:val="clear" w:color="auto" w:fill="BDD6EE" w:themeFill="accent5" w:themeFillTint="66"/>
            <w:vAlign w:val="center"/>
            <w:hideMark/>
          </w:tcPr>
          <w:p w:rsidR="003023C0" w:rsidRPr="000B28CE" w:rsidRDefault="003023C0" w:rsidP="003023C0">
            <w:pPr>
              <w:widowControl w:val="0"/>
              <w:autoSpaceDE w:val="0"/>
              <w:autoSpaceDN w:val="0"/>
              <w:adjustRightInd w:val="0"/>
              <w:spacing w:after="0" w:line="240" w:lineRule="auto"/>
              <w:rPr>
                <w:rFonts w:eastAsia="Times New Roman" w:cs="Arial"/>
                <w:b/>
                <w:sz w:val="18"/>
                <w:szCs w:val="18"/>
                <w:lang w:val="es-ES"/>
              </w:rPr>
            </w:pPr>
            <w:r w:rsidRPr="000B28CE">
              <w:rPr>
                <w:b/>
                <w:color w:val="000000"/>
                <w:sz w:val="18"/>
                <w:szCs w:val="18"/>
                <w:lang w:val="es-ES"/>
              </w:rPr>
              <w:t>Total general</w:t>
            </w:r>
          </w:p>
        </w:tc>
        <w:tc>
          <w:tcPr>
            <w:tcW w:w="480"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3 025 898 </w:t>
            </w:r>
          </w:p>
        </w:tc>
        <w:tc>
          <w:tcPr>
            <w:tcW w:w="480"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3 086 416 </w:t>
            </w:r>
          </w:p>
        </w:tc>
        <w:tc>
          <w:tcPr>
            <w:tcW w:w="480"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3 489 765 </w:t>
            </w:r>
          </w:p>
        </w:tc>
        <w:tc>
          <w:tcPr>
            <w:tcW w:w="692" w:type="pct"/>
            <w:tcBorders>
              <w:top w:val="single" w:sz="12" w:space="0" w:color="auto"/>
              <w:left w:val="nil"/>
              <w:bottom w:val="single" w:sz="12" w:space="0" w:color="auto"/>
              <w:right w:val="nil"/>
            </w:tcBorders>
            <w:shd w:val="clear" w:color="auto" w:fill="BDD6EE" w:themeFill="accent5" w:themeFillTint="66"/>
            <w:noWrap/>
            <w:vAlign w:val="center"/>
            <w:hideMark/>
          </w:tcPr>
          <w:p w:rsidR="003023C0" w:rsidRPr="000B28CE" w:rsidRDefault="003023C0" w:rsidP="003023C0">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9 602 079 </w:t>
            </w:r>
          </w:p>
        </w:tc>
      </w:tr>
    </w:tbl>
    <w:p w:rsidR="003023C0" w:rsidRPr="000B28CE" w:rsidRDefault="003023C0" w:rsidP="00B40E07">
      <w:pPr>
        <w:pStyle w:val="Firstnumbering1"/>
        <w:numPr>
          <w:ilvl w:val="0"/>
          <w:numId w:val="0"/>
        </w:numPr>
        <w:ind w:left="567"/>
        <w:sectPr w:rsidR="003023C0" w:rsidRPr="000B28CE" w:rsidSect="00FC469B">
          <w:headerReference w:type="even" r:id="rId21"/>
          <w:headerReference w:type="first" r:id="rId22"/>
          <w:pgSz w:w="11906" w:h="16838" w:code="9"/>
          <w:pgMar w:top="1134" w:right="1134" w:bottom="1134" w:left="1134" w:header="720" w:footer="720" w:gutter="0"/>
          <w:cols w:space="720"/>
          <w:titlePg/>
          <w:docGrid w:linePitch="360"/>
        </w:sectPr>
      </w:pPr>
    </w:p>
    <w:p w:rsidR="003023C0" w:rsidRPr="000B28CE" w:rsidRDefault="003023C0" w:rsidP="003023C0">
      <w:pPr>
        <w:jc w:val="right"/>
        <w:rPr>
          <w:rFonts w:cs="Arial"/>
          <w:b/>
          <w:caps/>
          <w:lang w:val="es-ES"/>
        </w:rPr>
      </w:pPr>
      <w:r w:rsidRPr="000B28CE">
        <w:rPr>
          <w:rFonts w:cs="Arial"/>
          <w:b/>
          <w:caps/>
          <w:lang w:val="es-ES"/>
        </w:rPr>
        <w:t>Anexo 3 (D)</w:t>
      </w:r>
    </w:p>
    <w:p w:rsidR="003023C0" w:rsidRPr="000B28CE" w:rsidRDefault="003023C0" w:rsidP="003023C0">
      <w:pPr>
        <w:spacing w:after="0" w:line="240" w:lineRule="auto"/>
        <w:jc w:val="center"/>
        <w:rPr>
          <w:rFonts w:cs="Arial"/>
          <w:b/>
          <w:bCs/>
          <w:color w:val="000000"/>
          <w:lang w:val="es-ES"/>
        </w:rPr>
      </w:pPr>
      <w:r w:rsidRPr="000B28CE">
        <w:rPr>
          <w:b/>
          <w:color w:val="000000"/>
          <w:lang w:val="es-ES"/>
        </w:rPr>
        <w:t>PRESUPUESTO PROPUESTO PARA EL TRIENIO</w:t>
      </w:r>
      <w:r w:rsidRPr="000B28CE">
        <w:rPr>
          <w:rFonts w:cs="Arial"/>
          <w:b/>
          <w:bCs/>
          <w:color w:val="000000"/>
          <w:lang w:val="es-ES"/>
        </w:rPr>
        <w:t xml:space="preserve"> 2021 – 2023</w:t>
      </w:r>
    </w:p>
    <w:p w:rsidR="003023C0" w:rsidRPr="000B28CE" w:rsidRDefault="003023C0" w:rsidP="003023C0">
      <w:pPr>
        <w:spacing w:after="0" w:line="240" w:lineRule="auto"/>
        <w:jc w:val="center"/>
        <w:outlineLvl w:val="1"/>
        <w:rPr>
          <w:rFonts w:cs="Arial"/>
          <w:b/>
          <w:bCs/>
          <w:iCs/>
          <w:color w:val="000000"/>
          <w:lang w:val="es-ES"/>
        </w:rPr>
      </w:pPr>
      <w:r w:rsidRPr="000B28CE">
        <w:rPr>
          <w:rFonts w:cs="Arial"/>
          <w:b/>
          <w:bCs/>
          <w:iCs/>
          <w:color w:val="000000"/>
          <w:lang w:val="es-ES"/>
        </w:rPr>
        <w:t>ESCENARIO 4</w:t>
      </w:r>
    </w:p>
    <w:p w:rsidR="003023C0" w:rsidRPr="000B28CE" w:rsidRDefault="003023C0" w:rsidP="003023C0">
      <w:pPr>
        <w:spacing w:after="0" w:line="240" w:lineRule="auto"/>
        <w:jc w:val="center"/>
        <w:outlineLvl w:val="1"/>
        <w:rPr>
          <w:rFonts w:cs="Arial"/>
          <w:sz w:val="18"/>
          <w:szCs w:val="18"/>
          <w:lang w:val="es-ES"/>
        </w:rPr>
      </w:pPr>
      <w:r w:rsidRPr="000B28CE">
        <w:rPr>
          <w:rFonts w:cs="Arial"/>
          <w:iCs/>
          <w:color w:val="000000"/>
          <w:sz w:val="18"/>
          <w:szCs w:val="18"/>
          <w:lang w:val="es-ES"/>
        </w:rPr>
        <w:t>(</w:t>
      </w:r>
      <w:r w:rsidRPr="000B28CE">
        <w:rPr>
          <w:color w:val="000000"/>
          <w:sz w:val="18"/>
          <w:szCs w:val="18"/>
          <w:lang w:val="es-ES"/>
        </w:rPr>
        <w:t>Todas las cifras en euros</w:t>
      </w:r>
      <w:r w:rsidRPr="000B28CE">
        <w:rPr>
          <w:rFonts w:cs="Arial"/>
          <w:iCs/>
          <w:color w:val="000000"/>
          <w:sz w:val="18"/>
          <w:szCs w:val="18"/>
          <w:lang w:val="es-ES"/>
        </w:rPr>
        <w:t>)</w:t>
      </w:r>
    </w:p>
    <w:tbl>
      <w:tblPr>
        <w:tblW w:w="9897" w:type="dxa"/>
        <w:jc w:val="center"/>
        <w:tblLook w:val="04A0" w:firstRow="1" w:lastRow="0" w:firstColumn="1" w:lastColumn="0" w:noHBand="0" w:noVBand="1"/>
      </w:tblPr>
      <w:tblGrid>
        <w:gridCol w:w="6200"/>
        <w:gridCol w:w="1017"/>
        <w:gridCol w:w="1017"/>
        <w:gridCol w:w="1017"/>
        <w:gridCol w:w="1017"/>
      </w:tblGrid>
      <w:tr w:rsidR="00457302" w:rsidRPr="000B28CE" w:rsidTr="00457302">
        <w:trPr>
          <w:trHeight w:val="524"/>
          <w:jc w:val="center"/>
        </w:trPr>
        <w:tc>
          <w:tcPr>
            <w:tcW w:w="0" w:type="auto"/>
            <w:tcBorders>
              <w:top w:val="single" w:sz="12" w:space="0" w:color="auto"/>
              <w:left w:val="nil"/>
              <w:bottom w:val="single" w:sz="12" w:space="0" w:color="auto"/>
              <w:right w:val="nil"/>
            </w:tcBorders>
            <w:shd w:val="clear" w:color="auto" w:fill="BDD6EE" w:themeFill="accent5" w:themeFillTint="66"/>
            <w:noWrap/>
            <w:vAlign w:val="center"/>
            <w:hideMark/>
          </w:tcPr>
          <w:p w:rsidR="00457302" w:rsidRPr="000B28CE" w:rsidRDefault="00457302" w:rsidP="00060076">
            <w:pPr>
              <w:spacing w:after="0" w:line="240" w:lineRule="auto"/>
              <w:rPr>
                <w:rFonts w:eastAsia="Times New Roman" w:cs="Arial"/>
                <w:b/>
                <w:bCs/>
                <w:i/>
                <w:iCs/>
                <w:sz w:val="18"/>
                <w:szCs w:val="18"/>
                <w:lang w:val="es-ES"/>
              </w:rPr>
            </w:pPr>
            <w:r w:rsidRPr="000B28CE">
              <w:rPr>
                <w:b/>
                <w:i/>
                <w:sz w:val="18"/>
                <w:szCs w:val="18"/>
                <w:lang w:val="es-ES"/>
              </w:rPr>
              <w:t xml:space="preserve">Partida de gastos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2021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2022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2023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bCs/>
                <w:i/>
                <w:iCs/>
                <w:sz w:val="18"/>
                <w:szCs w:val="18"/>
                <w:lang w:val="es-ES"/>
              </w:rPr>
            </w:pPr>
            <w:r w:rsidRPr="000B28CE">
              <w:rPr>
                <w:rFonts w:eastAsia="Times New Roman" w:cs="Arial"/>
                <w:b/>
                <w:bCs/>
                <w:i/>
                <w:iCs/>
                <w:sz w:val="18"/>
                <w:szCs w:val="18"/>
                <w:lang w:val="es-ES"/>
              </w:rPr>
              <w:t xml:space="preserve"> Total </w:t>
            </w:r>
          </w:p>
        </w:tc>
      </w:tr>
      <w:tr w:rsidR="00457302" w:rsidRPr="000B28CE" w:rsidTr="00060076">
        <w:trPr>
          <w:trHeight w:val="316"/>
          <w:jc w:val="center"/>
        </w:trPr>
        <w:tc>
          <w:tcPr>
            <w:tcW w:w="0" w:type="auto"/>
            <w:tcBorders>
              <w:top w:val="single" w:sz="12" w:space="0" w:color="auto"/>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Gastos de personal</w:t>
            </w:r>
          </w:p>
        </w:tc>
        <w:tc>
          <w:tcPr>
            <w:tcW w:w="0" w:type="auto"/>
            <w:tcBorders>
              <w:top w:val="single" w:sz="12" w:space="0" w:color="auto"/>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single" w:sz="12" w:space="0" w:color="auto"/>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single" w:sz="12" w:space="0" w:color="auto"/>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single" w:sz="12" w:space="0" w:color="auto"/>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sz w:val="18"/>
                <w:szCs w:val="18"/>
                <w:lang w:val="es-ES"/>
              </w:rPr>
              <w:t>Personal profesional</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1 629 102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1 661 684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1 694 917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4 985 703 </w:t>
            </w:r>
          </w:p>
        </w:tc>
      </w:tr>
      <w:tr w:rsidR="00457302" w:rsidRPr="000B28CE" w:rsidTr="00060076">
        <w:trPr>
          <w:trHeight w:val="316"/>
          <w:jc w:val="center"/>
        </w:trPr>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sz w:val="18"/>
                <w:szCs w:val="18"/>
                <w:lang w:val="es-ES"/>
              </w:rPr>
              <w:t>Personal de apoyo general</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635 425 </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648 133 </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661 096 </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1 944 653 </w:t>
            </w:r>
          </w:p>
        </w:tc>
      </w:tr>
      <w:tr w:rsidR="00457302" w:rsidRPr="000B28CE" w:rsidTr="00060076">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Total parcial</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2 264 526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2 309 817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2 356 013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6 930 356 </w:t>
            </w:r>
          </w:p>
        </w:tc>
      </w:tr>
      <w:tr w:rsidR="00457302" w:rsidRPr="000B28CE" w:rsidTr="00060076">
        <w:trPr>
          <w:trHeight w:val="316"/>
          <w:jc w:val="center"/>
        </w:trPr>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Servicios contractuales</w:t>
            </w: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p>
        </w:tc>
      </w:tr>
      <w:tr w:rsidR="00457302" w:rsidRPr="000B28CE" w:rsidTr="00060076">
        <w:trPr>
          <w:trHeight w:val="316"/>
          <w:jc w:val="center"/>
        </w:trPr>
        <w:tc>
          <w:tcPr>
            <w:tcW w:w="0" w:type="auto"/>
            <w:tcBorders>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Servicios contractuales (traducciones generales y edición de documentos)</w:t>
            </w:r>
            <w:r w:rsidRPr="000B28CE">
              <w:rPr>
                <w:rFonts w:eastAsia="Times New Roman" w:cs="Arial"/>
                <w:color w:val="000000" w:themeColor="text1"/>
                <w:sz w:val="18"/>
                <w:szCs w:val="18"/>
                <w:lang w:val="es-ES"/>
              </w:rPr>
              <w:t>)</w:t>
            </w:r>
          </w:p>
        </w:tc>
        <w:tc>
          <w:tcPr>
            <w:tcW w:w="0" w:type="auto"/>
            <w:tcBorders>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95 687 </w:t>
            </w:r>
          </w:p>
        </w:tc>
        <w:tc>
          <w:tcPr>
            <w:tcW w:w="0" w:type="auto"/>
            <w:tcBorders>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97 601 </w:t>
            </w:r>
          </w:p>
        </w:tc>
        <w:tc>
          <w:tcPr>
            <w:tcW w:w="0" w:type="auto"/>
            <w:tcBorders>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99 553 </w:t>
            </w:r>
          </w:p>
        </w:tc>
        <w:tc>
          <w:tcPr>
            <w:tcW w:w="0" w:type="auto"/>
            <w:tcBorders>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292 841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sz w:val="18"/>
                <w:szCs w:val="18"/>
                <w:lang w:val="es-ES"/>
              </w:rPr>
              <w:t>Servicios a los órganos rectores (traducciones, interpretación, etc.)</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325 868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325 868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Producción de materiales de información</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13 530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13 801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14 077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41 408 </w:t>
            </w:r>
          </w:p>
        </w:tc>
      </w:tr>
      <w:tr w:rsidR="00457302" w:rsidRPr="000B28CE" w:rsidTr="00060076">
        <w:trPr>
          <w:trHeight w:val="316"/>
          <w:jc w:val="center"/>
        </w:trPr>
        <w:tc>
          <w:tcPr>
            <w:tcW w:w="0" w:type="auto"/>
            <w:tcBorders>
              <w:top w:val="nil"/>
              <w:left w:val="nil"/>
              <w:bottom w:val="nil"/>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FF0000"/>
                <w:sz w:val="18"/>
                <w:szCs w:val="18"/>
                <w:lang w:val="es-ES"/>
              </w:rPr>
            </w:pPr>
            <w:r w:rsidRPr="000B28CE">
              <w:rPr>
                <w:rFonts w:eastAsia="Times New Roman" w:cs="Arial"/>
                <w:color w:val="FF0000"/>
                <w:sz w:val="18"/>
                <w:szCs w:val="18"/>
                <w:lang w:val="es-ES"/>
              </w:rPr>
              <w:t>PdT - Actividades y eventos de extensión, incluyendo la Campaña del Día Mundial de las Aves Migratorias.</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20 000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20 000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20 000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60 000 </w:t>
            </w:r>
          </w:p>
        </w:tc>
      </w:tr>
      <w:tr w:rsidR="00457302" w:rsidRPr="000B28CE" w:rsidTr="00060076">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Total parcial</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129 217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131 402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459 498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720 117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Gastos de funcionamiento</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Instrumentos de TIC, elaboración y gestión del sitio web</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7 036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7 177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7 320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21 532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sz w:val="18"/>
                <w:szCs w:val="18"/>
                <w:lang w:val="es-ES"/>
              </w:rPr>
              <w:t>Formación del personal (capacitación retiros)</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20 824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21 241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21 666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63 731 </w:t>
            </w:r>
          </w:p>
        </w:tc>
      </w:tr>
      <w:tr w:rsidR="00457302" w:rsidRPr="000B28CE" w:rsidTr="00060076">
        <w:trPr>
          <w:trHeight w:val="316"/>
          <w:jc w:val="center"/>
        </w:trPr>
        <w:tc>
          <w:tcPr>
            <w:tcW w:w="0" w:type="auto"/>
            <w:tcBorders>
              <w:top w:val="nil"/>
              <w:left w:val="nil"/>
              <w:bottom w:val="nil"/>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Servicios de tecnología de la información (UNV)</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75 770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77 286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78 831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231 887 </w:t>
            </w:r>
          </w:p>
        </w:tc>
      </w:tr>
      <w:tr w:rsidR="00457302" w:rsidRPr="000B28CE" w:rsidTr="00060076">
        <w:trPr>
          <w:trHeight w:val="316"/>
          <w:jc w:val="center"/>
        </w:trPr>
        <w:tc>
          <w:tcPr>
            <w:tcW w:w="0" w:type="auto"/>
            <w:tcBorders>
              <w:top w:val="nil"/>
              <w:left w:val="nil"/>
              <w:bottom w:val="nil"/>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Servicios de automatización de oficinas (alojamiento de impresoras alquiladas, etc.)</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10 824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11 041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11 262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33 127 </w:t>
            </w:r>
          </w:p>
        </w:tc>
      </w:tr>
      <w:tr w:rsidR="00457302" w:rsidRPr="000B28CE" w:rsidTr="00060076">
        <w:trPr>
          <w:trHeight w:val="316"/>
          <w:jc w:val="center"/>
        </w:trPr>
        <w:tc>
          <w:tcPr>
            <w:tcW w:w="0" w:type="auto"/>
            <w:tcBorders>
              <w:top w:val="nil"/>
              <w:left w:val="nil"/>
              <w:bottom w:val="nil"/>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Servicios de comunicación y de mensajería</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18 943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19 321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19 708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57 972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Varios</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4 046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4 127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4 210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12 383 </w:t>
            </w:r>
          </w:p>
        </w:tc>
      </w:tr>
      <w:tr w:rsidR="00457302" w:rsidRPr="000B28CE" w:rsidTr="00060076">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Total parcial</w:t>
            </w:r>
            <w:r w:rsidRPr="000B28CE">
              <w:rPr>
                <w:rFonts w:eastAsia="Times New Roman" w:cs="Arial"/>
                <w:b/>
                <w:color w:val="000000" w:themeColor="text1"/>
                <w:sz w:val="18"/>
                <w:szCs w:val="18"/>
                <w:lang w:val="es-ES"/>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137 443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140 192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142 996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420 632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Suministros</w:t>
            </w:r>
            <w:r w:rsidRPr="000B28CE">
              <w:rPr>
                <w:rFonts w:eastAsia="Times New Roman" w:cs="Arial"/>
                <w:b/>
                <w:color w:val="000000" w:themeColor="text1"/>
                <w:sz w:val="18"/>
                <w:szCs w:val="18"/>
                <w:lang w:val="es-ES"/>
              </w:rPr>
              <w:t xml:space="preserve"> s</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r>
      <w:tr w:rsidR="00457302" w:rsidRPr="000B28CE" w:rsidTr="00060076">
        <w:trPr>
          <w:trHeight w:val="316"/>
          <w:jc w:val="center"/>
        </w:trPr>
        <w:tc>
          <w:tcPr>
            <w:tcW w:w="0" w:type="auto"/>
            <w:tcBorders>
              <w:top w:val="nil"/>
              <w:left w:val="nil"/>
              <w:bottom w:val="nil"/>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Suministros de oficina</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6 278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6 404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6 532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19 214 </w:t>
            </w:r>
          </w:p>
        </w:tc>
      </w:tr>
      <w:tr w:rsidR="00457302" w:rsidRPr="000B28CE" w:rsidTr="00060076">
        <w:trPr>
          <w:trHeight w:val="316"/>
          <w:jc w:val="center"/>
        </w:trPr>
        <w:tc>
          <w:tcPr>
            <w:tcW w:w="0" w:type="auto"/>
            <w:tcBorders>
              <w:top w:val="single" w:sz="4" w:space="0" w:color="auto"/>
              <w:left w:val="nil"/>
              <w:bottom w:val="single" w:sz="4" w:space="0" w:color="auto"/>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Total parcial</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6 278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6 404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6 532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19 214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Equipo</w:t>
            </w:r>
            <w:r w:rsidRPr="000B28CE">
              <w:rPr>
                <w:rFonts w:eastAsia="Times New Roman" w:cs="Arial"/>
                <w:b/>
                <w:color w:val="000000" w:themeColor="text1"/>
                <w:sz w:val="18"/>
                <w:szCs w:val="18"/>
                <w:lang w:val="es-ES"/>
              </w:rPr>
              <w:t xml:space="preserve">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r>
      <w:tr w:rsidR="00457302" w:rsidRPr="000B28CE" w:rsidTr="00060076">
        <w:trPr>
          <w:trHeight w:val="316"/>
          <w:jc w:val="center"/>
        </w:trPr>
        <w:tc>
          <w:tcPr>
            <w:tcW w:w="0" w:type="auto"/>
            <w:tcBorders>
              <w:top w:val="nil"/>
              <w:left w:val="nil"/>
              <w:bottom w:val="nil"/>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000000" w:themeColor="text1"/>
                <w:sz w:val="18"/>
                <w:szCs w:val="18"/>
                <w:lang w:val="es-ES"/>
              </w:rPr>
            </w:pPr>
            <w:r w:rsidRPr="000B28CE">
              <w:rPr>
                <w:color w:val="000000"/>
                <w:sz w:val="18"/>
                <w:szCs w:val="18"/>
                <w:lang w:val="es-ES"/>
              </w:rPr>
              <w:t>Equipo no fungible</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11 366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11 593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11 825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sz w:val="18"/>
                <w:szCs w:val="18"/>
                <w:lang w:val="es-ES"/>
              </w:rPr>
            </w:pPr>
            <w:r w:rsidRPr="000B28CE">
              <w:rPr>
                <w:sz w:val="18"/>
                <w:szCs w:val="18"/>
                <w:lang w:val="es-ES"/>
              </w:rPr>
              <w:t xml:space="preserve">34 783 </w:t>
            </w:r>
          </w:p>
        </w:tc>
      </w:tr>
      <w:tr w:rsidR="00457302" w:rsidRPr="000B28CE" w:rsidTr="00060076">
        <w:trPr>
          <w:trHeight w:val="316"/>
          <w:jc w:val="center"/>
        </w:trPr>
        <w:tc>
          <w:tcPr>
            <w:tcW w:w="0" w:type="auto"/>
            <w:tcBorders>
              <w:top w:val="single" w:sz="4" w:space="0" w:color="auto"/>
              <w:left w:val="nil"/>
              <w:bottom w:val="single" w:sz="4" w:space="0" w:color="auto"/>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Total parcial</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11 366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11 593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11 825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34 783 </w:t>
            </w: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rFonts w:eastAsia="Times New Roman" w:cs="Arial"/>
                <w:b/>
                <w:color w:val="000000" w:themeColor="text1"/>
                <w:sz w:val="18"/>
                <w:szCs w:val="18"/>
                <w:lang w:val="es-ES"/>
              </w:rPr>
              <w:t>Socios ejecutores</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r>
      <w:tr w:rsidR="00457302" w:rsidRPr="000B28CE" w:rsidTr="00060076">
        <w:trPr>
          <w:trHeight w:val="316"/>
          <w:jc w:val="center"/>
        </w:trPr>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FF0000"/>
                <w:sz w:val="18"/>
                <w:szCs w:val="18"/>
                <w:lang w:val="es-ES"/>
              </w:rPr>
            </w:pPr>
            <w:r w:rsidRPr="000B28CE">
              <w:rPr>
                <w:rFonts w:eastAsia="Times New Roman" w:cs="Arial"/>
                <w:color w:val="FF0000"/>
                <w:sz w:val="18"/>
                <w:szCs w:val="18"/>
                <w:lang w:val="es-ES"/>
              </w:rPr>
              <w:t xml:space="preserve">PdT – Análisis de los informes nacionales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30 000 </w:t>
            </w:r>
          </w:p>
        </w:tc>
        <w:tc>
          <w:tcPr>
            <w:tcW w:w="0" w:type="auto"/>
            <w:tcBorders>
              <w:top w:val="nil"/>
              <w:left w:val="nil"/>
              <w:bottom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30 000 </w:t>
            </w:r>
          </w:p>
        </w:tc>
      </w:tr>
      <w:tr w:rsidR="00457302" w:rsidRPr="000B28CE" w:rsidTr="00060076">
        <w:trPr>
          <w:trHeight w:val="316"/>
          <w:jc w:val="center"/>
        </w:trPr>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color w:val="FF0000"/>
                <w:sz w:val="18"/>
                <w:szCs w:val="18"/>
                <w:lang w:val="es-ES"/>
              </w:rPr>
            </w:pPr>
            <w:r w:rsidRPr="000B28CE">
              <w:rPr>
                <w:rFonts w:eastAsia="Times New Roman" w:cs="Arial"/>
                <w:color w:val="FF0000"/>
                <w:sz w:val="18"/>
                <w:szCs w:val="18"/>
                <w:lang w:val="es-ES"/>
              </w:rPr>
              <w:t>PdT- Desarrollo del “Informe sobre el Estado de las Especies Migratorias”</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50 000 </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50 000 </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50 000 </w:t>
            </w:r>
          </w:p>
        </w:tc>
        <w:tc>
          <w:tcPr>
            <w:tcW w:w="0" w:type="auto"/>
            <w:tcBorders>
              <w:top w:val="nil"/>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color w:val="FF0000"/>
                <w:sz w:val="18"/>
                <w:szCs w:val="18"/>
                <w:lang w:val="es-ES"/>
              </w:rPr>
            </w:pPr>
            <w:r w:rsidRPr="000B28CE">
              <w:rPr>
                <w:color w:val="FF0000"/>
                <w:sz w:val="18"/>
                <w:szCs w:val="18"/>
                <w:lang w:val="es-ES"/>
              </w:rPr>
              <w:t xml:space="preserve">150 000 </w:t>
            </w:r>
          </w:p>
        </w:tc>
      </w:tr>
      <w:tr w:rsidR="00457302" w:rsidRPr="000B28CE" w:rsidTr="00060076">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Total parcial</w:t>
            </w:r>
            <w:r w:rsidRPr="000B28CE">
              <w:rPr>
                <w:rFonts w:eastAsia="Times New Roman" w:cs="Arial"/>
                <w:b/>
                <w:color w:val="000000" w:themeColor="text1"/>
                <w:sz w:val="18"/>
                <w:szCs w:val="18"/>
                <w:lang w:val="es-ES"/>
              </w:rPr>
              <w:t xml:space="preserve"> l</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50 000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50 000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80 000 </w:t>
            </w:r>
          </w:p>
        </w:tc>
        <w:tc>
          <w:tcPr>
            <w:tcW w:w="0" w:type="auto"/>
            <w:tcBorders>
              <w:top w:val="single" w:sz="4" w:space="0" w:color="auto"/>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r w:rsidRPr="000B28CE">
              <w:rPr>
                <w:b/>
                <w:sz w:val="18"/>
                <w:szCs w:val="18"/>
                <w:lang w:val="es-ES"/>
              </w:rPr>
              <w:t xml:space="preserve">180 000 </w:t>
            </w:r>
          </w:p>
        </w:tc>
      </w:tr>
      <w:tr w:rsidR="00457302" w:rsidRPr="000B28CE" w:rsidTr="00060076">
        <w:trPr>
          <w:trHeight w:val="316"/>
          <w:jc w:val="center"/>
        </w:trPr>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Arial"/>
                <w:b/>
                <w:color w:val="000000" w:themeColor="text1"/>
                <w:sz w:val="18"/>
                <w:szCs w:val="18"/>
                <w:lang w:val="es-ES"/>
              </w:rPr>
            </w:pPr>
            <w:r w:rsidRPr="000B28CE">
              <w:rPr>
                <w:b/>
                <w:color w:val="000000"/>
                <w:sz w:val="18"/>
                <w:szCs w:val="18"/>
                <w:lang w:val="es-ES"/>
              </w:rPr>
              <w:t>Viajes</w:t>
            </w:r>
            <w:r w:rsidRPr="000B28CE">
              <w:rPr>
                <w:rFonts w:eastAsia="Times New Roman" w:cs="Arial"/>
                <w:b/>
                <w:color w:val="000000" w:themeColor="text1"/>
                <w:sz w:val="18"/>
                <w:szCs w:val="18"/>
                <w:lang w:val="es-ES"/>
              </w:rPr>
              <w:t xml:space="preserve"> </w:t>
            </w: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c>
          <w:tcPr>
            <w:tcW w:w="0" w:type="auto"/>
            <w:tcBorders>
              <w:top w:val="single" w:sz="4" w:space="0" w:color="auto"/>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Arial"/>
                <w:b/>
                <w:sz w:val="18"/>
                <w:szCs w:val="18"/>
                <w:lang w:val="es-ES"/>
              </w:rPr>
            </w:pPr>
          </w:p>
        </w:tc>
      </w:tr>
      <w:tr w:rsidR="00457302" w:rsidRPr="000B28CE" w:rsidTr="00060076">
        <w:trPr>
          <w:trHeight w:val="316"/>
          <w:jc w:val="center"/>
        </w:trPr>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Viajes del personal</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68 951 </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70 330 </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71 737 </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211 017 </w:t>
            </w:r>
          </w:p>
        </w:tc>
      </w:tr>
      <w:tr w:rsidR="00457302" w:rsidRPr="000B28CE" w:rsidTr="00060076">
        <w:trPr>
          <w:trHeight w:val="316"/>
          <w:jc w:val="center"/>
        </w:trPr>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 xml:space="preserve">Viajes del personal </w:t>
            </w:r>
            <w:r w:rsidRPr="000B28CE">
              <w:rPr>
                <w:sz w:val="18"/>
                <w:szCs w:val="18"/>
                <w:lang w:val="es-ES"/>
              </w:rPr>
              <w:t>- COP14</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59 688 </w:t>
            </w:r>
          </w:p>
        </w:tc>
        <w:tc>
          <w:tcPr>
            <w:tcW w:w="0" w:type="auto"/>
            <w:tcBorders>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59 688 </w:t>
            </w:r>
          </w:p>
        </w:tc>
      </w:tr>
      <w:tr w:rsidR="00457302" w:rsidRPr="000B28CE" w:rsidTr="00060076">
        <w:trPr>
          <w:trHeight w:val="316"/>
          <w:jc w:val="center"/>
        </w:trPr>
        <w:tc>
          <w:tcPr>
            <w:tcW w:w="0" w:type="auto"/>
            <w:tcBorders>
              <w:top w:val="nil"/>
              <w:left w:val="nil"/>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Reuniones del Comité Permanente</w:t>
            </w:r>
          </w:p>
        </w:tc>
        <w:tc>
          <w:tcPr>
            <w:tcW w:w="0" w:type="auto"/>
            <w:tcBorders>
              <w:top w:val="nil"/>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24 371 </w:t>
            </w:r>
          </w:p>
        </w:tc>
        <w:tc>
          <w:tcPr>
            <w:tcW w:w="0" w:type="auto"/>
            <w:tcBorders>
              <w:top w:val="nil"/>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24 858 </w:t>
            </w:r>
          </w:p>
        </w:tc>
        <w:tc>
          <w:tcPr>
            <w:tcW w:w="0" w:type="auto"/>
            <w:tcBorders>
              <w:top w:val="nil"/>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0" w:type="auto"/>
            <w:tcBorders>
              <w:top w:val="nil"/>
              <w:left w:val="nil"/>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49 229 </w:t>
            </w:r>
          </w:p>
        </w:tc>
      </w:tr>
      <w:tr w:rsidR="00457302" w:rsidRPr="000B28CE" w:rsidTr="00060076">
        <w:trPr>
          <w:trHeight w:val="316"/>
          <w:jc w:val="center"/>
        </w:trPr>
        <w:tc>
          <w:tcPr>
            <w:tcW w:w="0" w:type="auto"/>
            <w:tcBorders>
              <w:left w:val="nil"/>
              <w:bottom w:val="single" w:sz="4" w:space="0" w:color="auto"/>
              <w:right w:val="nil"/>
            </w:tcBorders>
            <w:shd w:val="clear" w:color="auto" w:fill="auto"/>
            <w:vAlign w:val="center"/>
            <w:hideMark/>
          </w:tcPr>
          <w:p w:rsidR="00457302" w:rsidRPr="000B28CE" w:rsidRDefault="00457302" w:rsidP="00060076">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Reuniones del Consejo Científico</w:t>
            </w:r>
          </w:p>
        </w:tc>
        <w:tc>
          <w:tcPr>
            <w:tcW w:w="0" w:type="auto"/>
            <w:tcBorders>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55 633 </w:t>
            </w:r>
          </w:p>
        </w:tc>
        <w:tc>
          <w:tcPr>
            <w:tcW w:w="0" w:type="auto"/>
            <w:tcBorders>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56 746 </w:t>
            </w:r>
          </w:p>
        </w:tc>
        <w:tc>
          <w:tcPr>
            <w:tcW w:w="0" w:type="auto"/>
            <w:tcBorders>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0 </w:t>
            </w:r>
          </w:p>
        </w:tc>
        <w:tc>
          <w:tcPr>
            <w:tcW w:w="0" w:type="auto"/>
            <w:tcBorders>
              <w:left w:val="nil"/>
              <w:bottom w:val="single" w:sz="4" w:space="0" w:color="auto"/>
              <w:right w:val="nil"/>
            </w:tcBorders>
            <w:shd w:val="clear" w:color="auto" w:fill="auto"/>
            <w:noWrap/>
            <w:vAlign w:val="center"/>
            <w:hideMark/>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112 379 </w:t>
            </w:r>
          </w:p>
        </w:tc>
      </w:tr>
      <w:tr w:rsidR="00457302" w:rsidRPr="000B28CE" w:rsidTr="00060076">
        <w:trPr>
          <w:trHeight w:val="316"/>
          <w:jc w:val="center"/>
        </w:trPr>
        <w:tc>
          <w:tcPr>
            <w:tcW w:w="0" w:type="auto"/>
            <w:tcBorders>
              <w:top w:val="single" w:sz="4" w:space="0" w:color="auto"/>
              <w:left w:val="nil"/>
              <w:bottom w:val="single" w:sz="12" w:space="0" w:color="auto"/>
              <w:right w:val="nil"/>
            </w:tcBorders>
            <w:shd w:val="clear" w:color="auto" w:fill="auto"/>
            <w:vAlign w:val="center"/>
          </w:tcPr>
          <w:p w:rsidR="00457302" w:rsidRPr="000B28CE" w:rsidRDefault="00457302" w:rsidP="00060076">
            <w:pPr>
              <w:widowControl w:val="0"/>
              <w:autoSpaceDE w:val="0"/>
              <w:autoSpaceDN w:val="0"/>
              <w:adjustRightInd w:val="0"/>
              <w:spacing w:after="0" w:line="240" w:lineRule="auto"/>
              <w:rPr>
                <w:rFonts w:eastAsia="Times New Roman" w:cs="Times New Roman"/>
                <w:b/>
                <w:color w:val="000000" w:themeColor="text1"/>
                <w:sz w:val="18"/>
                <w:szCs w:val="24"/>
                <w:lang w:val="es-ES"/>
              </w:rPr>
            </w:pPr>
            <w:r w:rsidRPr="000B28CE">
              <w:rPr>
                <w:b/>
                <w:color w:val="000000"/>
                <w:sz w:val="18"/>
                <w:szCs w:val="18"/>
                <w:lang w:val="es-ES"/>
              </w:rPr>
              <w:t>Total parcial</w:t>
            </w:r>
          </w:p>
        </w:tc>
        <w:tc>
          <w:tcPr>
            <w:tcW w:w="0" w:type="auto"/>
            <w:tcBorders>
              <w:top w:val="single" w:sz="4"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sz w:val="18"/>
                <w:szCs w:val="18"/>
                <w:lang w:val="es-ES"/>
              </w:rPr>
              <w:t xml:space="preserve">148 955 </w:t>
            </w:r>
          </w:p>
        </w:tc>
        <w:tc>
          <w:tcPr>
            <w:tcW w:w="0" w:type="auto"/>
            <w:tcBorders>
              <w:top w:val="single" w:sz="4"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sz w:val="18"/>
                <w:szCs w:val="18"/>
                <w:lang w:val="es-ES"/>
              </w:rPr>
              <w:t xml:space="preserve">151 934 </w:t>
            </w:r>
          </w:p>
        </w:tc>
        <w:tc>
          <w:tcPr>
            <w:tcW w:w="0" w:type="auto"/>
            <w:tcBorders>
              <w:top w:val="single" w:sz="4"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sz w:val="18"/>
                <w:szCs w:val="18"/>
                <w:lang w:val="es-ES"/>
              </w:rPr>
              <w:t xml:space="preserve">131 424 </w:t>
            </w:r>
          </w:p>
        </w:tc>
        <w:tc>
          <w:tcPr>
            <w:tcW w:w="0" w:type="auto"/>
            <w:tcBorders>
              <w:top w:val="single" w:sz="4"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sz w:val="18"/>
                <w:szCs w:val="18"/>
                <w:lang w:val="es-ES"/>
              </w:rPr>
              <w:t xml:space="preserve">432 313 </w:t>
            </w:r>
          </w:p>
        </w:tc>
      </w:tr>
      <w:tr w:rsidR="00457302" w:rsidRPr="000B28CE" w:rsidTr="00457302">
        <w:trPr>
          <w:trHeight w:val="316"/>
          <w:jc w:val="center"/>
        </w:trPr>
        <w:tc>
          <w:tcPr>
            <w:tcW w:w="0" w:type="auto"/>
            <w:tcBorders>
              <w:top w:val="single" w:sz="12" w:space="0" w:color="auto"/>
              <w:left w:val="nil"/>
              <w:bottom w:val="single" w:sz="12" w:space="0" w:color="auto"/>
              <w:right w:val="nil"/>
            </w:tcBorders>
            <w:shd w:val="clear" w:color="auto" w:fill="BDD6EE" w:themeFill="accent5" w:themeFillTint="66"/>
            <w:vAlign w:val="center"/>
          </w:tcPr>
          <w:p w:rsidR="00457302" w:rsidRPr="000B28CE" w:rsidRDefault="00457302" w:rsidP="00060076">
            <w:pPr>
              <w:widowControl w:val="0"/>
              <w:autoSpaceDE w:val="0"/>
              <w:autoSpaceDN w:val="0"/>
              <w:adjustRightInd w:val="0"/>
              <w:spacing w:after="0" w:line="240" w:lineRule="auto"/>
              <w:rPr>
                <w:rFonts w:eastAsia="Times New Roman" w:cs="Times New Roman"/>
                <w:b/>
                <w:color w:val="000000" w:themeColor="text1"/>
                <w:sz w:val="18"/>
                <w:szCs w:val="24"/>
                <w:lang w:val="es-ES"/>
              </w:rPr>
            </w:pPr>
            <w:r w:rsidRPr="000B28CE">
              <w:rPr>
                <w:rFonts w:eastAsia="Times New Roman" w:cs="Times New Roman"/>
                <w:b/>
                <w:color w:val="000000" w:themeColor="text1"/>
                <w:sz w:val="18"/>
                <w:szCs w:val="24"/>
                <w:lang w:val="es-ES"/>
              </w:rPr>
              <w:t xml:space="preserve">Total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2 747 786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2 801 341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3 188 288 </w:t>
            </w:r>
          </w:p>
        </w:tc>
        <w:tc>
          <w:tcPr>
            <w:tcW w:w="0" w:type="auto"/>
            <w:tcBorders>
              <w:top w:val="single" w:sz="12" w:space="0" w:color="auto"/>
              <w:left w:val="nil"/>
              <w:bottom w:val="single" w:sz="12"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8 737 415 </w:t>
            </w:r>
          </w:p>
        </w:tc>
      </w:tr>
      <w:tr w:rsidR="00457302" w:rsidRPr="000B28CE" w:rsidTr="00060076">
        <w:trPr>
          <w:trHeight w:val="316"/>
          <w:jc w:val="center"/>
        </w:trPr>
        <w:tc>
          <w:tcPr>
            <w:tcW w:w="0" w:type="auto"/>
            <w:tcBorders>
              <w:top w:val="single" w:sz="12" w:space="0" w:color="auto"/>
              <w:left w:val="nil"/>
              <w:bottom w:val="single" w:sz="12" w:space="0" w:color="auto"/>
              <w:right w:val="nil"/>
            </w:tcBorders>
            <w:shd w:val="clear" w:color="auto" w:fill="auto"/>
            <w:vAlign w:val="center"/>
          </w:tcPr>
          <w:p w:rsidR="00457302" w:rsidRPr="000B28CE" w:rsidRDefault="00457302" w:rsidP="00060076">
            <w:pPr>
              <w:widowControl w:val="0"/>
              <w:autoSpaceDE w:val="0"/>
              <w:autoSpaceDN w:val="0"/>
              <w:adjustRightInd w:val="0"/>
              <w:spacing w:after="0" w:line="240" w:lineRule="auto"/>
              <w:rPr>
                <w:rFonts w:eastAsia="Times New Roman" w:cs="Times New Roman"/>
                <w:color w:val="000000" w:themeColor="text1"/>
                <w:sz w:val="18"/>
                <w:szCs w:val="24"/>
                <w:lang w:val="es-ES"/>
              </w:rPr>
            </w:pPr>
            <w:r w:rsidRPr="000B28CE">
              <w:rPr>
                <w:color w:val="000000"/>
                <w:sz w:val="18"/>
                <w:szCs w:val="18"/>
                <w:lang w:val="es-ES"/>
              </w:rPr>
              <w:t>Gastos de apoyo a los programas</w:t>
            </w:r>
            <w:r w:rsidRPr="000B28CE">
              <w:rPr>
                <w:sz w:val="18"/>
                <w:szCs w:val="18"/>
                <w:lang w:val="es-ES"/>
              </w:rPr>
              <w:t xml:space="preserve"> (13%)</w:t>
            </w:r>
          </w:p>
        </w:tc>
        <w:tc>
          <w:tcPr>
            <w:tcW w:w="0" w:type="auto"/>
            <w:tcBorders>
              <w:top w:val="single" w:sz="12"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357 212 </w:t>
            </w:r>
          </w:p>
        </w:tc>
        <w:tc>
          <w:tcPr>
            <w:tcW w:w="0" w:type="auto"/>
            <w:tcBorders>
              <w:top w:val="single" w:sz="12"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364 174 </w:t>
            </w:r>
          </w:p>
        </w:tc>
        <w:tc>
          <w:tcPr>
            <w:tcW w:w="0" w:type="auto"/>
            <w:tcBorders>
              <w:top w:val="single" w:sz="12"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414 477 </w:t>
            </w:r>
          </w:p>
        </w:tc>
        <w:tc>
          <w:tcPr>
            <w:tcW w:w="0" w:type="auto"/>
            <w:tcBorders>
              <w:top w:val="single" w:sz="12" w:space="0" w:color="auto"/>
              <w:left w:val="nil"/>
              <w:bottom w:val="single" w:sz="12" w:space="0" w:color="auto"/>
              <w:right w:val="nil"/>
            </w:tcBorders>
            <w:shd w:val="clear" w:color="auto" w:fill="auto"/>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sz w:val="18"/>
                <w:szCs w:val="18"/>
                <w:lang w:val="es-ES"/>
              </w:rPr>
            </w:pPr>
            <w:r w:rsidRPr="000B28CE">
              <w:rPr>
                <w:sz w:val="18"/>
                <w:szCs w:val="18"/>
                <w:lang w:val="es-ES"/>
              </w:rPr>
              <w:t xml:space="preserve">1 135 864 </w:t>
            </w:r>
          </w:p>
        </w:tc>
      </w:tr>
      <w:tr w:rsidR="00457302" w:rsidRPr="000B28CE" w:rsidTr="00457302">
        <w:trPr>
          <w:trHeight w:val="316"/>
          <w:jc w:val="center"/>
        </w:trPr>
        <w:tc>
          <w:tcPr>
            <w:tcW w:w="0" w:type="auto"/>
            <w:tcBorders>
              <w:top w:val="single" w:sz="12" w:space="0" w:color="auto"/>
              <w:left w:val="nil"/>
              <w:bottom w:val="single" w:sz="18" w:space="0" w:color="auto"/>
              <w:right w:val="nil"/>
            </w:tcBorders>
            <w:shd w:val="clear" w:color="auto" w:fill="BDD6EE" w:themeFill="accent5" w:themeFillTint="66"/>
            <w:vAlign w:val="center"/>
          </w:tcPr>
          <w:p w:rsidR="00457302" w:rsidRPr="000B28CE" w:rsidRDefault="00457302" w:rsidP="00060076">
            <w:pPr>
              <w:widowControl w:val="0"/>
              <w:autoSpaceDE w:val="0"/>
              <w:autoSpaceDN w:val="0"/>
              <w:adjustRightInd w:val="0"/>
              <w:spacing w:after="0" w:line="240" w:lineRule="auto"/>
              <w:rPr>
                <w:rFonts w:eastAsia="Times New Roman" w:cs="Times New Roman"/>
                <w:b/>
                <w:color w:val="000000" w:themeColor="text1"/>
                <w:sz w:val="18"/>
                <w:szCs w:val="24"/>
                <w:lang w:val="es-ES"/>
              </w:rPr>
            </w:pPr>
            <w:r w:rsidRPr="000B28CE">
              <w:rPr>
                <w:b/>
                <w:color w:val="000000"/>
                <w:sz w:val="18"/>
                <w:szCs w:val="18"/>
                <w:lang w:val="es-ES"/>
              </w:rPr>
              <w:t>Total general</w:t>
            </w:r>
          </w:p>
        </w:tc>
        <w:tc>
          <w:tcPr>
            <w:tcW w:w="0" w:type="auto"/>
            <w:tcBorders>
              <w:top w:val="single" w:sz="12" w:space="0" w:color="auto"/>
              <w:left w:val="nil"/>
              <w:bottom w:val="single" w:sz="18"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3 104 998 </w:t>
            </w:r>
          </w:p>
        </w:tc>
        <w:tc>
          <w:tcPr>
            <w:tcW w:w="0" w:type="auto"/>
            <w:tcBorders>
              <w:top w:val="single" w:sz="12" w:space="0" w:color="auto"/>
              <w:left w:val="nil"/>
              <w:bottom w:val="single" w:sz="18"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3 165 516 </w:t>
            </w:r>
          </w:p>
        </w:tc>
        <w:tc>
          <w:tcPr>
            <w:tcW w:w="0" w:type="auto"/>
            <w:tcBorders>
              <w:top w:val="single" w:sz="12" w:space="0" w:color="auto"/>
              <w:left w:val="nil"/>
              <w:bottom w:val="single" w:sz="18"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3 602 765 </w:t>
            </w:r>
          </w:p>
        </w:tc>
        <w:tc>
          <w:tcPr>
            <w:tcW w:w="0" w:type="auto"/>
            <w:tcBorders>
              <w:top w:val="single" w:sz="12" w:space="0" w:color="auto"/>
              <w:left w:val="nil"/>
              <w:bottom w:val="single" w:sz="18" w:space="0" w:color="auto"/>
              <w:right w:val="nil"/>
            </w:tcBorders>
            <w:shd w:val="clear" w:color="auto" w:fill="BDD6EE" w:themeFill="accent5" w:themeFillTint="66"/>
            <w:noWrap/>
            <w:vAlign w:val="center"/>
          </w:tcPr>
          <w:p w:rsidR="00457302" w:rsidRPr="000B28CE" w:rsidRDefault="00457302" w:rsidP="00060076">
            <w:pPr>
              <w:widowControl w:val="0"/>
              <w:autoSpaceDE w:val="0"/>
              <w:autoSpaceDN w:val="0"/>
              <w:adjustRightInd w:val="0"/>
              <w:spacing w:after="0" w:line="240" w:lineRule="auto"/>
              <w:jc w:val="right"/>
              <w:rPr>
                <w:rFonts w:eastAsia="Times New Roman" w:cs="Times New Roman"/>
                <w:b/>
                <w:sz w:val="18"/>
                <w:szCs w:val="18"/>
                <w:lang w:val="es-ES"/>
              </w:rPr>
            </w:pPr>
            <w:r w:rsidRPr="000B28CE">
              <w:rPr>
                <w:b/>
                <w:sz w:val="18"/>
                <w:szCs w:val="18"/>
                <w:lang w:val="es-ES"/>
              </w:rPr>
              <w:t xml:space="preserve">9 873 279 </w:t>
            </w:r>
          </w:p>
        </w:tc>
      </w:tr>
    </w:tbl>
    <w:p w:rsidR="008B5DF7" w:rsidRPr="000B28CE" w:rsidRDefault="008B5DF7" w:rsidP="00B40E07">
      <w:pPr>
        <w:pStyle w:val="Firstnumbering1"/>
        <w:numPr>
          <w:ilvl w:val="0"/>
          <w:numId w:val="0"/>
        </w:numPr>
        <w:ind w:left="567"/>
      </w:pPr>
    </w:p>
    <w:p w:rsidR="008B5DF7" w:rsidRPr="000B28CE" w:rsidRDefault="008B5DF7" w:rsidP="00B40E07">
      <w:pPr>
        <w:pStyle w:val="Firstnumbering1"/>
        <w:numPr>
          <w:ilvl w:val="0"/>
          <w:numId w:val="0"/>
        </w:numPr>
        <w:ind w:left="567"/>
      </w:pPr>
    </w:p>
    <w:p w:rsidR="00156672" w:rsidRPr="000B28CE" w:rsidRDefault="00156672" w:rsidP="00B40E07">
      <w:pPr>
        <w:pStyle w:val="Firstnumbering1"/>
        <w:numPr>
          <w:ilvl w:val="0"/>
          <w:numId w:val="0"/>
        </w:numPr>
        <w:ind w:left="567"/>
        <w:rPr>
          <w:sz w:val="18"/>
          <w:szCs w:val="18"/>
        </w:rPr>
        <w:sectPr w:rsidR="00156672" w:rsidRPr="000B28CE" w:rsidSect="00FC469B">
          <w:headerReference w:type="first" r:id="rId23"/>
          <w:pgSz w:w="11906" w:h="16838" w:code="9"/>
          <w:pgMar w:top="1134" w:right="1134" w:bottom="1134" w:left="1134" w:header="720" w:footer="720" w:gutter="0"/>
          <w:cols w:space="720"/>
          <w:titlePg/>
          <w:docGrid w:linePitch="360"/>
        </w:sectPr>
      </w:pPr>
    </w:p>
    <w:p w:rsidR="008B5DF7" w:rsidRPr="000B28CE" w:rsidRDefault="008B5DF7" w:rsidP="00B40E07">
      <w:pPr>
        <w:pStyle w:val="Firstnumbering1"/>
        <w:numPr>
          <w:ilvl w:val="0"/>
          <w:numId w:val="0"/>
        </w:numPr>
        <w:ind w:left="567"/>
      </w:pPr>
      <w:r w:rsidRPr="000B28CE">
        <w:rPr>
          <w:sz w:val="18"/>
          <w:szCs w:val="18"/>
        </w:rPr>
        <w:t xml:space="preserve"> </w:t>
      </w:r>
    </w:p>
    <w:p w:rsidR="00156672" w:rsidRPr="000B28CE" w:rsidRDefault="00156672" w:rsidP="00156672">
      <w:pPr>
        <w:spacing w:after="0" w:line="240" w:lineRule="auto"/>
        <w:jc w:val="right"/>
        <w:rPr>
          <w:b/>
          <w:lang w:val="es-ES"/>
        </w:rPr>
      </w:pPr>
      <w:r w:rsidRPr="000B28CE">
        <w:rPr>
          <w:b/>
          <w:lang w:val="es-ES"/>
        </w:rPr>
        <w:t xml:space="preserve">ANEXO </w:t>
      </w:r>
      <w:r w:rsidR="00457302" w:rsidRPr="000B28CE">
        <w:rPr>
          <w:b/>
          <w:lang w:val="es-ES"/>
        </w:rPr>
        <w:t>4</w:t>
      </w:r>
      <w:r w:rsidRPr="000B28CE">
        <w:rPr>
          <w:b/>
          <w:lang w:val="es-ES"/>
        </w:rPr>
        <w:t xml:space="preserve"> (A)</w:t>
      </w:r>
    </w:p>
    <w:p w:rsidR="00156672" w:rsidRPr="000B28CE" w:rsidRDefault="00156672" w:rsidP="008B1E53">
      <w:pPr>
        <w:spacing w:after="0" w:line="240" w:lineRule="auto"/>
        <w:jc w:val="center"/>
        <w:rPr>
          <w:b/>
          <w:lang w:val="es-ES"/>
        </w:rPr>
      </w:pPr>
    </w:p>
    <w:p w:rsidR="008B5DF7" w:rsidRPr="000B28CE" w:rsidRDefault="008B1E53" w:rsidP="008B1E53">
      <w:pPr>
        <w:spacing w:after="0" w:line="240" w:lineRule="auto"/>
        <w:jc w:val="center"/>
        <w:rPr>
          <w:b/>
          <w:lang w:val="es-ES"/>
        </w:rPr>
      </w:pPr>
      <w:r w:rsidRPr="000B28CE">
        <w:rPr>
          <w:b/>
          <w:lang w:val="es-ES"/>
        </w:rPr>
        <w:t>ESCALA DE CUOTAS PARA EL TRIENIO 2021 – 2023 PRESUPUESTO</w:t>
      </w:r>
    </w:p>
    <w:p w:rsidR="008B1E53" w:rsidRPr="000B28CE" w:rsidRDefault="008B1E53" w:rsidP="008B1E53">
      <w:pPr>
        <w:spacing w:after="0" w:line="240" w:lineRule="auto"/>
        <w:jc w:val="center"/>
        <w:rPr>
          <w:b/>
          <w:lang w:val="es-ES"/>
        </w:rPr>
      </w:pPr>
      <w:r w:rsidRPr="000B28CE">
        <w:rPr>
          <w:b/>
          <w:lang w:val="es-ES"/>
        </w:rPr>
        <w:t>Basado en la escala de contribuciones de la ONU</w:t>
      </w:r>
    </w:p>
    <w:p w:rsidR="008B1E53" w:rsidRPr="000B28CE" w:rsidRDefault="008B1E53" w:rsidP="008B1E53">
      <w:pPr>
        <w:spacing w:after="0" w:line="240" w:lineRule="auto"/>
        <w:jc w:val="center"/>
        <w:rPr>
          <w:rFonts w:cs="Arial"/>
          <w:b/>
          <w:sz w:val="18"/>
          <w:szCs w:val="18"/>
          <w:lang w:val="es-ES"/>
        </w:rPr>
      </w:pPr>
      <w:r w:rsidRPr="000B28CE">
        <w:rPr>
          <w:rFonts w:cs="Arial"/>
          <w:b/>
          <w:sz w:val="18"/>
          <w:szCs w:val="18"/>
          <w:lang w:val="es-ES"/>
        </w:rPr>
        <w:t>(</w:t>
      </w:r>
      <w:r w:rsidRPr="000B28CE">
        <w:rPr>
          <w:b/>
          <w:sz w:val="18"/>
          <w:lang w:val="es-ES"/>
        </w:rPr>
        <w:t>Todas las cifras en euros</w:t>
      </w:r>
      <w:r w:rsidRPr="000B28CE">
        <w:rPr>
          <w:rFonts w:cs="Arial"/>
          <w:b/>
          <w:sz w:val="18"/>
          <w:szCs w:val="18"/>
          <w:lang w:val="es-ES"/>
        </w:rPr>
        <w:t>)</w:t>
      </w:r>
    </w:p>
    <w:p w:rsidR="00457302" w:rsidRPr="000B28CE" w:rsidRDefault="00457302" w:rsidP="008B1E53">
      <w:pPr>
        <w:spacing w:after="0" w:line="240" w:lineRule="auto"/>
        <w:jc w:val="center"/>
        <w:rPr>
          <w:b/>
          <w:lang w:val="es-ES"/>
        </w:rPr>
      </w:pPr>
    </w:p>
    <w:tbl>
      <w:tblPr>
        <w:tblW w:w="5000" w:type="pct"/>
        <w:tblInd w:w="-71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9"/>
        <w:gridCol w:w="1991"/>
        <w:gridCol w:w="955"/>
        <w:gridCol w:w="985"/>
        <w:gridCol w:w="1137"/>
        <w:gridCol w:w="1137"/>
        <w:gridCol w:w="1137"/>
        <w:gridCol w:w="1137"/>
        <w:gridCol w:w="1137"/>
        <w:gridCol w:w="1137"/>
        <w:gridCol w:w="1137"/>
        <w:gridCol w:w="1137"/>
        <w:gridCol w:w="1592"/>
      </w:tblGrid>
      <w:tr w:rsidR="00CB2E70" w:rsidRPr="000B28CE" w:rsidTr="00CB2E70">
        <w:trPr>
          <w:trHeight w:val="458"/>
          <w:tblHeader/>
        </w:trPr>
        <w:tc>
          <w:tcPr>
            <w:tcW w:w="178" w:type="pct"/>
            <w:vMerge w:val="restart"/>
            <w:shd w:val="clear" w:color="auto" w:fill="BDD6EE" w:themeFill="accent5" w:themeFillTint="66"/>
            <w:hideMark/>
          </w:tcPr>
          <w:p w:rsidR="00CB2E70" w:rsidRPr="000B28CE" w:rsidRDefault="00CB2E70" w:rsidP="00CB2E70">
            <w:pPr>
              <w:spacing w:after="0" w:line="240" w:lineRule="auto"/>
              <w:jc w:val="center"/>
              <w:rPr>
                <w:rFonts w:eastAsia="Times New Roman" w:cs="Arial"/>
                <w:sz w:val="18"/>
                <w:szCs w:val="18"/>
                <w:lang w:val="es-ES"/>
              </w:rPr>
            </w:pPr>
            <w:r w:rsidRPr="000B28CE">
              <w:rPr>
                <w:rFonts w:eastAsia="Times New Roman" w:cs="Arial"/>
                <w:b/>
                <w:bCs/>
                <w:color w:val="000000"/>
                <w:sz w:val="18"/>
                <w:szCs w:val="18"/>
                <w:lang w:val="es-ES"/>
              </w:rPr>
              <w:t>N°</w:t>
            </w:r>
          </w:p>
        </w:tc>
        <w:tc>
          <w:tcPr>
            <w:tcW w:w="657" w:type="pct"/>
            <w:vMerge w:val="restart"/>
            <w:shd w:val="clear" w:color="auto" w:fill="BDD6EE" w:themeFill="accent5" w:themeFillTint="66"/>
            <w:hideMark/>
          </w:tcPr>
          <w:p w:rsidR="00CB2E70" w:rsidRPr="000B28CE" w:rsidRDefault="00CB2E70" w:rsidP="00CB2E70">
            <w:pPr>
              <w:spacing w:after="0" w:line="240" w:lineRule="auto"/>
              <w:rPr>
                <w:rFonts w:eastAsia="Times New Roman" w:cs="Arial"/>
                <w:sz w:val="18"/>
                <w:szCs w:val="18"/>
                <w:lang w:val="es-ES"/>
              </w:rPr>
            </w:pPr>
            <w:r w:rsidRPr="000B28CE">
              <w:rPr>
                <w:rFonts w:cs="Arial"/>
                <w:b/>
                <w:bCs/>
                <w:iCs/>
                <w:sz w:val="18"/>
                <w:szCs w:val="18"/>
                <w:lang w:val="es-ES"/>
              </w:rPr>
              <w:t>Parte</w:t>
            </w:r>
            <w:r w:rsidRPr="000B28CE">
              <w:rPr>
                <w:rFonts w:eastAsia="Times New Roman" w:cs="Arial"/>
                <w:b/>
                <w:bCs/>
                <w:color w:val="000000"/>
                <w:sz w:val="18"/>
                <w:szCs w:val="18"/>
                <w:lang w:val="es-ES"/>
              </w:rPr>
              <w:t> </w:t>
            </w:r>
          </w:p>
        </w:tc>
        <w:tc>
          <w:tcPr>
            <w:tcW w:w="315" w:type="pct"/>
            <w:vMerge w:val="restart"/>
            <w:shd w:val="clear" w:color="auto" w:fill="BDD6EE" w:themeFill="accent5" w:themeFillTint="66"/>
            <w:hideMark/>
          </w:tcPr>
          <w:p w:rsidR="00CB2E70" w:rsidRPr="000B28CE" w:rsidRDefault="00CB2E70" w:rsidP="00CB2E70">
            <w:pPr>
              <w:spacing w:after="0" w:line="240" w:lineRule="auto"/>
              <w:jc w:val="center"/>
              <w:rPr>
                <w:rFonts w:eastAsia="Times New Roman" w:cs="Arial"/>
                <w:sz w:val="18"/>
                <w:szCs w:val="18"/>
                <w:lang w:val="es-ES"/>
              </w:rPr>
            </w:pPr>
            <w:r w:rsidRPr="000B28CE">
              <w:rPr>
                <w:rFonts w:cs="Arial"/>
                <w:b/>
                <w:sz w:val="18"/>
                <w:szCs w:val="18"/>
                <w:lang w:val="es-ES"/>
              </w:rPr>
              <w:t xml:space="preserve">Escala ONU para </w:t>
            </w:r>
            <w:r w:rsidRPr="000B28CE">
              <w:rPr>
                <w:rFonts w:cs="Arial"/>
                <w:b/>
                <w:bCs/>
                <w:iCs/>
                <w:sz w:val="18"/>
                <w:szCs w:val="18"/>
                <w:lang w:val="es-ES"/>
              </w:rPr>
              <w:t>2019</w:t>
            </w:r>
            <w:r w:rsidRPr="000B28CE">
              <w:rPr>
                <w:rFonts w:eastAsia="Times New Roman" w:cs="Arial"/>
                <w:b/>
                <w:bCs/>
                <w:color w:val="000000"/>
                <w:sz w:val="18"/>
                <w:szCs w:val="18"/>
                <w:lang w:val="es-ES"/>
              </w:rPr>
              <w:t>-21</w:t>
            </w:r>
          </w:p>
        </w:tc>
        <w:tc>
          <w:tcPr>
            <w:tcW w:w="325" w:type="pct"/>
            <w:vMerge w:val="restart"/>
            <w:shd w:val="clear" w:color="auto" w:fill="BDD6EE" w:themeFill="accent5" w:themeFillTint="66"/>
            <w:hideMark/>
          </w:tcPr>
          <w:p w:rsidR="00CB2E70" w:rsidRPr="000B28CE" w:rsidRDefault="00CB2E70" w:rsidP="00CB2E70">
            <w:pPr>
              <w:spacing w:after="0" w:line="240" w:lineRule="auto"/>
              <w:jc w:val="center"/>
              <w:rPr>
                <w:rFonts w:eastAsia="Times New Roman" w:cs="Arial"/>
                <w:sz w:val="18"/>
                <w:szCs w:val="18"/>
                <w:lang w:val="es-ES"/>
              </w:rPr>
            </w:pPr>
            <w:r w:rsidRPr="000B28CE">
              <w:rPr>
                <w:b/>
                <w:sz w:val="18"/>
                <w:szCs w:val="18"/>
                <w:lang w:val="es-ES"/>
              </w:rPr>
              <w:t xml:space="preserve">Escala ajustada </w:t>
            </w:r>
            <w:r w:rsidRPr="000B28CE">
              <w:rPr>
                <w:rFonts w:cs="Arial"/>
                <w:b/>
                <w:bCs/>
                <w:iCs/>
                <w:sz w:val="18"/>
                <w:szCs w:val="18"/>
                <w:lang w:val="es-ES"/>
              </w:rPr>
              <w:t>%</w:t>
            </w:r>
          </w:p>
        </w:tc>
        <w:tc>
          <w:tcPr>
            <w:tcW w:w="749" w:type="pct"/>
            <w:gridSpan w:val="2"/>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cs="Arial"/>
                <w:b/>
                <w:bCs/>
                <w:iCs/>
                <w:sz w:val="18"/>
                <w:szCs w:val="18"/>
                <w:lang w:val="es-ES"/>
              </w:rPr>
              <w:t>Escenario 1</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Nominal Cero</w:t>
            </w:r>
          </w:p>
        </w:tc>
        <w:tc>
          <w:tcPr>
            <w:tcW w:w="749" w:type="pct"/>
            <w:gridSpan w:val="2"/>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2</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Real - Cero</w:t>
            </w:r>
          </w:p>
        </w:tc>
        <w:tc>
          <w:tcPr>
            <w:tcW w:w="749" w:type="pct"/>
            <w:gridSpan w:val="2"/>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3</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Personal</w:t>
            </w:r>
          </w:p>
        </w:tc>
        <w:tc>
          <w:tcPr>
            <w:tcW w:w="750" w:type="pct"/>
            <w:gridSpan w:val="2"/>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4</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PdT</w:t>
            </w:r>
          </w:p>
        </w:tc>
        <w:tc>
          <w:tcPr>
            <w:tcW w:w="528" w:type="pct"/>
            <w:vMerge w:val="restart"/>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Contribuciones prorrateadas 2018-2020</w:t>
            </w:r>
          </w:p>
        </w:tc>
      </w:tr>
      <w:tr w:rsidR="00CB2E70" w:rsidRPr="000B28CE" w:rsidTr="00CB2E70">
        <w:trPr>
          <w:trHeight w:val="170"/>
          <w:tblHeader/>
        </w:trPr>
        <w:tc>
          <w:tcPr>
            <w:tcW w:w="178" w:type="pct"/>
            <w:vMerge/>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p>
        </w:tc>
        <w:tc>
          <w:tcPr>
            <w:tcW w:w="657" w:type="pct"/>
            <w:vMerge/>
            <w:tcBorders>
              <w:bottom w:val="single" w:sz="4" w:space="0" w:color="auto"/>
            </w:tcBorders>
            <w:shd w:val="clear" w:color="auto" w:fill="BDD6EE" w:themeFill="accent5" w:themeFillTint="66"/>
            <w:hideMark/>
          </w:tcPr>
          <w:p w:rsidR="00CB2E70" w:rsidRPr="000B28CE" w:rsidRDefault="00CB2E70" w:rsidP="00CB2E70">
            <w:pPr>
              <w:spacing w:after="0" w:line="240" w:lineRule="auto"/>
              <w:rPr>
                <w:rFonts w:eastAsia="Times New Roman" w:cs="Arial"/>
                <w:b/>
                <w:bCs/>
                <w:color w:val="000000"/>
                <w:sz w:val="18"/>
                <w:szCs w:val="18"/>
                <w:lang w:val="es-ES"/>
              </w:rPr>
            </w:pPr>
          </w:p>
        </w:tc>
        <w:tc>
          <w:tcPr>
            <w:tcW w:w="315" w:type="pct"/>
            <w:vMerge/>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p>
        </w:tc>
        <w:tc>
          <w:tcPr>
            <w:tcW w:w="325" w:type="pct"/>
            <w:vMerge/>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r w:rsidRPr="000B28CE">
              <w:rPr>
                <w:rFonts w:eastAsia="Times New Roman" w:cs="Arial"/>
                <w:b/>
                <w:bCs/>
                <w:color w:val="000000"/>
                <w:sz w:val="18"/>
                <w:szCs w:val="18"/>
                <w:lang w:val="es-ES"/>
              </w:rPr>
              <w:t xml:space="preserve"> l</w:t>
            </w: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375" w:type="pct"/>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528" w:type="pct"/>
            <w:vMerge/>
            <w:tcBorders>
              <w:bottom w:val="single" w:sz="4" w:space="0" w:color="auto"/>
            </w:tcBorders>
            <w:shd w:val="clear" w:color="auto" w:fill="BDD6EE" w:themeFill="accent5" w:themeFillTint="66"/>
            <w:hideMark/>
          </w:tcPr>
          <w:p w:rsidR="00CB2E70" w:rsidRPr="000B28CE" w:rsidRDefault="00CB2E70" w:rsidP="00CB2E70">
            <w:pPr>
              <w:spacing w:after="0" w:line="240" w:lineRule="auto"/>
              <w:jc w:val="center"/>
              <w:rPr>
                <w:rFonts w:eastAsia="Times New Roman" w:cs="Arial"/>
                <w:b/>
                <w:bCs/>
                <w:color w:val="000000"/>
                <w:sz w:val="18"/>
                <w:szCs w:val="18"/>
                <w:lang w:val="es-ES"/>
              </w:rPr>
            </w:pP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Afganistán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1 278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Albania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1 461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1 720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Algéria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0.138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25 202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8 401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26 324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8 775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29 670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9 890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30 508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10 169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27 678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Angola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Antigua y Barbuda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Argentina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0.915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2.0488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167 103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55 701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174 543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58 181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196 726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65 575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202 283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67 428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153 349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Armenia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1 278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Australia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2.210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4.9484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403 605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134 535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421 573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140 524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475 153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158 384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488 574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162 858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401 767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Austria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0.677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1.5159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123 638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41 213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129 142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43 047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145 556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48 519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149 667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49 889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123 779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Bangladesh</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Belarús</w:t>
            </w:r>
            <w:r w:rsidRPr="000B28CE">
              <w:rPr>
                <w:rFonts w:eastAsia="Times New Roman" w:cs="Arial"/>
                <w:color w:val="000000"/>
                <w:sz w:val="18"/>
                <w:szCs w:val="18"/>
                <w:lang w:val="es-ES"/>
              </w:rPr>
              <w:t xml:space="preserve"> 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0.049</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0.1097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8 949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9 347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3 116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10 535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3 512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10 833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3 611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9 627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Bélgica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0.821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1.8383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149 937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49 979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156 611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52 204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176 516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58 839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181 502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60 501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152 145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Benín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Bolivia (Estado plurinacional de)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3 052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3 440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3 537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1 179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2 063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Bosnia y Herzegovina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2 192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2 580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2 653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2 235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Brasil</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2.948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6.6009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538 384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179 461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562 352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187 451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633 825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211 275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651 726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217 242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657 233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Bulgaria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8 401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2 800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8 775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9 890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3 297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10 169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3 390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7 736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Burkina Faso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Burundí</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Cabo Verde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Camerún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2 374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958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Chad</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Chile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0.407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0.9113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74 329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24 776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77 638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25 879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87 506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29 169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89 977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29 992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68 594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Congo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Islas Cook</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Costa Rica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0.1388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11 323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3 774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11 827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3 942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13 330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4 443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13 707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4 569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8 080</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Côte d’Ivoire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2 374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958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Croacia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14 062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4 687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14 688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16 555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5 518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17 023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5 674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17 020</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Cuba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14 610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15 261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5 087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17 200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5 733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17 686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5 895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11 175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Chipre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6 575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2 192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6 867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7 740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2 580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7 959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2 653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7 392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República Checa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0.311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0.6964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56 797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18 932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59 325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19 775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66 865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22 288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68 754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22 918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59 139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República Democrática del Congo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Dinamarca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0.554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1.2405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101 175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33 725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105 679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35 226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119 111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39 704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122 475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40 825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100 399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Djibouti</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República Domínicana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0.1187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9 679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3 226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10 110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11 395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3 798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3 906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7 908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Ecuador</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14 610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15 261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5 087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17 200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5 733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17 686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5 895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11 518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Egipto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0.186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0.4165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33 969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11 323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35 481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11 827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39 990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13 330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41 120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13 707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26 131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Guinea Ecuatorial</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3 052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3 440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3 537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1 179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Eritrea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Estonia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0.039</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0.0873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2 374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7 440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8 385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8 622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6 533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Eswatini</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Etiopía</w:t>
            </w:r>
            <w:r w:rsidRPr="000B28CE">
              <w:rPr>
                <w:rFonts w:eastAsia="Times New Roman" w:cs="Arial"/>
                <w:color w:val="000000"/>
                <w:sz w:val="18"/>
                <w:szCs w:val="18"/>
                <w:lang w:val="es-ES"/>
              </w:rPr>
              <w:t xml:space="preserve"> 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Unión Europea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2.5000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203 905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67 968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212 983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70 994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240 052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80 017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246 832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82 277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203 905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Fiji</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Finlandia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0.421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0.9427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76 886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25 629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80 309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26 770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90 516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30 172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93 072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31 024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78 393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Francia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4.427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9.9126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808 488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269 496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844 481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281 494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951 812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317 271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978 695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326 232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835 338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Gabón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2 739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3 225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3 316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1 105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2 923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Gambia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Georgia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1 461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1 720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Alemania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6.090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13.6362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1 112 197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370 732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1 161 710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387 237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1 309 359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436 453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1 346 341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448 780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1 098 368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Ghana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2 739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3 225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3 316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1 105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2 751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Grecia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0.366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0.8195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66 841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22 280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69 817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23 272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78 691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26 230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80 913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26 971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80 972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Guinea-Bissau</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Honduras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1 644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Hungría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0.206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0.4613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37 621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12 540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39 296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13 099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44 290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45 541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15 180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27 678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India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0.834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1.8674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152 311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50 770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159 091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53 030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179 311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59 770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184 376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61 459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126 702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Irán (República Islámica del</w:t>
            </w:r>
            <w:r w:rsidRPr="000B28CE">
              <w:rPr>
                <w:rFonts w:eastAsia="Times New Roman" w:cs="Arial"/>
                <w:color w:val="000000"/>
                <w:sz w:val="18"/>
                <w:szCs w:val="18"/>
                <w:lang w:val="es-ES"/>
              </w:rPr>
              <w:t>)</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0.398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0.8912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72 685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24 228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75 921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25 307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85 571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28 524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87 987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29 329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80 972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Iraq</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0.129</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0.2888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23 559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7 853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24 608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8 203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27 735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9 245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28 519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9 506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22 177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Irlanda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0.371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0.8307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67 755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22 585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70 771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23 590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79 766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26 589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82 018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27 339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57 592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Israel</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0.490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1.0972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89 487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29 829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93 471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31 157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105 351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35 117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108 326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36 109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73 924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Italia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3.307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7.4048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603 946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201 315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630 833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210 278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711 010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237 003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731 092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243 697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644 339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Jordania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3 835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1 278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4 006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4 515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4 643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3 438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Kazajstán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0.3986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32 508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10 836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33 955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11 318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38 270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12 757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39 351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13 117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32 836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Kenya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4 383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1 461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4 578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5 160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1 720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5 306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1 769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3 094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Kirguistán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Letonia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0.1052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8 583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8 966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10 105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3 368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10 390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3 463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8 596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w:t>
            </w:r>
            <w:r w:rsidR="000B28CE">
              <w:rPr>
                <w:rFonts w:eastAsia="Times New Roman" w:cs="Arial"/>
                <w:color w:val="000000"/>
                <w:sz w:val="18"/>
                <w:szCs w:val="18"/>
                <w:lang w:val="es-ES"/>
              </w:rPr>
              <w:t>Í</w:t>
            </w:r>
            <w:r w:rsidRPr="000B28CE">
              <w:rPr>
                <w:rFonts w:eastAsia="Times New Roman" w:cs="Arial"/>
                <w:color w:val="000000"/>
                <w:sz w:val="18"/>
                <w:szCs w:val="18"/>
                <w:lang w:val="es-ES"/>
              </w:rPr>
              <w:t>bano*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0.1052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8 583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8 966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10 105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3 368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10 390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3 463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Liberia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Libia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5 479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5 723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6 450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6 632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2 211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21 489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Liechtenstein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1 644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1 203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Lituania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12 966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4 322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13 544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4 515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15 265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5 088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15 696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5 232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12 378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Luxemburgo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0.1500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12 236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4 079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12 781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4 260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14 405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14 812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4 937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11 003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Madagascar</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Malawi*</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Maldivas*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Mali</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Malta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0.0381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3 105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3 243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1 081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3 655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1 218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3 758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1 253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2 751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Mauritania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Mauricio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699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811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2 063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Mónaco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699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811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Mongolia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304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Montenegro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Marruecos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10 044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10 492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3 497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11 825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3 942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12 159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4 053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9 283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Mozambique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Países Bajos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1.356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3.0362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247 642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82 547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258 666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86 222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291 542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97 181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299 776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99 925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254 779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Nueva Zelandia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0.291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0.6516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53 144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17 715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55 510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18 503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62 565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20 855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64 333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21 444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46 073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Níger</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Nigeria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0.250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0.5598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45 657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15 219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47 689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15 896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53 750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17 917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55 269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18 423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35 930</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Macedonia del Norte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1 278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1 203</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Noruega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0.754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1.6883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137 701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45 900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143 831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47 944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162 111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54 037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166 690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55 563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145 956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Paquistán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0.115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0.2575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21 002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7 001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21 937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7 312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24 725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8 242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25 424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8 475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15 988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Palau</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Panamá</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8 218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2 739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8 584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9 675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3 225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9 948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3 316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5 845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Paraguay</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3 052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3 440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3 537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1 179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2 407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Perú</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0.3403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27 759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9 253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28 995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9 665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32 680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10 893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33 603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11 201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23 381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Filipinas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0.205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0.4590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37 438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12 479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39 105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13 035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44 075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14 692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45 320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15 107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28 366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Polonia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1.7958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146 467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48 822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152 987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50 996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172 431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57 477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177 301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59 100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144 581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Portugal</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0.350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0.7837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63 919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21 306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66 765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22 255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75 251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25 084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77 376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25 792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67 391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Republica de Moldova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Rumania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0.198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0.4433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36 160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12 053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37 770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12 590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42 570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14 190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43 773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14 591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31 632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Rwanda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Samoa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Santo Tome y Príncipe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Arabia Saudita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1.172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2.6242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214 038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71 346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223 567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74 522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251 982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83 994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259 099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86 366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197 015</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Senegal</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1 278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Serbia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5 114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5 341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6 020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2 007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6 190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2 063</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5 501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Seychelles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Eslovaquia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0.153</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0.3426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27 942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9 314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29 186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9 729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32 895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10 965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33 824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11 275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27 506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Eslovenia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13 880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4 627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14 498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16 340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5 447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16 802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5 601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14 441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Somalia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Sudáfrica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0.272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49 674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16 558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51 886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17 295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58 480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19 493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60 132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20 044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62 577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España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2.146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4.8051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391 917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130 639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409 364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136 455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461 393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153 798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474 425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158 142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419 990</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Sri Lanka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0.0985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8 036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2 679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8 393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9 460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3 153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9 727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3 242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5 329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Suecia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0.906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2.0286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165 460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55 153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57 609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194 791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64 930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200 293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66 764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164 351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Suiza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1.151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2.5772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210 203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70 068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219 561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73 187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247 467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82 489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254 456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84 819</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195 984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República Árabe Siria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699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788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811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4 126</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Tayikistán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884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295</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Togo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Trinidad y Tobago*</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7 305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7 630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2 543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8 600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2 867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8 843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2 948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121</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Túnez</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4 566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1 522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4 769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1 590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5 375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1 792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5 527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1 842</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4 814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122</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Uganda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1 461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1 720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123</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Ucrania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0.1276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10 410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3 470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10 873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3 624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12 255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4 085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12 601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4 200</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17 707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124</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Emiratos Árabes Unidos</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0.616</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1.3793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112 498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37 499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117 506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39 169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132 441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44 147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136 182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45 394</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103 837</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125</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Reino Unido de Gran Bretaña e Irlanda del Norte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4.567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10.2260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834 056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278 019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871 187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290 396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981 912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327 304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1 009 645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336 548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767 259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126</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cs="Arial"/>
                <w:sz w:val="18"/>
                <w:szCs w:val="18"/>
                <w:lang w:val="es-ES"/>
              </w:rPr>
              <w:t>República Unida de Tanzanía</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127</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Uruguay</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0.087</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0.1948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15 889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5 296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16 596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5 532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18 705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6 235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19 233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6 411</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13 581</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128</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Uzbekistán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0.032</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5 844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1 948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6 104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2 035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6 880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2 293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7 074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2 358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3 954</w:t>
            </w:r>
          </w:p>
        </w:tc>
      </w:tr>
      <w:tr w:rsidR="00CB2E70" w:rsidRPr="000B28CE" w:rsidTr="00060076">
        <w:trPr>
          <w:trHeight w:val="255"/>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129</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Yemen</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1 826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609</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1 908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636</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2 150</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717</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2 211</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737</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CB2E70" w:rsidRPr="000B28CE" w:rsidTr="00060076">
        <w:trPr>
          <w:trHeight w:val="270"/>
        </w:trPr>
        <w:tc>
          <w:tcPr>
            <w:tcW w:w="178"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130</w:t>
            </w:r>
          </w:p>
        </w:tc>
        <w:tc>
          <w:tcPr>
            <w:tcW w:w="657" w:type="pct"/>
            <w:shd w:val="clear" w:color="auto" w:fill="auto"/>
            <w:vAlign w:val="center"/>
            <w:hideMark/>
          </w:tcPr>
          <w:p w:rsidR="00CB2E70" w:rsidRPr="000B28CE" w:rsidRDefault="00CB2E70" w:rsidP="00CB2E70">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Zimbabwe</w:t>
            </w:r>
          </w:p>
        </w:tc>
        <w:tc>
          <w:tcPr>
            <w:tcW w:w="31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0.005</w:t>
            </w:r>
          </w:p>
        </w:tc>
        <w:tc>
          <w:tcPr>
            <w:tcW w:w="325" w:type="pct"/>
            <w:shd w:val="clear" w:color="auto" w:fill="auto"/>
            <w:vAlign w:val="center"/>
            <w:hideMark/>
          </w:tcPr>
          <w:p w:rsidR="00CB2E70" w:rsidRPr="000B28CE" w:rsidRDefault="00CB2E70" w:rsidP="00CB2E70">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0.0112</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913</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304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954</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1 075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358</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1 105</w:t>
            </w:r>
          </w:p>
        </w:tc>
        <w:tc>
          <w:tcPr>
            <w:tcW w:w="375"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368</w:t>
            </w:r>
          </w:p>
        </w:tc>
        <w:tc>
          <w:tcPr>
            <w:tcW w:w="528" w:type="pct"/>
            <w:shd w:val="clear" w:color="auto" w:fill="auto"/>
            <w:vAlign w:val="center"/>
            <w:hideMark/>
          </w:tcPr>
          <w:p w:rsidR="00CB2E70" w:rsidRPr="000B28CE" w:rsidRDefault="00CB2E70" w:rsidP="00CB2E70">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CB2E70" w:rsidRPr="000B28CE" w:rsidTr="003E7725">
        <w:trPr>
          <w:trHeight w:val="270"/>
        </w:trPr>
        <w:tc>
          <w:tcPr>
            <w:tcW w:w="178" w:type="pct"/>
            <w:shd w:val="clear" w:color="auto" w:fill="BDD6EE" w:themeFill="accent5" w:themeFillTint="66"/>
            <w:vAlign w:val="center"/>
            <w:hideMark/>
          </w:tcPr>
          <w:p w:rsidR="00CB2E70" w:rsidRPr="000B28CE" w:rsidRDefault="00CB2E70" w:rsidP="00CB2E70">
            <w:pPr>
              <w:spacing w:after="0" w:line="240" w:lineRule="auto"/>
              <w:rPr>
                <w:rFonts w:eastAsia="Times New Roman" w:cs="Arial"/>
                <w:b/>
                <w:bCs/>
                <w:color w:val="000000"/>
                <w:sz w:val="18"/>
                <w:szCs w:val="18"/>
                <w:lang w:val="es-ES"/>
              </w:rPr>
            </w:pPr>
          </w:p>
        </w:tc>
        <w:tc>
          <w:tcPr>
            <w:tcW w:w="657" w:type="pct"/>
            <w:shd w:val="clear" w:color="auto" w:fill="BDD6EE" w:themeFill="accent5" w:themeFillTint="66"/>
            <w:vAlign w:val="center"/>
            <w:hideMark/>
          </w:tcPr>
          <w:p w:rsidR="00CB2E70" w:rsidRPr="000B28CE" w:rsidRDefault="00CB2E70" w:rsidP="00CB2E70">
            <w:pPr>
              <w:spacing w:after="0" w:line="240" w:lineRule="auto"/>
              <w:rPr>
                <w:rFonts w:eastAsia="Times New Roman" w:cs="Arial"/>
                <w:b/>
                <w:bCs/>
                <w:color w:val="000000"/>
                <w:sz w:val="18"/>
                <w:szCs w:val="18"/>
                <w:lang w:val="es-ES"/>
              </w:rPr>
            </w:pPr>
            <w:r w:rsidRPr="000B28CE">
              <w:rPr>
                <w:rFonts w:eastAsia="Times New Roman" w:cs="Arial"/>
                <w:b/>
                <w:bCs/>
                <w:color w:val="000000"/>
                <w:sz w:val="18"/>
                <w:szCs w:val="18"/>
                <w:lang w:val="es-ES"/>
              </w:rPr>
              <w:t>Total</w:t>
            </w:r>
          </w:p>
        </w:tc>
        <w:tc>
          <w:tcPr>
            <w:tcW w:w="315" w:type="pct"/>
            <w:shd w:val="clear" w:color="auto" w:fill="BDD6EE" w:themeFill="accent5" w:themeFillTint="66"/>
            <w:vAlign w:val="center"/>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43.544</w:t>
            </w:r>
          </w:p>
        </w:tc>
        <w:tc>
          <w:tcPr>
            <w:tcW w:w="325" w:type="pct"/>
            <w:shd w:val="clear" w:color="auto" w:fill="BDD6EE" w:themeFill="accent5" w:themeFillTint="66"/>
            <w:vAlign w:val="center"/>
            <w:hideMark/>
          </w:tcPr>
          <w:p w:rsidR="00CB2E70" w:rsidRPr="000B28CE" w:rsidRDefault="00CB2E70" w:rsidP="00CB2E70">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100</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8 156 202</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2 718 734</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8 519 304</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2 839 768</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9 602 079</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3 200 693</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9 873 279</w:t>
            </w:r>
          </w:p>
        </w:tc>
        <w:tc>
          <w:tcPr>
            <w:tcW w:w="375"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3 291 093</w:t>
            </w:r>
          </w:p>
        </w:tc>
        <w:tc>
          <w:tcPr>
            <w:tcW w:w="528" w:type="pct"/>
            <w:shd w:val="clear" w:color="auto" w:fill="BDD6EE" w:themeFill="accent5" w:themeFillTint="66"/>
            <w:vAlign w:val="center"/>
            <w:hideMark/>
          </w:tcPr>
          <w:p w:rsidR="00CB2E70" w:rsidRPr="000B28CE" w:rsidRDefault="00CB2E70" w:rsidP="00CB2E70">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8 156 202</w:t>
            </w:r>
          </w:p>
        </w:tc>
      </w:tr>
    </w:tbl>
    <w:p w:rsidR="008B5DF7" w:rsidRPr="000B28CE" w:rsidRDefault="008B5DF7" w:rsidP="008B5DF7">
      <w:pPr>
        <w:spacing w:before="120"/>
        <w:rPr>
          <w:sz w:val="20"/>
          <w:szCs w:val="20"/>
          <w:lang w:val="es-ES"/>
        </w:rPr>
      </w:pPr>
      <w:bookmarkStart w:id="3" w:name="_Hlk27474353"/>
      <w:r w:rsidRPr="000B28CE">
        <w:rPr>
          <w:sz w:val="20"/>
          <w:szCs w:val="20"/>
          <w:lang w:val="es-ES"/>
        </w:rPr>
        <w:t xml:space="preserve">* </w:t>
      </w:r>
      <w:r w:rsidR="00EB2C71" w:rsidRPr="000B28CE">
        <w:rPr>
          <w:sz w:val="20"/>
          <w:szCs w:val="20"/>
          <w:lang w:val="es-ES"/>
        </w:rPr>
        <w:t xml:space="preserve">Países que han accedido a la Convención después del </w:t>
      </w:r>
      <w:r w:rsidRPr="000B28CE">
        <w:rPr>
          <w:sz w:val="20"/>
          <w:szCs w:val="20"/>
          <w:lang w:val="es-ES"/>
        </w:rPr>
        <w:t xml:space="preserve">1 </w:t>
      </w:r>
      <w:r w:rsidR="00EB2C71" w:rsidRPr="000B28CE">
        <w:rPr>
          <w:sz w:val="20"/>
          <w:szCs w:val="20"/>
          <w:lang w:val="es-ES"/>
        </w:rPr>
        <w:t>de enero</w:t>
      </w:r>
      <w:r w:rsidRPr="000B28CE">
        <w:rPr>
          <w:sz w:val="20"/>
          <w:szCs w:val="20"/>
          <w:lang w:val="es-ES"/>
        </w:rPr>
        <w:t xml:space="preserve"> 2018</w:t>
      </w:r>
      <w:bookmarkEnd w:id="3"/>
      <w:r w:rsidRPr="000B28CE">
        <w:rPr>
          <w:sz w:val="20"/>
          <w:szCs w:val="20"/>
          <w:lang w:val="es-ES"/>
        </w:rPr>
        <w:tab/>
      </w:r>
    </w:p>
    <w:p w:rsidR="00AA582B" w:rsidRPr="000B28CE" w:rsidRDefault="00AA582B" w:rsidP="008B5DF7">
      <w:pPr>
        <w:spacing w:before="120"/>
        <w:rPr>
          <w:lang w:val="es-ES"/>
        </w:rPr>
        <w:sectPr w:rsidR="00AA582B" w:rsidRPr="000B28CE" w:rsidSect="00CB2E70">
          <w:headerReference w:type="even" r:id="rId24"/>
          <w:headerReference w:type="default" r:id="rId25"/>
          <w:headerReference w:type="first" r:id="rId26"/>
          <w:pgSz w:w="16838" w:h="11906" w:orient="landscape" w:code="9"/>
          <w:pgMar w:top="1134" w:right="536" w:bottom="1134" w:left="1134" w:header="720" w:footer="720" w:gutter="0"/>
          <w:cols w:space="720"/>
          <w:titlePg/>
          <w:docGrid w:linePitch="360"/>
        </w:sectPr>
      </w:pPr>
    </w:p>
    <w:p w:rsidR="008B5DF7" w:rsidRPr="000B28CE" w:rsidRDefault="008B5DF7" w:rsidP="00EB2C71">
      <w:pPr>
        <w:spacing w:after="0" w:line="240" w:lineRule="auto"/>
        <w:jc w:val="right"/>
        <w:rPr>
          <w:rFonts w:cs="Arial"/>
          <w:b/>
          <w:caps/>
          <w:lang w:val="es-ES"/>
        </w:rPr>
      </w:pPr>
      <w:r w:rsidRPr="000B28CE">
        <w:rPr>
          <w:rFonts w:cs="Arial"/>
          <w:b/>
          <w:caps/>
          <w:lang w:val="es-ES"/>
        </w:rPr>
        <w:t>Anex</w:t>
      </w:r>
      <w:r w:rsidR="008B1E53" w:rsidRPr="000B28CE">
        <w:rPr>
          <w:rFonts w:cs="Arial"/>
          <w:b/>
          <w:caps/>
          <w:lang w:val="es-ES"/>
        </w:rPr>
        <w:t>O</w:t>
      </w:r>
      <w:r w:rsidRPr="000B28CE">
        <w:rPr>
          <w:rFonts w:cs="Arial"/>
          <w:b/>
          <w:caps/>
          <w:lang w:val="es-ES"/>
        </w:rPr>
        <w:t xml:space="preserve"> </w:t>
      </w:r>
      <w:r w:rsidR="001B0BB6" w:rsidRPr="000B28CE">
        <w:rPr>
          <w:rFonts w:cs="Arial"/>
          <w:b/>
          <w:caps/>
          <w:lang w:val="es-ES"/>
        </w:rPr>
        <w:t>4</w:t>
      </w:r>
      <w:r w:rsidRPr="000B28CE">
        <w:rPr>
          <w:rFonts w:cs="Arial"/>
          <w:b/>
          <w:caps/>
          <w:lang w:val="es-ES"/>
        </w:rPr>
        <w:t xml:space="preserve"> (B)</w:t>
      </w:r>
    </w:p>
    <w:p w:rsidR="008B5DF7" w:rsidRPr="000B28CE" w:rsidRDefault="008B5DF7" w:rsidP="00EB2C71">
      <w:pPr>
        <w:spacing w:after="0" w:line="240" w:lineRule="auto"/>
        <w:jc w:val="right"/>
        <w:rPr>
          <w:rFonts w:cs="Arial"/>
          <w:lang w:val="es-ES"/>
        </w:rPr>
      </w:pPr>
    </w:p>
    <w:p w:rsidR="008B1E53" w:rsidRPr="000B28CE" w:rsidRDefault="008B1E53" w:rsidP="00EB2C71">
      <w:pPr>
        <w:spacing w:after="0" w:line="240" w:lineRule="auto"/>
        <w:jc w:val="center"/>
        <w:rPr>
          <w:b/>
          <w:lang w:val="es-ES"/>
        </w:rPr>
      </w:pPr>
      <w:r w:rsidRPr="000B28CE">
        <w:rPr>
          <w:b/>
          <w:lang w:val="es-ES"/>
        </w:rPr>
        <w:t>ESCALA DE CUOTAS PARA EL TRIENIO 2021 – 2023 PRESUPUESTO</w:t>
      </w:r>
    </w:p>
    <w:p w:rsidR="008B1E53" w:rsidRPr="000B28CE" w:rsidRDefault="008B1E53" w:rsidP="00EB2C71">
      <w:pPr>
        <w:spacing w:after="0" w:line="240" w:lineRule="auto"/>
        <w:jc w:val="center"/>
        <w:rPr>
          <w:b/>
          <w:lang w:val="es-ES"/>
        </w:rPr>
      </w:pPr>
      <w:bookmarkStart w:id="6" w:name="_Hlk27476844"/>
      <w:r w:rsidRPr="000B28CE">
        <w:rPr>
          <w:b/>
          <w:lang w:val="es-ES"/>
        </w:rPr>
        <w:t>Basado en la escala de contribuciones de la ONU</w:t>
      </w:r>
      <w:r w:rsidR="001B0BB6" w:rsidRPr="000B28CE">
        <w:rPr>
          <w:lang w:val="es-ES"/>
        </w:rPr>
        <w:t xml:space="preserve"> </w:t>
      </w:r>
      <w:r w:rsidR="001B0BB6" w:rsidRPr="000B28CE">
        <w:rPr>
          <w:b/>
          <w:lang w:val="es-ES"/>
        </w:rPr>
        <w:t>teniendo en cuenta una contribución mínima de 1.000 euros al año</w:t>
      </w:r>
    </w:p>
    <w:p w:rsidR="008B5DF7" w:rsidRPr="000B28CE" w:rsidRDefault="008B1E53" w:rsidP="00EB2C71">
      <w:pPr>
        <w:spacing w:after="0" w:line="240" w:lineRule="auto"/>
        <w:jc w:val="center"/>
        <w:rPr>
          <w:b/>
          <w:sz w:val="18"/>
          <w:lang w:val="es-ES"/>
        </w:rPr>
      </w:pPr>
      <w:r w:rsidRPr="000B28CE">
        <w:rPr>
          <w:rFonts w:cs="Arial"/>
          <w:b/>
          <w:sz w:val="18"/>
          <w:szCs w:val="18"/>
          <w:lang w:val="es-ES"/>
        </w:rPr>
        <w:t>(</w:t>
      </w:r>
      <w:r w:rsidRPr="000B28CE">
        <w:rPr>
          <w:b/>
          <w:sz w:val="18"/>
          <w:lang w:val="es-ES"/>
        </w:rPr>
        <w:t>Todas las cifras en euros</w:t>
      </w:r>
    </w:p>
    <w:p w:rsidR="001B0BB6" w:rsidRPr="000B28CE" w:rsidRDefault="001B0BB6" w:rsidP="00EB2C71">
      <w:pPr>
        <w:spacing w:after="0" w:line="240" w:lineRule="auto"/>
        <w:jc w:val="center"/>
        <w:rPr>
          <w:b/>
          <w:sz w:val="18"/>
          <w:lang w:val="es-ES"/>
        </w:rPr>
      </w:pPr>
    </w:p>
    <w:bookmarkEnd w:id="6"/>
    <w:p w:rsidR="001B0BB6" w:rsidRPr="000B28CE" w:rsidRDefault="001B0BB6" w:rsidP="001B0BB6">
      <w:pPr>
        <w:widowControl w:val="0"/>
        <w:autoSpaceDE w:val="0"/>
        <w:autoSpaceDN w:val="0"/>
        <w:adjustRightInd w:val="0"/>
        <w:spacing w:after="0" w:line="240" w:lineRule="auto"/>
        <w:rPr>
          <w:rFonts w:eastAsia="Times New Roman" w:cs="Times New Roman"/>
          <w:sz w:val="18"/>
          <w:szCs w:val="24"/>
          <w:lang w:val="es-ES"/>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1898"/>
        <w:gridCol w:w="996"/>
        <w:gridCol w:w="987"/>
        <w:gridCol w:w="1181"/>
        <w:gridCol w:w="1182"/>
        <w:gridCol w:w="1182"/>
        <w:gridCol w:w="1182"/>
        <w:gridCol w:w="1182"/>
        <w:gridCol w:w="1182"/>
        <w:gridCol w:w="1182"/>
        <w:gridCol w:w="1182"/>
        <w:gridCol w:w="1537"/>
      </w:tblGrid>
      <w:tr w:rsidR="001B0BB6" w:rsidRPr="000B28CE" w:rsidTr="001B0BB6">
        <w:trPr>
          <w:trHeight w:val="458"/>
          <w:tblHeader/>
        </w:trPr>
        <w:tc>
          <w:tcPr>
            <w:tcW w:w="0" w:type="auto"/>
            <w:vMerge w:val="restart"/>
            <w:shd w:val="clear" w:color="auto" w:fill="BDD6EE" w:themeFill="accent5" w:themeFillTint="66"/>
            <w:hideMark/>
          </w:tcPr>
          <w:p w:rsidR="001B0BB6" w:rsidRPr="000B28CE" w:rsidRDefault="001B0BB6" w:rsidP="001B0BB6">
            <w:pPr>
              <w:spacing w:after="0" w:line="240" w:lineRule="auto"/>
              <w:jc w:val="center"/>
              <w:rPr>
                <w:rFonts w:eastAsia="Times New Roman" w:cs="Arial"/>
                <w:sz w:val="18"/>
                <w:szCs w:val="18"/>
                <w:lang w:val="es-ES"/>
              </w:rPr>
            </w:pPr>
            <w:r w:rsidRPr="000B28CE">
              <w:rPr>
                <w:rFonts w:eastAsia="Times New Roman" w:cs="Arial"/>
                <w:b/>
                <w:bCs/>
                <w:color w:val="000000"/>
                <w:sz w:val="18"/>
                <w:szCs w:val="18"/>
                <w:lang w:val="es-ES"/>
              </w:rPr>
              <w:t>N°</w:t>
            </w:r>
          </w:p>
        </w:tc>
        <w:tc>
          <w:tcPr>
            <w:tcW w:w="0" w:type="auto"/>
            <w:vMerge w:val="restart"/>
            <w:shd w:val="clear" w:color="auto" w:fill="BDD6EE" w:themeFill="accent5" w:themeFillTint="66"/>
            <w:hideMark/>
          </w:tcPr>
          <w:p w:rsidR="001B0BB6" w:rsidRPr="000B28CE" w:rsidRDefault="001B0BB6" w:rsidP="001B0BB6">
            <w:pPr>
              <w:spacing w:after="0" w:line="240" w:lineRule="auto"/>
              <w:rPr>
                <w:rFonts w:eastAsia="Times New Roman" w:cs="Arial"/>
                <w:b/>
                <w:bCs/>
                <w:color w:val="000000"/>
                <w:sz w:val="18"/>
                <w:szCs w:val="18"/>
                <w:lang w:val="es-ES"/>
              </w:rPr>
            </w:pPr>
            <w:r w:rsidRPr="000B28CE">
              <w:rPr>
                <w:rFonts w:eastAsia="Times New Roman" w:cs="Arial"/>
                <w:b/>
                <w:bCs/>
                <w:color w:val="000000"/>
                <w:sz w:val="18"/>
                <w:szCs w:val="18"/>
                <w:lang w:val="es-ES"/>
              </w:rPr>
              <w:t>Parte</w:t>
            </w:r>
          </w:p>
          <w:p w:rsidR="001B0BB6" w:rsidRPr="000B28CE" w:rsidRDefault="001B0BB6" w:rsidP="001B0BB6">
            <w:pPr>
              <w:spacing w:after="0" w:line="240" w:lineRule="auto"/>
              <w:rPr>
                <w:rFonts w:eastAsia="Times New Roman" w:cs="Arial"/>
                <w:sz w:val="18"/>
                <w:szCs w:val="18"/>
                <w:lang w:val="es-ES"/>
              </w:rPr>
            </w:pPr>
            <w:r w:rsidRPr="000B28CE">
              <w:rPr>
                <w:rFonts w:eastAsia="Times New Roman" w:cs="Arial"/>
                <w:b/>
                <w:bCs/>
                <w:color w:val="000000"/>
                <w:sz w:val="18"/>
                <w:szCs w:val="18"/>
                <w:lang w:val="es-ES"/>
              </w:rPr>
              <w:t> </w:t>
            </w:r>
          </w:p>
        </w:tc>
        <w:tc>
          <w:tcPr>
            <w:tcW w:w="996" w:type="dxa"/>
            <w:vMerge w:val="restart"/>
            <w:shd w:val="clear" w:color="auto" w:fill="BDD6EE" w:themeFill="accent5" w:themeFillTint="66"/>
            <w:hideMark/>
          </w:tcPr>
          <w:p w:rsidR="001B0BB6" w:rsidRPr="000B28CE" w:rsidRDefault="001B0BB6" w:rsidP="001B0BB6">
            <w:pPr>
              <w:spacing w:after="0" w:line="240" w:lineRule="auto"/>
              <w:jc w:val="center"/>
              <w:rPr>
                <w:rFonts w:eastAsia="Times New Roman" w:cs="Arial"/>
                <w:sz w:val="18"/>
                <w:szCs w:val="18"/>
                <w:lang w:val="es-ES"/>
              </w:rPr>
            </w:pPr>
            <w:r w:rsidRPr="000B28CE">
              <w:rPr>
                <w:rFonts w:cs="Arial"/>
                <w:b/>
                <w:sz w:val="18"/>
                <w:szCs w:val="18"/>
                <w:lang w:val="es-ES"/>
              </w:rPr>
              <w:t xml:space="preserve">Escala ONU para </w:t>
            </w:r>
            <w:r w:rsidRPr="000B28CE">
              <w:rPr>
                <w:rFonts w:cs="Arial"/>
                <w:b/>
                <w:bCs/>
                <w:iCs/>
                <w:sz w:val="18"/>
                <w:szCs w:val="18"/>
                <w:lang w:val="es-ES"/>
              </w:rPr>
              <w:t>2019</w:t>
            </w:r>
            <w:r w:rsidRPr="000B28CE">
              <w:rPr>
                <w:rFonts w:eastAsia="Times New Roman" w:cs="Arial"/>
                <w:b/>
                <w:bCs/>
                <w:color w:val="000000"/>
                <w:sz w:val="18"/>
                <w:szCs w:val="18"/>
                <w:lang w:val="es-ES"/>
              </w:rPr>
              <w:t>-21</w:t>
            </w:r>
          </w:p>
        </w:tc>
        <w:tc>
          <w:tcPr>
            <w:tcW w:w="987" w:type="dxa"/>
            <w:vMerge w:val="restart"/>
            <w:shd w:val="clear" w:color="auto" w:fill="BDD6EE" w:themeFill="accent5" w:themeFillTint="66"/>
            <w:hideMark/>
          </w:tcPr>
          <w:p w:rsidR="001B0BB6" w:rsidRPr="000B28CE" w:rsidRDefault="001B0BB6" w:rsidP="001B0BB6">
            <w:pPr>
              <w:spacing w:after="0" w:line="240" w:lineRule="auto"/>
              <w:jc w:val="center"/>
              <w:rPr>
                <w:rFonts w:eastAsia="Times New Roman" w:cs="Arial"/>
                <w:sz w:val="18"/>
                <w:szCs w:val="18"/>
                <w:lang w:val="es-ES"/>
              </w:rPr>
            </w:pPr>
            <w:r w:rsidRPr="000B28CE">
              <w:rPr>
                <w:b/>
                <w:sz w:val="18"/>
                <w:szCs w:val="18"/>
                <w:lang w:val="es-ES"/>
              </w:rPr>
              <w:t xml:space="preserve">Escala ajustada </w:t>
            </w:r>
            <w:r w:rsidRPr="000B28CE">
              <w:rPr>
                <w:rFonts w:cs="Arial"/>
                <w:b/>
                <w:bCs/>
                <w:iCs/>
                <w:sz w:val="18"/>
                <w:szCs w:val="18"/>
                <w:lang w:val="es-ES"/>
              </w:rPr>
              <w:t>%</w:t>
            </w:r>
          </w:p>
        </w:tc>
        <w:tc>
          <w:tcPr>
            <w:tcW w:w="2363" w:type="dxa"/>
            <w:gridSpan w:val="2"/>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cs="Arial"/>
                <w:b/>
                <w:bCs/>
                <w:iCs/>
                <w:sz w:val="18"/>
                <w:szCs w:val="18"/>
                <w:lang w:val="es-ES"/>
              </w:rPr>
              <w:t>Escenario 1</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Nominal Cero</w:t>
            </w:r>
          </w:p>
        </w:tc>
        <w:tc>
          <w:tcPr>
            <w:tcW w:w="2364" w:type="dxa"/>
            <w:gridSpan w:val="2"/>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2</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Real - Cero</w:t>
            </w:r>
          </w:p>
        </w:tc>
        <w:tc>
          <w:tcPr>
            <w:tcW w:w="2364" w:type="dxa"/>
            <w:gridSpan w:val="2"/>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3</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Personal</w:t>
            </w:r>
          </w:p>
        </w:tc>
        <w:tc>
          <w:tcPr>
            <w:tcW w:w="2364" w:type="dxa"/>
            <w:gridSpan w:val="2"/>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4</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PdT</w:t>
            </w:r>
          </w:p>
        </w:tc>
        <w:tc>
          <w:tcPr>
            <w:tcW w:w="1366" w:type="dxa"/>
            <w:vMerge w:val="restart"/>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Contribuciones prorrateadas 2018-2020</w:t>
            </w:r>
          </w:p>
        </w:tc>
      </w:tr>
      <w:tr w:rsidR="001B0BB6" w:rsidRPr="000B28CE" w:rsidTr="001B0BB6">
        <w:trPr>
          <w:trHeight w:val="170"/>
          <w:tblHeader/>
        </w:trPr>
        <w:tc>
          <w:tcPr>
            <w:tcW w:w="0" w:type="auto"/>
            <w:vMerge/>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p>
        </w:tc>
        <w:tc>
          <w:tcPr>
            <w:tcW w:w="0" w:type="auto"/>
            <w:vMerge/>
            <w:tcBorders>
              <w:bottom w:val="single" w:sz="4" w:space="0" w:color="auto"/>
            </w:tcBorders>
            <w:shd w:val="clear" w:color="auto" w:fill="BDD6EE" w:themeFill="accent5" w:themeFillTint="66"/>
            <w:hideMark/>
          </w:tcPr>
          <w:p w:rsidR="001B0BB6" w:rsidRPr="000B28CE" w:rsidRDefault="001B0BB6" w:rsidP="001B0BB6">
            <w:pPr>
              <w:spacing w:after="0" w:line="240" w:lineRule="auto"/>
              <w:rPr>
                <w:rFonts w:eastAsia="Times New Roman" w:cs="Arial"/>
                <w:b/>
                <w:bCs/>
                <w:color w:val="000000"/>
                <w:sz w:val="18"/>
                <w:szCs w:val="18"/>
                <w:lang w:val="es-ES"/>
              </w:rPr>
            </w:pPr>
          </w:p>
        </w:tc>
        <w:tc>
          <w:tcPr>
            <w:tcW w:w="996" w:type="dxa"/>
            <w:vMerge/>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p>
        </w:tc>
        <w:tc>
          <w:tcPr>
            <w:tcW w:w="987" w:type="dxa"/>
            <w:vMerge/>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p>
        </w:tc>
        <w:tc>
          <w:tcPr>
            <w:tcW w:w="1181"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182"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182"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182"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366" w:type="dxa"/>
            <w:vMerge/>
            <w:tcBorders>
              <w:bottom w:val="single" w:sz="4" w:space="0" w:color="auto"/>
            </w:tcBorders>
            <w:shd w:val="clear" w:color="auto" w:fill="BDD6EE" w:themeFill="accent5" w:themeFillTint="66"/>
            <w:hideMark/>
          </w:tcPr>
          <w:p w:rsidR="001B0BB6" w:rsidRPr="000B28CE" w:rsidRDefault="001B0BB6" w:rsidP="001B0BB6">
            <w:pPr>
              <w:spacing w:after="0" w:line="240" w:lineRule="auto"/>
              <w:jc w:val="center"/>
              <w:rPr>
                <w:rFonts w:eastAsia="Times New Roman" w:cs="Arial"/>
                <w:b/>
                <w:bCs/>
                <w:color w:val="000000"/>
                <w:sz w:val="18"/>
                <w:szCs w:val="18"/>
                <w:lang w:val="es-ES"/>
              </w:rPr>
            </w:pP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Afganistán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Albania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Algéria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0.138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25 202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8 401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26 324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8 775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29 670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9 890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30 508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10 169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27 678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Angola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Antigua y Barbuda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Argentina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0.915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2.0488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167 103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55 701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174 543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58 181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196 726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65 575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202 283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67 428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153 349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Armenia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Australia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2.210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4.9484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403 605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134 535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421 573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140 524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475 153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158 384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488 574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162 858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401 767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Austria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0.677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1.5159</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123 638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41 213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129 142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43 047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145 556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48 519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149 667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49 889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123 779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Bangladesh</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Belarús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0.049</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0.1097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8 949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2 983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9 347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10 535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3 512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10 833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3 611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9 627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Bélgica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0.821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1.8383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149 937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49 979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156 611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52 204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176 516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58 839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181 502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60 501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152 145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Benín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Bolivia (Estado Plurinacional de)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3 015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1 039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3 440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3 537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1 179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2 063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Bosnia y Herzegovina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0.0269</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2 235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Brasil</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2.948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6.6009</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538 384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179 461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562 352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187 451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633 825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211 275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651 726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217 242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657 233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Bulgaria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0.1030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8 401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8 775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9 890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3 297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10 169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3 390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7 736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Burkina Faso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Burundí</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Cabo Verde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Camerún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0.0291</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3 049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1 016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Chad</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Chile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0.407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0.9113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74 329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24 776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77 638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25 879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87 506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29 169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89 977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29 992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68 594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Congo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Islas Cook</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Costa Rica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0.1388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11 323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3 774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11 827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3 942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13 330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4 443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13 707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4 569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8 080</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Côte d’Ivoire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0.0291</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3 049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1 016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Croacia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0.1724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14 062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4 687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14 688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16 555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5 518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17 023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5 674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17 020</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Cuba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0.1791</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14 610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5 087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17 200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5 733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17 686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5 895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11 175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Chipre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6 575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2 192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6 867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2 289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7 740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2 580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7 959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2 653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7 392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República Checa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0.311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0.6964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56 797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18 932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59 325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19 775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66 865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22 288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68 754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22 918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59 139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sz w:val="18"/>
                <w:szCs w:val="18"/>
                <w:lang w:val="es-ES"/>
              </w:rPr>
              <w:t>República Democrática del Congo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Dinamarca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0.554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1.2405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101 175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33 725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105 679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35 226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119 111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39 704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122 475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40 825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100 399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Djibouti</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República Dominicana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0.1187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9 679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10 110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11 395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3 798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11 717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3 906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7 908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Ecuador</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0.1791</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14 610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5 087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17 200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5 733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17 686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5 895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11 518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Egipto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0.186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0.4165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33 969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11 323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35 481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11 827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39 990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13 330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41 120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13 707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26 131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 Ecuatorial</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3 015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1 039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3 440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3 537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1 179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Eritrea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Estonia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0.039</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0.0873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7 122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2 374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7 440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2 480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8 385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2 795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8 622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2 874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6 533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Eswatini</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Etiopía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Unión Europea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2.5000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203 905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67 968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212 983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70 994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240 052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80 017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246 832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82 277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203 905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Fiji</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Finlandia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0.421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0.9427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76 886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25 629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80 309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26 770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90 516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30 172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93 072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31 024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78 393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Francia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4.427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9.9126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808 488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269 496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844 481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281 494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951 812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317 271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978 695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326 232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835 338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Gabón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0.0336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3 048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1 105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2 923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Gambia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Georgia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Alemania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6.090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13.6362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1 112 197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370 732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1 161 710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387 237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1 309 359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436 453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1 346 341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448 780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1 098 368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Ghana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0.0336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3 048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3 316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1 105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2 751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Grecia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0.366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0.8195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66 841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22 280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69 817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23 272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78 691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26 230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80 913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26 971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80 972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Guinea-Bissau</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Honduras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0.0202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Hungría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0.206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0.4613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37 621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12 540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39 296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13 099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44 290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14 763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45 541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15 180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27 678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India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0.834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1.8674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152 311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50 770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159 091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53 030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179 311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59 770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184 376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61 459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126 702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sz w:val="18"/>
                <w:szCs w:val="18"/>
                <w:lang w:val="es-ES"/>
              </w:rPr>
              <w:t>Irán (República Islámica de)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0.398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0.8912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72 685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24 228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75 921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25 307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85 571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28 524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87 987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29 329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80 972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Iraq</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0.129</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0.2888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23 559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7 853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24 608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8 203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27 735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9 245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28 519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9 506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22 177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Irlanda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0.371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0.8307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67 755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22 585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70 771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23 590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79 766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26 589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82 018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27 339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57 592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Israel</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0.490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1.0972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89 487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29 829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93 471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31 157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105 351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35 117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108 326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36 109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73 924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Italia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3.307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7.4048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603 946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201 315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630 833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210 278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711 010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237 003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731 092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243 697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644 339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Jordania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3 835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1 278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4 006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1 335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4 515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1 505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4 643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1 548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3 438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sz w:val="18"/>
                <w:szCs w:val="18"/>
                <w:lang w:val="es-ES"/>
              </w:rPr>
              <w:t>Kazajstán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0.3986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32 508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10 836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33 955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38 270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12 757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39 351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13 117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32 836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Kenya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0.0537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4 383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1 461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4 578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1 526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5 160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1 720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5 306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1 769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3 094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sz w:val="18"/>
                <w:szCs w:val="18"/>
                <w:lang w:val="es-ES"/>
              </w:rPr>
              <w:t>Kirguistán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Letonia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0.1052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8 583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8 966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2 989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3 368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10 390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3 463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8 596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Líbano*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0.1052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8 583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8 966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2 989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3 368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10 390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3 463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Liberia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Libia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0.0672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5 479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1 826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5 723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1 908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6 450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2 150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6 632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2 211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21 489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Liechtenstein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0.0202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1 203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Lituania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12 966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4 322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13 544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4 515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15 265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5 088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15 696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5 232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12 378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Luxemburgo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0.1500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12 236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4 079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12 781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4 260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14 405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4 802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14 812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4 937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11 003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Madagascar</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Malawi*</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Maldivas*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Mali</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Malta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0.0381</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3 243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1 081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3 655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1 218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3 758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1 253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2 751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Mauritania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Mauricio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2 063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Mónaco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Mongolia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Montenegro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Marruecos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0.1232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10 044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3 348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10 492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3 497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11 825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3 942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12 159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4 053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9 283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Mozambique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Países Bajos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1.356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3.0362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247 642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82 547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258 666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86 222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291 542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97 181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299 776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99 925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254 779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Nueva Zelandia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0.291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0.6516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53 144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17 715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55 510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18 503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62 565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20 855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64 333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21 444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46 073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Níger</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Nigeria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0.250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0.5598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45 657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15 219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47 689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15 896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53 750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17 917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55 269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18 423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35 930</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Macedonia del Norte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1 203</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Noruega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0.754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1.6883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137 701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45 900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143 831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47 944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162 111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54 037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166 690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55 563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145 956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Pakistán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0.115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0.2575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21 002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7 001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21 937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7 312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24 725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8 242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25 424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8 475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15 988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Palau</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Panamá</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0.1008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8 218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2 739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8 584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9 675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9 948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3 316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5 845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Paraguay</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3 015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3 118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1 039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3 440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3 537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1 179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2 407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Perú</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0.3403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27 759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9 253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28 995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9 665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32 680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10 893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33 603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11 201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23 381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Filipinas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0.205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0.4590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37 438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12 479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39 105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13 035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44 075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14 692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45 320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15 107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28 366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Polonia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1.7958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146 467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48 822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152 987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50 996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172 431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57 477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177 301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59 100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144 581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Portugal</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0.350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0.7837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63 919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21 306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66 765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22 255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75 251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25 084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77 376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25 792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67 391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w:t>
            </w:r>
            <w:r w:rsidR="00C612AE">
              <w:rPr>
                <w:rFonts w:eastAsia="Times New Roman" w:cs="Arial"/>
                <w:color w:val="000000"/>
                <w:sz w:val="18"/>
                <w:szCs w:val="18"/>
                <w:lang w:val="es-ES"/>
              </w:rPr>
              <w:t>a</w:t>
            </w:r>
            <w:r w:rsidRPr="000B28CE">
              <w:rPr>
                <w:rFonts w:eastAsia="Times New Roman" w:cs="Arial"/>
                <w:color w:val="000000"/>
                <w:sz w:val="18"/>
                <w:szCs w:val="18"/>
                <w:lang w:val="es-ES"/>
              </w:rPr>
              <w:t xml:space="preserve"> de Moldova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Rumania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0.198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0.4433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36 160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12 053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37 770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12 590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42 570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14 190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43 773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14 591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31 632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Rwanda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Samoa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Santo Tomé y Príncipe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Arabia Saudita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1.172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2.6242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214 038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71 346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223 567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74 522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251 982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83 994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259 099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86 366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197 015</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Senegal</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Serbia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0.0627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5 114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1 705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5 341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1 780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6 020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6 190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2 063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5 501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Seychelles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Eslovaquia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0.153</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0.3426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27 942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9 314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29 186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9 729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32 895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10 965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33 824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11 275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27 506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Eslovenia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0.1702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13 880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4 627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14 498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4 833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16 340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5 447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16 802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5 601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14 441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Somalia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Sudáfrica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0.272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49 674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16 558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51 886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17 295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58 480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19 493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60 132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20 044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62 577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España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2.146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4.8051</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391 917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130 639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409 364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136 455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461 393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153 798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474 425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158 142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419 990</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Sri Lanka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0.0985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8 036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2 679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8 393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2 798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9 460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3 153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9 727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3 242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5 329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Suecia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0.906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2.0286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165 460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55 153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172 826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57 609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194 791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64 930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200 293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66 764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164 351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Suiza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1.151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2.5772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210 203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70 068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219 561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73 187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247 467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82 489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254 456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84 819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195 984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República Árabe Siria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4 126</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Tayikistán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Togo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Trinidad y Tobago*</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0.0896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7 305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2 435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7 630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2 543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8 600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8 843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2 948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121</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Túnez</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0.0560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4 566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1 522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4 769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1 590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5 375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1 792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5 527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1 842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4 814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122</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Uganda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123</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Ucrania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0.1276</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10 410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3 470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10 873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3 624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12 255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4 085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12 601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4 200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17 707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124</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sz w:val="18"/>
                <w:szCs w:val="18"/>
                <w:lang w:val="es-ES"/>
              </w:rPr>
              <w:t>Emiratos Árabes Unidos</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0.616</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1.3793</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112 498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37 499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117 506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39 169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132 441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44 147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136 182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45 394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103 837</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125</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Reino Unido de Gran Bretaña e Irlanda del Norte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4.567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10.2260</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834 056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278 019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871 187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290 396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981 912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327 304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1 009 645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336 548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767 259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126</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cs="Arial"/>
                <w:sz w:val="18"/>
                <w:szCs w:val="18"/>
                <w:lang w:val="es-ES"/>
              </w:rPr>
              <w:t>República Unida de Tanzanía</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127</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Uruguay</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0.087</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0.1948</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15 889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5 296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16 596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5 532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18 705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6 235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19 233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6 411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13 581</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128</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Uzbekistán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0.032</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0.0717</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5 844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1 948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6 104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2 035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6 880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2 293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7 074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2 358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3 954</w:t>
            </w:r>
          </w:p>
        </w:tc>
      </w:tr>
      <w:tr w:rsidR="001B0BB6" w:rsidRPr="000B28CE" w:rsidTr="00507CB7">
        <w:trPr>
          <w:trHeight w:val="255"/>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129</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Yemen</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1B0BB6" w:rsidRPr="000B28CE" w:rsidTr="00507CB7">
        <w:trPr>
          <w:trHeight w:val="270"/>
        </w:trPr>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130</w:t>
            </w:r>
          </w:p>
        </w:tc>
        <w:tc>
          <w:tcPr>
            <w:tcW w:w="0" w:type="auto"/>
            <w:shd w:val="clear" w:color="auto" w:fill="auto"/>
            <w:vAlign w:val="center"/>
            <w:hideMark/>
          </w:tcPr>
          <w:p w:rsidR="001B0BB6" w:rsidRPr="000B28CE" w:rsidRDefault="001B0BB6" w:rsidP="001B0BB6">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Zimbabwe</w:t>
            </w:r>
          </w:p>
        </w:tc>
        <w:tc>
          <w:tcPr>
            <w:tcW w:w="996"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0.005</w:t>
            </w:r>
          </w:p>
        </w:tc>
        <w:tc>
          <w:tcPr>
            <w:tcW w:w="987" w:type="dxa"/>
            <w:shd w:val="clear" w:color="auto" w:fill="auto"/>
            <w:vAlign w:val="center"/>
            <w:hideMark/>
          </w:tcPr>
          <w:p w:rsidR="001B0BB6" w:rsidRPr="000B28CE" w:rsidRDefault="001B0BB6" w:rsidP="001B0BB6">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0.0112</w:t>
            </w:r>
          </w:p>
        </w:tc>
        <w:tc>
          <w:tcPr>
            <w:tcW w:w="1181"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3 000 </w:t>
            </w:r>
          </w:p>
        </w:tc>
        <w:tc>
          <w:tcPr>
            <w:tcW w:w="1182"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1 000 </w:t>
            </w:r>
          </w:p>
        </w:tc>
        <w:tc>
          <w:tcPr>
            <w:tcW w:w="1366" w:type="dxa"/>
            <w:shd w:val="clear" w:color="auto" w:fill="auto"/>
            <w:vAlign w:val="center"/>
            <w:hideMark/>
          </w:tcPr>
          <w:p w:rsidR="001B0BB6" w:rsidRPr="000B28CE" w:rsidRDefault="001B0BB6" w:rsidP="001B0BB6">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1B0BB6" w:rsidRPr="000B28CE" w:rsidTr="003E7725">
        <w:trPr>
          <w:trHeight w:val="270"/>
        </w:trPr>
        <w:tc>
          <w:tcPr>
            <w:tcW w:w="0" w:type="auto"/>
            <w:shd w:val="clear" w:color="auto" w:fill="BDD6EE" w:themeFill="accent5" w:themeFillTint="66"/>
            <w:vAlign w:val="center"/>
            <w:hideMark/>
          </w:tcPr>
          <w:p w:rsidR="001B0BB6" w:rsidRPr="000B28CE" w:rsidRDefault="001B0BB6" w:rsidP="001B0BB6">
            <w:pPr>
              <w:spacing w:after="0" w:line="240" w:lineRule="auto"/>
              <w:rPr>
                <w:rFonts w:eastAsia="Times New Roman" w:cs="Arial"/>
                <w:b/>
                <w:bCs/>
                <w:color w:val="000000"/>
                <w:sz w:val="18"/>
                <w:szCs w:val="18"/>
                <w:lang w:val="es-ES"/>
              </w:rPr>
            </w:pPr>
          </w:p>
        </w:tc>
        <w:tc>
          <w:tcPr>
            <w:tcW w:w="0" w:type="auto"/>
            <w:shd w:val="clear" w:color="auto" w:fill="BDD6EE" w:themeFill="accent5" w:themeFillTint="66"/>
            <w:vAlign w:val="center"/>
            <w:hideMark/>
          </w:tcPr>
          <w:p w:rsidR="001B0BB6" w:rsidRPr="000B28CE" w:rsidRDefault="001B0BB6" w:rsidP="001B0BB6">
            <w:pPr>
              <w:spacing w:after="0" w:line="240" w:lineRule="auto"/>
              <w:rPr>
                <w:rFonts w:eastAsia="Times New Roman" w:cs="Arial"/>
                <w:b/>
                <w:bCs/>
                <w:color w:val="000000"/>
                <w:sz w:val="18"/>
                <w:szCs w:val="18"/>
                <w:lang w:val="es-ES"/>
              </w:rPr>
            </w:pPr>
            <w:r w:rsidRPr="000B28CE">
              <w:rPr>
                <w:rFonts w:eastAsia="Times New Roman" w:cs="Arial"/>
                <w:b/>
                <w:bCs/>
                <w:color w:val="000000"/>
                <w:sz w:val="18"/>
                <w:szCs w:val="18"/>
                <w:lang w:val="es-ES"/>
              </w:rPr>
              <w:t>Total</w:t>
            </w:r>
          </w:p>
        </w:tc>
        <w:tc>
          <w:tcPr>
            <w:tcW w:w="996" w:type="dxa"/>
            <w:shd w:val="clear" w:color="auto" w:fill="BDD6EE" w:themeFill="accent5" w:themeFillTint="66"/>
            <w:vAlign w:val="center"/>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43.544</w:t>
            </w:r>
          </w:p>
        </w:tc>
        <w:tc>
          <w:tcPr>
            <w:tcW w:w="987" w:type="dxa"/>
            <w:shd w:val="clear" w:color="auto" w:fill="BDD6EE" w:themeFill="accent5" w:themeFillTint="66"/>
            <w:vAlign w:val="center"/>
            <w:hideMark/>
          </w:tcPr>
          <w:p w:rsidR="001B0BB6" w:rsidRPr="000B28CE" w:rsidRDefault="001B0BB6" w:rsidP="001B0BB6">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100</w:t>
            </w:r>
          </w:p>
        </w:tc>
        <w:tc>
          <w:tcPr>
            <w:tcW w:w="1181"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8 274 859 </w:t>
            </w:r>
          </w:p>
        </w:tc>
        <w:tc>
          <w:tcPr>
            <w:tcW w:w="1182"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2 758 286 </w:t>
            </w:r>
          </w:p>
        </w:tc>
        <w:tc>
          <w:tcPr>
            <w:tcW w:w="1182"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8 635 366 </w:t>
            </w:r>
          </w:p>
        </w:tc>
        <w:tc>
          <w:tcPr>
            <w:tcW w:w="1182"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2 878 455 </w:t>
            </w:r>
          </w:p>
        </w:tc>
        <w:tc>
          <w:tcPr>
            <w:tcW w:w="1182"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9 710 545 </w:t>
            </w:r>
          </w:p>
        </w:tc>
        <w:tc>
          <w:tcPr>
            <w:tcW w:w="1182"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3 236 848 </w:t>
            </w:r>
          </w:p>
        </w:tc>
        <w:tc>
          <w:tcPr>
            <w:tcW w:w="1182"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9 980 044 </w:t>
            </w:r>
          </w:p>
        </w:tc>
        <w:tc>
          <w:tcPr>
            <w:tcW w:w="1182"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3 326 681 </w:t>
            </w:r>
          </w:p>
        </w:tc>
        <w:tc>
          <w:tcPr>
            <w:tcW w:w="1366" w:type="dxa"/>
            <w:shd w:val="clear" w:color="auto" w:fill="BDD6EE" w:themeFill="accent5" w:themeFillTint="66"/>
            <w:vAlign w:val="center"/>
            <w:hideMark/>
          </w:tcPr>
          <w:p w:rsidR="001B0BB6" w:rsidRPr="000B28CE" w:rsidRDefault="001B0BB6" w:rsidP="001B0BB6">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8 156 202</w:t>
            </w:r>
          </w:p>
        </w:tc>
      </w:tr>
    </w:tbl>
    <w:p w:rsidR="008B5DF7" w:rsidRPr="000B28CE" w:rsidRDefault="008B5DF7" w:rsidP="008B5DF7">
      <w:pPr>
        <w:spacing w:before="120"/>
        <w:rPr>
          <w:sz w:val="20"/>
          <w:szCs w:val="20"/>
          <w:lang w:val="es-ES"/>
        </w:rPr>
      </w:pPr>
      <w:r w:rsidRPr="000B28CE">
        <w:rPr>
          <w:sz w:val="20"/>
          <w:szCs w:val="20"/>
          <w:lang w:val="es-ES"/>
        </w:rPr>
        <w:t xml:space="preserve">* </w:t>
      </w:r>
      <w:r w:rsidR="008B1E53" w:rsidRPr="000B28CE">
        <w:rPr>
          <w:sz w:val="20"/>
          <w:szCs w:val="20"/>
          <w:lang w:val="es-ES"/>
        </w:rPr>
        <w:t>Países que han accedido a la Convención después del 1 de enero</w:t>
      </w:r>
      <w:r w:rsidRPr="000B28CE">
        <w:rPr>
          <w:sz w:val="20"/>
          <w:szCs w:val="20"/>
          <w:lang w:val="es-ES"/>
        </w:rPr>
        <w:t xml:space="preserve"> 2018</w:t>
      </w:r>
      <w:r w:rsidRPr="000B28CE">
        <w:rPr>
          <w:sz w:val="20"/>
          <w:szCs w:val="20"/>
          <w:lang w:val="es-ES"/>
        </w:rPr>
        <w:tab/>
      </w:r>
    </w:p>
    <w:p w:rsidR="008B1E53" w:rsidRPr="000B28CE" w:rsidRDefault="008B1E53" w:rsidP="008B5DF7">
      <w:pPr>
        <w:spacing w:before="120"/>
        <w:rPr>
          <w:lang w:val="es-ES"/>
        </w:rPr>
        <w:sectPr w:rsidR="008B1E53" w:rsidRPr="000B28CE" w:rsidSect="008B5DF7">
          <w:headerReference w:type="even" r:id="rId27"/>
          <w:headerReference w:type="default" r:id="rId28"/>
          <w:headerReference w:type="first" r:id="rId29"/>
          <w:pgSz w:w="16838" w:h="11906" w:orient="landscape" w:code="9"/>
          <w:pgMar w:top="1134" w:right="1134" w:bottom="1134" w:left="1134" w:header="720" w:footer="720" w:gutter="0"/>
          <w:cols w:space="720"/>
          <w:titlePg/>
          <w:docGrid w:linePitch="360"/>
        </w:sectPr>
      </w:pPr>
    </w:p>
    <w:p w:rsidR="008B5DF7" w:rsidRPr="000B28CE" w:rsidRDefault="008B5DF7" w:rsidP="00301290">
      <w:pPr>
        <w:spacing w:after="0" w:line="240" w:lineRule="auto"/>
        <w:jc w:val="right"/>
        <w:rPr>
          <w:rFonts w:cs="Arial"/>
          <w:b/>
          <w:caps/>
          <w:lang w:val="es-ES"/>
        </w:rPr>
      </w:pPr>
      <w:r w:rsidRPr="000B28CE">
        <w:rPr>
          <w:rFonts w:cs="Arial"/>
          <w:b/>
          <w:caps/>
          <w:lang w:val="es-ES"/>
        </w:rPr>
        <w:t>Anex</w:t>
      </w:r>
      <w:r w:rsidR="008B1E53" w:rsidRPr="000B28CE">
        <w:rPr>
          <w:rFonts w:cs="Arial"/>
          <w:b/>
          <w:caps/>
          <w:lang w:val="es-ES"/>
        </w:rPr>
        <w:t>O</w:t>
      </w:r>
      <w:r w:rsidRPr="000B28CE">
        <w:rPr>
          <w:rFonts w:cs="Arial"/>
          <w:b/>
          <w:caps/>
          <w:lang w:val="es-ES"/>
        </w:rPr>
        <w:t xml:space="preserve"> </w:t>
      </w:r>
      <w:r w:rsidR="00144AF9">
        <w:rPr>
          <w:rFonts w:cs="Arial"/>
          <w:b/>
          <w:caps/>
          <w:lang w:val="es-ES"/>
        </w:rPr>
        <w:t>4</w:t>
      </w:r>
      <w:r w:rsidRPr="000B28CE">
        <w:rPr>
          <w:rFonts w:cs="Arial"/>
          <w:b/>
          <w:caps/>
          <w:lang w:val="es-ES"/>
        </w:rPr>
        <w:t xml:space="preserve"> (C)</w:t>
      </w:r>
    </w:p>
    <w:p w:rsidR="008B5DF7" w:rsidRPr="000B28CE" w:rsidRDefault="008B5DF7" w:rsidP="00301290">
      <w:pPr>
        <w:spacing w:after="0" w:line="240" w:lineRule="auto"/>
        <w:jc w:val="right"/>
        <w:rPr>
          <w:rFonts w:cs="Arial"/>
          <w:lang w:val="es-ES"/>
        </w:rPr>
      </w:pPr>
    </w:p>
    <w:p w:rsidR="008B1E53" w:rsidRPr="000B28CE" w:rsidRDefault="008B1E53" w:rsidP="00301290">
      <w:pPr>
        <w:spacing w:after="0" w:line="240" w:lineRule="auto"/>
        <w:jc w:val="center"/>
        <w:rPr>
          <w:b/>
          <w:lang w:val="es-ES"/>
        </w:rPr>
      </w:pPr>
      <w:r w:rsidRPr="000B28CE">
        <w:rPr>
          <w:b/>
          <w:lang w:val="es-ES"/>
        </w:rPr>
        <w:t>ESCALA DE CUOTAS PARA EL TRIENIO 2021 – 2023 PRESUPUESTO</w:t>
      </w:r>
    </w:p>
    <w:p w:rsidR="003E7725" w:rsidRPr="000B28CE" w:rsidRDefault="003E7725" w:rsidP="003E7725">
      <w:pPr>
        <w:spacing w:after="0" w:line="240" w:lineRule="auto"/>
        <w:jc w:val="center"/>
        <w:rPr>
          <w:b/>
          <w:lang w:val="es-ES"/>
        </w:rPr>
      </w:pPr>
      <w:r w:rsidRPr="000B28CE">
        <w:rPr>
          <w:b/>
          <w:lang w:val="es-ES"/>
        </w:rPr>
        <w:t>Basado en la escala de contribuciones de la ONU</w:t>
      </w:r>
      <w:r w:rsidRPr="000B28CE">
        <w:rPr>
          <w:lang w:val="es-ES"/>
        </w:rPr>
        <w:t xml:space="preserve"> </w:t>
      </w:r>
      <w:r w:rsidRPr="000B28CE">
        <w:rPr>
          <w:b/>
          <w:lang w:val="es-ES"/>
        </w:rPr>
        <w:t>teniendo en cuenta una contribución mínima de 2.000 euros al año</w:t>
      </w:r>
    </w:p>
    <w:p w:rsidR="003E7725" w:rsidRPr="000B28CE" w:rsidRDefault="003E7725" w:rsidP="003E7725">
      <w:pPr>
        <w:spacing w:after="0" w:line="240" w:lineRule="auto"/>
        <w:jc w:val="center"/>
        <w:rPr>
          <w:b/>
          <w:sz w:val="18"/>
          <w:lang w:val="es-ES"/>
        </w:rPr>
      </w:pPr>
      <w:r w:rsidRPr="000B28CE">
        <w:rPr>
          <w:rFonts w:cs="Arial"/>
          <w:b/>
          <w:sz w:val="18"/>
          <w:szCs w:val="18"/>
          <w:lang w:val="es-ES"/>
        </w:rPr>
        <w:t>(</w:t>
      </w:r>
      <w:r w:rsidRPr="000B28CE">
        <w:rPr>
          <w:b/>
          <w:sz w:val="18"/>
          <w:lang w:val="es-ES"/>
        </w:rPr>
        <w:t>Todas las cifras en euros</w:t>
      </w:r>
    </w:p>
    <w:p w:rsidR="003E7725" w:rsidRPr="000B28CE" w:rsidRDefault="003E7725" w:rsidP="003E7725">
      <w:pPr>
        <w:spacing w:after="0" w:line="240" w:lineRule="auto"/>
        <w:jc w:val="center"/>
        <w:rPr>
          <w:b/>
          <w:sz w:val="18"/>
          <w:lang w:val="es-ES"/>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1898"/>
        <w:gridCol w:w="996"/>
        <w:gridCol w:w="987"/>
        <w:gridCol w:w="1181"/>
        <w:gridCol w:w="1182"/>
        <w:gridCol w:w="1182"/>
        <w:gridCol w:w="1182"/>
        <w:gridCol w:w="1182"/>
        <w:gridCol w:w="1182"/>
        <w:gridCol w:w="1182"/>
        <w:gridCol w:w="1182"/>
        <w:gridCol w:w="1537"/>
      </w:tblGrid>
      <w:tr w:rsidR="003E7725" w:rsidRPr="000B28CE" w:rsidTr="003E7725">
        <w:trPr>
          <w:trHeight w:val="458"/>
          <w:tblHeader/>
        </w:trPr>
        <w:tc>
          <w:tcPr>
            <w:tcW w:w="0" w:type="auto"/>
            <w:vMerge w:val="restart"/>
            <w:shd w:val="clear" w:color="auto" w:fill="BDD6EE" w:themeFill="accent5" w:themeFillTint="66"/>
            <w:hideMark/>
          </w:tcPr>
          <w:p w:rsidR="003E7725" w:rsidRPr="000B28CE" w:rsidRDefault="003E7725" w:rsidP="003E7725">
            <w:pPr>
              <w:spacing w:after="0" w:line="240" w:lineRule="auto"/>
              <w:jc w:val="center"/>
              <w:rPr>
                <w:rFonts w:eastAsia="Times New Roman" w:cs="Arial"/>
                <w:sz w:val="18"/>
                <w:szCs w:val="18"/>
                <w:lang w:val="es-ES"/>
              </w:rPr>
            </w:pPr>
            <w:r w:rsidRPr="000B28CE">
              <w:rPr>
                <w:rFonts w:eastAsia="Times New Roman" w:cs="Arial"/>
                <w:b/>
                <w:bCs/>
                <w:color w:val="000000"/>
                <w:sz w:val="18"/>
                <w:szCs w:val="18"/>
                <w:lang w:val="es-ES"/>
              </w:rPr>
              <w:t>N°</w:t>
            </w:r>
          </w:p>
        </w:tc>
        <w:tc>
          <w:tcPr>
            <w:tcW w:w="0" w:type="auto"/>
            <w:vMerge w:val="restart"/>
            <w:shd w:val="clear" w:color="auto" w:fill="BDD6EE" w:themeFill="accent5" w:themeFillTint="66"/>
            <w:hideMark/>
          </w:tcPr>
          <w:p w:rsidR="003E7725" w:rsidRPr="000B28CE" w:rsidRDefault="003E7725" w:rsidP="003E7725">
            <w:pPr>
              <w:spacing w:after="0" w:line="240" w:lineRule="auto"/>
              <w:rPr>
                <w:rFonts w:eastAsia="Times New Roman" w:cs="Arial"/>
                <w:b/>
                <w:bCs/>
                <w:color w:val="000000"/>
                <w:sz w:val="18"/>
                <w:szCs w:val="18"/>
                <w:lang w:val="es-ES"/>
              </w:rPr>
            </w:pPr>
            <w:r w:rsidRPr="000B28CE">
              <w:rPr>
                <w:rFonts w:eastAsia="Times New Roman" w:cs="Arial"/>
                <w:b/>
                <w:bCs/>
                <w:color w:val="000000"/>
                <w:sz w:val="18"/>
                <w:szCs w:val="18"/>
                <w:lang w:val="es-ES"/>
              </w:rPr>
              <w:t>Parte</w:t>
            </w:r>
          </w:p>
          <w:p w:rsidR="003E7725" w:rsidRPr="000B28CE" w:rsidRDefault="003E7725" w:rsidP="003E7725">
            <w:pPr>
              <w:spacing w:after="0" w:line="240" w:lineRule="auto"/>
              <w:rPr>
                <w:rFonts w:eastAsia="Times New Roman" w:cs="Arial"/>
                <w:sz w:val="18"/>
                <w:szCs w:val="18"/>
                <w:lang w:val="es-ES"/>
              </w:rPr>
            </w:pPr>
            <w:r w:rsidRPr="000B28CE">
              <w:rPr>
                <w:rFonts w:eastAsia="Times New Roman" w:cs="Arial"/>
                <w:b/>
                <w:bCs/>
                <w:color w:val="000000"/>
                <w:sz w:val="18"/>
                <w:szCs w:val="18"/>
                <w:lang w:val="es-ES"/>
              </w:rPr>
              <w:t> </w:t>
            </w:r>
          </w:p>
        </w:tc>
        <w:tc>
          <w:tcPr>
            <w:tcW w:w="996" w:type="dxa"/>
            <w:vMerge w:val="restart"/>
            <w:shd w:val="clear" w:color="auto" w:fill="BDD6EE" w:themeFill="accent5" w:themeFillTint="66"/>
            <w:hideMark/>
          </w:tcPr>
          <w:p w:rsidR="003E7725" w:rsidRPr="000B28CE" w:rsidRDefault="003E7725" w:rsidP="003E7725">
            <w:pPr>
              <w:spacing w:after="0" w:line="240" w:lineRule="auto"/>
              <w:jc w:val="center"/>
              <w:rPr>
                <w:rFonts w:eastAsia="Times New Roman" w:cs="Arial"/>
                <w:sz w:val="18"/>
                <w:szCs w:val="18"/>
                <w:lang w:val="es-ES"/>
              </w:rPr>
            </w:pPr>
            <w:r w:rsidRPr="000B28CE">
              <w:rPr>
                <w:rFonts w:cs="Arial"/>
                <w:b/>
                <w:sz w:val="18"/>
                <w:szCs w:val="18"/>
                <w:lang w:val="es-ES"/>
              </w:rPr>
              <w:t xml:space="preserve">Escala ONU para </w:t>
            </w:r>
            <w:r w:rsidRPr="000B28CE">
              <w:rPr>
                <w:rFonts w:cs="Arial"/>
                <w:b/>
                <w:bCs/>
                <w:iCs/>
                <w:sz w:val="18"/>
                <w:szCs w:val="18"/>
                <w:lang w:val="es-ES"/>
              </w:rPr>
              <w:t>2019</w:t>
            </w:r>
            <w:r w:rsidRPr="000B28CE">
              <w:rPr>
                <w:rFonts w:eastAsia="Times New Roman" w:cs="Arial"/>
                <w:b/>
                <w:bCs/>
                <w:color w:val="000000"/>
                <w:sz w:val="18"/>
                <w:szCs w:val="18"/>
                <w:lang w:val="es-ES"/>
              </w:rPr>
              <w:t>-21</w:t>
            </w:r>
          </w:p>
        </w:tc>
        <w:tc>
          <w:tcPr>
            <w:tcW w:w="987" w:type="dxa"/>
            <w:vMerge w:val="restart"/>
            <w:shd w:val="clear" w:color="auto" w:fill="BDD6EE" w:themeFill="accent5" w:themeFillTint="66"/>
            <w:hideMark/>
          </w:tcPr>
          <w:p w:rsidR="003E7725" w:rsidRPr="000B28CE" w:rsidRDefault="003E7725" w:rsidP="003E7725">
            <w:pPr>
              <w:spacing w:after="0" w:line="240" w:lineRule="auto"/>
              <w:jc w:val="center"/>
              <w:rPr>
                <w:rFonts w:eastAsia="Times New Roman" w:cs="Arial"/>
                <w:sz w:val="18"/>
                <w:szCs w:val="18"/>
                <w:lang w:val="es-ES"/>
              </w:rPr>
            </w:pPr>
            <w:r w:rsidRPr="000B28CE">
              <w:rPr>
                <w:b/>
                <w:sz w:val="18"/>
                <w:szCs w:val="18"/>
                <w:lang w:val="es-ES"/>
              </w:rPr>
              <w:t xml:space="preserve">Escala ajustada </w:t>
            </w:r>
            <w:r w:rsidRPr="000B28CE">
              <w:rPr>
                <w:rFonts w:cs="Arial"/>
                <w:b/>
                <w:bCs/>
                <w:iCs/>
                <w:sz w:val="18"/>
                <w:szCs w:val="18"/>
                <w:lang w:val="es-ES"/>
              </w:rPr>
              <w:t>%</w:t>
            </w:r>
          </w:p>
        </w:tc>
        <w:tc>
          <w:tcPr>
            <w:tcW w:w="2363" w:type="dxa"/>
            <w:gridSpan w:val="2"/>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cs="Arial"/>
                <w:b/>
                <w:bCs/>
                <w:iCs/>
                <w:sz w:val="18"/>
                <w:szCs w:val="18"/>
                <w:lang w:val="es-ES"/>
              </w:rPr>
              <w:t>Escenario 1</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Nominal Cero</w:t>
            </w:r>
          </w:p>
        </w:tc>
        <w:tc>
          <w:tcPr>
            <w:tcW w:w="2364" w:type="dxa"/>
            <w:gridSpan w:val="2"/>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2</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Real - Cero</w:t>
            </w:r>
          </w:p>
        </w:tc>
        <w:tc>
          <w:tcPr>
            <w:tcW w:w="2364" w:type="dxa"/>
            <w:gridSpan w:val="2"/>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3</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Personal</w:t>
            </w:r>
          </w:p>
        </w:tc>
        <w:tc>
          <w:tcPr>
            <w:tcW w:w="2364" w:type="dxa"/>
            <w:gridSpan w:val="2"/>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Escenario 4</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PdT</w:t>
            </w:r>
          </w:p>
        </w:tc>
        <w:tc>
          <w:tcPr>
            <w:tcW w:w="1366" w:type="dxa"/>
            <w:vMerge w:val="restart"/>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Contribuciones prorrateadas 2018-2020</w:t>
            </w:r>
          </w:p>
        </w:tc>
      </w:tr>
      <w:tr w:rsidR="003E7725" w:rsidRPr="000B28CE" w:rsidTr="003E7725">
        <w:trPr>
          <w:trHeight w:val="170"/>
          <w:tblHeader/>
        </w:trPr>
        <w:tc>
          <w:tcPr>
            <w:tcW w:w="0" w:type="auto"/>
            <w:vMerge/>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p>
        </w:tc>
        <w:tc>
          <w:tcPr>
            <w:tcW w:w="0" w:type="auto"/>
            <w:vMerge/>
            <w:tcBorders>
              <w:bottom w:val="single" w:sz="4" w:space="0" w:color="auto"/>
            </w:tcBorders>
            <w:shd w:val="clear" w:color="auto" w:fill="BDD6EE" w:themeFill="accent5" w:themeFillTint="66"/>
            <w:hideMark/>
          </w:tcPr>
          <w:p w:rsidR="003E7725" w:rsidRPr="000B28CE" w:rsidRDefault="003E7725" w:rsidP="003E7725">
            <w:pPr>
              <w:spacing w:after="0" w:line="240" w:lineRule="auto"/>
              <w:rPr>
                <w:rFonts w:eastAsia="Times New Roman" w:cs="Arial"/>
                <w:b/>
                <w:bCs/>
                <w:color w:val="000000"/>
                <w:sz w:val="18"/>
                <w:szCs w:val="18"/>
                <w:lang w:val="es-ES"/>
              </w:rPr>
            </w:pPr>
          </w:p>
        </w:tc>
        <w:tc>
          <w:tcPr>
            <w:tcW w:w="996" w:type="dxa"/>
            <w:vMerge/>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p>
        </w:tc>
        <w:tc>
          <w:tcPr>
            <w:tcW w:w="987" w:type="dxa"/>
            <w:vMerge/>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p>
        </w:tc>
        <w:tc>
          <w:tcPr>
            <w:tcW w:w="1181"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182"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182"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182"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 xml:space="preserve">Total </w:t>
            </w:r>
          </w:p>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2021-2023</w:t>
            </w:r>
          </w:p>
        </w:tc>
        <w:tc>
          <w:tcPr>
            <w:tcW w:w="1182" w:type="dxa"/>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b/>
                <w:sz w:val="18"/>
                <w:szCs w:val="18"/>
                <w:lang w:val="es-ES"/>
              </w:rPr>
              <w:t>Cuota anual media</w:t>
            </w:r>
          </w:p>
        </w:tc>
        <w:tc>
          <w:tcPr>
            <w:tcW w:w="1366" w:type="dxa"/>
            <w:vMerge/>
            <w:tcBorders>
              <w:bottom w:val="single" w:sz="4" w:space="0" w:color="auto"/>
            </w:tcBorders>
            <w:shd w:val="clear" w:color="auto" w:fill="BDD6EE" w:themeFill="accent5" w:themeFillTint="66"/>
            <w:hideMark/>
          </w:tcPr>
          <w:p w:rsidR="003E7725" w:rsidRPr="000B28CE" w:rsidRDefault="003E7725" w:rsidP="003E7725">
            <w:pPr>
              <w:spacing w:after="0" w:line="240" w:lineRule="auto"/>
              <w:jc w:val="center"/>
              <w:rPr>
                <w:rFonts w:eastAsia="Times New Roman" w:cs="Arial"/>
                <w:b/>
                <w:bCs/>
                <w:color w:val="000000"/>
                <w:sz w:val="18"/>
                <w:szCs w:val="18"/>
                <w:lang w:val="es-ES"/>
              </w:rPr>
            </w:pP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Afganistán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Albania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Algéria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0.138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25 202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8 401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26 324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8 775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29 670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9 890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30 508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10 169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27 678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Angola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Antigua y Barbuda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Argentina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0.915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2.0488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167 103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55 701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174 543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58 181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196 726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65 575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202 283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67 428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153 349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Armenia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Australia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2.210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4.9484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403 605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134 535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421 573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140 524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475 153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158 384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488 574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162 858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401 767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Austria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0.677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1.5159</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123 638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41 213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129 142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43 047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145 556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48 519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149 667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49 889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123 779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Bangladesh</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Belarús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0.049</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0.1097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8 949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2 983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9 347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3 116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10 535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3 512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10 833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3 611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9 627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Bélgica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0.821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1.8383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149 937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49 979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156 611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52 204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176 516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58 839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181 502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60 501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152 145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Benín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Bolivia (Estado Plurinacional de)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2 063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Bosnia y Herzegovina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0.0269</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2 235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Brasil</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2.948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6.6009</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538 384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179 461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562 352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187 451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633 825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211 275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651 726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217 242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657 233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Bulgaria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0.1030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8 401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8 775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9 890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3 297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10 169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3 390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7 736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Burkina Faso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Burundí</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Cabo Verde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Camerún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0.0291</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Chad</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Chile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0.407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0.9113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74 329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24 776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77 638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25 879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87 506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29 169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89 977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29 992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68 594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Congo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1 031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Islas Cook</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Costa Rica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0.1388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11 323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3 774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11 827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3 942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13 330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4 443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13 707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4 569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8 080</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Côte d’Ivoire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0.0291</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Croacia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0.1724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14 062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4 687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14 688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16 555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5 518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17 023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5 674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17 020</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29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Cuba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0.1791</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15 261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5 087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17 200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5 733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17 686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5 895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11 175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Chipre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6 575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2 192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6 867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2 289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7 740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2 580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7 959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2 653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7 392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República Checa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0.311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0.6964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56 797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18 932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59 325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19 775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66 865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22 288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68 754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22 918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59 139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sz w:val="18"/>
                <w:szCs w:val="18"/>
                <w:lang w:val="es-ES"/>
              </w:rPr>
              <w:t>República Democrática del Congo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Dinamarca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0.554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1.2405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101 175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33 725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105 679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35 226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119 111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39 704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122 475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40 825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100 399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Djibouti</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República Dominicana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0.1187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9 679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3 226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11 395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3 798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11 717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3 906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7 908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Ecuador</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0.1791</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15 261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5 087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17 200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5 733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17 686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5 895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11 518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Egipto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0.186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0.4165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33 969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11 323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35 481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11 827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39 990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13 330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41 120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13 707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26 131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 Ecuatorial</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39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Eritrea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Estonia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0.039</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0.0873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7 122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2 374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7 440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2 480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8 385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2 795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8 622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2 874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6 533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Eswatini</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Etiopía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Unión Europea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2.5000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203 905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67 968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212 983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70 994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240 052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80 017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246 832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82 277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203 905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Fiji</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Finlandia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0.421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0.9427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76 886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25 629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80 309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26 770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90 516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30 172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93 072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31 024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78 393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Francia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4.427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9.9126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808 488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269 496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844 481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281 494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951 812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317 271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978 695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326 232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835 338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Gab</w:t>
            </w:r>
            <w:r w:rsidR="00C612AE">
              <w:rPr>
                <w:rFonts w:eastAsia="Times New Roman" w:cs="Arial"/>
                <w:color w:val="000000"/>
                <w:sz w:val="18"/>
                <w:szCs w:val="18"/>
                <w:lang w:val="es-ES"/>
              </w:rPr>
              <w:t>ó</w:t>
            </w:r>
            <w:r w:rsidRPr="000B28CE">
              <w:rPr>
                <w:rFonts w:eastAsia="Times New Roman" w:cs="Arial"/>
                <w:color w:val="000000"/>
                <w:sz w:val="18"/>
                <w:szCs w:val="18"/>
                <w:lang w:val="es-ES"/>
              </w:rPr>
              <w:t>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0.0336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2 923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Gambia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49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Georgia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Alemania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6.090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13.6362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1 112 197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370 732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1 161 710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387 237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1 309 359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436 453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1 346 341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448 780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1 098 368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Ghana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0.0336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2 751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Grecia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0.366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0.8195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66 841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22 280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69 817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23 272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78 691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26 230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80 913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26 971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80 972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Guinea-Bissau</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Honduras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0.0202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1 375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Hungría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0.206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0.4613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37 621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12 540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39 296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13 099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44 290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14 763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45 541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15 180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27 678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India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0.834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1.8674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152 311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50 770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159 091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53 030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179 311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59 770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184 376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61 459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126 702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sz w:val="18"/>
                <w:szCs w:val="18"/>
                <w:lang w:val="es-ES"/>
              </w:rPr>
              <w:t>Irán (República Islámica de</w:t>
            </w:r>
            <w:r w:rsidRPr="000B28CE">
              <w:rPr>
                <w:rFonts w:eastAsia="Times New Roman" w:cs="Arial"/>
                <w:color w:val="000000"/>
                <w:sz w:val="18"/>
                <w:szCs w:val="18"/>
                <w:lang w:val="es-ES"/>
              </w:rPr>
              <w:t>)</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0.398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0.8912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72 685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24 228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75 921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25 307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85 571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28 524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87 987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29 329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80 972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59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Iraq</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0.129</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0.2888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23 559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7 853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24 608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8 203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27 735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9 245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28 519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9 506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22 177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Irlanda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0.371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0.8307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67 755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22 585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70 771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23 590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79 766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26 589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82 018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27 339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57 592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Israel</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0.490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1.0972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89 487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29 829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93 471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31 157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105 351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35 117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108 326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36 109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73 924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Italia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3.307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7.4048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603 946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201 315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630 833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210 278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711 010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237 003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731 092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243 697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644 339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Jordania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3 438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sz w:val="18"/>
                <w:szCs w:val="18"/>
                <w:lang w:val="es-ES"/>
              </w:rPr>
              <w:t>Kazajstán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0.3986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32 508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10 836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33 955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11 318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38 270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12 757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39 351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13 117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32 836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Kenya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0.0537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3 094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sz w:val="18"/>
                <w:szCs w:val="18"/>
                <w:lang w:val="es-ES"/>
              </w:rPr>
              <w:t>Kirguistán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Letonia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0.1052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8 583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8 966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2 989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3 368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10 390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3 463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8 596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Líbano*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0.1052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8 583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8 966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2 989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10 105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3 368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10 390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3 463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69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Liberia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Libia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0.0672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6 097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2 032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6 450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2 150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6 632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2 211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21 489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Liechtenstein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0.0202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1 203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Lituania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12 966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4 322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13 544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4 515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15 265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5 088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15 696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5 232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12 378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Luxemburgo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0.1500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12 236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4 079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12 781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4 260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14 405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4 802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14 812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4 937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11 003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Madagascar</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Malawi*</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Maldivas*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Mali</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516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Malta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0.0381</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2 751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79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Mauritania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Mauricio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2 063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Mónaco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Mongolia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Montenegro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Marruecos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0.1232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10 044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3 348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10 492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3 497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11 825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3 942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12 159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4 053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9 283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Mozambique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Países Bajos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1.356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3.0362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247 642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82 547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258 666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86 222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291 542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97 181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299 776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99 925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254 779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Nueva Zelandia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0.291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0.6516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53 144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17 715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55 510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18 503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62 565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20 855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64 333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21 444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46 073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Níger</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89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Nigeria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0.250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0.5598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45 657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15 219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47 689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15 896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53 750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17 917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55 269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18 423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35 930</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Macedonia del Norte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1 203</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Noruega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0.754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1.6883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137 701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45 900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143 831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47 944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162 111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54 037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166 690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55 563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145 956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Pakistán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0.115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0.2575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21 002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7 001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21 937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7 312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24 725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8 242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25 424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8 475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15 988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Palau</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Panamá</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0.1008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8 218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2 739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8 584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9 675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9 948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3 316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5 845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Paraguay</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0.0358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2 407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Perú</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0.3403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27 759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9 253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28 995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9 665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32 680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10 893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33 603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11 201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23 381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Filipinas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0.205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0.4590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37 438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12 479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39 105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13 035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44 075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14 692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45 320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15 107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28 366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Polonia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0.802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1.7958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146 467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48 822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152 987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50 996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172 431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57 477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177 301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59 100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144 581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99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Portugal</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0.350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0.7837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63 919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21 306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66 765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22 255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75 251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25 084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77 376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25 792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67 391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w:t>
            </w:r>
            <w:r w:rsidR="00C612AE">
              <w:rPr>
                <w:rFonts w:eastAsia="Times New Roman" w:cs="Arial"/>
                <w:color w:val="000000"/>
                <w:sz w:val="18"/>
                <w:szCs w:val="18"/>
                <w:lang w:val="es-ES"/>
              </w:rPr>
              <w:t>a</w:t>
            </w:r>
            <w:r w:rsidRPr="000B28CE">
              <w:rPr>
                <w:rFonts w:eastAsia="Times New Roman" w:cs="Arial"/>
                <w:color w:val="000000"/>
                <w:sz w:val="18"/>
                <w:szCs w:val="18"/>
                <w:lang w:val="es-ES"/>
              </w:rPr>
              <w:t xml:space="preserve"> de Moldova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Rumania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0.198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0.4433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36 160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12 053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37 770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12 590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42 570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14 190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43 773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14 591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31 632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Rwanda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0.0067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344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Samoa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Santo Tomé y Príncipe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Arabia Saudita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1.172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2.6242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214 038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71 346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223 567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74 522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251 982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83 994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259 099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86 366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197 015</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Senegal</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0.0157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860</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Serbia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0.0627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6 188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2 063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6 259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2 086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5 501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Seychelles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109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Eslovaquia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0.153</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0.3426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27 942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9 314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29 186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9 729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32 895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10 965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33 824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11 275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27 506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Eslovenia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0.1702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13 880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4 627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14 498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4 833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16 340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5 447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16 802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5 601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14 441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Somalia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Sudáfrica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0.272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49 674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16 558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51 886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17 295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58 480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19 493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60 132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20 044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62 577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España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2.146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4.8051</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391 917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130 639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409 364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136 455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461 393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153 798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474 425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158 142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419 990</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Sri Lanka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0.0985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8 036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2 679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8 393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2 798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9 460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3 153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9 727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3 242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5 329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Suecia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0.906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2.0286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165 460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55 153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172 826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57 609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194 791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64 930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200 293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66 764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164 351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Suiza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1.151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2.5772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210 203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70 068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219 561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73 187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247 467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82 489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254 456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84 819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195 984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República Árabe Siria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0.0246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4 126</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Tayikistán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0.0090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119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Togo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0.0045</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172</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Trinidad y Tobago*</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0.040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0.0896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7 305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2 435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7 630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2 543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8 600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2 867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8 843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2 948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New Party</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121</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Túnez</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0.0560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6 017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2 006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4 814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122</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Uganda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0.008</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0.0179</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1 547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123</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Ucrania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0.057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0.1276</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10 410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3 470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10 873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3 624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12 255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4 085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12 601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4 200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17 707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124</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sz w:val="18"/>
                <w:szCs w:val="18"/>
                <w:lang w:val="es-ES"/>
              </w:rPr>
              <w:t>Emiratos Árabes Unidos</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0.616</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1.3793</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112 498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37 499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117 506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39 169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132 441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44 147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136 182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45 394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103 837</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125</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Reino Unido de Gran Bretaña e Irlanda del Norte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4.567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10.2260</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834 056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278 019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871 187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290 396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981 912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327 304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1 009 645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336 548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767 259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126</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cs="Arial"/>
                <w:sz w:val="18"/>
                <w:szCs w:val="18"/>
                <w:lang w:val="es-ES"/>
              </w:rPr>
              <w:t>República Unida de Tanzanía</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127</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Uruguay</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0.087</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0.1948</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15 889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5 296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16 596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5 532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18 705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6 235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19 233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6 411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13 581</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128</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Uzbekistán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0.032</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0.0717</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6 031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2 010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6 237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2 079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6 880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2 293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7 074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2 358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3 954</w:t>
            </w:r>
          </w:p>
        </w:tc>
      </w:tr>
      <w:tr w:rsidR="003E7725" w:rsidRPr="000B28CE" w:rsidTr="003E7725">
        <w:trPr>
          <w:trHeight w:val="255"/>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129</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Yemen</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0.010</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0.0224</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1 719</w:t>
            </w:r>
          </w:p>
        </w:tc>
      </w:tr>
      <w:tr w:rsidR="003E7725" w:rsidRPr="000B28CE" w:rsidTr="003E7725">
        <w:trPr>
          <w:trHeight w:val="270"/>
        </w:trPr>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130</w:t>
            </w:r>
          </w:p>
        </w:tc>
        <w:tc>
          <w:tcPr>
            <w:tcW w:w="0" w:type="auto"/>
            <w:shd w:val="clear" w:color="auto" w:fill="auto"/>
            <w:vAlign w:val="center"/>
            <w:hideMark/>
          </w:tcPr>
          <w:p w:rsidR="003E7725" w:rsidRPr="000B28CE" w:rsidRDefault="003E7725" w:rsidP="003E7725">
            <w:pPr>
              <w:spacing w:after="0" w:line="240" w:lineRule="auto"/>
              <w:rPr>
                <w:rFonts w:eastAsia="Times New Roman" w:cs="Arial"/>
                <w:color w:val="000000"/>
                <w:sz w:val="18"/>
                <w:szCs w:val="18"/>
                <w:lang w:val="es-ES"/>
              </w:rPr>
            </w:pPr>
            <w:r w:rsidRPr="000B28CE">
              <w:rPr>
                <w:rFonts w:eastAsia="Times New Roman" w:cs="Arial"/>
                <w:color w:val="000000"/>
                <w:sz w:val="18"/>
                <w:szCs w:val="18"/>
                <w:lang w:val="es-ES"/>
              </w:rPr>
              <w:t>Zimbabwe</w:t>
            </w:r>
          </w:p>
        </w:tc>
        <w:tc>
          <w:tcPr>
            <w:tcW w:w="996"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0.005</w:t>
            </w:r>
          </w:p>
        </w:tc>
        <w:tc>
          <w:tcPr>
            <w:tcW w:w="987" w:type="dxa"/>
            <w:shd w:val="clear" w:color="auto" w:fill="auto"/>
            <w:vAlign w:val="center"/>
            <w:hideMark/>
          </w:tcPr>
          <w:p w:rsidR="003E7725" w:rsidRPr="000B28CE" w:rsidRDefault="003E7725" w:rsidP="003E7725">
            <w:pPr>
              <w:spacing w:after="0" w:line="240" w:lineRule="auto"/>
              <w:jc w:val="center"/>
              <w:rPr>
                <w:rFonts w:eastAsia="Times New Roman" w:cs="Arial"/>
                <w:color w:val="000000"/>
                <w:sz w:val="18"/>
                <w:szCs w:val="18"/>
                <w:lang w:val="es-ES"/>
              </w:rPr>
            </w:pPr>
            <w:r w:rsidRPr="000B28CE">
              <w:rPr>
                <w:rFonts w:eastAsia="Times New Roman" w:cs="Arial"/>
                <w:color w:val="000000"/>
                <w:sz w:val="18"/>
                <w:szCs w:val="18"/>
                <w:lang w:val="es-ES"/>
              </w:rPr>
              <w:t>0.0112</w:t>
            </w:r>
          </w:p>
        </w:tc>
        <w:tc>
          <w:tcPr>
            <w:tcW w:w="1181"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6 000 </w:t>
            </w:r>
          </w:p>
        </w:tc>
        <w:tc>
          <w:tcPr>
            <w:tcW w:w="1182"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 xml:space="preserve"> 2 000 </w:t>
            </w:r>
          </w:p>
        </w:tc>
        <w:tc>
          <w:tcPr>
            <w:tcW w:w="1366" w:type="dxa"/>
            <w:shd w:val="clear" w:color="auto" w:fill="auto"/>
            <w:vAlign w:val="center"/>
            <w:hideMark/>
          </w:tcPr>
          <w:p w:rsidR="003E7725" w:rsidRPr="000B28CE" w:rsidRDefault="003E7725" w:rsidP="003E7725">
            <w:pPr>
              <w:spacing w:after="0" w:line="240" w:lineRule="auto"/>
              <w:jc w:val="right"/>
              <w:rPr>
                <w:rFonts w:eastAsia="Times New Roman" w:cs="Arial"/>
                <w:color w:val="000000"/>
                <w:sz w:val="18"/>
                <w:szCs w:val="18"/>
                <w:lang w:val="es-ES"/>
              </w:rPr>
            </w:pPr>
            <w:r w:rsidRPr="000B28CE">
              <w:rPr>
                <w:rFonts w:eastAsia="Times New Roman" w:cs="Arial"/>
                <w:color w:val="000000"/>
                <w:sz w:val="18"/>
                <w:szCs w:val="18"/>
                <w:lang w:val="es-ES"/>
              </w:rPr>
              <w:t>688</w:t>
            </w:r>
          </w:p>
        </w:tc>
      </w:tr>
      <w:tr w:rsidR="003E7725" w:rsidRPr="000B28CE" w:rsidTr="003E7725">
        <w:trPr>
          <w:trHeight w:val="270"/>
        </w:trPr>
        <w:tc>
          <w:tcPr>
            <w:tcW w:w="0" w:type="auto"/>
            <w:shd w:val="clear" w:color="auto" w:fill="BDD6EE" w:themeFill="accent5" w:themeFillTint="66"/>
            <w:vAlign w:val="center"/>
            <w:hideMark/>
          </w:tcPr>
          <w:p w:rsidR="003E7725" w:rsidRPr="000B28CE" w:rsidRDefault="003E7725" w:rsidP="003E7725">
            <w:pPr>
              <w:spacing w:after="0" w:line="240" w:lineRule="auto"/>
              <w:rPr>
                <w:rFonts w:eastAsia="Times New Roman" w:cs="Arial"/>
                <w:b/>
                <w:bCs/>
                <w:color w:val="000000"/>
                <w:sz w:val="18"/>
                <w:szCs w:val="18"/>
                <w:lang w:val="es-ES"/>
              </w:rPr>
            </w:pPr>
          </w:p>
        </w:tc>
        <w:tc>
          <w:tcPr>
            <w:tcW w:w="0" w:type="auto"/>
            <w:shd w:val="clear" w:color="auto" w:fill="BDD6EE" w:themeFill="accent5" w:themeFillTint="66"/>
            <w:vAlign w:val="center"/>
            <w:hideMark/>
          </w:tcPr>
          <w:p w:rsidR="003E7725" w:rsidRPr="000B28CE" w:rsidRDefault="003E7725" w:rsidP="003E7725">
            <w:pPr>
              <w:spacing w:after="0" w:line="240" w:lineRule="auto"/>
              <w:rPr>
                <w:rFonts w:eastAsia="Times New Roman" w:cs="Arial"/>
                <w:b/>
                <w:bCs/>
                <w:color w:val="000000"/>
                <w:sz w:val="18"/>
                <w:szCs w:val="18"/>
                <w:lang w:val="es-ES"/>
              </w:rPr>
            </w:pPr>
            <w:r w:rsidRPr="000B28CE">
              <w:rPr>
                <w:rFonts w:eastAsia="Times New Roman" w:cs="Arial"/>
                <w:b/>
                <w:bCs/>
                <w:color w:val="000000"/>
                <w:sz w:val="18"/>
                <w:szCs w:val="18"/>
                <w:lang w:val="es-ES"/>
              </w:rPr>
              <w:t>Total</w:t>
            </w:r>
          </w:p>
        </w:tc>
        <w:tc>
          <w:tcPr>
            <w:tcW w:w="996" w:type="dxa"/>
            <w:shd w:val="clear" w:color="auto" w:fill="BDD6EE" w:themeFill="accent5" w:themeFillTint="66"/>
            <w:vAlign w:val="center"/>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43.544</w:t>
            </w:r>
          </w:p>
        </w:tc>
        <w:tc>
          <w:tcPr>
            <w:tcW w:w="987" w:type="dxa"/>
            <w:shd w:val="clear" w:color="auto" w:fill="BDD6EE" w:themeFill="accent5" w:themeFillTint="66"/>
            <w:vAlign w:val="center"/>
            <w:hideMark/>
          </w:tcPr>
          <w:p w:rsidR="003E7725" w:rsidRPr="000B28CE" w:rsidRDefault="003E7725" w:rsidP="003E7725">
            <w:pPr>
              <w:spacing w:after="0" w:line="240" w:lineRule="auto"/>
              <w:jc w:val="center"/>
              <w:rPr>
                <w:rFonts w:eastAsia="Times New Roman" w:cs="Arial"/>
                <w:b/>
                <w:bCs/>
                <w:color w:val="000000"/>
                <w:sz w:val="18"/>
                <w:szCs w:val="18"/>
                <w:lang w:val="es-ES"/>
              </w:rPr>
            </w:pPr>
            <w:r w:rsidRPr="000B28CE">
              <w:rPr>
                <w:rFonts w:eastAsia="Times New Roman" w:cs="Arial"/>
                <w:b/>
                <w:bCs/>
                <w:color w:val="000000"/>
                <w:sz w:val="18"/>
                <w:szCs w:val="18"/>
                <w:lang w:val="es-ES"/>
              </w:rPr>
              <w:t>100</w:t>
            </w:r>
          </w:p>
        </w:tc>
        <w:tc>
          <w:tcPr>
            <w:tcW w:w="1181"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8 470 519 </w:t>
            </w:r>
          </w:p>
        </w:tc>
        <w:tc>
          <w:tcPr>
            <w:tcW w:w="1182"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2 823 506 </w:t>
            </w:r>
          </w:p>
        </w:tc>
        <w:tc>
          <w:tcPr>
            <w:tcW w:w="1182"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8 829 484 </w:t>
            </w:r>
          </w:p>
        </w:tc>
        <w:tc>
          <w:tcPr>
            <w:tcW w:w="1182"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2 943 161 </w:t>
            </w:r>
          </w:p>
        </w:tc>
        <w:tc>
          <w:tcPr>
            <w:tcW w:w="1182"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9 900 206 </w:t>
            </w:r>
          </w:p>
        </w:tc>
        <w:tc>
          <w:tcPr>
            <w:tcW w:w="1182"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3 300 069 </w:t>
            </w:r>
          </w:p>
        </w:tc>
        <w:tc>
          <w:tcPr>
            <w:tcW w:w="1182"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10 168 554 </w:t>
            </w:r>
          </w:p>
        </w:tc>
        <w:tc>
          <w:tcPr>
            <w:tcW w:w="1182"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color w:val="000000"/>
                <w:sz w:val="18"/>
                <w:szCs w:val="18"/>
                <w:lang w:val="es-ES"/>
              </w:rPr>
            </w:pPr>
            <w:r w:rsidRPr="000B28CE">
              <w:rPr>
                <w:rFonts w:eastAsia="Times New Roman" w:cs="Arial"/>
                <w:b/>
                <w:color w:val="000000"/>
                <w:sz w:val="18"/>
                <w:szCs w:val="18"/>
                <w:lang w:val="es-ES"/>
              </w:rPr>
              <w:t xml:space="preserve"> 3 389 518 </w:t>
            </w:r>
          </w:p>
        </w:tc>
        <w:tc>
          <w:tcPr>
            <w:tcW w:w="1366" w:type="dxa"/>
            <w:shd w:val="clear" w:color="auto" w:fill="BDD6EE" w:themeFill="accent5" w:themeFillTint="66"/>
            <w:vAlign w:val="center"/>
            <w:hideMark/>
          </w:tcPr>
          <w:p w:rsidR="003E7725" w:rsidRPr="000B28CE" w:rsidRDefault="003E7725" w:rsidP="003E7725">
            <w:pPr>
              <w:spacing w:after="0" w:line="240" w:lineRule="auto"/>
              <w:jc w:val="right"/>
              <w:rPr>
                <w:rFonts w:eastAsia="Times New Roman" w:cs="Arial"/>
                <w:b/>
                <w:bCs/>
                <w:color w:val="000000"/>
                <w:sz w:val="18"/>
                <w:szCs w:val="18"/>
                <w:lang w:val="es-ES"/>
              </w:rPr>
            </w:pPr>
            <w:r w:rsidRPr="000B28CE">
              <w:rPr>
                <w:rFonts w:eastAsia="Times New Roman" w:cs="Arial"/>
                <w:b/>
                <w:bCs/>
                <w:color w:val="000000"/>
                <w:sz w:val="18"/>
                <w:szCs w:val="18"/>
                <w:lang w:val="es-ES"/>
              </w:rPr>
              <w:t>8 156 202</w:t>
            </w:r>
          </w:p>
        </w:tc>
      </w:tr>
    </w:tbl>
    <w:p w:rsidR="003E7725" w:rsidRPr="000B28CE" w:rsidRDefault="003E7725" w:rsidP="003E7725">
      <w:pPr>
        <w:spacing w:after="0" w:line="240" w:lineRule="auto"/>
        <w:jc w:val="center"/>
        <w:rPr>
          <w:b/>
          <w:sz w:val="18"/>
          <w:lang w:val="es-ES"/>
        </w:rPr>
      </w:pPr>
    </w:p>
    <w:p w:rsidR="008B5DF7" w:rsidRPr="000B28CE" w:rsidRDefault="008B5DF7" w:rsidP="008B5DF7">
      <w:pPr>
        <w:pStyle w:val="Firstnumbering1"/>
        <w:numPr>
          <w:ilvl w:val="0"/>
          <w:numId w:val="0"/>
        </w:numPr>
        <w:ind w:left="567"/>
        <w:rPr>
          <w:sz w:val="20"/>
          <w:szCs w:val="20"/>
        </w:rPr>
      </w:pPr>
      <w:r w:rsidRPr="000B28CE">
        <w:rPr>
          <w:sz w:val="20"/>
          <w:szCs w:val="20"/>
        </w:rPr>
        <w:t xml:space="preserve">* </w:t>
      </w:r>
      <w:r w:rsidR="003F0B47" w:rsidRPr="000B28CE">
        <w:rPr>
          <w:sz w:val="20"/>
          <w:szCs w:val="20"/>
        </w:rPr>
        <w:t>Países que han accedido a la Convención después de</w:t>
      </w:r>
      <w:r w:rsidRPr="000B28CE">
        <w:rPr>
          <w:sz w:val="20"/>
          <w:szCs w:val="20"/>
        </w:rPr>
        <w:t xml:space="preserve"> 1 </w:t>
      </w:r>
      <w:r w:rsidR="003F0B47" w:rsidRPr="000B28CE">
        <w:rPr>
          <w:sz w:val="20"/>
          <w:szCs w:val="20"/>
        </w:rPr>
        <w:t>de enero</w:t>
      </w:r>
      <w:r w:rsidRPr="000B28CE">
        <w:rPr>
          <w:sz w:val="20"/>
          <w:szCs w:val="20"/>
        </w:rPr>
        <w:t xml:space="preserve"> 2018</w:t>
      </w:r>
    </w:p>
    <w:p w:rsidR="008B5DF7" w:rsidRPr="000B28CE" w:rsidRDefault="008B5DF7" w:rsidP="008B5DF7">
      <w:pPr>
        <w:pStyle w:val="Firstnumbering1"/>
        <w:numPr>
          <w:ilvl w:val="0"/>
          <w:numId w:val="0"/>
        </w:numPr>
        <w:ind w:left="567"/>
      </w:pPr>
    </w:p>
    <w:p w:rsidR="008B5DF7" w:rsidRPr="000B28CE" w:rsidRDefault="008B5DF7" w:rsidP="008B5DF7">
      <w:pPr>
        <w:pStyle w:val="Firstnumbering1"/>
        <w:numPr>
          <w:ilvl w:val="0"/>
          <w:numId w:val="0"/>
        </w:numPr>
        <w:ind w:left="567"/>
        <w:sectPr w:rsidR="008B5DF7" w:rsidRPr="000B28CE" w:rsidSect="008B5DF7">
          <w:headerReference w:type="even" r:id="rId30"/>
          <w:headerReference w:type="default" r:id="rId31"/>
          <w:headerReference w:type="first" r:id="rId32"/>
          <w:pgSz w:w="16838" w:h="11906" w:orient="landscape" w:code="9"/>
          <w:pgMar w:top="1134" w:right="1134" w:bottom="1134" w:left="1134" w:header="720" w:footer="720" w:gutter="0"/>
          <w:cols w:space="720"/>
          <w:titlePg/>
          <w:docGrid w:linePitch="360"/>
        </w:sectPr>
      </w:pPr>
    </w:p>
    <w:p w:rsidR="008B5DF7" w:rsidRPr="000B28CE" w:rsidRDefault="008B5DF7" w:rsidP="00FA4FBA">
      <w:pPr>
        <w:spacing w:after="0" w:line="240" w:lineRule="auto"/>
        <w:jc w:val="right"/>
        <w:rPr>
          <w:rFonts w:cs="Arial"/>
          <w:b/>
          <w:bCs/>
          <w:caps/>
          <w:lang w:val="es-ES"/>
        </w:rPr>
      </w:pPr>
      <w:r w:rsidRPr="000B28CE">
        <w:rPr>
          <w:rFonts w:cs="Arial"/>
          <w:b/>
          <w:caps/>
          <w:lang w:val="es-ES"/>
        </w:rPr>
        <w:t>Anex</w:t>
      </w:r>
      <w:r w:rsidR="00301290" w:rsidRPr="000B28CE">
        <w:rPr>
          <w:rFonts w:cs="Arial"/>
          <w:b/>
          <w:caps/>
          <w:lang w:val="es-ES"/>
        </w:rPr>
        <w:t>O</w:t>
      </w:r>
      <w:r w:rsidRPr="000B28CE">
        <w:rPr>
          <w:rFonts w:cs="Arial"/>
          <w:b/>
          <w:caps/>
          <w:lang w:val="es-ES"/>
        </w:rPr>
        <w:t xml:space="preserve"> </w:t>
      </w:r>
      <w:r w:rsidR="004E0538" w:rsidRPr="000B28CE">
        <w:rPr>
          <w:rFonts w:cs="Arial"/>
          <w:b/>
          <w:caps/>
          <w:lang w:val="es-ES"/>
        </w:rPr>
        <w:t>5</w:t>
      </w:r>
    </w:p>
    <w:p w:rsidR="008B5DF7" w:rsidRPr="000B28CE" w:rsidRDefault="008B5DF7" w:rsidP="00FA4FBA">
      <w:pPr>
        <w:spacing w:after="0" w:line="240" w:lineRule="auto"/>
        <w:rPr>
          <w:rFonts w:cs="Arial"/>
          <w:lang w:val="es-ES"/>
        </w:rPr>
      </w:pPr>
    </w:p>
    <w:p w:rsidR="00301290" w:rsidRPr="000B28CE" w:rsidRDefault="00301290" w:rsidP="004E0538">
      <w:pPr>
        <w:spacing w:after="0" w:line="240" w:lineRule="auto"/>
        <w:jc w:val="center"/>
        <w:rPr>
          <w:rFonts w:cs="Arial"/>
          <w:lang w:val="es-ES"/>
        </w:rPr>
      </w:pPr>
      <w:r w:rsidRPr="000B28CE">
        <w:rPr>
          <w:lang w:val="es-ES"/>
        </w:rPr>
        <w:t>PROYECTO DE RESOLUCIÓN</w:t>
      </w:r>
    </w:p>
    <w:p w:rsidR="00301290" w:rsidRPr="000B28CE" w:rsidRDefault="00301290" w:rsidP="004E0538">
      <w:pPr>
        <w:spacing w:after="0" w:line="240" w:lineRule="auto"/>
        <w:jc w:val="center"/>
        <w:rPr>
          <w:rFonts w:cs="Arial"/>
          <w:lang w:val="es-ES"/>
        </w:rPr>
      </w:pPr>
    </w:p>
    <w:p w:rsidR="00301290" w:rsidRPr="000B28CE" w:rsidRDefault="00301290" w:rsidP="004E053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0B28CE">
        <w:rPr>
          <w:b/>
          <w:caps/>
          <w:lang w:val="es-ES"/>
        </w:rPr>
        <w:t>ASUNTOS ADMINISTRATIVOS Y FINANCIEROS</w:t>
      </w:r>
    </w:p>
    <w:p w:rsidR="008B5DF7" w:rsidRPr="000B28CE" w:rsidRDefault="008B5DF7" w:rsidP="004E053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p>
    <w:p w:rsidR="00301290" w:rsidRPr="000B28CE" w:rsidRDefault="00301290" w:rsidP="004E0538">
      <w:pPr>
        <w:spacing w:after="0" w:line="240" w:lineRule="auto"/>
        <w:jc w:val="both"/>
        <w:rPr>
          <w:rFonts w:cs="Arial"/>
          <w:lang w:val="es-ES"/>
        </w:rPr>
      </w:pPr>
      <w:r w:rsidRPr="000B28CE">
        <w:rPr>
          <w:i/>
          <w:lang w:val="es-ES"/>
        </w:rPr>
        <w:t>Recordando</w:t>
      </w:r>
      <w:r w:rsidRPr="000B28CE">
        <w:rPr>
          <w:lang w:val="es-ES"/>
        </w:rPr>
        <w:t xml:space="preserve"> el Artículo VII párrafo 4 de la Convención, que dice lo siguiente:</w:t>
      </w:r>
    </w:p>
    <w:p w:rsidR="008B5DF7" w:rsidRPr="000B28CE" w:rsidRDefault="008B5DF7" w:rsidP="004E0538">
      <w:pPr>
        <w:spacing w:after="0" w:line="240" w:lineRule="auto"/>
        <w:jc w:val="both"/>
        <w:rPr>
          <w:rFonts w:cs="Arial"/>
          <w:lang w:val="es-ES"/>
        </w:rPr>
      </w:pPr>
    </w:p>
    <w:p w:rsidR="00301290" w:rsidRPr="000B28CE" w:rsidRDefault="00301290" w:rsidP="004E0538">
      <w:pPr>
        <w:spacing w:after="0" w:line="240" w:lineRule="auto"/>
        <w:jc w:val="both"/>
        <w:rPr>
          <w:rFonts w:cs="Arial"/>
          <w:lang w:val="es-ES"/>
        </w:rPr>
      </w:pPr>
      <w:r w:rsidRPr="000B28CE">
        <w:rPr>
          <w:lang w:val="es-ES"/>
        </w:rPr>
        <w:t>“La Conferencia de las Partes establecerá y mantendrá en examen el reglamento financiero de la presente Convención.  La Conferencia de las Partes, en cada una de sus reuniones ordinarias, aprobará el presupuesto para el ejercicio económico siguiente.  Cada una de las Partes contribuirá a este presupuesto conforme a una escala convenida por la Conferencia”;</w:t>
      </w:r>
    </w:p>
    <w:p w:rsidR="008B5DF7" w:rsidRPr="000B28CE" w:rsidRDefault="008B5DF7" w:rsidP="004E0538">
      <w:pPr>
        <w:spacing w:after="0" w:line="240" w:lineRule="auto"/>
        <w:jc w:val="both"/>
        <w:rPr>
          <w:rFonts w:cs="Arial"/>
          <w:lang w:val="es-ES"/>
        </w:rPr>
      </w:pPr>
    </w:p>
    <w:p w:rsidR="00301290" w:rsidRPr="000B28CE" w:rsidRDefault="00301290" w:rsidP="004E0538">
      <w:pPr>
        <w:spacing w:after="0" w:line="240" w:lineRule="auto"/>
        <w:jc w:val="both"/>
        <w:rPr>
          <w:rFonts w:cs="Arial"/>
          <w:lang w:val="es-ES"/>
        </w:rPr>
      </w:pPr>
      <w:r w:rsidRPr="000B28CE">
        <w:rPr>
          <w:i/>
          <w:lang w:val="es-ES"/>
        </w:rPr>
        <w:t>Reconociendo</w:t>
      </w:r>
      <w:r w:rsidRPr="000B28CE">
        <w:rPr>
          <w:lang w:val="es-ES"/>
        </w:rPr>
        <w:t xml:space="preserve"> la importancia de que todas las Partes puedan participar en la aplicación de la Convención y las actividades relacionadas; y</w:t>
      </w:r>
    </w:p>
    <w:p w:rsidR="008B5DF7" w:rsidRPr="000B28CE" w:rsidRDefault="008B5DF7" w:rsidP="004E0538">
      <w:pPr>
        <w:spacing w:after="0" w:line="240" w:lineRule="auto"/>
        <w:jc w:val="both"/>
        <w:rPr>
          <w:rFonts w:cs="Arial"/>
          <w:lang w:val="es-ES"/>
        </w:rPr>
      </w:pPr>
    </w:p>
    <w:p w:rsidR="00301290" w:rsidRPr="000B28CE" w:rsidRDefault="00301290" w:rsidP="004E0538">
      <w:pPr>
        <w:spacing w:after="0" w:line="240" w:lineRule="auto"/>
        <w:jc w:val="both"/>
        <w:rPr>
          <w:rFonts w:cs="Arial"/>
          <w:lang w:val="es-ES"/>
        </w:rPr>
      </w:pPr>
      <w:r w:rsidRPr="000B28CE">
        <w:rPr>
          <w:i/>
          <w:lang w:val="es-ES"/>
        </w:rPr>
        <w:t xml:space="preserve">Teniendo en cuenta </w:t>
      </w:r>
      <w:r w:rsidRPr="000B28CE">
        <w:rPr>
          <w:lang w:val="es-ES"/>
        </w:rPr>
        <w:t xml:space="preserve">el aumento del número de las Partes, de otros países y organizaciones que asisten a la reunión de la Conferencia de las Partes en calidad de observadores, así como los gastos adicionales resultantes para las Partes; y </w:t>
      </w:r>
    </w:p>
    <w:p w:rsidR="008B5DF7" w:rsidRPr="000B28CE" w:rsidRDefault="008B5DF7" w:rsidP="004E0538">
      <w:pPr>
        <w:spacing w:after="0" w:line="240" w:lineRule="auto"/>
        <w:jc w:val="both"/>
        <w:rPr>
          <w:rFonts w:cs="Arial"/>
          <w:lang w:val="es-ES"/>
        </w:rPr>
      </w:pPr>
    </w:p>
    <w:p w:rsidR="00301290" w:rsidRPr="000B28CE" w:rsidRDefault="00301290" w:rsidP="004E0538">
      <w:pPr>
        <w:spacing w:after="0" w:line="240" w:lineRule="auto"/>
        <w:jc w:val="both"/>
        <w:rPr>
          <w:rFonts w:cs="Arial"/>
          <w:i/>
          <w:lang w:val="es-ES"/>
        </w:rPr>
      </w:pPr>
      <w:r w:rsidRPr="000B28CE">
        <w:rPr>
          <w:i/>
          <w:lang w:val="es-ES"/>
        </w:rPr>
        <w:t>Tomando nota</w:t>
      </w:r>
      <w:r w:rsidRPr="000B28CE">
        <w:rPr>
          <w:lang w:val="es-ES"/>
        </w:rPr>
        <w:t xml:space="preserve"> de que el nivel actual del saldo del Fondo Fiduciario y la tendencia </w:t>
      </w:r>
      <w:r w:rsidR="00433895">
        <w:rPr>
          <w:lang w:val="es-ES"/>
        </w:rPr>
        <w:t>creciente</w:t>
      </w:r>
      <w:r w:rsidRPr="000B28CE">
        <w:rPr>
          <w:lang w:val="es-ES"/>
        </w:rPr>
        <w:t xml:space="preserve"> de</w:t>
      </w:r>
      <w:r w:rsidR="00433895">
        <w:rPr>
          <w:lang w:val="es-ES"/>
        </w:rPr>
        <w:t xml:space="preserve"> Partes con contribuciones en mora en los balances de final del ejercicio </w:t>
      </w:r>
      <w:r w:rsidRPr="000B28CE">
        <w:rPr>
          <w:lang w:val="es-ES"/>
        </w:rPr>
        <w:t>hace</w:t>
      </w:r>
      <w:r w:rsidR="00433895">
        <w:rPr>
          <w:lang w:val="es-ES"/>
        </w:rPr>
        <w:t>n</w:t>
      </w:r>
      <w:r w:rsidRPr="000B28CE">
        <w:rPr>
          <w:lang w:val="es-ES"/>
        </w:rPr>
        <w:t xml:space="preserve"> imposible la detracción de recursos del saldo del Fondo Fiduciario para contribuir a la financiación del presupuesto actual ya que ello podría afectar negativamente a la liquidez de este fondo;</w:t>
      </w:r>
    </w:p>
    <w:p w:rsidR="008B5DF7" w:rsidRPr="000B28CE" w:rsidRDefault="008B5DF7" w:rsidP="004E0538">
      <w:pPr>
        <w:spacing w:after="0" w:line="240" w:lineRule="auto"/>
        <w:jc w:val="both"/>
        <w:rPr>
          <w:rFonts w:cs="Arial"/>
          <w:lang w:val="es-ES"/>
        </w:rPr>
      </w:pPr>
    </w:p>
    <w:p w:rsidR="00301290" w:rsidRPr="000B28CE" w:rsidRDefault="00301290" w:rsidP="004E0538">
      <w:pPr>
        <w:spacing w:after="0" w:line="240" w:lineRule="auto"/>
        <w:jc w:val="both"/>
        <w:rPr>
          <w:rFonts w:cs="Arial"/>
          <w:lang w:val="es-ES"/>
        </w:rPr>
      </w:pPr>
      <w:r w:rsidRPr="000B28CE">
        <w:rPr>
          <w:i/>
          <w:lang w:val="es-ES"/>
        </w:rPr>
        <w:t>Habiendo examinado</w:t>
      </w:r>
      <w:r w:rsidRPr="000B28CE">
        <w:rPr>
          <w:lang w:val="es-ES"/>
        </w:rPr>
        <w:t xml:space="preserve"> el Programa de trabajo propuesto para</w:t>
      </w:r>
      <w:r w:rsidRPr="000B28CE">
        <w:rPr>
          <w:rFonts w:cs="Arial"/>
          <w:lang w:val="es-ES"/>
        </w:rPr>
        <w:t xml:space="preserve"> </w:t>
      </w:r>
      <w:r w:rsidR="00B53ED9">
        <w:rPr>
          <w:rFonts w:cs="Arial"/>
          <w:lang w:val="es-ES"/>
        </w:rPr>
        <w:t>el ciclo del periodo entre las sesiones de la COP13 y la COP14</w:t>
      </w:r>
      <w:r w:rsidRPr="000B28CE">
        <w:rPr>
          <w:rFonts w:cs="Arial"/>
          <w:lang w:val="es-ES"/>
        </w:rPr>
        <w:t xml:space="preserve"> </w:t>
      </w:r>
      <w:r w:rsidRPr="000B28CE">
        <w:rPr>
          <w:lang w:val="es-ES"/>
        </w:rPr>
        <w:t>presentado por la Secretaría;</w:t>
      </w:r>
    </w:p>
    <w:p w:rsidR="008B5DF7" w:rsidRPr="000B28CE" w:rsidRDefault="008B5DF7" w:rsidP="004E0538">
      <w:pPr>
        <w:spacing w:after="0" w:line="240" w:lineRule="auto"/>
        <w:jc w:val="both"/>
        <w:rPr>
          <w:rFonts w:cs="Arial"/>
          <w:lang w:val="es-ES"/>
        </w:rPr>
      </w:pPr>
    </w:p>
    <w:p w:rsidR="00301290" w:rsidRPr="000B28CE" w:rsidRDefault="00301290" w:rsidP="004E0538">
      <w:pPr>
        <w:spacing w:after="0" w:line="240" w:lineRule="auto"/>
        <w:jc w:val="center"/>
        <w:rPr>
          <w:rFonts w:cs="Arial"/>
          <w:i/>
          <w:lang w:val="es-ES"/>
        </w:rPr>
      </w:pPr>
      <w:r w:rsidRPr="000B28CE">
        <w:rPr>
          <w:i/>
          <w:lang w:val="es-ES"/>
        </w:rPr>
        <w:t>La Conferencia de las Partes en la</w:t>
      </w:r>
    </w:p>
    <w:p w:rsidR="008B5DF7" w:rsidRPr="000B28CE" w:rsidRDefault="00301290" w:rsidP="004E0538">
      <w:pPr>
        <w:spacing w:after="0" w:line="240" w:lineRule="auto"/>
        <w:jc w:val="both"/>
        <w:rPr>
          <w:i/>
          <w:lang w:val="es-ES"/>
        </w:rPr>
      </w:pPr>
      <w:r w:rsidRPr="000B28CE">
        <w:rPr>
          <w:i/>
          <w:lang w:val="es-ES"/>
        </w:rPr>
        <w:t>Convención sobre la Conservación de las Especies Migratorias de Animales Silvestres</w:t>
      </w:r>
    </w:p>
    <w:p w:rsidR="00301290" w:rsidRPr="000B28CE" w:rsidRDefault="00301290" w:rsidP="004E0538">
      <w:pPr>
        <w:spacing w:after="0" w:line="240" w:lineRule="auto"/>
        <w:jc w:val="both"/>
        <w:rPr>
          <w:rFonts w:cs="Arial"/>
          <w:lang w:val="es-ES"/>
        </w:rPr>
      </w:pPr>
    </w:p>
    <w:p w:rsidR="008B5DF7" w:rsidRPr="000B28CE" w:rsidRDefault="00301290"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Confirma</w:t>
      </w:r>
      <w:r w:rsidRPr="000B28CE">
        <w:rPr>
          <w:lang w:val="es-ES"/>
        </w:rPr>
        <w:t xml:space="preserve"> que todas las Partes </w:t>
      </w:r>
      <w:r w:rsidR="009E666D">
        <w:rPr>
          <w:lang w:val="es-ES"/>
        </w:rPr>
        <w:t>deberán contribuir</w:t>
      </w:r>
      <w:r w:rsidRPr="000B28CE">
        <w:rPr>
          <w:lang w:val="es-ES"/>
        </w:rPr>
        <w:t xml:space="preserve"> al presupuesto aprobado en la escala acordada por la Conferencia de las Partes de conformidad con el Artículo VII, párrafo 4 de la Convención</w:t>
      </w:r>
      <w:r w:rsidR="008B5DF7" w:rsidRPr="000B28CE">
        <w:rPr>
          <w:rFonts w:cs="Arial"/>
          <w:lang w:val="es-ES"/>
        </w:rPr>
        <w:t>;</w:t>
      </w:r>
    </w:p>
    <w:p w:rsidR="008B5DF7" w:rsidRPr="000B28CE" w:rsidRDefault="008B5DF7" w:rsidP="004E0538">
      <w:pPr>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Adopta</w:t>
      </w:r>
      <w:r w:rsidRPr="000B28CE">
        <w:rPr>
          <w:lang w:val="es-ES"/>
        </w:rPr>
        <w:t xml:space="preserve"> el presupuesto para </w:t>
      </w:r>
      <w:r w:rsidR="008B5DF7" w:rsidRPr="000B28CE">
        <w:rPr>
          <w:rFonts w:cs="Arial"/>
          <w:lang w:val="es-ES"/>
        </w:rPr>
        <w:t>2021</w:t>
      </w:r>
      <w:r w:rsidR="00144AF9">
        <w:rPr>
          <w:rFonts w:cs="Arial"/>
          <w:lang w:val="es-ES"/>
        </w:rPr>
        <w:t xml:space="preserve"> al</w:t>
      </w:r>
      <w:r w:rsidR="008B5DF7" w:rsidRPr="000B28CE">
        <w:rPr>
          <w:rFonts w:cs="Arial"/>
          <w:lang w:val="es-ES"/>
        </w:rPr>
        <w:t xml:space="preserve"> 2023 </w:t>
      </w:r>
      <w:r w:rsidRPr="000B28CE">
        <w:rPr>
          <w:lang w:val="es-ES"/>
        </w:rPr>
        <w:t xml:space="preserve">que se adjunta como Anexo </w:t>
      </w:r>
      <w:r w:rsidR="008B5DF7" w:rsidRPr="000B28CE">
        <w:rPr>
          <w:rFonts w:cs="Arial"/>
          <w:lang w:val="es-ES"/>
        </w:rPr>
        <w:t>[</w:t>
      </w:r>
      <w:r w:rsidR="009E666D">
        <w:rPr>
          <w:rFonts w:cs="Arial"/>
          <w:lang w:val="es-ES"/>
        </w:rPr>
        <w:t xml:space="preserve"> </w:t>
      </w:r>
      <w:r w:rsidR="008B5DF7" w:rsidRPr="000B28CE">
        <w:rPr>
          <w:rFonts w:cs="Arial"/>
          <w:lang w:val="es-ES"/>
        </w:rPr>
        <w:t xml:space="preserve"> ] </w:t>
      </w:r>
      <w:r w:rsidRPr="000B28CE">
        <w:rPr>
          <w:lang w:val="es-ES"/>
        </w:rPr>
        <w:t>de la presente Resolución;</w:t>
      </w:r>
    </w:p>
    <w:p w:rsidR="008B5DF7" w:rsidRPr="000B28CE" w:rsidRDefault="008B5DF7" w:rsidP="004E0538">
      <w:pPr>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Adopta </w:t>
      </w:r>
      <w:r w:rsidRPr="000B28CE">
        <w:rPr>
          <w:lang w:val="es-ES"/>
        </w:rPr>
        <w:t>la escala de cuotas de contribución de las Partes en la Convención que figura en el Anexo [</w:t>
      </w:r>
      <w:r w:rsidR="009E666D">
        <w:rPr>
          <w:lang w:val="es-ES"/>
        </w:rPr>
        <w:t xml:space="preserve"> </w:t>
      </w:r>
      <w:r w:rsidRPr="000B28CE">
        <w:rPr>
          <w:lang w:val="es-ES"/>
        </w:rPr>
        <w:t xml:space="preserve"> ] de la presente Resolución</w:t>
      </w:r>
      <w:r w:rsidR="009E666D">
        <w:rPr>
          <w:lang w:val="es-ES"/>
        </w:rPr>
        <w:t>,</w:t>
      </w:r>
      <w:r w:rsidRPr="000B28CE">
        <w:rPr>
          <w:lang w:val="es-ES"/>
        </w:rPr>
        <w:t xml:space="preserve"> y decide aplicar esta escala prorrateada a las nuevas Partes;</w:t>
      </w:r>
    </w:p>
    <w:p w:rsidR="008B5DF7" w:rsidRPr="000B28CE" w:rsidRDefault="008B5DF7" w:rsidP="004E0538">
      <w:pPr>
        <w:spacing w:after="0" w:line="240" w:lineRule="auto"/>
        <w:ind w:left="360"/>
        <w:jc w:val="both"/>
        <w:rPr>
          <w:rFonts w:cs="Arial"/>
          <w:lang w:val="es-ES"/>
        </w:rPr>
      </w:pPr>
    </w:p>
    <w:p w:rsidR="003E7725" w:rsidRPr="000B28CE" w:rsidRDefault="003E7725"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Acuerda </w:t>
      </w:r>
      <w:r w:rsidRPr="000B28CE">
        <w:rPr>
          <w:lang w:val="es-ES"/>
        </w:rPr>
        <w:t>que la escala de contribuciones que figura en el anexo [</w:t>
      </w:r>
      <w:r w:rsidR="009E666D">
        <w:rPr>
          <w:lang w:val="es-ES"/>
        </w:rPr>
        <w:t xml:space="preserve"> </w:t>
      </w:r>
      <w:r w:rsidRPr="000B28CE">
        <w:rPr>
          <w:lang w:val="es-ES"/>
        </w:rPr>
        <w:t xml:space="preserve"> ] no se ajustará a la baja en caso de que nuevas Partes se adhieran a la Convención tras la aprobación de la presente resolución </w:t>
      </w:r>
    </w:p>
    <w:p w:rsidR="003E7725" w:rsidRPr="000B28CE" w:rsidRDefault="003E7725" w:rsidP="004E0538">
      <w:pPr>
        <w:pStyle w:val="ListParagraph"/>
        <w:spacing w:after="0" w:line="240" w:lineRule="auto"/>
        <w:rPr>
          <w:i/>
          <w:lang w:val="es-ES"/>
        </w:rPr>
      </w:pPr>
    </w:p>
    <w:p w:rsidR="003E7725" w:rsidRPr="000B28CE" w:rsidRDefault="003E7725"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Acuerda </w:t>
      </w:r>
      <w:r w:rsidRPr="000B28CE">
        <w:rPr>
          <w:lang w:val="es-ES"/>
        </w:rPr>
        <w:t>en que la contribución mínima no será inferior a [1.000][2.000] euros anuales</w:t>
      </w:r>
      <w:r w:rsidRPr="000B28CE">
        <w:rPr>
          <w:i/>
          <w:lang w:val="es-ES"/>
        </w:rPr>
        <w:t xml:space="preserve"> </w:t>
      </w:r>
    </w:p>
    <w:p w:rsidR="003E7725" w:rsidRPr="000B28CE" w:rsidRDefault="003E7725" w:rsidP="004E0538">
      <w:pPr>
        <w:pStyle w:val="ListParagraph"/>
        <w:spacing w:after="0" w:line="240" w:lineRule="auto"/>
        <w:rPr>
          <w:i/>
          <w:lang w:val="es-ES"/>
        </w:rPr>
      </w:pPr>
    </w:p>
    <w:p w:rsidR="00774B16"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Solicita</w:t>
      </w:r>
      <w:r w:rsidRPr="000B28CE">
        <w:rPr>
          <w:lang w:val="es-ES"/>
        </w:rPr>
        <w:t xml:space="preserve"> a las Partes, en particular a las que deben pagar c</w:t>
      </w:r>
      <w:r w:rsidR="00433895">
        <w:rPr>
          <w:lang w:val="es-ES"/>
        </w:rPr>
        <w:t>ontribuciones pequeñas</w:t>
      </w:r>
      <w:r w:rsidRPr="000B28CE">
        <w:rPr>
          <w:lang w:val="es-ES"/>
        </w:rPr>
        <w:t>, que consideren la posibilidad de abonar en un único pago la cantidad correspondiente a todo el trienio;</w:t>
      </w:r>
    </w:p>
    <w:p w:rsidR="008B5DF7" w:rsidRPr="000B28CE" w:rsidRDefault="008B5DF7" w:rsidP="004E0538">
      <w:pPr>
        <w:spacing w:after="0" w:line="240" w:lineRule="auto"/>
        <w:ind w:left="360"/>
        <w:jc w:val="both"/>
        <w:rPr>
          <w:rFonts w:cs="Arial"/>
          <w:lang w:val="es-ES"/>
        </w:rPr>
      </w:pPr>
    </w:p>
    <w:p w:rsidR="00774B16"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Insta</w:t>
      </w:r>
      <w:r w:rsidRPr="000B28CE">
        <w:rPr>
          <w:lang w:val="es-ES"/>
        </w:rPr>
        <w:t xml:space="preserve"> a las Partes a que paguen sus cuotas lo antes posible, preferentemente no más tarde del final de marzo del año al que corresponden y, si así lo desean, que informen a la Secretaría si prefieren recibir una sola factura que cubra todo el trienio;</w:t>
      </w:r>
    </w:p>
    <w:p w:rsidR="008B5DF7" w:rsidRPr="000B28CE" w:rsidRDefault="008B5DF7" w:rsidP="004E0538">
      <w:pPr>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Toma nota</w:t>
      </w:r>
      <w:r w:rsidRPr="000B28CE">
        <w:rPr>
          <w:lang w:val="es-ES"/>
        </w:rPr>
        <w:t xml:space="preserve"> con preocupación de que varias Partes no han abonado sus cuotas de contribución al presupuesto básico para</w:t>
      </w:r>
      <w:r w:rsidRPr="000B28CE">
        <w:rPr>
          <w:rFonts w:cs="Arial"/>
          <w:lang w:val="es-ES"/>
        </w:rPr>
        <w:t xml:space="preserve"> </w:t>
      </w:r>
      <w:r w:rsidR="008B5DF7" w:rsidRPr="000B28CE">
        <w:rPr>
          <w:rFonts w:cs="Arial"/>
          <w:lang w:val="es-ES"/>
        </w:rPr>
        <w:t xml:space="preserve">2019 </w:t>
      </w:r>
      <w:r w:rsidRPr="000B28CE">
        <w:rPr>
          <w:lang w:val="es-ES"/>
        </w:rPr>
        <w:t xml:space="preserve">y años anteriores que vencen el 1 de </w:t>
      </w:r>
      <w:r w:rsidR="000846D7">
        <w:rPr>
          <w:lang w:val="es-ES"/>
        </w:rPr>
        <w:t>enero</w:t>
      </w:r>
      <w:r w:rsidRPr="000B28CE">
        <w:rPr>
          <w:lang w:val="es-ES"/>
        </w:rPr>
        <w:t xml:space="preserve"> de cada año, afectando así desfavorablemente a la aplicación de la Convención</w:t>
      </w:r>
      <w:r w:rsidR="008B5DF7" w:rsidRPr="000B28CE">
        <w:rPr>
          <w:rFonts w:cs="Arial"/>
          <w:lang w:val="es-ES"/>
        </w:rPr>
        <w:t>;</w:t>
      </w:r>
    </w:p>
    <w:p w:rsidR="008B5DF7" w:rsidRPr="000B28CE" w:rsidRDefault="008B5DF7" w:rsidP="004E0538">
      <w:pPr>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Insta</w:t>
      </w:r>
      <w:r w:rsidRPr="000B28CE">
        <w:rPr>
          <w:lang w:val="es-ES"/>
        </w:rPr>
        <w:t xml:space="preserve"> a las Partes con cuotas pendientes a cooperar con la Secretaría para acordar el pago de dichas cuotas pendientes sin tardanza;</w:t>
      </w:r>
    </w:p>
    <w:p w:rsidR="008B5DF7" w:rsidRPr="000B28CE" w:rsidRDefault="008B5DF7" w:rsidP="004E0538">
      <w:pPr>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Decide</w:t>
      </w:r>
      <w:r w:rsidRPr="000B28CE">
        <w:rPr>
          <w:lang w:val="es-ES"/>
        </w:rPr>
        <w:t xml:space="preserve"> establecer el umbral de elegibilidad para la financiación de los delegados que asisten a las reuniones de la Convención en el 0,200% sobre la escala de cuotas de las Naciones Unidas y como regla general, además, excluir de tal elegibilidad a los países de la Unión Europea, a otros países europeos con economías fuertes y/o a los países que tienen pagos en mora de más de tres años</w:t>
      </w:r>
      <w:r w:rsidR="008B5DF7" w:rsidRPr="000B28CE">
        <w:rPr>
          <w:rFonts w:cs="Arial"/>
          <w:lang w:val="es-ES"/>
        </w:rPr>
        <w:t>;</w:t>
      </w:r>
    </w:p>
    <w:p w:rsidR="008B5DF7" w:rsidRPr="000B28CE" w:rsidRDefault="008B5DF7" w:rsidP="004E0538">
      <w:pPr>
        <w:spacing w:after="0" w:line="240" w:lineRule="auto"/>
        <w:ind w:left="360"/>
        <w:jc w:val="both"/>
        <w:rPr>
          <w:rFonts w:cs="Arial"/>
          <w:lang w:val="es-ES"/>
        </w:rPr>
      </w:pPr>
    </w:p>
    <w:p w:rsidR="00774B16"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Decide </w:t>
      </w:r>
      <w:r w:rsidRPr="000B28CE">
        <w:rPr>
          <w:lang w:val="es-ES"/>
        </w:rPr>
        <w:t>que los representantes de los países con cuotas en mora de tres años o más sean excluidos de ocupar cargos en órganos de la Convención</w:t>
      </w:r>
      <w:r w:rsidR="00B451E4">
        <w:rPr>
          <w:lang w:val="es-ES"/>
        </w:rPr>
        <w:t xml:space="preserve">, </w:t>
      </w:r>
      <w:r w:rsidRPr="000B28CE">
        <w:rPr>
          <w:lang w:val="es-ES"/>
        </w:rPr>
        <w:t>se les niegue el derecho al voto</w:t>
      </w:r>
      <w:r w:rsidR="00B53ED9">
        <w:rPr>
          <w:lang w:val="es-ES"/>
        </w:rPr>
        <w:t xml:space="preserve"> y se les niegue el derecho a presentar cualquier documento de reunión, incluyendo propuestas de inclusión</w:t>
      </w:r>
      <w:r w:rsidRPr="000B28CE">
        <w:rPr>
          <w:lang w:val="es-ES"/>
        </w:rPr>
        <w:t>; y solicita al Secretario Ejecutivo que estudie con dichas Partes la aplicación de enfoques innovadores para la identificación de posibles fondos de financiación, a fin de resolver la situación de sus atrasos antes de la próxima reunión;</w:t>
      </w:r>
    </w:p>
    <w:p w:rsidR="008B5DF7" w:rsidRPr="000B28CE" w:rsidRDefault="008B5DF7" w:rsidP="004E0538">
      <w:pPr>
        <w:widowControl w:val="0"/>
        <w:autoSpaceDE w:val="0"/>
        <w:autoSpaceDN w:val="0"/>
        <w:adjustRightInd w:val="0"/>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Decide </w:t>
      </w:r>
      <w:r w:rsidRPr="000B28CE">
        <w:rPr>
          <w:lang w:val="es-ES"/>
        </w:rPr>
        <w:t>que las Resoluciones adoptadas por esta Conferencia de las Partes, por las que se establecen, entre otras cosas, órganos, mecanismos o actividades que tengan implicaciones financieras no previstas en el Anexo [  ], estén sujetas a la disponibilidad de fondos procedentes de contribuciones voluntarias</w:t>
      </w:r>
      <w:r w:rsidR="008B5DF7" w:rsidRPr="000B28CE">
        <w:rPr>
          <w:rFonts w:cs="Arial"/>
          <w:lang w:val="es-ES"/>
        </w:rPr>
        <w:t>;</w:t>
      </w:r>
    </w:p>
    <w:p w:rsidR="008B5DF7" w:rsidRPr="000B28CE" w:rsidRDefault="008B5DF7" w:rsidP="004E0538">
      <w:pPr>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Alienta </w:t>
      </w:r>
      <w:r w:rsidRPr="000B28CE">
        <w:rPr>
          <w:lang w:val="es-ES"/>
        </w:rPr>
        <w:t>a todas las Partes a que aporten contribuciones voluntarias al Fondo Fiduciario con el fin de atender las solicitudes de ayuda de los países en desarrollo para participar en la Convención y poder aplicarla durante el trienio</w:t>
      </w:r>
      <w:r w:rsidR="008B5DF7" w:rsidRPr="000B28CE">
        <w:rPr>
          <w:rFonts w:cs="Arial"/>
          <w:lang w:val="es-ES"/>
        </w:rPr>
        <w:t>;</w:t>
      </w:r>
    </w:p>
    <w:p w:rsidR="008B5DF7" w:rsidRPr="000B28CE" w:rsidRDefault="008B5DF7" w:rsidP="004E0538">
      <w:pPr>
        <w:spacing w:after="0" w:line="240" w:lineRule="auto"/>
        <w:ind w:left="360"/>
        <w:jc w:val="both"/>
        <w:rPr>
          <w:rFonts w:cs="Arial"/>
          <w:lang w:val="es-ES"/>
        </w:rPr>
      </w:pPr>
    </w:p>
    <w:p w:rsidR="003E7725" w:rsidRPr="000B28CE" w:rsidRDefault="003E7725" w:rsidP="004E0538">
      <w:pPr>
        <w:widowControl w:val="0"/>
        <w:numPr>
          <w:ilvl w:val="0"/>
          <w:numId w:val="20"/>
        </w:numPr>
        <w:autoSpaceDE w:val="0"/>
        <w:autoSpaceDN w:val="0"/>
        <w:adjustRightInd w:val="0"/>
        <w:spacing w:after="0" w:line="240" w:lineRule="auto"/>
        <w:jc w:val="both"/>
        <w:rPr>
          <w:rFonts w:cs="Arial"/>
          <w:lang w:val="es-ES"/>
        </w:rPr>
      </w:pPr>
      <w:r w:rsidRPr="000B28CE">
        <w:rPr>
          <w:rFonts w:cs="Arial"/>
          <w:lang w:val="es-ES"/>
        </w:rPr>
        <w:t xml:space="preserve">Invita a todas las Partes a hacer contribuciones voluntarias al Fondo Fiduciario para apoyar el presupuesto básico de la </w:t>
      </w:r>
      <w:r w:rsidR="004E0538" w:rsidRPr="000B28CE">
        <w:rPr>
          <w:rFonts w:cs="Arial"/>
          <w:lang w:val="es-ES"/>
        </w:rPr>
        <w:t>S</w:t>
      </w:r>
      <w:r w:rsidRPr="000B28CE">
        <w:rPr>
          <w:rFonts w:cs="Arial"/>
          <w:lang w:val="es-ES"/>
        </w:rPr>
        <w:t>ecretaría;</w:t>
      </w:r>
    </w:p>
    <w:p w:rsidR="003E7725" w:rsidRPr="000B28CE" w:rsidRDefault="003E7725" w:rsidP="004E0538">
      <w:pPr>
        <w:pStyle w:val="ListParagraph"/>
        <w:spacing w:after="0" w:line="240" w:lineRule="auto"/>
        <w:rPr>
          <w:i/>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Aprueba</w:t>
      </w:r>
      <w:r w:rsidRPr="000B28CE">
        <w:rPr>
          <w:lang w:val="es-ES"/>
        </w:rPr>
        <w:t xml:space="preserve"> el Programa de trabajo para</w:t>
      </w:r>
      <w:r w:rsidRPr="000B28CE">
        <w:rPr>
          <w:rFonts w:cs="Arial"/>
          <w:lang w:val="es-ES"/>
        </w:rPr>
        <w:t xml:space="preserve"> </w:t>
      </w:r>
      <w:r w:rsidR="00B66FAA">
        <w:rPr>
          <w:rFonts w:cs="Arial"/>
          <w:lang w:val="es-ES"/>
        </w:rPr>
        <w:t>el periodo entre sesiones entre la COP13 y la COP14</w:t>
      </w:r>
      <w:r w:rsidR="008B5DF7" w:rsidRPr="000B28CE">
        <w:rPr>
          <w:rFonts w:cs="Arial"/>
          <w:lang w:val="es-ES"/>
        </w:rPr>
        <w:t xml:space="preserve"> </w:t>
      </w:r>
      <w:r w:rsidRPr="000B28CE">
        <w:rPr>
          <w:lang w:val="es-ES"/>
        </w:rPr>
        <w:t>a fin de ayudar a las Partes a identificar las actividades y los proyectos fundamentales actuales y futuros no cubiertos por el presupuesto básico que tienen la intención de financiar</w:t>
      </w:r>
      <w:r w:rsidR="008B5DF7" w:rsidRPr="000B28CE">
        <w:rPr>
          <w:rFonts w:cs="Arial"/>
          <w:lang w:val="es-ES"/>
        </w:rPr>
        <w:t>;</w:t>
      </w:r>
    </w:p>
    <w:p w:rsidR="008B5DF7" w:rsidRPr="000B28CE" w:rsidRDefault="008B5DF7" w:rsidP="004E0538">
      <w:pPr>
        <w:spacing w:after="0" w:line="240" w:lineRule="auto"/>
        <w:ind w:left="360"/>
        <w:jc w:val="both"/>
        <w:rPr>
          <w:rFonts w:cs="Arial"/>
          <w:lang w:val="es-ES"/>
        </w:rPr>
      </w:pPr>
    </w:p>
    <w:p w:rsidR="008B5DF7" w:rsidRPr="000B28CE" w:rsidRDefault="00774B16"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Alienta </w:t>
      </w:r>
      <w:r w:rsidRPr="000B28CE">
        <w:rPr>
          <w:lang w:val="es-ES"/>
        </w:rPr>
        <w:t>a los Estados que no son Partes en la Convención, a las organizaciones gubernamentales, intergubernamentales y no gubernamentales y otras fuentes a que consideren la posibilidad de contribuir al Fondo Fiduciario o a actividades especiales</w:t>
      </w:r>
      <w:r w:rsidR="008B5DF7" w:rsidRPr="000B28CE">
        <w:rPr>
          <w:rFonts w:cs="Arial"/>
          <w:lang w:val="es-ES"/>
        </w:rPr>
        <w:t>;</w:t>
      </w:r>
    </w:p>
    <w:p w:rsidR="008B5DF7" w:rsidRPr="000B28CE" w:rsidRDefault="008B5DF7" w:rsidP="004E0538">
      <w:pPr>
        <w:spacing w:after="0" w:line="240" w:lineRule="auto"/>
        <w:ind w:left="360"/>
        <w:jc w:val="both"/>
        <w:rPr>
          <w:rFonts w:cs="Arial"/>
          <w:lang w:val="es-ES"/>
        </w:rPr>
      </w:pPr>
    </w:p>
    <w:p w:rsidR="008B5DF7" w:rsidRPr="00493A5A" w:rsidRDefault="00774B16" w:rsidP="004E0538">
      <w:pPr>
        <w:widowControl w:val="0"/>
        <w:numPr>
          <w:ilvl w:val="0"/>
          <w:numId w:val="20"/>
        </w:numPr>
        <w:autoSpaceDE w:val="0"/>
        <w:autoSpaceDN w:val="0"/>
        <w:adjustRightInd w:val="0"/>
        <w:spacing w:after="0" w:line="240" w:lineRule="auto"/>
        <w:jc w:val="both"/>
        <w:rPr>
          <w:rFonts w:cs="Arial"/>
          <w:lang w:val="es-ES"/>
        </w:rPr>
      </w:pPr>
      <w:r w:rsidRPr="00493A5A">
        <w:rPr>
          <w:i/>
          <w:lang w:val="es-ES"/>
        </w:rPr>
        <w:t>Decide</w:t>
      </w:r>
      <w:r w:rsidRPr="00493A5A">
        <w:rPr>
          <w:lang w:val="es-ES"/>
        </w:rPr>
        <w:t xml:space="preserve"> que el Secretario Ejecutivo</w:t>
      </w:r>
      <w:r w:rsidR="00493A5A" w:rsidRPr="00493A5A">
        <w:rPr>
          <w:lang w:val="es-ES"/>
        </w:rPr>
        <w:t xml:space="preserve">, sujeto a la aprobación del Comité Permanente, y en casos </w:t>
      </w:r>
      <w:r w:rsidR="00493A5A" w:rsidRPr="007B68C9">
        <w:rPr>
          <w:lang w:val="es-ES"/>
        </w:rPr>
        <w:t xml:space="preserve">urgentes con la aprobación </w:t>
      </w:r>
      <w:r w:rsidR="007B68C9" w:rsidRPr="007B68C9">
        <w:rPr>
          <w:lang w:val="es-ES"/>
        </w:rPr>
        <w:t xml:space="preserve">única </w:t>
      </w:r>
      <w:r w:rsidR="00493A5A" w:rsidRPr="007B68C9">
        <w:rPr>
          <w:lang w:val="es-ES"/>
        </w:rPr>
        <w:t>del Presidente del Comité Permanente,</w:t>
      </w:r>
      <w:r w:rsidRPr="007B68C9">
        <w:rPr>
          <w:lang w:val="es-ES"/>
        </w:rPr>
        <w:t xml:space="preserve"> tendrá la autoridad de </w:t>
      </w:r>
      <w:r w:rsidR="00493A5A" w:rsidRPr="007B68C9">
        <w:rPr>
          <w:lang w:val="es-ES"/>
        </w:rPr>
        <w:t>gastar o utilizar fondos ahorrados de la implementación del presupuesto básico y fondos de nuevas Partes que se hayan unido a la Convención</w:t>
      </w:r>
      <w:r w:rsidR="007B68C9">
        <w:rPr>
          <w:lang w:val="es-ES"/>
        </w:rPr>
        <w:t>,</w:t>
      </w:r>
      <w:r w:rsidR="00493A5A" w:rsidRPr="007B68C9">
        <w:rPr>
          <w:lang w:val="es-ES"/>
        </w:rPr>
        <w:t xml:space="preserve"> para actividades del programa de trabajo</w:t>
      </w:r>
      <w:r w:rsidR="007B68C9" w:rsidRPr="007B68C9">
        <w:rPr>
          <w:lang w:val="es-ES"/>
        </w:rPr>
        <w:t xml:space="preserve"> presupuestado aprobado</w:t>
      </w:r>
      <w:r w:rsidR="00493A5A" w:rsidRPr="007B68C9">
        <w:rPr>
          <w:lang w:val="es-ES"/>
        </w:rPr>
        <w:t xml:space="preserve"> no cubiertas por el presupuesto básico;</w:t>
      </w:r>
    </w:p>
    <w:p w:rsidR="00493A5A" w:rsidRPr="00493A5A" w:rsidRDefault="00493A5A" w:rsidP="00493A5A">
      <w:pPr>
        <w:widowControl w:val="0"/>
        <w:autoSpaceDE w:val="0"/>
        <w:autoSpaceDN w:val="0"/>
        <w:adjustRightInd w:val="0"/>
        <w:spacing w:after="0" w:line="240" w:lineRule="auto"/>
        <w:jc w:val="both"/>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rFonts w:cs="Arial"/>
          <w:i/>
          <w:lang w:val="es-ES"/>
        </w:rPr>
        <w:t xml:space="preserve">Decide que </w:t>
      </w:r>
      <w:r w:rsidRPr="000B28CE">
        <w:rPr>
          <w:rFonts w:cs="Arial"/>
          <w:lang w:val="es-ES"/>
        </w:rPr>
        <w:t>el Secretario Ejecutivo estará facultado para adoptar las decisiones relativas a la dotación de personal que sean necesarias para aplicar las prioridades de las Partes de conformidad con el programa de trabajo, siempre que las consecuencias de esas decisiones puedan sufragarse con cargo al presupuesto existente;</w:t>
      </w:r>
    </w:p>
    <w:p w:rsidR="008B5DF7" w:rsidRPr="000B28CE" w:rsidRDefault="008B5DF7" w:rsidP="004E0538">
      <w:pPr>
        <w:spacing w:after="0" w:line="240" w:lineRule="auto"/>
        <w:ind w:left="360"/>
        <w:jc w:val="both"/>
        <w:rPr>
          <w:rFonts w:cs="Arial"/>
          <w:lang w:val="es-ES"/>
        </w:rPr>
      </w:pPr>
    </w:p>
    <w:p w:rsidR="0002568B"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Alienta</w:t>
      </w:r>
      <w:r w:rsidRPr="000B28CE">
        <w:rPr>
          <w:lang w:val="es-ES"/>
        </w:rPr>
        <w:t xml:space="preserve"> al Secretario Ejecutivo a que, en consonancia con las normas de las Naciones Unidas, aproveche las oportunidades proporcionadas por las vacantes para estudiar posibles medios de fortalecer la capacidad de la Secretaría en el marco del presupuesto asignado, incluso mediante la realización de cambios estructurales;</w:t>
      </w:r>
    </w:p>
    <w:p w:rsidR="008B5DF7" w:rsidRPr="000B28CE" w:rsidRDefault="008B5DF7" w:rsidP="004E0538">
      <w:pPr>
        <w:spacing w:after="0" w:line="240" w:lineRule="auto"/>
        <w:jc w:val="both"/>
        <w:rPr>
          <w:rFonts w:cs="Arial"/>
          <w:iCs/>
          <w:lang w:val="es-ES"/>
        </w:rPr>
      </w:pPr>
    </w:p>
    <w:p w:rsidR="0002568B"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Invita </w:t>
      </w:r>
      <w:r w:rsidRPr="000B28CE">
        <w:rPr>
          <w:lang w:val="es-ES"/>
        </w:rPr>
        <w:t>a las Partes a considerar la posibilidad de financiar oficiales profesionales subalternos y/o proporcionar gratis personal o expertos técnicos a la Secretaría para aumentar su capacidad;</w:t>
      </w:r>
    </w:p>
    <w:p w:rsidR="004E0538" w:rsidRPr="000B28CE" w:rsidRDefault="004E0538">
      <w:pPr>
        <w:rPr>
          <w:rFonts w:cs="Arial"/>
          <w:lang w:val="es-ES"/>
        </w:rPr>
      </w:pPr>
      <w:r w:rsidRPr="000B28CE">
        <w:rPr>
          <w:rFonts w:cs="Arial"/>
          <w:lang w:val="es-ES"/>
        </w:rPr>
        <w:br w:type="page"/>
      </w:r>
    </w:p>
    <w:p w:rsidR="008B5DF7" w:rsidRPr="000B28CE" w:rsidRDefault="008B5DF7" w:rsidP="004E0538">
      <w:pPr>
        <w:spacing w:after="0" w:line="240" w:lineRule="auto"/>
        <w:ind w:left="360"/>
        <w:jc w:val="both"/>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i/>
          <w:lang w:val="es-ES"/>
        </w:rPr>
      </w:pPr>
      <w:r w:rsidRPr="000B28CE">
        <w:rPr>
          <w:rFonts w:cs="Arial"/>
          <w:i/>
          <w:lang w:val="es-ES"/>
        </w:rPr>
        <w:t xml:space="preserve">Encarga </w:t>
      </w:r>
      <w:r w:rsidRPr="000B28CE">
        <w:rPr>
          <w:rFonts w:cs="Arial"/>
          <w:lang w:val="es-ES"/>
        </w:rPr>
        <w:t>al Subcomité de Finanzas y Presupuesto del Comité Permanente que</w:t>
      </w:r>
      <w:r w:rsidR="008B5DF7" w:rsidRPr="000B28CE">
        <w:rPr>
          <w:rFonts w:cs="Arial"/>
          <w:lang w:val="es-ES"/>
        </w:rPr>
        <w:t>:</w:t>
      </w:r>
    </w:p>
    <w:p w:rsidR="008B5DF7" w:rsidRPr="000B28CE" w:rsidRDefault="008B5DF7" w:rsidP="004E0538">
      <w:pPr>
        <w:tabs>
          <w:tab w:val="left" w:pos="720"/>
        </w:tabs>
        <w:spacing w:after="0" w:line="240" w:lineRule="auto"/>
        <w:ind w:left="1077" w:hanging="357"/>
        <w:jc w:val="both"/>
        <w:rPr>
          <w:rFonts w:cs="Arial"/>
          <w:color w:val="000000"/>
          <w:lang w:val="es-ES" w:eastAsia="en-GB"/>
        </w:rPr>
      </w:pPr>
    </w:p>
    <w:p w:rsidR="0002568B" w:rsidRPr="000B28CE" w:rsidRDefault="0002568B" w:rsidP="004E0538">
      <w:pPr>
        <w:pStyle w:val="ListParagraph"/>
        <w:numPr>
          <w:ilvl w:val="0"/>
          <w:numId w:val="38"/>
        </w:numPr>
        <w:spacing w:after="0" w:line="240" w:lineRule="auto"/>
        <w:jc w:val="both"/>
        <w:rPr>
          <w:lang w:val="es-ES"/>
        </w:rPr>
      </w:pPr>
      <w:r w:rsidRPr="000B28CE">
        <w:rPr>
          <w:lang w:val="es-ES"/>
        </w:rPr>
        <w:t xml:space="preserve">se reúna el día anterior al comienzo de cada reunión ordinaria del Comité Permanente, y trabaje </w:t>
      </w:r>
      <w:r w:rsidR="00E62551">
        <w:rPr>
          <w:lang w:val="es-ES"/>
        </w:rPr>
        <w:t>durante el periodo entre sesiones</w:t>
      </w:r>
      <w:r w:rsidRPr="000B28CE">
        <w:rPr>
          <w:lang w:val="es-ES"/>
        </w:rPr>
        <w:t xml:space="preserve"> por medios electrónicos o de otro tipo;</w:t>
      </w:r>
    </w:p>
    <w:p w:rsidR="004E0538" w:rsidRPr="000B28CE" w:rsidRDefault="004E0538" w:rsidP="004E0538">
      <w:pPr>
        <w:pStyle w:val="ListParagraph"/>
        <w:spacing w:after="0" w:line="240" w:lineRule="auto"/>
        <w:ind w:left="1080"/>
        <w:jc w:val="both"/>
        <w:rPr>
          <w:rFonts w:cs="Arial"/>
          <w:color w:val="000000"/>
          <w:lang w:val="es-ES"/>
        </w:rPr>
      </w:pPr>
    </w:p>
    <w:p w:rsidR="0002568B" w:rsidRPr="000B28CE" w:rsidRDefault="0002568B" w:rsidP="004E0538">
      <w:pPr>
        <w:pStyle w:val="ListParagraph"/>
        <w:numPr>
          <w:ilvl w:val="0"/>
          <w:numId w:val="38"/>
        </w:numPr>
        <w:spacing w:after="0" w:line="240" w:lineRule="auto"/>
        <w:jc w:val="both"/>
        <w:rPr>
          <w:lang w:val="es-ES"/>
        </w:rPr>
      </w:pPr>
      <w:r w:rsidRPr="000B28CE">
        <w:rPr>
          <w:lang w:val="es-ES"/>
        </w:rPr>
        <w:t>trabaje con la Secretaría para preparar todos los documentos presupuestarios que han de ser examinados por el Comité Permanente; y</w:t>
      </w:r>
    </w:p>
    <w:p w:rsidR="004E0538" w:rsidRPr="000B28CE" w:rsidRDefault="004E0538" w:rsidP="004E0538">
      <w:pPr>
        <w:spacing w:after="0" w:line="240" w:lineRule="auto"/>
        <w:jc w:val="both"/>
        <w:rPr>
          <w:rFonts w:cs="Arial"/>
          <w:color w:val="000000"/>
          <w:lang w:val="es-ES"/>
        </w:rPr>
      </w:pPr>
    </w:p>
    <w:p w:rsidR="008B5DF7" w:rsidRPr="000B28CE" w:rsidRDefault="008B5DF7" w:rsidP="004E0538">
      <w:pPr>
        <w:spacing w:after="0" w:line="240" w:lineRule="auto"/>
        <w:ind w:left="900" w:hanging="540"/>
        <w:jc w:val="both"/>
        <w:rPr>
          <w:rFonts w:cs="Arial"/>
          <w:color w:val="000000"/>
          <w:lang w:val="es-ES" w:eastAsia="en-GB"/>
        </w:rPr>
      </w:pPr>
      <w:r w:rsidRPr="000B28CE">
        <w:rPr>
          <w:rFonts w:cs="Arial"/>
          <w:color w:val="000000"/>
          <w:lang w:val="es-ES" w:eastAsia="en-GB"/>
        </w:rPr>
        <w:t>iii)</w:t>
      </w:r>
      <w:r w:rsidRPr="000B28CE">
        <w:rPr>
          <w:rFonts w:cs="Arial"/>
          <w:color w:val="000000"/>
          <w:lang w:val="es-ES" w:eastAsia="en-GB"/>
        </w:rPr>
        <w:tab/>
      </w:r>
      <w:r w:rsidR="0002568B" w:rsidRPr="000B28CE">
        <w:rPr>
          <w:lang w:val="es-ES"/>
        </w:rPr>
        <w:t>desempeñe sus funciones con arreglo a los términos de referencia que se adjuntan como Anexo [  ] de la presente Resolución;</w:t>
      </w:r>
    </w:p>
    <w:p w:rsidR="008B5DF7" w:rsidRPr="000B28CE" w:rsidRDefault="008B5DF7" w:rsidP="004E0538">
      <w:pPr>
        <w:pStyle w:val="ListParagraph"/>
        <w:spacing w:after="0" w:line="240" w:lineRule="auto"/>
        <w:ind w:left="0"/>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Confirma</w:t>
      </w:r>
      <w:r w:rsidRPr="000B28CE">
        <w:rPr>
          <w:lang w:val="es-ES"/>
        </w:rPr>
        <w:t xml:space="preserve"> que la Secretaría de la CMS seguirá prestando los servicios de secretaría a ASCOBANS</w:t>
      </w:r>
      <w:r w:rsidR="004E0538" w:rsidRPr="000B28CE">
        <w:rPr>
          <w:lang w:val="es-ES"/>
        </w:rPr>
        <w:t xml:space="preserve">, MdE de </w:t>
      </w:r>
      <w:r w:rsidR="002B4262">
        <w:rPr>
          <w:lang w:val="es-ES"/>
        </w:rPr>
        <w:t xml:space="preserve">tortugas </w:t>
      </w:r>
      <w:r w:rsidR="004E0538" w:rsidRPr="000B28CE">
        <w:rPr>
          <w:lang w:val="es-ES"/>
        </w:rPr>
        <w:t>IOSEA</w:t>
      </w:r>
      <w:r w:rsidR="002B4262">
        <w:rPr>
          <w:lang w:val="es-ES"/>
        </w:rPr>
        <w:t>, MdE sobre tiburones</w:t>
      </w:r>
      <w:r w:rsidR="004E0538" w:rsidRPr="000B28CE">
        <w:rPr>
          <w:lang w:val="es-ES"/>
        </w:rPr>
        <w:t xml:space="preserve"> </w:t>
      </w:r>
      <w:r w:rsidRPr="000B28CE">
        <w:rPr>
          <w:lang w:val="es-ES"/>
        </w:rPr>
        <w:t>y al Acuerdo sobre los gorilas en el próximo</w:t>
      </w:r>
      <w:r w:rsidR="002B4262">
        <w:rPr>
          <w:lang w:val="es-ES"/>
        </w:rPr>
        <w:t xml:space="preserve"> trienio</w:t>
      </w:r>
      <w:r w:rsidR="004E0538" w:rsidRPr="000B28CE">
        <w:rPr>
          <w:lang w:val="es-ES"/>
        </w:rPr>
        <w:t>;</w:t>
      </w:r>
    </w:p>
    <w:p w:rsidR="004E0538" w:rsidRPr="000B28CE" w:rsidRDefault="004E0538" w:rsidP="004E0538">
      <w:pPr>
        <w:widowControl w:val="0"/>
        <w:autoSpaceDE w:val="0"/>
        <w:autoSpaceDN w:val="0"/>
        <w:adjustRightInd w:val="0"/>
        <w:spacing w:after="0" w:line="240" w:lineRule="auto"/>
        <w:ind w:left="360"/>
        <w:jc w:val="both"/>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Solicita</w:t>
      </w:r>
      <w:r w:rsidRPr="000B28CE">
        <w:rPr>
          <w:lang w:val="es-ES"/>
        </w:rPr>
        <w:t xml:space="preserve"> al Director Ejecutivo </w:t>
      </w:r>
      <w:bookmarkStart w:id="7" w:name="_Hlk33034034"/>
      <w:r w:rsidRPr="000B28CE">
        <w:rPr>
          <w:lang w:val="es-ES"/>
        </w:rPr>
        <w:t>de</w:t>
      </w:r>
      <w:r w:rsidR="000D22DA">
        <w:rPr>
          <w:lang w:val="es-ES"/>
        </w:rPr>
        <w:t xml:space="preserve">l Programa de las Naciones Unidas para el Medio Ambiente </w:t>
      </w:r>
      <w:bookmarkEnd w:id="7"/>
      <w:r w:rsidRPr="000B28CE">
        <w:rPr>
          <w:lang w:val="es-ES"/>
        </w:rPr>
        <w:t>que siga incorporando aspectos del Programa de trabajo de la Convención en el Programa de trabajo de ONU Medio Ambiente y los proyectos previstos para aplicarlos, y considere, según proceda, la prestación de apoyo financiero para determinadas actividades específicas de la CMS, en este contexto;</w:t>
      </w:r>
    </w:p>
    <w:p w:rsidR="008B5DF7" w:rsidRPr="000B28CE" w:rsidRDefault="008B5DF7" w:rsidP="004E0538">
      <w:pPr>
        <w:spacing w:after="0" w:line="240" w:lineRule="auto"/>
        <w:ind w:left="360"/>
        <w:jc w:val="both"/>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Solicita </w:t>
      </w:r>
      <w:r w:rsidRPr="000B28CE">
        <w:rPr>
          <w:lang w:val="es-ES"/>
        </w:rPr>
        <w:t>al Director Ejecutivo</w:t>
      </w:r>
      <w:r w:rsidR="006C2026" w:rsidRPr="006C2026">
        <w:rPr>
          <w:lang w:val="es-ES"/>
        </w:rPr>
        <w:t xml:space="preserve"> </w:t>
      </w:r>
      <w:r w:rsidR="006C2026" w:rsidRPr="000B28CE">
        <w:rPr>
          <w:lang w:val="es-ES"/>
        </w:rPr>
        <w:t>de</w:t>
      </w:r>
      <w:r w:rsidR="006C2026">
        <w:rPr>
          <w:lang w:val="es-ES"/>
        </w:rPr>
        <w:t>l Programa de las Naciones Unidas para el Medio Ambiente</w:t>
      </w:r>
      <w:r w:rsidRPr="000B28CE">
        <w:rPr>
          <w:lang w:val="es-ES"/>
        </w:rPr>
        <w:t xml:space="preserve"> que prorrogue la duración del Fondo Fiduciario de la Convención hasta el de </w:t>
      </w:r>
      <w:r w:rsidR="008B5DF7" w:rsidRPr="000B28CE">
        <w:rPr>
          <w:rFonts w:cs="Arial"/>
          <w:lang w:val="es-ES"/>
        </w:rPr>
        <w:t xml:space="preserve">31 </w:t>
      </w:r>
      <w:r w:rsidRPr="000B28CE">
        <w:rPr>
          <w:rFonts w:cs="Arial"/>
          <w:lang w:val="es-ES"/>
        </w:rPr>
        <w:t>de diciembre</w:t>
      </w:r>
      <w:r w:rsidR="008B5DF7" w:rsidRPr="000B28CE">
        <w:rPr>
          <w:rFonts w:cs="Arial"/>
          <w:lang w:val="es-ES"/>
        </w:rPr>
        <w:t xml:space="preserve"> 2023;</w:t>
      </w:r>
    </w:p>
    <w:p w:rsidR="008B5DF7" w:rsidRPr="000B28CE" w:rsidRDefault="008B5DF7" w:rsidP="004E0538">
      <w:pPr>
        <w:spacing w:after="0" w:line="240" w:lineRule="auto"/>
        <w:ind w:left="360"/>
        <w:jc w:val="both"/>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Aprueba</w:t>
      </w:r>
      <w:r w:rsidRPr="000B28CE">
        <w:rPr>
          <w:lang w:val="es-ES"/>
        </w:rPr>
        <w:t xml:space="preserve"> los términos de referencia para la administración del Fondo Fiduciario, según se establece en el Anexo [   ] de la presente Resolución, para el período</w:t>
      </w:r>
      <w:r w:rsidR="008B5DF7" w:rsidRPr="000B28CE">
        <w:rPr>
          <w:rFonts w:cs="Arial"/>
          <w:lang w:val="es-ES"/>
        </w:rPr>
        <w:t xml:space="preserve"> 2021 </w:t>
      </w:r>
      <w:r w:rsidRPr="000B28CE">
        <w:rPr>
          <w:rFonts w:cs="Arial"/>
          <w:lang w:val="es-ES"/>
        </w:rPr>
        <w:t>al</w:t>
      </w:r>
      <w:r w:rsidR="008B5DF7" w:rsidRPr="000B28CE">
        <w:rPr>
          <w:rFonts w:cs="Arial"/>
          <w:lang w:val="es-ES"/>
        </w:rPr>
        <w:t xml:space="preserve"> 2023;</w:t>
      </w:r>
    </w:p>
    <w:p w:rsidR="008B5DF7" w:rsidRPr="000B28CE" w:rsidRDefault="008B5DF7" w:rsidP="004E0538">
      <w:pPr>
        <w:spacing w:after="0" w:line="240" w:lineRule="auto"/>
        <w:ind w:left="360"/>
        <w:jc w:val="both"/>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Decide</w:t>
      </w:r>
      <w:r w:rsidRPr="000B28CE">
        <w:rPr>
          <w:lang w:val="es-ES"/>
        </w:rPr>
        <w:t xml:space="preserve"> que todas las contribuciones al Fondo Fiduciario se paguen en euros</w:t>
      </w:r>
      <w:r w:rsidR="008B5DF7" w:rsidRPr="000B28CE">
        <w:rPr>
          <w:rFonts w:cs="Arial"/>
          <w:lang w:val="es-ES"/>
        </w:rPr>
        <w:t>;</w:t>
      </w:r>
    </w:p>
    <w:p w:rsidR="004E0538" w:rsidRPr="000B28CE" w:rsidRDefault="004E0538" w:rsidP="004E0538">
      <w:pPr>
        <w:pStyle w:val="ListParagraph"/>
        <w:spacing w:after="0" w:line="240" w:lineRule="auto"/>
        <w:rPr>
          <w:rFonts w:cs="Arial"/>
          <w:lang w:val="es-ES"/>
        </w:rPr>
      </w:pPr>
    </w:p>
    <w:p w:rsidR="004E0538" w:rsidRPr="000B28CE" w:rsidRDefault="004E0538"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 xml:space="preserve">Decide además </w:t>
      </w:r>
      <w:r w:rsidRPr="000B28CE">
        <w:rPr>
          <w:lang w:val="es-ES"/>
        </w:rPr>
        <w:t xml:space="preserve">que se mantenga una reserva para gastos de funcionamiento a un nivel constante de por lo menos el 15% de los gastos anuales estimados </w:t>
      </w:r>
      <w:r w:rsidR="006C2026">
        <w:rPr>
          <w:lang w:val="es-ES"/>
        </w:rPr>
        <w:t>o</w:t>
      </w:r>
      <w:r w:rsidRPr="000B28CE">
        <w:rPr>
          <w:lang w:val="es-ES"/>
        </w:rPr>
        <w:t xml:space="preserve"> de 500.000 USD, según cuál sea la cantidad mayor</w:t>
      </w:r>
      <w:r w:rsidRPr="000B28CE">
        <w:rPr>
          <w:rFonts w:cs="Arial"/>
          <w:lang w:val="es-ES"/>
        </w:rPr>
        <w:t>;</w:t>
      </w:r>
    </w:p>
    <w:p w:rsidR="008B5DF7" w:rsidRPr="000B28CE" w:rsidRDefault="008B5DF7" w:rsidP="004E0538">
      <w:pPr>
        <w:spacing w:after="0" w:line="240" w:lineRule="auto"/>
        <w:ind w:left="360"/>
        <w:jc w:val="both"/>
        <w:rPr>
          <w:rFonts w:cs="Arial"/>
          <w:lang w:val="es-ES"/>
        </w:rPr>
      </w:pPr>
    </w:p>
    <w:p w:rsidR="008B5DF7" w:rsidRPr="000B28CE" w:rsidRDefault="0002568B"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Solicita</w:t>
      </w:r>
      <w:r w:rsidRPr="000B28CE">
        <w:rPr>
          <w:lang w:val="es-ES"/>
        </w:rPr>
        <w:t xml:space="preserve"> a la Secretaría que siga de cerca las fluctuaciones de los tipos de cambio y ajuste los niveles de gastos, según proceda; y decide que la Secretaría como último recurso, puede solicitar excepcionalmente al Comité Permanente la posibilidad de detraer recursos del Fondo Fiduciario</w:t>
      </w:r>
      <w:r w:rsidR="008B5DF7" w:rsidRPr="000B28CE">
        <w:rPr>
          <w:rFonts w:cs="Arial"/>
          <w:lang w:val="es-ES"/>
        </w:rPr>
        <w:t xml:space="preserve">; </w:t>
      </w:r>
      <w:r w:rsidRPr="000B28CE">
        <w:rPr>
          <w:rFonts w:cs="Arial"/>
          <w:lang w:val="es-ES"/>
        </w:rPr>
        <w:t>y</w:t>
      </w:r>
    </w:p>
    <w:p w:rsidR="008B5DF7" w:rsidRPr="000B28CE" w:rsidRDefault="008B5DF7" w:rsidP="004E0538">
      <w:pPr>
        <w:spacing w:after="0" w:line="240" w:lineRule="auto"/>
        <w:ind w:left="360"/>
        <w:jc w:val="both"/>
        <w:rPr>
          <w:rFonts w:cs="Arial"/>
          <w:lang w:val="es-ES"/>
        </w:rPr>
      </w:pPr>
    </w:p>
    <w:p w:rsidR="008B5DF7" w:rsidRPr="000B28CE" w:rsidRDefault="00FF2567" w:rsidP="004E0538">
      <w:pPr>
        <w:widowControl w:val="0"/>
        <w:numPr>
          <w:ilvl w:val="0"/>
          <w:numId w:val="20"/>
        </w:numPr>
        <w:autoSpaceDE w:val="0"/>
        <w:autoSpaceDN w:val="0"/>
        <w:adjustRightInd w:val="0"/>
        <w:spacing w:after="0" w:line="240" w:lineRule="auto"/>
        <w:jc w:val="both"/>
        <w:rPr>
          <w:rFonts w:cs="Arial"/>
          <w:lang w:val="es-ES"/>
        </w:rPr>
      </w:pPr>
      <w:r w:rsidRPr="000B28CE">
        <w:rPr>
          <w:i/>
          <w:lang w:val="es-ES"/>
        </w:rPr>
        <w:t>Revoca</w:t>
      </w:r>
      <w:r w:rsidRPr="000B28CE">
        <w:rPr>
          <w:lang w:val="es-ES"/>
        </w:rPr>
        <w:t xml:space="preserve"> la Resolución </w:t>
      </w:r>
      <w:r w:rsidR="008B5DF7" w:rsidRPr="000B28CE">
        <w:rPr>
          <w:rFonts w:cs="Arial"/>
          <w:lang w:val="es-ES"/>
        </w:rPr>
        <w:t>12.</w:t>
      </w:r>
      <w:r w:rsidR="004E0538" w:rsidRPr="000B28CE">
        <w:rPr>
          <w:rFonts w:cs="Arial"/>
          <w:lang w:val="es-ES"/>
        </w:rPr>
        <w:t>2</w:t>
      </w:r>
      <w:r w:rsidR="006C2026">
        <w:rPr>
          <w:rFonts w:cs="Arial"/>
          <w:lang w:val="es-ES"/>
        </w:rPr>
        <w:t>,</w:t>
      </w:r>
      <w:r w:rsidRPr="000B28CE">
        <w:rPr>
          <w:lang w:val="es-ES"/>
        </w:rPr>
        <w:t xml:space="preserve"> si bien las cuotas asignadas de las Partes destinadas a financiar el presupuesto para</w:t>
      </w:r>
      <w:r w:rsidR="008B5DF7" w:rsidRPr="000B28CE">
        <w:rPr>
          <w:rFonts w:cs="Arial"/>
          <w:lang w:val="es-ES"/>
        </w:rPr>
        <w:t xml:space="preserve"> 2018-2020</w:t>
      </w:r>
      <w:r w:rsidRPr="000B28CE">
        <w:rPr>
          <w:lang w:val="es-ES"/>
        </w:rPr>
        <w:t>, tal como figuran en el Anexo 2 de la Resolución permanecen en registro.</w:t>
      </w:r>
      <w:r w:rsidR="008B5DF7" w:rsidRPr="000B28CE">
        <w:rPr>
          <w:rFonts w:cs="Arial"/>
          <w:lang w:val="es-ES"/>
        </w:rPr>
        <w:t xml:space="preserve">  </w:t>
      </w:r>
    </w:p>
    <w:p w:rsidR="008B5DF7" w:rsidRPr="000B28CE" w:rsidRDefault="008B5DF7" w:rsidP="008B5DF7">
      <w:pPr>
        <w:pStyle w:val="Firstnumbering1"/>
        <w:numPr>
          <w:ilvl w:val="0"/>
          <w:numId w:val="0"/>
        </w:numPr>
        <w:ind w:left="567"/>
      </w:pPr>
    </w:p>
    <w:p w:rsidR="00FF2567" w:rsidRPr="000B28CE" w:rsidRDefault="00FF2567" w:rsidP="008B5DF7">
      <w:pPr>
        <w:pStyle w:val="Firstnumbering1"/>
        <w:numPr>
          <w:ilvl w:val="0"/>
          <w:numId w:val="0"/>
        </w:numPr>
        <w:ind w:left="567"/>
        <w:sectPr w:rsidR="00FF2567" w:rsidRPr="000B28CE" w:rsidSect="008B5DF7">
          <w:headerReference w:type="even" r:id="rId33"/>
          <w:headerReference w:type="default" r:id="rId34"/>
          <w:headerReference w:type="first" r:id="rId35"/>
          <w:pgSz w:w="11906" w:h="16838" w:code="9"/>
          <w:pgMar w:top="1134" w:right="1134" w:bottom="1134" w:left="1134" w:header="720" w:footer="720" w:gutter="0"/>
          <w:cols w:space="720"/>
          <w:titlePg/>
          <w:docGrid w:linePitch="360"/>
        </w:sectPr>
      </w:pPr>
    </w:p>
    <w:p w:rsidR="00FF2567" w:rsidRPr="000B28CE" w:rsidRDefault="00FF2567" w:rsidP="00FF2567">
      <w:pPr>
        <w:jc w:val="right"/>
        <w:rPr>
          <w:rFonts w:cs="Arial"/>
          <w:b/>
          <w:bCs/>
          <w:caps/>
          <w:lang w:val="es-ES"/>
        </w:rPr>
      </w:pPr>
      <w:r w:rsidRPr="000B28CE">
        <w:rPr>
          <w:rFonts w:cs="Arial"/>
          <w:b/>
          <w:caps/>
          <w:lang w:val="es-ES"/>
        </w:rPr>
        <w:t xml:space="preserve">Anexo </w:t>
      </w:r>
      <w:r w:rsidR="004E0538" w:rsidRPr="000B28CE">
        <w:rPr>
          <w:rFonts w:cs="Arial"/>
          <w:b/>
          <w:caps/>
          <w:lang w:val="es-ES"/>
        </w:rPr>
        <w:t>5</w:t>
      </w:r>
      <w:r w:rsidRPr="000B28CE">
        <w:rPr>
          <w:rFonts w:cs="Arial"/>
          <w:b/>
          <w:caps/>
          <w:lang w:val="es-ES"/>
        </w:rPr>
        <w:t xml:space="preserve"> (A)</w:t>
      </w:r>
    </w:p>
    <w:p w:rsidR="00FF2567" w:rsidRPr="000B28CE" w:rsidRDefault="00FF2567" w:rsidP="00FF2567">
      <w:pPr>
        <w:rPr>
          <w:rFonts w:cs="Arial"/>
          <w:lang w:val="es-ES"/>
        </w:rPr>
      </w:pPr>
    </w:p>
    <w:p w:rsidR="00FF2567" w:rsidRPr="000B28CE" w:rsidRDefault="00FF2567" w:rsidP="00FF2567">
      <w:pPr>
        <w:pBdr>
          <w:top w:val="single" w:sz="6" w:space="0" w:color="FFFFFF"/>
          <w:left w:val="single" w:sz="6" w:space="0" w:color="FFFFFF"/>
          <w:bottom w:val="single" w:sz="6" w:space="0" w:color="FFFFFF"/>
          <w:right w:val="single" w:sz="6" w:space="0" w:color="FFFFFF"/>
        </w:pBdr>
        <w:jc w:val="center"/>
        <w:outlineLvl w:val="1"/>
        <w:rPr>
          <w:rFonts w:cs="Arial"/>
          <w:b/>
          <w:caps/>
          <w:lang w:val="es-ES"/>
        </w:rPr>
      </w:pPr>
      <w:r w:rsidRPr="000B28CE">
        <w:rPr>
          <w:rFonts w:cs="Arial"/>
          <w:b/>
          <w:color w:val="000000"/>
          <w:lang w:val="es-ES" w:eastAsia="en-GB"/>
        </w:rPr>
        <w:t>PRESUPUESTO PARA EL TRIENIO 2021-2023</w:t>
      </w:r>
    </w:p>
    <w:p w:rsidR="00FF2567" w:rsidRPr="000B28CE" w:rsidRDefault="00FF2567" w:rsidP="00FF2567">
      <w:pPr>
        <w:pBdr>
          <w:top w:val="single" w:sz="6" w:space="0" w:color="FFFFFF"/>
          <w:left w:val="single" w:sz="6" w:space="0" w:color="FFFFFF"/>
          <w:bottom w:val="single" w:sz="6" w:space="0" w:color="FFFFFF"/>
          <w:right w:val="single" w:sz="6" w:space="0" w:color="FFFFFF"/>
        </w:pBdr>
        <w:jc w:val="center"/>
        <w:outlineLvl w:val="1"/>
        <w:rPr>
          <w:rFonts w:cs="Arial"/>
          <w:b/>
          <w:caps/>
          <w:lang w:val="es-ES"/>
        </w:rPr>
      </w:pPr>
    </w:p>
    <w:p w:rsidR="00ED2ECF" w:rsidRPr="000B28CE" w:rsidRDefault="00FF2567" w:rsidP="00FF2567">
      <w:pPr>
        <w:pStyle w:val="Firstnumbering1"/>
        <w:numPr>
          <w:ilvl w:val="0"/>
          <w:numId w:val="0"/>
        </w:numPr>
        <w:ind w:left="567"/>
      </w:pPr>
      <w:r w:rsidRPr="000B28CE">
        <w:t>[A ser completado luego de la adopción del presupuesto</w:t>
      </w:r>
    </w:p>
    <w:p w:rsidR="00FF2567" w:rsidRPr="000B28CE" w:rsidRDefault="00FF2567" w:rsidP="00FF2567">
      <w:pPr>
        <w:pStyle w:val="Firstnumbering1"/>
        <w:numPr>
          <w:ilvl w:val="0"/>
          <w:numId w:val="0"/>
        </w:numPr>
        <w:ind w:left="567"/>
      </w:pPr>
    </w:p>
    <w:p w:rsidR="00FF2567" w:rsidRPr="000B28CE" w:rsidRDefault="00FF2567" w:rsidP="00FF2567">
      <w:pPr>
        <w:pStyle w:val="Firstnumbering1"/>
        <w:numPr>
          <w:ilvl w:val="0"/>
          <w:numId w:val="0"/>
        </w:numPr>
        <w:ind w:left="567"/>
      </w:pPr>
    </w:p>
    <w:p w:rsidR="00FF2567" w:rsidRPr="000B28CE" w:rsidRDefault="00FF2567" w:rsidP="00FF2567">
      <w:pPr>
        <w:pStyle w:val="Firstnumbering1"/>
        <w:numPr>
          <w:ilvl w:val="0"/>
          <w:numId w:val="0"/>
        </w:numPr>
        <w:ind w:left="567"/>
      </w:pPr>
    </w:p>
    <w:p w:rsidR="00FF2567" w:rsidRPr="000B28CE" w:rsidRDefault="00FF2567" w:rsidP="00FF2567">
      <w:pPr>
        <w:pStyle w:val="Firstnumbering1"/>
        <w:numPr>
          <w:ilvl w:val="0"/>
          <w:numId w:val="0"/>
        </w:numPr>
        <w:ind w:left="567"/>
      </w:pPr>
    </w:p>
    <w:p w:rsidR="00FF2567" w:rsidRPr="000B28CE" w:rsidRDefault="00FF2567" w:rsidP="00FF2567">
      <w:pPr>
        <w:pStyle w:val="Firstnumbering1"/>
        <w:numPr>
          <w:ilvl w:val="0"/>
          <w:numId w:val="0"/>
        </w:numPr>
        <w:ind w:left="567"/>
      </w:pPr>
    </w:p>
    <w:p w:rsidR="00FF2567" w:rsidRPr="000B28CE" w:rsidRDefault="00FF2567" w:rsidP="00FF2567">
      <w:pPr>
        <w:pStyle w:val="Firstnumbering1"/>
        <w:numPr>
          <w:ilvl w:val="0"/>
          <w:numId w:val="0"/>
        </w:numPr>
        <w:ind w:left="567"/>
        <w:sectPr w:rsidR="00FF2567" w:rsidRPr="000B28CE" w:rsidSect="008B5DF7">
          <w:headerReference w:type="first" r:id="rId36"/>
          <w:pgSz w:w="11906" w:h="16838" w:code="9"/>
          <w:pgMar w:top="1134" w:right="1134" w:bottom="1134" w:left="1134" w:header="720" w:footer="720" w:gutter="0"/>
          <w:cols w:space="720"/>
          <w:titlePg/>
          <w:docGrid w:linePitch="360"/>
        </w:sectPr>
      </w:pPr>
    </w:p>
    <w:p w:rsidR="00FF2567" w:rsidRPr="000B28CE" w:rsidRDefault="00FF2567" w:rsidP="00FF2567">
      <w:pPr>
        <w:jc w:val="right"/>
        <w:rPr>
          <w:rFonts w:cs="Arial"/>
          <w:b/>
          <w:bCs/>
          <w:caps/>
          <w:lang w:val="es-ES"/>
        </w:rPr>
      </w:pPr>
      <w:r w:rsidRPr="000B28CE">
        <w:rPr>
          <w:rFonts w:cs="Arial"/>
          <w:b/>
          <w:caps/>
          <w:lang w:val="es-ES"/>
        </w:rPr>
        <w:t xml:space="preserve">Anexo </w:t>
      </w:r>
      <w:r w:rsidR="004E0538" w:rsidRPr="000B28CE">
        <w:rPr>
          <w:rFonts w:cs="Arial"/>
          <w:b/>
          <w:caps/>
          <w:lang w:val="es-ES"/>
        </w:rPr>
        <w:t>5</w:t>
      </w:r>
      <w:r w:rsidRPr="000B28CE">
        <w:rPr>
          <w:rFonts w:cs="Arial"/>
          <w:b/>
          <w:caps/>
          <w:lang w:val="es-ES"/>
        </w:rPr>
        <w:t xml:space="preserve"> (b)</w:t>
      </w:r>
    </w:p>
    <w:p w:rsidR="00FF2567" w:rsidRPr="000B28CE" w:rsidRDefault="00FF2567" w:rsidP="00FF2567">
      <w:pPr>
        <w:rPr>
          <w:rFonts w:cs="Arial"/>
          <w:lang w:val="es-ES"/>
        </w:rPr>
      </w:pPr>
    </w:p>
    <w:p w:rsidR="00FF2567" w:rsidRPr="000B28CE" w:rsidRDefault="00FF2567" w:rsidP="00FF2567">
      <w:pPr>
        <w:pStyle w:val="Firstnumbering1"/>
        <w:numPr>
          <w:ilvl w:val="0"/>
          <w:numId w:val="0"/>
        </w:numPr>
        <w:ind w:left="567"/>
        <w:jc w:val="center"/>
        <w:rPr>
          <w:rFonts w:eastAsiaTheme="minorHAnsi"/>
          <w:b/>
          <w:color w:val="000000"/>
          <w:lang w:eastAsia="en-GB"/>
        </w:rPr>
      </w:pPr>
      <w:r w:rsidRPr="000B28CE">
        <w:rPr>
          <w:rFonts w:eastAsiaTheme="minorHAnsi"/>
          <w:b/>
          <w:color w:val="000000"/>
          <w:lang w:eastAsia="en-GB"/>
        </w:rPr>
        <w:t>CONTRIBUCIONES ASIGNADAS PARA LA CONVENCIÓN DURANTE</w:t>
      </w:r>
    </w:p>
    <w:p w:rsidR="00FF2567" w:rsidRPr="000B28CE" w:rsidRDefault="00FF2567" w:rsidP="00FF2567">
      <w:pPr>
        <w:pStyle w:val="Firstnumbering1"/>
        <w:numPr>
          <w:ilvl w:val="0"/>
          <w:numId w:val="0"/>
        </w:numPr>
        <w:ind w:left="567"/>
        <w:jc w:val="center"/>
        <w:rPr>
          <w:rFonts w:eastAsiaTheme="minorHAnsi"/>
          <w:b/>
          <w:color w:val="000000"/>
          <w:lang w:eastAsia="en-GB"/>
        </w:rPr>
      </w:pPr>
      <w:r w:rsidRPr="000B28CE">
        <w:rPr>
          <w:rFonts w:eastAsiaTheme="minorHAnsi"/>
          <w:b/>
          <w:color w:val="000000"/>
          <w:lang w:eastAsia="en-GB"/>
        </w:rPr>
        <w:t>EL TRIENIO 2021-2023</w:t>
      </w:r>
    </w:p>
    <w:p w:rsidR="00FF2567" w:rsidRPr="000B28CE" w:rsidRDefault="00FF2567" w:rsidP="00FF2567">
      <w:pPr>
        <w:pStyle w:val="Firstnumbering1"/>
        <w:numPr>
          <w:ilvl w:val="0"/>
          <w:numId w:val="0"/>
        </w:numPr>
        <w:ind w:left="567"/>
        <w:jc w:val="center"/>
        <w:rPr>
          <w:rFonts w:eastAsiaTheme="minorHAnsi"/>
          <w:b/>
          <w:color w:val="000000"/>
          <w:lang w:eastAsia="en-GB"/>
        </w:rPr>
      </w:pPr>
    </w:p>
    <w:p w:rsidR="00FF2567" w:rsidRPr="000B28CE" w:rsidRDefault="00FF2567" w:rsidP="00FF2567">
      <w:pPr>
        <w:pStyle w:val="Firstnumbering1"/>
        <w:numPr>
          <w:ilvl w:val="0"/>
          <w:numId w:val="0"/>
        </w:numPr>
        <w:ind w:left="567"/>
      </w:pPr>
      <w:r w:rsidRPr="000B28CE">
        <w:t>[Se completará después de la aprobación del presupuesto]</w:t>
      </w:r>
    </w:p>
    <w:p w:rsidR="00E56C72" w:rsidRPr="000B28CE" w:rsidRDefault="00E56C72" w:rsidP="00FF2567">
      <w:pPr>
        <w:pStyle w:val="Firstnumbering1"/>
        <w:numPr>
          <w:ilvl w:val="0"/>
          <w:numId w:val="0"/>
        </w:numPr>
        <w:ind w:left="567"/>
      </w:pPr>
    </w:p>
    <w:p w:rsidR="00E56C72" w:rsidRPr="000B28CE" w:rsidRDefault="00E56C72" w:rsidP="00FF2567">
      <w:pPr>
        <w:pStyle w:val="Firstnumbering1"/>
        <w:numPr>
          <w:ilvl w:val="0"/>
          <w:numId w:val="0"/>
        </w:numPr>
        <w:ind w:left="567"/>
      </w:pPr>
    </w:p>
    <w:p w:rsidR="00E56C72" w:rsidRPr="000B28CE" w:rsidRDefault="00E56C72" w:rsidP="00FF2567">
      <w:pPr>
        <w:pStyle w:val="Firstnumbering1"/>
        <w:numPr>
          <w:ilvl w:val="0"/>
          <w:numId w:val="0"/>
        </w:numPr>
        <w:ind w:left="567"/>
      </w:pPr>
    </w:p>
    <w:p w:rsidR="00E56C72" w:rsidRPr="000B28CE" w:rsidRDefault="00E56C72" w:rsidP="00FF2567">
      <w:pPr>
        <w:pStyle w:val="Firstnumbering1"/>
        <w:numPr>
          <w:ilvl w:val="0"/>
          <w:numId w:val="0"/>
        </w:numPr>
        <w:ind w:left="567"/>
        <w:sectPr w:rsidR="00E56C72" w:rsidRPr="000B28CE" w:rsidSect="008B5DF7">
          <w:headerReference w:type="first" r:id="rId37"/>
          <w:pgSz w:w="11906" w:h="16838" w:code="9"/>
          <w:pgMar w:top="1134" w:right="1134" w:bottom="1134" w:left="1134" w:header="720" w:footer="720" w:gutter="0"/>
          <w:cols w:space="720"/>
          <w:titlePg/>
          <w:docGrid w:linePitch="360"/>
        </w:sectPr>
      </w:pPr>
    </w:p>
    <w:p w:rsidR="00E56C72" w:rsidRPr="000B28CE" w:rsidRDefault="00E56C72" w:rsidP="00E56C72">
      <w:pPr>
        <w:jc w:val="right"/>
        <w:rPr>
          <w:b/>
          <w:color w:val="000000"/>
          <w:lang w:val="es-ES"/>
        </w:rPr>
      </w:pPr>
      <w:r w:rsidRPr="000B28CE">
        <w:rPr>
          <w:b/>
          <w:color w:val="000000"/>
          <w:lang w:val="es-ES"/>
        </w:rPr>
        <w:t xml:space="preserve">ANEXO </w:t>
      </w:r>
      <w:r w:rsidR="004E0538" w:rsidRPr="000B28CE">
        <w:rPr>
          <w:b/>
          <w:color w:val="000000"/>
          <w:lang w:val="es-ES"/>
        </w:rPr>
        <w:t>5</w:t>
      </w:r>
      <w:r w:rsidRPr="000B28CE">
        <w:rPr>
          <w:b/>
          <w:color w:val="000000"/>
          <w:lang w:val="es-ES"/>
        </w:rPr>
        <w:t xml:space="preserve"> ( C )</w:t>
      </w:r>
    </w:p>
    <w:p w:rsidR="00E56C72" w:rsidRPr="000B28CE" w:rsidRDefault="00E56C72" w:rsidP="00E56C72">
      <w:pPr>
        <w:jc w:val="center"/>
        <w:rPr>
          <w:rFonts w:cs="Arial"/>
          <w:b/>
          <w:color w:val="000000"/>
          <w:lang w:val="es-ES"/>
        </w:rPr>
      </w:pPr>
      <w:r w:rsidRPr="000B28CE">
        <w:rPr>
          <w:b/>
          <w:color w:val="000000"/>
          <w:lang w:val="es-ES"/>
        </w:rPr>
        <w:t>TÉRMINOS DE REFERENCIA DEL SUBCOMITÉ DE FINANZAS Y PRESUPUESTO</w:t>
      </w:r>
    </w:p>
    <w:p w:rsidR="00E56C72" w:rsidRPr="000B28CE" w:rsidRDefault="00E56C72" w:rsidP="00E56C72">
      <w:pPr>
        <w:jc w:val="center"/>
        <w:rPr>
          <w:rFonts w:cs="Arial"/>
          <w:b/>
          <w:color w:val="000000"/>
          <w:lang w:val="es-ES"/>
        </w:rPr>
      </w:pPr>
    </w:p>
    <w:p w:rsidR="00E56C72" w:rsidRPr="000B28CE" w:rsidRDefault="00E56C72" w:rsidP="00E56C72">
      <w:pPr>
        <w:spacing w:after="0" w:line="240" w:lineRule="auto"/>
        <w:jc w:val="both"/>
        <w:rPr>
          <w:rFonts w:cs="Arial"/>
          <w:i/>
          <w:lang w:val="es-ES"/>
        </w:rPr>
      </w:pPr>
      <w:r w:rsidRPr="000B28CE">
        <w:rPr>
          <w:lang w:val="es-ES"/>
        </w:rPr>
        <w:t>1.</w:t>
      </w:r>
      <w:r w:rsidRPr="000B28CE">
        <w:rPr>
          <w:lang w:val="es-ES"/>
        </w:rPr>
        <w:tab/>
      </w:r>
      <w:r w:rsidRPr="000B28CE">
        <w:rPr>
          <w:i/>
          <w:lang w:val="es-ES"/>
        </w:rPr>
        <w:t>Composición del Subcomité:</w:t>
      </w:r>
    </w:p>
    <w:p w:rsidR="00E56C72" w:rsidRPr="000B28CE" w:rsidRDefault="00E56C72" w:rsidP="00E56C72">
      <w:pPr>
        <w:spacing w:after="0" w:line="240" w:lineRule="auto"/>
        <w:ind w:left="709" w:hanging="709"/>
        <w:jc w:val="both"/>
        <w:rPr>
          <w:rFonts w:cs="Arial"/>
          <w:lang w:val="es-ES"/>
        </w:rPr>
      </w:pPr>
    </w:p>
    <w:p w:rsidR="00E56C72" w:rsidRPr="000B28CE" w:rsidRDefault="00E56C72" w:rsidP="00E56C72">
      <w:pPr>
        <w:pStyle w:val="ListParagraph"/>
        <w:widowControl w:val="0"/>
        <w:numPr>
          <w:ilvl w:val="0"/>
          <w:numId w:val="25"/>
        </w:numPr>
        <w:autoSpaceDE w:val="0"/>
        <w:autoSpaceDN w:val="0"/>
        <w:adjustRightInd w:val="0"/>
        <w:spacing w:after="0" w:line="240" w:lineRule="auto"/>
        <w:ind w:left="720" w:hanging="450"/>
        <w:jc w:val="both"/>
        <w:rPr>
          <w:rFonts w:cs="Arial"/>
          <w:lang w:val="es-ES"/>
        </w:rPr>
      </w:pPr>
      <w:r w:rsidRPr="000B28CE">
        <w:rPr>
          <w:lang w:val="es-ES"/>
        </w:rPr>
        <w:t xml:space="preserve">El Subcomité de Finanzas y Presupuesto estará integrado por miembros seleccionados </w:t>
      </w:r>
      <w:r w:rsidRPr="000B28CE">
        <w:rPr>
          <w:u w:val="single"/>
          <w:lang w:val="es-ES"/>
        </w:rPr>
        <w:t>de entre los miembros del Comité Permanente, con</w:t>
      </w:r>
      <w:r w:rsidRPr="000B28CE">
        <w:rPr>
          <w:lang w:val="es-ES"/>
        </w:rPr>
        <w:t xml:space="preserve"> un país representante de cada una de las regiones de la CMS designado por la región; y</w:t>
      </w:r>
    </w:p>
    <w:p w:rsidR="00E56C72" w:rsidRPr="000B28CE" w:rsidRDefault="00E56C72" w:rsidP="00E56C72">
      <w:pPr>
        <w:pStyle w:val="ListParagraph"/>
        <w:spacing w:after="0" w:line="240" w:lineRule="auto"/>
        <w:ind w:left="1065" w:hanging="450"/>
        <w:jc w:val="both"/>
        <w:rPr>
          <w:rFonts w:cs="Arial"/>
          <w:lang w:val="es-ES"/>
        </w:rPr>
      </w:pPr>
    </w:p>
    <w:p w:rsidR="00E56C72" w:rsidRPr="000B28CE" w:rsidRDefault="00E56C72" w:rsidP="00E56C72">
      <w:pPr>
        <w:spacing w:after="0" w:line="240" w:lineRule="auto"/>
        <w:ind w:left="709" w:hanging="450"/>
        <w:jc w:val="both"/>
        <w:rPr>
          <w:rFonts w:cs="Arial"/>
          <w:lang w:val="es-ES"/>
        </w:rPr>
      </w:pPr>
      <w:r w:rsidRPr="000B28CE">
        <w:rPr>
          <w:lang w:val="es-ES"/>
        </w:rPr>
        <w:t xml:space="preserve">b) </w:t>
      </w:r>
      <w:r w:rsidRPr="000B28CE">
        <w:rPr>
          <w:lang w:val="es-ES"/>
        </w:rPr>
        <w:tab/>
        <w:t>El Subcomité elegirá un Presidente de entre sus miembros.</w:t>
      </w:r>
    </w:p>
    <w:p w:rsidR="00E56C72" w:rsidRPr="000B28CE" w:rsidRDefault="00E56C72" w:rsidP="00E56C72">
      <w:pPr>
        <w:spacing w:after="0" w:line="240" w:lineRule="auto"/>
        <w:ind w:left="709" w:hanging="709"/>
        <w:jc w:val="both"/>
        <w:rPr>
          <w:rFonts w:cs="Arial"/>
          <w:lang w:val="es-ES"/>
        </w:rPr>
      </w:pPr>
    </w:p>
    <w:p w:rsidR="00E56C72" w:rsidRPr="000B28CE" w:rsidRDefault="00E56C72" w:rsidP="00E56C72">
      <w:pPr>
        <w:spacing w:after="0" w:line="240" w:lineRule="auto"/>
        <w:jc w:val="both"/>
        <w:rPr>
          <w:rFonts w:cs="Arial"/>
          <w:i/>
          <w:lang w:val="es-ES"/>
        </w:rPr>
      </w:pPr>
      <w:r w:rsidRPr="000B28CE">
        <w:rPr>
          <w:lang w:val="es-ES"/>
        </w:rPr>
        <w:t>2.</w:t>
      </w:r>
      <w:r w:rsidRPr="000B28CE">
        <w:rPr>
          <w:lang w:val="es-ES"/>
        </w:rPr>
        <w:tab/>
      </w:r>
      <w:r w:rsidRPr="000B28CE">
        <w:rPr>
          <w:i/>
          <w:lang w:val="es-ES"/>
        </w:rPr>
        <w:t>Reuniones y modo de funcionamiento del Subcomité:</w:t>
      </w:r>
    </w:p>
    <w:p w:rsidR="00E56C72" w:rsidRPr="000B28CE" w:rsidRDefault="00E56C72" w:rsidP="00E56C72">
      <w:pPr>
        <w:spacing w:after="0" w:line="240" w:lineRule="auto"/>
        <w:ind w:left="709" w:hanging="709"/>
        <w:jc w:val="both"/>
        <w:rPr>
          <w:rFonts w:cs="Arial"/>
          <w:lang w:val="es-ES"/>
        </w:rPr>
      </w:pPr>
    </w:p>
    <w:p w:rsidR="00E56C72" w:rsidRPr="000B28CE" w:rsidRDefault="00E56C72" w:rsidP="00E56C72">
      <w:pPr>
        <w:widowControl w:val="0"/>
        <w:numPr>
          <w:ilvl w:val="0"/>
          <w:numId w:val="24"/>
        </w:numPr>
        <w:autoSpaceDE w:val="0"/>
        <w:autoSpaceDN w:val="0"/>
        <w:adjustRightInd w:val="0"/>
        <w:spacing w:after="0" w:line="240" w:lineRule="auto"/>
        <w:ind w:hanging="435"/>
        <w:jc w:val="both"/>
        <w:rPr>
          <w:rFonts w:cs="Arial"/>
          <w:lang w:val="es-ES"/>
        </w:rPr>
      </w:pPr>
      <w:r w:rsidRPr="000B28CE">
        <w:rPr>
          <w:lang w:val="es-ES"/>
        </w:rPr>
        <w:t>El Subcomité se reunirá en sesión privada (es decir, asistirán solo los miembros del Subcomité, observadores de las Partes y la Secretaría) un día antes de cada reunión del Comité Permanente; y</w:t>
      </w:r>
    </w:p>
    <w:p w:rsidR="00E56C72" w:rsidRPr="000B28CE" w:rsidRDefault="00E56C72" w:rsidP="00E56C72">
      <w:pPr>
        <w:spacing w:after="0" w:line="240" w:lineRule="auto"/>
        <w:ind w:left="1065" w:hanging="435"/>
        <w:jc w:val="both"/>
        <w:rPr>
          <w:rFonts w:cs="Arial"/>
          <w:lang w:val="es-ES"/>
        </w:rPr>
      </w:pPr>
    </w:p>
    <w:p w:rsidR="00E56C72" w:rsidRPr="000B28CE" w:rsidRDefault="00E56C72" w:rsidP="00E56C72">
      <w:pPr>
        <w:spacing w:after="0" w:line="240" w:lineRule="auto"/>
        <w:ind w:left="709" w:hanging="435"/>
        <w:jc w:val="both"/>
        <w:rPr>
          <w:rFonts w:cs="Arial"/>
          <w:lang w:val="es-ES"/>
        </w:rPr>
      </w:pPr>
      <w:r w:rsidRPr="000B28CE">
        <w:rPr>
          <w:lang w:val="es-ES"/>
        </w:rPr>
        <w:t xml:space="preserve">b) </w:t>
      </w:r>
      <w:r w:rsidRPr="000B28CE">
        <w:rPr>
          <w:lang w:val="es-ES"/>
        </w:rPr>
        <w:tab/>
        <w:t>Los miembros del Subcomité se comunicarán por vía electrónica entre las reuniones del Comité Permanente. Con este fin, la Secretaría deberá establecer un foro en su sitio web para las comunicaciones entre los miembros y para el intercambio de documentos, que podrán ser leídos por las Partes que no son miembros, que deberían comunicar sus opiniones a su representante regional en el Subcomité.</w:t>
      </w:r>
    </w:p>
    <w:p w:rsidR="00E56C72" w:rsidRPr="000B28CE" w:rsidRDefault="00E56C72" w:rsidP="00E56C72">
      <w:pPr>
        <w:spacing w:after="0" w:line="240" w:lineRule="auto"/>
        <w:jc w:val="both"/>
        <w:rPr>
          <w:rFonts w:cs="Arial"/>
          <w:i/>
          <w:lang w:val="es-ES"/>
        </w:rPr>
      </w:pPr>
    </w:p>
    <w:p w:rsidR="00E56C72" w:rsidRPr="000B28CE" w:rsidRDefault="00E56C72" w:rsidP="00E56C72">
      <w:pPr>
        <w:spacing w:after="0" w:line="240" w:lineRule="auto"/>
        <w:jc w:val="both"/>
        <w:rPr>
          <w:rFonts w:cs="Arial"/>
          <w:i/>
          <w:lang w:val="es-ES"/>
        </w:rPr>
      </w:pPr>
      <w:r w:rsidRPr="000B28CE">
        <w:rPr>
          <w:lang w:val="es-ES"/>
        </w:rPr>
        <w:t>3.</w:t>
      </w:r>
      <w:r w:rsidRPr="000B28CE">
        <w:rPr>
          <w:lang w:val="es-ES"/>
        </w:rPr>
        <w:tab/>
      </w:r>
      <w:r w:rsidRPr="000B28CE">
        <w:rPr>
          <w:i/>
          <w:lang w:val="es-ES"/>
        </w:rPr>
        <w:t>Responsabilidades de los miembros del Subcomité:</w:t>
      </w:r>
    </w:p>
    <w:p w:rsidR="00E56C72" w:rsidRPr="000B28CE" w:rsidRDefault="00E56C72" w:rsidP="00E56C72">
      <w:pPr>
        <w:spacing w:after="0" w:line="240" w:lineRule="auto"/>
        <w:jc w:val="both"/>
        <w:rPr>
          <w:rFonts w:cs="Arial"/>
          <w:lang w:val="es-ES"/>
        </w:rPr>
      </w:pPr>
    </w:p>
    <w:p w:rsidR="00E56C72" w:rsidRPr="000B28CE" w:rsidRDefault="00E56C72" w:rsidP="00E56C72">
      <w:pPr>
        <w:spacing w:after="0" w:line="240" w:lineRule="auto"/>
        <w:ind w:left="630"/>
        <w:jc w:val="both"/>
        <w:rPr>
          <w:rFonts w:cs="Arial"/>
          <w:lang w:val="es-ES"/>
        </w:rPr>
      </w:pPr>
      <w:r w:rsidRPr="000B28CE">
        <w:rPr>
          <w:lang w:val="es-ES"/>
        </w:rPr>
        <w:t>En el desempeño de sus funciones, los miembros del Subcomité deberán solicitar y representar los puntos de vista de su región, e informar luego de los resultados a sus regiones.</w:t>
      </w:r>
    </w:p>
    <w:p w:rsidR="00E56C72" w:rsidRPr="000B28CE" w:rsidRDefault="00E56C72" w:rsidP="00E56C72">
      <w:pPr>
        <w:spacing w:after="0" w:line="240" w:lineRule="auto"/>
        <w:jc w:val="both"/>
        <w:rPr>
          <w:rFonts w:cs="Arial"/>
          <w:lang w:val="es-ES"/>
        </w:rPr>
      </w:pPr>
    </w:p>
    <w:p w:rsidR="00E56C72" w:rsidRPr="000B28CE" w:rsidRDefault="00E56C72" w:rsidP="00E56C72">
      <w:pPr>
        <w:spacing w:after="0" w:line="240" w:lineRule="auto"/>
        <w:jc w:val="both"/>
        <w:rPr>
          <w:rFonts w:cs="Arial"/>
          <w:i/>
          <w:lang w:val="es-ES"/>
        </w:rPr>
      </w:pPr>
      <w:r w:rsidRPr="000B28CE">
        <w:rPr>
          <w:lang w:val="es-ES"/>
        </w:rPr>
        <w:t>4.</w:t>
      </w:r>
      <w:r w:rsidRPr="000B28CE">
        <w:rPr>
          <w:lang w:val="es-ES"/>
        </w:rPr>
        <w:tab/>
      </w:r>
      <w:r w:rsidRPr="000B28CE">
        <w:rPr>
          <w:i/>
          <w:lang w:val="es-ES"/>
        </w:rPr>
        <w:t>Responsabilidades del Subcomité:</w:t>
      </w:r>
    </w:p>
    <w:p w:rsidR="00E56C72" w:rsidRPr="000B28CE" w:rsidRDefault="00E56C72" w:rsidP="00E56C72">
      <w:pPr>
        <w:spacing w:after="0" w:line="240" w:lineRule="auto"/>
        <w:jc w:val="both"/>
        <w:rPr>
          <w:rFonts w:cs="Arial"/>
          <w:lang w:val="es-ES"/>
        </w:rPr>
      </w:pPr>
    </w:p>
    <w:p w:rsidR="00E56C72" w:rsidRPr="000B28CE" w:rsidRDefault="00E56C72" w:rsidP="00E56C72">
      <w:pPr>
        <w:spacing w:after="0" w:line="240" w:lineRule="auto"/>
        <w:ind w:left="630"/>
        <w:jc w:val="both"/>
        <w:rPr>
          <w:rFonts w:cs="Arial"/>
          <w:lang w:val="es-ES"/>
        </w:rPr>
      </w:pPr>
      <w:r w:rsidRPr="000B28CE">
        <w:rPr>
          <w:lang w:val="es-ES"/>
        </w:rPr>
        <w:t>Para cumplir el mandato de la Resolución 13. de la Conferencia, el Subcomité deberá:</w:t>
      </w:r>
    </w:p>
    <w:p w:rsidR="00E56C72" w:rsidRPr="000B28CE" w:rsidRDefault="00E56C72" w:rsidP="00E56C72">
      <w:pPr>
        <w:spacing w:after="0" w:line="240" w:lineRule="auto"/>
        <w:jc w:val="both"/>
        <w:rPr>
          <w:rFonts w:cs="Arial"/>
          <w:lang w:val="es-ES"/>
        </w:rPr>
      </w:pPr>
    </w:p>
    <w:p w:rsidR="00E56C72" w:rsidRPr="000B28CE" w:rsidRDefault="00E56C72" w:rsidP="00E56C72">
      <w:pPr>
        <w:numPr>
          <w:ilvl w:val="2"/>
          <w:numId w:val="22"/>
        </w:numPr>
        <w:tabs>
          <w:tab w:val="clear" w:pos="2340"/>
        </w:tabs>
        <w:autoSpaceDE w:val="0"/>
        <w:autoSpaceDN w:val="0"/>
        <w:adjustRightInd w:val="0"/>
        <w:spacing w:after="0" w:line="240" w:lineRule="auto"/>
        <w:ind w:left="709" w:hanging="439"/>
        <w:jc w:val="both"/>
        <w:rPr>
          <w:rFonts w:cs="Arial"/>
          <w:lang w:val="es-ES"/>
        </w:rPr>
      </w:pPr>
      <w:r w:rsidRPr="000B28CE">
        <w:rPr>
          <w:lang w:val="es-ES"/>
        </w:rPr>
        <w:t>Examinar en términos generales todos los aspectos de la financiación y presupuestación de la Convención y formular recomendaciones al Comité Permanente. El Subcomité deberá centrar su atención en mantener la Convención solvente, velando al mismo tiempo que se presten los servicios de apoyo esenciales para el funcionamiento efectivo y eficiente de la Convención;</w:t>
      </w:r>
    </w:p>
    <w:p w:rsidR="00E56C72" w:rsidRPr="000B28CE" w:rsidRDefault="00E56C72" w:rsidP="00E56C72">
      <w:pPr>
        <w:spacing w:after="0" w:line="240" w:lineRule="auto"/>
        <w:ind w:left="709" w:hanging="439"/>
        <w:jc w:val="both"/>
        <w:rPr>
          <w:rFonts w:cs="Arial"/>
          <w:lang w:val="es-ES"/>
        </w:rPr>
      </w:pPr>
    </w:p>
    <w:p w:rsidR="00E56C72" w:rsidRPr="000B28CE" w:rsidRDefault="00E56C72" w:rsidP="00E56C72">
      <w:pPr>
        <w:numPr>
          <w:ilvl w:val="2"/>
          <w:numId w:val="22"/>
        </w:numPr>
        <w:tabs>
          <w:tab w:val="clear" w:pos="2340"/>
        </w:tabs>
        <w:autoSpaceDE w:val="0"/>
        <w:autoSpaceDN w:val="0"/>
        <w:adjustRightInd w:val="0"/>
        <w:spacing w:after="0" w:line="240" w:lineRule="auto"/>
        <w:ind w:left="709" w:hanging="439"/>
        <w:jc w:val="both"/>
        <w:rPr>
          <w:rFonts w:cs="Arial"/>
          <w:lang w:val="es-ES"/>
        </w:rPr>
      </w:pPr>
      <w:r w:rsidRPr="000B28CE">
        <w:rPr>
          <w:lang w:val="es-ES"/>
        </w:rPr>
        <w:t>Evaluar el programa de trabajo de la Secretaría y otros documentos con posibles repercusiones presupuestarias relativas a:</w:t>
      </w:r>
    </w:p>
    <w:p w:rsidR="00E56C72" w:rsidRPr="000B28CE" w:rsidRDefault="00E56C72" w:rsidP="00E56C72">
      <w:pPr>
        <w:spacing w:after="0" w:line="240" w:lineRule="auto"/>
        <w:jc w:val="both"/>
        <w:rPr>
          <w:rFonts w:cs="Arial"/>
          <w:lang w:val="es-ES"/>
        </w:rPr>
      </w:pPr>
    </w:p>
    <w:p w:rsidR="00E56C72" w:rsidRPr="000B28CE" w:rsidRDefault="00E56C72" w:rsidP="00E56C72">
      <w:pPr>
        <w:widowControl w:val="0"/>
        <w:numPr>
          <w:ilvl w:val="3"/>
          <w:numId w:val="23"/>
        </w:numPr>
        <w:autoSpaceDE w:val="0"/>
        <w:autoSpaceDN w:val="0"/>
        <w:adjustRightInd w:val="0"/>
        <w:spacing w:after="0" w:line="240" w:lineRule="auto"/>
        <w:ind w:left="1418" w:hanging="709"/>
        <w:jc w:val="both"/>
        <w:rPr>
          <w:rFonts w:cs="Arial"/>
          <w:lang w:val="es-ES"/>
        </w:rPr>
      </w:pPr>
      <w:r w:rsidRPr="000B28CE">
        <w:rPr>
          <w:lang w:val="es-ES"/>
        </w:rPr>
        <w:t>Las funciones y responsabilidades de la Secretaría estipuladas en el texto de la Convención;</w:t>
      </w:r>
    </w:p>
    <w:p w:rsidR="00E56C72" w:rsidRPr="000B28CE" w:rsidRDefault="00E56C72" w:rsidP="00E56C72">
      <w:pPr>
        <w:widowControl w:val="0"/>
        <w:numPr>
          <w:ilvl w:val="3"/>
          <w:numId w:val="23"/>
        </w:numPr>
        <w:autoSpaceDE w:val="0"/>
        <w:autoSpaceDN w:val="0"/>
        <w:adjustRightInd w:val="0"/>
        <w:spacing w:after="0" w:line="240" w:lineRule="auto"/>
        <w:ind w:left="1418" w:hanging="709"/>
        <w:jc w:val="both"/>
        <w:rPr>
          <w:rFonts w:cs="Arial"/>
          <w:spacing w:val="-4"/>
          <w:lang w:val="es-ES"/>
        </w:rPr>
      </w:pPr>
      <w:r w:rsidRPr="000B28CE">
        <w:rPr>
          <w:spacing w:val="-4"/>
          <w:lang w:val="es-ES"/>
        </w:rPr>
        <w:t>Asegurar que las actividades emprendidas por la Secretaría en el marco del presupuesto aprobado sean coherentes con las Resoluciones y Decisiones de la Conferencia de las Partes;</w:t>
      </w:r>
    </w:p>
    <w:p w:rsidR="00E56C72" w:rsidRPr="000B28CE" w:rsidRDefault="00E56C72" w:rsidP="00E56C72">
      <w:pPr>
        <w:spacing w:after="0" w:line="240" w:lineRule="auto"/>
        <w:jc w:val="both"/>
        <w:rPr>
          <w:rFonts w:cs="Arial"/>
          <w:lang w:val="es-ES"/>
        </w:rPr>
      </w:pPr>
    </w:p>
    <w:p w:rsidR="00E56C72" w:rsidRPr="000B28CE" w:rsidRDefault="00E56C72" w:rsidP="00E56C72">
      <w:pPr>
        <w:numPr>
          <w:ilvl w:val="2"/>
          <w:numId w:val="22"/>
        </w:numPr>
        <w:tabs>
          <w:tab w:val="clear" w:pos="2340"/>
        </w:tabs>
        <w:autoSpaceDE w:val="0"/>
        <w:autoSpaceDN w:val="0"/>
        <w:adjustRightInd w:val="0"/>
        <w:spacing w:after="0" w:line="240" w:lineRule="auto"/>
        <w:ind w:left="709" w:hanging="439"/>
        <w:jc w:val="both"/>
        <w:rPr>
          <w:rFonts w:cs="Arial"/>
          <w:lang w:val="es-ES"/>
        </w:rPr>
      </w:pPr>
      <w:r w:rsidRPr="000B28CE">
        <w:rPr>
          <w:lang w:val="es-ES"/>
        </w:rPr>
        <w:t>Examinar los procedimientos administrativos y otros aspectos de la financiación y el presupuesto de la Convención, y formular recomendaciones para mejorar la eficiencia con que se gastan los fondos;</w:t>
      </w:r>
    </w:p>
    <w:p w:rsidR="004E0538" w:rsidRPr="000B28CE" w:rsidRDefault="004E0538">
      <w:pPr>
        <w:rPr>
          <w:rFonts w:cs="Arial"/>
          <w:lang w:val="es-ES"/>
        </w:rPr>
      </w:pPr>
      <w:r w:rsidRPr="000B28CE">
        <w:rPr>
          <w:rFonts w:cs="Arial"/>
          <w:lang w:val="es-ES"/>
        </w:rPr>
        <w:br w:type="page"/>
      </w:r>
    </w:p>
    <w:p w:rsidR="00E56C72" w:rsidRPr="000B28CE" w:rsidRDefault="00E56C72" w:rsidP="00E56C72">
      <w:pPr>
        <w:spacing w:after="0" w:line="240" w:lineRule="auto"/>
        <w:ind w:left="709"/>
        <w:jc w:val="both"/>
        <w:rPr>
          <w:rFonts w:cs="Arial"/>
          <w:lang w:val="es-ES"/>
        </w:rPr>
      </w:pPr>
    </w:p>
    <w:p w:rsidR="00E56C72" w:rsidRPr="000B28CE" w:rsidRDefault="00E56C72" w:rsidP="00E56C72">
      <w:pPr>
        <w:numPr>
          <w:ilvl w:val="2"/>
          <w:numId w:val="22"/>
        </w:numPr>
        <w:tabs>
          <w:tab w:val="clear" w:pos="2340"/>
        </w:tabs>
        <w:autoSpaceDE w:val="0"/>
        <w:autoSpaceDN w:val="0"/>
        <w:adjustRightInd w:val="0"/>
        <w:spacing w:after="0" w:line="240" w:lineRule="auto"/>
        <w:ind w:left="709" w:hanging="439"/>
        <w:jc w:val="both"/>
        <w:rPr>
          <w:rFonts w:cs="Arial"/>
          <w:lang w:val="es-ES"/>
        </w:rPr>
      </w:pPr>
      <w:r w:rsidRPr="000B28CE">
        <w:rPr>
          <w:lang w:val="es-ES"/>
        </w:rPr>
        <w:t>Utilizar la información elaborada a través de los procesos descritos en los párrafos a)-c):</w:t>
      </w:r>
    </w:p>
    <w:p w:rsidR="00E56C72" w:rsidRPr="000B28CE" w:rsidRDefault="00E56C72" w:rsidP="00E56C72">
      <w:pPr>
        <w:spacing w:after="0" w:line="240" w:lineRule="auto"/>
        <w:ind w:left="540" w:hanging="540"/>
        <w:jc w:val="both"/>
        <w:rPr>
          <w:rFonts w:cs="Arial"/>
          <w:lang w:val="es-ES"/>
        </w:rPr>
      </w:pPr>
    </w:p>
    <w:p w:rsidR="00E56C72" w:rsidRPr="000B28CE" w:rsidRDefault="00E56C72" w:rsidP="00E56C72">
      <w:pPr>
        <w:widowControl w:val="0"/>
        <w:numPr>
          <w:ilvl w:val="0"/>
          <w:numId w:val="26"/>
        </w:numPr>
        <w:autoSpaceDE w:val="0"/>
        <w:autoSpaceDN w:val="0"/>
        <w:adjustRightInd w:val="0"/>
        <w:spacing w:after="0" w:line="240" w:lineRule="auto"/>
        <w:jc w:val="both"/>
        <w:rPr>
          <w:rFonts w:cs="Arial"/>
          <w:lang w:val="es-ES"/>
        </w:rPr>
      </w:pPr>
      <w:r w:rsidRPr="000B28CE">
        <w:rPr>
          <w:lang w:val="es-ES"/>
        </w:rPr>
        <w:t>trabajar con la Secretaría para preparar todos los documentos financieros y presupuestarios para someterlos al examen del Comité Permanente;</w:t>
      </w:r>
    </w:p>
    <w:p w:rsidR="00E56C72" w:rsidRPr="000B28CE" w:rsidRDefault="00E56C72" w:rsidP="00E56C72">
      <w:pPr>
        <w:widowControl w:val="0"/>
        <w:numPr>
          <w:ilvl w:val="0"/>
          <w:numId w:val="26"/>
        </w:numPr>
        <w:autoSpaceDE w:val="0"/>
        <w:autoSpaceDN w:val="0"/>
        <w:adjustRightInd w:val="0"/>
        <w:spacing w:after="0" w:line="240" w:lineRule="auto"/>
        <w:jc w:val="both"/>
        <w:rPr>
          <w:rFonts w:cs="Arial"/>
          <w:lang w:val="es-ES"/>
        </w:rPr>
      </w:pPr>
      <w:r w:rsidRPr="000B28CE">
        <w:rPr>
          <w:lang w:val="es-ES"/>
        </w:rPr>
        <w:t>seguir elaborando el modelo de informe para asegurar que los informes financieros sean fáciles de entender y transparentes, y permitan tomar decisiones documentadas en relación con el rendimiento financiero de la Convención;</w:t>
      </w:r>
    </w:p>
    <w:p w:rsidR="00E56C72" w:rsidRPr="000B28CE" w:rsidRDefault="00E56C72" w:rsidP="00E56C72">
      <w:pPr>
        <w:widowControl w:val="0"/>
        <w:numPr>
          <w:ilvl w:val="0"/>
          <w:numId w:val="26"/>
        </w:numPr>
        <w:autoSpaceDE w:val="0"/>
        <w:autoSpaceDN w:val="0"/>
        <w:adjustRightInd w:val="0"/>
        <w:spacing w:after="0" w:line="240" w:lineRule="auto"/>
        <w:jc w:val="both"/>
        <w:rPr>
          <w:rFonts w:cs="Arial"/>
          <w:lang w:val="es-ES"/>
        </w:rPr>
      </w:pPr>
      <w:r w:rsidRPr="000B28CE">
        <w:rPr>
          <w:lang w:val="es-ES"/>
        </w:rPr>
        <w:t>formular recomendaciones al Comité Permanente sobre todos los documentos financieros y presupuestarios y las propuestas elaboradas a través de este proceso; y</w:t>
      </w:r>
    </w:p>
    <w:p w:rsidR="00E56C72" w:rsidRPr="000B28CE" w:rsidRDefault="00E56C72" w:rsidP="00E56C72">
      <w:pPr>
        <w:widowControl w:val="0"/>
        <w:numPr>
          <w:ilvl w:val="0"/>
          <w:numId w:val="26"/>
        </w:numPr>
        <w:autoSpaceDE w:val="0"/>
        <w:autoSpaceDN w:val="0"/>
        <w:adjustRightInd w:val="0"/>
        <w:spacing w:after="0" w:line="240" w:lineRule="auto"/>
        <w:jc w:val="both"/>
        <w:rPr>
          <w:rFonts w:cs="Arial"/>
          <w:lang w:val="es-ES"/>
        </w:rPr>
      </w:pPr>
      <w:r w:rsidRPr="000B28CE">
        <w:rPr>
          <w:lang w:val="es-ES"/>
        </w:rPr>
        <w:t>prestar cualquier otro tipo de asistencia al Comité Permanente en la supervisión de asuntos financieros y presupuestarios, incluida la preparación de documentos para las reuniones de la Conferencia de las Partes;</w:t>
      </w:r>
    </w:p>
    <w:p w:rsidR="00E56C72" w:rsidRPr="000B28CE" w:rsidRDefault="00E56C72" w:rsidP="00E56C72">
      <w:pPr>
        <w:spacing w:after="0" w:line="240" w:lineRule="auto"/>
        <w:ind w:left="540" w:hanging="540"/>
        <w:jc w:val="both"/>
        <w:rPr>
          <w:rFonts w:cs="Arial"/>
          <w:lang w:val="es-ES"/>
        </w:rPr>
      </w:pPr>
    </w:p>
    <w:p w:rsidR="00E56C72" w:rsidRPr="000B28CE" w:rsidRDefault="00E56C72" w:rsidP="00E56C72">
      <w:pPr>
        <w:numPr>
          <w:ilvl w:val="2"/>
          <w:numId w:val="22"/>
        </w:numPr>
        <w:tabs>
          <w:tab w:val="clear" w:pos="2340"/>
        </w:tabs>
        <w:autoSpaceDE w:val="0"/>
        <w:autoSpaceDN w:val="0"/>
        <w:adjustRightInd w:val="0"/>
        <w:spacing w:after="0" w:line="240" w:lineRule="auto"/>
        <w:ind w:left="709" w:hanging="529"/>
        <w:jc w:val="both"/>
        <w:rPr>
          <w:rFonts w:cs="Arial"/>
          <w:lang w:val="es-ES"/>
        </w:rPr>
      </w:pPr>
      <w:r w:rsidRPr="000B28CE">
        <w:rPr>
          <w:lang w:val="es-ES"/>
        </w:rPr>
        <w:t xml:space="preserve">La Secretaría deberá proporcionar a todo el Comité Permanente un informe, </w:t>
      </w:r>
      <w:r w:rsidRPr="000B28CE">
        <w:rPr>
          <w:u w:val="single"/>
          <w:lang w:val="es-ES"/>
        </w:rPr>
        <w:t>cada seis meses,</w:t>
      </w:r>
      <w:r w:rsidRPr="000B28CE">
        <w:rPr>
          <w:lang w:val="es-ES"/>
        </w:rPr>
        <w:t xml:space="preserve"> que se enviará electrónicamente, y en el que se identificarán y explicarán cualesquiera gastos proyectados que difieran, en más del 20%, de los gastos del presupuesto aprobado para los gastos totales de personal o, </w:t>
      </w:r>
      <w:r w:rsidRPr="000B28CE">
        <w:rPr>
          <w:u w:val="single"/>
          <w:lang w:val="es-ES"/>
        </w:rPr>
        <w:t>en el caso de</w:t>
      </w:r>
      <w:r w:rsidRPr="000B28CE">
        <w:rPr>
          <w:lang w:val="es-ES"/>
        </w:rPr>
        <w:t xml:space="preserve"> otros gastos no relacionados con el personal, para cada actividad, junto con el enfoque propuesto relativo a la gestión de cualquiera de estos excesos de gastos proyectados.</w:t>
      </w:r>
    </w:p>
    <w:p w:rsidR="00E56C72" w:rsidRPr="000B28CE" w:rsidRDefault="00E56C72" w:rsidP="00E56C72">
      <w:pPr>
        <w:pStyle w:val="Firstnumbering1"/>
        <w:numPr>
          <w:ilvl w:val="0"/>
          <w:numId w:val="0"/>
        </w:numPr>
        <w:ind w:left="567"/>
      </w:pPr>
    </w:p>
    <w:p w:rsidR="00E56C72" w:rsidRPr="000B28CE" w:rsidRDefault="00E56C72" w:rsidP="00E56C72">
      <w:pPr>
        <w:pStyle w:val="Firstnumbering1"/>
        <w:numPr>
          <w:ilvl w:val="0"/>
          <w:numId w:val="0"/>
        </w:numPr>
        <w:ind w:left="567"/>
        <w:sectPr w:rsidR="00E56C72" w:rsidRPr="000B28CE" w:rsidSect="008B5DF7">
          <w:headerReference w:type="even" r:id="rId38"/>
          <w:headerReference w:type="first" r:id="rId39"/>
          <w:pgSz w:w="11906" w:h="16838" w:code="9"/>
          <w:pgMar w:top="1134" w:right="1134" w:bottom="1134" w:left="1134" w:header="720" w:footer="720" w:gutter="0"/>
          <w:cols w:space="720"/>
          <w:titlePg/>
          <w:docGrid w:linePitch="360"/>
        </w:sectPr>
      </w:pPr>
    </w:p>
    <w:p w:rsidR="00E56C72" w:rsidRPr="000B28CE" w:rsidRDefault="00E56C72" w:rsidP="00E56C72">
      <w:pPr>
        <w:jc w:val="right"/>
        <w:rPr>
          <w:b/>
          <w:color w:val="000000"/>
          <w:lang w:val="es-ES"/>
        </w:rPr>
      </w:pPr>
      <w:r w:rsidRPr="000B28CE">
        <w:rPr>
          <w:b/>
          <w:color w:val="000000"/>
          <w:lang w:val="es-ES"/>
        </w:rPr>
        <w:t xml:space="preserve">ANEXO </w:t>
      </w:r>
      <w:r w:rsidR="000B28CE" w:rsidRPr="000B28CE">
        <w:rPr>
          <w:b/>
          <w:color w:val="000000"/>
          <w:lang w:val="es-ES"/>
        </w:rPr>
        <w:t>5</w:t>
      </w:r>
      <w:r w:rsidRPr="000B28CE">
        <w:rPr>
          <w:b/>
          <w:color w:val="000000"/>
          <w:lang w:val="es-ES"/>
        </w:rPr>
        <w:t xml:space="preserve"> (D)</w:t>
      </w:r>
    </w:p>
    <w:p w:rsidR="000B28CE" w:rsidRPr="000B28CE" w:rsidRDefault="000B28CE" w:rsidP="000B28CE">
      <w:pPr>
        <w:spacing w:after="0" w:line="240" w:lineRule="auto"/>
        <w:jc w:val="center"/>
        <w:rPr>
          <w:b/>
          <w:color w:val="000000"/>
          <w:lang w:val="es-ES"/>
        </w:rPr>
      </w:pPr>
    </w:p>
    <w:p w:rsidR="00E56C72" w:rsidRPr="000B28CE" w:rsidRDefault="00E56C72" w:rsidP="000B28CE">
      <w:pPr>
        <w:spacing w:after="0" w:line="240" w:lineRule="auto"/>
        <w:jc w:val="center"/>
        <w:rPr>
          <w:rFonts w:cs="Arial"/>
          <w:b/>
          <w:color w:val="000000"/>
          <w:lang w:val="es-ES"/>
        </w:rPr>
      </w:pPr>
      <w:r w:rsidRPr="000B28CE">
        <w:rPr>
          <w:b/>
          <w:color w:val="000000"/>
          <w:lang w:val="es-ES"/>
        </w:rPr>
        <w:t>PROYECTO DE TÉRMINOS DE REFERENCIA PARA LA ADMINISTRACIÓN DEL FONDO FIDUCIARIO DE LA CONVENCIÓN SOBRE LA CONSERVACIÓN DE LAS ESPECIES MIGRATORIAS DE ANIMALES SILVESTRES</w:t>
      </w:r>
    </w:p>
    <w:p w:rsidR="00E56C72" w:rsidRPr="000B28CE" w:rsidRDefault="00E56C72" w:rsidP="000B28CE">
      <w:pPr>
        <w:spacing w:after="0" w:line="240" w:lineRule="auto"/>
        <w:jc w:val="center"/>
        <w:rPr>
          <w:lang w:val="es-ES"/>
        </w:rPr>
      </w:pPr>
    </w:p>
    <w:p w:rsidR="000B28CE" w:rsidRPr="000B28CE" w:rsidRDefault="000B28CE" w:rsidP="000B28CE">
      <w:pPr>
        <w:spacing w:after="0" w:line="240" w:lineRule="auto"/>
        <w:jc w:val="center"/>
        <w:rPr>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1.</w:t>
      </w:r>
      <w:r w:rsidRPr="000B28CE">
        <w:rPr>
          <w:lang w:val="es-ES"/>
        </w:rPr>
        <w:tab/>
      </w:r>
      <w:r w:rsidRPr="000B28CE">
        <w:rPr>
          <w:rFonts w:ascii="Arial" w:hAnsi="Arial"/>
          <w:lang w:val="es-ES"/>
        </w:rPr>
        <w:t>El Fondo Fiduciario para la Convención sobre la Conservación de Especies Migratorias de Animales Silvestres (en lo sucesivo, el Fondo Fiduciario) se prorrogará por un período de tres años para proporcionar apoyo financiero para los objetivos de la Convención.</w:t>
      </w:r>
    </w:p>
    <w:p w:rsidR="00E56C72" w:rsidRPr="000B28CE" w:rsidRDefault="00E56C72" w:rsidP="000B28CE">
      <w:pPr>
        <w:pStyle w:val="NoSpacing"/>
        <w:widowControl w:val="0"/>
        <w:ind w:left="450" w:hanging="450"/>
        <w:jc w:val="both"/>
        <w:rPr>
          <w:rFonts w:ascii="Arial" w:hAnsi="Arial"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2.</w:t>
      </w:r>
      <w:r w:rsidRPr="000B28CE">
        <w:rPr>
          <w:lang w:val="es-ES"/>
        </w:rPr>
        <w:tab/>
      </w:r>
      <w:r w:rsidRPr="000B28CE">
        <w:rPr>
          <w:rFonts w:ascii="Arial" w:hAnsi="Arial"/>
          <w:lang w:val="es-ES"/>
        </w:rPr>
        <w:t>El ejercicio económico será de tres años civiles comenzando el 1º de enero de 2021 y terminando el 31 de diciembre 2023, a reserva de su aprobación por la Asamblea de la ONU Medio Ambiente.</w:t>
      </w:r>
    </w:p>
    <w:p w:rsidR="00E56C72" w:rsidRPr="000B28CE" w:rsidRDefault="00E56C72" w:rsidP="000B28CE">
      <w:pPr>
        <w:pStyle w:val="ListParagraph"/>
        <w:spacing w:after="0" w:line="240" w:lineRule="auto"/>
        <w:ind w:left="450" w:hanging="450"/>
        <w:rPr>
          <w:rFonts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3.</w:t>
      </w:r>
      <w:r w:rsidRPr="000B28CE">
        <w:rPr>
          <w:lang w:val="es-ES"/>
        </w:rPr>
        <w:tab/>
      </w:r>
      <w:r w:rsidRPr="000B28CE">
        <w:rPr>
          <w:rFonts w:ascii="Arial" w:hAnsi="Arial"/>
          <w:lang w:val="es-ES"/>
        </w:rPr>
        <w:t>El Fondo Fiduciario seguirá siendo administrado por el Director Ejecutivo de la ONU Medio Ambiente.</w:t>
      </w:r>
    </w:p>
    <w:p w:rsidR="00E56C72" w:rsidRPr="000B28CE" w:rsidRDefault="00E56C72" w:rsidP="000B28CE">
      <w:pPr>
        <w:pStyle w:val="ListParagraph"/>
        <w:spacing w:after="0" w:line="240" w:lineRule="auto"/>
        <w:ind w:left="450" w:hanging="450"/>
        <w:rPr>
          <w:rFonts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4.</w:t>
      </w:r>
      <w:r w:rsidRPr="000B28CE">
        <w:rPr>
          <w:lang w:val="es-ES"/>
        </w:rPr>
        <w:tab/>
      </w:r>
      <w:r w:rsidRPr="000B28CE">
        <w:rPr>
          <w:rFonts w:ascii="Arial" w:hAnsi="Arial"/>
          <w:lang w:val="es-ES"/>
        </w:rPr>
        <w:t>La administración del Fondo Fiduciario se regirá por el Reglamento Financiero y la Reglamentación Financiera Detallada de las Naciones Unidas, el Estatuto y el Reglamento del Personal de las Naciones Unidas y otras políticas o procedimientos administrativos promulgados por el Secretario General de las Naciones Unidas.</w:t>
      </w:r>
    </w:p>
    <w:p w:rsidR="00E56C72" w:rsidRPr="000B28CE" w:rsidRDefault="00E56C72" w:rsidP="000B28CE">
      <w:pPr>
        <w:pStyle w:val="ListParagraph"/>
        <w:spacing w:after="0" w:line="240" w:lineRule="auto"/>
        <w:ind w:left="450" w:hanging="450"/>
        <w:rPr>
          <w:rFonts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5.</w:t>
      </w:r>
      <w:r w:rsidRPr="000B28CE">
        <w:rPr>
          <w:lang w:val="es-ES"/>
        </w:rPr>
        <w:tab/>
      </w:r>
      <w:r w:rsidRPr="000B28CE">
        <w:rPr>
          <w:rFonts w:ascii="Arial" w:hAnsi="Arial"/>
          <w:lang w:val="es-ES"/>
        </w:rPr>
        <w:t>De conformidad con las normas de las Naciones Unidas, la ONU Medio Ambiente deducirá de los gastos del Fondo Fiduciario una carga administrativa equivalente al 13% de los gastos imputados al Fondo Fiduciario en relación con las actividades financiadas con cargo al Fondo Fiduciario.</w:t>
      </w:r>
    </w:p>
    <w:p w:rsidR="00E56C72" w:rsidRPr="000B28CE" w:rsidRDefault="00E56C72" w:rsidP="000B28CE">
      <w:pPr>
        <w:pStyle w:val="ListParagraph"/>
        <w:spacing w:after="0" w:line="240" w:lineRule="auto"/>
        <w:ind w:left="0"/>
        <w:rPr>
          <w:rFonts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6.</w:t>
      </w:r>
      <w:r w:rsidRPr="000B28CE">
        <w:rPr>
          <w:lang w:val="es-ES"/>
        </w:rPr>
        <w:tab/>
      </w:r>
      <w:r w:rsidRPr="000B28CE">
        <w:rPr>
          <w:rFonts w:ascii="Arial" w:hAnsi="Arial"/>
          <w:lang w:val="es-ES"/>
        </w:rPr>
        <w:t>Los recursos financieros del Fondo Fiduciario para 2021-2023 se derivarán de:</w:t>
      </w:r>
    </w:p>
    <w:p w:rsidR="00E56C72" w:rsidRPr="000B28CE" w:rsidRDefault="00E56C72" w:rsidP="000B28CE">
      <w:pPr>
        <w:pStyle w:val="ListParagraph"/>
        <w:spacing w:after="0" w:line="240" w:lineRule="auto"/>
        <w:ind w:left="0"/>
        <w:rPr>
          <w:rFonts w:cs="Arial"/>
          <w:lang w:val="es-ES"/>
        </w:rPr>
      </w:pPr>
    </w:p>
    <w:p w:rsidR="00E56C72" w:rsidRPr="000B28CE" w:rsidRDefault="00E56C72" w:rsidP="000B28CE">
      <w:pPr>
        <w:pStyle w:val="NoSpacing"/>
        <w:widowControl w:val="0"/>
        <w:ind w:left="851" w:hanging="425"/>
        <w:jc w:val="both"/>
        <w:rPr>
          <w:rFonts w:ascii="Arial" w:hAnsi="Arial" w:cs="Arial"/>
          <w:lang w:val="es-ES"/>
        </w:rPr>
      </w:pPr>
      <w:r w:rsidRPr="000B28CE">
        <w:rPr>
          <w:rFonts w:ascii="Arial" w:hAnsi="Arial"/>
          <w:lang w:val="es-ES"/>
        </w:rPr>
        <w:t xml:space="preserve">a) </w:t>
      </w:r>
      <w:r w:rsidRPr="000B28CE">
        <w:rPr>
          <w:lang w:val="es-ES"/>
        </w:rPr>
        <w:tab/>
      </w:r>
      <w:r w:rsidRPr="000B28CE">
        <w:rPr>
          <w:rFonts w:ascii="Arial" w:hAnsi="Arial"/>
          <w:lang w:val="es-ES"/>
        </w:rPr>
        <w:t>Las cuotas de contribución abonadas por las Partes por referencia al Anexo [ ], incluidas las contribuciones que aporten las nuevas Partes; y</w:t>
      </w:r>
    </w:p>
    <w:p w:rsidR="00E56C72" w:rsidRPr="000B28CE" w:rsidRDefault="00E56C72" w:rsidP="000B28CE">
      <w:pPr>
        <w:pStyle w:val="NoSpacing"/>
        <w:widowControl w:val="0"/>
        <w:ind w:left="851" w:hanging="425"/>
        <w:jc w:val="both"/>
        <w:rPr>
          <w:rFonts w:ascii="Arial" w:hAnsi="Arial" w:cs="Arial"/>
          <w:lang w:val="es-ES"/>
        </w:rPr>
      </w:pPr>
    </w:p>
    <w:p w:rsidR="00E56C72" w:rsidRPr="000B28CE" w:rsidRDefault="00E56C72" w:rsidP="000B28CE">
      <w:pPr>
        <w:pStyle w:val="NoSpacing"/>
        <w:widowControl w:val="0"/>
        <w:ind w:left="851" w:hanging="425"/>
        <w:jc w:val="both"/>
        <w:rPr>
          <w:rFonts w:ascii="Arial" w:hAnsi="Arial" w:cs="Arial"/>
          <w:lang w:val="es-ES"/>
        </w:rPr>
      </w:pPr>
      <w:r w:rsidRPr="000B28CE">
        <w:rPr>
          <w:rFonts w:ascii="Arial" w:hAnsi="Arial"/>
          <w:lang w:val="es-ES"/>
        </w:rPr>
        <w:t xml:space="preserve">b) </w:t>
      </w:r>
      <w:r w:rsidRPr="000B28CE">
        <w:rPr>
          <w:lang w:val="es-ES"/>
        </w:rPr>
        <w:tab/>
      </w:r>
      <w:r w:rsidRPr="000B28CE">
        <w:rPr>
          <w:rFonts w:ascii="Arial" w:hAnsi="Arial"/>
          <w:lang w:val="es-ES"/>
        </w:rPr>
        <w:t>Otras contribuciones de las Partes y las contribuciones de los Estados que no son Partes en la Convención, otras organizaciones gubernamentales, intergubernamentales y no gubernamentales y otras fuentes.</w:t>
      </w:r>
    </w:p>
    <w:p w:rsidR="00E56C72" w:rsidRPr="000B28CE" w:rsidRDefault="00E56C72" w:rsidP="000B28CE">
      <w:pPr>
        <w:pStyle w:val="NoSpacing"/>
        <w:widowControl w:val="0"/>
        <w:ind w:left="450" w:hanging="450"/>
        <w:jc w:val="both"/>
        <w:rPr>
          <w:rFonts w:ascii="Arial" w:hAnsi="Arial"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7.</w:t>
      </w:r>
      <w:r w:rsidRPr="000B28CE">
        <w:rPr>
          <w:lang w:val="es-ES"/>
        </w:rPr>
        <w:tab/>
      </w:r>
      <w:r w:rsidRPr="000B28CE">
        <w:rPr>
          <w:rFonts w:ascii="Arial" w:hAnsi="Arial"/>
          <w:lang w:val="es-ES"/>
        </w:rPr>
        <w:t>Todas las contribuciones al Fondo Fiduciario se pagarán en euros. Por lo que respecta a las cuotas de los Estados que pasen a ser Partes después del comienzo del ejercicio económico, la cuota inicial (desde el primer día del tercer mes posterior a la fecha de depósito del instrumento de ratificación, aceptación o adhesión hasta el final del ejercicio económico) se determinará en forma prorrateada sobre la base de las cuotas de las demás Partes al mismo nivel que la escala de cuotas de las Naciones Unidas, tal como se aplica de tanto en tanto. No obstante, si la cuota de una nueva Parte determinada sobre esta base supera el 22% del presupuesto, la cuota de esa Parte será del 22% del presupuesto para el ejercicio económico del año en el que se adhiere (o en forma prorrateada para la parte correspondiente del año). La escala de cuotas para todas las Partes será revisada luego por la Secretaría el 1º de enero del año siguiente. Las cuotas se pagarán en plazos anuales. Las cuotas deberán abonarse el 1º de enero de 2021, 2022 y 2023.</w:t>
      </w:r>
    </w:p>
    <w:p w:rsidR="00E56C72" w:rsidRPr="000B28CE" w:rsidRDefault="00E56C72" w:rsidP="000B28CE">
      <w:pPr>
        <w:pStyle w:val="NoSpacing"/>
        <w:widowControl w:val="0"/>
        <w:ind w:left="450" w:hanging="450"/>
        <w:jc w:val="both"/>
        <w:rPr>
          <w:rFonts w:ascii="Arial" w:hAnsi="Arial"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8.</w:t>
      </w:r>
      <w:r w:rsidRPr="000B28CE">
        <w:rPr>
          <w:lang w:val="es-ES"/>
        </w:rPr>
        <w:tab/>
      </w:r>
      <w:r w:rsidRPr="000B28CE">
        <w:rPr>
          <w:rFonts w:ascii="Arial" w:hAnsi="Arial"/>
          <w:lang w:val="es-ES"/>
        </w:rPr>
        <w:t xml:space="preserve">Las cuotas se abonarán a la cuenta bancaria de la Organización de las Naciones Unidas con arreglo a la factura que presente la ONU Medio Ambiente. </w:t>
      </w:r>
    </w:p>
    <w:p w:rsidR="00E56C72" w:rsidRPr="000B28CE" w:rsidRDefault="00E56C72" w:rsidP="000B28CE">
      <w:pPr>
        <w:pStyle w:val="NoSpacing"/>
        <w:widowControl w:val="0"/>
        <w:ind w:left="450" w:hanging="450"/>
        <w:rPr>
          <w:rFonts w:ascii="Arial" w:hAnsi="Arial" w:cs="Arial"/>
          <w:lang w:val="es-ES"/>
        </w:rPr>
      </w:pPr>
    </w:p>
    <w:p w:rsidR="00E56C72" w:rsidRPr="000B28CE" w:rsidRDefault="00E56C72" w:rsidP="000B28CE">
      <w:pPr>
        <w:pStyle w:val="NoSpacing"/>
        <w:widowControl w:val="0"/>
        <w:ind w:left="450" w:hanging="450"/>
        <w:jc w:val="both"/>
        <w:rPr>
          <w:rFonts w:ascii="Arial" w:hAnsi="Arial" w:cs="Arial"/>
          <w:lang w:val="es-ES"/>
        </w:rPr>
      </w:pPr>
      <w:r w:rsidRPr="000B28CE">
        <w:rPr>
          <w:rFonts w:ascii="Arial" w:hAnsi="Arial"/>
          <w:lang w:val="es-ES"/>
        </w:rPr>
        <w:t>9.</w:t>
      </w:r>
      <w:r w:rsidRPr="000B28CE">
        <w:rPr>
          <w:lang w:val="es-ES"/>
        </w:rPr>
        <w:tab/>
      </w:r>
      <w:r w:rsidRPr="000B28CE">
        <w:rPr>
          <w:rFonts w:ascii="Arial" w:hAnsi="Arial"/>
          <w:lang w:val="es-ES"/>
        </w:rPr>
        <w:t>Para comodidad de las Partes, el Director Ejecutivo de la ONU Medio Ambiente notificará lo antes posible a las Partes en la Convención las cuotas asignadas correspondientes a cada uno de los años del ejercicio económico.</w:t>
      </w:r>
    </w:p>
    <w:p w:rsidR="00E56C72" w:rsidRPr="000B28CE" w:rsidRDefault="00E56C72" w:rsidP="000B28CE">
      <w:pPr>
        <w:pStyle w:val="NoSpacing"/>
        <w:ind w:left="450" w:hanging="450"/>
        <w:jc w:val="both"/>
        <w:rPr>
          <w:rFonts w:ascii="Arial" w:hAnsi="Arial" w:cs="Arial"/>
          <w:lang w:val="es-ES"/>
        </w:rPr>
      </w:pPr>
    </w:p>
    <w:p w:rsidR="00E56C72" w:rsidRPr="000B28CE" w:rsidRDefault="00E56C72" w:rsidP="000B28CE">
      <w:pPr>
        <w:pStyle w:val="NoSpacing"/>
        <w:ind w:left="450" w:hanging="450"/>
        <w:jc w:val="both"/>
        <w:rPr>
          <w:rFonts w:ascii="Arial" w:hAnsi="Arial" w:cs="Arial"/>
          <w:lang w:val="es-ES"/>
        </w:rPr>
      </w:pPr>
      <w:r w:rsidRPr="000B28CE">
        <w:rPr>
          <w:rFonts w:ascii="Arial" w:hAnsi="Arial"/>
          <w:lang w:val="es-ES"/>
        </w:rPr>
        <w:t>10.</w:t>
      </w:r>
      <w:r w:rsidRPr="000B28CE">
        <w:rPr>
          <w:lang w:val="es-ES"/>
        </w:rPr>
        <w:tab/>
      </w:r>
      <w:r w:rsidRPr="000B28CE">
        <w:rPr>
          <w:rFonts w:ascii="Arial" w:hAnsi="Arial"/>
          <w:lang w:val="es-ES"/>
        </w:rPr>
        <w:t>Las cuotas que se reciban en el Fondo Fiduciario y no se necesiten inmediatamente para financiar actividades se invertirán a discreción de las Naciones Unidas, y los posibles ingresos se acreditarán al Fondo Fiduciario.</w:t>
      </w:r>
    </w:p>
    <w:p w:rsidR="00E56C72" w:rsidRPr="000B28CE" w:rsidRDefault="00E56C72" w:rsidP="000B28CE">
      <w:pPr>
        <w:pStyle w:val="ListParagraph"/>
        <w:spacing w:after="0" w:line="240" w:lineRule="auto"/>
        <w:ind w:left="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11.</w:t>
      </w:r>
      <w:r w:rsidRPr="000B28CE">
        <w:rPr>
          <w:lang w:val="es-ES"/>
        </w:rPr>
        <w:tab/>
      </w:r>
      <w:r w:rsidRPr="000B28CE">
        <w:rPr>
          <w:rFonts w:ascii="Arial" w:hAnsi="Arial"/>
          <w:lang w:val="es-ES"/>
        </w:rPr>
        <w:t>El Fondo Fiduciario estará sujeto a auditoría de cuentas por la Junta de Auditores de las Naciones Unidas.</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12.</w:t>
      </w:r>
      <w:r w:rsidRPr="000B28CE">
        <w:rPr>
          <w:lang w:val="es-ES"/>
        </w:rPr>
        <w:tab/>
      </w:r>
      <w:r w:rsidRPr="000B28CE">
        <w:rPr>
          <w:rFonts w:ascii="Arial" w:hAnsi="Arial"/>
          <w:lang w:val="es-ES"/>
        </w:rPr>
        <w:t>Las estimaciones presupuestarias que cubren los ingresos y gastos para cada uno de los tres años naturales que constituyen el ejercicio económico, elaboradas en euros, se someterán a examen en la reunión de la Conferencia de las Partes en la Convención.</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spacing w:val="-2"/>
          <w:lang w:val="es-ES"/>
        </w:rPr>
      </w:pPr>
      <w:r w:rsidRPr="000B28CE">
        <w:rPr>
          <w:rFonts w:ascii="Arial" w:hAnsi="Arial"/>
          <w:spacing w:val="-2"/>
          <w:lang w:val="es-ES"/>
        </w:rPr>
        <w:t>13.</w:t>
      </w:r>
      <w:r w:rsidRPr="000B28CE">
        <w:rPr>
          <w:lang w:val="es-ES"/>
        </w:rPr>
        <w:tab/>
      </w:r>
      <w:r w:rsidRPr="000B28CE">
        <w:rPr>
          <w:rFonts w:ascii="Arial" w:hAnsi="Arial"/>
          <w:spacing w:val="-2"/>
          <w:lang w:val="es-ES"/>
        </w:rPr>
        <w:t>Las estimaciones para cada uno de los años naturales pertenecientes al ejercicio económico se dividirán en secciones y objetos de gasto, y se incluirán referencias a los programas de trabajo a los que se refieren, e irán acompañadas de la información que pueda ser requerida por los contribuyentes o en su nombre y cualquier otra información que el Director Ejecutivo de la ONU Medio Ambiente considere útil y aconsejable. En particular, se prepararán también estimaciones para cada programa de trabajo correspondiente a cada uno de los años naturales, con la descripción detallada de los gastos relativos a cada programa, de manera que correspondan a las secciones y objetos de gastos descritos en la primera frase del presente párrafo.</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widowControl w:val="0"/>
        <w:ind w:left="360" w:hanging="360"/>
        <w:jc w:val="both"/>
        <w:rPr>
          <w:rFonts w:ascii="Arial" w:hAnsi="Arial" w:cs="Arial"/>
          <w:lang w:val="es-ES"/>
        </w:rPr>
      </w:pPr>
      <w:r w:rsidRPr="000B28CE">
        <w:rPr>
          <w:rFonts w:ascii="Arial" w:hAnsi="Arial"/>
          <w:lang w:val="es-ES"/>
        </w:rPr>
        <w:t>14.</w:t>
      </w:r>
      <w:r w:rsidRPr="000B28CE">
        <w:rPr>
          <w:lang w:val="es-ES"/>
        </w:rPr>
        <w:tab/>
      </w:r>
      <w:r w:rsidRPr="000B28CE">
        <w:rPr>
          <w:rFonts w:ascii="Arial" w:hAnsi="Arial"/>
          <w:lang w:val="es-ES"/>
        </w:rPr>
        <w:t>El presupuesto propuesto, junto con toda la información necesaria, será remitido por la Secretaría a todas las Partes al menos 90 días antes de la fecha fijada para la apertura de la reunión ordinaria de la Conferencia de las Partes en la que deberán examinarse.</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15.</w:t>
      </w:r>
      <w:r w:rsidRPr="000B28CE">
        <w:rPr>
          <w:lang w:val="es-ES"/>
        </w:rPr>
        <w:tab/>
      </w:r>
      <w:r w:rsidRPr="000B28CE">
        <w:rPr>
          <w:rFonts w:ascii="Arial" w:hAnsi="Arial"/>
          <w:lang w:val="es-ES"/>
        </w:rPr>
        <w:t>El presupuesto se adoptará por voto unánime de las Partes presentes y votantes en esa Conferencia de las Partes.</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16.</w:t>
      </w:r>
      <w:r w:rsidRPr="000B28CE">
        <w:rPr>
          <w:lang w:val="es-ES"/>
        </w:rPr>
        <w:tab/>
      </w:r>
      <w:r w:rsidRPr="000B28CE">
        <w:rPr>
          <w:rFonts w:ascii="Arial" w:hAnsi="Arial"/>
          <w:lang w:val="es-ES"/>
        </w:rPr>
        <w:t>En el caso de que el Director Ejecutivo de la ONU Medio Ambiente prevea que puede haber un déficit de recursos en el ejercicio económico en su conjunto, el Director Ejecutivo deberá consultar con la Secretaría, que recabará el asesoramiento del Comité Permanente respecto a sus prioridades de gastos.</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17.</w:t>
      </w:r>
      <w:r w:rsidRPr="000B28CE">
        <w:rPr>
          <w:lang w:val="es-ES"/>
        </w:rPr>
        <w:tab/>
      </w:r>
      <w:r w:rsidRPr="000B28CE">
        <w:rPr>
          <w:rFonts w:ascii="Arial" w:hAnsi="Arial"/>
          <w:lang w:val="es-ES"/>
        </w:rPr>
        <w:t>Se asumirán compromisos con cargo a los recursos del Fondo Fiduciario solo si están cubiertos por los ingresos necesarios de la Convención.</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18.</w:t>
      </w:r>
      <w:r w:rsidRPr="000B28CE">
        <w:rPr>
          <w:lang w:val="es-ES"/>
        </w:rPr>
        <w:tab/>
      </w:r>
      <w:r w:rsidRPr="000B28CE">
        <w:rPr>
          <w:rFonts w:ascii="Arial" w:hAnsi="Arial"/>
          <w:lang w:val="es-ES"/>
        </w:rPr>
        <w:t>A petición de la Secretaría de la Convención, tras solicitar el asesoramiento del Comité Permanente, el Director Ejecutivo de la ONU Medio Ambiente deberá, en la medida que sea compatible con el Reglamento Financiero y la Reglamentación Financiera Detallada de las Naciones Unidas, efectuar transferencias de una partida presupuestaria a otra. Al final del primer año natural del ejercicio económico, el Director Ejecutivo de la ONU Medio Ambiente podrá proceder a transferir cualquier saldo no utilizado de las consignaciones al segundo año natural, a condición de que no se supere el presupuesto total aprobado por las Partes, salvo que sea autorizado expresamente por escrito por el Comité Permanente.</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19.</w:t>
      </w:r>
      <w:r w:rsidRPr="000B28CE">
        <w:rPr>
          <w:lang w:val="es-ES"/>
        </w:rPr>
        <w:tab/>
      </w:r>
      <w:r w:rsidRPr="000B28CE">
        <w:rPr>
          <w:rFonts w:ascii="Arial" w:hAnsi="Arial"/>
          <w:lang w:val="es-ES"/>
        </w:rPr>
        <w:t>Al final de cada año natural del ejercicio económico</w:t>
      </w:r>
      <w:r w:rsidRPr="000B28CE">
        <w:rPr>
          <w:rStyle w:val="FootnoteReference"/>
          <w:rFonts w:ascii="Arial" w:hAnsi="Arial"/>
          <w:vertAlign w:val="superscript"/>
          <w:lang w:val="es-ES"/>
        </w:rPr>
        <w:footnoteReference w:id="1"/>
      </w:r>
      <w:r w:rsidRPr="000B28CE">
        <w:rPr>
          <w:rFonts w:ascii="Arial" w:hAnsi="Arial"/>
          <w:lang w:val="es-ES"/>
        </w:rPr>
        <w:t xml:space="preserve"> el Director Ejecutivo de la ONU Medio Ambiente presentará a las Partes, a través de la Secretaría de la CMS, las cuentas de fin de año. El Director Ejecutivo presentará también, tan pronto como sea factible, las cuentas auditadas correspondientes al ejercicio económico. Esas cuentas deberán incluir los detalles relativos a los gastos efectivos en comparación con las consignaciones originales para cada objeto de gastos. </w:t>
      </w:r>
    </w:p>
    <w:p w:rsidR="00E56C72" w:rsidRPr="000B28CE" w:rsidRDefault="00E56C72" w:rsidP="000B28CE">
      <w:pPr>
        <w:pStyle w:val="NoSpacing"/>
        <w:ind w:left="360" w:hanging="360"/>
        <w:jc w:val="both"/>
        <w:rPr>
          <w:rFonts w:ascii="Arial" w:hAnsi="Arial"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20.</w:t>
      </w:r>
      <w:r w:rsidRPr="000B28CE">
        <w:rPr>
          <w:lang w:val="es-ES"/>
        </w:rPr>
        <w:tab/>
      </w:r>
      <w:r w:rsidRPr="000B28CE">
        <w:rPr>
          <w:rFonts w:ascii="Arial" w:hAnsi="Arial"/>
          <w:lang w:val="es-ES"/>
        </w:rPr>
        <w:t>Aquellos informes financieros que deberán ser presentados por el Director Ejecutivo de la ONU Medio Ambiente serán transmitidos simultáneamente por la Secretaría de la Convención a los miembros del Comité Permanente.</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NoSpacing"/>
        <w:ind w:left="360" w:hanging="360"/>
        <w:jc w:val="both"/>
        <w:rPr>
          <w:rFonts w:ascii="Arial" w:hAnsi="Arial" w:cs="Arial"/>
          <w:lang w:val="es-ES"/>
        </w:rPr>
      </w:pPr>
      <w:r w:rsidRPr="000B28CE">
        <w:rPr>
          <w:rFonts w:ascii="Arial" w:hAnsi="Arial"/>
          <w:lang w:val="es-ES"/>
        </w:rPr>
        <w:t>21.</w:t>
      </w:r>
      <w:r w:rsidRPr="000B28CE">
        <w:rPr>
          <w:lang w:val="es-ES"/>
        </w:rPr>
        <w:tab/>
      </w:r>
      <w:r w:rsidRPr="000B28CE">
        <w:rPr>
          <w:rFonts w:ascii="Arial" w:hAnsi="Arial"/>
          <w:lang w:val="es-ES"/>
        </w:rPr>
        <w:t>La Secretaría de la Convención proporcionará al Comité Permanente una estimación de los gastos propuestos para el siguiente año, simultáneamente, o tan pronto como sea posible después de la distribución de las cuentas y los informes previstos en los párrafos anteriores.</w:t>
      </w:r>
    </w:p>
    <w:p w:rsidR="00E56C72" w:rsidRPr="000B28CE" w:rsidRDefault="00E56C72" w:rsidP="000B28CE">
      <w:pPr>
        <w:pStyle w:val="ListParagraph"/>
        <w:spacing w:after="0" w:line="240" w:lineRule="auto"/>
        <w:ind w:left="360" w:hanging="360"/>
        <w:rPr>
          <w:rFonts w:cs="Arial"/>
          <w:lang w:val="es-ES"/>
        </w:rPr>
      </w:pPr>
    </w:p>
    <w:p w:rsidR="00E56C72" w:rsidRPr="000B28CE" w:rsidRDefault="00E56C72" w:rsidP="000B28CE">
      <w:pPr>
        <w:pStyle w:val="Firstnumbering1"/>
        <w:numPr>
          <w:ilvl w:val="0"/>
          <w:numId w:val="0"/>
        </w:numPr>
        <w:ind w:left="426" w:hanging="426"/>
        <w:rPr>
          <w:spacing w:val="-6"/>
        </w:rPr>
      </w:pPr>
      <w:r w:rsidRPr="000B28CE">
        <w:rPr>
          <w:spacing w:val="-6"/>
        </w:rPr>
        <w:t>22.</w:t>
      </w:r>
      <w:r w:rsidRPr="000B28CE">
        <w:tab/>
      </w:r>
      <w:r w:rsidRPr="000B28CE">
        <w:rPr>
          <w:spacing w:val="-6"/>
        </w:rPr>
        <w:t>El presente mandato estará en vigor desde el 1º de enero de 20</w:t>
      </w:r>
      <w:r w:rsidR="00FA4FBA" w:rsidRPr="000B28CE">
        <w:rPr>
          <w:spacing w:val="-6"/>
        </w:rPr>
        <w:t>21</w:t>
      </w:r>
      <w:r w:rsidRPr="000B28CE">
        <w:rPr>
          <w:spacing w:val="-6"/>
        </w:rPr>
        <w:t xml:space="preserve"> hasta el el 31 de diciembre de 202</w:t>
      </w:r>
      <w:r w:rsidR="00FA4FBA" w:rsidRPr="000B28CE">
        <w:rPr>
          <w:spacing w:val="-6"/>
        </w:rPr>
        <w:t>3.</w:t>
      </w:r>
    </w:p>
    <w:p w:rsidR="00FA4FBA" w:rsidRPr="000B28CE" w:rsidRDefault="00FA4FBA" w:rsidP="000B28CE">
      <w:pPr>
        <w:pStyle w:val="Firstnumbering1"/>
        <w:numPr>
          <w:ilvl w:val="0"/>
          <w:numId w:val="0"/>
        </w:numPr>
        <w:ind w:left="426" w:hanging="426"/>
        <w:rPr>
          <w:spacing w:val="-6"/>
        </w:rPr>
      </w:pPr>
    </w:p>
    <w:p w:rsidR="00FA4FBA" w:rsidRPr="000B28CE" w:rsidRDefault="00FA4FBA" w:rsidP="000B28CE">
      <w:pPr>
        <w:pStyle w:val="Firstnumbering1"/>
        <w:numPr>
          <w:ilvl w:val="0"/>
          <w:numId w:val="0"/>
        </w:numPr>
        <w:ind w:left="426" w:hanging="426"/>
        <w:rPr>
          <w:spacing w:val="-6"/>
        </w:rPr>
      </w:pPr>
    </w:p>
    <w:p w:rsidR="00FA4FBA" w:rsidRPr="000B28CE" w:rsidRDefault="00FA4FBA" w:rsidP="00FA4FBA">
      <w:pPr>
        <w:pStyle w:val="Firstnumbering1"/>
        <w:numPr>
          <w:ilvl w:val="0"/>
          <w:numId w:val="0"/>
        </w:numPr>
        <w:ind w:left="426" w:hanging="426"/>
        <w:sectPr w:rsidR="00FA4FBA" w:rsidRPr="000B28CE" w:rsidSect="008B5DF7">
          <w:headerReference w:type="even" r:id="rId40"/>
          <w:headerReference w:type="default" r:id="rId41"/>
          <w:headerReference w:type="first" r:id="rId42"/>
          <w:pgSz w:w="11906" w:h="16838" w:code="9"/>
          <w:pgMar w:top="1134" w:right="1134" w:bottom="1134" w:left="1134" w:header="720" w:footer="720" w:gutter="0"/>
          <w:cols w:space="720"/>
          <w:titlePg/>
          <w:docGrid w:linePitch="360"/>
        </w:sectPr>
      </w:pPr>
    </w:p>
    <w:p w:rsidR="00FA4FBA" w:rsidRPr="000B28CE" w:rsidRDefault="00FA4FBA" w:rsidP="00FA4FBA">
      <w:pPr>
        <w:jc w:val="right"/>
        <w:rPr>
          <w:rFonts w:cs="Arial"/>
          <w:b/>
          <w:bCs/>
          <w:caps/>
          <w:lang w:val="es-ES"/>
        </w:rPr>
      </w:pPr>
      <w:r w:rsidRPr="000B28CE">
        <w:rPr>
          <w:rFonts w:cs="Arial"/>
          <w:b/>
          <w:caps/>
          <w:lang w:val="es-ES"/>
        </w:rPr>
        <w:t xml:space="preserve">AnexO </w:t>
      </w:r>
      <w:r w:rsidR="000B28CE" w:rsidRPr="000B28CE">
        <w:rPr>
          <w:rFonts w:cs="Arial"/>
          <w:b/>
          <w:caps/>
          <w:lang w:val="es-ES"/>
        </w:rPr>
        <w:t>5</w:t>
      </w:r>
      <w:r w:rsidRPr="000B28CE">
        <w:rPr>
          <w:rFonts w:cs="Arial"/>
          <w:b/>
          <w:caps/>
          <w:lang w:val="es-ES"/>
        </w:rPr>
        <w:t xml:space="preserve"> (E)</w:t>
      </w:r>
    </w:p>
    <w:p w:rsidR="00FA4FBA" w:rsidRPr="000B28CE" w:rsidRDefault="00FA4FBA" w:rsidP="00FA4FBA">
      <w:pPr>
        <w:rPr>
          <w:rFonts w:cs="Arial"/>
          <w:lang w:val="es-ES"/>
        </w:rPr>
      </w:pPr>
    </w:p>
    <w:p w:rsidR="00FA4FBA" w:rsidRPr="000B28CE" w:rsidRDefault="00FA4FBA" w:rsidP="00FA4FBA">
      <w:pPr>
        <w:jc w:val="center"/>
        <w:rPr>
          <w:rFonts w:cs="Arial"/>
          <w:b/>
          <w:color w:val="000000"/>
          <w:lang w:val="es-ES" w:eastAsia="en-GB"/>
        </w:rPr>
      </w:pPr>
      <w:r w:rsidRPr="000B28CE">
        <w:rPr>
          <w:rFonts w:cs="Arial"/>
          <w:b/>
          <w:color w:val="000000"/>
          <w:lang w:val="es-ES" w:eastAsia="en-GB"/>
        </w:rPr>
        <w:t xml:space="preserve">PROGRAMA DE TRABAJO </w:t>
      </w:r>
      <w:r w:rsidR="000B28CE" w:rsidRPr="000B28CE">
        <w:rPr>
          <w:rFonts w:cs="Arial"/>
          <w:b/>
          <w:color w:val="000000"/>
          <w:lang w:val="es-ES" w:eastAsia="en-GB"/>
        </w:rPr>
        <w:t>PARA EL CICLO ENTRE LA COP13 Y LA COP14</w:t>
      </w:r>
    </w:p>
    <w:p w:rsidR="00FA4FBA" w:rsidRPr="000B28CE" w:rsidRDefault="00FA4FBA" w:rsidP="00FA4FBA">
      <w:pPr>
        <w:rPr>
          <w:rFonts w:cs="Arial"/>
          <w:bCs/>
          <w:lang w:val="es-ES"/>
        </w:rPr>
      </w:pPr>
    </w:p>
    <w:p w:rsidR="00FA4FBA" w:rsidRPr="000B28CE" w:rsidRDefault="00FA4FBA" w:rsidP="00FA4FBA">
      <w:pPr>
        <w:rPr>
          <w:rFonts w:cs="Arial"/>
          <w:bCs/>
          <w:lang w:val="es-ES"/>
        </w:rPr>
      </w:pPr>
      <w:r w:rsidRPr="000B28CE">
        <w:rPr>
          <w:rFonts w:cs="Arial"/>
          <w:bCs/>
          <w:lang w:val="es-ES"/>
        </w:rPr>
        <w:t>[A ser completado luego de la adopción del presupuesto]</w:t>
      </w:r>
    </w:p>
    <w:p w:rsidR="00FA4FBA" w:rsidRPr="000B28CE" w:rsidRDefault="00FA4FBA" w:rsidP="00FA4FBA">
      <w:pPr>
        <w:pStyle w:val="Firstnumbering1"/>
        <w:numPr>
          <w:ilvl w:val="0"/>
          <w:numId w:val="0"/>
        </w:numPr>
        <w:ind w:left="426" w:hanging="426"/>
      </w:pPr>
    </w:p>
    <w:p w:rsidR="00FA4FBA" w:rsidRPr="000B28CE" w:rsidRDefault="00FA4FBA" w:rsidP="00FA4FBA">
      <w:pPr>
        <w:pStyle w:val="Firstnumbering1"/>
        <w:numPr>
          <w:ilvl w:val="0"/>
          <w:numId w:val="0"/>
        </w:numPr>
        <w:ind w:left="426" w:hanging="426"/>
      </w:pPr>
    </w:p>
    <w:p w:rsidR="00FA4FBA" w:rsidRPr="000B28CE" w:rsidRDefault="00FA4FBA" w:rsidP="00FA4FBA">
      <w:pPr>
        <w:pStyle w:val="Firstnumbering1"/>
        <w:numPr>
          <w:ilvl w:val="0"/>
          <w:numId w:val="0"/>
        </w:numPr>
        <w:ind w:left="426" w:hanging="426"/>
        <w:sectPr w:rsidR="00FA4FBA" w:rsidRPr="000B28CE" w:rsidSect="008B5DF7">
          <w:headerReference w:type="first" r:id="rId43"/>
          <w:pgSz w:w="11906" w:h="16838" w:code="9"/>
          <w:pgMar w:top="1134" w:right="1134" w:bottom="1134" w:left="1134" w:header="720" w:footer="720" w:gutter="0"/>
          <w:cols w:space="720"/>
          <w:titlePg/>
          <w:docGrid w:linePitch="360"/>
        </w:sectPr>
      </w:pPr>
    </w:p>
    <w:p w:rsidR="00FA4FBA" w:rsidRPr="000B28CE" w:rsidRDefault="00FA4FBA" w:rsidP="00FA4FBA">
      <w:pPr>
        <w:jc w:val="right"/>
        <w:rPr>
          <w:rFonts w:cs="Arial"/>
          <w:b/>
          <w:color w:val="000000"/>
          <w:lang w:val="es-ES" w:eastAsia="en-GB"/>
        </w:rPr>
      </w:pPr>
      <w:r w:rsidRPr="000B28CE">
        <w:rPr>
          <w:rFonts w:cs="Arial"/>
          <w:b/>
          <w:color w:val="000000"/>
          <w:lang w:val="es-ES" w:eastAsia="en-GB"/>
        </w:rPr>
        <w:t xml:space="preserve">ANEXO </w:t>
      </w:r>
      <w:r w:rsidR="000B28CE" w:rsidRPr="000B28CE">
        <w:rPr>
          <w:rFonts w:cs="Arial"/>
          <w:b/>
          <w:color w:val="000000"/>
          <w:lang w:val="es-ES" w:eastAsia="en-GB"/>
        </w:rPr>
        <w:t>6</w:t>
      </w:r>
    </w:p>
    <w:p w:rsidR="00FA4FBA" w:rsidRPr="000B28CE" w:rsidRDefault="00FA4FBA" w:rsidP="00FA4FBA">
      <w:pPr>
        <w:jc w:val="center"/>
        <w:rPr>
          <w:rFonts w:cs="Arial"/>
          <w:b/>
          <w:color w:val="000000"/>
          <w:lang w:val="es-ES" w:eastAsia="en-GB"/>
        </w:rPr>
      </w:pPr>
    </w:p>
    <w:p w:rsidR="00E56190" w:rsidRDefault="00FA4FBA" w:rsidP="00E56190">
      <w:pPr>
        <w:spacing w:after="0" w:line="240" w:lineRule="auto"/>
        <w:jc w:val="center"/>
        <w:rPr>
          <w:rFonts w:cs="Arial"/>
          <w:b/>
          <w:color w:val="000000"/>
          <w:lang w:val="es-ES" w:eastAsia="en-GB"/>
        </w:rPr>
      </w:pPr>
      <w:r w:rsidRPr="000B28CE">
        <w:rPr>
          <w:rFonts w:cs="Arial"/>
          <w:b/>
          <w:color w:val="000000"/>
          <w:lang w:val="es-ES" w:eastAsia="en-GB"/>
        </w:rPr>
        <w:t>PROGRAMA DE TRABAJO PROPUESTO 2021-2023</w:t>
      </w:r>
      <w:r w:rsidR="000B28CE" w:rsidRPr="000B28CE">
        <w:rPr>
          <w:rFonts w:cs="Arial"/>
          <w:b/>
          <w:color w:val="000000"/>
          <w:lang w:val="es-ES" w:eastAsia="en-GB"/>
        </w:rPr>
        <w:t xml:space="preserve"> PARA </w:t>
      </w:r>
    </w:p>
    <w:p w:rsidR="00FA4FBA" w:rsidRPr="000B28CE" w:rsidRDefault="000B28CE" w:rsidP="00FA4FBA">
      <w:pPr>
        <w:jc w:val="center"/>
        <w:rPr>
          <w:rFonts w:cs="Arial"/>
          <w:b/>
          <w:color w:val="000000"/>
          <w:lang w:val="es-ES" w:eastAsia="en-GB"/>
        </w:rPr>
      </w:pPr>
      <w:r w:rsidRPr="000B28CE">
        <w:rPr>
          <w:rFonts w:cs="Arial"/>
          <w:b/>
          <w:color w:val="000000"/>
          <w:lang w:val="es-ES" w:eastAsia="en-GB"/>
        </w:rPr>
        <w:t xml:space="preserve">EL CICLO </w:t>
      </w:r>
      <w:r w:rsidR="00E56190">
        <w:rPr>
          <w:rFonts w:cs="Arial"/>
          <w:b/>
          <w:color w:val="000000"/>
          <w:lang w:val="es-ES" w:eastAsia="en-GB"/>
        </w:rPr>
        <w:t xml:space="preserve">DEL PERIODO DE SESIONES </w:t>
      </w:r>
      <w:r w:rsidRPr="000B28CE">
        <w:rPr>
          <w:rFonts w:cs="Arial"/>
          <w:b/>
          <w:color w:val="000000"/>
          <w:lang w:val="es-ES" w:eastAsia="en-GB"/>
        </w:rPr>
        <w:t>ENTRE LA COP13 Y LA COP14</w:t>
      </w:r>
    </w:p>
    <w:p w:rsidR="00FA4FBA" w:rsidRPr="000B28CE" w:rsidRDefault="00FA4FBA" w:rsidP="00FA4FBA">
      <w:pPr>
        <w:rPr>
          <w:rFonts w:cs="Arial"/>
          <w:bCs/>
          <w:lang w:val="es-ES"/>
        </w:rPr>
      </w:pPr>
    </w:p>
    <w:p w:rsidR="00FA4FBA" w:rsidRPr="000B28CE" w:rsidRDefault="00FA4FBA" w:rsidP="00FA4FBA">
      <w:pPr>
        <w:rPr>
          <w:rFonts w:cs="Arial"/>
          <w:bCs/>
          <w:lang w:val="es-ES"/>
        </w:rPr>
      </w:pPr>
      <w:r w:rsidRPr="000B28CE">
        <w:rPr>
          <w:rFonts w:cs="Arial"/>
          <w:bCs/>
          <w:lang w:val="es-ES"/>
        </w:rPr>
        <w:t>[</w:t>
      </w:r>
      <w:r w:rsidR="00F312F6">
        <w:rPr>
          <w:rFonts w:cs="Arial"/>
          <w:bCs/>
          <w:lang w:val="es-ES"/>
        </w:rPr>
        <w:t>Publicado de manera separada</w:t>
      </w:r>
      <w:r w:rsidRPr="000B28CE">
        <w:rPr>
          <w:rFonts w:cs="Arial"/>
          <w:bCs/>
          <w:lang w:val="es-ES"/>
        </w:rPr>
        <w:t>]</w:t>
      </w:r>
    </w:p>
    <w:p w:rsidR="00FA4FBA" w:rsidRPr="000B28CE" w:rsidRDefault="00FA4FBA" w:rsidP="00FA4FBA">
      <w:pPr>
        <w:pStyle w:val="Firstnumbering1"/>
        <w:numPr>
          <w:ilvl w:val="0"/>
          <w:numId w:val="0"/>
        </w:numPr>
        <w:ind w:left="426" w:hanging="426"/>
      </w:pPr>
    </w:p>
    <w:sectPr w:rsidR="00FA4FBA" w:rsidRPr="000B28CE" w:rsidSect="008B5DF7">
      <w:headerReference w:type="first" r:id="rId4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D6" w:rsidRDefault="00255DD6" w:rsidP="00002A97">
      <w:pPr>
        <w:spacing w:after="0" w:line="240" w:lineRule="auto"/>
      </w:pPr>
      <w:r>
        <w:separator/>
      </w:r>
    </w:p>
  </w:endnote>
  <w:endnote w:type="continuationSeparator" w:id="0">
    <w:p w:rsidR="00255DD6" w:rsidRDefault="00255DD6"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57777"/>
      <w:docPartObj>
        <w:docPartGallery w:val="Page Numbers (Bottom of Page)"/>
        <w:docPartUnique/>
      </w:docPartObj>
    </w:sdtPr>
    <w:sdtEndPr>
      <w:rPr>
        <w:noProof/>
        <w:sz w:val="18"/>
        <w:szCs w:val="18"/>
      </w:rPr>
    </w:sdtEndPr>
    <w:sdtContent>
      <w:p w:rsidR="00493A5A" w:rsidRPr="005A303F" w:rsidRDefault="00493A5A">
        <w:pPr>
          <w:pStyle w:val="Footer"/>
          <w:jc w:val="center"/>
          <w:rPr>
            <w:sz w:val="18"/>
            <w:szCs w:val="18"/>
          </w:rPr>
        </w:pPr>
        <w:r w:rsidRPr="005A303F">
          <w:rPr>
            <w:sz w:val="18"/>
            <w:szCs w:val="18"/>
          </w:rPr>
          <w:fldChar w:fldCharType="begin"/>
        </w:r>
        <w:r w:rsidRPr="005A303F">
          <w:rPr>
            <w:sz w:val="18"/>
            <w:szCs w:val="18"/>
          </w:rPr>
          <w:instrText xml:space="preserve"> PAGE   \* MERGEFORMAT </w:instrText>
        </w:r>
        <w:r w:rsidRPr="005A303F">
          <w:rPr>
            <w:sz w:val="18"/>
            <w:szCs w:val="18"/>
          </w:rPr>
          <w:fldChar w:fldCharType="separate"/>
        </w:r>
        <w:r w:rsidRPr="005A303F">
          <w:rPr>
            <w:noProof/>
            <w:sz w:val="18"/>
            <w:szCs w:val="18"/>
          </w:rPr>
          <w:t>2</w:t>
        </w:r>
        <w:r w:rsidRPr="005A303F">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83484636"/>
      <w:docPartObj>
        <w:docPartGallery w:val="Page Numbers (Bottom of Page)"/>
        <w:docPartUnique/>
      </w:docPartObj>
    </w:sdtPr>
    <w:sdtEndPr>
      <w:rPr>
        <w:noProof/>
      </w:rPr>
    </w:sdtEndPr>
    <w:sdtContent>
      <w:p w:rsidR="00493A5A" w:rsidRPr="005A303F" w:rsidRDefault="00493A5A">
        <w:pPr>
          <w:pStyle w:val="Footer"/>
          <w:jc w:val="center"/>
          <w:rPr>
            <w:sz w:val="18"/>
            <w:szCs w:val="18"/>
          </w:rPr>
        </w:pPr>
        <w:r w:rsidRPr="005A303F">
          <w:rPr>
            <w:sz w:val="18"/>
            <w:szCs w:val="18"/>
          </w:rPr>
          <w:fldChar w:fldCharType="begin"/>
        </w:r>
        <w:r w:rsidRPr="005A303F">
          <w:rPr>
            <w:sz w:val="18"/>
            <w:szCs w:val="18"/>
          </w:rPr>
          <w:instrText xml:space="preserve"> PAGE   \* MERGEFORMAT </w:instrText>
        </w:r>
        <w:r w:rsidRPr="005A303F">
          <w:rPr>
            <w:sz w:val="18"/>
            <w:szCs w:val="18"/>
          </w:rPr>
          <w:fldChar w:fldCharType="separate"/>
        </w:r>
        <w:r w:rsidRPr="005A303F">
          <w:rPr>
            <w:noProof/>
            <w:sz w:val="18"/>
            <w:szCs w:val="18"/>
          </w:rPr>
          <w:t>2</w:t>
        </w:r>
        <w:r w:rsidRPr="005A303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97632"/>
      <w:docPartObj>
        <w:docPartGallery w:val="Page Numbers (Bottom of Page)"/>
        <w:docPartUnique/>
      </w:docPartObj>
    </w:sdtPr>
    <w:sdtEndPr>
      <w:rPr>
        <w:noProof/>
        <w:sz w:val="18"/>
        <w:szCs w:val="18"/>
      </w:rPr>
    </w:sdtEndPr>
    <w:sdtContent>
      <w:p w:rsidR="00493A5A" w:rsidRPr="00EB2C71" w:rsidRDefault="00493A5A">
        <w:pPr>
          <w:pStyle w:val="Footer"/>
          <w:jc w:val="center"/>
          <w:rPr>
            <w:sz w:val="18"/>
            <w:szCs w:val="18"/>
          </w:rPr>
        </w:pPr>
        <w:r w:rsidRPr="00EB2C71">
          <w:rPr>
            <w:sz w:val="18"/>
            <w:szCs w:val="18"/>
          </w:rPr>
          <w:fldChar w:fldCharType="begin"/>
        </w:r>
        <w:r w:rsidRPr="00EB2C71">
          <w:rPr>
            <w:sz w:val="18"/>
            <w:szCs w:val="18"/>
          </w:rPr>
          <w:instrText xml:space="preserve"> PAGE   \* MERGEFORMAT </w:instrText>
        </w:r>
        <w:r w:rsidRPr="00EB2C71">
          <w:rPr>
            <w:sz w:val="18"/>
            <w:szCs w:val="18"/>
          </w:rPr>
          <w:fldChar w:fldCharType="separate"/>
        </w:r>
        <w:r w:rsidRPr="00EB2C71">
          <w:rPr>
            <w:noProof/>
            <w:sz w:val="18"/>
            <w:szCs w:val="18"/>
          </w:rPr>
          <w:t>2</w:t>
        </w:r>
        <w:r w:rsidRPr="00EB2C7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D6" w:rsidRDefault="00255DD6" w:rsidP="00002A97">
      <w:pPr>
        <w:spacing w:after="0" w:line="240" w:lineRule="auto"/>
      </w:pPr>
      <w:r>
        <w:separator/>
      </w:r>
    </w:p>
  </w:footnote>
  <w:footnote w:type="continuationSeparator" w:id="0">
    <w:p w:rsidR="00255DD6" w:rsidRDefault="00255DD6" w:rsidP="00002A97">
      <w:pPr>
        <w:spacing w:after="0" w:line="240" w:lineRule="auto"/>
      </w:pPr>
      <w:r>
        <w:continuationSeparator/>
      </w:r>
    </w:p>
  </w:footnote>
  <w:footnote w:id="1">
    <w:p w:rsidR="00493A5A" w:rsidRPr="00E56C72" w:rsidRDefault="00493A5A" w:rsidP="00E56C72">
      <w:pPr>
        <w:tabs>
          <w:tab w:val="left" w:pos="284"/>
        </w:tabs>
        <w:ind w:left="284" w:hanging="284"/>
        <w:jc w:val="both"/>
        <w:rPr>
          <w:lang w:val="es-ES"/>
        </w:rPr>
      </w:pPr>
      <w:r>
        <w:rPr>
          <w:rStyle w:val="FootnoteReference"/>
          <w:sz w:val="16"/>
          <w:vertAlign w:val="superscript"/>
        </w:rPr>
        <w:footnoteRef/>
      </w:r>
      <w:r w:rsidRPr="00E56C72">
        <w:rPr>
          <w:sz w:val="16"/>
          <w:lang w:val="es-ES"/>
        </w:rPr>
        <w:t xml:space="preserve"> </w:t>
      </w:r>
      <w:r w:rsidRPr="00E56C72">
        <w:rPr>
          <w:lang w:val="es-ES"/>
        </w:rPr>
        <w:tab/>
      </w:r>
      <w:r w:rsidRPr="00E56C72">
        <w:rPr>
          <w:sz w:val="16"/>
          <w:lang w:val="es-ES"/>
        </w:rPr>
        <w:t>El año natural desde el 1º de enero hasta el 31 de diciembre es el año de contabilidad y ejercicio económico, pero la fecha de cierre oficial de la contabilidad es el 31 de marzo del año siguiente. En consecuencia, el 31 de marzo deben cerrarse las cuentas del año anterior, y solo entonces el Director Ejecutivo podrá presentar las cuentas del año natural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002A97" w:rsidRDefault="00493A5A"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13.2/Rev.1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r w:rsidRPr="00FE2868">
      <w:rPr>
        <w:rFonts w:eastAsia="Times New Roman" w:cs="Arial"/>
        <w:i/>
        <w:sz w:val="18"/>
        <w:szCs w:val="18"/>
        <w:lang w:eastAsia="es-ES"/>
      </w:rPr>
      <w:t>UNEP/CMS/COP13/Doc.13.2/Anexo 2(</w:t>
    </w:r>
    <w:r>
      <w:rPr>
        <w:rFonts w:eastAsia="Times New Roman" w:cs="Arial"/>
        <w:i/>
        <w:sz w:val="18"/>
        <w:szCs w:val="18"/>
        <w:lang w:eastAsia="es-ES"/>
      </w:rPr>
      <w:t>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EB2C71">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3(C)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0B28CE">
    <w:pPr>
      <w:pStyle w:val="Header"/>
      <w:pBdr>
        <w:bottom w:val="single" w:sz="4" w:space="1" w:color="auto"/>
      </w:pBdr>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3(D)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bookmarkStart w:id="4" w:name="_Hlk24547059"/>
    <w:bookmarkStart w:id="5" w:name="_Hlk24547060"/>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4</w:t>
    </w:r>
    <w:r w:rsidRPr="00FE2868">
      <w:rPr>
        <w:rFonts w:eastAsia="Times New Roman" w:cs="Arial"/>
        <w:i/>
        <w:sz w:val="18"/>
        <w:szCs w:val="18"/>
        <w:lang w:eastAsia="es-ES"/>
      </w:rPr>
      <w:t>(</w:t>
    </w:r>
    <w:r>
      <w:rPr>
        <w:rFonts w:eastAsia="Times New Roman" w:cs="Arial"/>
        <w:i/>
        <w:sz w:val="18"/>
        <w:szCs w:val="18"/>
        <w:lang w:eastAsia="es-ES"/>
      </w:rPr>
      <w:t>A)</w:t>
    </w:r>
    <w:bookmarkEnd w:id="4"/>
    <w:bookmarkEnd w:id="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EB2C71">
    <w:pPr>
      <w:pStyle w:val="Header"/>
      <w:pBdr>
        <w:bottom w:val="single" w:sz="4" w:space="1" w:color="auto"/>
      </w:pBdr>
      <w:jc w:val="right"/>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4</w:t>
    </w:r>
    <w:r w:rsidRPr="00FE2868">
      <w:rPr>
        <w:rFonts w:eastAsia="Times New Roman" w:cs="Arial"/>
        <w:i/>
        <w:sz w:val="18"/>
        <w:szCs w:val="18"/>
        <w:lang w:eastAsia="es-ES"/>
      </w:rPr>
      <w:t>(</w:t>
    </w:r>
    <w:r>
      <w:rPr>
        <w:rFonts w:eastAsia="Times New Roman" w:cs="Arial"/>
        <w:i/>
        <w:sz w:val="18"/>
        <w:szCs w:val="18"/>
        <w:lang w:eastAsia="es-ES"/>
      </w:rPr>
      <w:t>A)</w:t>
    </w:r>
  </w:p>
  <w:p w:rsidR="00493A5A" w:rsidRDefault="00493A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EB2C71">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4(A)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4</w:t>
    </w:r>
    <w:r w:rsidRPr="00FE2868">
      <w:rPr>
        <w:rFonts w:eastAsia="Times New Roman" w:cs="Arial"/>
        <w:i/>
        <w:sz w:val="18"/>
        <w:szCs w:val="18"/>
        <w:lang w:eastAsia="es-ES"/>
      </w:rPr>
      <w:t>(</w:t>
    </w:r>
    <w:r>
      <w:rPr>
        <w:rFonts w:eastAsia="Times New Roman" w:cs="Arial"/>
        <w:i/>
        <w:sz w:val="18"/>
        <w:szCs w:val="18"/>
        <w:lang w:eastAsia="es-ES"/>
      </w:rPr>
      <w:t>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EB2C71">
    <w:pPr>
      <w:pStyle w:val="Header"/>
      <w:pBdr>
        <w:bottom w:val="single" w:sz="4" w:space="1" w:color="auto"/>
      </w:pBdr>
      <w:jc w:val="right"/>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4</w:t>
    </w:r>
    <w:r w:rsidRPr="00FE2868">
      <w:rPr>
        <w:rFonts w:eastAsia="Times New Roman" w:cs="Arial"/>
        <w:i/>
        <w:sz w:val="18"/>
        <w:szCs w:val="18"/>
        <w:lang w:eastAsia="es-ES"/>
      </w:rPr>
      <w:t>(</w:t>
    </w:r>
    <w:r>
      <w:rPr>
        <w:rFonts w:eastAsia="Times New Roman" w:cs="Arial"/>
        <w:i/>
        <w:sz w:val="18"/>
        <w:szCs w:val="18"/>
        <w:lang w:eastAsia="es-ES"/>
      </w:rPr>
      <w:t>B)</w:t>
    </w:r>
  </w:p>
  <w:p w:rsidR="00493A5A" w:rsidRDefault="00493A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0B28CE">
    <w:pPr>
      <w:pStyle w:val="Header"/>
      <w:pBdr>
        <w:bottom w:val="single" w:sz="4" w:space="1" w:color="auto"/>
      </w:pBdr>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4(B)</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4</w:t>
    </w:r>
    <w:r w:rsidRPr="00FE2868">
      <w:rPr>
        <w:rFonts w:eastAsia="Times New Roman" w:cs="Arial"/>
        <w:i/>
        <w:sz w:val="18"/>
        <w:szCs w:val="18"/>
        <w:lang w:eastAsia="es-ES"/>
      </w:rPr>
      <w:t>(</w:t>
    </w:r>
    <w:r>
      <w:rPr>
        <w:rFonts w:eastAsia="Times New Roman" w:cs="Arial"/>
        <w:i/>
        <w:sz w:val="18"/>
        <w:szCs w:val="18"/>
        <w:lang w:eastAsia="es-ES"/>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002A97" w:rsidRDefault="00493A5A" w:rsidP="005A303F">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13.2/Rev.1</w:t>
    </w:r>
  </w:p>
  <w:p w:rsidR="00493A5A" w:rsidRDefault="00493A5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EB2C71">
    <w:pPr>
      <w:pStyle w:val="Header"/>
      <w:pBdr>
        <w:bottom w:val="single" w:sz="4" w:space="1" w:color="auto"/>
      </w:pBdr>
      <w:jc w:val="right"/>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4</w:t>
    </w:r>
    <w:r w:rsidRPr="00FE2868">
      <w:rPr>
        <w:rFonts w:eastAsia="Times New Roman" w:cs="Arial"/>
        <w:i/>
        <w:sz w:val="18"/>
        <w:szCs w:val="18"/>
        <w:lang w:eastAsia="es-ES"/>
      </w:rPr>
      <w:t>(</w:t>
    </w:r>
    <w:r>
      <w:rPr>
        <w:rFonts w:eastAsia="Times New Roman" w:cs="Arial"/>
        <w:i/>
        <w:sz w:val="18"/>
        <w:szCs w:val="18"/>
        <w:lang w:eastAsia="es-ES"/>
      </w:rPr>
      <w:t>C)</w:t>
    </w:r>
  </w:p>
  <w:p w:rsidR="00493A5A" w:rsidRDefault="00493A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0B28CE">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4(C)</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5</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EB2C71">
    <w:pPr>
      <w:pStyle w:val="Header"/>
      <w:pBdr>
        <w:bottom w:val="single" w:sz="4" w:space="1" w:color="auto"/>
      </w:pBdr>
      <w:jc w:val="right"/>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5</w:t>
    </w:r>
  </w:p>
  <w:p w:rsidR="00493A5A" w:rsidRDefault="00493A5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EB2C71">
    <w:pPr>
      <w:pStyle w:val="Header"/>
      <w:pBdr>
        <w:bottom w:val="single" w:sz="4" w:space="1" w:color="auto"/>
      </w:pBdr>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5</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FA4FBA">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5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EB2C71">
    <w:pPr>
      <w:pStyle w:val="Header"/>
      <w:pBdr>
        <w:bottom w:val="single" w:sz="4" w:space="1" w:color="auto"/>
      </w:pBdr>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5 (B)</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5 (C)</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FA4FBA">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5 (C)</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5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002A97" w:rsidRDefault="00493A5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493A5A" w:rsidRPr="006F22B0" w:rsidRDefault="00493A5A" w:rsidP="006F22B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EB2C71">
    <w:pPr>
      <w:pStyle w:val="Header"/>
      <w:pBdr>
        <w:bottom w:val="single" w:sz="4" w:space="1" w:color="auto"/>
      </w:pBdr>
      <w:jc w:val="right"/>
      <w:rPr>
        <w:i/>
        <w:sz w:val="18"/>
        <w:szCs w:val="18"/>
      </w:rPr>
    </w:pPr>
    <w:r w:rsidRPr="00FE2868">
      <w:rPr>
        <w:rFonts w:eastAsia="Times New Roman" w:cs="Arial"/>
        <w:i/>
        <w:sz w:val="18"/>
        <w:szCs w:val="18"/>
        <w:lang w:eastAsia="es-ES"/>
      </w:rPr>
      <w:t>UNEP/CMS/COP13/Doc.13.2/</w:t>
    </w:r>
    <w:r>
      <w:rPr>
        <w:rFonts w:eastAsia="Times New Roman" w:cs="Arial"/>
        <w:i/>
        <w:sz w:val="18"/>
        <w:szCs w:val="18"/>
        <w:lang w:eastAsia="es-ES"/>
      </w:rPr>
      <w:t>Rev.1/</w:t>
    </w:r>
    <w:r w:rsidRPr="00FE2868">
      <w:rPr>
        <w:rFonts w:eastAsia="Times New Roman" w:cs="Arial"/>
        <w:i/>
        <w:sz w:val="18"/>
        <w:szCs w:val="18"/>
        <w:lang w:eastAsia="es-ES"/>
      </w:rPr>
      <w:t xml:space="preserve">Anexo </w:t>
    </w:r>
    <w:r>
      <w:rPr>
        <w:rFonts w:eastAsia="Times New Roman" w:cs="Arial"/>
        <w:i/>
        <w:sz w:val="18"/>
        <w:szCs w:val="18"/>
        <w:lang w:eastAsia="es-ES"/>
      </w:rPr>
      <w:t>5 (D)</w:t>
    </w:r>
  </w:p>
  <w:p w:rsidR="00493A5A" w:rsidRDefault="00493A5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FA4FBA">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5 (D)</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A4FBA" w:rsidRDefault="00493A5A" w:rsidP="00EB2C71">
    <w:pPr>
      <w:pStyle w:val="Header"/>
      <w:pBdr>
        <w:bottom w:val="single" w:sz="4" w:space="1" w:color="auto"/>
      </w:pBdr>
      <w:rPr>
        <w:i/>
        <w:sz w:val="18"/>
        <w:szCs w:val="18"/>
        <w:lang w:val="es-ES"/>
      </w:rPr>
    </w:pPr>
    <w:r w:rsidRPr="00FA4FBA">
      <w:rPr>
        <w:rFonts w:eastAsia="Times New Roman" w:cs="Arial"/>
        <w:i/>
        <w:sz w:val="18"/>
        <w:szCs w:val="18"/>
        <w:lang w:val="es-ES" w:eastAsia="es-ES"/>
      </w:rPr>
      <w:t>UNEP/CMS/COP13/Doc.13.2/</w:t>
    </w:r>
    <w:r>
      <w:rPr>
        <w:rFonts w:eastAsia="Times New Roman" w:cs="Arial"/>
        <w:i/>
        <w:sz w:val="18"/>
        <w:szCs w:val="18"/>
        <w:lang w:val="es-ES" w:eastAsia="es-ES"/>
      </w:rPr>
      <w:t>Rev.1/</w:t>
    </w:r>
    <w:r w:rsidRPr="00FA4FBA">
      <w:rPr>
        <w:rFonts w:eastAsia="Times New Roman" w:cs="Arial"/>
        <w:i/>
        <w:sz w:val="18"/>
        <w:szCs w:val="18"/>
        <w:lang w:val="es-ES" w:eastAsia="es-ES"/>
      </w:rPr>
      <w:t xml:space="preserve">Anexo </w:t>
    </w:r>
    <w:r>
      <w:rPr>
        <w:rFonts w:eastAsia="Times New Roman" w:cs="Arial"/>
        <w:i/>
        <w:sz w:val="18"/>
        <w:szCs w:val="18"/>
        <w:lang w:val="es-ES" w:eastAsia="es-ES"/>
      </w:rPr>
      <w:t>5</w:t>
    </w:r>
    <w:r w:rsidRPr="00FA4FBA">
      <w:rPr>
        <w:rFonts w:eastAsia="Times New Roman" w:cs="Arial"/>
        <w:i/>
        <w:sz w:val="18"/>
        <w:szCs w:val="18"/>
        <w:lang w:val="es-ES" w:eastAsia="es-ES"/>
      </w:rPr>
      <w:t xml:space="preserve"> (E)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B53ED9" w:rsidRDefault="00493A5A" w:rsidP="00311FB0">
    <w:pPr>
      <w:pStyle w:val="Header"/>
      <w:pBdr>
        <w:bottom w:val="single" w:sz="4" w:space="1" w:color="auto"/>
      </w:pBdr>
      <w:jc w:val="right"/>
      <w:rPr>
        <w:i/>
        <w:sz w:val="18"/>
        <w:szCs w:val="18"/>
      </w:rPr>
    </w:pPr>
    <w:r w:rsidRPr="00B53ED9">
      <w:rPr>
        <w:rFonts w:eastAsia="Times New Roman" w:cs="Arial"/>
        <w:i/>
        <w:sz w:val="18"/>
        <w:szCs w:val="18"/>
        <w:lang w:eastAsia="es-ES"/>
      </w:rPr>
      <w:t>UNEP/CMS/COP13/Doc.13.2/</w:t>
    </w:r>
    <w:r>
      <w:rPr>
        <w:rFonts w:eastAsia="Times New Roman" w:cs="Arial"/>
        <w:i/>
        <w:sz w:val="18"/>
        <w:szCs w:val="18"/>
        <w:lang w:eastAsia="es-ES"/>
      </w:rPr>
      <w:t>Rev.1/</w:t>
    </w:r>
    <w:r w:rsidRPr="00B53ED9">
      <w:rPr>
        <w:rFonts w:eastAsia="Times New Roman" w:cs="Arial"/>
        <w:i/>
        <w:sz w:val="18"/>
        <w:szCs w:val="18"/>
        <w:lang w:eastAsia="es-ES"/>
      </w:rPr>
      <w:t>Anexo 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5A303F">
    <w:pPr>
      <w:pStyle w:val="Header"/>
      <w:pBdr>
        <w:bottom w:val="single" w:sz="4" w:space="1" w:color="auto"/>
      </w:pBdr>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1</w:t>
    </w:r>
  </w:p>
  <w:p w:rsidR="00493A5A" w:rsidRPr="006F22B0" w:rsidRDefault="00493A5A" w:rsidP="006F22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002A97" w:rsidRDefault="00493A5A"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13.2/Rev.1/Anexo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0B28CE">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2</w:t>
    </w:r>
  </w:p>
  <w:p w:rsidR="00493A5A" w:rsidRPr="006F22B0" w:rsidRDefault="00493A5A"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FE2868" w:rsidRDefault="00493A5A" w:rsidP="00002A97">
    <w:pPr>
      <w:pStyle w:val="Header"/>
      <w:pBdr>
        <w:bottom w:val="single" w:sz="4" w:space="1" w:color="auto"/>
      </w:pBdr>
      <w:rPr>
        <w:i/>
        <w:sz w:val="18"/>
        <w:szCs w:val="18"/>
      </w:rPr>
    </w:pPr>
    <w:r w:rsidRPr="00FE2868">
      <w:rPr>
        <w:rFonts w:eastAsia="Times New Roman" w:cs="Arial"/>
        <w:i/>
        <w:sz w:val="18"/>
        <w:szCs w:val="18"/>
        <w:lang w:eastAsia="es-ES"/>
      </w:rPr>
      <w:t>UNEP/CMS/COP13/Doc.13.2/Anexo 2(A</w:t>
    </w:r>
    <w:r>
      <w:rPr>
        <w:rFonts w:eastAsia="Times New Roman" w:cs="Arial"/>
        <w:i/>
        <w:sz w:val="18"/>
        <w:szCs w:val="18"/>
        <w:lang w:eastAsia="es-E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EB2C71">
    <w:pPr>
      <w:pStyle w:val="Header"/>
      <w:pBdr>
        <w:bottom w:val="single" w:sz="4" w:space="1" w:color="auto"/>
      </w:pBdr>
      <w:jc w:val="right"/>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3(A)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A5A" w:rsidRPr="005A303F" w:rsidRDefault="00493A5A" w:rsidP="005A303F">
    <w:pPr>
      <w:pStyle w:val="Header"/>
      <w:pBdr>
        <w:bottom w:val="single" w:sz="4" w:space="1" w:color="auto"/>
      </w:pBdr>
      <w:rPr>
        <w:i/>
        <w:sz w:val="18"/>
        <w:szCs w:val="18"/>
      </w:rPr>
    </w:pPr>
    <w:r w:rsidRPr="005A303F">
      <w:rPr>
        <w:rFonts w:eastAsia="Times New Roman" w:cs="Arial"/>
        <w:i/>
        <w:sz w:val="18"/>
        <w:szCs w:val="18"/>
        <w:lang w:eastAsia="es-ES"/>
      </w:rPr>
      <w:t>UNEP/CMS/COP13/Doc.13.2/</w:t>
    </w:r>
    <w:r>
      <w:rPr>
        <w:rFonts w:eastAsia="Times New Roman" w:cs="Arial"/>
        <w:i/>
        <w:sz w:val="18"/>
        <w:szCs w:val="18"/>
        <w:lang w:eastAsia="es-ES"/>
      </w:rPr>
      <w:t>Rev.1/</w:t>
    </w:r>
    <w:r w:rsidRPr="005A303F">
      <w:rPr>
        <w:rFonts w:eastAsia="Times New Roman" w:cs="Arial"/>
        <w:i/>
        <w:sz w:val="18"/>
        <w:szCs w:val="18"/>
        <w:lang w:eastAsia="es-ES"/>
      </w:rPr>
      <w:t>An</w:t>
    </w:r>
    <w:r>
      <w:rPr>
        <w:rFonts w:eastAsia="Times New Roman" w:cs="Arial"/>
        <w:i/>
        <w:sz w:val="18"/>
        <w:szCs w:val="18"/>
        <w:lang w:eastAsia="es-ES"/>
      </w:rPr>
      <w:t>exo 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E11CA"/>
    <w:multiLevelType w:val="hybridMultilevel"/>
    <w:tmpl w:val="2EF6F186"/>
    <w:lvl w:ilvl="0" w:tplc="56F0D0E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54499"/>
    <w:multiLevelType w:val="hybridMultilevel"/>
    <w:tmpl w:val="D2663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15:restartNumberingAfterBreak="0">
    <w:nsid w:val="0D1A4039"/>
    <w:multiLevelType w:val="hybridMultilevel"/>
    <w:tmpl w:val="0F8E0730"/>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D8005F"/>
    <w:multiLevelType w:val="hybridMultilevel"/>
    <w:tmpl w:val="46DA800A"/>
    <w:lvl w:ilvl="0" w:tplc="693A5174">
      <w:start w:val="1"/>
      <w:numFmt w:val="decimal"/>
      <w:pStyle w:val="Normalnumb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746A"/>
    <w:multiLevelType w:val="hybridMultilevel"/>
    <w:tmpl w:val="823011E2"/>
    <w:lvl w:ilvl="0" w:tplc="CCFA40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A154FD"/>
    <w:multiLevelType w:val="hybridMultilevel"/>
    <w:tmpl w:val="28D61E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9A23F83"/>
    <w:multiLevelType w:val="hybridMultilevel"/>
    <w:tmpl w:val="CBD0A53A"/>
    <w:lvl w:ilvl="0" w:tplc="A532123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E865523"/>
    <w:multiLevelType w:val="hybridMultilevel"/>
    <w:tmpl w:val="D4C2A12A"/>
    <w:lvl w:ilvl="0" w:tplc="B9BC0456">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6" w15:restartNumberingAfterBreak="0">
    <w:nsid w:val="6FB30392"/>
    <w:multiLevelType w:val="hybridMultilevel"/>
    <w:tmpl w:val="923C8752"/>
    <w:lvl w:ilvl="0" w:tplc="EFD0B632">
      <w:start w:val="1"/>
      <w:numFmt w:val="decimal"/>
      <w:pStyle w:val="Firstnumbering"/>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9E7A6E"/>
    <w:multiLevelType w:val="hybridMultilevel"/>
    <w:tmpl w:val="F01851CE"/>
    <w:lvl w:ilvl="0" w:tplc="F5BCBC22">
      <w:start w:val="1"/>
      <w:numFmt w:val="lowerRoman"/>
      <w:lvlText w:val="%1)"/>
      <w:lvlJc w:val="left"/>
      <w:pPr>
        <w:ind w:left="1080" w:hanging="72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950F4"/>
    <w:multiLevelType w:val="hybridMultilevel"/>
    <w:tmpl w:val="CE08B468"/>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F6824"/>
    <w:multiLevelType w:val="hybridMultilevel"/>
    <w:tmpl w:val="2CF03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0051A"/>
    <w:multiLevelType w:val="hybridMultilevel"/>
    <w:tmpl w:val="334EB4E2"/>
    <w:lvl w:ilvl="0" w:tplc="E9ECC50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22461"/>
    <w:multiLevelType w:val="hybridMultilevel"/>
    <w:tmpl w:val="C022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16"/>
  </w:num>
  <w:num w:numId="5">
    <w:abstractNumId w:val="9"/>
  </w:num>
  <w:num w:numId="6">
    <w:abstractNumId w:val="18"/>
  </w:num>
  <w:num w:numId="7">
    <w:abstractNumId w:val="22"/>
  </w:num>
  <w:num w:numId="8">
    <w:abstractNumId w:val="15"/>
  </w:num>
  <w:num w:numId="9">
    <w:abstractNumId w:val="12"/>
  </w:num>
  <w:num w:numId="10">
    <w:abstractNumId w:val="35"/>
  </w:num>
  <w:num w:numId="11">
    <w:abstractNumId w:val="21"/>
  </w:num>
  <w:num w:numId="12">
    <w:abstractNumId w:val="2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
  </w:num>
  <w:num w:numId="16">
    <w:abstractNumId w:val="5"/>
  </w:num>
  <w:num w:numId="17">
    <w:abstractNumId w:val="3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30"/>
  </w:num>
  <w:num w:numId="24">
    <w:abstractNumId w:val="27"/>
  </w:num>
  <w:num w:numId="25">
    <w:abstractNumId w:val="13"/>
  </w:num>
  <w:num w:numId="26">
    <w:abstractNumId w:val="25"/>
  </w:num>
  <w:num w:numId="27">
    <w:abstractNumId w:val="10"/>
  </w:num>
  <w:num w:numId="28">
    <w:abstractNumId w:val="33"/>
  </w:num>
  <w:num w:numId="29">
    <w:abstractNumId w:val="31"/>
  </w:num>
  <w:num w:numId="30">
    <w:abstractNumId w:val="4"/>
  </w:num>
  <w:num w:numId="31">
    <w:abstractNumId w:val="20"/>
  </w:num>
  <w:num w:numId="32">
    <w:abstractNumId w:val="26"/>
  </w:num>
  <w:num w:numId="33">
    <w:abstractNumId w:val="8"/>
  </w:num>
  <w:num w:numId="34">
    <w:abstractNumId w:val="17"/>
  </w:num>
  <w:num w:numId="35">
    <w:abstractNumId w:val="6"/>
  </w:num>
  <w:num w:numId="36">
    <w:abstractNumId w:val="11"/>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3779"/>
    <w:rsid w:val="0002568B"/>
    <w:rsid w:val="00060076"/>
    <w:rsid w:val="00075E27"/>
    <w:rsid w:val="000846D7"/>
    <w:rsid w:val="00095F60"/>
    <w:rsid w:val="000B28CE"/>
    <w:rsid w:val="000D22DA"/>
    <w:rsid w:val="000E192F"/>
    <w:rsid w:val="00101315"/>
    <w:rsid w:val="0011181C"/>
    <w:rsid w:val="00127CCF"/>
    <w:rsid w:val="00142D0F"/>
    <w:rsid w:val="00144AF9"/>
    <w:rsid w:val="00156672"/>
    <w:rsid w:val="00173641"/>
    <w:rsid w:val="00192411"/>
    <w:rsid w:val="0019786F"/>
    <w:rsid w:val="001B0BB6"/>
    <w:rsid w:val="001C60EB"/>
    <w:rsid w:val="001D468B"/>
    <w:rsid w:val="001E3AA4"/>
    <w:rsid w:val="0024152C"/>
    <w:rsid w:val="00255DD6"/>
    <w:rsid w:val="002B4262"/>
    <w:rsid w:val="002F7EC2"/>
    <w:rsid w:val="00301290"/>
    <w:rsid w:val="003023C0"/>
    <w:rsid w:val="0031089F"/>
    <w:rsid w:val="00311FB0"/>
    <w:rsid w:val="0033470C"/>
    <w:rsid w:val="003A1588"/>
    <w:rsid w:val="003E7725"/>
    <w:rsid w:val="003F0B47"/>
    <w:rsid w:val="004008D2"/>
    <w:rsid w:val="004020A2"/>
    <w:rsid w:val="004203A1"/>
    <w:rsid w:val="00433895"/>
    <w:rsid w:val="00457302"/>
    <w:rsid w:val="00493A5A"/>
    <w:rsid w:val="004C7808"/>
    <w:rsid w:val="004E0538"/>
    <w:rsid w:val="00507CB7"/>
    <w:rsid w:val="00521874"/>
    <w:rsid w:val="005330F7"/>
    <w:rsid w:val="00563598"/>
    <w:rsid w:val="005A303F"/>
    <w:rsid w:val="005C08AC"/>
    <w:rsid w:val="005E0976"/>
    <w:rsid w:val="00620956"/>
    <w:rsid w:val="006B2C64"/>
    <w:rsid w:val="006B4097"/>
    <w:rsid w:val="006C2026"/>
    <w:rsid w:val="006C4084"/>
    <w:rsid w:val="006D2C79"/>
    <w:rsid w:val="006F215D"/>
    <w:rsid w:val="006F22B0"/>
    <w:rsid w:val="006F28FC"/>
    <w:rsid w:val="006F3913"/>
    <w:rsid w:val="006F638C"/>
    <w:rsid w:val="0073083A"/>
    <w:rsid w:val="00774B16"/>
    <w:rsid w:val="00790422"/>
    <w:rsid w:val="007B68C9"/>
    <w:rsid w:val="00810C64"/>
    <w:rsid w:val="00836797"/>
    <w:rsid w:val="0087046A"/>
    <w:rsid w:val="00896512"/>
    <w:rsid w:val="008A196A"/>
    <w:rsid w:val="008B1E53"/>
    <w:rsid w:val="008B5DF7"/>
    <w:rsid w:val="009238B0"/>
    <w:rsid w:val="00943D15"/>
    <w:rsid w:val="009A0422"/>
    <w:rsid w:val="009A510F"/>
    <w:rsid w:val="009E666D"/>
    <w:rsid w:val="00A35E4D"/>
    <w:rsid w:val="00AA582B"/>
    <w:rsid w:val="00AA7216"/>
    <w:rsid w:val="00AB4A01"/>
    <w:rsid w:val="00AC09AE"/>
    <w:rsid w:val="00B02389"/>
    <w:rsid w:val="00B104EC"/>
    <w:rsid w:val="00B40E07"/>
    <w:rsid w:val="00B40E74"/>
    <w:rsid w:val="00B451E4"/>
    <w:rsid w:val="00B53ED9"/>
    <w:rsid w:val="00B66FAA"/>
    <w:rsid w:val="00BC5707"/>
    <w:rsid w:val="00BD0123"/>
    <w:rsid w:val="00BF7838"/>
    <w:rsid w:val="00C13795"/>
    <w:rsid w:val="00C612AE"/>
    <w:rsid w:val="00C664FC"/>
    <w:rsid w:val="00C77D63"/>
    <w:rsid w:val="00C92C1C"/>
    <w:rsid w:val="00C95E11"/>
    <w:rsid w:val="00CB2E70"/>
    <w:rsid w:val="00CB7490"/>
    <w:rsid w:val="00CC7223"/>
    <w:rsid w:val="00CD3C72"/>
    <w:rsid w:val="00CE17E7"/>
    <w:rsid w:val="00D41851"/>
    <w:rsid w:val="00D5794F"/>
    <w:rsid w:val="00D70275"/>
    <w:rsid w:val="00D71967"/>
    <w:rsid w:val="00DA78F2"/>
    <w:rsid w:val="00DC6B23"/>
    <w:rsid w:val="00DF145F"/>
    <w:rsid w:val="00E05A60"/>
    <w:rsid w:val="00E37FAD"/>
    <w:rsid w:val="00E56190"/>
    <w:rsid w:val="00E56C72"/>
    <w:rsid w:val="00E607BD"/>
    <w:rsid w:val="00E62551"/>
    <w:rsid w:val="00E77A9F"/>
    <w:rsid w:val="00E81B4A"/>
    <w:rsid w:val="00EB2C71"/>
    <w:rsid w:val="00ED2ECF"/>
    <w:rsid w:val="00ED7321"/>
    <w:rsid w:val="00EF1D13"/>
    <w:rsid w:val="00F147ED"/>
    <w:rsid w:val="00F17D7A"/>
    <w:rsid w:val="00F312F6"/>
    <w:rsid w:val="00F46926"/>
    <w:rsid w:val="00F46D3A"/>
    <w:rsid w:val="00F87291"/>
    <w:rsid w:val="00FA4FBA"/>
    <w:rsid w:val="00FC469B"/>
    <w:rsid w:val="00FE2868"/>
    <w:rsid w:val="00F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D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eastAsia="Times New Roman" w:cs="Times New Roman"/>
      <w:b/>
      <w:bCs/>
      <w:sz w:val="34"/>
      <w:szCs w:val="36"/>
      <w:lang w:val="en-GB"/>
    </w:rPr>
  </w:style>
  <w:style w:type="paragraph" w:styleId="Heading2">
    <w:name w:val="heading 2"/>
    <w:basedOn w:val="Normal"/>
    <w:next w:val="Normal"/>
    <w:link w:val="Heading2Char"/>
    <w:uiPriority w:val="9"/>
    <w:qFormat/>
    <w:rsid w:val="008B5D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rPr>
  </w:style>
  <w:style w:type="paragraph" w:styleId="Heading3">
    <w:name w:val="heading 3"/>
    <w:basedOn w:val="Normal"/>
    <w:next w:val="Normal"/>
    <w:link w:val="Heading3Char"/>
    <w:uiPriority w:val="9"/>
    <w:qFormat/>
    <w:rsid w:val="008B5D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eastAsia="Times New Roman" w:cs="Times New Roman"/>
      <w:sz w:val="24"/>
      <w:szCs w:val="24"/>
      <w:lang w:val="en-GB"/>
    </w:rPr>
  </w:style>
  <w:style w:type="paragraph" w:styleId="Heading4">
    <w:name w:val="heading 4"/>
    <w:basedOn w:val="Normal"/>
    <w:next w:val="Normal"/>
    <w:link w:val="Heading4Char"/>
    <w:uiPriority w:val="99"/>
    <w:qFormat/>
    <w:rsid w:val="008B5DF7"/>
    <w:pPr>
      <w:keepNext/>
      <w:widowControl w:val="0"/>
      <w:autoSpaceDE w:val="0"/>
      <w:autoSpaceDN w:val="0"/>
      <w:adjustRightInd w:val="0"/>
      <w:spacing w:after="0" w:line="240" w:lineRule="auto"/>
      <w:outlineLvl w:val="3"/>
    </w:pPr>
    <w:rPr>
      <w:rFonts w:eastAsia="Times New Roman" w:cs="Times New Roman"/>
      <w:b/>
      <w:bCs/>
      <w:sz w:val="18"/>
      <w:szCs w:val="20"/>
      <w:lang w:val="en-GB"/>
    </w:rPr>
  </w:style>
  <w:style w:type="paragraph" w:styleId="Heading5">
    <w:name w:val="heading 5"/>
    <w:basedOn w:val="Normal"/>
    <w:next w:val="Normal"/>
    <w:link w:val="Heading5Char"/>
    <w:uiPriority w:val="99"/>
    <w:qFormat/>
    <w:rsid w:val="008B5DF7"/>
    <w:pPr>
      <w:keepNext/>
      <w:widowControl w:val="0"/>
      <w:autoSpaceDE w:val="0"/>
      <w:autoSpaceDN w:val="0"/>
      <w:adjustRightInd w:val="0"/>
      <w:spacing w:after="0" w:line="240" w:lineRule="auto"/>
      <w:jc w:val="both"/>
      <w:outlineLvl w:val="4"/>
    </w:pPr>
    <w:rPr>
      <w:rFonts w:eastAsia="Times New Roman" w:cs="Times New Roman"/>
      <w:b/>
      <w:i/>
      <w:iCs/>
      <w:szCs w:val="24"/>
      <w:u w:val="single"/>
      <w:lang w:val="en-GB"/>
    </w:rPr>
  </w:style>
  <w:style w:type="paragraph" w:styleId="Heading6">
    <w:name w:val="heading 6"/>
    <w:basedOn w:val="Normal"/>
    <w:next w:val="Normal"/>
    <w:link w:val="Heading6Char"/>
    <w:uiPriority w:val="99"/>
    <w:qFormat/>
    <w:rsid w:val="008B5DF7"/>
    <w:pPr>
      <w:keepNext/>
      <w:widowControl w:val="0"/>
      <w:autoSpaceDE w:val="0"/>
      <w:autoSpaceDN w:val="0"/>
      <w:adjustRightInd w:val="0"/>
      <w:spacing w:after="0" w:line="240" w:lineRule="auto"/>
      <w:outlineLvl w:val="5"/>
    </w:pPr>
    <w:rPr>
      <w:rFonts w:eastAsia="Times New Roman" w:cs="Times New Roman"/>
      <w:i/>
      <w:iCs/>
      <w:sz w:val="23"/>
      <w:szCs w:val="23"/>
      <w:lang w:val="en-GB"/>
    </w:rPr>
  </w:style>
  <w:style w:type="paragraph" w:styleId="Heading7">
    <w:name w:val="heading 7"/>
    <w:basedOn w:val="Normal"/>
    <w:next w:val="Normal"/>
    <w:link w:val="Heading7Char"/>
    <w:uiPriority w:val="99"/>
    <w:qFormat/>
    <w:rsid w:val="008B5DF7"/>
    <w:pPr>
      <w:keepNext/>
      <w:widowControl w:val="0"/>
      <w:autoSpaceDE w:val="0"/>
      <w:autoSpaceDN w:val="0"/>
      <w:adjustRightInd w:val="0"/>
      <w:spacing w:after="0" w:line="240" w:lineRule="auto"/>
      <w:jc w:val="center"/>
      <w:outlineLvl w:val="6"/>
    </w:pPr>
    <w:rPr>
      <w:rFonts w:eastAsia="Times New Roman" w:cs="Times New Roman"/>
      <w:b/>
      <w:bCs/>
      <w:sz w:val="26"/>
      <w:szCs w:val="26"/>
      <w:lang w:val="en-GB"/>
    </w:rPr>
  </w:style>
  <w:style w:type="paragraph" w:styleId="Heading8">
    <w:name w:val="heading 8"/>
    <w:basedOn w:val="Normal"/>
    <w:next w:val="Normal"/>
    <w:link w:val="Heading8Char"/>
    <w:uiPriority w:val="99"/>
    <w:qFormat/>
    <w:rsid w:val="008B5D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paragraph" w:styleId="Heading9">
    <w:name w:val="heading 9"/>
    <w:basedOn w:val="Normal"/>
    <w:next w:val="Normal"/>
    <w:link w:val="Heading9Char"/>
    <w:uiPriority w:val="99"/>
    <w:qFormat/>
    <w:rsid w:val="008B5D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NoSpacing">
    <w:name w:val="No Spacing"/>
    <w:uiPriority w:val="1"/>
    <w:qFormat/>
    <w:rsid w:val="00D71967"/>
    <w:pPr>
      <w:spacing w:after="0" w:line="240" w:lineRule="auto"/>
    </w:pPr>
    <w:rPr>
      <w:rFonts w:ascii="Palatino Linotype" w:eastAsia="Palatino Linotype" w:hAnsi="Palatino Linotype" w:cs="Times New Roman"/>
    </w:rPr>
  </w:style>
  <w:style w:type="character" w:customStyle="1" w:styleId="Heading1Char">
    <w:name w:val="Heading 1 Char"/>
    <w:basedOn w:val="DefaultParagraphFont"/>
    <w:link w:val="Heading1"/>
    <w:uiPriority w:val="9"/>
    <w:rsid w:val="008B5DF7"/>
    <w:rPr>
      <w:rFonts w:eastAsia="Times New Roman" w:cs="Times New Roman"/>
      <w:b/>
      <w:bCs/>
      <w:sz w:val="34"/>
      <w:szCs w:val="36"/>
      <w:lang w:val="en-GB"/>
    </w:rPr>
  </w:style>
  <w:style w:type="character" w:customStyle="1" w:styleId="Heading2Char">
    <w:name w:val="Heading 2 Char"/>
    <w:basedOn w:val="DefaultParagraphFont"/>
    <w:link w:val="Heading2"/>
    <w:uiPriority w:val="9"/>
    <w:rsid w:val="008B5DF7"/>
    <w:rPr>
      <w:rFonts w:eastAsia="Times New Roman" w:cs="Times New Roman"/>
      <w:b/>
      <w:bCs/>
      <w:sz w:val="36"/>
      <w:szCs w:val="24"/>
    </w:rPr>
  </w:style>
  <w:style w:type="character" w:customStyle="1" w:styleId="Heading3Char">
    <w:name w:val="Heading 3 Char"/>
    <w:basedOn w:val="DefaultParagraphFont"/>
    <w:link w:val="Heading3"/>
    <w:uiPriority w:val="9"/>
    <w:rsid w:val="008B5DF7"/>
    <w:rPr>
      <w:rFonts w:eastAsia="Times New Roman" w:cs="Times New Roman"/>
      <w:sz w:val="24"/>
      <w:szCs w:val="24"/>
      <w:lang w:val="en-GB"/>
    </w:rPr>
  </w:style>
  <w:style w:type="character" w:customStyle="1" w:styleId="Heading4Char">
    <w:name w:val="Heading 4 Char"/>
    <w:basedOn w:val="DefaultParagraphFont"/>
    <w:link w:val="Heading4"/>
    <w:uiPriority w:val="99"/>
    <w:rsid w:val="008B5DF7"/>
    <w:rPr>
      <w:rFonts w:eastAsia="Times New Roman" w:cs="Times New Roman"/>
      <w:b/>
      <w:bCs/>
      <w:sz w:val="18"/>
      <w:szCs w:val="20"/>
      <w:lang w:val="en-GB"/>
    </w:rPr>
  </w:style>
  <w:style w:type="character" w:customStyle="1" w:styleId="Heading5Char">
    <w:name w:val="Heading 5 Char"/>
    <w:basedOn w:val="DefaultParagraphFont"/>
    <w:link w:val="Heading5"/>
    <w:uiPriority w:val="99"/>
    <w:rsid w:val="008B5DF7"/>
    <w:rPr>
      <w:rFonts w:eastAsia="Times New Roman" w:cs="Times New Roman"/>
      <w:b/>
      <w:i/>
      <w:iCs/>
      <w:szCs w:val="24"/>
      <w:u w:val="single"/>
      <w:lang w:val="en-GB"/>
    </w:rPr>
  </w:style>
  <w:style w:type="character" w:customStyle="1" w:styleId="Heading6Char">
    <w:name w:val="Heading 6 Char"/>
    <w:basedOn w:val="DefaultParagraphFont"/>
    <w:link w:val="Heading6"/>
    <w:uiPriority w:val="99"/>
    <w:rsid w:val="008B5DF7"/>
    <w:rPr>
      <w:rFonts w:eastAsia="Times New Roman" w:cs="Times New Roman"/>
      <w:i/>
      <w:iCs/>
      <w:sz w:val="23"/>
      <w:szCs w:val="23"/>
      <w:lang w:val="en-GB"/>
    </w:rPr>
  </w:style>
  <w:style w:type="character" w:customStyle="1" w:styleId="Heading7Char">
    <w:name w:val="Heading 7 Char"/>
    <w:basedOn w:val="DefaultParagraphFont"/>
    <w:link w:val="Heading7"/>
    <w:uiPriority w:val="99"/>
    <w:rsid w:val="008B5DF7"/>
    <w:rPr>
      <w:rFonts w:eastAsia="Times New Roman" w:cs="Times New Roman"/>
      <w:b/>
      <w:bCs/>
      <w:sz w:val="26"/>
      <w:szCs w:val="26"/>
      <w:lang w:val="en-GB"/>
    </w:rPr>
  </w:style>
  <w:style w:type="character" w:customStyle="1" w:styleId="Heading8Char">
    <w:name w:val="Heading 8 Char"/>
    <w:basedOn w:val="DefaultParagraphFont"/>
    <w:link w:val="Heading8"/>
    <w:uiPriority w:val="99"/>
    <w:rsid w:val="008B5DF7"/>
    <w:rPr>
      <w:rFonts w:eastAsia="Times New Roman" w:cs="Arial"/>
      <w:sz w:val="24"/>
      <w:szCs w:val="24"/>
      <w:lang w:val="en-GB"/>
    </w:rPr>
  </w:style>
  <w:style w:type="character" w:customStyle="1" w:styleId="Heading9Char">
    <w:name w:val="Heading 9 Char"/>
    <w:basedOn w:val="DefaultParagraphFont"/>
    <w:link w:val="Heading9"/>
    <w:uiPriority w:val="99"/>
    <w:rsid w:val="008B5DF7"/>
    <w:rPr>
      <w:rFonts w:eastAsia="Times New Roman" w:cs="Arial"/>
      <w:b/>
      <w:bCs/>
      <w:sz w:val="32"/>
      <w:szCs w:val="36"/>
      <w:lang w:val="en-GB"/>
    </w:rPr>
  </w:style>
  <w:style w:type="paragraph" w:customStyle="1" w:styleId="Level1">
    <w:name w:val="Level 1"/>
    <w:basedOn w:val="Normal"/>
    <w:uiPriority w:val="99"/>
    <w:rsid w:val="008B5DF7"/>
    <w:pPr>
      <w:widowControl w:val="0"/>
      <w:numPr>
        <w:numId w:val="19"/>
      </w:numPr>
      <w:autoSpaceDE w:val="0"/>
      <w:autoSpaceDN w:val="0"/>
      <w:adjustRightInd w:val="0"/>
      <w:spacing w:after="0" w:line="240" w:lineRule="auto"/>
      <w:ind w:left="566" w:hanging="566"/>
      <w:outlineLvl w:val="0"/>
    </w:pPr>
    <w:rPr>
      <w:rFonts w:eastAsia="Times New Roman" w:cs="Times New Roman"/>
      <w:sz w:val="18"/>
      <w:szCs w:val="24"/>
    </w:rPr>
  </w:style>
  <w:style w:type="paragraph" w:customStyle="1" w:styleId="Level2">
    <w:name w:val="Level 2"/>
    <w:basedOn w:val="Normal"/>
    <w:uiPriority w:val="99"/>
    <w:rsid w:val="008B5DF7"/>
    <w:pPr>
      <w:widowControl w:val="0"/>
      <w:numPr>
        <w:ilvl w:val="1"/>
        <w:numId w:val="19"/>
      </w:numPr>
      <w:autoSpaceDE w:val="0"/>
      <w:autoSpaceDN w:val="0"/>
      <w:adjustRightInd w:val="0"/>
      <w:spacing w:after="0" w:line="240" w:lineRule="auto"/>
      <w:ind w:left="1132" w:hanging="566"/>
      <w:outlineLvl w:val="1"/>
    </w:pPr>
    <w:rPr>
      <w:rFonts w:eastAsia="Times New Roman" w:cs="Times New Roman"/>
      <w:sz w:val="18"/>
      <w:szCs w:val="24"/>
    </w:rPr>
  </w:style>
  <w:style w:type="paragraph" w:customStyle="1" w:styleId="Level3">
    <w:name w:val="Level 3"/>
    <w:basedOn w:val="Normal"/>
    <w:uiPriority w:val="99"/>
    <w:rsid w:val="008B5DF7"/>
    <w:pPr>
      <w:widowControl w:val="0"/>
      <w:numPr>
        <w:ilvl w:val="2"/>
        <w:numId w:val="19"/>
      </w:numPr>
      <w:autoSpaceDE w:val="0"/>
      <w:autoSpaceDN w:val="0"/>
      <w:adjustRightInd w:val="0"/>
      <w:spacing w:after="0" w:line="240" w:lineRule="auto"/>
      <w:ind w:left="1700" w:hanging="568"/>
      <w:outlineLvl w:val="2"/>
    </w:pPr>
    <w:rPr>
      <w:rFonts w:eastAsia="Times New Roman" w:cs="Times New Roman"/>
      <w:sz w:val="18"/>
      <w:szCs w:val="24"/>
    </w:rPr>
  </w:style>
  <w:style w:type="paragraph" w:customStyle="1" w:styleId="1AutoList1">
    <w:name w:val="1AutoList1"/>
    <w:uiPriority w:val="99"/>
    <w:rsid w:val="008B5DF7"/>
    <w:pPr>
      <w:widowControl w:val="0"/>
      <w:tabs>
        <w:tab w:val="left" w:pos="720"/>
      </w:tabs>
      <w:autoSpaceDE w:val="0"/>
      <w:autoSpaceDN w:val="0"/>
      <w:adjustRightInd w:val="0"/>
      <w:spacing w:after="0" w:line="240" w:lineRule="auto"/>
      <w:ind w:left="720" w:hanging="720"/>
      <w:jc w:val="both"/>
    </w:pPr>
    <w:rPr>
      <w:rFonts w:eastAsia="Times New Roman" w:cs="Times New Roman"/>
      <w:sz w:val="24"/>
      <w:szCs w:val="24"/>
      <w:lang w:val="en-GB"/>
    </w:rPr>
  </w:style>
  <w:style w:type="paragraph" w:customStyle="1" w:styleId="Preformatted">
    <w:name w:val="Preformatted"/>
    <w:uiPriority w:val="99"/>
    <w:rsid w:val="008B5D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18"/>
      <w:szCs w:val="24"/>
    </w:rPr>
  </w:style>
  <w:style w:type="paragraph" w:customStyle="1" w:styleId="footnotetex">
    <w:name w:val="footnote tex"/>
    <w:uiPriority w:val="99"/>
    <w:rsid w:val="008B5DF7"/>
    <w:pPr>
      <w:widowControl w:val="0"/>
      <w:autoSpaceDE w:val="0"/>
      <w:autoSpaceDN w:val="0"/>
      <w:adjustRightInd w:val="0"/>
      <w:spacing w:after="0" w:line="240" w:lineRule="auto"/>
      <w:jc w:val="both"/>
    </w:pPr>
    <w:rPr>
      <w:rFonts w:eastAsia="Times New Roman" w:cs="Times New Roman"/>
      <w:sz w:val="18"/>
      <w:szCs w:val="24"/>
      <w:lang w:val="de-DE"/>
    </w:rPr>
  </w:style>
  <w:style w:type="character" w:styleId="PageNumber">
    <w:name w:val="page number"/>
    <w:uiPriority w:val="99"/>
    <w:rsid w:val="008B5DF7"/>
    <w:rPr>
      <w:rFonts w:cs="Times New Roman"/>
    </w:rPr>
  </w:style>
  <w:style w:type="paragraph" w:styleId="BodyTextIndent">
    <w:name w:val="Body Text Indent"/>
    <w:basedOn w:val="Normal"/>
    <w:link w:val="BodyTextIndentChar"/>
    <w:uiPriority w:val="99"/>
    <w:rsid w:val="008B5DF7"/>
    <w:pPr>
      <w:widowControl w:val="0"/>
      <w:autoSpaceDE w:val="0"/>
      <w:autoSpaceDN w:val="0"/>
      <w:adjustRightInd w:val="0"/>
      <w:spacing w:after="0" w:line="240" w:lineRule="auto"/>
      <w:ind w:left="720" w:hanging="720"/>
      <w:jc w:val="both"/>
    </w:pPr>
    <w:rPr>
      <w:rFonts w:eastAsia="Times New Roman" w:cs="Times New Roman"/>
      <w:szCs w:val="24"/>
      <w:lang w:val="en-GB"/>
    </w:rPr>
  </w:style>
  <w:style w:type="character" w:customStyle="1" w:styleId="BodyTextIndentChar">
    <w:name w:val="Body Text Indent Char"/>
    <w:basedOn w:val="DefaultParagraphFont"/>
    <w:link w:val="BodyTextIndent"/>
    <w:uiPriority w:val="99"/>
    <w:rsid w:val="008B5DF7"/>
    <w:rPr>
      <w:rFonts w:eastAsia="Times New Roman" w:cs="Times New Roman"/>
      <w:szCs w:val="24"/>
      <w:lang w:val="en-GB"/>
    </w:rPr>
  </w:style>
  <w:style w:type="paragraph" w:styleId="BodyText">
    <w:name w:val="Body Text"/>
    <w:basedOn w:val="Normal"/>
    <w:link w:val="BodyTextChar"/>
    <w:uiPriority w:val="99"/>
    <w:rsid w:val="008B5DF7"/>
    <w:pPr>
      <w:widowControl w:val="0"/>
      <w:autoSpaceDE w:val="0"/>
      <w:autoSpaceDN w:val="0"/>
      <w:adjustRightInd w:val="0"/>
      <w:spacing w:after="0" w:line="240" w:lineRule="auto"/>
      <w:jc w:val="both"/>
    </w:pPr>
    <w:rPr>
      <w:rFonts w:eastAsia="Times New Roman" w:cs="Times New Roman"/>
      <w:szCs w:val="24"/>
      <w:lang w:val="en-GB"/>
    </w:rPr>
  </w:style>
  <w:style w:type="character" w:customStyle="1" w:styleId="BodyTextChar">
    <w:name w:val="Body Text Char"/>
    <w:basedOn w:val="DefaultParagraphFont"/>
    <w:link w:val="BodyText"/>
    <w:uiPriority w:val="99"/>
    <w:rsid w:val="008B5DF7"/>
    <w:rPr>
      <w:rFonts w:eastAsia="Times New Roman" w:cs="Times New Roman"/>
      <w:szCs w:val="24"/>
      <w:lang w:val="en-GB"/>
    </w:rPr>
  </w:style>
  <w:style w:type="paragraph" w:styleId="FootnoteText">
    <w:name w:val="footnote text"/>
    <w:basedOn w:val="Normal"/>
    <w:link w:val="FootnoteTextChar"/>
    <w:uiPriority w:val="99"/>
    <w:semiHidden/>
    <w:rsid w:val="008B5DF7"/>
    <w:pPr>
      <w:widowControl w:val="0"/>
      <w:autoSpaceDE w:val="0"/>
      <w:autoSpaceDN w:val="0"/>
      <w:adjustRightInd w:val="0"/>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semiHidden/>
    <w:rsid w:val="008B5DF7"/>
    <w:rPr>
      <w:rFonts w:eastAsia="Times New Roman" w:cs="Times New Roman"/>
      <w:sz w:val="18"/>
      <w:szCs w:val="20"/>
    </w:rPr>
  </w:style>
  <w:style w:type="paragraph" w:styleId="BodyText2">
    <w:name w:val="Body Text 2"/>
    <w:basedOn w:val="Normal"/>
    <w:link w:val="BodyText2Char"/>
    <w:uiPriority w:val="99"/>
    <w:rsid w:val="008B5DF7"/>
    <w:pPr>
      <w:widowControl w:val="0"/>
      <w:autoSpaceDE w:val="0"/>
      <w:autoSpaceDN w:val="0"/>
      <w:adjustRightInd w:val="0"/>
      <w:spacing w:after="0" w:line="240" w:lineRule="auto"/>
    </w:pPr>
    <w:rPr>
      <w:rFonts w:eastAsia="Times New Roman" w:cs="Times New Roman"/>
      <w:szCs w:val="24"/>
    </w:rPr>
  </w:style>
  <w:style w:type="character" w:customStyle="1" w:styleId="BodyText2Char">
    <w:name w:val="Body Text 2 Char"/>
    <w:basedOn w:val="DefaultParagraphFont"/>
    <w:link w:val="BodyText2"/>
    <w:uiPriority w:val="99"/>
    <w:rsid w:val="008B5DF7"/>
    <w:rPr>
      <w:rFonts w:eastAsia="Times New Roman" w:cs="Times New Roman"/>
      <w:szCs w:val="24"/>
    </w:rPr>
  </w:style>
  <w:style w:type="paragraph" w:styleId="BodyText3">
    <w:name w:val="Body Text 3"/>
    <w:basedOn w:val="Normal"/>
    <w:link w:val="BodyText3Char"/>
    <w:uiPriority w:val="99"/>
    <w:rsid w:val="008B5D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eastAsia="Times New Roman" w:cs="Times New Roman"/>
      <w:b/>
      <w:bCs/>
      <w:sz w:val="24"/>
      <w:szCs w:val="24"/>
      <w:lang w:val="en-GB"/>
    </w:rPr>
  </w:style>
  <w:style w:type="character" w:customStyle="1" w:styleId="BodyText3Char">
    <w:name w:val="Body Text 3 Char"/>
    <w:basedOn w:val="DefaultParagraphFont"/>
    <w:link w:val="BodyText3"/>
    <w:uiPriority w:val="99"/>
    <w:rsid w:val="008B5DF7"/>
    <w:rPr>
      <w:rFonts w:eastAsia="Times New Roman" w:cs="Times New Roman"/>
      <w:b/>
      <w:bCs/>
      <w:sz w:val="24"/>
      <w:szCs w:val="24"/>
      <w:lang w:val="en-GB"/>
    </w:rPr>
  </w:style>
  <w:style w:type="paragraph" w:styleId="BlockText">
    <w:name w:val="Block Text"/>
    <w:basedOn w:val="Normal"/>
    <w:uiPriority w:val="99"/>
    <w:rsid w:val="008B5DF7"/>
    <w:pPr>
      <w:widowControl w:val="0"/>
      <w:autoSpaceDE w:val="0"/>
      <w:autoSpaceDN w:val="0"/>
      <w:adjustRightInd w:val="0"/>
      <w:spacing w:after="0" w:line="240" w:lineRule="auto"/>
      <w:ind w:left="1418" w:right="283" w:hanging="709"/>
    </w:pPr>
    <w:rPr>
      <w:rFonts w:eastAsia="Times New Roman" w:cs="Times New Roman"/>
      <w:sz w:val="24"/>
      <w:szCs w:val="23"/>
    </w:rPr>
  </w:style>
  <w:style w:type="character" w:styleId="FollowedHyperlink">
    <w:name w:val="FollowedHyperlink"/>
    <w:uiPriority w:val="99"/>
    <w:rsid w:val="008B5DF7"/>
    <w:rPr>
      <w:rFonts w:cs="Times New Roman"/>
      <w:color w:val="800080"/>
      <w:u w:val="single"/>
    </w:rPr>
  </w:style>
  <w:style w:type="paragraph" w:styleId="Title">
    <w:name w:val="Title"/>
    <w:basedOn w:val="Normal"/>
    <w:link w:val="TitleChar0"/>
    <w:uiPriority w:val="99"/>
    <w:qFormat/>
    <w:rsid w:val="008B5D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en-GB"/>
    </w:rPr>
  </w:style>
  <w:style w:type="character" w:customStyle="1" w:styleId="TitleChar0">
    <w:name w:val="Title Char"/>
    <w:basedOn w:val="DefaultParagraphFont"/>
    <w:link w:val="Title"/>
    <w:uiPriority w:val="99"/>
    <w:rsid w:val="008B5DF7"/>
    <w:rPr>
      <w:rFonts w:eastAsia="Times New Roman" w:cs="Arial"/>
      <w:b/>
      <w:bCs/>
      <w:sz w:val="32"/>
      <w:lang w:val="en-GB"/>
    </w:rPr>
  </w:style>
  <w:style w:type="paragraph" w:customStyle="1" w:styleId="ColorfulList-Accent11">
    <w:name w:val="Colorful List - Accent 11"/>
    <w:basedOn w:val="Normal"/>
    <w:uiPriority w:val="99"/>
    <w:rsid w:val="008B5DF7"/>
    <w:pPr>
      <w:spacing w:after="0" w:line="240" w:lineRule="auto"/>
      <w:ind w:left="720"/>
    </w:pPr>
    <w:rPr>
      <w:rFonts w:eastAsia="Times New Roman" w:cs="Times New Roman"/>
      <w:sz w:val="24"/>
      <w:szCs w:val="24"/>
      <w:lang w:val="es-UY"/>
    </w:rPr>
  </w:style>
  <w:style w:type="character" w:styleId="CommentReference">
    <w:name w:val="annotation reference"/>
    <w:uiPriority w:val="99"/>
    <w:semiHidden/>
    <w:rsid w:val="008B5DF7"/>
    <w:rPr>
      <w:rFonts w:cs="Times New Roman"/>
      <w:sz w:val="18"/>
    </w:rPr>
  </w:style>
  <w:style w:type="paragraph" w:styleId="CommentText">
    <w:name w:val="annotation text"/>
    <w:basedOn w:val="Normal"/>
    <w:link w:val="CommentTextChar"/>
    <w:uiPriority w:val="99"/>
    <w:semiHidden/>
    <w:rsid w:val="008B5DF7"/>
    <w:pPr>
      <w:widowControl w:val="0"/>
      <w:autoSpaceDE w:val="0"/>
      <w:autoSpaceDN w:val="0"/>
      <w:adjustRightInd w:val="0"/>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semiHidden/>
    <w:rsid w:val="008B5DF7"/>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B5DF7"/>
    <w:rPr>
      <w:b/>
      <w:bCs/>
    </w:rPr>
  </w:style>
  <w:style w:type="character" w:customStyle="1" w:styleId="CommentSubjectChar">
    <w:name w:val="Comment Subject Char"/>
    <w:basedOn w:val="CommentTextChar"/>
    <w:link w:val="CommentSubject"/>
    <w:uiPriority w:val="99"/>
    <w:semiHidden/>
    <w:rsid w:val="008B5DF7"/>
    <w:rPr>
      <w:rFonts w:eastAsia="Times New Roman" w:cs="Times New Roman"/>
      <w:b/>
      <w:bCs/>
      <w:sz w:val="24"/>
      <w:szCs w:val="24"/>
    </w:rPr>
  </w:style>
  <w:style w:type="character" w:styleId="Emphasis">
    <w:name w:val="Emphasis"/>
    <w:uiPriority w:val="99"/>
    <w:qFormat/>
    <w:rsid w:val="008B5DF7"/>
    <w:rPr>
      <w:rFonts w:cs="Times New Roman"/>
      <w:i/>
      <w:iCs/>
    </w:rPr>
  </w:style>
  <w:style w:type="paragraph" w:customStyle="1" w:styleId="Default">
    <w:name w:val="Default"/>
    <w:basedOn w:val="Normal"/>
    <w:rsid w:val="008B5DF7"/>
    <w:pPr>
      <w:autoSpaceDE w:val="0"/>
      <w:autoSpaceDN w:val="0"/>
      <w:spacing w:after="0" w:line="240" w:lineRule="auto"/>
    </w:pPr>
    <w:rPr>
      <w:rFonts w:eastAsia="Times New Roman" w:cs="Times New Roman"/>
      <w:color w:val="000000"/>
      <w:sz w:val="24"/>
      <w:szCs w:val="24"/>
      <w:lang w:val="en-GB" w:eastAsia="en-GB"/>
    </w:rPr>
  </w:style>
  <w:style w:type="table" w:styleId="TableGrid">
    <w:name w:val="Table Grid"/>
    <w:basedOn w:val="TableNormal"/>
    <w:uiPriority w:val="59"/>
    <w:rsid w:val="008B5DF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B5DF7"/>
  </w:style>
  <w:style w:type="paragraph" w:customStyle="1" w:styleId="xl66">
    <w:name w:val="xl66"/>
    <w:basedOn w:val="Normal"/>
    <w:rsid w:val="008B5D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8B5D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8B5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8B5D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8B5DF7"/>
    <w:pPr>
      <w:spacing w:before="100" w:beforeAutospacing="1" w:after="100" w:afterAutospacing="1" w:line="240" w:lineRule="auto"/>
    </w:pPr>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8B5DF7"/>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8B5DF7"/>
    <w:rPr>
      <w:rFonts w:ascii="Times New Roman" w:eastAsia="Times New Roman" w:hAnsi="Times New Roman" w:cs="Times New Roman"/>
      <w:sz w:val="16"/>
      <w:szCs w:val="16"/>
    </w:rPr>
  </w:style>
  <w:style w:type="character" w:customStyle="1" w:styleId="NormalnumberChar">
    <w:name w:val="Normal_number Char"/>
    <w:link w:val="Normalnumber"/>
    <w:locked/>
    <w:rsid w:val="008B5DF7"/>
    <w:rPr>
      <w:lang w:val="en-GB"/>
    </w:rPr>
  </w:style>
  <w:style w:type="paragraph" w:customStyle="1" w:styleId="Normalnumber">
    <w:name w:val="Normal_number"/>
    <w:basedOn w:val="Normal"/>
    <w:link w:val="NormalnumberChar"/>
    <w:rsid w:val="008B5DF7"/>
    <w:pPr>
      <w:numPr>
        <w:numId w:val="27"/>
      </w:numPr>
      <w:tabs>
        <w:tab w:val="left" w:pos="624"/>
      </w:tabs>
      <w:spacing w:after="120" w:line="240" w:lineRule="auto"/>
    </w:pPr>
    <w:rPr>
      <w:lang w:val="en-GB"/>
    </w:rPr>
  </w:style>
  <w:style w:type="paragraph" w:customStyle="1" w:styleId="msonormal0">
    <w:name w:val="msonormal"/>
    <w:basedOn w:val="Normal"/>
    <w:rsid w:val="008B5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B5DF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8B5D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8B5DF7"/>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4">
    <w:name w:val="xl74"/>
    <w:basedOn w:val="Normal"/>
    <w:rsid w:val="008B5DF7"/>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5">
    <w:name w:val="xl75"/>
    <w:basedOn w:val="Normal"/>
    <w:rsid w:val="008B5DF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
    <w:rsid w:val="008B5DF7"/>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9">
    <w:name w:val="xl79"/>
    <w:basedOn w:val="Normal"/>
    <w:rsid w:val="008B5D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0">
    <w:name w:val="xl80"/>
    <w:basedOn w:val="Normal"/>
    <w:rsid w:val="008B5DF7"/>
    <w:pPr>
      <w:pBdr>
        <w:top w:val="single" w:sz="8"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
    <w:name w:val="xl81"/>
    <w:basedOn w:val="Normal"/>
    <w:rsid w:val="008B5DF7"/>
    <w:pPr>
      <w:pBdr>
        <w:top w:val="single" w:sz="8"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8B5DF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3">
    <w:name w:val="xl83"/>
    <w:basedOn w:val="Normal"/>
    <w:rsid w:val="008B5DF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Normal"/>
    <w:rsid w:val="008B5DF7"/>
    <w:pPr>
      <w:pBdr>
        <w:top w:val="single" w:sz="8"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8B5DF7"/>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8">
    <w:name w:val="xl88"/>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9">
    <w:name w:val="xl89"/>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0">
    <w:name w:val="xl90"/>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8B5DF7"/>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3">
    <w:name w:val="xl93"/>
    <w:basedOn w:val="Normal"/>
    <w:rsid w:val="008B5DF7"/>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8B5DF7"/>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5">
    <w:name w:val="xl95"/>
    <w:basedOn w:val="Normal"/>
    <w:rsid w:val="008B5DF7"/>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Normal"/>
    <w:rsid w:val="008B5DF7"/>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7">
    <w:name w:val="xl97"/>
    <w:basedOn w:val="Normal"/>
    <w:rsid w:val="008B5D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8">
    <w:name w:val="xl98"/>
    <w:basedOn w:val="Normal"/>
    <w:rsid w:val="008B5DF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Normal"/>
    <w:rsid w:val="008B5D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Normal"/>
    <w:rsid w:val="008B5D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1">
    <w:name w:val="xl101"/>
    <w:basedOn w:val="Normal"/>
    <w:rsid w:val="008B5DF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2">
    <w:name w:val="xl102"/>
    <w:basedOn w:val="Normal"/>
    <w:rsid w:val="008B5DF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Normal"/>
    <w:rsid w:val="008B5DF7"/>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4">
    <w:name w:val="xl104"/>
    <w:basedOn w:val="Normal"/>
    <w:rsid w:val="008B5DF7"/>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5">
    <w:name w:val="xl105"/>
    <w:basedOn w:val="Normal"/>
    <w:rsid w:val="008B5D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6">
    <w:name w:val="xl106"/>
    <w:basedOn w:val="Normal"/>
    <w:rsid w:val="008B5DF7"/>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Normal"/>
    <w:rsid w:val="008B5DF7"/>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8">
    <w:name w:val="xl108"/>
    <w:basedOn w:val="Normal"/>
    <w:rsid w:val="008B5DF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9">
    <w:name w:val="xl109"/>
    <w:basedOn w:val="Normal"/>
    <w:rsid w:val="008B5DF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0">
    <w:name w:val="xl110"/>
    <w:basedOn w:val="Normal"/>
    <w:rsid w:val="008B5DF7"/>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1">
    <w:name w:val="xl111"/>
    <w:basedOn w:val="Normal"/>
    <w:rsid w:val="008B5DF7"/>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2">
    <w:name w:val="xl112"/>
    <w:basedOn w:val="Normal"/>
    <w:rsid w:val="008B5DF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3">
    <w:name w:val="xl113"/>
    <w:basedOn w:val="Normal"/>
    <w:rsid w:val="008B5DF7"/>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4">
    <w:name w:val="xl114"/>
    <w:basedOn w:val="Normal"/>
    <w:rsid w:val="008B5DF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character" w:styleId="UnresolvedMention">
    <w:name w:val="Unresolved Mention"/>
    <w:basedOn w:val="DefaultParagraphFont"/>
    <w:uiPriority w:val="99"/>
    <w:semiHidden/>
    <w:unhideWhenUsed/>
    <w:rsid w:val="008B5DF7"/>
    <w:rPr>
      <w:color w:val="605E5C"/>
      <w:shd w:val="clear" w:color="auto" w:fill="E1DFDD"/>
    </w:rPr>
  </w:style>
  <w:style w:type="numbering" w:customStyle="1" w:styleId="NoList2">
    <w:name w:val="No List2"/>
    <w:next w:val="NoList"/>
    <w:uiPriority w:val="99"/>
    <w:semiHidden/>
    <w:unhideWhenUsed/>
    <w:rsid w:val="00CB2E70"/>
  </w:style>
  <w:style w:type="paragraph" w:customStyle="1" w:styleId="Firstnumbering">
    <w:name w:val="First numbering"/>
    <w:basedOn w:val="ListParagraph"/>
    <w:link w:val="FirstnumberingChar"/>
    <w:qFormat/>
    <w:rsid w:val="00CB2E70"/>
    <w:pPr>
      <w:numPr>
        <w:numId w:val="32"/>
      </w:numPr>
      <w:spacing w:after="0" w:line="240" w:lineRule="auto"/>
      <w:ind w:left="567" w:hanging="567"/>
      <w:contextualSpacing w:val="0"/>
      <w:jc w:val="both"/>
    </w:pPr>
    <w:rPr>
      <w:lang w:val="en-GB"/>
    </w:rPr>
  </w:style>
  <w:style w:type="paragraph" w:customStyle="1" w:styleId="Secondnumbering">
    <w:name w:val="Second numbering"/>
    <w:basedOn w:val="Firstnumbering"/>
    <w:link w:val="SecondnumberingChar"/>
    <w:qFormat/>
    <w:rsid w:val="00CB2E70"/>
    <w:pPr>
      <w:numPr>
        <w:numId w:val="33"/>
      </w:numPr>
      <w:ind w:left="1134" w:hanging="283"/>
    </w:pPr>
  </w:style>
  <w:style w:type="character" w:customStyle="1" w:styleId="FirstnumberingChar">
    <w:name w:val="First numbering Char"/>
    <w:basedOn w:val="ListParagraphChar"/>
    <w:link w:val="Firstnumbering"/>
    <w:rsid w:val="00CB2E70"/>
    <w:rPr>
      <w:lang w:val="en-GB"/>
    </w:rPr>
  </w:style>
  <w:style w:type="paragraph" w:customStyle="1" w:styleId="Thirdnumberingi0">
    <w:name w:val="Third numbering i)"/>
    <w:basedOn w:val="Secondnumbering"/>
    <w:link w:val="ThirdnumberingiChar0"/>
    <w:qFormat/>
    <w:rsid w:val="00CB2E70"/>
    <w:pPr>
      <w:numPr>
        <w:numId w:val="34"/>
      </w:numPr>
      <w:ind w:left="1701" w:hanging="283"/>
    </w:pPr>
  </w:style>
  <w:style w:type="character" w:customStyle="1" w:styleId="SecondnumberingChar">
    <w:name w:val="Second numbering Char"/>
    <w:basedOn w:val="FirstnumberingChar"/>
    <w:link w:val="Secondnumbering"/>
    <w:rsid w:val="00CB2E70"/>
    <w:rPr>
      <w:lang w:val="en-GB"/>
    </w:rPr>
  </w:style>
  <w:style w:type="character" w:customStyle="1" w:styleId="ThirdnumberingiChar0">
    <w:name w:val="Third numbering i) Char"/>
    <w:basedOn w:val="SecondnumberingChar"/>
    <w:link w:val="Thirdnumberingi0"/>
    <w:rsid w:val="00CB2E70"/>
    <w:rPr>
      <w:lang w:val="en-GB"/>
    </w:rPr>
  </w:style>
  <w:style w:type="numbering" w:customStyle="1" w:styleId="NoList11">
    <w:name w:val="No List11"/>
    <w:next w:val="NoList"/>
    <w:uiPriority w:val="99"/>
    <w:semiHidden/>
    <w:unhideWhenUsed/>
    <w:rsid w:val="00CB2E70"/>
  </w:style>
  <w:style w:type="table" w:customStyle="1" w:styleId="TableGrid1">
    <w:name w:val="Table Grid1"/>
    <w:basedOn w:val="TableNormal"/>
    <w:next w:val="TableGrid"/>
    <w:uiPriority w:val="59"/>
    <w:rsid w:val="00CB2E70"/>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B2E70"/>
  </w:style>
  <w:style w:type="numbering" w:customStyle="1" w:styleId="NoList21">
    <w:name w:val="No List21"/>
    <w:next w:val="NoList"/>
    <w:uiPriority w:val="99"/>
    <w:semiHidden/>
    <w:unhideWhenUsed/>
    <w:rsid w:val="00CB2E70"/>
  </w:style>
  <w:style w:type="numbering" w:customStyle="1" w:styleId="NoList12">
    <w:name w:val="No List12"/>
    <w:next w:val="NoList"/>
    <w:uiPriority w:val="99"/>
    <w:semiHidden/>
    <w:unhideWhenUsed/>
    <w:rsid w:val="00CB2E70"/>
  </w:style>
  <w:style w:type="numbering" w:customStyle="1" w:styleId="NoList3">
    <w:name w:val="No List3"/>
    <w:next w:val="NoList"/>
    <w:uiPriority w:val="99"/>
    <w:semiHidden/>
    <w:unhideWhenUsed/>
    <w:rsid w:val="00CB2E70"/>
  </w:style>
  <w:style w:type="numbering" w:customStyle="1" w:styleId="NoList13">
    <w:name w:val="No List13"/>
    <w:next w:val="NoList"/>
    <w:uiPriority w:val="99"/>
    <w:semiHidden/>
    <w:unhideWhenUsed/>
    <w:rsid w:val="00CB2E70"/>
  </w:style>
  <w:style w:type="numbering" w:customStyle="1" w:styleId="NoList4">
    <w:name w:val="No List4"/>
    <w:next w:val="NoList"/>
    <w:uiPriority w:val="99"/>
    <w:semiHidden/>
    <w:unhideWhenUsed/>
    <w:rsid w:val="001B0BB6"/>
  </w:style>
  <w:style w:type="numbering" w:customStyle="1" w:styleId="NoList14">
    <w:name w:val="No List14"/>
    <w:next w:val="NoList"/>
    <w:uiPriority w:val="99"/>
    <w:semiHidden/>
    <w:unhideWhenUsed/>
    <w:rsid w:val="001B0BB6"/>
  </w:style>
  <w:style w:type="table" w:customStyle="1" w:styleId="TableGrid2">
    <w:name w:val="Table Grid2"/>
    <w:basedOn w:val="TableNormal"/>
    <w:next w:val="TableGrid"/>
    <w:uiPriority w:val="59"/>
    <w:rsid w:val="001B0BB6"/>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B0BB6"/>
  </w:style>
  <w:style w:type="numbering" w:customStyle="1" w:styleId="NoList22">
    <w:name w:val="No List22"/>
    <w:next w:val="NoList"/>
    <w:uiPriority w:val="99"/>
    <w:semiHidden/>
    <w:unhideWhenUsed/>
    <w:rsid w:val="001B0BB6"/>
  </w:style>
  <w:style w:type="numbering" w:customStyle="1" w:styleId="NoList121">
    <w:name w:val="No List121"/>
    <w:next w:val="NoList"/>
    <w:uiPriority w:val="99"/>
    <w:semiHidden/>
    <w:unhideWhenUsed/>
    <w:rsid w:val="001B0BB6"/>
  </w:style>
  <w:style w:type="numbering" w:customStyle="1" w:styleId="NoList31">
    <w:name w:val="No List31"/>
    <w:next w:val="NoList"/>
    <w:uiPriority w:val="99"/>
    <w:semiHidden/>
    <w:unhideWhenUsed/>
    <w:rsid w:val="001B0BB6"/>
  </w:style>
  <w:style w:type="table" w:customStyle="1" w:styleId="TableGrid11">
    <w:name w:val="Table Grid11"/>
    <w:basedOn w:val="TableNormal"/>
    <w:next w:val="TableGrid"/>
    <w:uiPriority w:val="59"/>
    <w:locked/>
    <w:rsid w:val="001B0BB6"/>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B0BB6"/>
  </w:style>
  <w:style w:type="numbering" w:customStyle="1" w:styleId="NoList5">
    <w:name w:val="No List5"/>
    <w:next w:val="NoList"/>
    <w:uiPriority w:val="99"/>
    <w:semiHidden/>
    <w:unhideWhenUsed/>
    <w:rsid w:val="003E7725"/>
  </w:style>
  <w:style w:type="numbering" w:customStyle="1" w:styleId="NoList15">
    <w:name w:val="No List15"/>
    <w:next w:val="NoList"/>
    <w:uiPriority w:val="99"/>
    <w:semiHidden/>
    <w:unhideWhenUsed/>
    <w:rsid w:val="003E7725"/>
  </w:style>
  <w:style w:type="table" w:customStyle="1" w:styleId="TableGrid3">
    <w:name w:val="Table Grid3"/>
    <w:basedOn w:val="TableNormal"/>
    <w:next w:val="TableGrid"/>
    <w:uiPriority w:val="59"/>
    <w:rsid w:val="003E7725"/>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E7725"/>
  </w:style>
  <w:style w:type="numbering" w:customStyle="1" w:styleId="NoList23">
    <w:name w:val="No List23"/>
    <w:next w:val="NoList"/>
    <w:uiPriority w:val="99"/>
    <w:semiHidden/>
    <w:unhideWhenUsed/>
    <w:rsid w:val="003E7725"/>
  </w:style>
  <w:style w:type="numbering" w:customStyle="1" w:styleId="NoList122">
    <w:name w:val="No List122"/>
    <w:next w:val="NoList"/>
    <w:uiPriority w:val="99"/>
    <w:semiHidden/>
    <w:unhideWhenUsed/>
    <w:rsid w:val="003E7725"/>
  </w:style>
  <w:style w:type="numbering" w:customStyle="1" w:styleId="NoList32">
    <w:name w:val="No List32"/>
    <w:next w:val="NoList"/>
    <w:uiPriority w:val="99"/>
    <w:semiHidden/>
    <w:unhideWhenUsed/>
    <w:rsid w:val="003E7725"/>
  </w:style>
  <w:style w:type="table" w:customStyle="1" w:styleId="TableGrid12">
    <w:name w:val="Table Grid12"/>
    <w:basedOn w:val="TableNormal"/>
    <w:next w:val="TableGrid"/>
    <w:uiPriority w:val="59"/>
    <w:locked/>
    <w:rsid w:val="003E7725"/>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3E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30.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1452-6D9E-4866-92BF-BE6D64D8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15218</Words>
  <Characters>86743</Characters>
  <Application>Microsoft Office Word</Application>
  <DocSecurity>4</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dcterms:created xsi:type="dcterms:W3CDTF">2020-02-20T04:39:00Z</dcterms:created>
  <dcterms:modified xsi:type="dcterms:W3CDTF">2020-02-20T04:39:00Z</dcterms:modified>
</cp:coreProperties>
</file>