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6189" w14:textId="77777777" w:rsidR="00682B31" w:rsidRPr="00682B31" w:rsidRDefault="00682B31" w:rsidP="00682B31">
      <w:pPr>
        <w:tabs>
          <w:tab w:val="left" w:pos="-1057"/>
          <w:tab w:val="left" w:pos="-720"/>
        </w:tabs>
        <w:ind w:left="-90"/>
        <w:rPr>
          <w:rFonts w:cs="Arial"/>
          <w:spacing w:val="-8"/>
          <w:sz w:val="12"/>
          <w:szCs w:val="12"/>
          <w:lang w:val="en-GB"/>
        </w:rPr>
      </w:pPr>
    </w:p>
    <w:p w14:paraId="1E8B82AA"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69206894"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1B58F825" w14:textId="77777777"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EB0307">
        <w:rPr>
          <w:rFonts w:cs="Arial"/>
          <w:iCs/>
          <w:sz w:val="22"/>
          <w:szCs w:val="22"/>
          <w:lang w:val="pt-PT"/>
        </w:rPr>
        <w:t>25.2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1A20DF54"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F345904"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5647C36C"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34C56412"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A244BDD"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0FA32898" wp14:editId="0159156E">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D7F5FE2"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A8E520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40ED5964"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6C8B2791"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3179E88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CD95609"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28C66173"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5D954BDF"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438C94B6"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EB0307">
              <w:rPr>
                <w:rFonts w:cs="Arial"/>
                <w:sz w:val="22"/>
                <w:szCs w:val="22"/>
                <w:lang w:val="en-GB"/>
              </w:rPr>
              <w:t>25.2</w:t>
            </w:r>
          </w:p>
          <w:p w14:paraId="0331D6C6" w14:textId="4D7846B7" w:rsidR="0081600F" w:rsidRPr="00420040" w:rsidRDefault="00B87E1C"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 xml:space="preserve">26 </w:t>
            </w:r>
            <w:r w:rsidR="00EB0307">
              <w:rPr>
                <w:rFonts w:cs="Arial"/>
                <w:sz w:val="22"/>
                <w:szCs w:val="22"/>
                <w:lang w:val="en-GB"/>
              </w:rPr>
              <w:t xml:space="preserve">May </w:t>
            </w:r>
            <w:r w:rsidR="00EA0B88">
              <w:rPr>
                <w:rFonts w:cs="Arial"/>
                <w:sz w:val="22"/>
                <w:szCs w:val="22"/>
                <w:lang w:val="en-GB"/>
              </w:rPr>
              <w:t>2017</w:t>
            </w:r>
          </w:p>
          <w:p w14:paraId="2A091670" w14:textId="77777777" w:rsidR="00E8776E" w:rsidRPr="00420040" w:rsidRDefault="00E8776E" w:rsidP="000C21B1">
            <w:pPr>
              <w:rPr>
                <w:rFonts w:cs="Arial"/>
                <w:sz w:val="12"/>
                <w:szCs w:val="12"/>
                <w:lang w:val="en-GB"/>
              </w:rPr>
            </w:pPr>
          </w:p>
          <w:p w14:paraId="39AE9C7C"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7AB60AB3" w14:textId="77777777" w:rsidR="00682B31" w:rsidRPr="00682B31" w:rsidRDefault="00682B31" w:rsidP="000C21B1">
            <w:pPr>
              <w:rPr>
                <w:rFonts w:cs="Arial"/>
                <w:sz w:val="12"/>
                <w:szCs w:val="12"/>
                <w:lang w:val="en-GB"/>
              </w:rPr>
            </w:pPr>
          </w:p>
        </w:tc>
      </w:tr>
    </w:tbl>
    <w:p w14:paraId="139CE7E0" w14:textId="41C097D2" w:rsidR="00E8776E" w:rsidRPr="00682B31" w:rsidRDefault="00E8776E" w:rsidP="00E8776E">
      <w:pPr>
        <w:tabs>
          <w:tab w:val="left" w:pos="7020"/>
        </w:tabs>
        <w:rPr>
          <w:rFonts w:cs="Arial"/>
          <w:sz w:val="22"/>
          <w:szCs w:val="22"/>
        </w:rPr>
      </w:pPr>
    </w:p>
    <w:p w14:paraId="05782DFB" w14:textId="77777777" w:rsidR="00354A9C" w:rsidRPr="00682B31" w:rsidRDefault="00354A9C" w:rsidP="00922791">
      <w:pPr>
        <w:tabs>
          <w:tab w:val="left" w:pos="7020"/>
        </w:tabs>
        <w:rPr>
          <w:rFonts w:cs="Arial"/>
          <w:sz w:val="22"/>
          <w:szCs w:val="22"/>
        </w:rPr>
      </w:pPr>
    </w:p>
    <w:p w14:paraId="6E88B319" w14:textId="77777777" w:rsidR="0052082F" w:rsidRPr="00682B31" w:rsidRDefault="0052082F" w:rsidP="00354A9C">
      <w:pPr>
        <w:rPr>
          <w:rFonts w:cs="Arial"/>
          <w:sz w:val="22"/>
          <w:szCs w:val="22"/>
        </w:rPr>
      </w:pPr>
    </w:p>
    <w:p w14:paraId="0D4BB9C6" w14:textId="77777777" w:rsidR="00EB0307" w:rsidRPr="00EB0307" w:rsidRDefault="00EB0307" w:rsidP="00EB0307">
      <w:pPr>
        <w:kinsoku w:val="0"/>
        <w:overflowPunct w:val="0"/>
        <w:jc w:val="center"/>
        <w:rPr>
          <w:b/>
          <w:sz w:val="22"/>
          <w:szCs w:val="22"/>
        </w:rPr>
      </w:pPr>
      <w:r w:rsidRPr="00EB0307">
        <w:rPr>
          <w:b/>
          <w:sz w:val="22"/>
          <w:szCs w:val="22"/>
        </w:rPr>
        <w:t xml:space="preserve">REVISION OF THE TEMPLATE AND GUIDELINES FOR THE DRAFTING OF </w:t>
      </w:r>
    </w:p>
    <w:p w14:paraId="2D22A5CA" w14:textId="77777777" w:rsidR="00EB0307" w:rsidRPr="003F58EE" w:rsidRDefault="00EB0307" w:rsidP="00EB0307">
      <w:pPr>
        <w:kinsoku w:val="0"/>
        <w:overflowPunct w:val="0"/>
        <w:jc w:val="center"/>
        <w:rPr>
          <w:b/>
        </w:rPr>
      </w:pPr>
      <w:r w:rsidRPr="00EB0307">
        <w:rPr>
          <w:b/>
          <w:sz w:val="22"/>
          <w:szCs w:val="22"/>
        </w:rPr>
        <w:t>PROPOSALS</w:t>
      </w:r>
      <w:r>
        <w:rPr>
          <w:b/>
          <w:sz w:val="22"/>
          <w:szCs w:val="22"/>
        </w:rPr>
        <w:t xml:space="preserve"> FOR THE AMENDMENT OF THE APPENDICES</w:t>
      </w:r>
    </w:p>
    <w:p w14:paraId="253F0D74" w14:textId="77777777" w:rsidR="00B64904" w:rsidRPr="00420040" w:rsidRDefault="00B64904" w:rsidP="00056DC1">
      <w:pPr>
        <w:pStyle w:val="Heading2"/>
        <w:keepNext w:val="0"/>
        <w:ind w:left="-90" w:right="-367"/>
        <w:jc w:val="center"/>
        <w:rPr>
          <w:rFonts w:cs="Arial"/>
          <w:sz w:val="22"/>
          <w:szCs w:val="22"/>
          <w:lang w:val="en-GB"/>
        </w:rPr>
      </w:pPr>
    </w:p>
    <w:p w14:paraId="7EF3D129" w14:textId="77777777" w:rsidR="00593736" w:rsidRPr="004D0936" w:rsidRDefault="00593736" w:rsidP="00593736">
      <w:pPr>
        <w:rPr>
          <w:sz w:val="8"/>
          <w:szCs w:val="8"/>
          <w:lang w:val="en-GB"/>
        </w:rPr>
      </w:pPr>
    </w:p>
    <w:p w14:paraId="6AAC10AC" w14:textId="77777777" w:rsidR="00B64904" w:rsidRDefault="00B64904" w:rsidP="00B64904">
      <w:pPr>
        <w:jc w:val="center"/>
        <w:rPr>
          <w:rFonts w:cs="Arial"/>
          <w:i/>
          <w:sz w:val="22"/>
          <w:szCs w:val="22"/>
          <w:lang w:val="en-GB"/>
        </w:rPr>
      </w:pPr>
      <w:r w:rsidRPr="00420040">
        <w:rPr>
          <w:rFonts w:cs="Arial"/>
          <w:i/>
          <w:sz w:val="22"/>
          <w:szCs w:val="22"/>
          <w:lang w:val="en-GB"/>
        </w:rPr>
        <w:t>(</w:t>
      </w:r>
      <w:r w:rsidR="00F11793" w:rsidRPr="00EB0307">
        <w:rPr>
          <w:rFonts w:cs="Arial"/>
          <w:i/>
          <w:sz w:val="22"/>
          <w:szCs w:val="22"/>
          <w:lang w:val="en-GB"/>
        </w:rPr>
        <w:t>P</w:t>
      </w:r>
      <w:r w:rsidR="0079075D" w:rsidRPr="00EB0307">
        <w:rPr>
          <w:rFonts w:cs="Arial"/>
          <w:i/>
          <w:sz w:val="22"/>
          <w:szCs w:val="22"/>
          <w:lang w:val="en-GB"/>
        </w:rPr>
        <w:t xml:space="preserve">repared by </w:t>
      </w:r>
      <w:r w:rsidR="00870FB9" w:rsidRPr="00EB0307">
        <w:rPr>
          <w:rFonts w:cs="Arial"/>
          <w:i/>
          <w:sz w:val="22"/>
          <w:szCs w:val="22"/>
          <w:lang w:val="en-GB"/>
        </w:rPr>
        <w:t>the Secretariat</w:t>
      </w:r>
      <w:r w:rsidRPr="00420040">
        <w:rPr>
          <w:rFonts w:cs="Arial"/>
          <w:i/>
          <w:sz w:val="22"/>
          <w:szCs w:val="22"/>
          <w:lang w:val="en-GB"/>
        </w:rPr>
        <w:t>)</w:t>
      </w:r>
      <w:r w:rsidR="00497E66">
        <w:rPr>
          <w:rFonts w:cs="Arial"/>
          <w:i/>
          <w:sz w:val="22"/>
          <w:szCs w:val="22"/>
          <w:lang w:val="en-GB"/>
        </w:rPr>
        <w:t xml:space="preserve"> </w:t>
      </w:r>
    </w:p>
    <w:p w14:paraId="66087D36" w14:textId="77777777" w:rsidR="00870FB9" w:rsidRPr="004D0936" w:rsidRDefault="00870FB9" w:rsidP="00870FB9">
      <w:pPr>
        <w:rPr>
          <w:sz w:val="8"/>
          <w:szCs w:val="8"/>
          <w:lang w:val="en-GB"/>
        </w:rPr>
      </w:pPr>
    </w:p>
    <w:p w14:paraId="6EB85B94" w14:textId="77777777" w:rsidR="00870FB9" w:rsidRPr="00420040" w:rsidRDefault="00870FB9" w:rsidP="00B64904">
      <w:pPr>
        <w:jc w:val="center"/>
        <w:rPr>
          <w:rFonts w:cs="Arial"/>
          <w:i/>
          <w:sz w:val="22"/>
          <w:szCs w:val="22"/>
          <w:lang w:val="en-GB"/>
        </w:rPr>
      </w:pPr>
    </w:p>
    <w:p w14:paraId="319E2A3D" w14:textId="77777777" w:rsidR="001764E6" w:rsidRPr="00C169ED" w:rsidRDefault="001764E6" w:rsidP="001764E6">
      <w:pPr>
        <w:jc w:val="both"/>
        <w:rPr>
          <w:rFonts w:cs="Arial"/>
          <w:sz w:val="21"/>
          <w:szCs w:val="21"/>
          <w:lang w:val="en-GB"/>
        </w:rPr>
      </w:pPr>
    </w:p>
    <w:p w14:paraId="1BC7282D" w14:textId="77777777" w:rsidR="001764E6" w:rsidRPr="00C169ED" w:rsidRDefault="001764E6" w:rsidP="00D605A4">
      <w:pPr>
        <w:tabs>
          <w:tab w:val="left" w:pos="8295"/>
        </w:tabs>
        <w:jc w:val="both"/>
        <w:rPr>
          <w:rFonts w:cs="Arial"/>
          <w:sz w:val="21"/>
          <w:szCs w:val="21"/>
        </w:rPr>
      </w:pPr>
    </w:p>
    <w:p w14:paraId="425CFACC"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5197D801" wp14:editId="73CCC13D">
                <wp:simplePos x="0" y="0"/>
                <wp:positionH relativeFrom="column">
                  <wp:posOffset>780415</wp:posOffset>
                </wp:positionH>
                <wp:positionV relativeFrom="paragraph">
                  <wp:posOffset>145415</wp:posOffset>
                </wp:positionV>
                <wp:extent cx="4305300" cy="38576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857625"/>
                        </a:xfrm>
                        <a:prstGeom prst="rect">
                          <a:avLst/>
                        </a:prstGeom>
                        <a:solidFill>
                          <a:srgbClr val="FFFFFF"/>
                        </a:solidFill>
                        <a:ln w="3175">
                          <a:solidFill>
                            <a:srgbClr val="000000"/>
                          </a:solidFill>
                          <a:miter lim="800000"/>
                          <a:headEnd/>
                          <a:tailEnd/>
                        </a:ln>
                      </wps:spPr>
                      <wps:txbx>
                        <w:txbxContent>
                          <w:p w14:paraId="27F18850" w14:textId="77777777" w:rsidR="00E475D4" w:rsidRPr="00420040" w:rsidRDefault="00E475D4" w:rsidP="00E475D4">
                            <w:pPr>
                              <w:rPr>
                                <w:rFonts w:cs="Arial"/>
                                <w:sz w:val="22"/>
                                <w:szCs w:val="22"/>
                              </w:rPr>
                            </w:pPr>
                            <w:r w:rsidRPr="00420040">
                              <w:rPr>
                                <w:rFonts w:cs="Arial"/>
                                <w:sz w:val="22"/>
                                <w:szCs w:val="22"/>
                              </w:rPr>
                              <w:t>Summary:</w:t>
                            </w:r>
                          </w:p>
                          <w:p w14:paraId="7807237A" w14:textId="77777777" w:rsidR="00F11793" w:rsidRDefault="00F11793" w:rsidP="00E8776E">
                            <w:pPr>
                              <w:rPr>
                                <w:rFonts w:cs="Arial"/>
                                <w:i/>
                                <w:sz w:val="22"/>
                                <w:szCs w:val="22"/>
                                <w:lang w:val="en-GB"/>
                              </w:rPr>
                            </w:pPr>
                          </w:p>
                          <w:p w14:paraId="44E8E4EC" w14:textId="55CCA3D7" w:rsidR="00EB0307" w:rsidRPr="00EB0307" w:rsidRDefault="00EB0307" w:rsidP="00EB0307">
                            <w:pPr>
                              <w:jc w:val="both"/>
                              <w:rPr>
                                <w:sz w:val="22"/>
                                <w:szCs w:val="22"/>
                              </w:rPr>
                            </w:pPr>
                            <w:r w:rsidRPr="00EB0307">
                              <w:rPr>
                                <w:sz w:val="22"/>
                                <w:szCs w:val="22"/>
                              </w:rPr>
                              <w:t xml:space="preserve">Through </w:t>
                            </w:r>
                            <w:hyperlink r:id="rId9" w:history="1">
                              <w:r w:rsidRPr="00EB0307">
                                <w:rPr>
                                  <w:rStyle w:val="Hyperlink"/>
                                  <w:sz w:val="22"/>
                                  <w:szCs w:val="22"/>
                                </w:rPr>
                                <w:t>Res</w:t>
                              </w:r>
                              <w:r w:rsidR="003967E2">
                                <w:rPr>
                                  <w:rStyle w:val="Hyperlink"/>
                                  <w:sz w:val="22"/>
                                  <w:szCs w:val="22"/>
                                </w:rPr>
                                <w:t>olution</w:t>
                              </w:r>
                              <w:r w:rsidR="00E36CA1">
                                <w:rPr>
                                  <w:rStyle w:val="Hyperlink"/>
                                  <w:sz w:val="22"/>
                                  <w:szCs w:val="22"/>
                                </w:rPr>
                                <w:t xml:space="preserve"> </w:t>
                              </w:r>
                              <w:r w:rsidRPr="00EB0307">
                                <w:rPr>
                                  <w:rStyle w:val="Hyperlink"/>
                                  <w:sz w:val="22"/>
                                  <w:szCs w:val="22"/>
                                </w:rPr>
                                <w:t>11.33</w:t>
                              </w:r>
                            </w:hyperlink>
                            <w:r w:rsidRPr="00EB0307">
                              <w:rPr>
                                <w:sz w:val="22"/>
                                <w:szCs w:val="22"/>
                              </w:rPr>
                              <w:t xml:space="preserve"> </w:t>
                            </w:r>
                            <w:r w:rsidRPr="00EB0307">
                              <w:rPr>
                                <w:i/>
                                <w:sz w:val="22"/>
                                <w:szCs w:val="22"/>
                              </w:rPr>
                              <w:t xml:space="preserve">Guidelines for </w:t>
                            </w:r>
                            <w:r w:rsidR="0007246E">
                              <w:rPr>
                                <w:i/>
                                <w:sz w:val="22"/>
                                <w:szCs w:val="22"/>
                              </w:rPr>
                              <w:t>A</w:t>
                            </w:r>
                            <w:r w:rsidR="0007246E" w:rsidRPr="00EB0307">
                              <w:rPr>
                                <w:i/>
                                <w:sz w:val="22"/>
                                <w:szCs w:val="22"/>
                              </w:rPr>
                              <w:t xml:space="preserve">ssessing </w:t>
                            </w:r>
                            <w:r w:rsidR="0007246E">
                              <w:rPr>
                                <w:i/>
                                <w:sz w:val="22"/>
                                <w:szCs w:val="22"/>
                              </w:rPr>
                              <w:t>L</w:t>
                            </w:r>
                            <w:r w:rsidRPr="00EB0307">
                              <w:rPr>
                                <w:i/>
                                <w:sz w:val="22"/>
                                <w:szCs w:val="22"/>
                              </w:rPr>
                              <w:t xml:space="preserve">isting </w:t>
                            </w:r>
                            <w:r w:rsidR="0007246E">
                              <w:rPr>
                                <w:i/>
                                <w:sz w:val="22"/>
                                <w:szCs w:val="22"/>
                              </w:rPr>
                              <w:t>P</w:t>
                            </w:r>
                            <w:r w:rsidRPr="00EB0307">
                              <w:rPr>
                                <w:i/>
                                <w:sz w:val="22"/>
                                <w:szCs w:val="22"/>
                              </w:rPr>
                              <w:t>roposals to Appendices I and II of the Convention,</w:t>
                            </w:r>
                            <w:r w:rsidRPr="00EB0307">
                              <w:rPr>
                                <w:sz w:val="22"/>
                                <w:szCs w:val="22"/>
                              </w:rPr>
                              <w:t xml:space="preserve"> </w:t>
                            </w:r>
                            <w:r w:rsidR="005B2E6F">
                              <w:rPr>
                                <w:sz w:val="22"/>
                                <w:szCs w:val="22"/>
                              </w:rPr>
                              <w:t xml:space="preserve">the </w:t>
                            </w:r>
                            <w:r w:rsidRPr="00EB0307">
                              <w:rPr>
                                <w:sz w:val="22"/>
                                <w:szCs w:val="22"/>
                              </w:rPr>
                              <w:t>C</w:t>
                            </w:r>
                            <w:r w:rsidR="005B2E6F">
                              <w:rPr>
                                <w:sz w:val="22"/>
                                <w:szCs w:val="22"/>
                              </w:rPr>
                              <w:t>onference of the Parties at its ele</w:t>
                            </w:r>
                            <w:bookmarkStart w:id="0" w:name="_GoBack"/>
                            <w:bookmarkEnd w:id="0"/>
                            <w:r w:rsidR="005B2E6F">
                              <w:rPr>
                                <w:sz w:val="22"/>
                                <w:szCs w:val="22"/>
                              </w:rPr>
                              <w:t>venth meeting</w:t>
                            </w:r>
                            <w:r w:rsidRPr="00EB0307">
                              <w:rPr>
                                <w:sz w:val="22"/>
                                <w:szCs w:val="22"/>
                              </w:rPr>
                              <w:t xml:space="preserve"> instructed</w:t>
                            </w:r>
                            <w:r w:rsidRPr="00EB0307">
                              <w:rPr>
                                <w:rFonts w:eastAsia="Calibri"/>
                                <w:spacing w:val="-4"/>
                                <w:sz w:val="22"/>
                                <w:szCs w:val="22"/>
                              </w:rPr>
                              <w:t xml:space="preserve"> the CMS Scientific Council and the Secretariat to </w:t>
                            </w:r>
                            <w:r w:rsidRPr="00EB0307">
                              <w:rPr>
                                <w:rFonts w:eastAsia="Calibri"/>
                                <w:bCs/>
                                <w:spacing w:val="-4"/>
                                <w:sz w:val="22"/>
                                <w:szCs w:val="22"/>
                              </w:rPr>
                              <w:t xml:space="preserve">update </w:t>
                            </w:r>
                            <w:hyperlink r:id="rId10" w:history="1">
                              <w:r w:rsidRPr="00EB0307">
                                <w:rPr>
                                  <w:rStyle w:val="Hyperlink"/>
                                  <w:bCs/>
                                  <w:spacing w:val="-4"/>
                                  <w:sz w:val="22"/>
                                  <w:szCs w:val="22"/>
                                </w:rPr>
                                <w:t>Res</w:t>
                              </w:r>
                              <w:r w:rsidR="003967E2">
                                <w:rPr>
                                  <w:rStyle w:val="Hyperlink"/>
                                  <w:bCs/>
                                  <w:spacing w:val="-4"/>
                                  <w:sz w:val="22"/>
                                  <w:szCs w:val="22"/>
                                </w:rPr>
                                <w:t>olution</w:t>
                              </w:r>
                              <w:r w:rsidR="00E36CA1">
                                <w:rPr>
                                  <w:rStyle w:val="Hyperlink"/>
                                  <w:bCs/>
                                  <w:spacing w:val="-4"/>
                                  <w:sz w:val="22"/>
                                  <w:szCs w:val="22"/>
                                </w:rPr>
                                <w:t xml:space="preserve"> </w:t>
                              </w:r>
                              <w:r w:rsidRPr="00EB0307">
                                <w:rPr>
                                  <w:rStyle w:val="Hyperlink"/>
                                  <w:bCs/>
                                  <w:spacing w:val="-4"/>
                                  <w:sz w:val="22"/>
                                  <w:szCs w:val="22"/>
                                </w:rPr>
                                <w:t>1.5</w:t>
                              </w:r>
                            </w:hyperlink>
                            <w:r w:rsidRPr="00EB0307">
                              <w:rPr>
                                <w:rFonts w:eastAsia="Calibri"/>
                                <w:bCs/>
                                <w:spacing w:val="-4"/>
                                <w:sz w:val="22"/>
                                <w:szCs w:val="22"/>
                              </w:rPr>
                              <w:t xml:space="preserve"> by </w:t>
                            </w:r>
                            <w:r w:rsidRPr="00EB0307">
                              <w:rPr>
                                <w:rFonts w:eastAsia="Calibri"/>
                                <w:spacing w:val="-4"/>
                                <w:sz w:val="22"/>
                                <w:szCs w:val="22"/>
                              </w:rPr>
                              <w:t>developing a new template and guidelines for the drafting of listing proposals</w:t>
                            </w:r>
                            <w:r w:rsidRPr="00EB0307">
                              <w:rPr>
                                <w:rFonts w:eastAsia="Calibri"/>
                                <w:bCs/>
                                <w:spacing w:val="-4"/>
                                <w:sz w:val="22"/>
                                <w:szCs w:val="22"/>
                              </w:rPr>
                              <w:t xml:space="preserve"> in line with the resolution.</w:t>
                            </w:r>
                          </w:p>
                          <w:p w14:paraId="35A31743" w14:textId="77777777" w:rsidR="00EB0307" w:rsidRDefault="00EB0307" w:rsidP="00EB0307">
                            <w:pPr>
                              <w:rPr>
                                <w:rFonts w:cs="Arial"/>
                                <w:i/>
                                <w:sz w:val="22"/>
                                <w:szCs w:val="22"/>
                                <w:lang w:val="en-GB"/>
                              </w:rPr>
                            </w:pPr>
                          </w:p>
                          <w:p w14:paraId="4CC043E6" w14:textId="3966E38D" w:rsidR="00B735E1" w:rsidRDefault="00EB0307" w:rsidP="00B735E1">
                            <w:pPr>
                              <w:jc w:val="both"/>
                              <w:rPr>
                                <w:rFonts w:cs="Arial"/>
                                <w:sz w:val="22"/>
                                <w:szCs w:val="22"/>
                                <w:lang w:val="en-GB"/>
                              </w:rPr>
                            </w:pPr>
                            <w:r>
                              <w:rPr>
                                <w:rFonts w:cs="Arial"/>
                                <w:sz w:val="22"/>
                                <w:szCs w:val="22"/>
                                <w:lang w:val="en-GB"/>
                              </w:rPr>
                              <w:t>A revised template and guidelines have been developed by the Scientific Council and the Secretariat, and have been approved by the Standing Committee at its 45</w:t>
                            </w:r>
                            <w:r w:rsidRPr="00EB0307">
                              <w:rPr>
                                <w:rFonts w:cs="Arial"/>
                                <w:sz w:val="22"/>
                                <w:szCs w:val="22"/>
                                <w:vertAlign w:val="superscript"/>
                                <w:lang w:val="en-GB"/>
                              </w:rPr>
                              <w:t>th</w:t>
                            </w:r>
                            <w:r>
                              <w:rPr>
                                <w:rFonts w:cs="Arial"/>
                                <w:sz w:val="22"/>
                                <w:szCs w:val="22"/>
                                <w:lang w:val="en-GB"/>
                              </w:rPr>
                              <w:t xml:space="preserve"> meeting </w:t>
                            </w:r>
                            <w:r w:rsidR="0007246E">
                              <w:rPr>
                                <w:rFonts w:cs="Arial"/>
                                <w:sz w:val="22"/>
                                <w:szCs w:val="22"/>
                                <w:lang w:val="en-GB"/>
                              </w:rPr>
                              <w:t xml:space="preserve">(StC45) </w:t>
                            </w:r>
                            <w:r>
                              <w:rPr>
                                <w:rFonts w:cs="Arial"/>
                                <w:sz w:val="22"/>
                                <w:szCs w:val="22"/>
                                <w:lang w:val="en-GB"/>
                              </w:rPr>
                              <w:t xml:space="preserve">for use in the submission of proposals of amendments to the Appendices to </w:t>
                            </w:r>
                            <w:r w:rsidR="005B2E6F">
                              <w:rPr>
                                <w:rFonts w:cs="Arial"/>
                                <w:sz w:val="22"/>
                                <w:szCs w:val="22"/>
                                <w:lang w:val="en-GB"/>
                              </w:rPr>
                              <w:t>the Conference of the Parties at its 12</w:t>
                            </w:r>
                            <w:r w:rsidR="005B2E6F" w:rsidRPr="005B2E6F">
                              <w:rPr>
                                <w:rFonts w:cs="Arial"/>
                                <w:sz w:val="22"/>
                                <w:szCs w:val="22"/>
                                <w:vertAlign w:val="superscript"/>
                                <w:lang w:val="en-GB"/>
                              </w:rPr>
                              <w:t>th</w:t>
                            </w:r>
                            <w:r w:rsidR="005B2E6F">
                              <w:rPr>
                                <w:rFonts w:cs="Arial"/>
                                <w:sz w:val="22"/>
                                <w:szCs w:val="22"/>
                                <w:lang w:val="en-GB"/>
                              </w:rPr>
                              <w:t xml:space="preserve"> meeting (</w:t>
                            </w:r>
                            <w:r>
                              <w:rPr>
                                <w:rFonts w:cs="Arial"/>
                                <w:sz w:val="22"/>
                                <w:szCs w:val="22"/>
                                <w:lang w:val="en-GB"/>
                              </w:rPr>
                              <w:t>COP12</w:t>
                            </w:r>
                            <w:r w:rsidR="005B2E6F">
                              <w:rPr>
                                <w:rFonts w:cs="Arial"/>
                                <w:sz w:val="22"/>
                                <w:szCs w:val="22"/>
                                <w:lang w:val="en-GB"/>
                              </w:rPr>
                              <w:t>)</w:t>
                            </w:r>
                            <w:r>
                              <w:rPr>
                                <w:rFonts w:cs="Arial"/>
                                <w:sz w:val="22"/>
                                <w:szCs w:val="22"/>
                                <w:lang w:val="en-GB"/>
                              </w:rPr>
                              <w:t>.</w:t>
                            </w:r>
                            <w:r w:rsidR="00B735E1">
                              <w:rPr>
                                <w:rFonts w:cs="Arial"/>
                                <w:sz w:val="22"/>
                                <w:szCs w:val="22"/>
                                <w:lang w:val="en-GB"/>
                              </w:rPr>
                              <w:t xml:space="preserve"> </w:t>
                            </w:r>
                          </w:p>
                          <w:p w14:paraId="06F9B13D" w14:textId="77777777" w:rsidR="00B735E1" w:rsidRDefault="00B735E1" w:rsidP="00B735E1">
                            <w:pPr>
                              <w:jc w:val="both"/>
                              <w:rPr>
                                <w:rFonts w:cs="Arial"/>
                                <w:sz w:val="22"/>
                                <w:szCs w:val="22"/>
                                <w:lang w:val="en-GB"/>
                              </w:rPr>
                            </w:pPr>
                          </w:p>
                          <w:p w14:paraId="34112D1B" w14:textId="26FBD186" w:rsidR="00870FB9" w:rsidRPr="00870FB9" w:rsidRDefault="00B735E1" w:rsidP="00B735E1">
                            <w:pPr>
                              <w:jc w:val="both"/>
                              <w:rPr>
                                <w:rFonts w:cs="Arial"/>
                                <w:i/>
                                <w:sz w:val="22"/>
                                <w:szCs w:val="22"/>
                                <w:lang w:val="en-GB"/>
                              </w:rPr>
                            </w:pPr>
                            <w:r>
                              <w:rPr>
                                <w:rFonts w:cs="Arial"/>
                                <w:sz w:val="22"/>
                                <w:szCs w:val="22"/>
                                <w:lang w:val="en-GB"/>
                              </w:rPr>
                              <w:t xml:space="preserve">The template as approved by StC45 is submitted to COP12 for confirmation of its use in the submission of proposals of amendments to subsequent meetings of the </w:t>
                            </w:r>
                            <w:r w:rsidR="005B2E6F">
                              <w:rPr>
                                <w:rFonts w:cs="Arial"/>
                                <w:sz w:val="22"/>
                                <w:szCs w:val="22"/>
                                <w:lang w:val="en-GB"/>
                              </w:rPr>
                              <w:t>Conference of the Parties</w:t>
                            </w:r>
                            <w:r>
                              <w:rPr>
                                <w:rFonts w:cs="Arial"/>
                                <w:sz w:val="22"/>
                                <w:szCs w:val="22"/>
                                <w:lang w:val="en-GB"/>
                              </w:rPr>
                              <w:t>, and possible inclusion in Resolution 11.33 as an annex.</w:t>
                            </w:r>
                          </w:p>
                          <w:p w14:paraId="11FC2447" w14:textId="77777777" w:rsidR="00E8776E" w:rsidRDefault="00E8776E" w:rsidP="00E475D4">
                            <w:pPr>
                              <w:rPr>
                                <w:rFonts w:cs="Arial"/>
                                <w:sz w:val="21"/>
                                <w:szCs w:val="21"/>
                              </w:rPr>
                            </w:pPr>
                          </w:p>
                          <w:p w14:paraId="11086581" w14:textId="777CFFCF" w:rsidR="00D46C91" w:rsidRPr="001F6DAC" w:rsidRDefault="00D46C91" w:rsidP="00D46C91">
                            <w:pPr>
                              <w:tabs>
                                <w:tab w:val="left" w:pos="5040"/>
                                <w:tab w:val="left" w:pos="5760"/>
                                <w:tab w:val="left" w:pos="6008"/>
                                <w:tab w:val="left" w:pos="6480"/>
                                <w:tab w:val="left" w:pos="7200"/>
                                <w:tab w:val="left" w:pos="7920"/>
                                <w:tab w:val="left" w:pos="8640"/>
                              </w:tabs>
                              <w:rPr>
                                <w:rFonts w:cs="Arial"/>
                                <w:sz w:val="22"/>
                                <w:szCs w:val="22"/>
                                <w:lang w:val="en-GB"/>
                              </w:rPr>
                            </w:pPr>
                            <w:r w:rsidRPr="00B735E1">
                              <w:rPr>
                                <w:rFonts w:cs="Arial"/>
                                <w:sz w:val="22"/>
                                <w:szCs w:val="22"/>
                              </w:rPr>
                              <w:t xml:space="preserve">This document should be read in conjunction with </w:t>
                            </w:r>
                            <w:r w:rsidR="00B735E1" w:rsidRPr="00B735E1">
                              <w:rPr>
                                <w:rFonts w:cs="Arial"/>
                                <w:sz w:val="22"/>
                                <w:szCs w:val="22"/>
                              </w:rPr>
                              <w:t xml:space="preserve">document </w:t>
                            </w:r>
                            <w:r w:rsidRPr="00B735E1">
                              <w:rPr>
                                <w:rFonts w:cs="Arial"/>
                                <w:sz w:val="22"/>
                                <w:szCs w:val="22"/>
                                <w:lang w:val="en-GB"/>
                              </w:rPr>
                              <w:t>UNEP/CMS/COP12/Doc.21.</w:t>
                            </w:r>
                            <w:r w:rsidR="00B735E1" w:rsidRPr="00B735E1">
                              <w:rPr>
                                <w:rFonts w:cs="Arial"/>
                                <w:sz w:val="22"/>
                                <w:szCs w:val="22"/>
                                <w:lang w:val="en-GB"/>
                              </w:rPr>
                              <w:t>1.35</w:t>
                            </w:r>
                            <w:r w:rsidR="00196514">
                              <w:rPr>
                                <w:rFonts w:cs="Arial"/>
                                <w:sz w:val="22"/>
                                <w:szCs w:val="22"/>
                                <w:lang w:val="en-GB"/>
                              </w:rPr>
                              <w:t xml:space="preserve"> </w:t>
                            </w:r>
                            <w:r w:rsidR="00196514" w:rsidRPr="00EB6BDB">
                              <w:rPr>
                                <w:rFonts w:cs="Arial"/>
                                <w:sz w:val="22"/>
                                <w:szCs w:val="22"/>
                                <w:lang w:val="en-GB"/>
                              </w:rPr>
                              <w:t xml:space="preserve">concerning resolutions to be </w:t>
                            </w:r>
                            <w:r w:rsidR="00196514">
                              <w:rPr>
                                <w:rFonts w:cs="Arial"/>
                                <w:sz w:val="22"/>
                                <w:szCs w:val="22"/>
                                <w:lang w:val="en-GB"/>
                              </w:rPr>
                              <w:t>repealed in part</w:t>
                            </w:r>
                            <w:r w:rsidR="00196514" w:rsidRPr="00EB6BDB">
                              <w:rPr>
                                <w:rFonts w:cs="Arial"/>
                                <w:sz w:val="22"/>
                                <w:szCs w:val="22"/>
                                <w:lang w:val="en-GB"/>
                              </w:rPr>
                              <w:t>.</w:t>
                            </w:r>
                          </w:p>
                          <w:p w14:paraId="0A2AB1B3" w14:textId="77777777" w:rsidR="00D107A3" w:rsidRDefault="00D107A3" w:rsidP="00ED477B">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7D801" id="_x0000_t202" coordsize="21600,21600" o:spt="202" path="m,l,21600r21600,l21600,xe">
                <v:stroke joinstyle="miter"/>
                <v:path gradientshapeok="t" o:connecttype="rect"/>
              </v:shapetype>
              <v:shape id="Text Box 4" o:spid="_x0000_s1026" type="#_x0000_t202" style="position:absolute;margin-left:61.45pt;margin-top:11.45pt;width:339pt;height:30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" strokeweight=".25pt">
                <v:textbox>
                  <w:txbxContent>
                    <w:p w14:paraId="27F18850" w14:textId="77777777" w:rsidR="00E475D4" w:rsidRPr="00420040" w:rsidRDefault="00E475D4" w:rsidP="00E475D4">
                      <w:pPr>
                        <w:rPr>
                          <w:rFonts w:cs="Arial"/>
                          <w:sz w:val="22"/>
                          <w:szCs w:val="22"/>
                        </w:rPr>
                      </w:pPr>
                      <w:r w:rsidRPr="00420040">
                        <w:rPr>
                          <w:rFonts w:cs="Arial"/>
                          <w:sz w:val="22"/>
                          <w:szCs w:val="22"/>
                        </w:rPr>
                        <w:t>Summary:</w:t>
                      </w:r>
                    </w:p>
                    <w:p w14:paraId="7807237A" w14:textId="77777777" w:rsidR="00F11793" w:rsidRDefault="00F11793" w:rsidP="00E8776E">
                      <w:pPr>
                        <w:rPr>
                          <w:rFonts w:cs="Arial"/>
                          <w:i/>
                          <w:sz w:val="22"/>
                          <w:szCs w:val="22"/>
                          <w:lang w:val="en-GB"/>
                        </w:rPr>
                      </w:pPr>
                    </w:p>
                    <w:p w14:paraId="44E8E4EC" w14:textId="55CCA3D7" w:rsidR="00EB0307" w:rsidRPr="00EB0307" w:rsidRDefault="00EB0307" w:rsidP="00EB0307">
                      <w:pPr>
                        <w:jc w:val="both"/>
                        <w:rPr>
                          <w:sz w:val="22"/>
                          <w:szCs w:val="22"/>
                        </w:rPr>
                      </w:pPr>
                      <w:r w:rsidRPr="00EB0307">
                        <w:rPr>
                          <w:sz w:val="22"/>
                          <w:szCs w:val="22"/>
                        </w:rPr>
                        <w:t xml:space="preserve">Through </w:t>
                      </w:r>
                      <w:hyperlink r:id="rId11" w:history="1">
                        <w:r w:rsidRPr="00EB0307">
                          <w:rPr>
                            <w:rStyle w:val="Hyperlink"/>
                            <w:sz w:val="22"/>
                            <w:szCs w:val="22"/>
                          </w:rPr>
                          <w:t>Res</w:t>
                        </w:r>
                        <w:r w:rsidR="003967E2">
                          <w:rPr>
                            <w:rStyle w:val="Hyperlink"/>
                            <w:sz w:val="22"/>
                            <w:szCs w:val="22"/>
                          </w:rPr>
                          <w:t>olution</w:t>
                        </w:r>
                        <w:r w:rsidR="00E36CA1">
                          <w:rPr>
                            <w:rStyle w:val="Hyperlink"/>
                            <w:sz w:val="22"/>
                            <w:szCs w:val="22"/>
                          </w:rPr>
                          <w:t xml:space="preserve"> </w:t>
                        </w:r>
                        <w:r w:rsidRPr="00EB0307">
                          <w:rPr>
                            <w:rStyle w:val="Hyperlink"/>
                            <w:sz w:val="22"/>
                            <w:szCs w:val="22"/>
                          </w:rPr>
                          <w:t>11.33</w:t>
                        </w:r>
                      </w:hyperlink>
                      <w:r w:rsidRPr="00EB0307">
                        <w:rPr>
                          <w:sz w:val="22"/>
                          <w:szCs w:val="22"/>
                        </w:rPr>
                        <w:t xml:space="preserve"> </w:t>
                      </w:r>
                      <w:r w:rsidRPr="00EB0307">
                        <w:rPr>
                          <w:i/>
                          <w:sz w:val="22"/>
                          <w:szCs w:val="22"/>
                        </w:rPr>
                        <w:t xml:space="preserve">Guidelines for </w:t>
                      </w:r>
                      <w:r w:rsidR="0007246E">
                        <w:rPr>
                          <w:i/>
                          <w:sz w:val="22"/>
                          <w:szCs w:val="22"/>
                        </w:rPr>
                        <w:t>A</w:t>
                      </w:r>
                      <w:r w:rsidR="0007246E" w:rsidRPr="00EB0307">
                        <w:rPr>
                          <w:i/>
                          <w:sz w:val="22"/>
                          <w:szCs w:val="22"/>
                        </w:rPr>
                        <w:t xml:space="preserve">ssessing </w:t>
                      </w:r>
                      <w:r w:rsidR="0007246E">
                        <w:rPr>
                          <w:i/>
                          <w:sz w:val="22"/>
                          <w:szCs w:val="22"/>
                        </w:rPr>
                        <w:t>L</w:t>
                      </w:r>
                      <w:r w:rsidRPr="00EB0307">
                        <w:rPr>
                          <w:i/>
                          <w:sz w:val="22"/>
                          <w:szCs w:val="22"/>
                        </w:rPr>
                        <w:t xml:space="preserve">isting </w:t>
                      </w:r>
                      <w:r w:rsidR="0007246E">
                        <w:rPr>
                          <w:i/>
                          <w:sz w:val="22"/>
                          <w:szCs w:val="22"/>
                        </w:rPr>
                        <w:t>P</w:t>
                      </w:r>
                      <w:r w:rsidRPr="00EB0307">
                        <w:rPr>
                          <w:i/>
                          <w:sz w:val="22"/>
                          <w:szCs w:val="22"/>
                        </w:rPr>
                        <w:t>roposals to Appendices I and II of the Convention,</w:t>
                      </w:r>
                      <w:r w:rsidRPr="00EB0307">
                        <w:rPr>
                          <w:sz w:val="22"/>
                          <w:szCs w:val="22"/>
                        </w:rPr>
                        <w:t xml:space="preserve"> </w:t>
                      </w:r>
                      <w:r w:rsidR="005B2E6F">
                        <w:rPr>
                          <w:sz w:val="22"/>
                          <w:szCs w:val="22"/>
                        </w:rPr>
                        <w:t xml:space="preserve">the </w:t>
                      </w:r>
                      <w:r w:rsidRPr="00EB0307">
                        <w:rPr>
                          <w:sz w:val="22"/>
                          <w:szCs w:val="22"/>
                        </w:rPr>
                        <w:t>C</w:t>
                      </w:r>
                      <w:r w:rsidR="005B2E6F">
                        <w:rPr>
                          <w:sz w:val="22"/>
                          <w:szCs w:val="22"/>
                        </w:rPr>
                        <w:t>onference of the Parties at its eleventh meeting</w:t>
                      </w:r>
                      <w:r w:rsidRPr="00EB0307">
                        <w:rPr>
                          <w:sz w:val="22"/>
                          <w:szCs w:val="22"/>
                        </w:rPr>
                        <w:t xml:space="preserve"> instructed</w:t>
                      </w:r>
                      <w:r w:rsidRPr="00EB0307">
                        <w:rPr>
                          <w:rFonts w:eastAsia="Calibri"/>
                          <w:spacing w:val="-4"/>
                          <w:sz w:val="22"/>
                          <w:szCs w:val="22"/>
                        </w:rPr>
                        <w:t xml:space="preserve"> the CMS Scientific Council and the Secretariat to </w:t>
                      </w:r>
                      <w:r w:rsidRPr="00EB0307">
                        <w:rPr>
                          <w:rFonts w:eastAsia="Calibri"/>
                          <w:bCs/>
                          <w:spacing w:val="-4"/>
                          <w:sz w:val="22"/>
                          <w:szCs w:val="22"/>
                        </w:rPr>
                        <w:t xml:space="preserve">update </w:t>
                      </w:r>
                      <w:hyperlink r:id="rId12" w:history="1">
                        <w:r w:rsidRPr="00EB0307">
                          <w:rPr>
                            <w:rStyle w:val="Hyperlink"/>
                            <w:bCs/>
                            <w:spacing w:val="-4"/>
                            <w:sz w:val="22"/>
                            <w:szCs w:val="22"/>
                          </w:rPr>
                          <w:t>Res</w:t>
                        </w:r>
                        <w:r w:rsidR="003967E2">
                          <w:rPr>
                            <w:rStyle w:val="Hyperlink"/>
                            <w:bCs/>
                            <w:spacing w:val="-4"/>
                            <w:sz w:val="22"/>
                            <w:szCs w:val="22"/>
                          </w:rPr>
                          <w:t>olution</w:t>
                        </w:r>
                        <w:r w:rsidR="00E36CA1">
                          <w:rPr>
                            <w:rStyle w:val="Hyperlink"/>
                            <w:bCs/>
                            <w:spacing w:val="-4"/>
                            <w:sz w:val="22"/>
                            <w:szCs w:val="22"/>
                          </w:rPr>
                          <w:t xml:space="preserve"> </w:t>
                        </w:r>
                        <w:r w:rsidRPr="00EB0307">
                          <w:rPr>
                            <w:rStyle w:val="Hyperlink"/>
                            <w:bCs/>
                            <w:spacing w:val="-4"/>
                            <w:sz w:val="22"/>
                            <w:szCs w:val="22"/>
                          </w:rPr>
                          <w:t>1.5</w:t>
                        </w:r>
                      </w:hyperlink>
                      <w:r w:rsidRPr="00EB0307">
                        <w:rPr>
                          <w:rFonts w:eastAsia="Calibri"/>
                          <w:bCs/>
                          <w:spacing w:val="-4"/>
                          <w:sz w:val="22"/>
                          <w:szCs w:val="22"/>
                        </w:rPr>
                        <w:t xml:space="preserve"> by </w:t>
                      </w:r>
                      <w:r w:rsidRPr="00EB0307">
                        <w:rPr>
                          <w:rFonts w:eastAsia="Calibri"/>
                          <w:spacing w:val="-4"/>
                          <w:sz w:val="22"/>
                          <w:szCs w:val="22"/>
                        </w:rPr>
                        <w:t>developing a new template and guidelines for the drafting of listing proposals</w:t>
                      </w:r>
                      <w:r w:rsidRPr="00EB0307">
                        <w:rPr>
                          <w:rFonts w:eastAsia="Calibri"/>
                          <w:bCs/>
                          <w:spacing w:val="-4"/>
                          <w:sz w:val="22"/>
                          <w:szCs w:val="22"/>
                        </w:rPr>
                        <w:t xml:space="preserve"> in line with the resolution.</w:t>
                      </w:r>
                    </w:p>
                    <w:p w14:paraId="35A31743" w14:textId="77777777" w:rsidR="00EB0307" w:rsidRDefault="00EB0307" w:rsidP="00EB0307">
                      <w:pPr>
                        <w:rPr>
                          <w:rFonts w:cs="Arial"/>
                          <w:i/>
                          <w:sz w:val="22"/>
                          <w:szCs w:val="22"/>
                          <w:lang w:val="en-GB"/>
                        </w:rPr>
                      </w:pPr>
                    </w:p>
                    <w:p w14:paraId="4CC043E6" w14:textId="3966E38D" w:rsidR="00B735E1" w:rsidRDefault="00EB0307" w:rsidP="00B735E1">
                      <w:pPr>
                        <w:jc w:val="both"/>
                        <w:rPr>
                          <w:rFonts w:cs="Arial"/>
                          <w:sz w:val="22"/>
                          <w:szCs w:val="22"/>
                          <w:lang w:val="en-GB"/>
                        </w:rPr>
                      </w:pPr>
                      <w:r>
                        <w:rPr>
                          <w:rFonts w:cs="Arial"/>
                          <w:sz w:val="22"/>
                          <w:szCs w:val="22"/>
                          <w:lang w:val="en-GB"/>
                        </w:rPr>
                        <w:t>A revised template and guidelines have been developed by the Scientific Council and the Secretariat, and have been approved by the Standing Committee at its 45</w:t>
                      </w:r>
                      <w:r w:rsidRPr="00EB0307">
                        <w:rPr>
                          <w:rFonts w:cs="Arial"/>
                          <w:sz w:val="22"/>
                          <w:szCs w:val="22"/>
                          <w:vertAlign w:val="superscript"/>
                          <w:lang w:val="en-GB"/>
                        </w:rPr>
                        <w:t>th</w:t>
                      </w:r>
                      <w:r>
                        <w:rPr>
                          <w:rFonts w:cs="Arial"/>
                          <w:sz w:val="22"/>
                          <w:szCs w:val="22"/>
                          <w:lang w:val="en-GB"/>
                        </w:rPr>
                        <w:t xml:space="preserve"> meeting </w:t>
                      </w:r>
                      <w:r w:rsidR="0007246E">
                        <w:rPr>
                          <w:rFonts w:cs="Arial"/>
                          <w:sz w:val="22"/>
                          <w:szCs w:val="22"/>
                          <w:lang w:val="en-GB"/>
                        </w:rPr>
                        <w:t xml:space="preserve">(StC45) </w:t>
                      </w:r>
                      <w:r>
                        <w:rPr>
                          <w:rFonts w:cs="Arial"/>
                          <w:sz w:val="22"/>
                          <w:szCs w:val="22"/>
                          <w:lang w:val="en-GB"/>
                        </w:rPr>
                        <w:t xml:space="preserve">for use in the submission of proposals of amendments to the Appendices to </w:t>
                      </w:r>
                      <w:r w:rsidR="005B2E6F">
                        <w:rPr>
                          <w:rFonts w:cs="Arial"/>
                          <w:sz w:val="22"/>
                          <w:szCs w:val="22"/>
                          <w:lang w:val="en-GB"/>
                        </w:rPr>
                        <w:t>the Conference of the Parties at its 12</w:t>
                      </w:r>
                      <w:r w:rsidR="005B2E6F" w:rsidRPr="005B2E6F">
                        <w:rPr>
                          <w:rFonts w:cs="Arial"/>
                          <w:sz w:val="22"/>
                          <w:szCs w:val="22"/>
                          <w:vertAlign w:val="superscript"/>
                          <w:lang w:val="en-GB"/>
                        </w:rPr>
                        <w:t>th</w:t>
                      </w:r>
                      <w:r w:rsidR="005B2E6F">
                        <w:rPr>
                          <w:rFonts w:cs="Arial"/>
                          <w:sz w:val="22"/>
                          <w:szCs w:val="22"/>
                          <w:lang w:val="en-GB"/>
                        </w:rPr>
                        <w:t xml:space="preserve"> meeting (</w:t>
                      </w:r>
                      <w:r>
                        <w:rPr>
                          <w:rFonts w:cs="Arial"/>
                          <w:sz w:val="22"/>
                          <w:szCs w:val="22"/>
                          <w:lang w:val="en-GB"/>
                        </w:rPr>
                        <w:t>COP12</w:t>
                      </w:r>
                      <w:r w:rsidR="005B2E6F">
                        <w:rPr>
                          <w:rFonts w:cs="Arial"/>
                          <w:sz w:val="22"/>
                          <w:szCs w:val="22"/>
                          <w:lang w:val="en-GB"/>
                        </w:rPr>
                        <w:t>)</w:t>
                      </w:r>
                      <w:r>
                        <w:rPr>
                          <w:rFonts w:cs="Arial"/>
                          <w:sz w:val="22"/>
                          <w:szCs w:val="22"/>
                          <w:lang w:val="en-GB"/>
                        </w:rPr>
                        <w:t>.</w:t>
                      </w:r>
                      <w:r w:rsidR="00B735E1">
                        <w:rPr>
                          <w:rFonts w:cs="Arial"/>
                          <w:sz w:val="22"/>
                          <w:szCs w:val="22"/>
                          <w:lang w:val="en-GB"/>
                        </w:rPr>
                        <w:t xml:space="preserve"> </w:t>
                      </w:r>
                    </w:p>
                    <w:p w14:paraId="06F9B13D" w14:textId="77777777" w:rsidR="00B735E1" w:rsidRDefault="00B735E1" w:rsidP="00B735E1">
                      <w:pPr>
                        <w:jc w:val="both"/>
                        <w:rPr>
                          <w:rFonts w:cs="Arial"/>
                          <w:sz w:val="22"/>
                          <w:szCs w:val="22"/>
                          <w:lang w:val="en-GB"/>
                        </w:rPr>
                      </w:pPr>
                    </w:p>
                    <w:p w14:paraId="34112D1B" w14:textId="26FBD186" w:rsidR="00870FB9" w:rsidRPr="00870FB9" w:rsidRDefault="00B735E1" w:rsidP="00B735E1">
                      <w:pPr>
                        <w:jc w:val="both"/>
                        <w:rPr>
                          <w:rFonts w:cs="Arial"/>
                          <w:i/>
                          <w:sz w:val="22"/>
                          <w:szCs w:val="22"/>
                          <w:lang w:val="en-GB"/>
                        </w:rPr>
                      </w:pPr>
                      <w:r>
                        <w:rPr>
                          <w:rFonts w:cs="Arial"/>
                          <w:sz w:val="22"/>
                          <w:szCs w:val="22"/>
                          <w:lang w:val="en-GB"/>
                        </w:rPr>
                        <w:t xml:space="preserve">The template as approved by StC45 is submitted to COP12 for confirmation of its use in the submission of proposals of amendments to subsequent meetings of the </w:t>
                      </w:r>
                      <w:r w:rsidR="005B2E6F">
                        <w:rPr>
                          <w:rFonts w:cs="Arial"/>
                          <w:sz w:val="22"/>
                          <w:szCs w:val="22"/>
                          <w:lang w:val="en-GB"/>
                        </w:rPr>
                        <w:t>Conference of the Parties</w:t>
                      </w:r>
                      <w:r>
                        <w:rPr>
                          <w:rFonts w:cs="Arial"/>
                          <w:sz w:val="22"/>
                          <w:szCs w:val="22"/>
                          <w:lang w:val="en-GB"/>
                        </w:rPr>
                        <w:t>, and possible inclusion in Resolution 11.33 as an annex.</w:t>
                      </w:r>
                    </w:p>
                    <w:p w14:paraId="11FC2447" w14:textId="77777777" w:rsidR="00E8776E" w:rsidRDefault="00E8776E" w:rsidP="00E475D4">
                      <w:pPr>
                        <w:rPr>
                          <w:rFonts w:cs="Arial"/>
                          <w:sz w:val="21"/>
                          <w:szCs w:val="21"/>
                        </w:rPr>
                      </w:pPr>
                    </w:p>
                    <w:p w14:paraId="11086581" w14:textId="777CFFCF" w:rsidR="00D46C91" w:rsidRPr="001F6DAC" w:rsidRDefault="00D46C91" w:rsidP="00D46C91">
                      <w:pPr>
                        <w:tabs>
                          <w:tab w:val="left" w:pos="5040"/>
                          <w:tab w:val="left" w:pos="5760"/>
                          <w:tab w:val="left" w:pos="6008"/>
                          <w:tab w:val="left" w:pos="6480"/>
                          <w:tab w:val="left" w:pos="7200"/>
                          <w:tab w:val="left" w:pos="7920"/>
                          <w:tab w:val="left" w:pos="8640"/>
                        </w:tabs>
                        <w:rPr>
                          <w:rFonts w:cs="Arial"/>
                          <w:sz w:val="22"/>
                          <w:szCs w:val="22"/>
                          <w:lang w:val="en-GB"/>
                        </w:rPr>
                      </w:pPr>
                      <w:r w:rsidRPr="00B735E1">
                        <w:rPr>
                          <w:rFonts w:cs="Arial"/>
                          <w:sz w:val="22"/>
                          <w:szCs w:val="22"/>
                        </w:rPr>
                        <w:t xml:space="preserve">This document should be read in conjunction with </w:t>
                      </w:r>
                      <w:r w:rsidR="00B735E1" w:rsidRPr="00B735E1">
                        <w:rPr>
                          <w:rFonts w:cs="Arial"/>
                          <w:sz w:val="22"/>
                          <w:szCs w:val="22"/>
                        </w:rPr>
                        <w:t xml:space="preserve">document </w:t>
                      </w:r>
                      <w:r w:rsidRPr="00B735E1">
                        <w:rPr>
                          <w:rFonts w:cs="Arial"/>
                          <w:sz w:val="22"/>
                          <w:szCs w:val="22"/>
                          <w:lang w:val="en-GB"/>
                        </w:rPr>
                        <w:t>UNEP/CMS/COP12/Doc.21.</w:t>
                      </w:r>
                      <w:r w:rsidR="00B735E1" w:rsidRPr="00B735E1">
                        <w:rPr>
                          <w:rFonts w:cs="Arial"/>
                          <w:sz w:val="22"/>
                          <w:szCs w:val="22"/>
                          <w:lang w:val="en-GB"/>
                        </w:rPr>
                        <w:t>1.35</w:t>
                      </w:r>
                      <w:r w:rsidR="00196514">
                        <w:rPr>
                          <w:rFonts w:cs="Arial"/>
                          <w:sz w:val="22"/>
                          <w:szCs w:val="22"/>
                          <w:lang w:val="en-GB"/>
                        </w:rPr>
                        <w:t xml:space="preserve"> </w:t>
                      </w:r>
                      <w:r w:rsidR="00196514" w:rsidRPr="00EB6BDB">
                        <w:rPr>
                          <w:rFonts w:cs="Arial"/>
                          <w:sz w:val="22"/>
                          <w:szCs w:val="22"/>
                          <w:lang w:val="en-GB"/>
                        </w:rPr>
                        <w:t xml:space="preserve">concerning resolutions to be </w:t>
                      </w:r>
                      <w:r w:rsidR="00196514">
                        <w:rPr>
                          <w:rFonts w:cs="Arial"/>
                          <w:sz w:val="22"/>
                          <w:szCs w:val="22"/>
                          <w:lang w:val="en-GB"/>
                        </w:rPr>
                        <w:t>repealed in part</w:t>
                      </w:r>
                      <w:r w:rsidR="00196514" w:rsidRPr="00EB6BDB">
                        <w:rPr>
                          <w:rFonts w:cs="Arial"/>
                          <w:sz w:val="22"/>
                          <w:szCs w:val="22"/>
                          <w:lang w:val="en-GB"/>
                        </w:rPr>
                        <w:t>.</w:t>
                      </w:r>
                    </w:p>
                    <w:p w14:paraId="0A2AB1B3" w14:textId="77777777" w:rsidR="00D107A3" w:rsidRDefault="00D107A3" w:rsidP="00ED477B">
                      <w:pPr>
                        <w:rPr>
                          <w:rFonts w:cs="Arial"/>
                          <w:sz w:val="22"/>
                          <w:szCs w:val="22"/>
                        </w:rPr>
                      </w:pPr>
                    </w:p>
                  </w:txbxContent>
                </v:textbox>
              </v:shape>
            </w:pict>
          </mc:Fallback>
        </mc:AlternateContent>
      </w:r>
    </w:p>
    <w:p w14:paraId="040E43A6" w14:textId="77777777" w:rsidR="00D605A4" w:rsidRPr="00C169ED" w:rsidRDefault="00D605A4" w:rsidP="00D605A4">
      <w:pPr>
        <w:rPr>
          <w:rFonts w:cs="Arial"/>
          <w:sz w:val="21"/>
          <w:szCs w:val="21"/>
        </w:rPr>
      </w:pPr>
    </w:p>
    <w:p w14:paraId="3245DB1F" w14:textId="77777777" w:rsidR="00D605A4" w:rsidRPr="00C169ED" w:rsidRDefault="00D605A4" w:rsidP="00D605A4">
      <w:pPr>
        <w:rPr>
          <w:rFonts w:cs="Arial"/>
          <w:sz w:val="21"/>
          <w:szCs w:val="21"/>
        </w:rPr>
      </w:pPr>
    </w:p>
    <w:p w14:paraId="3CF4075C" w14:textId="77777777" w:rsidR="00D605A4" w:rsidRPr="00C169ED" w:rsidRDefault="00D605A4" w:rsidP="00D605A4">
      <w:pPr>
        <w:rPr>
          <w:rFonts w:cs="Arial"/>
          <w:sz w:val="21"/>
          <w:szCs w:val="21"/>
        </w:rPr>
      </w:pPr>
    </w:p>
    <w:p w14:paraId="78CB18C1" w14:textId="77777777" w:rsidR="00D605A4" w:rsidRPr="00C169ED" w:rsidRDefault="00D605A4" w:rsidP="00D605A4">
      <w:pPr>
        <w:rPr>
          <w:rFonts w:cs="Arial"/>
          <w:sz w:val="21"/>
          <w:szCs w:val="21"/>
        </w:rPr>
      </w:pPr>
    </w:p>
    <w:p w14:paraId="22819721" w14:textId="77777777" w:rsidR="00D605A4" w:rsidRPr="00C169ED" w:rsidRDefault="00D605A4" w:rsidP="00D605A4">
      <w:pPr>
        <w:rPr>
          <w:rFonts w:cs="Arial"/>
          <w:sz w:val="21"/>
          <w:szCs w:val="21"/>
        </w:rPr>
      </w:pPr>
    </w:p>
    <w:p w14:paraId="608F9FEF" w14:textId="77777777" w:rsidR="00D605A4" w:rsidRPr="00C169ED" w:rsidRDefault="00D605A4" w:rsidP="00D605A4">
      <w:pPr>
        <w:rPr>
          <w:rFonts w:cs="Arial"/>
          <w:sz w:val="21"/>
          <w:szCs w:val="21"/>
        </w:rPr>
      </w:pPr>
    </w:p>
    <w:p w14:paraId="00F77097" w14:textId="77777777" w:rsidR="00D605A4" w:rsidRPr="00C169ED" w:rsidRDefault="00D605A4" w:rsidP="00D605A4">
      <w:pPr>
        <w:rPr>
          <w:rFonts w:cs="Arial"/>
          <w:sz w:val="21"/>
          <w:szCs w:val="21"/>
        </w:rPr>
      </w:pPr>
    </w:p>
    <w:p w14:paraId="2FA6FF63" w14:textId="77777777" w:rsidR="00D605A4" w:rsidRPr="00C169ED" w:rsidRDefault="00D605A4" w:rsidP="00D605A4">
      <w:pPr>
        <w:rPr>
          <w:rFonts w:cs="Arial"/>
          <w:sz w:val="21"/>
          <w:szCs w:val="21"/>
        </w:rPr>
      </w:pPr>
    </w:p>
    <w:p w14:paraId="34A04B17" w14:textId="77777777" w:rsidR="00D605A4" w:rsidRPr="00C169ED" w:rsidRDefault="00D605A4" w:rsidP="00D605A4">
      <w:pPr>
        <w:rPr>
          <w:rFonts w:cs="Arial"/>
          <w:sz w:val="21"/>
          <w:szCs w:val="21"/>
        </w:rPr>
      </w:pPr>
    </w:p>
    <w:p w14:paraId="046D7355" w14:textId="77777777" w:rsidR="00D605A4" w:rsidRPr="00C169ED" w:rsidRDefault="00D605A4" w:rsidP="00D605A4">
      <w:pPr>
        <w:rPr>
          <w:rFonts w:cs="Arial"/>
          <w:sz w:val="21"/>
          <w:szCs w:val="21"/>
        </w:rPr>
      </w:pPr>
    </w:p>
    <w:p w14:paraId="75EE4806" w14:textId="77777777" w:rsidR="00D605A4" w:rsidRPr="00C169ED" w:rsidRDefault="00D605A4" w:rsidP="00D605A4">
      <w:pPr>
        <w:rPr>
          <w:rFonts w:cs="Arial"/>
          <w:sz w:val="21"/>
          <w:szCs w:val="21"/>
        </w:rPr>
      </w:pPr>
    </w:p>
    <w:p w14:paraId="514E02F4" w14:textId="77777777" w:rsidR="00D605A4" w:rsidRPr="00C169ED" w:rsidRDefault="00D605A4" w:rsidP="00D605A4">
      <w:pPr>
        <w:rPr>
          <w:rFonts w:cs="Arial"/>
          <w:sz w:val="21"/>
          <w:szCs w:val="21"/>
        </w:rPr>
      </w:pPr>
    </w:p>
    <w:p w14:paraId="38D43B1C" w14:textId="77777777" w:rsidR="00D605A4" w:rsidRPr="00C169ED" w:rsidRDefault="00D605A4" w:rsidP="00D605A4">
      <w:pPr>
        <w:rPr>
          <w:rFonts w:cs="Arial"/>
          <w:sz w:val="21"/>
          <w:szCs w:val="21"/>
        </w:rPr>
      </w:pPr>
    </w:p>
    <w:p w14:paraId="40EC6D4D" w14:textId="77777777" w:rsidR="00D605A4" w:rsidRPr="00C169ED" w:rsidRDefault="00D605A4" w:rsidP="00D605A4">
      <w:pPr>
        <w:rPr>
          <w:rFonts w:cs="Arial"/>
          <w:sz w:val="21"/>
          <w:szCs w:val="21"/>
        </w:rPr>
      </w:pPr>
    </w:p>
    <w:p w14:paraId="4929EB6E" w14:textId="77777777" w:rsidR="00D605A4" w:rsidRPr="00C169ED" w:rsidRDefault="00D605A4" w:rsidP="00D605A4">
      <w:pPr>
        <w:rPr>
          <w:rFonts w:cs="Arial"/>
          <w:sz w:val="21"/>
          <w:szCs w:val="21"/>
        </w:rPr>
      </w:pPr>
    </w:p>
    <w:p w14:paraId="6839A73C" w14:textId="77777777" w:rsidR="00D605A4" w:rsidRPr="00C169ED" w:rsidRDefault="00D605A4" w:rsidP="00D605A4">
      <w:pPr>
        <w:rPr>
          <w:rFonts w:cs="Arial"/>
          <w:sz w:val="21"/>
          <w:szCs w:val="21"/>
        </w:rPr>
      </w:pPr>
    </w:p>
    <w:p w14:paraId="06D1A58E" w14:textId="77777777" w:rsidR="00D605A4" w:rsidRPr="00C169ED" w:rsidRDefault="00D605A4" w:rsidP="00D605A4">
      <w:pPr>
        <w:rPr>
          <w:rFonts w:cs="Arial"/>
          <w:sz w:val="21"/>
          <w:szCs w:val="21"/>
        </w:rPr>
      </w:pPr>
    </w:p>
    <w:p w14:paraId="33C8FC9F" w14:textId="77777777" w:rsidR="00D605A4" w:rsidRPr="00C169ED" w:rsidRDefault="00D605A4" w:rsidP="00D605A4">
      <w:pPr>
        <w:rPr>
          <w:rFonts w:cs="Arial"/>
          <w:sz w:val="21"/>
          <w:szCs w:val="21"/>
        </w:rPr>
      </w:pPr>
    </w:p>
    <w:p w14:paraId="409036E7" w14:textId="77777777" w:rsidR="00D605A4" w:rsidRDefault="00D605A4" w:rsidP="00D605A4">
      <w:pPr>
        <w:rPr>
          <w:rFonts w:cs="Arial"/>
          <w:sz w:val="22"/>
          <w:szCs w:val="22"/>
        </w:rPr>
      </w:pPr>
    </w:p>
    <w:p w14:paraId="77971F45" w14:textId="77777777" w:rsidR="00031A88" w:rsidRDefault="00031A88" w:rsidP="00D605A4">
      <w:pPr>
        <w:rPr>
          <w:rFonts w:cs="Arial"/>
          <w:sz w:val="22"/>
          <w:szCs w:val="22"/>
        </w:rPr>
      </w:pPr>
    </w:p>
    <w:p w14:paraId="7B9794B9" w14:textId="77777777" w:rsidR="00031A88" w:rsidRDefault="00031A88" w:rsidP="00D605A4">
      <w:pPr>
        <w:rPr>
          <w:rFonts w:cs="Arial"/>
          <w:sz w:val="22"/>
          <w:szCs w:val="22"/>
        </w:rPr>
      </w:pPr>
    </w:p>
    <w:p w14:paraId="01316463" w14:textId="77777777" w:rsidR="00031A88" w:rsidRDefault="00031A88" w:rsidP="00D605A4">
      <w:pPr>
        <w:rPr>
          <w:rFonts w:cs="Arial"/>
          <w:sz w:val="22"/>
          <w:szCs w:val="22"/>
        </w:rPr>
      </w:pPr>
    </w:p>
    <w:p w14:paraId="5EE4E216" w14:textId="77777777" w:rsidR="00031A88" w:rsidRDefault="00031A88" w:rsidP="00D605A4">
      <w:pPr>
        <w:rPr>
          <w:rFonts w:cs="Arial"/>
          <w:sz w:val="22"/>
          <w:szCs w:val="22"/>
        </w:rPr>
      </w:pPr>
    </w:p>
    <w:p w14:paraId="0DC241B5" w14:textId="77777777" w:rsidR="00031A88" w:rsidRDefault="00031A88" w:rsidP="00D605A4">
      <w:pPr>
        <w:rPr>
          <w:rFonts w:cs="Arial"/>
          <w:sz w:val="22"/>
          <w:szCs w:val="22"/>
        </w:rPr>
      </w:pPr>
    </w:p>
    <w:p w14:paraId="705F8847" w14:textId="77777777" w:rsidR="00031A88" w:rsidRDefault="00031A88" w:rsidP="00D605A4">
      <w:pPr>
        <w:rPr>
          <w:rFonts w:cs="Arial"/>
          <w:sz w:val="22"/>
          <w:szCs w:val="22"/>
        </w:rPr>
      </w:pPr>
    </w:p>
    <w:p w14:paraId="1BFC0F98" w14:textId="77777777" w:rsidR="00031A88" w:rsidRDefault="00031A88" w:rsidP="00D605A4">
      <w:pPr>
        <w:rPr>
          <w:rFonts w:cs="Arial"/>
          <w:sz w:val="22"/>
          <w:szCs w:val="22"/>
        </w:rPr>
      </w:pPr>
    </w:p>
    <w:p w14:paraId="2FEF012D" w14:textId="77777777" w:rsidR="00031A88" w:rsidRDefault="00031A88" w:rsidP="00D605A4">
      <w:pPr>
        <w:rPr>
          <w:rFonts w:cs="Arial"/>
          <w:sz w:val="22"/>
          <w:szCs w:val="22"/>
        </w:rPr>
      </w:pPr>
    </w:p>
    <w:p w14:paraId="7F0CF5B5" w14:textId="77777777" w:rsidR="00031A88" w:rsidRDefault="00031A88" w:rsidP="00D605A4">
      <w:pPr>
        <w:rPr>
          <w:rFonts w:cs="Arial"/>
          <w:sz w:val="22"/>
          <w:szCs w:val="22"/>
        </w:rPr>
      </w:pPr>
    </w:p>
    <w:p w14:paraId="2F3B2335" w14:textId="77777777" w:rsidR="00031A88" w:rsidRDefault="00031A88" w:rsidP="00D605A4">
      <w:pPr>
        <w:rPr>
          <w:rFonts w:cs="Arial"/>
          <w:sz w:val="22"/>
          <w:szCs w:val="22"/>
        </w:rPr>
      </w:pPr>
    </w:p>
    <w:p w14:paraId="0AC264E0" w14:textId="77777777" w:rsidR="00031A88" w:rsidRPr="00D605A4" w:rsidRDefault="00031A88" w:rsidP="00D605A4">
      <w:pPr>
        <w:rPr>
          <w:rFonts w:cs="Arial"/>
          <w:sz w:val="22"/>
          <w:szCs w:val="22"/>
        </w:rPr>
      </w:pPr>
    </w:p>
    <w:p w14:paraId="5EA496D3" w14:textId="77777777" w:rsidR="00D605A4" w:rsidRDefault="00D605A4" w:rsidP="00D605A4">
      <w:pPr>
        <w:rPr>
          <w:rFonts w:cs="Arial"/>
          <w:sz w:val="22"/>
          <w:szCs w:val="22"/>
        </w:rPr>
      </w:pPr>
    </w:p>
    <w:p w14:paraId="6B3B185B" w14:textId="77777777" w:rsidR="00D605A4" w:rsidRDefault="00D605A4" w:rsidP="00D605A4">
      <w:pPr>
        <w:tabs>
          <w:tab w:val="left" w:pos="1020"/>
        </w:tabs>
        <w:rPr>
          <w:rFonts w:cs="Arial"/>
          <w:sz w:val="22"/>
          <w:szCs w:val="22"/>
        </w:rPr>
        <w:sectPr w:rsidR="00D605A4" w:rsidSect="0052082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pPr>
    </w:p>
    <w:p w14:paraId="552256FD" w14:textId="77777777" w:rsidR="00B735E1" w:rsidRPr="00EB0307" w:rsidRDefault="00B735E1" w:rsidP="00B735E1">
      <w:pPr>
        <w:kinsoku w:val="0"/>
        <w:overflowPunct w:val="0"/>
        <w:jc w:val="center"/>
        <w:rPr>
          <w:b/>
          <w:sz w:val="22"/>
          <w:szCs w:val="22"/>
        </w:rPr>
      </w:pPr>
      <w:r w:rsidRPr="00EB0307">
        <w:rPr>
          <w:b/>
          <w:sz w:val="22"/>
          <w:szCs w:val="22"/>
        </w:rPr>
        <w:lastRenderedPageBreak/>
        <w:t xml:space="preserve">REVISION OF THE TEMPLATE AND GUIDELINES FOR THE DRAFTING OF </w:t>
      </w:r>
    </w:p>
    <w:p w14:paraId="21701289" w14:textId="77777777" w:rsidR="00B735E1" w:rsidRPr="003F58EE" w:rsidRDefault="00B735E1" w:rsidP="00B735E1">
      <w:pPr>
        <w:kinsoku w:val="0"/>
        <w:overflowPunct w:val="0"/>
        <w:jc w:val="center"/>
        <w:rPr>
          <w:b/>
        </w:rPr>
      </w:pPr>
      <w:r w:rsidRPr="00EB0307">
        <w:rPr>
          <w:b/>
          <w:sz w:val="22"/>
          <w:szCs w:val="22"/>
        </w:rPr>
        <w:t>PROPOSALS</w:t>
      </w:r>
      <w:r>
        <w:rPr>
          <w:b/>
          <w:sz w:val="22"/>
          <w:szCs w:val="22"/>
        </w:rPr>
        <w:t xml:space="preserve"> FOR THE AMENDMENT OF THE APPENDICES</w:t>
      </w:r>
    </w:p>
    <w:p w14:paraId="6383D773" w14:textId="77777777" w:rsidR="007910DD" w:rsidRPr="00B735E1" w:rsidRDefault="007910DD"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14:paraId="53ED5422" w14:textId="77777777" w:rsidR="007910DD" w:rsidRPr="00CD0FE9" w:rsidRDefault="007910DD" w:rsidP="007910DD">
      <w:pPr>
        <w:jc w:val="center"/>
        <w:rPr>
          <w:rFonts w:cs="Arial"/>
          <w:sz w:val="22"/>
          <w:szCs w:val="22"/>
          <w:lang w:val="en-GB"/>
        </w:rPr>
      </w:pPr>
    </w:p>
    <w:p w14:paraId="52C171C5" w14:textId="77777777" w:rsidR="007910DD" w:rsidRPr="00CD0FE9" w:rsidRDefault="007910DD" w:rsidP="007910DD">
      <w:pPr>
        <w:jc w:val="both"/>
        <w:rPr>
          <w:rFonts w:cs="Arial"/>
          <w:sz w:val="22"/>
          <w:szCs w:val="22"/>
          <w:lang w:val="en-GB"/>
        </w:rPr>
      </w:pPr>
    </w:p>
    <w:p w14:paraId="62366F1A" w14:textId="014AD7A1" w:rsidR="007910DD" w:rsidRPr="002F7C29" w:rsidRDefault="00896A7B" w:rsidP="00200759">
      <w:pPr>
        <w:numPr>
          <w:ilvl w:val="0"/>
          <w:numId w:val="2"/>
        </w:numPr>
        <w:contextualSpacing/>
        <w:jc w:val="both"/>
        <w:rPr>
          <w:rFonts w:cs="Arial"/>
          <w:sz w:val="22"/>
          <w:szCs w:val="22"/>
          <w:lang w:val="en-GB"/>
        </w:rPr>
      </w:pPr>
      <w:r w:rsidRPr="002F7C29">
        <w:rPr>
          <w:sz w:val="22"/>
          <w:szCs w:val="22"/>
        </w:rPr>
        <w:t>The 11</w:t>
      </w:r>
      <w:r w:rsidRPr="002F7C29">
        <w:rPr>
          <w:sz w:val="22"/>
          <w:szCs w:val="22"/>
          <w:vertAlign w:val="superscript"/>
        </w:rPr>
        <w:t>th</w:t>
      </w:r>
      <w:r w:rsidRPr="002F7C29">
        <w:rPr>
          <w:sz w:val="22"/>
          <w:szCs w:val="22"/>
        </w:rPr>
        <w:t xml:space="preserve"> meeting of the Conference of the Parties (COP11) adopted </w:t>
      </w:r>
      <w:hyperlink r:id="rId19" w:history="1">
        <w:r w:rsidRPr="002F7C29">
          <w:rPr>
            <w:rStyle w:val="Hyperlink"/>
            <w:sz w:val="22"/>
            <w:szCs w:val="22"/>
          </w:rPr>
          <w:t>Res</w:t>
        </w:r>
        <w:r w:rsidR="00196514" w:rsidRPr="002F7C29">
          <w:rPr>
            <w:rStyle w:val="Hyperlink"/>
            <w:sz w:val="22"/>
            <w:szCs w:val="22"/>
          </w:rPr>
          <w:t>olution</w:t>
        </w:r>
        <w:r w:rsidR="00E36CA1" w:rsidRPr="002F7C29">
          <w:rPr>
            <w:rStyle w:val="Hyperlink"/>
            <w:sz w:val="22"/>
            <w:szCs w:val="22"/>
          </w:rPr>
          <w:t xml:space="preserve"> </w:t>
        </w:r>
        <w:r w:rsidRPr="002F7C29">
          <w:rPr>
            <w:rStyle w:val="Hyperlink"/>
            <w:sz w:val="22"/>
            <w:szCs w:val="22"/>
          </w:rPr>
          <w:t>11.33</w:t>
        </w:r>
      </w:hyperlink>
      <w:r w:rsidRPr="002F7C29">
        <w:rPr>
          <w:sz w:val="22"/>
          <w:szCs w:val="22"/>
        </w:rPr>
        <w:t xml:space="preserve"> </w:t>
      </w:r>
      <w:r w:rsidR="00B86037" w:rsidRPr="002F7C29">
        <w:rPr>
          <w:sz w:val="22"/>
          <w:szCs w:val="22"/>
        </w:rPr>
        <w:t xml:space="preserve">on </w:t>
      </w:r>
      <w:r w:rsidRPr="002F7C29">
        <w:rPr>
          <w:i/>
          <w:sz w:val="22"/>
          <w:szCs w:val="22"/>
        </w:rPr>
        <w:t xml:space="preserve">Guidelines for </w:t>
      </w:r>
      <w:r w:rsidR="0007246E" w:rsidRPr="002F7C29">
        <w:rPr>
          <w:i/>
          <w:sz w:val="22"/>
          <w:szCs w:val="22"/>
        </w:rPr>
        <w:t>A</w:t>
      </w:r>
      <w:r w:rsidRPr="002F7C29">
        <w:rPr>
          <w:i/>
          <w:sz w:val="22"/>
          <w:szCs w:val="22"/>
        </w:rPr>
        <w:t xml:space="preserve">ssessing </w:t>
      </w:r>
      <w:r w:rsidR="0007246E" w:rsidRPr="002F7C29">
        <w:rPr>
          <w:i/>
          <w:sz w:val="22"/>
          <w:szCs w:val="22"/>
        </w:rPr>
        <w:t>L</w:t>
      </w:r>
      <w:r w:rsidRPr="002F7C29">
        <w:rPr>
          <w:i/>
          <w:sz w:val="22"/>
          <w:szCs w:val="22"/>
        </w:rPr>
        <w:t xml:space="preserve">isting </w:t>
      </w:r>
      <w:r w:rsidR="0007246E" w:rsidRPr="002F7C29">
        <w:rPr>
          <w:i/>
          <w:sz w:val="22"/>
          <w:szCs w:val="22"/>
        </w:rPr>
        <w:t>P</w:t>
      </w:r>
      <w:r w:rsidRPr="002F7C29">
        <w:rPr>
          <w:i/>
          <w:sz w:val="22"/>
          <w:szCs w:val="22"/>
        </w:rPr>
        <w:t>roposals to Appendices I and II of the Convention</w:t>
      </w:r>
      <w:r w:rsidRPr="002F7C29">
        <w:rPr>
          <w:sz w:val="22"/>
          <w:szCs w:val="22"/>
        </w:rPr>
        <w:t xml:space="preserve">. Operational paragraph 5 of the </w:t>
      </w:r>
      <w:r w:rsidR="0007246E" w:rsidRPr="002F7C29">
        <w:rPr>
          <w:sz w:val="22"/>
          <w:szCs w:val="22"/>
        </w:rPr>
        <w:t>R</w:t>
      </w:r>
      <w:r w:rsidRPr="002F7C29">
        <w:rPr>
          <w:sz w:val="22"/>
          <w:szCs w:val="22"/>
        </w:rPr>
        <w:t>esolution instructs</w:t>
      </w:r>
      <w:r w:rsidRPr="002F7C29">
        <w:rPr>
          <w:rFonts w:eastAsia="Calibri"/>
          <w:spacing w:val="-4"/>
          <w:sz w:val="22"/>
          <w:szCs w:val="22"/>
        </w:rPr>
        <w:t xml:space="preserve"> the CMS Scientific Council and the Secretariat to </w:t>
      </w:r>
      <w:r w:rsidRPr="002F7C29">
        <w:rPr>
          <w:rFonts w:eastAsia="Calibri"/>
          <w:bCs/>
          <w:spacing w:val="-4"/>
          <w:sz w:val="22"/>
          <w:szCs w:val="22"/>
        </w:rPr>
        <w:t xml:space="preserve">update </w:t>
      </w:r>
      <w:hyperlink r:id="rId20" w:history="1">
        <w:r w:rsidRPr="002F7C29">
          <w:rPr>
            <w:rStyle w:val="Hyperlink"/>
            <w:bCs/>
            <w:spacing w:val="-4"/>
            <w:sz w:val="22"/>
            <w:szCs w:val="22"/>
          </w:rPr>
          <w:t>Res</w:t>
        </w:r>
        <w:r w:rsidR="00196514" w:rsidRPr="002F7C29">
          <w:rPr>
            <w:rStyle w:val="Hyperlink"/>
            <w:bCs/>
            <w:spacing w:val="-4"/>
            <w:sz w:val="22"/>
            <w:szCs w:val="22"/>
          </w:rPr>
          <w:t>olution</w:t>
        </w:r>
        <w:r w:rsidR="00E36CA1" w:rsidRPr="002F7C29">
          <w:rPr>
            <w:rStyle w:val="Hyperlink"/>
            <w:bCs/>
            <w:spacing w:val="-4"/>
            <w:sz w:val="22"/>
            <w:szCs w:val="22"/>
          </w:rPr>
          <w:t xml:space="preserve"> </w:t>
        </w:r>
        <w:r w:rsidRPr="002F7C29">
          <w:rPr>
            <w:rStyle w:val="Hyperlink"/>
            <w:bCs/>
            <w:spacing w:val="-4"/>
            <w:sz w:val="22"/>
            <w:szCs w:val="22"/>
          </w:rPr>
          <w:t>1.5</w:t>
        </w:r>
      </w:hyperlink>
      <w:r w:rsidRPr="002F7C29">
        <w:rPr>
          <w:rFonts w:eastAsia="Calibri"/>
          <w:bCs/>
          <w:spacing w:val="-4"/>
          <w:sz w:val="22"/>
          <w:szCs w:val="22"/>
        </w:rPr>
        <w:t xml:space="preserve"> by </w:t>
      </w:r>
      <w:r w:rsidRPr="002F7C29">
        <w:rPr>
          <w:rFonts w:eastAsia="Calibri"/>
          <w:spacing w:val="-4"/>
          <w:sz w:val="22"/>
          <w:szCs w:val="22"/>
        </w:rPr>
        <w:t>developing a new template and guidelines for the drafting of listing proposals</w:t>
      </w:r>
      <w:r w:rsidRPr="002F7C29">
        <w:rPr>
          <w:rFonts w:eastAsia="Calibri"/>
          <w:bCs/>
          <w:spacing w:val="-4"/>
          <w:sz w:val="22"/>
          <w:szCs w:val="22"/>
        </w:rPr>
        <w:t xml:space="preserve"> in line with the Annex of the </w:t>
      </w:r>
      <w:r w:rsidR="0007246E" w:rsidRPr="002F7C29">
        <w:rPr>
          <w:rFonts w:eastAsia="Calibri"/>
          <w:bCs/>
          <w:spacing w:val="-4"/>
          <w:sz w:val="22"/>
          <w:szCs w:val="22"/>
        </w:rPr>
        <w:t>R</w:t>
      </w:r>
      <w:r w:rsidRPr="002F7C29">
        <w:rPr>
          <w:rFonts w:eastAsia="Calibri"/>
          <w:bCs/>
          <w:spacing w:val="-4"/>
          <w:sz w:val="22"/>
          <w:szCs w:val="22"/>
        </w:rPr>
        <w:t xml:space="preserve">esolution, for adoption by the Standing Committee </w:t>
      </w:r>
      <w:r w:rsidRPr="002F7C29">
        <w:rPr>
          <w:rFonts w:eastAsia="Calibri"/>
          <w:spacing w:val="-4"/>
          <w:sz w:val="22"/>
          <w:szCs w:val="22"/>
        </w:rPr>
        <w:t>in time for its use for proposals to be submitted to the Conference of the Parties at its 12</w:t>
      </w:r>
      <w:r w:rsidRPr="002F7C29">
        <w:rPr>
          <w:rFonts w:eastAsia="Calibri"/>
          <w:spacing w:val="-4"/>
          <w:sz w:val="22"/>
          <w:szCs w:val="22"/>
          <w:vertAlign w:val="superscript"/>
        </w:rPr>
        <w:t>th</w:t>
      </w:r>
      <w:r w:rsidRPr="002F7C29">
        <w:rPr>
          <w:rFonts w:eastAsia="Calibri"/>
          <w:spacing w:val="-4"/>
          <w:sz w:val="22"/>
          <w:szCs w:val="22"/>
        </w:rPr>
        <w:t xml:space="preserve"> Meeting</w:t>
      </w:r>
      <w:r w:rsidR="00F06901" w:rsidRPr="002F7C29">
        <w:rPr>
          <w:rFonts w:eastAsia="Calibri"/>
          <w:spacing w:val="-4"/>
          <w:sz w:val="22"/>
          <w:szCs w:val="22"/>
        </w:rPr>
        <w:t xml:space="preserve"> (COP12)</w:t>
      </w:r>
      <w:r w:rsidRPr="002F7C29">
        <w:rPr>
          <w:rFonts w:eastAsia="Calibri"/>
          <w:spacing w:val="-4"/>
          <w:sz w:val="22"/>
          <w:szCs w:val="22"/>
        </w:rPr>
        <w:t>.</w:t>
      </w:r>
    </w:p>
    <w:p w14:paraId="5D511ECC" w14:textId="77777777" w:rsidR="007910DD" w:rsidRPr="00CD7355" w:rsidRDefault="007910DD" w:rsidP="007910DD">
      <w:pPr>
        <w:ind w:left="360"/>
        <w:contextualSpacing/>
        <w:jc w:val="both"/>
        <w:rPr>
          <w:rFonts w:cs="Arial"/>
          <w:sz w:val="22"/>
          <w:szCs w:val="22"/>
          <w:lang w:val="en-GB"/>
        </w:rPr>
      </w:pPr>
    </w:p>
    <w:p w14:paraId="0C175699" w14:textId="77777777" w:rsidR="007910DD" w:rsidRPr="00896A7B" w:rsidRDefault="00896A7B" w:rsidP="00200759">
      <w:pPr>
        <w:numPr>
          <w:ilvl w:val="0"/>
          <w:numId w:val="2"/>
        </w:numPr>
        <w:contextualSpacing/>
        <w:jc w:val="both"/>
        <w:rPr>
          <w:rFonts w:cs="Arial"/>
          <w:sz w:val="22"/>
          <w:szCs w:val="22"/>
          <w:lang w:val="en-GB"/>
        </w:rPr>
      </w:pPr>
      <w:r w:rsidRPr="00896A7B">
        <w:rPr>
          <w:sz w:val="22"/>
          <w:szCs w:val="22"/>
        </w:rPr>
        <w:t xml:space="preserve">A first draft </w:t>
      </w:r>
      <w:r w:rsidR="00F06901">
        <w:rPr>
          <w:sz w:val="22"/>
          <w:szCs w:val="22"/>
        </w:rPr>
        <w:t xml:space="preserve">of a </w:t>
      </w:r>
      <w:r w:rsidRPr="00896A7B">
        <w:rPr>
          <w:sz w:val="22"/>
          <w:szCs w:val="22"/>
        </w:rPr>
        <w:t xml:space="preserve">revised format </w:t>
      </w:r>
      <w:r w:rsidR="00F06901">
        <w:rPr>
          <w:sz w:val="22"/>
          <w:szCs w:val="22"/>
        </w:rPr>
        <w:t xml:space="preserve">and guidelines </w:t>
      </w:r>
      <w:r w:rsidRPr="00896A7B">
        <w:rPr>
          <w:sz w:val="22"/>
          <w:szCs w:val="22"/>
        </w:rPr>
        <w:t>for proposals to amend the CMS Appendices was submitted by the Secretariat to the 1</w:t>
      </w:r>
      <w:r w:rsidRPr="00896A7B">
        <w:rPr>
          <w:sz w:val="22"/>
          <w:szCs w:val="22"/>
          <w:vertAlign w:val="superscript"/>
        </w:rPr>
        <w:t>st</w:t>
      </w:r>
      <w:r w:rsidRPr="00896A7B">
        <w:rPr>
          <w:sz w:val="22"/>
          <w:szCs w:val="22"/>
        </w:rPr>
        <w:t xml:space="preserve"> Meeting of the Sessional Committee of the Scientific Council (Bonn, 18-21 April 2016) as document </w:t>
      </w:r>
      <w:hyperlink r:id="rId21" w:history="1">
        <w:r w:rsidRPr="00896A7B">
          <w:rPr>
            <w:rStyle w:val="Hyperlink"/>
            <w:sz w:val="22"/>
            <w:szCs w:val="22"/>
          </w:rPr>
          <w:t>UNEP/CMS/ScC-SC1/Doc.7.1.1</w:t>
        </w:r>
      </w:hyperlink>
      <w:r w:rsidRPr="00896A7B">
        <w:rPr>
          <w:sz w:val="22"/>
          <w:szCs w:val="22"/>
        </w:rPr>
        <w:t xml:space="preserve">.  </w:t>
      </w:r>
      <w:r>
        <w:rPr>
          <w:sz w:val="22"/>
          <w:szCs w:val="22"/>
        </w:rPr>
        <w:t>The draft was reviewed and amended by the Sessional Committee, and submitted to the 45</w:t>
      </w:r>
      <w:r w:rsidRPr="00896A7B">
        <w:rPr>
          <w:sz w:val="22"/>
          <w:szCs w:val="22"/>
          <w:vertAlign w:val="superscript"/>
        </w:rPr>
        <w:t>th</w:t>
      </w:r>
      <w:r>
        <w:rPr>
          <w:sz w:val="22"/>
          <w:szCs w:val="22"/>
        </w:rPr>
        <w:t xml:space="preserve"> meeting of the Standing Committee </w:t>
      </w:r>
      <w:r w:rsidR="00F06901">
        <w:rPr>
          <w:sz w:val="22"/>
          <w:szCs w:val="22"/>
        </w:rPr>
        <w:t xml:space="preserve">(StC45) </w:t>
      </w:r>
      <w:r>
        <w:rPr>
          <w:sz w:val="22"/>
          <w:szCs w:val="22"/>
        </w:rPr>
        <w:t xml:space="preserve">as document </w:t>
      </w:r>
      <w:hyperlink r:id="rId22" w:history="1">
        <w:r w:rsidRPr="002316EF">
          <w:rPr>
            <w:rStyle w:val="Hyperlink"/>
            <w:sz w:val="22"/>
            <w:szCs w:val="22"/>
          </w:rPr>
          <w:t>UNEP/CMS/StC45/Doc.17</w:t>
        </w:r>
      </w:hyperlink>
      <w:r>
        <w:rPr>
          <w:sz w:val="22"/>
          <w:szCs w:val="22"/>
        </w:rPr>
        <w:t xml:space="preserve"> for consideration and finalization.</w:t>
      </w:r>
    </w:p>
    <w:p w14:paraId="7661E0EE" w14:textId="77777777" w:rsidR="007910DD" w:rsidRPr="00CD0FE9" w:rsidRDefault="007910DD" w:rsidP="007910DD">
      <w:pPr>
        <w:rPr>
          <w:rFonts w:cs="Arial"/>
          <w:sz w:val="22"/>
          <w:szCs w:val="22"/>
          <w:lang w:val="en-GB"/>
        </w:rPr>
      </w:pPr>
    </w:p>
    <w:p w14:paraId="23FEF0E4" w14:textId="77777777" w:rsidR="007910DD" w:rsidRPr="00CD7355" w:rsidRDefault="007910DD" w:rsidP="00200759">
      <w:pPr>
        <w:numPr>
          <w:ilvl w:val="0"/>
          <w:numId w:val="2"/>
        </w:numPr>
        <w:contextualSpacing/>
        <w:jc w:val="both"/>
        <w:rPr>
          <w:rFonts w:cs="Arial"/>
          <w:sz w:val="22"/>
          <w:szCs w:val="22"/>
          <w:lang w:val="en-GB"/>
        </w:rPr>
      </w:pPr>
      <w:r w:rsidRPr="00CD7355">
        <w:rPr>
          <w:rFonts w:cs="Arial"/>
          <w:sz w:val="22"/>
          <w:szCs w:val="22"/>
          <w:lang w:val="en-GB"/>
        </w:rPr>
        <w:t>Th</w:t>
      </w:r>
      <w:r w:rsidR="002316EF">
        <w:rPr>
          <w:rFonts w:cs="Arial"/>
          <w:sz w:val="22"/>
          <w:szCs w:val="22"/>
          <w:lang w:val="en-GB"/>
        </w:rPr>
        <w:t xml:space="preserve">e Standing Committee further revised the template </w:t>
      </w:r>
      <w:r w:rsidR="00F06901">
        <w:rPr>
          <w:rFonts w:cs="Arial"/>
          <w:sz w:val="22"/>
          <w:szCs w:val="22"/>
          <w:lang w:val="en-GB"/>
        </w:rPr>
        <w:t xml:space="preserve">and guidelines </w:t>
      </w:r>
      <w:r w:rsidR="002316EF">
        <w:rPr>
          <w:rFonts w:cs="Arial"/>
          <w:sz w:val="22"/>
          <w:szCs w:val="22"/>
          <w:lang w:val="en-GB"/>
        </w:rPr>
        <w:t xml:space="preserve">and approved </w:t>
      </w:r>
      <w:r w:rsidR="00F06901">
        <w:rPr>
          <w:rFonts w:cs="Arial"/>
          <w:sz w:val="22"/>
          <w:szCs w:val="22"/>
          <w:lang w:val="en-GB"/>
        </w:rPr>
        <w:t>their</w:t>
      </w:r>
      <w:r w:rsidR="002316EF">
        <w:rPr>
          <w:rFonts w:cs="Arial"/>
          <w:sz w:val="22"/>
          <w:szCs w:val="22"/>
          <w:lang w:val="en-GB"/>
        </w:rPr>
        <w:t xml:space="preserve"> use for proposals to be submitted </w:t>
      </w:r>
      <w:r w:rsidR="00F06901">
        <w:rPr>
          <w:rFonts w:cs="Arial"/>
          <w:sz w:val="22"/>
          <w:szCs w:val="22"/>
          <w:lang w:val="en-GB"/>
        </w:rPr>
        <w:t>to COP12. The version approved by StC45 is attached to this document as Annex 1.</w:t>
      </w:r>
    </w:p>
    <w:p w14:paraId="066C19FF" w14:textId="77777777" w:rsidR="007910DD" w:rsidRPr="00CD0FE9" w:rsidRDefault="007910DD" w:rsidP="007910DD">
      <w:pPr>
        <w:ind w:left="360"/>
        <w:contextualSpacing/>
        <w:jc w:val="both"/>
        <w:rPr>
          <w:rFonts w:cs="Arial"/>
          <w:i/>
          <w:sz w:val="22"/>
          <w:szCs w:val="22"/>
          <w:lang w:val="en-GB"/>
        </w:rPr>
      </w:pPr>
    </w:p>
    <w:p w14:paraId="7C2E03D4" w14:textId="0B70BF0B" w:rsidR="007910DD" w:rsidRPr="00CD7355" w:rsidRDefault="00F06901" w:rsidP="00200759">
      <w:pPr>
        <w:numPr>
          <w:ilvl w:val="0"/>
          <w:numId w:val="2"/>
        </w:numPr>
        <w:contextualSpacing/>
        <w:jc w:val="both"/>
        <w:rPr>
          <w:rFonts w:cs="Arial"/>
          <w:sz w:val="22"/>
          <w:szCs w:val="22"/>
          <w:lang w:val="en-GB"/>
        </w:rPr>
      </w:pPr>
      <w:r>
        <w:rPr>
          <w:rFonts w:cs="Arial"/>
          <w:sz w:val="22"/>
          <w:szCs w:val="22"/>
          <w:lang w:val="en-GB"/>
        </w:rPr>
        <w:t>Following their approval, the Secretariat uploaded the template and guidelines on the CMS website and advised Parties on their use</w:t>
      </w:r>
      <w:r w:rsidR="00E36CA1">
        <w:rPr>
          <w:rFonts w:cs="Arial"/>
          <w:sz w:val="22"/>
          <w:szCs w:val="22"/>
          <w:lang w:val="en-GB"/>
        </w:rPr>
        <w:t xml:space="preserve"> through </w:t>
      </w:r>
      <w:hyperlink r:id="rId23" w:history="1">
        <w:r w:rsidR="00E36CA1" w:rsidRPr="00B15E85">
          <w:rPr>
            <w:rStyle w:val="Hyperlink"/>
            <w:rFonts w:cs="Arial"/>
            <w:sz w:val="22"/>
            <w:szCs w:val="22"/>
            <w:lang w:val="en-GB"/>
          </w:rPr>
          <w:t>Notification 2016/037</w:t>
        </w:r>
      </w:hyperlink>
      <w:r w:rsidR="00E36CA1">
        <w:rPr>
          <w:rFonts w:cs="Arial"/>
          <w:sz w:val="22"/>
          <w:szCs w:val="22"/>
          <w:lang w:val="en-GB"/>
        </w:rPr>
        <w:t xml:space="preserve"> </w:t>
      </w:r>
      <w:r w:rsidR="00B15E85">
        <w:rPr>
          <w:rFonts w:cs="Arial"/>
          <w:sz w:val="22"/>
          <w:szCs w:val="22"/>
          <w:lang w:val="en-GB"/>
        </w:rPr>
        <w:t>and bilaterally upon request</w:t>
      </w:r>
      <w:r>
        <w:rPr>
          <w:rFonts w:cs="Arial"/>
          <w:sz w:val="22"/>
          <w:szCs w:val="22"/>
          <w:lang w:val="en-GB"/>
        </w:rPr>
        <w:t xml:space="preserve">. </w:t>
      </w:r>
      <w:r w:rsidR="00980E63">
        <w:rPr>
          <w:rFonts w:cs="Arial"/>
          <w:sz w:val="22"/>
          <w:szCs w:val="22"/>
          <w:lang w:val="en-GB"/>
        </w:rPr>
        <w:t xml:space="preserve"> Comments received by the Secretariat from proponents about the use of the template and guidelines have been positive.</w:t>
      </w:r>
    </w:p>
    <w:p w14:paraId="0C55E510" w14:textId="77777777" w:rsidR="007910DD" w:rsidRPr="00CD0FE9" w:rsidRDefault="007910DD" w:rsidP="007910DD">
      <w:pPr>
        <w:jc w:val="both"/>
        <w:rPr>
          <w:rFonts w:cs="Arial"/>
          <w:sz w:val="22"/>
          <w:szCs w:val="22"/>
          <w:lang w:val="en-GB"/>
        </w:rPr>
      </w:pPr>
    </w:p>
    <w:p w14:paraId="564152D4" w14:textId="7748D897" w:rsidR="007910DD" w:rsidRPr="00CD7355" w:rsidRDefault="005905B8" w:rsidP="00897B4C">
      <w:pPr>
        <w:numPr>
          <w:ilvl w:val="0"/>
          <w:numId w:val="2"/>
        </w:numPr>
        <w:contextualSpacing/>
        <w:jc w:val="both"/>
        <w:rPr>
          <w:rFonts w:cs="Arial"/>
          <w:sz w:val="22"/>
          <w:szCs w:val="22"/>
          <w:lang w:val="en-GB"/>
        </w:rPr>
      </w:pPr>
      <w:r>
        <w:rPr>
          <w:rFonts w:cs="Arial"/>
          <w:sz w:val="22"/>
          <w:szCs w:val="22"/>
          <w:lang w:val="en-GB"/>
        </w:rPr>
        <w:t xml:space="preserve">The Conference of the Parties </w:t>
      </w:r>
      <w:r w:rsidR="00196514">
        <w:rPr>
          <w:rFonts w:cs="Arial"/>
          <w:sz w:val="22"/>
          <w:szCs w:val="22"/>
          <w:lang w:val="en-GB"/>
        </w:rPr>
        <w:t>may wish</w:t>
      </w:r>
      <w:r>
        <w:rPr>
          <w:rFonts w:cs="Arial"/>
          <w:sz w:val="22"/>
          <w:szCs w:val="22"/>
          <w:lang w:val="en-GB"/>
        </w:rPr>
        <w:t xml:space="preserve"> to consider confirming the use of the template and guidelines for the submission of proposals also to subsequent meetings of the COP. Subject to this confirmation, and with a view to consolidating guidance on the process of amendment of the Appendices in a single document, the Secretariat would recommend that </w:t>
      </w:r>
      <w:r w:rsidR="0007246E">
        <w:rPr>
          <w:rFonts w:cs="Arial"/>
          <w:sz w:val="22"/>
          <w:szCs w:val="22"/>
          <w:lang w:val="en-GB"/>
        </w:rPr>
        <w:t xml:space="preserve">the </w:t>
      </w:r>
      <w:r>
        <w:rPr>
          <w:rFonts w:cs="Arial"/>
          <w:sz w:val="22"/>
          <w:szCs w:val="22"/>
          <w:lang w:val="en-GB"/>
        </w:rPr>
        <w:t xml:space="preserve">revised template and guidelines be integrated in Resolution 11.33 as an annex. </w:t>
      </w:r>
      <w:r w:rsidR="00196514">
        <w:rPr>
          <w:rFonts w:cs="Arial"/>
          <w:sz w:val="22"/>
          <w:szCs w:val="22"/>
          <w:lang w:val="en-GB"/>
        </w:rPr>
        <w:t xml:space="preserve"> As part of the </w:t>
      </w:r>
      <w:r w:rsidR="001B0E45">
        <w:rPr>
          <w:rFonts w:cs="Arial"/>
          <w:sz w:val="22"/>
          <w:szCs w:val="22"/>
          <w:lang w:val="en-GB"/>
        </w:rPr>
        <w:t>review</w:t>
      </w:r>
      <w:r w:rsidR="00B86037">
        <w:rPr>
          <w:rFonts w:cs="Arial"/>
          <w:sz w:val="22"/>
          <w:szCs w:val="22"/>
          <w:lang w:val="en-GB"/>
        </w:rPr>
        <w:t xml:space="preserve"> </w:t>
      </w:r>
      <w:r w:rsidR="00196514">
        <w:rPr>
          <w:rFonts w:cs="Arial"/>
          <w:sz w:val="22"/>
          <w:szCs w:val="22"/>
          <w:lang w:val="en-GB"/>
        </w:rPr>
        <w:t>process outlined in UNEP/CMS/COP12/Doc.21, Resolution</w:t>
      </w:r>
      <w:r w:rsidR="00B86037">
        <w:rPr>
          <w:rFonts w:cs="Arial"/>
          <w:sz w:val="22"/>
          <w:szCs w:val="22"/>
          <w:lang w:val="en-GB"/>
        </w:rPr>
        <w:t>11.33</w:t>
      </w:r>
      <w:r w:rsidR="00196514">
        <w:rPr>
          <w:rFonts w:cs="Arial"/>
          <w:sz w:val="22"/>
          <w:szCs w:val="22"/>
          <w:lang w:val="en-GB"/>
        </w:rPr>
        <w:t xml:space="preserve"> is proposed to be repealed in part.  </w:t>
      </w:r>
      <w:r w:rsidR="0007246E">
        <w:rPr>
          <w:rFonts w:cs="Arial"/>
          <w:sz w:val="22"/>
          <w:szCs w:val="22"/>
          <w:lang w:val="en-GB"/>
        </w:rPr>
        <w:t>Therefore</w:t>
      </w:r>
      <w:r w:rsidR="00196514">
        <w:rPr>
          <w:rFonts w:cs="Arial"/>
          <w:sz w:val="22"/>
          <w:szCs w:val="22"/>
          <w:lang w:val="en-GB"/>
        </w:rPr>
        <w:t xml:space="preserve">, Parties should also consult document UNEP/CMS/COP12/Doc.21.1.35. </w:t>
      </w:r>
    </w:p>
    <w:p w14:paraId="23137BD0" w14:textId="77777777" w:rsidR="007910DD" w:rsidRPr="00CD7355" w:rsidRDefault="007910DD" w:rsidP="007910DD">
      <w:pPr>
        <w:ind w:left="360"/>
        <w:contextualSpacing/>
        <w:rPr>
          <w:rFonts w:cs="Arial"/>
          <w:sz w:val="22"/>
          <w:szCs w:val="22"/>
          <w:lang w:val="en-GB"/>
        </w:rPr>
      </w:pPr>
    </w:p>
    <w:p w14:paraId="3D81AA83" w14:textId="77777777" w:rsidR="007910DD" w:rsidRPr="00CD0FE9" w:rsidRDefault="007910DD" w:rsidP="007910DD">
      <w:pPr>
        <w:rPr>
          <w:rFonts w:cs="Arial"/>
          <w:sz w:val="22"/>
          <w:szCs w:val="22"/>
          <w:u w:val="single"/>
          <w:lang w:val="en-GB"/>
        </w:rPr>
      </w:pPr>
    </w:p>
    <w:p w14:paraId="32773629" w14:textId="77777777" w:rsidR="007910DD" w:rsidRPr="00CD0FE9" w:rsidRDefault="0090059C" w:rsidP="007910DD">
      <w:pPr>
        <w:rPr>
          <w:rFonts w:cs="Arial"/>
          <w:sz w:val="22"/>
          <w:szCs w:val="22"/>
          <w:lang w:val="en-GB"/>
        </w:rPr>
      </w:pPr>
      <w:r w:rsidRPr="00CD0FE9">
        <w:rPr>
          <w:rFonts w:cs="Arial"/>
          <w:sz w:val="22"/>
          <w:szCs w:val="22"/>
          <w:u w:val="single"/>
          <w:lang w:val="en-GB"/>
        </w:rPr>
        <w:t>Recommended actions</w:t>
      </w:r>
    </w:p>
    <w:p w14:paraId="2265A32E" w14:textId="77777777" w:rsidR="007910DD" w:rsidRPr="00CD0FE9" w:rsidRDefault="007910DD" w:rsidP="007910DD">
      <w:pPr>
        <w:rPr>
          <w:rFonts w:cs="Arial"/>
          <w:sz w:val="22"/>
          <w:szCs w:val="22"/>
          <w:lang w:val="en-GB"/>
        </w:rPr>
      </w:pPr>
    </w:p>
    <w:p w14:paraId="3031DED9" w14:textId="77777777" w:rsidR="007910DD" w:rsidRPr="00CD0FE9" w:rsidRDefault="007910DD" w:rsidP="00200759">
      <w:pPr>
        <w:numPr>
          <w:ilvl w:val="0"/>
          <w:numId w:val="2"/>
        </w:numPr>
        <w:jc w:val="both"/>
        <w:rPr>
          <w:rFonts w:cs="Arial"/>
          <w:sz w:val="22"/>
          <w:szCs w:val="22"/>
          <w:lang w:val="en-GB"/>
        </w:rPr>
      </w:pPr>
      <w:r w:rsidRPr="00CD0FE9">
        <w:rPr>
          <w:rFonts w:cs="Arial"/>
          <w:sz w:val="22"/>
          <w:szCs w:val="22"/>
          <w:lang w:val="en-GB" w:eastAsia="en-GB"/>
        </w:rPr>
        <w:t xml:space="preserve">The Conference of the Parties is </w:t>
      </w:r>
      <w:r w:rsidR="00691001" w:rsidRPr="00CD0FE9">
        <w:rPr>
          <w:rFonts w:cs="Arial"/>
          <w:sz w:val="22"/>
          <w:szCs w:val="22"/>
          <w:lang w:val="en-GB" w:eastAsia="en-GB"/>
        </w:rPr>
        <w:t>recommended</w:t>
      </w:r>
      <w:r w:rsidRPr="00CD0FE9">
        <w:rPr>
          <w:rFonts w:cs="Arial"/>
          <w:sz w:val="22"/>
          <w:szCs w:val="22"/>
          <w:lang w:val="en-GB" w:eastAsia="en-GB"/>
        </w:rPr>
        <w:t xml:space="preserve"> to</w:t>
      </w:r>
      <w:r w:rsidRPr="00CD0FE9">
        <w:rPr>
          <w:rFonts w:cs="Arial"/>
          <w:sz w:val="22"/>
          <w:szCs w:val="22"/>
          <w:lang w:val="en-GB"/>
        </w:rPr>
        <w:t>:</w:t>
      </w:r>
    </w:p>
    <w:p w14:paraId="043EFB16" w14:textId="77777777" w:rsidR="007910DD" w:rsidRPr="00CD0FE9" w:rsidRDefault="007910DD" w:rsidP="007910DD">
      <w:pPr>
        <w:jc w:val="both"/>
        <w:rPr>
          <w:rFonts w:cs="Arial"/>
          <w:sz w:val="22"/>
          <w:szCs w:val="22"/>
          <w:lang w:val="en-GB"/>
        </w:rPr>
      </w:pPr>
    </w:p>
    <w:p w14:paraId="7F331CB5" w14:textId="77777777" w:rsidR="007910DD" w:rsidRPr="00CD0FE9" w:rsidRDefault="007910DD" w:rsidP="007910DD">
      <w:pPr>
        <w:jc w:val="both"/>
        <w:rPr>
          <w:rFonts w:cs="Arial"/>
          <w:sz w:val="22"/>
          <w:szCs w:val="22"/>
          <w:lang w:val="en-GB"/>
        </w:rPr>
      </w:pPr>
    </w:p>
    <w:p w14:paraId="66E141EA" w14:textId="5B8C6B3E" w:rsidR="007910DD" w:rsidRPr="00CD0FE9" w:rsidRDefault="007910DD" w:rsidP="00200759">
      <w:pPr>
        <w:widowControl/>
        <w:numPr>
          <w:ilvl w:val="0"/>
          <w:numId w:val="3"/>
        </w:numPr>
        <w:autoSpaceDE/>
        <w:adjustRightInd/>
        <w:contextualSpacing/>
        <w:jc w:val="both"/>
        <w:rPr>
          <w:rFonts w:cs="Arial"/>
          <w:sz w:val="22"/>
          <w:szCs w:val="22"/>
          <w:lang w:val="en-GB"/>
        </w:rPr>
      </w:pPr>
      <w:r w:rsidRPr="00CD0FE9">
        <w:rPr>
          <w:rFonts w:cs="Arial"/>
          <w:sz w:val="22"/>
          <w:szCs w:val="22"/>
          <w:lang w:val="en-GB"/>
        </w:rPr>
        <w:t>take note of th</w:t>
      </w:r>
      <w:r w:rsidR="00897B4C">
        <w:rPr>
          <w:rFonts w:cs="Arial"/>
          <w:sz w:val="22"/>
          <w:szCs w:val="22"/>
          <w:lang w:val="en-GB"/>
        </w:rPr>
        <w:t>e revised template and guidelines for the drafting of proposals for the amendment of the Appendices contained in Annex 1 to this document</w:t>
      </w:r>
      <w:r w:rsidRPr="00CD0FE9">
        <w:rPr>
          <w:rFonts w:cs="Arial"/>
          <w:sz w:val="22"/>
          <w:szCs w:val="22"/>
          <w:lang w:val="en-GB"/>
        </w:rPr>
        <w:t>;</w:t>
      </w:r>
    </w:p>
    <w:p w14:paraId="6AAA9914" w14:textId="77777777" w:rsidR="007910DD" w:rsidRPr="00CD0FE9" w:rsidRDefault="007910DD" w:rsidP="007910DD">
      <w:pPr>
        <w:widowControl/>
        <w:autoSpaceDE/>
        <w:adjustRightInd/>
        <w:ind w:left="1440"/>
        <w:contextualSpacing/>
        <w:jc w:val="both"/>
        <w:rPr>
          <w:rFonts w:cs="Arial"/>
          <w:sz w:val="22"/>
          <w:szCs w:val="22"/>
          <w:lang w:val="en-GB"/>
        </w:rPr>
      </w:pPr>
    </w:p>
    <w:p w14:paraId="2DBF83C3" w14:textId="062630F8" w:rsidR="007910DD" w:rsidRPr="00CD0FE9" w:rsidRDefault="00897B4C" w:rsidP="00200759">
      <w:pPr>
        <w:widowControl/>
        <w:numPr>
          <w:ilvl w:val="0"/>
          <w:numId w:val="3"/>
        </w:numPr>
        <w:autoSpaceDE/>
        <w:adjustRightInd/>
        <w:contextualSpacing/>
        <w:jc w:val="both"/>
        <w:rPr>
          <w:rFonts w:cs="Arial"/>
          <w:sz w:val="22"/>
          <w:szCs w:val="22"/>
          <w:lang w:val="en-GB"/>
        </w:rPr>
      </w:pPr>
      <w:r>
        <w:rPr>
          <w:rFonts w:cs="Arial"/>
          <w:sz w:val="22"/>
          <w:szCs w:val="22"/>
          <w:lang w:val="en-GB"/>
        </w:rPr>
        <w:t>confirm the use of the template and guidelines for the submission of proposals to subsequent meetings of the COP</w:t>
      </w:r>
      <w:r w:rsidR="007910DD" w:rsidRPr="00CD0FE9">
        <w:rPr>
          <w:rFonts w:cs="Arial"/>
          <w:sz w:val="22"/>
          <w:szCs w:val="22"/>
          <w:lang w:val="en-GB"/>
        </w:rPr>
        <w:t>;</w:t>
      </w:r>
    </w:p>
    <w:p w14:paraId="272E8E1B" w14:textId="77777777" w:rsidR="007910DD" w:rsidRPr="00CD0FE9" w:rsidRDefault="007910DD" w:rsidP="007910DD">
      <w:pPr>
        <w:widowControl/>
        <w:autoSpaceDE/>
        <w:adjustRightInd/>
        <w:ind w:left="1440"/>
        <w:contextualSpacing/>
        <w:jc w:val="both"/>
        <w:rPr>
          <w:rFonts w:cs="Arial"/>
          <w:sz w:val="22"/>
          <w:szCs w:val="22"/>
          <w:lang w:val="en-GB"/>
        </w:rPr>
      </w:pPr>
    </w:p>
    <w:p w14:paraId="400E797A" w14:textId="7CBD71E9" w:rsidR="007910DD" w:rsidRDefault="00897B4C" w:rsidP="00004006">
      <w:pPr>
        <w:widowControl/>
        <w:numPr>
          <w:ilvl w:val="0"/>
          <w:numId w:val="3"/>
        </w:numPr>
        <w:autoSpaceDE/>
        <w:adjustRightInd/>
        <w:contextualSpacing/>
        <w:jc w:val="both"/>
        <w:rPr>
          <w:rFonts w:cs="Arial"/>
          <w:sz w:val="22"/>
          <w:szCs w:val="22"/>
          <w:lang w:val="en-GB"/>
        </w:rPr>
      </w:pPr>
      <w:r w:rsidRPr="00897B4C">
        <w:rPr>
          <w:rFonts w:cs="Arial"/>
          <w:sz w:val="22"/>
          <w:szCs w:val="22"/>
          <w:lang w:val="en-GB"/>
        </w:rPr>
        <w:t>approve the incorporation of the revised template and guidelines in Resolution 11.33</w:t>
      </w:r>
      <w:r w:rsidR="00196514">
        <w:rPr>
          <w:rFonts w:cs="Arial"/>
          <w:sz w:val="22"/>
          <w:szCs w:val="22"/>
          <w:lang w:val="en-GB"/>
        </w:rPr>
        <w:t xml:space="preserve"> (Rev.COP12)</w:t>
      </w:r>
      <w:r w:rsidRPr="00897B4C">
        <w:rPr>
          <w:rFonts w:cs="Arial"/>
          <w:sz w:val="22"/>
          <w:szCs w:val="22"/>
          <w:lang w:val="en-GB"/>
        </w:rPr>
        <w:t xml:space="preserve"> as an annex. </w:t>
      </w:r>
    </w:p>
    <w:p w14:paraId="1E74AE1D" w14:textId="6C945B58" w:rsidR="002F7C29" w:rsidRDefault="002F7C29" w:rsidP="002F7C29">
      <w:pPr>
        <w:widowControl/>
        <w:autoSpaceDE/>
        <w:adjustRightInd/>
        <w:contextualSpacing/>
        <w:jc w:val="both"/>
        <w:rPr>
          <w:rFonts w:cs="Arial"/>
          <w:sz w:val="22"/>
          <w:szCs w:val="22"/>
          <w:lang w:val="en-GB"/>
        </w:rPr>
        <w:sectPr w:rsidR="002F7C29" w:rsidSect="00620809">
          <w:headerReference w:type="first" r:id="rId24"/>
          <w:footerReference w:type="first" r:id="rId25"/>
          <w:endnotePr>
            <w:numFmt w:val="decimal"/>
          </w:endnotePr>
          <w:pgSz w:w="11905" w:h="16837" w:code="9"/>
          <w:pgMar w:top="1008" w:right="1411" w:bottom="1152" w:left="1411" w:header="432" w:footer="432" w:gutter="0"/>
          <w:cols w:space="720"/>
          <w:noEndnote/>
          <w:titlePg/>
          <w:docGrid w:linePitch="272"/>
        </w:sectPr>
      </w:pPr>
    </w:p>
    <w:p w14:paraId="065704BB" w14:textId="4E3FD024" w:rsidR="007910DD" w:rsidRPr="00A401F6" w:rsidRDefault="001B1752" w:rsidP="002F7C29">
      <w:pPr>
        <w:widowControl/>
        <w:autoSpaceDE/>
        <w:adjustRightInd/>
        <w:jc w:val="right"/>
        <w:rPr>
          <w:rFonts w:cs="Arial"/>
          <w:b/>
          <w:bCs/>
          <w:caps/>
          <w:sz w:val="22"/>
          <w:szCs w:val="22"/>
          <w:lang w:val="en-GB"/>
        </w:rPr>
      </w:pPr>
      <w:r w:rsidRPr="00A401F6">
        <w:rPr>
          <w:rFonts w:cs="Arial"/>
          <w:b/>
          <w:caps/>
          <w:sz w:val="22"/>
          <w:szCs w:val="22"/>
          <w:lang w:val="en-GB"/>
        </w:rPr>
        <w:lastRenderedPageBreak/>
        <w:t>Annex 1</w:t>
      </w:r>
    </w:p>
    <w:p w14:paraId="576EA585" w14:textId="027E8090" w:rsidR="001B1752" w:rsidRPr="00A401F6" w:rsidRDefault="001B1752" w:rsidP="002F7C29">
      <w:pPr>
        <w:rPr>
          <w:rFonts w:cs="Arial"/>
          <w:b/>
          <w:sz w:val="22"/>
          <w:szCs w:val="22"/>
        </w:rPr>
      </w:pPr>
    </w:p>
    <w:p w14:paraId="4AD0C166" w14:textId="77777777" w:rsidR="001B1752" w:rsidRPr="00A401F6" w:rsidRDefault="001B1752" w:rsidP="001B1752">
      <w:pPr>
        <w:jc w:val="center"/>
        <w:rPr>
          <w:rFonts w:cs="Arial"/>
          <w:b/>
          <w:sz w:val="22"/>
          <w:szCs w:val="22"/>
        </w:rPr>
      </w:pPr>
    </w:p>
    <w:p w14:paraId="459836FA" w14:textId="77777777" w:rsidR="001B1752" w:rsidRPr="00A401F6" w:rsidRDefault="001B1752" w:rsidP="001B1752">
      <w:pPr>
        <w:jc w:val="center"/>
        <w:rPr>
          <w:rFonts w:cs="Arial"/>
          <w:b/>
          <w:sz w:val="22"/>
          <w:szCs w:val="22"/>
        </w:rPr>
      </w:pPr>
      <w:r w:rsidRPr="00A401F6">
        <w:rPr>
          <w:rFonts w:cs="Arial"/>
          <w:b/>
          <w:sz w:val="22"/>
          <w:szCs w:val="22"/>
        </w:rPr>
        <w:t>FORMAT FOR PROPOSALS TO AMEND CMS APPENDICES</w:t>
      </w:r>
    </w:p>
    <w:p w14:paraId="7B81F540" w14:textId="77777777" w:rsidR="001B1752" w:rsidRPr="00A401F6" w:rsidRDefault="001B1752" w:rsidP="001B1752">
      <w:pPr>
        <w:jc w:val="center"/>
        <w:rPr>
          <w:rFonts w:cs="Arial"/>
          <w:b/>
          <w:sz w:val="22"/>
          <w:szCs w:val="22"/>
        </w:rPr>
      </w:pPr>
    </w:p>
    <w:p w14:paraId="43AA8FB0" w14:textId="77777777" w:rsidR="001B1752" w:rsidRPr="00A401F6" w:rsidRDefault="001B1752" w:rsidP="001B1752">
      <w:pPr>
        <w:jc w:val="center"/>
        <w:rPr>
          <w:rFonts w:cs="Arial"/>
          <w:i/>
          <w:sz w:val="22"/>
          <w:szCs w:val="22"/>
        </w:rPr>
      </w:pPr>
      <w:r w:rsidRPr="00A401F6">
        <w:rPr>
          <w:rFonts w:cs="Arial"/>
          <w:i/>
          <w:sz w:val="22"/>
          <w:szCs w:val="22"/>
        </w:rPr>
        <w:t>As adopted by the Standing Committee at its 45</w:t>
      </w:r>
      <w:r w:rsidRPr="00A401F6">
        <w:rPr>
          <w:rFonts w:cs="Arial"/>
          <w:i/>
          <w:sz w:val="22"/>
          <w:szCs w:val="22"/>
          <w:vertAlign w:val="superscript"/>
        </w:rPr>
        <w:t>th</w:t>
      </w:r>
      <w:r w:rsidRPr="00A401F6">
        <w:rPr>
          <w:rFonts w:cs="Arial"/>
          <w:i/>
          <w:sz w:val="22"/>
          <w:szCs w:val="22"/>
        </w:rPr>
        <w:t xml:space="preserve"> meeting</w:t>
      </w:r>
    </w:p>
    <w:p w14:paraId="01571B19" w14:textId="77777777" w:rsidR="001B1752" w:rsidRPr="00A401F6" w:rsidRDefault="001B1752" w:rsidP="001B1752">
      <w:pPr>
        <w:jc w:val="center"/>
        <w:rPr>
          <w:rFonts w:cs="Arial"/>
          <w:b/>
          <w:sz w:val="22"/>
          <w:szCs w:val="22"/>
        </w:rPr>
      </w:pPr>
    </w:p>
    <w:p w14:paraId="05B73E7D" w14:textId="77777777" w:rsidR="001B1752" w:rsidRPr="00A401F6" w:rsidRDefault="001B1752" w:rsidP="001B1752">
      <w:pPr>
        <w:pStyle w:val="Default"/>
        <w:rPr>
          <w:rFonts w:cs="Arial"/>
          <w:sz w:val="22"/>
          <w:szCs w:val="22"/>
        </w:rPr>
      </w:pPr>
    </w:p>
    <w:p w14:paraId="61E501EC" w14:textId="77777777" w:rsidR="001B1752" w:rsidRPr="00A401F6" w:rsidRDefault="001B1752" w:rsidP="001B1752">
      <w:pPr>
        <w:jc w:val="both"/>
        <w:rPr>
          <w:rFonts w:cs="Arial"/>
          <w:sz w:val="22"/>
          <w:szCs w:val="22"/>
        </w:rPr>
      </w:pPr>
      <w:r w:rsidRPr="00A401F6">
        <w:rPr>
          <w:rFonts w:cs="Arial"/>
          <w:sz w:val="22"/>
          <w:szCs w:val="22"/>
        </w:rPr>
        <w:t>A. PROPOSAL</w:t>
      </w:r>
    </w:p>
    <w:p w14:paraId="2987AF22" w14:textId="77777777" w:rsidR="001B1752" w:rsidRPr="00A401F6" w:rsidRDefault="001B1752" w:rsidP="001B1752">
      <w:pPr>
        <w:jc w:val="both"/>
        <w:rPr>
          <w:rFonts w:cs="Arial"/>
          <w:sz w:val="22"/>
          <w:szCs w:val="22"/>
        </w:rPr>
      </w:pPr>
    </w:p>
    <w:p w14:paraId="55567142" w14:textId="77777777" w:rsidR="001B1752" w:rsidRPr="00A401F6" w:rsidRDefault="001B1752" w:rsidP="001B1752">
      <w:pPr>
        <w:jc w:val="both"/>
        <w:rPr>
          <w:rFonts w:cs="Arial"/>
          <w:sz w:val="22"/>
          <w:szCs w:val="22"/>
        </w:rPr>
      </w:pPr>
      <w:r w:rsidRPr="00A401F6">
        <w:rPr>
          <w:rFonts w:cs="Arial"/>
          <w:sz w:val="22"/>
          <w:szCs w:val="22"/>
        </w:rPr>
        <w:t>B. PROPONENT</w:t>
      </w:r>
    </w:p>
    <w:p w14:paraId="7043DCDF" w14:textId="77777777" w:rsidR="001B1752" w:rsidRPr="00A401F6" w:rsidRDefault="001B1752" w:rsidP="001B1752">
      <w:pPr>
        <w:jc w:val="both"/>
        <w:rPr>
          <w:rFonts w:cs="Arial"/>
          <w:sz w:val="22"/>
          <w:szCs w:val="22"/>
        </w:rPr>
      </w:pPr>
    </w:p>
    <w:p w14:paraId="767D466D" w14:textId="77777777" w:rsidR="001B1752" w:rsidRPr="00A401F6" w:rsidRDefault="001B1752" w:rsidP="001B1752">
      <w:pPr>
        <w:jc w:val="both"/>
        <w:rPr>
          <w:rFonts w:cs="Arial"/>
          <w:sz w:val="22"/>
          <w:szCs w:val="22"/>
        </w:rPr>
      </w:pPr>
      <w:r w:rsidRPr="00A401F6">
        <w:rPr>
          <w:rFonts w:cs="Arial"/>
          <w:sz w:val="22"/>
          <w:szCs w:val="22"/>
        </w:rPr>
        <w:t>C. SUPPORTING STATEMENT</w:t>
      </w:r>
    </w:p>
    <w:p w14:paraId="3F03C7B2" w14:textId="77777777" w:rsidR="001B1752" w:rsidRPr="00A401F6" w:rsidRDefault="001B1752" w:rsidP="001B1752">
      <w:pPr>
        <w:jc w:val="both"/>
        <w:rPr>
          <w:rFonts w:cs="Arial"/>
          <w:sz w:val="22"/>
          <w:szCs w:val="22"/>
        </w:rPr>
      </w:pPr>
    </w:p>
    <w:p w14:paraId="0F10DA7F" w14:textId="77777777" w:rsidR="001B1752" w:rsidRPr="00A401F6" w:rsidRDefault="001B1752" w:rsidP="002F7C29">
      <w:pPr>
        <w:spacing w:after="120"/>
        <w:jc w:val="both"/>
        <w:rPr>
          <w:rFonts w:cs="Arial"/>
          <w:sz w:val="22"/>
          <w:szCs w:val="22"/>
        </w:rPr>
      </w:pPr>
      <w:r w:rsidRPr="00A401F6">
        <w:rPr>
          <w:rFonts w:cs="Arial"/>
          <w:sz w:val="22"/>
          <w:szCs w:val="22"/>
        </w:rPr>
        <w:tab/>
        <w:t>1. Taxonomy</w:t>
      </w:r>
    </w:p>
    <w:p w14:paraId="149B0405" w14:textId="77777777" w:rsidR="001B1752" w:rsidRPr="00A401F6" w:rsidRDefault="001B1752" w:rsidP="001B1752">
      <w:pPr>
        <w:ind w:left="720"/>
        <w:jc w:val="both"/>
        <w:rPr>
          <w:rFonts w:cs="Arial"/>
          <w:sz w:val="22"/>
          <w:szCs w:val="22"/>
        </w:rPr>
      </w:pPr>
      <w:r w:rsidRPr="00A401F6">
        <w:rPr>
          <w:rFonts w:cs="Arial"/>
          <w:sz w:val="22"/>
          <w:szCs w:val="22"/>
        </w:rPr>
        <w:tab/>
        <w:t>1.1 Class</w:t>
      </w:r>
    </w:p>
    <w:p w14:paraId="19F5EB0B" w14:textId="77777777" w:rsidR="001B1752" w:rsidRPr="00A401F6" w:rsidRDefault="001B1752" w:rsidP="001B1752">
      <w:pPr>
        <w:ind w:left="720"/>
        <w:jc w:val="both"/>
        <w:rPr>
          <w:rFonts w:cs="Arial"/>
          <w:sz w:val="22"/>
          <w:szCs w:val="22"/>
        </w:rPr>
      </w:pPr>
      <w:r w:rsidRPr="00A401F6">
        <w:rPr>
          <w:rFonts w:cs="Arial"/>
          <w:sz w:val="22"/>
          <w:szCs w:val="22"/>
        </w:rPr>
        <w:tab/>
        <w:t>1.2 Order</w:t>
      </w:r>
    </w:p>
    <w:p w14:paraId="0A46B375" w14:textId="77777777" w:rsidR="001B1752" w:rsidRPr="00A401F6" w:rsidRDefault="001B1752" w:rsidP="001B1752">
      <w:pPr>
        <w:ind w:left="720"/>
        <w:jc w:val="both"/>
        <w:rPr>
          <w:rFonts w:cs="Arial"/>
          <w:sz w:val="22"/>
          <w:szCs w:val="22"/>
        </w:rPr>
      </w:pPr>
      <w:r w:rsidRPr="00A401F6">
        <w:rPr>
          <w:rFonts w:cs="Arial"/>
          <w:sz w:val="22"/>
          <w:szCs w:val="22"/>
        </w:rPr>
        <w:tab/>
        <w:t>1.3 Family</w:t>
      </w:r>
    </w:p>
    <w:p w14:paraId="555F344B" w14:textId="77777777" w:rsidR="001B1752" w:rsidRPr="00A401F6" w:rsidRDefault="001B1752" w:rsidP="001B1752">
      <w:pPr>
        <w:ind w:left="720"/>
        <w:jc w:val="both"/>
        <w:rPr>
          <w:rFonts w:cs="Arial"/>
          <w:sz w:val="22"/>
          <w:szCs w:val="22"/>
        </w:rPr>
      </w:pPr>
      <w:r w:rsidRPr="00A401F6">
        <w:rPr>
          <w:rFonts w:cs="Arial"/>
          <w:sz w:val="22"/>
          <w:szCs w:val="22"/>
        </w:rPr>
        <w:tab/>
        <w:t>1.4 Genus, species or subspecies, including author and year</w:t>
      </w:r>
    </w:p>
    <w:p w14:paraId="40660234" w14:textId="77777777" w:rsidR="001B1752" w:rsidRPr="00A401F6" w:rsidRDefault="001B1752" w:rsidP="001B1752">
      <w:pPr>
        <w:ind w:left="720"/>
        <w:jc w:val="both"/>
        <w:rPr>
          <w:rFonts w:cs="Arial"/>
          <w:sz w:val="22"/>
          <w:szCs w:val="22"/>
        </w:rPr>
      </w:pPr>
      <w:r w:rsidRPr="00A401F6">
        <w:rPr>
          <w:rFonts w:cs="Arial"/>
          <w:sz w:val="22"/>
          <w:szCs w:val="22"/>
        </w:rPr>
        <w:tab/>
        <w:t>1.5 Scientific synonyms</w:t>
      </w:r>
    </w:p>
    <w:p w14:paraId="246F6061" w14:textId="77777777" w:rsidR="001B1752" w:rsidRPr="00A401F6" w:rsidRDefault="001B1752" w:rsidP="001B1752">
      <w:pPr>
        <w:ind w:left="720"/>
        <w:jc w:val="both"/>
        <w:rPr>
          <w:rFonts w:cs="Arial"/>
          <w:sz w:val="22"/>
          <w:szCs w:val="22"/>
        </w:rPr>
      </w:pPr>
      <w:r w:rsidRPr="00A401F6">
        <w:rPr>
          <w:rFonts w:cs="Arial"/>
          <w:sz w:val="22"/>
          <w:szCs w:val="22"/>
        </w:rPr>
        <w:tab/>
        <w:t>1.6 Common name(s), in all applicable languages used by the Convention</w:t>
      </w:r>
    </w:p>
    <w:p w14:paraId="5FD13AC2" w14:textId="77777777" w:rsidR="001B1752" w:rsidRPr="00A401F6" w:rsidRDefault="001B1752" w:rsidP="001B1752">
      <w:pPr>
        <w:jc w:val="both"/>
        <w:rPr>
          <w:rFonts w:cs="Arial"/>
          <w:sz w:val="22"/>
          <w:szCs w:val="22"/>
        </w:rPr>
      </w:pPr>
    </w:p>
    <w:p w14:paraId="78C8164A" w14:textId="77777777" w:rsidR="001B1752" w:rsidRPr="00A401F6" w:rsidRDefault="001B1752" w:rsidP="001B1752">
      <w:pPr>
        <w:jc w:val="both"/>
        <w:rPr>
          <w:rFonts w:cs="Arial"/>
          <w:sz w:val="22"/>
          <w:szCs w:val="22"/>
        </w:rPr>
      </w:pPr>
      <w:r w:rsidRPr="00A401F6">
        <w:rPr>
          <w:rFonts w:cs="Arial"/>
          <w:sz w:val="22"/>
          <w:szCs w:val="22"/>
        </w:rPr>
        <w:tab/>
        <w:t>2. Overview</w:t>
      </w:r>
    </w:p>
    <w:p w14:paraId="2F0C11B7" w14:textId="77777777" w:rsidR="001B1752" w:rsidRPr="00A401F6" w:rsidRDefault="001B1752" w:rsidP="001B1752">
      <w:pPr>
        <w:jc w:val="both"/>
        <w:rPr>
          <w:rFonts w:cs="Arial"/>
          <w:sz w:val="22"/>
          <w:szCs w:val="22"/>
        </w:rPr>
      </w:pPr>
    </w:p>
    <w:p w14:paraId="7D1064A1" w14:textId="77777777" w:rsidR="001B1752" w:rsidRPr="00A401F6" w:rsidRDefault="001B1752" w:rsidP="002F7C29">
      <w:pPr>
        <w:spacing w:after="120"/>
        <w:ind w:left="720"/>
        <w:jc w:val="both"/>
        <w:rPr>
          <w:rFonts w:cs="Arial"/>
          <w:sz w:val="22"/>
          <w:szCs w:val="22"/>
        </w:rPr>
      </w:pPr>
      <w:r w:rsidRPr="00A401F6">
        <w:rPr>
          <w:rFonts w:cs="Arial"/>
          <w:sz w:val="22"/>
          <w:szCs w:val="22"/>
        </w:rPr>
        <w:t>3 Migrations</w:t>
      </w:r>
    </w:p>
    <w:p w14:paraId="78F17BCE" w14:textId="77777777" w:rsidR="001B1752" w:rsidRPr="00A401F6" w:rsidRDefault="001B1752" w:rsidP="002F7C29">
      <w:pPr>
        <w:ind w:left="1843" w:hanging="425"/>
        <w:jc w:val="both"/>
        <w:rPr>
          <w:rFonts w:cs="Arial"/>
          <w:sz w:val="22"/>
          <w:szCs w:val="22"/>
        </w:rPr>
      </w:pPr>
      <w:r w:rsidRPr="00A401F6">
        <w:rPr>
          <w:rFonts w:cs="Arial"/>
          <w:sz w:val="22"/>
          <w:szCs w:val="22"/>
        </w:rPr>
        <w:t>3.1 Kinds of movement, distance, the cyclical and predicable nature of the migration</w:t>
      </w:r>
    </w:p>
    <w:p w14:paraId="63278FD6" w14:textId="77777777" w:rsidR="001B1752" w:rsidRPr="00A401F6" w:rsidRDefault="001B1752" w:rsidP="002F7C29">
      <w:pPr>
        <w:ind w:left="1843" w:hanging="425"/>
        <w:jc w:val="both"/>
        <w:rPr>
          <w:rFonts w:cs="Arial"/>
          <w:sz w:val="22"/>
          <w:szCs w:val="22"/>
        </w:rPr>
      </w:pPr>
      <w:r w:rsidRPr="00A401F6">
        <w:rPr>
          <w:rFonts w:cs="Arial"/>
          <w:sz w:val="22"/>
          <w:szCs w:val="22"/>
        </w:rPr>
        <w:t>3.2 Proportion of the population migrating, and why that is a significant proportion</w:t>
      </w:r>
    </w:p>
    <w:p w14:paraId="7FC5E446" w14:textId="77777777" w:rsidR="001B1752" w:rsidRPr="00A401F6" w:rsidRDefault="001B1752" w:rsidP="001B1752">
      <w:pPr>
        <w:jc w:val="both"/>
        <w:rPr>
          <w:rFonts w:cs="Arial"/>
          <w:sz w:val="22"/>
          <w:szCs w:val="22"/>
        </w:rPr>
      </w:pPr>
    </w:p>
    <w:p w14:paraId="7496C0B3" w14:textId="7F32176A" w:rsidR="001B1752" w:rsidRPr="00A401F6" w:rsidRDefault="001B1752" w:rsidP="002F7C29">
      <w:pPr>
        <w:spacing w:after="120"/>
        <w:ind w:firstLine="720"/>
        <w:jc w:val="both"/>
        <w:rPr>
          <w:rFonts w:cs="Arial"/>
          <w:sz w:val="22"/>
          <w:szCs w:val="22"/>
        </w:rPr>
      </w:pPr>
      <w:r w:rsidRPr="00A401F6">
        <w:rPr>
          <w:rFonts w:cs="Arial"/>
          <w:sz w:val="22"/>
          <w:szCs w:val="22"/>
        </w:rPr>
        <w:t>4. Biological data (other than migration)</w:t>
      </w:r>
    </w:p>
    <w:p w14:paraId="566B8BA9" w14:textId="77777777" w:rsidR="001B1752" w:rsidRPr="00A401F6" w:rsidRDefault="001B1752" w:rsidP="001B1752">
      <w:pPr>
        <w:ind w:left="720"/>
        <w:jc w:val="both"/>
        <w:rPr>
          <w:rFonts w:cs="Arial"/>
          <w:sz w:val="22"/>
          <w:szCs w:val="22"/>
        </w:rPr>
      </w:pPr>
      <w:r w:rsidRPr="00A401F6">
        <w:rPr>
          <w:rFonts w:cs="Arial"/>
          <w:sz w:val="22"/>
          <w:szCs w:val="22"/>
        </w:rPr>
        <w:tab/>
        <w:t xml:space="preserve">4.1 Distribution (current and historical) </w:t>
      </w:r>
    </w:p>
    <w:p w14:paraId="76D9BD50" w14:textId="77777777" w:rsidR="001B1752" w:rsidRPr="00A401F6" w:rsidRDefault="001B1752" w:rsidP="001B1752">
      <w:pPr>
        <w:ind w:left="720"/>
        <w:jc w:val="both"/>
        <w:rPr>
          <w:rFonts w:cs="Arial"/>
          <w:sz w:val="22"/>
          <w:szCs w:val="22"/>
        </w:rPr>
      </w:pPr>
      <w:r w:rsidRPr="00A401F6">
        <w:rPr>
          <w:rFonts w:cs="Arial"/>
          <w:sz w:val="22"/>
          <w:szCs w:val="22"/>
        </w:rPr>
        <w:tab/>
        <w:t>4.2 Population (estimates and trends)</w:t>
      </w:r>
    </w:p>
    <w:p w14:paraId="1A40ADFC" w14:textId="77777777" w:rsidR="001B1752" w:rsidRPr="00A401F6" w:rsidRDefault="001B1752" w:rsidP="001B1752">
      <w:pPr>
        <w:ind w:left="720"/>
        <w:jc w:val="both"/>
        <w:rPr>
          <w:rFonts w:cs="Arial"/>
          <w:sz w:val="22"/>
          <w:szCs w:val="22"/>
        </w:rPr>
      </w:pPr>
      <w:r w:rsidRPr="00A401F6">
        <w:rPr>
          <w:rFonts w:cs="Arial"/>
          <w:sz w:val="22"/>
          <w:szCs w:val="22"/>
        </w:rPr>
        <w:tab/>
        <w:t>4.3 Habitat (short description and trends)</w:t>
      </w:r>
    </w:p>
    <w:p w14:paraId="3E5F6334" w14:textId="77777777" w:rsidR="001B1752" w:rsidRPr="00A401F6" w:rsidRDefault="001B1752" w:rsidP="001B1752">
      <w:pPr>
        <w:ind w:left="720"/>
        <w:jc w:val="both"/>
        <w:rPr>
          <w:rFonts w:cs="Arial"/>
          <w:sz w:val="22"/>
          <w:szCs w:val="22"/>
        </w:rPr>
      </w:pPr>
      <w:r w:rsidRPr="00A401F6">
        <w:rPr>
          <w:rFonts w:cs="Arial"/>
          <w:sz w:val="22"/>
          <w:szCs w:val="22"/>
        </w:rPr>
        <w:tab/>
        <w:t>4.4 Biological characteristics</w:t>
      </w:r>
    </w:p>
    <w:p w14:paraId="6C6DA6BE" w14:textId="77777777" w:rsidR="001B1752" w:rsidRPr="00A401F6" w:rsidRDefault="001B1752" w:rsidP="001B1752">
      <w:pPr>
        <w:ind w:left="720"/>
        <w:jc w:val="both"/>
        <w:rPr>
          <w:rFonts w:cs="Arial"/>
          <w:sz w:val="22"/>
          <w:szCs w:val="22"/>
        </w:rPr>
      </w:pPr>
      <w:r w:rsidRPr="00A401F6">
        <w:rPr>
          <w:rFonts w:cs="Arial"/>
          <w:sz w:val="22"/>
          <w:szCs w:val="22"/>
        </w:rPr>
        <w:tab/>
        <w:t xml:space="preserve">4.5 Role of the taxon in its ecosystem </w:t>
      </w:r>
    </w:p>
    <w:p w14:paraId="45A2B398" w14:textId="77777777" w:rsidR="001B1752" w:rsidRPr="00A401F6" w:rsidRDefault="001B1752" w:rsidP="001B1752">
      <w:pPr>
        <w:ind w:left="720"/>
        <w:jc w:val="both"/>
        <w:rPr>
          <w:rFonts w:cs="Arial"/>
          <w:sz w:val="22"/>
          <w:szCs w:val="22"/>
        </w:rPr>
      </w:pPr>
    </w:p>
    <w:p w14:paraId="19F14BEF" w14:textId="3BA697FE" w:rsidR="001B1752" w:rsidRPr="00A401F6" w:rsidRDefault="001B1752" w:rsidP="002F7C29">
      <w:pPr>
        <w:spacing w:after="120"/>
        <w:jc w:val="both"/>
        <w:rPr>
          <w:rFonts w:cs="Arial"/>
          <w:sz w:val="22"/>
          <w:szCs w:val="22"/>
        </w:rPr>
      </w:pPr>
      <w:r w:rsidRPr="00A401F6">
        <w:rPr>
          <w:rFonts w:cs="Arial"/>
          <w:sz w:val="22"/>
          <w:szCs w:val="22"/>
        </w:rPr>
        <w:tab/>
        <w:t xml:space="preserve">5. Conservation status and threats </w:t>
      </w:r>
    </w:p>
    <w:p w14:paraId="58FAC47F" w14:textId="77777777" w:rsidR="001B1752" w:rsidRPr="00A401F6" w:rsidRDefault="001B1752" w:rsidP="001B1752">
      <w:pPr>
        <w:ind w:left="720" w:firstLine="720"/>
        <w:jc w:val="both"/>
        <w:rPr>
          <w:rFonts w:cs="Arial"/>
          <w:sz w:val="22"/>
          <w:szCs w:val="22"/>
        </w:rPr>
      </w:pPr>
      <w:r w:rsidRPr="00A401F6">
        <w:rPr>
          <w:rFonts w:cs="Arial"/>
          <w:sz w:val="22"/>
          <w:szCs w:val="22"/>
        </w:rPr>
        <w:t>5.1 IUCN Red List Assessment (if available)</w:t>
      </w:r>
    </w:p>
    <w:p w14:paraId="27513094" w14:textId="77777777" w:rsidR="001B1752" w:rsidRPr="00A401F6" w:rsidRDefault="001B1752" w:rsidP="001B1752">
      <w:pPr>
        <w:ind w:left="720"/>
        <w:jc w:val="both"/>
        <w:rPr>
          <w:rFonts w:cs="Arial"/>
          <w:sz w:val="22"/>
          <w:szCs w:val="22"/>
        </w:rPr>
      </w:pPr>
      <w:r w:rsidRPr="00A401F6">
        <w:rPr>
          <w:rFonts w:cs="Arial"/>
          <w:sz w:val="22"/>
          <w:szCs w:val="22"/>
        </w:rPr>
        <w:tab/>
        <w:t xml:space="preserve">5.2 Equivalent information relevant to conservation status assessment </w:t>
      </w:r>
    </w:p>
    <w:p w14:paraId="70C15B94" w14:textId="77777777" w:rsidR="001B1752" w:rsidRPr="00A401F6" w:rsidRDefault="001B1752" w:rsidP="001B1752">
      <w:pPr>
        <w:ind w:left="1440"/>
        <w:jc w:val="both"/>
        <w:rPr>
          <w:rFonts w:cs="Arial"/>
          <w:sz w:val="22"/>
          <w:szCs w:val="22"/>
        </w:rPr>
      </w:pPr>
      <w:r w:rsidRPr="00A401F6">
        <w:rPr>
          <w:rFonts w:cs="Arial"/>
          <w:sz w:val="22"/>
          <w:szCs w:val="22"/>
        </w:rPr>
        <w:t>5.3 Threats to the population (factors, intensity)</w:t>
      </w:r>
      <w:r w:rsidRPr="00A401F6">
        <w:rPr>
          <w:rFonts w:cs="Arial"/>
          <w:sz w:val="22"/>
          <w:szCs w:val="22"/>
        </w:rPr>
        <w:tab/>
      </w:r>
    </w:p>
    <w:p w14:paraId="44E33759" w14:textId="77777777" w:rsidR="001B1752" w:rsidRPr="00A401F6" w:rsidRDefault="001B1752" w:rsidP="001B1752">
      <w:pPr>
        <w:ind w:left="720"/>
        <w:jc w:val="both"/>
        <w:rPr>
          <w:rFonts w:cs="Arial"/>
          <w:sz w:val="22"/>
          <w:szCs w:val="22"/>
        </w:rPr>
      </w:pPr>
      <w:r w:rsidRPr="00A401F6">
        <w:rPr>
          <w:rFonts w:cs="Arial"/>
          <w:sz w:val="22"/>
          <w:szCs w:val="22"/>
        </w:rPr>
        <w:tab/>
        <w:t>5.4 Threats connected especially with migrations</w:t>
      </w:r>
    </w:p>
    <w:p w14:paraId="5BCF3177" w14:textId="77777777" w:rsidR="001B1752" w:rsidRPr="00A401F6" w:rsidRDefault="001B1752" w:rsidP="001B1752">
      <w:pPr>
        <w:ind w:left="720"/>
        <w:jc w:val="both"/>
        <w:rPr>
          <w:rFonts w:cs="Arial"/>
          <w:sz w:val="22"/>
          <w:szCs w:val="22"/>
        </w:rPr>
      </w:pPr>
      <w:r w:rsidRPr="00A401F6">
        <w:rPr>
          <w:rFonts w:cs="Arial"/>
          <w:sz w:val="22"/>
          <w:szCs w:val="22"/>
        </w:rPr>
        <w:tab/>
        <w:t>5.5 National and international utilization</w:t>
      </w:r>
      <w:r w:rsidRPr="00A401F6">
        <w:rPr>
          <w:rFonts w:cs="Arial"/>
          <w:sz w:val="22"/>
          <w:szCs w:val="22"/>
        </w:rPr>
        <w:tab/>
      </w:r>
    </w:p>
    <w:p w14:paraId="36A97DCB" w14:textId="77777777" w:rsidR="001B1752" w:rsidRPr="00A401F6" w:rsidRDefault="001B1752" w:rsidP="001B1752">
      <w:pPr>
        <w:ind w:left="720"/>
        <w:jc w:val="both"/>
        <w:rPr>
          <w:rFonts w:cs="Arial"/>
          <w:sz w:val="22"/>
          <w:szCs w:val="22"/>
        </w:rPr>
      </w:pPr>
    </w:p>
    <w:p w14:paraId="3541C47E" w14:textId="1F5349F0" w:rsidR="001B1752" w:rsidRPr="00A401F6" w:rsidRDefault="001B1752" w:rsidP="002F7C29">
      <w:pPr>
        <w:spacing w:after="120"/>
        <w:jc w:val="both"/>
        <w:rPr>
          <w:rFonts w:cs="Arial"/>
          <w:sz w:val="22"/>
          <w:szCs w:val="22"/>
        </w:rPr>
      </w:pPr>
      <w:r w:rsidRPr="00A401F6">
        <w:rPr>
          <w:rFonts w:cs="Arial"/>
          <w:sz w:val="22"/>
          <w:szCs w:val="22"/>
        </w:rPr>
        <w:tab/>
        <w:t xml:space="preserve">6. Protection status and species management </w:t>
      </w:r>
    </w:p>
    <w:p w14:paraId="371BEC9E" w14:textId="77777777" w:rsidR="001B1752" w:rsidRPr="00A401F6" w:rsidRDefault="001B1752" w:rsidP="001B1752">
      <w:pPr>
        <w:ind w:left="720"/>
        <w:jc w:val="both"/>
        <w:rPr>
          <w:rFonts w:cs="Arial"/>
          <w:sz w:val="22"/>
          <w:szCs w:val="22"/>
        </w:rPr>
      </w:pPr>
      <w:r w:rsidRPr="00A401F6">
        <w:rPr>
          <w:rFonts w:cs="Arial"/>
          <w:sz w:val="22"/>
          <w:szCs w:val="22"/>
        </w:rPr>
        <w:tab/>
        <w:t>6.1 National protection status</w:t>
      </w:r>
    </w:p>
    <w:p w14:paraId="455130E1" w14:textId="77777777" w:rsidR="001B1752" w:rsidRPr="00A401F6" w:rsidRDefault="001B1752" w:rsidP="001B1752">
      <w:pPr>
        <w:ind w:left="720"/>
        <w:jc w:val="both"/>
        <w:rPr>
          <w:rFonts w:cs="Arial"/>
          <w:sz w:val="22"/>
          <w:szCs w:val="22"/>
        </w:rPr>
      </w:pPr>
      <w:r w:rsidRPr="00A401F6">
        <w:rPr>
          <w:rFonts w:cs="Arial"/>
          <w:sz w:val="22"/>
          <w:szCs w:val="22"/>
        </w:rPr>
        <w:tab/>
        <w:t>6.2 International protection status</w:t>
      </w:r>
    </w:p>
    <w:p w14:paraId="56CD0C84" w14:textId="77777777" w:rsidR="001B1752" w:rsidRPr="00A401F6" w:rsidRDefault="001B1752" w:rsidP="001B1752">
      <w:pPr>
        <w:ind w:left="720"/>
        <w:jc w:val="both"/>
        <w:rPr>
          <w:rFonts w:cs="Arial"/>
          <w:sz w:val="22"/>
          <w:szCs w:val="22"/>
        </w:rPr>
      </w:pPr>
      <w:r w:rsidRPr="00A401F6">
        <w:rPr>
          <w:rFonts w:cs="Arial"/>
          <w:sz w:val="22"/>
          <w:szCs w:val="22"/>
        </w:rPr>
        <w:tab/>
        <w:t>6.3 Management measures</w:t>
      </w:r>
    </w:p>
    <w:p w14:paraId="1366098F" w14:textId="77777777" w:rsidR="001B1752" w:rsidRPr="00A401F6" w:rsidRDefault="001B1752" w:rsidP="001B1752">
      <w:pPr>
        <w:ind w:left="720"/>
        <w:jc w:val="both"/>
        <w:rPr>
          <w:rFonts w:cs="Arial"/>
          <w:sz w:val="22"/>
          <w:szCs w:val="22"/>
        </w:rPr>
      </w:pPr>
      <w:r w:rsidRPr="00A401F6">
        <w:rPr>
          <w:rFonts w:cs="Arial"/>
          <w:sz w:val="22"/>
          <w:szCs w:val="22"/>
        </w:rPr>
        <w:tab/>
        <w:t>6.4 Habitat conservation</w:t>
      </w:r>
    </w:p>
    <w:p w14:paraId="4C89721D" w14:textId="77777777" w:rsidR="001B1752" w:rsidRPr="00A401F6" w:rsidRDefault="001B1752" w:rsidP="001B1752">
      <w:pPr>
        <w:ind w:left="720"/>
        <w:jc w:val="both"/>
        <w:rPr>
          <w:rFonts w:cs="Arial"/>
          <w:sz w:val="22"/>
          <w:szCs w:val="22"/>
        </w:rPr>
      </w:pPr>
      <w:r w:rsidRPr="00A401F6">
        <w:rPr>
          <w:rFonts w:cs="Arial"/>
          <w:sz w:val="22"/>
          <w:szCs w:val="22"/>
        </w:rPr>
        <w:tab/>
        <w:t>6.5 Population monitoring</w:t>
      </w:r>
    </w:p>
    <w:p w14:paraId="4FEBA118" w14:textId="6783E4BB" w:rsidR="001B1752" w:rsidRPr="00A401F6" w:rsidRDefault="001B1752" w:rsidP="001B1752">
      <w:pPr>
        <w:jc w:val="both"/>
        <w:rPr>
          <w:rFonts w:cs="Arial"/>
          <w:sz w:val="22"/>
          <w:szCs w:val="22"/>
        </w:rPr>
      </w:pPr>
    </w:p>
    <w:p w14:paraId="49EABDD0" w14:textId="0984B410" w:rsidR="002F7C29" w:rsidRPr="00A401F6" w:rsidRDefault="002F7C29" w:rsidP="001B1752">
      <w:pPr>
        <w:jc w:val="both"/>
        <w:rPr>
          <w:rFonts w:cs="Arial"/>
          <w:sz w:val="22"/>
          <w:szCs w:val="22"/>
        </w:rPr>
      </w:pPr>
    </w:p>
    <w:p w14:paraId="42FC8FDF" w14:textId="597C47DD" w:rsidR="002F7C29" w:rsidRPr="00A401F6" w:rsidRDefault="002F7C29" w:rsidP="001B1752">
      <w:pPr>
        <w:jc w:val="both"/>
        <w:rPr>
          <w:rFonts w:cs="Arial"/>
          <w:sz w:val="22"/>
          <w:szCs w:val="22"/>
        </w:rPr>
      </w:pPr>
    </w:p>
    <w:p w14:paraId="0FDDE119" w14:textId="7B111976" w:rsidR="002F7C29" w:rsidRPr="00A401F6" w:rsidRDefault="002F7C29" w:rsidP="001B1752">
      <w:pPr>
        <w:jc w:val="both"/>
        <w:rPr>
          <w:rFonts w:cs="Arial"/>
          <w:sz w:val="22"/>
          <w:szCs w:val="22"/>
        </w:rPr>
      </w:pPr>
    </w:p>
    <w:p w14:paraId="7E0EADF2" w14:textId="2A61EBAE" w:rsidR="002F7C29" w:rsidRPr="00A401F6" w:rsidRDefault="002F7C29" w:rsidP="001B1752">
      <w:pPr>
        <w:jc w:val="both"/>
        <w:rPr>
          <w:rFonts w:cs="Arial"/>
          <w:sz w:val="22"/>
          <w:szCs w:val="22"/>
        </w:rPr>
      </w:pPr>
    </w:p>
    <w:p w14:paraId="099B32CE" w14:textId="77777777" w:rsidR="002F7C29" w:rsidRPr="00A401F6" w:rsidRDefault="002F7C29" w:rsidP="001B1752">
      <w:pPr>
        <w:jc w:val="both"/>
        <w:rPr>
          <w:rFonts w:cs="Arial"/>
          <w:sz w:val="22"/>
          <w:szCs w:val="22"/>
        </w:rPr>
      </w:pPr>
    </w:p>
    <w:p w14:paraId="3739435D" w14:textId="6C91EC2A" w:rsidR="001B1752" w:rsidRPr="00A401F6" w:rsidRDefault="001B1752" w:rsidP="002F7C29">
      <w:pPr>
        <w:spacing w:after="120"/>
        <w:ind w:left="720"/>
        <w:rPr>
          <w:rFonts w:cs="Arial"/>
          <w:sz w:val="22"/>
          <w:szCs w:val="22"/>
        </w:rPr>
      </w:pPr>
      <w:r w:rsidRPr="00A401F6">
        <w:rPr>
          <w:rFonts w:cs="Arial"/>
          <w:sz w:val="22"/>
          <w:szCs w:val="22"/>
        </w:rPr>
        <w:t>7. Effects of the proposed amendment</w:t>
      </w:r>
    </w:p>
    <w:p w14:paraId="2ADA0640" w14:textId="77777777" w:rsidR="001B1752" w:rsidRPr="00A401F6" w:rsidRDefault="001B1752" w:rsidP="001B1752">
      <w:pPr>
        <w:ind w:left="720"/>
        <w:jc w:val="both"/>
        <w:rPr>
          <w:rFonts w:cs="Arial"/>
          <w:sz w:val="22"/>
          <w:szCs w:val="22"/>
        </w:rPr>
      </w:pPr>
      <w:r w:rsidRPr="00A401F6">
        <w:rPr>
          <w:rFonts w:cs="Arial"/>
          <w:sz w:val="22"/>
          <w:szCs w:val="22"/>
        </w:rPr>
        <w:tab/>
        <w:t>7.1 Anticipated benefits of the amendment</w:t>
      </w:r>
    </w:p>
    <w:p w14:paraId="092E9953" w14:textId="77777777" w:rsidR="001B1752" w:rsidRPr="00A401F6" w:rsidRDefault="001B1752" w:rsidP="001B1752">
      <w:pPr>
        <w:ind w:left="720" w:firstLine="720"/>
        <w:jc w:val="both"/>
        <w:rPr>
          <w:rFonts w:cs="Arial"/>
          <w:sz w:val="22"/>
          <w:szCs w:val="22"/>
        </w:rPr>
      </w:pPr>
      <w:r w:rsidRPr="00A401F6">
        <w:rPr>
          <w:rFonts w:cs="Arial"/>
          <w:sz w:val="22"/>
          <w:szCs w:val="22"/>
        </w:rPr>
        <w:t>7.2 Potential risks of the amendment</w:t>
      </w:r>
    </w:p>
    <w:p w14:paraId="5BBCB0FC" w14:textId="77777777" w:rsidR="001B1752" w:rsidRPr="00A401F6" w:rsidRDefault="001B1752" w:rsidP="001B1752">
      <w:pPr>
        <w:ind w:left="1800" w:hanging="360"/>
        <w:jc w:val="both"/>
        <w:rPr>
          <w:rFonts w:cs="Arial"/>
          <w:sz w:val="22"/>
          <w:szCs w:val="22"/>
        </w:rPr>
      </w:pPr>
      <w:r w:rsidRPr="00A401F6">
        <w:rPr>
          <w:rFonts w:cs="Arial"/>
          <w:sz w:val="22"/>
          <w:szCs w:val="22"/>
        </w:rPr>
        <w:t>7.3 Intention of the proponent concerning development of an Agreement or Concerted Action</w:t>
      </w:r>
    </w:p>
    <w:p w14:paraId="70DE9759" w14:textId="77777777" w:rsidR="001B1752" w:rsidRPr="00A401F6" w:rsidRDefault="001B1752" w:rsidP="001B1752">
      <w:pPr>
        <w:ind w:left="1800" w:hanging="360"/>
        <w:jc w:val="both"/>
        <w:rPr>
          <w:rFonts w:cs="Arial"/>
          <w:sz w:val="22"/>
          <w:szCs w:val="22"/>
        </w:rPr>
      </w:pPr>
    </w:p>
    <w:p w14:paraId="26612F70" w14:textId="77777777" w:rsidR="001B1752" w:rsidRPr="00A401F6" w:rsidRDefault="001B1752" w:rsidP="001B1752">
      <w:pPr>
        <w:jc w:val="both"/>
        <w:rPr>
          <w:rFonts w:cs="Arial"/>
          <w:sz w:val="22"/>
          <w:szCs w:val="22"/>
        </w:rPr>
      </w:pPr>
      <w:r w:rsidRPr="00A401F6">
        <w:rPr>
          <w:rFonts w:cs="Arial"/>
          <w:sz w:val="22"/>
          <w:szCs w:val="22"/>
        </w:rPr>
        <w:tab/>
        <w:t>8. Range States</w:t>
      </w:r>
    </w:p>
    <w:p w14:paraId="7965AA22" w14:textId="77777777" w:rsidR="001B1752" w:rsidRPr="00A401F6" w:rsidRDefault="001B1752" w:rsidP="001B1752">
      <w:pPr>
        <w:jc w:val="both"/>
        <w:rPr>
          <w:rFonts w:cs="Arial"/>
          <w:sz w:val="22"/>
          <w:szCs w:val="22"/>
        </w:rPr>
      </w:pPr>
    </w:p>
    <w:p w14:paraId="4C3CE15F" w14:textId="77777777" w:rsidR="001B1752" w:rsidRPr="00A401F6" w:rsidRDefault="001B1752" w:rsidP="001B1752">
      <w:pPr>
        <w:jc w:val="both"/>
        <w:rPr>
          <w:rFonts w:cs="Arial"/>
          <w:sz w:val="22"/>
          <w:szCs w:val="22"/>
        </w:rPr>
      </w:pPr>
      <w:r w:rsidRPr="00A401F6">
        <w:rPr>
          <w:rFonts w:cs="Arial"/>
          <w:sz w:val="22"/>
          <w:szCs w:val="22"/>
        </w:rPr>
        <w:tab/>
        <w:t>9. Consultations</w:t>
      </w:r>
    </w:p>
    <w:p w14:paraId="27F66029" w14:textId="77777777" w:rsidR="001B1752" w:rsidRPr="00A401F6" w:rsidRDefault="001B1752" w:rsidP="001B1752">
      <w:pPr>
        <w:jc w:val="both"/>
        <w:rPr>
          <w:rFonts w:cs="Arial"/>
          <w:sz w:val="22"/>
          <w:szCs w:val="22"/>
        </w:rPr>
      </w:pPr>
    </w:p>
    <w:p w14:paraId="31D3C69C" w14:textId="77777777" w:rsidR="001B1752" w:rsidRPr="00A401F6" w:rsidRDefault="001B1752" w:rsidP="001B1752">
      <w:pPr>
        <w:jc w:val="both"/>
        <w:rPr>
          <w:rFonts w:cs="Arial"/>
          <w:sz w:val="22"/>
          <w:szCs w:val="22"/>
        </w:rPr>
      </w:pPr>
      <w:r w:rsidRPr="00A401F6">
        <w:rPr>
          <w:rFonts w:cs="Arial"/>
          <w:sz w:val="22"/>
          <w:szCs w:val="22"/>
        </w:rPr>
        <w:tab/>
        <w:t>10. Additional remarks</w:t>
      </w:r>
    </w:p>
    <w:p w14:paraId="24770D9D" w14:textId="77777777" w:rsidR="001B1752" w:rsidRPr="00A401F6" w:rsidRDefault="001B1752" w:rsidP="001B1752">
      <w:pPr>
        <w:jc w:val="both"/>
        <w:rPr>
          <w:rFonts w:cs="Arial"/>
          <w:sz w:val="22"/>
          <w:szCs w:val="22"/>
        </w:rPr>
      </w:pPr>
      <w:r w:rsidRPr="00A401F6">
        <w:rPr>
          <w:rFonts w:cs="Arial"/>
          <w:sz w:val="22"/>
          <w:szCs w:val="22"/>
        </w:rPr>
        <w:tab/>
      </w:r>
    </w:p>
    <w:p w14:paraId="065209B2" w14:textId="77777777" w:rsidR="001B1752" w:rsidRPr="00A401F6" w:rsidRDefault="001B1752" w:rsidP="001B1752">
      <w:pPr>
        <w:jc w:val="both"/>
        <w:rPr>
          <w:rFonts w:cs="Arial"/>
          <w:sz w:val="22"/>
          <w:szCs w:val="22"/>
        </w:rPr>
      </w:pPr>
      <w:r w:rsidRPr="00A401F6">
        <w:rPr>
          <w:rFonts w:cs="Arial"/>
          <w:sz w:val="22"/>
          <w:szCs w:val="22"/>
        </w:rPr>
        <w:tab/>
        <w:t>11. References</w:t>
      </w:r>
    </w:p>
    <w:p w14:paraId="144A93FC" w14:textId="0A79DE64" w:rsidR="001B1752" w:rsidRPr="00A401F6" w:rsidRDefault="001B1752" w:rsidP="001B1752">
      <w:pPr>
        <w:jc w:val="both"/>
        <w:rPr>
          <w:rFonts w:cs="Arial"/>
          <w:sz w:val="22"/>
          <w:szCs w:val="22"/>
        </w:rPr>
      </w:pPr>
    </w:p>
    <w:p w14:paraId="005560F9" w14:textId="4F159539" w:rsidR="002F7C29" w:rsidRPr="00A401F6" w:rsidRDefault="002F7C29" w:rsidP="001B1752">
      <w:pPr>
        <w:jc w:val="both"/>
        <w:rPr>
          <w:rFonts w:cs="Arial"/>
          <w:sz w:val="22"/>
          <w:szCs w:val="22"/>
        </w:rPr>
      </w:pPr>
    </w:p>
    <w:p w14:paraId="0A0A7F08" w14:textId="442BF5B2" w:rsidR="002F7C29" w:rsidRPr="00A401F6" w:rsidRDefault="002F7C29" w:rsidP="001B1752">
      <w:pPr>
        <w:jc w:val="both"/>
        <w:rPr>
          <w:rFonts w:cs="Arial"/>
          <w:sz w:val="22"/>
          <w:szCs w:val="22"/>
        </w:rPr>
      </w:pPr>
    </w:p>
    <w:p w14:paraId="657D78E4" w14:textId="1BAF9195" w:rsidR="002F7C29" w:rsidRPr="00A401F6" w:rsidRDefault="002F7C29" w:rsidP="001B1752">
      <w:pPr>
        <w:jc w:val="both"/>
        <w:rPr>
          <w:rFonts w:cs="Arial"/>
          <w:sz w:val="22"/>
          <w:szCs w:val="22"/>
        </w:rPr>
      </w:pPr>
    </w:p>
    <w:p w14:paraId="3970C910" w14:textId="77777777" w:rsidR="002F7C29" w:rsidRPr="00A401F6" w:rsidRDefault="002F7C29" w:rsidP="001B1752">
      <w:pPr>
        <w:jc w:val="both"/>
        <w:rPr>
          <w:rFonts w:cs="Arial"/>
          <w:sz w:val="22"/>
          <w:szCs w:val="22"/>
        </w:rPr>
      </w:pPr>
    </w:p>
    <w:p w14:paraId="2D90903D" w14:textId="77777777" w:rsidR="002F7C29" w:rsidRPr="00A401F6" w:rsidRDefault="001B1752" w:rsidP="001B1752">
      <w:pPr>
        <w:pStyle w:val="Default"/>
        <w:jc w:val="both"/>
        <w:rPr>
          <w:rFonts w:cs="Arial"/>
          <w:bCs/>
          <w:sz w:val="22"/>
          <w:szCs w:val="22"/>
        </w:rPr>
      </w:pPr>
      <w:r w:rsidRPr="00A401F6">
        <w:rPr>
          <w:rFonts w:cs="Arial"/>
          <w:sz w:val="22"/>
          <w:szCs w:val="22"/>
        </w:rPr>
        <w:t xml:space="preserve">N.B. Proponents should refer to Resolution 11.33 </w:t>
      </w:r>
      <w:hyperlink r:id="rId26" w:history="1">
        <w:r w:rsidRPr="00A401F6">
          <w:rPr>
            <w:rStyle w:val="Hyperlink"/>
            <w:rFonts w:cs="Arial"/>
            <w:bCs/>
            <w:i/>
            <w:sz w:val="22"/>
            <w:szCs w:val="22"/>
          </w:rPr>
          <w:t xml:space="preserve">Guidelines for </w:t>
        </w:r>
        <w:r w:rsidR="0007246E" w:rsidRPr="00A401F6">
          <w:rPr>
            <w:rStyle w:val="Hyperlink"/>
            <w:rFonts w:cs="Arial"/>
            <w:bCs/>
            <w:i/>
            <w:sz w:val="22"/>
            <w:szCs w:val="22"/>
          </w:rPr>
          <w:t>As</w:t>
        </w:r>
        <w:r w:rsidRPr="00A401F6">
          <w:rPr>
            <w:rStyle w:val="Hyperlink"/>
            <w:rFonts w:cs="Arial"/>
            <w:bCs/>
            <w:i/>
            <w:sz w:val="22"/>
            <w:szCs w:val="22"/>
          </w:rPr>
          <w:t>sessing</w:t>
        </w:r>
        <w:r w:rsidR="0007246E" w:rsidRPr="00A401F6">
          <w:rPr>
            <w:rStyle w:val="Hyperlink"/>
            <w:rFonts w:cs="Arial"/>
            <w:bCs/>
            <w:i/>
            <w:sz w:val="22"/>
            <w:szCs w:val="22"/>
          </w:rPr>
          <w:t xml:space="preserve"> L</w:t>
        </w:r>
        <w:r w:rsidRPr="00A401F6">
          <w:rPr>
            <w:rStyle w:val="Hyperlink"/>
            <w:rFonts w:cs="Arial"/>
            <w:bCs/>
            <w:i/>
            <w:sz w:val="22"/>
            <w:szCs w:val="22"/>
          </w:rPr>
          <w:t xml:space="preserve">isting </w:t>
        </w:r>
        <w:r w:rsidR="0007246E" w:rsidRPr="00A401F6">
          <w:rPr>
            <w:rStyle w:val="Hyperlink"/>
            <w:rFonts w:cs="Arial"/>
            <w:bCs/>
            <w:i/>
            <w:sz w:val="22"/>
            <w:szCs w:val="22"/>
          </w:rPr>
          <w:t>P</w:t>
        </w:r>
        <w:r w:rsidRPr="00A401F6">
          <w:rPr>
            <w:rStyle w:val="Hyperlink"/>
            <w:rFonts w:cs="Arial"/>
            <w:bCs/>
            <w:i/>
            <w:sz w:val="22"/>
            <w:szCs w:val="22"/>
          </w:rPr>
          <w:t>roposals to Appendices I and II of the Convention</w:t>
        </w:r>
      </w:hyperlink>
      <w:r w:rsidRPr="00A401F6">
        <w:rPr>
          <w:rFonts w:cs="Arial"/>
          <w:bCs/>
          <w:sz w:val="22"/>
          <w:szCs w:val="22"/>
        </w:rPr>
        <w:t xml:space="preserve"> to ensure the proposal includes all relevant information to enable the Scientific Council and the Conference of the Parties to evaluate the merits of the proposal made. </w:t>
      </w:r>
    </w:p>
    <w:p w14:paraId="29C4898F" w14:textId="77777777" w:rsidR="002F7C29" w:rsidRPr="00A401F6" w:rsidRDefault="002F7C29" w:rsidP="001B1752">
      <w:pPr>
        <w:pStyle w:val="Default"/>
        <w:jc w:val="both"/>
        <w:rPr>
          <w:rFonts w:cs="Arial"/>
          <w:bCs/>
          <w:sz w:val="22"/>
          <w:szCs w:val="22"/>
        </w:rPr>
        <w:sectPr w:rsidR="002F7C29" w:rsidRPr="00A401F6" w:rsidSect="00620809">
          <w:headerReference w:type="even" r:id="rId27"/>
          <w:headerReference w:type="default" r:id="rId28"/>
          <w:headerReference w:type="first" r:id="rId29"/>
          <w:endnotePr>
            <w:numFmt w:val="decimal"/>
          </w:endnotePr>
          <w:pgSz w:w="11905" w:h="16837" w:code="9"/>
          <w:pgMar w:top="1008" w:right="1411" w:bottom="1152" w:left="1411" w:header="432" w:footer="432" w:gutter="0"/>
          <w:cols w:space="720"/>
          <w:noEndnote/>
          <w:titlePg/>
          <w:docGrid w:linePitch="272"/>
        </w:sectPr>
      </w:pPr>
    </w:p>
    <w:p w14:paraId="7C4F8EF8" w14:textId="3A3F4EF3" w:rsidR="002F7C29" w:rsidRPr="00A401F6" w:rsidRDefault="002F7C29" w:rsidP="001B1752">
      <w:pPr>
        <w:pStyle w:val="Default"/>
        <w:jc w:val="both"/>
        <w:rPr>
          <w:rFonts w:cs="Arial"/>
          <w:bCs/>
          <w:sz w:val="22"/>
          <w:szCs w:val="22"/>
        </w:rPr>
      </w:pPr>
    </w:p>
    <w:p w14:paraId="253B112E" w14:textId="77777777" w:rsidR="001B1752" w:rsidRPr="00A401F6" w:rsidRDefault="001B1752" w:rsidP="001B1752">
      <w:pPr>
        <w:jc w:val="both"/>
        <w:rPr>
          <w:rFonts w:cs="Arial"/>
          <w:b/>
          <w:sz w:val="22"/>
          <w:szCs w:val="22"/>
        </w:rPr>
      </w:pPr>
      <w:r w:rsidRPr="00A401F6">
        <w:rPr>
          <w:rFonts w:cs="Arial"/>
          <w:b/>
          <w:sz w:val="22"/>
          <w:szCs w:val="22"/>
        </w:rPr>
        <w:t>Explanatory notes</w:t>
      </w:r>
    </w:p>
    <w:p w14:paraId="660ED6DE" w14:textId="77777777" w:rsidR="001B1752" w:rsidRPr="00A401F6" w:rsidRDefault="001B1752" w:rsidP="001B1752">
      <w:pPr>
        <w:jc w:val="both"/>
        <w:rPr>
          <w:rFonts w:cs="Arial"/>
          <w:sz w:val="22"/>
          <w:szCs w:val="22"/>
        </w:rPr>
      </w:pPr>
    </w:p>
    <w:p w14:paraId="6255F596" w14:textId="77777777" w:rsidR="001B1752" w:rsidRPr="00A401F6" w:rsidRDefault="001B1752" w:rsidP="001B1752">
      <w:pPr>
        <w:pStyle w:val="Default"/>
        <w:rPr>
          <w:rFonts w:cs="Arial"/>
          <w:bCs/>
          <w:sz w:val="22"/>
          <w:szCs w:val="22"/>
        </w:rPr>
      </w:pPr>
      <w:r w:rsidRPr="00A401F6">
        <w:rPr>
          <w:rFonts w:cs="Arial"/>
          <w:bCs/>
          <w:sz w:val="22"/>
          <w:szCs w:val="22"/>
        </w:rPr>
        <w:t xml:space="preserve">Information should be provided for </w:t>
      </w:r>
      <w:r w:rsidRPr="00A401F6">
        <w:rPr>
          <w:rFonts w:cs="Arial"/>
          <w:bCs/>
          <w:sz w:val="22"/>
          <w:szCs w:val="22"/>
          <w:u w:val="single"/>
        </w:rPr>
        <w:t>all</w:t>
      </w:r>
      <w:r w:rsidRPr="00A401F6">
        <w:rPr>
          <w:rFonts w:cs="Arial"/>
          <w:bCs/>
          <w:sz w:val="22"/>
          <w:szCs w:val="22"/>
        </w:rPr>
        <w:t xml:space="preserve"> sections of the template – in a concise and factual manner.  </w:t>
      </w:r>
    </w:p>
    <w:p w14:paraId="16BB6DC3" w14:textId="77777777" w:rsidR="001B1752" w:rsidRPr="00A401F6" w:rsidRDefault="001B1752" w:rsidP="001B1752">
      <w:pPr>
        <w:jc w:val="both"/>
        <w:rPr>
          <w:rFonts w:cs="Arial"/>
          <w:sz w:val="22"/>
          <w:szCs w:val="22"/>
        </w:rPr>
      </w:pPr>
    </w:p>
    <w:p w14:paraId="2F6E8564" w14:textId="77777777" w:rsidR="001B1752" w:rsidRPr="00A401F6" w:rsidRDefault="001B1752" w:rsidP="001B1752">
      <w:pPr>
        <w:jc w:val="both"/>
        <w:rPr>
          <w:rFonts w:cs="Arial"/>
          <w:sz w:val="22"/>
          <w:szCs w:val="22"/>
        </w:rPr>
      </w:pPr>
      <w:r w:rsidRPr="00A401F6">
        <w:rPr>
          <w:rFonts w:cs="Arial"/>
          <w:sz w:val="22"/>
          <w:szCs w:val="22"/>
        </w:rPr>
        <w:t>A. The proponent(s) should indicate the specific amendment to the Appendices, and in particular</w:t>
      </w:r>
    </w:p>
    <w:p w14:paraId="3E0025F8" w14:textId="77777777" w:rsidR="001B1752" w:rsidRPr="00A401F6" w:rsidRDefault="001B1752" w:rsidP="001B1752">
      <w:pPr>
        <w:widowControl/>
        <w:numPr>
          <w:ilvl w:val="0"/>
          <w:numId w:val="11"/>
        </w:numPr>
        <w:jc w:val="both"/>
        <w:rPr>
          <w:rFonts w:cs="Arial"/>
          <w:sz w:val="22"/>
          <w:szCs w:val="22"/>
        </w:rPr>
      </w:pPr>
      <w:r w:rsidRPr="00A401F6">
        <w:rPr>
          <w:rFonts w:cs="Arial"/>
          <w:sz w:val="22"/>
          <w:szCs w:val="22"/>
        </w:rPr>
        <w:t>whether a taxon is proposed to be included in, or removed from one or both Appendices;</w:t>
      </w:r>
    </w:p>
    <w:p w14:paraId="26BD705D" w14:textId="77777777" w:rsidR="001B1752" w:rsidRPr="00A401F6" w:rsidRDefault="001B1752" w:rsidP="001B1752">
      <w:pPr>
        <w:widowControl/>
        <w:numPr>
          <w:ilvl w:val="0"/>
          <w:numId w:val="11"/>
        </w:numPr>
        <w:jc w:val="both"/>
        <w:rPr>
          <w:rFonts w:cs="Arial"/>
          <w:sz w:val="22"/>
          <w:szCs w:val="22"/>
        </w:rPr>
      </w:pPr>
      <w:r w:rsidRPr="00A401F6">
        <w:rPr>
          <w:rFonts w:cs="Arial"/>
          <w:sz w:val="22"/>
          <w:szCs w:val="22"/>
        </w:rPr>
        <w:t xml:space="preserve">species or sub-species or higher taxon; </w:t>
      </w:r>
    </w:p>
    <w:p w14:paraId="4C8C6E62" w14:textId="77777777" w:rsidR="001B1752" w:rsidRPr="00A401F6" w:rsidRDefault="001B1752" w:rsidP="001B1752">
      <w:pPr>
        <w:widowControl/>
        <w:numPr>
          <w:ilvl w:val="0"/>
          <w:numId w:val="10"/>
        </w:numPr>
        <w:jc w:val="both"/>
        <w:rPr>
          <w:rFonts w:cs="Arial"/>
          <w:sz w:val="22"/>
          <w:szCs w:val="22"/>
        </w:rPr>
      </w:pPr>
      <w:r w:rsidRPr="00A401F6">
        <w:rPr>
          <w:rFonts w:cs="Arial"/>
          <w:sz w:val="22"/>
          <w:szCs w:val="22"/>
        </w:rPr>
        <w:t>whether the entire population or a geographically separate population of the taxon is concerned by the proposed amendment.</w:t>
      </w:r>
    </w:p>
    <w:p w14:paraId="42739432" w14:textId="77777777" w:rsidR="001B1752" w:rsidRPr="00A401F6" w:rsidRDefault="001B1752" w:rsidP="001B1752">
      <w:pPr>
        <w:ind w:left="720"/>
        <w:jc w:val="both"/>
        <w:rPr>
          <w:rFonts w:cs="Arial"/>
          <w:sz w:val="22"/>
          <w:szCs w:val="22"/>
        </w:rPr>
      </w:pPr>
    </w:p>
    <w:p w14:paraId="67091FE6" w14:textId="6F2CACE5" w:rsidR="001B1752" w:rsidRPr="00A401F6" w:rsidRDefault="001B1752" w:rsidP="001B1752">
      <w:pPr>
        <w:jc w:val="both"/>
        <w:rPr>
          <w:rFonts w:cs="Arial"/>
          <w:sz w:val="22"/>
          <w:szCs w:val="22"/>
        </w:rPr>
      </w:pPr>
      <w:r w:rsidRPr="00A401F6">
        <w:rPr>
          <w:rFonts w:cs="Arial"/>
          <w:sz w:val="22"/>
          <w:szCs w:val="22"/>
        </w:rPr>
        <w:t>The proponent(s) should justify the basis of the proposed amendment.  In particular, in the case of a taxon being proposed for inclusion in the Appendices, the proposal should justify how the taxon meets the relevant criteria (see section 5.1 for details).  This is particularly important in cases where the IUCN classification does not align with the Appendix proposed.  The proposal should also clearly articulate the benefit expected to result from the species’ inclusion on the proposed Appendix.  In the case of a taxon being proposed for removal from the Appendices, the proposal should justify why the taxon no longer meets the criteria for inclusion, and no longer needs the protection provided by the listing (see also section 7.2).</w:t>
      </w:r>
    </w:p>
    <w:p w14:paraId="1FF1C1B5" w14:textId="77777777" w:rsidR="0007246E" w:rsidRPr="00A401F6" w:rsidRDefault="0007246E" w:rsidP="001B1752">
      <w:pPr>
        <w:jc w:val="both"/>
        <w:rPr>
          <w:rFonts w:cs="Arial"/>
          <w:sz w:val="22"/>
          <w:szCs w:val="22"/>
        </w:rPr>
      </w:pPr>
    </w:p>
    <w:p w14:paraId="64199D4F" w14:textId="77777777" w:rsidR="001B1752" w:rsidRPr="00A401F6" w:rsidRDefault="001B1752" w:rsidP="001B1752">
      <w:pPr>
        <w:jc w:val="both"/>
        <w:rPr>
          <w:rFonts w:cs="Arial"/>
          <w:sz w:val="22"/>
          <w:szCs w:val="22"/>
        </w:rPr>
      </w:pPr>
      <w:r w:rsidRPr="00A401F6">
        <w:rPr>
          <w:rFonts w:eastAsia="Calibri" w:cs="Arial"/>
          <w:sz w:val="22"/>
          <w:szCs w:val="22"/>
        </w:rPr>
        <w:t>Proposals for the inclusion of taxa above the species level should not normally be accepted unless all of the species within that taxon meet the requirements of the Convention.  Information on each species in the higher taxon should be included in the proposal, and each species should be assessed on its own merits.  If a proposal is adopted, the individual species within the higher taxon should be listed in the Appendices of the Convention rather than the higher taxon.</w:t>
      </w:r>
    </w:p>
    <w:p w14:paraId="45B4C8F9" w14:textId="77777777" w:rsidR="001B1752" w:rsidRPr="00A401F6" w:rsidRDefault="001B1752" w:rsidP="001B1752">
      <w:pPr>
        <w:jc w:val="both"/>
        <w:rPr>
          <w:rFonts w:cs="Arial"/>
          <w:sz w:val="22"/>
          <w:szCs w:val="22"/>
        </w:rPr>
      </w:pPr>
    </w:p>
    <w:p w14:paraId="438EDA2A" w14:textId="77777777" w:rsidR="001B1752" w:rsidRPr="00A401F6" w:rsidRDefault="001B1752" w:rsidP="001B1752">
      <w:pPr>
        <w:jc w:val="both"/>
        <w:rPr>
          <w:rFonts w:cs="Arial"/>
          <w:sz w:val="22"/>
          <w:szCs w:val="22"/>
        </w:rPr>
      </w:pPr>
      <w:r w:rsidRPr="00A401F6">
        <w:rPr>
          <w:rFonts w:cs="Arial"/>
          <w:sz w:val="22"/>
          <w:szCs w:val="22"/>
        </w:rPr>
        <w:t>B. Official name of the Contracting Party to the Convention submitting the proposal.  A proposal can be submitted by more than one Party.</w:t>
      </w:r>
    </w:p>
    <w:p w14:paraId="5A5451B3" w14:textId="77777777" w:rsidR="001B1752" w:rsidRPr="00A401F6" w:rsidRDefault="001B1752" w:rsidP="001B1752">
      <w:pPr>
        <w:jc w:val="both"/>
        <w:rPr>
          <w:rFonts w:cs="Arial"/>
          <w:sz w:val="22"/>
          <w:szCs w:val="22"/>
        </w:rPr>
      </w:pPr>
    </w:p>
    <w:p w14:paraId="6FCF3510" w14:textId="77777777" w:rsidR="001B1752" w:rsidRPr="00A401F6" w:rsidRDefault="001B1752" w:rsidP="001B1752">
      <w:pPr>
        <w:jc w:val="both"/>
        <w:rPr>
          <w:rFonts w:cs="Arial"/>
          <w:sz w:val="22"/>
          <w:szCs w:val="22"/>
        </w:rPr>
      </w:pPr>
      <w:r w:rsidRPr="00A401F6">
        <w:rPr>
          <w:rFonts w:cs="Arial"/>
          <w:sz w:val="22"/>
          <w:szCs w:val="22"/>
        </w:rPr>
        <w:t>C. A selection of the most important scientific data which explain and substantiate the proposal; these data may be gathered from technical literature or from reports which have so far not been published (references and web links should be provided).</w:t>
      </w:r>
    </w:p>
    <w:p w14:paraId="7B339C5F" w14:textId="77777777" w:rsidR="001B1752" w:rsidRPr="00A401F6" w:rsidRDefault="001B1752" w:rsidP="001B1752">
      <w:pPr>
        <w:jc w:val="both"/>
        <w:rPr>
          <w:rFonts w:cs="Arial"/>
          <w:sz w:val="22"/>
          <w:szCs w:val="22"/>
        </w:rPr>
      </w:pPr>
    </w:p>
    <w:p w14:paraId="0602E891" w14:textId="77777777" w:rsidR="001B1752" w:rsidRPr="00A401F6" w:rsidRDefault="001B1752" w:rsidP="001B1752">
      <w:pPr>
        <w:jc w:val="both"/>
        <w:rPr>
          <w:rFonts w:cs="Arial"/>
          <w:sz w:val="22"/>
          <w:szCs w:val="22"/>
        </w:rPr>
      </w:pPr>
      <w:r w:rsidRPr="00A401F6">
        <w:rPr>
          <w:rFonts w:cs="Arial"/>
          <w:sz w:val="22"/>
          <w:szCs w:val="22"/>
        </w:rPr>
        <w:t xml:space="preserve">1. </w:t>
      </w:r>
      <w:r w:rsidRPr="00A401F6">
        <w:rPr>
          <w:rFonts w:cs="Arial"/>
          <w:sz w:val="22"/>
          <w:szCs w:val="22"/>
          <w:u w:val="single"/>
        </w:rPr>
        <w:t>Taxonomy</w:t>
      </w:r>
      <w:r w:rsidRPr="00A401F6">
        <w:rPr>
          <w:rFonts w:cs="Arial"/>
          <w:sz w:val="22"/>
          <w:szCs w:val="22"/>
        </w:rPr>
        <w:t>: the proposal should include sufficient information to allow the Scientific Council and the Conference of the Parties to identify clearly the taxon that is the subject of the proposal.</w:t>
      </w:r>
    </w:p>
    <w:p w14:paraId="38A0C67D" w14:textId="77777777" w:rsidR="001B1752" w:rsidRPr="00A401F6" w:rsidRDefault="001B1752" w:rsidP="001B1752">
      <w:pPr>
        <w:jc w:val="both"/>
        <w:rPr>
          <w:rFonts w:cs="Arial"/>
          <w:sz w:val="22"/>
          <w:szCs w:val="22"/>
        </w:rPr>
      </w:pPr>
    </w:p>
    <w:p w14:paraId="0AEB6BA6" w14:textId="77777777" w:rsidR="001B1752" w:rsidRPr="00A401F6" w:rsidRDefault="001B1752" w:rsidP="001B1752">
      <w:pPr>
        <w:jc w:val="both"/>
        <w:rPr>
          <w:rFonts w:cs="Arial"/>
          <w:sz w:val="22"/>
          <w:szCs w:val="22"/>
        </w:rPr>
      </w:pPr>
      <w:r w:rsidRPr="00A401F6">
        <w:rPr>
          <w:rFonts w:cs="Arial"/>
          <w:sz w:val="22"/>
          <w:szCs w:val="22"/>
        </w:rPr>
        <w:t>1.4 If the species concerned is included in one of the standard lists of names or taxonomic references adopted by the Conference of the Parties, the name provided by that reference should be entered here.  If a different name is used, the reason for the divergence from the taxonomic reference should be explained.  If the species concerned is not included in one of the adopted standard references, the proponent should provide references as to the source of the name used.</w:t>
      </w:r>
    </w:p>
    <w:p w14:paraId="048D88AA" w14:textId="77777777" w:rsidR="001B1752" w:rsidRPr="00A401F6" w:rsidRDefault="001B1752" w:rsidP="001B1752">
      <w:pPr>
        <w:jc w:val="both"/>
        <w:rPr>
          <w:rFonts w:cs="Arial"/>
          <w:sz w:val="22"/>
          <w:szCs w:val="22"/>
        </w:rPr>
      </w:pPr>
    </w:p>
    <w:p w14:paraId="44C08E91" w14:textId="77777777" w:rsidR="001B1752" w:rsidRPr="00A401F6" w:rsidRDefault="001B1752" w:rsidP="001B1752">
      <w:pPr>
        <w:jc w:val="both"/>
        <w:rPr>
          <w:rFonts w:cs="Arial"/>
          <w:sz w:val="22"/>
          <w:szCs w:val="22"/>
        </w:rPr>
      </w:pPr>
      <w:r w:rsidRPr="00A401F6">
        <w:rPr>
          <w:rFonts w:cs="Arial"/>
          <w:sz w:val="22"/>
          <w:szCs w:val="22"/>
        </w:rPr>
        <w:t>1.5 The proponent should provide information on other scientific names or synonyms under which the taxon concerned may be known currently, especially in case of significant dispute on its taxonomic status.</w:t>
      </w:r>
    </w:p>
    <w:p w14:paraId="2A2A1BFB" w14:textId="77777777" w:rsidR="001B1752" w:rsidRPr="00A401F6" w:rsidRDefault="001B1752" w:rsidP="001B1752">
      <w:pPr>
        <w:jc w:val="both"/>
        <w:rPr>
          <w:rFonts w:cs="Arial"/>
          <w:sz w:val="22"/>
          <w:szCs w:val="22"/>
        </w:rPr>
      </w:pPr>
    </w:p>
    <w:p w14:paraId="2C8034B7" w14:textId="77777777" w:rsidR="001B1752" w:rsidRPr="00A401F6" w:rsidRDefault="001B1752" w:rsidP="001B1752">
      <w:pPr>
        <w:jc w:val="both"/>
        <w:rPr>
          <w:rFonts w:cs="Arial"/>
          <w:sz w:val="22"/>
          <w:szCs w:val="22"/>
        </w:rPr>
      </w:pPr>
      <w:r w:rsidRPr="00A401F6">
        <w:rPr>
          <w:rFonts w:cs="Arial"/>
          <w:sz w:val="22"/>
          <w:szCs w:val="22"/>
        </w:rPr>
        <w:t xml:space="preserve">1.6 Common names of the taxon proposed should be provided.  As a minimum these should include all of the official languages of the Convention.  </w:t>
      </w:r>
    </w:p>
    <w:p w14:paraId="552E68D7" w14:textId="77777777" w:rsidR="001B1752" w:rsidRPr="00A401F6" w:rsidRDefault="001B1752" w:rsidP="001B1752">
      <w:pPr>
        <w:jc w:val="both"/>
        <w:rPr>
          <w:rFonts w:cs="Arial"/>
          <w:sz w:val="22"/>
          <w:szCs w:val="22"/>
        </w:rPr>
      </w:pPr>
    </w:p>
    <w:p w14:paraId="7078EAE0" w14:textId="77777777" w:rsidR="001B1752" w:rsidRPr="00A401F6" w:rsidRDefault="001B1752" w:rsidP="001B1752">
      <w:pPr>
        <w:jc w:val="both"/>
        <w:rPr>
          <w:rFonts w:cs="Arial"/>
          <w:sz w:val="22"/>
          <w:szCs w:val="22"/>
        </w:rPr>
      </w:pPr>
      <w:r w:rsidRPr="00A401F6">
        <w:rPr>
          <w:rFonts w:cs="Arial"/>
          <w:sz w:val="22"/>
          <w:szCs w:val="22"/>
        </w:rPr>
        <w:t xml:space="preserve">2.  </w:t>
      </w:r>
      <w:r w:rsidRPr="00A401F6">
        <w:rPr>
          <w:rFonts w:cs="Arial"/>
          <w:sz w:val="22"/>
          <w:szCs w:val="22"/>
          <w:u w:val="single"/>
        </w:rPr>
        <w:t>Overview</w:t>
      </w:r>
      <w:r w:rsidRPr="00A401F6">
        <w:rPr>
          <w:rFonts w:cs="Arial"/>
          <w:sz w:val="22"/>
          <w:szCs w:val="22"/>
        </w:rPr>
        <w:t>.  This section should provide a brief overview of key elements of the proposal, taken from key sections of the supporting statement.</w:t>
      </w:r>
    </w:p>
    <w:p w14:paraId="69D78D5B" w14:textId="37D6B075" w:rsidR="001B1752" w:rsidRDefault="001B1752" w:rsidP="001B1752">
      <w:pPr>
        <w:jc w:val="both"/>
        <w:rPr>
          <w:rFonts w:cs="Arial"/>
          <w:sz w:val="22"/>
          <w:szCs w:val="22"/>
        </w:rPr>
      </w:pPr>
    </w:p>
    <w:p w14:paraId="423C56C4" w14:textId="77777777" w:rsidR="00A401F6" w:rsidRPr="00A401F6" w:rsidRDefault="00A401F6" w:rsidP="001B1752">
      <w:pPr>
        <w:jc w:val="both"/>
        <w:rPr>
          <w:rFonts w:cs="Arial"/>
          <w:sz w:val="22"/>
          <w:szCs w:val="22"/>
        </w:rPr>
      </w:pPr>
    </w:p>
    <w:p w14:paraId="0D56D12D" w14:textId="77777777" w:rsidR="001B1752" w:rsidRPr="00A401F6" w:rsidRDefault="001B1752" w:rsidP="001B1752">
      <w:pPr>
        <w:pStyle w:val="CommentText"/>
        <w:jc w:val="both"/>
        <w:rPr>
          <w:rFonts w:cs="Arial"/>
          <w:sz w:val="22"/>
          <w:szCs w:val="22"/>
        </w:rPr>
      </w:pPr>
      <w:r w:rsidRPr="00A401F6">
        <w:rPr>
          <w:rFonts w:cs="Arial"/>
          <w:sz w:val="22"/>
          <w:szCs w:val="22"/>
        </w:rPr>
        <w:lastRenderedPageBreak/>
        <w:t xml:space="preserve">3.  </w:t>
      </w:r>
      <w:r w:rsidRPr="00A401F6">
        <w:rPr>
          <w:rFonts w:cs="Arial"/>
          <w:sz w:val="22"/>
          <w:szCs w:val="22"/>
          <w:u w:val="single"/>
        </w:rPr>
        <w:t>Migrations</w:t>
      </w:r>
      <w:r w:rsidRPr="00A401F6">
        <w:rPr>
          <w:rFonts w:cs="Arial"/>
          <w:sz w:val="22"/>
          <w:szCs w:val="22"/>
        </w:rPr>
        <w:t xml:space="preserve"> </w:t>
      </w:r>
    </w:p>
    <w:p w14:paraId="56A35B27" w14:textId="77777777" w:rsidR="001B1752" w:rsidRPr="00A401F6" w:rsidRDefault="001B1752" w:rsidP="001B1752">
      <w:pPr>
        <w:pStyle w:val="CommentText"/>
        <w:jc w:val="both"/>
        <w:rPr>
          <w:rFonts w:cs="Arial"/>
          <w:sz w:val="22"/>
          <w:szCs w:val="22"/>
        </w:rPr>
      </w:pPr>
    </w:p>
    <w:p w14:paraId="53ECBCA9" w14:textId="77777777" w:rsidR="001B1752" w:rsidRPr="00A401F6" w:rsidRDefault="001B1752" w:rsidP="001B1752">
      <w:pPr>
        <w:pStyle w:val="CommentText"/>
        <w:jc w:val="both"/>
        <w:rPr>
          <w:rFonts w:eastAsiaTheme="minorHAnsi" w:cs="Arial"/>
          <w:sz w:val="22"/>
          <w:szCs w:val="22"/>
        </w:rPr>
      </w:pPr>
      <w:r w:rsidRPr="00A401F6">
        <w:rPr>
          <w:rFonts w:eastAsiaTheme="minorHAnsi" w:cs="Arial"/>
          <w:sz w:val="22"/>
          <w:szCs w:val="22"/>
        </w:rPr>
        <w:t>Proponents should bear in mind the definition of migration in Article I paragraph 1 (a) of the Convention:</w:t>
      </w:r>
    </w:p>
    <w:p w14:paraId="3C0E82E6" w14:textId="77777777" w:rsidR="001B1752" w:rsidRPr="00A401F6" w:rsidRDefault="001B1752" w:rsidP="001B1752">
      <w:pPr>
        <w:ind w:left="720"/>
        <w:jc w:val="both"/>
        <w:rPr>
          <w:rFonts w:cs="Arial"/>
          <w:i/>
          <w:color w:val="000000"/>
          <w:sz w:val="22"/>
          <w:szCs w:val="22"/>
        </w:rPr>
      </w:pPr>
      <w:r w:rsidRPr="00A401F6">
        <w:rPr>
          <w:rFonts w:cs="Arial"/>
          <w:i/>
          <w:color w:val="000000"/>
          <w:sz w:val="22"/>
          <w:szCs w:val="22"/>
        </w:rPr>
        <w:t>a) "Migratory species" means the entire population or any geographically separate part of the population of any species or lower taxon of wild animals, a significant proportion of whose members cyclically and predictably cross one or more national jurisdictional boundaries;</w:t>
      </w:r>
    </w:p>
    <w:p w14:paraId="13C093CA" w14:textId="77777777" w:rsidR="001B1752" w:rsidRPr="00A401F6" w:rsidRDefault="001B1752" w:rsidP="001B1752">
      <w:pPr>
        <w:pStyle w:val="CommentText"/>
        <w:jc w:val="both"/>
        <w:rPr>
          <w:rFonts w:cs="Arial"/>
          <w:sz w:val="22"/>
          <w:szCs w:val="22"/>
        </w:rPr>
      </w:pPr>
    </w:p>
    <w:p w14:paraId="5DF264E1" w14:textId="77777777" w:rsidR="001B1752" w:rsidRPr="00A401F6" w:rsidRDefault="001B1752" w:rsidP="001B1752">
      <w:pPr>
        <w:pStyle w:val="CommentText"/>
        <w:jc w:val="both"/>
        <w:rPr>
          <w:rFonts w:cs="Arial"/>
          <w:sz w:val="22"/>
          <w:szCs w:val="22"/>
        </w:rPr>
      </w:pPr>
      <w:r w:rsidRPr="00A401F6">
        <w:rPr>
          <w:rFonts w:cs="Arial"/>
          <w:sz w:val="22"/>
          <w:szCs w:val="22"/>
        </w:rPr>
        <w:t>3.1 Description of the character of migrations, indicating the geographical extent of population movements.  With reference to the definition of “migratory species” in Article I, paragraph 1 (a) of the Convention, as interpreted in Resolution 11.33, the cyclical and predictable nature of migrations across national boundaries should be demonstrated.</w:t>
      </w:r>
    </w:p>
    <w:p w14:paraId="3714E3EE" w14:textId="77777777" w:rsidR="001B1752" w:rsidRPr="00A401F6" w:rsidRDefault="001B1752" w:rsidP="001B1752">
      <w:pPr>
        <w:pStyle w:val="CommentText"/>
        <w:jc w:val="both"/>
        <w:rPr>
          <w:rFonts w:cs="Arial"/>
          <w:sz w:val="22"/>
          <w:szCs w:val="22"/>
        </w:rPr>
      </w:pPr>
    </w:p>
    <w:p w14:paraId="3778F349" w14:textId="77777777" w:rsidR="001B1752" w:rsidRPr="00A401F6" w:rsidRDefault="001B1752" w:rsidP="001B1752">
      <w:pPr>
        <w:rPr>
          <w:rFonts w:cs="Arial"/>
          <w:color w:val="000000"/>
          <w:sz w:val="22"/>
          <w:szCs w:val="22"/>
        </w:rPr>
      </w:pPr>
      <w:r w:rsidRPr="00A401F6">
        <w:rPr>
          <w:rFonts w:cs="Arial"/>
          <w:color w:val="000000"/>
          <w:sz w:val="22"/>
          <w:szCs w:val="22"/>
        </w:rPr>
        <w:t>Resolution 11.33 Paragraph 2 states:</w:t>
      </w:r>
    </w:p>
    <w:p w14:paraId="3619F87C" w14:textId="77777777" w:rsidR="001B1752" w:rsidRPr="00A401F6" w:rsidRDefault="001B1752" w:rsidP="001B1752">
      <w:pPr>
        <w:ind w:left="284"/>
        <w:jc w:val="both"/>
        <w:rPr>
          <w:rFonts w:cs="Arial"/>
          <w:i/>
          <w:color w:val="000000"/>
          <w:sz w:val="22"/>
          <w:szCs w:val="22"/>
        </w:rPr>
      </w:pPr>
      <w:r w:rsidRPr="00A401F6">
        <w:rPr>
          <w:rFonts w:cs="Arial"/>
          <w:i/>
          <w:iCs/>
          <w:color w:val="000000"/>
          <w:sz w:val="22"/>
          <w:szCs w:val="22"/>
        </w:rPr>
        <w:t xml:space="preserve">Decides </w:t>
      </w:r>
      <w:r w:rsidRPr="00A401F6">
        <w:rPr>
          <w:rFonts w:cs="Arial"/>
          <w:i/>
          <w:color w:val="000000"/>
          <w:sz w:val="22"/>
          <w:szCs w:val="22"/>
        </w:rPr>
        <w:t xml:space="preserve">that in the interpretation of the term "migratory species" in Article I, paragraph 1 (a) of the Convention: </w:t>
      </w:r>
    </w:p>
    <w:p w14:paraId="1D5E7308" w14:textId="77777777" w:rsidR="001B1752" w:rsidRPr="00A401F6" w:rsidRDefault="001B1752" w:rsidP="001B1752">
      <w:pPr>
        <w:ind w:left="284"/>
        <w:jc w:val="both"/>
        <w:rPr>
          <w:rFonts w:cs="Arial"/>
          <w:i/>
          <w:color w:val="000000"/>
          <w:sz w:val="22"/>
          <w:szCs w:val="22"/>
        </w:rPr>
      </w:pPr>
    </w:p>
    <w:p w14:paraId="4B6FC668" w14:textId="77777777" w:rsidR="001B1752" w:rsidRPr="00A401F6" w:rsidRDefault="001B1752" w:rsidP="001B1752">
      <w:pPr>
        <w:ind w:left="568" w:hanging="284"/>
        <w:jc w:val="both"/>
        <w:rPr>
          <w:rFonts w:cs="Arial"/>
          <w:i/>
          <w:color w:val="000000"/>
          <w:sz w:val="22"/>
          <w:szCs w:val="22"/>
        </w:rPr>
      </w:pPr>
      <w:r w:rsidRPr="00A401F6">
        <w:rPr>
          <w:rFonts w:cs="Arial"/>
          <w:i/>
          <w:color w:val="000000"/>
          <w:sz w:val="22"/>
          <w:szCs w:val="22"/>
        </w:rPr>
        <w:t xml:space="preserve">(i) The word "cyclically" in the phrase "cyclically and predictably" relates to a cycle of any nature, such as astronomical (circadian, annual etc.), life or climatic, and of any frequency; </w:t>
      </w:r>
    </w:p>
    <w:p w14:paraId="1A1B6F15" w14:textId="77777777" w:rsidR="001B1752" w:rsidRPr="00A401F6" w:rsidRDefault="001B1752" w:rsidP="001B1752">
      <w:pPr>
        <w:ind w:left="568" w:hanging="284"/>
        <w:jc w:val="both"/>
        <w:rPr>
          <w:rFonts w:cs="Arial"/>
          <w:i/>
          <w:color w:val="000000"/>
          <w:sz w:val="22"/>
          <w:szCs w:val="22"/>
        </w:rPr>
      </w:pPr>
    </w:p>
    <w:p w14:paraId="2981304D" w14:textId="77777777" w:rsidR="001B1752" w:rsidRPr="00A401F6" w:rsidRDefault="001B1752" w:rsidP="001B1752">
      <w:pPr>
        <w:ind w:left="568" w:hanging="284"/>
        <w:jc w:val="both"/>
        <w:rPr>
          <w:rFonts w:cs="Arial"/>
          <w:i/>
          <w:color w:val="000000"/>
          <w:sz w:val="22"/>
          <w:szCs w:val="22"/>
        </w:rPr>
      </w:pPr>
      <w:r w:rsidRPr="00A401F6">
        <w:rPr>
          <w:rFonts w:cs="Arial"/>
          <w:i/>
          <w:color w:val="000000"/>
          <w:sz w:val="22"/>
          <w:szCs w:val="22"/>
        </w:rPr>
        <w:t xml:space="preserve">(ii) The word "predictably" in the phrase "cyclically and predictably" implies that a phenomenon can be anticipated to recur in a given set of circumstances, though not necessarily regularly in time; </w:t>
      </w:r>
    </w:p>
    <w:p w14:paraId="5C26D23D" w14:textId="77777777" w:rsidR="001B1752" w:rsidRPr="00A401F6" w:rsidRDefault="001B1752" w:rsidP="001B1752">
      <w:pPr>
        <w:jc w:val="both"/>
        <w:rPr>
          <w:rFonts w:cs="Arial"/>
          <w:sz w:val="22"/>
          <w:szCs w:val="22"/>
        </w:rPr>
      </w:pPr>
    </w:p>
    <w:p w14:paraId="585C46F3" w14:textId="77777777" w:rsidR="001B1752" w:rsidRPr="00A401F6" w:rsidRDefault="001B1752" w:rsidP="001B1752">
      <w:pPr>
        <w:jc w:val="both"/>
        <w:rPr>
          <w:rFonts w:cs="Arial"/>
          <w:sz w:val="22"/>
          <w:szCs w:val="22"/>
        </w:rPr>
      </w:pPr>
      <w:r w:rsidRPr="00A401F6">
        <w:rPr>
          <w:rFonts w:cs="Arial"/>
          <w:sz w:val="22"/>
          <w:szCs w:val="22"/>
        </w:rPr>
        <w:t xml:space="preserve">3.2 Information on whether the entire or only part of the population undertakes migrations should be provided, together with why this should be considered a significant proportion of the population.  Where only some parts of the population migrate, a description should be provided.  Detail on the actual proportion of the species which is migratory should be provided, and the basis on which that is calculated should be stated.  </w:t>
      </w:r>
    </w:p>
    <w:p w14:paraId="671ABB7B" w14:textId="77777777" w:rsidR="001B1752" w:rsidRPr="00A401F6" w:rsidRDefault="001B1752" w:rsidP="001B1752">
      <w:pPr>
        <w:jc w:val="both"/>
        <w:rPr>
          <w:rFonts w:cs="Arial"/>
          <w:sz w:val="22"/>
          <w:szCs w:val="22"/>
        </w:rPr>
      </w:pPr>
    </w:p>
    <w:p w14:paraId="07974A69" w14:textId="77777777" w:rsidR="001B1752" w:rsidRPr="00A401F6" w:rsidRDefault="001B1752" w:rsidP="001B1752">
      <w:pPr>
        <w:jc w:val="both"/>
        <w:rPr>
          <w:rFonts w:cs="Arial"/>
          <w:i/>
          <w:color w:val="000000"/>
          <w:sz w:val="22"/>
          <w:szCs w:val="22"/>
        </w:rPr>
      </w:pPr>
      <w:r w:rsidRPr="00A401F6">
        <w:rPr>
          <w:rFonts w:cs="Arial"/>
          <w:sz w:val="22"/>
          <w:szCs w:val="22"/>
        </w:rPr>
        <w:t xml:space="preserve">It is difficult to provide a guide on a numerical proportion that should be considered ‘significant’ due to differences in life history and ecology of the range of taxa to which the Convention applies.  Bearing this in mind, a pragmatic approach should be taken.  </w:t>
      </w:r>
      <w:r w:rsidRPr="00A401F6">
        <w:rPr>
          <w:rFonts w:cs="Arial"/>
          <w:iCs/>
          <w:sz w:val="22"/>
          <w:szCs w:val="22"/>
        </w:rPr>
        <w:t xml:space="preserve">In the spirit of the Convention text, and in the light of existing listings, the species or particular population should benefit from cross-border conservation action.  </w:t>
      </w:r>
      <w:r w:rsidRPr="00A401F6">
        <w:rPr>
          <w:rFonts w:cs="Arial"/>
          <w:sz w:val="22"/>
          <w:szCs w:val="22"/>
        </w:rPr>
        <w:t xml:space="preserve">However, some explanation of why the proposal covers a significant proportion of the species concerned (whether a global listing or a geographically distinct population) should be provided to enable reviewers to assess whether the definition is met, as it is the migratory nature of species populations that provides the basis for international co-operation under the Convention.   </w:t>
      </w:r>
    </w:p>
    <w:p w14:paraId="520E40C3" w14:textId="77777777" w:rsidR="001B1752" w:rsidRPr="00A401F6" w:rsidRDefault="001B1752" w:rsidP="001B1752">
      <w:pPr>
        <w:jc w:val="both"/>
        <w:rPr>
          <w:rFonts w:cs="Arial"/>
          <w:sz w:val="22"/>
          <w:szCs w:val="22"/>
        </w:rPr>
      </w:pPr>
    </w:p>
    <w:p w14:paraId="07D74F89" w14:textId="77777777" w:rsidR="001B1752" w:rsidRPr="00A401F6" w:rsidRDefault="001B1752" w:rsidP="001B1752">
      <w:pPr>
        <w:jc w:val="both"/>
        <w:rPr>
          <w:rFonts w:cs="Arial"/>
          <w:sz w:val="22"/>
          <w:szCs w:val="22"/>
        </w:rPr>
      </w:pPr>
      <w:r w:rsidRPr="00A401F6">
        <w:rPr>
          <w:rFonts w:cs="Arial"/>
          <w:sz w:val="22"/>
          <w:szCs w:val="22"/>
        </w:rPr>
        <w:t xml:space="preserve">4. </w:t>
      </w:r>
      <w:r w:rsidRPr="00A401F6">
        <w:rPr>
          <w:rFonts w:cs="Arial"/>
          <w:sz w:val="22"/>
          <w:szCs w:val="22"/>
          <w:u w:val="single"/>
        </w:rPr>
        <w:t>Biological data</w:t>
      </w:r>
    </w:p>
    <w:p w14:paraId="6A12F450" w14:textId="77777777" w:rsidR="001B1752" w:rsidRPr="00A401F6" w:rsidRDefault="001B1752" w:rsidP="001B1752">
      <w:pPr>
        <w:jc w:val="both"/>
        <w:rPr>
          <w:rFonts w:cs="Arial"/>
          <w:sz w:val="22"/>
          <w:szCs w:val="22"/>
        </w:rPr>
      </w:pPr>
    </w:p>
    <w:p w14:paraId="74338E15" w14:textId="77777777" w:rsidR="001B1752" w:rsidRPr="00A401F6" w:rsidRDefault="001B1752" w:rsidP="001B1752">
      <w:pPr>
        <w:jc w:val="both"/>
        <w:rPr>
          <w:rFonts w:cs="Arial"/>
          <w:sz w:val="22"/>
          <w:szCs w:val="22"/>
        </w:rPr>
      </w:pPr>
      <w:r w:rsidRPr="00A401F6">
        <w:rPr>
          <w:rFonts w:cs="Arial"/>
          <w:sz w:val="22"/>
          <w:szCs w:val="22"/>
        </w:rPr>
        <w:t>4.1 This section should comprise a description of the range, including changes in historical times as well as division of the overall range into reproduction, migrating and wintering (resting) ranges, when applicable; a map should be added, when available.  If possible, information should be provided to indicate whether or not the distribution of the species is continuous and, if it is not, to what degree it is fragmented.  If relevant, data on the degree and periodicity of fluctuations in the area of distribution should be provided.</w:t>
      </w:r>
    </w:p>
    <w:p w14:paraId="78DEA07B" w14:textId="77777777" w:rsidR="001B1752" w:rsidRPr="00A401F6" w:rsidRDefault="001B1752" w:rsidP="001B1752">
      <w:pPr>
        <w:jc w:val="both"/>
        <w:rPr>
          <w:rFonts w:cs="Arial"/>
          <w:sz w:val="22"/>
          <w:szCs w:val="22"/>
        </w:rPr>
      </w:pPr>
    </w:p>
    <w:p w14:paraId="0FBF7B68" w14:textId="77777777" w:rsidR="001B1752" w:rsidRPr="00A401F6" w:rsidRDefault="001B1752" w:rsidP="001B1752">
      <w:pPr>
        <w:jc w:val="both"/>
        <w:rPr>
          <w:rFonts w:cs="Arial"/>
          <w:sz w:val="22"/>
          <w:szCs w:val="22"/>
        </w:rPr>
      </w:pPr>
      <w:r w:rsidRPr="00A401F6">
        <w:rPr>
          <w:rFonts w:cs="Arial"/>
          <w:sz w:val="22"/>
          <w:szCs w:val="22"/>
        </w:rPr>
        <w:t>4.2 This section should provide an estimate of the current total population or number of individuals differentiated by relevant age classes where possible, or other indices of population abundance, based on the most recently available data.  Where appropriate, the number of subpopulations, and their estimated sizes, should be provided.  Information on the source of the data used should be provided.</w:t>
      </w:r>
    </w:p>
    <w:p w14:paraId="3FEE0DD6" w14:textId="45358EC1" w:rsidR="001B1752" w:rsidRDefault="001B1752" w:rsidP="001B1752">
      <w:pPr>
        <w:jc w:val="both"/>
        <w:rPr>
          <w:rFonts w:cs="Arial"/>
          <w:sz w:val="22"/>
          <w:szCs w:val="22"/>
        </w:rPr>
      </w:pPr>
    </w:p>
    <w:p w14:paraId="32B2671E" w14:textId="77777777" w:rsidR="00A401F6" w:rsidRPr="00A401F6" w:rsidRDefault="00A401F6" w:rsidP="001B1752">
      <w:pPr>
        <w:jc w:val="both"/>
        <w:rPr>
          <w:rFonts w:cs="Arial"/>
          <w:sz w:val="22"/>
          <w:szCs w:val="22"/>
        </w:rPr>
      </w:pPr>
    </w:p>
    <w:p w14:paraId="2A95A867" w14:textId="77777777" w:rsidR="001B1752" w:rsidRPr="00A401F6" w:rsidRDefault="001B1752" w:rsidP="001B1752">
      <w:pPr>
        <w:jc w:val="both"/>
        <w:rPr>
          <w:rFonts w:cs="Arial"/>
          <w:sz w:val="22"/>
          <w:szCs w:val="22"/>
        </w:rPr>
      </w:pPr>
      <w:r w:rsidRPr="00A401F6">
        <w:rPr>
          <w:rFonts w:cs="Arial"/>
          <w:sz w:val="22"/>
          <w:szCs w:val="22"/>
        </w:rPr>
        <w:lastRenderedPageBreak/>
        <w:t>Basic quantitative and qualitative information, when available, should be provided on current and past trends in the species' abundance (providing sources).  The period over which these trends, if any, have been measured should be indicated.  If the species naturally undergoes marked fluctuations in population size, information should be provided to demonstrate that the trend transcends natural fluctuations.  If generation-time has been used in estimating the trend, a statement should be provided of how the generation-time has been estimated.</w:t>
      </w:r>
    </w:p>
    <w:p w14:paraId="4A6A5334" w14:textId="77777777" w:rsidR="001B1752" w:rsidRPr="00A401F6" w:rsidRDefault="001B1752" w:rsidP="001B1752">
      <w:pPr>
        <w:jc w:val="both"/>
        <w:rPr>
          <w:rFonts w:cs="Arial"/>
          <w:sz w:val="22"/>
          <w:szCs w:val="22"/>
        </w:rPr>
      </w:pPr>
    </w:p>
    <w:p w14:paraId="6C06DF49" w14:textId="77777777" w:rsidR="001B1752" w:rsidRPr="00A401F6" w:rsidRDefault="001B1752" w:rsidP="001B1752">
      <w:pPr>
        <w:jc w:val="both"/>
        <w:rPr>
          <w:rFonts w:cs="Arial"/>
          <w:sz w:val="22"/>
          <w:szCs w:val="22"/>
        </w:rPr>
      </w:pPr>
      <w:r w:rsidRPr="00A401F6">
        <w:rPr>
          <w:rFonts w:cs="Arial"/>
          <w:sz w:val="22"/>
          <w:szCs w:val="22"/>
        </w:rPr>
        <w:t>4.3 Specification of the types of habitats used by the taxon over its entire migration range and, when relevant, the degree of habitat specificity and dependency.</w:t>
      </w:r>
    </w:p>
    <w:p w14:paraId="5EB0D4DA" w14:textId="77777777" w:rsidR="001B1752" w:rsidRPr="00A401F6" w:rsidRDefault="001B1752" w:rsidP="001B1752">
      <w:pPr>
        <w:jc w:val="both"/>
        <w:rPr>
          <w:rFonts w:cs="Arial"/>
          <w:sz w:val="22"/>
          <w:szCs w:val="22"/>
        </w:rPr>
      </w:pPr>
    </w:p>
    <w:p w14:paraId="40E2873C" w14:textId="77777777" w:rsidR="001B1752" w:rsidRPr="00A401F6" w:rsidRDefault="001B1752" w:rsidP="001B1752">
      <w:pPr>
        <w:jc w:val="both"/>
        <w:rPr>
          <w:rFonts w:cs="Arial"/>
          <w:sz w:val="22"/>
          <w:szCs w:val="22"/>
        </w:rPr>
      </w:pPr>
      <w:r w:rsidRPr="00A401F6">
        <w:rPr>
          <w:rFonts w:cs="Arial"/>
          <w:sz w:val="22"/>
          <w:szCs w:val="22"/>
        </w:rPr>
        <w:t>When available, information on the nature, rate and extent of habitat change (e.g. loss, degradation or modification) should be provided, noting when applicable the degree of fragmentation and discernible changes in the quality of habitat.  Where appropriate, the relationship between habitat and population trends should be described.</w:t>
      </w:r>
    </w:p>
    <w:p w14:paraId="4D6AF30B" w14:textId="77777777" w:rsidR="001B1752" w:rsidRPr="00A401F6" w:rsidRDefault="001B1752" w:rsidP="001B1752">
      <w:pPr>
        <w:jc w:val="both"/>
        <w:rPr>
          <w:rFonts w:cs="Arial"/>
          <w:sz w:val="22"/>
          <w:szCs w:val="22"/>
        </w:rPr>
      </w:pPr>
    </w:p>
    <w:p w14:paraId="1AFADC91" w14:textId="77777777" w:rsidR="001B1752" w:rsidRPr="00A401F6" w:rsidRDefault="001B1752" w:rsidP="001B1752">
      <w:pPr>
        <w:jc w:val="both"/>
        <w:rPr>
          <w:rFonts w:cs="Arial"/>
          <w:sz w:val="22"/>
          <w:szCs w:val="22"/>
        </w:rPr>
      </w:pPr>
      <w:r w:rsidRPr="00A401F6">
        <w:rPr>
          <w:rFonts w:cs="Arial"/>
          <w:sz w:val="22"/>
          <w:szCs w:val="22"/>
        </w:rPr>
        <w:t xml:space="preserve">4.4 Summary of general biological and life history characteristics of the taxon relevant to its conservation status (e.g. reproduction, recruitment, survival rate, sex ratio, reproductive strategies). </w:t>
      </w:r>
    </w:p>
    <w:p w14:paraId="24EC6BE9" w14:textId="77777777" w:rsidR="001B1752" w:rsidRPr="00A401F6" w:rsidRDefault="001B1752" w:rsidP="001B1752">
      <w:pPr>
        <w:jc w:val="both"/>
        <w:rPr>
          <w:rFonts w:cs="Arial"/>
          <w:sz w:val="22"/>
          <w:szCs w:val="22"/>
        </w:rPr>
      </w:pPr>
    </w:p>
    <w:p w14:paraId="1CF49D31" w14:textId="77777777" w:rsidR="001B1752" w:rsidRPr="00A401F6" w:rsidRDefault="001B1752" w:rsidP="001B1752">
      <w:pPr>
        <w:jc w:val="both"/>
        <w:rPr>
          <w:rFonts w:cs="Arial"/>
          <w:sz w:val="22"/>
          <w:szCs w:val="22"/>
        </w:rPr>
      </w:pPr>
      <w:r w:rsidRPr="00A401F6">
        <w:rPr>
          <w:rFonts w:cs="Arial"/>
          <w:sz w:val="22"/>
          <w:szCs w:val="22"/>
        </w:rPr>
        <w:t>4.6 If available, information about the role of the taxon in its ecosystem, and other relevant ecological information, should be provided, as well as about the potential impact of the proposal on that role.</w:t>
      </w:r>
    </w:p>
    <w:p w14:paraId="6F3F2894" w14:textId="77777777" w:rsidR="001B1752" w:rsidRPr="00A401F6" w:rsidRDefault="001B1752" w:rsidP="001B1752">
      <w:pPr>
        <w:jc w:val="both"/>
        <w:rPr>
          <w:rFonts w:cs="Arial"/>
          <w:sz w:val="22"/>
          <w:szCs w:val="22"/>
        </w:rPr>
      </w:pPr>
    </w:p>
    <w:p w14:paraId="6504B66A" w14:textId="77777777" w:rsidR="001B1752" w:rsidRPr="00A401F6" w:rsidRDefault="001B1752" w:rsidP="001B1752">
      <w:pPr>
        <w:jc w:val="both"/>
        <w:rPr>
          <w:rFonts w:cs="Arial"/>
          <w:sz w:val="22"/>
          <w:szCs w:val="22"/>
          <w:u w:val="single"/>
        </w:rPr>
      </w:pPr>
      <w:r w:rsidRPr="00A401F6">
        <w:rPr>
          <w:rFonts w:cs="Arial"/>
          <w:sz w:val="22"/>
          <w:szCs w:val="22"/>
        </w:rPr>
        <w:t xml:space="preserve">5. </w:t>
      </w:r>
      <w:r w:rsidRPr="00A401F6">
        <w:rPr>
          <w:rFonts w:cs="Arial"/>
          <w:sz w:val="22"/>
          <w:szCs w:val="22"/>
          <w:u w:val="single"/>
        </w:rPr>
        <w:t xml:space="preserve">Threats and conservation status </w:t>
      </w:r>
    </w:p>
    <w:p w14:paraId="00D6FC12" w14:textId="77777777" w:rsidR="001B1752" w:rsidRPr="00A401F6" w:rsidRDefault="001B1752" w:rsidP="001B1752">
      <w:pPr>
        <w:jc w:val="both"/>
        <w:rPr>
          <w:rFonts w:cs="Arial"/>
          <w:sz w:val="22"/>
          <w:szCs w:val="22"/>
        </w:rPr>
      </w:pPr>
    </w:p>
    <w:p w14:paraId="5290DFCE" w14:textId="77777777" w:rsidR="001B1752" w:rsidRPr="00A401F6" w:rsidRDefault="001B1752" w:rsidP="001B1752">
      <w:pPr>
        <w:jc w:val="both"/>
        <w:rPr>
          <w:rFonts w:eastAsia="Calibri" w:cs="Arial"/>
          <w:sz w:val="22"/>
          <w:szCs w:val="22"/>
        </w:rPr>
      </w:pPr>
      <w:r w:rsidRPr="00A401F6">
        <w:rPr>
          <w:rFonts w:cs="Arial"/>
          <w:sz w:val="22"/>
          <w:szCs w:val="22"/>
        </w:rPr>
        <w:t xml:space="preserve">5.1 This section should provide information on the </w:t>
      </w:r>
      <w:r w:rsidRPr="00A401F6">
        <w:rPr>
          <w:rFonts w:eastAsia="Calibri" w:cs="Arial"/>
          <w:sz w:val="22"/>
          <w:szCs w:val="22"/>
        </w:rPr>
        <w:t>IUCN Red List assessment for a taxon, if available.  The scale of the Red List assessment should match the scale of the listing proposal.  Thus for a proposal to include a species in the Appendices, the Red List assessment used should be a global assessment.  However, if it is proposed to include a population or geographically separate part of a population of any species, then the Red List assessment used should be with respect to that population or part of that population.</w:t>
      </w:r>
    </w:p>
    <w:p w14:paraId="1AE6D48E" w14:textId="77777777" w:rsidR="001B1752" w:rsidRPr="00A401F6" w:rsidRDefault="001B1752" w:rsidP="001B1752">
      <w:pPr>
        <w:jc w:val="both"/>
        <w:rPr>
          <w:rFonts w:cs="Arial"/>
          <w:sz w:val="22"/>
          <w:szCs w:val="22"/>
        </w:rPr>
      </w:pPr>
    </w:p>
    <w:p w14:paraId="24750E0D" w14:textId="77777777" w:rsidR="001B1752" w:rsidRPr="00A401F6" w:rsidRDefault="001B1752" w:rsidP="001B1752">
      <w:pPr>
        <w:jc w:val="both"/>
        <w:rPr>
          <w:rFonts w:cs="Arial"/>
          <w:color w:val="000000"/>
          <w:sz w:val="22"/>
          <w:szCs w:val="22"/>
        </w:rPr>
      </w:pPr>
      <w:r w:rsidRPr="00A401F6">
        <w:rPr>
          <w:rFonts w:eastAsia="Calibri" w:cs="Arial"/>
          <w:spacing w:val="-4"/>
          <w:sz w:val="22"/>
          <w:szCs w:val="22"/>
        </w:rPr>
        <w:t>In line with the use of the IUCN Red List Categories and Criteria (Version 3.1, second edition) recommended by Resolution 11.33, a</w:t>
      </w:r>
      <w:r w:rsidRPr="00A401F6">
        <w:rPr>
          <w:rFonts w:eastAsia="Calibri" w:cs="Arial"/>
          <w:sz w:val="22"/>
          <w:szCs w:val="22"/>
        </w:rPr>
        <w:t xml:space="preserve"> taxon assessed as ‘Extinct in the Wild’, ‘Critically Endangered’, or ‘Endangered’ using the IUCN Red List criteria is eligible for consideration for listing in Appendix I, recognizing that CMS Appendix I species are broadly defined as ‘endangered’;</w:t>
      </w:r>
      <w:r w:rsidRPr="00A401F6">
        <w:rPr>
          <w:rFonts w:cs="Arial"/>
          <w:color w:val="000000"/>
          <w:sz w:val="22"/>
          <w:szCs w:val="22"/>
        </w:rPr>
        <w:t xml:space="preserve"> </w:t>
      </w:r>
    </w:p>
    <w:p w14:paraId="39A8C09F" w14:textId="77777777" w:rsidR="001B1752" w:rsidRPr="00A401F6" w:rsidRDefault="001B1752" w:rsidP="001B1752">
      <w:pPr>
        <w:rPr>
          <w:rFonts w:cs="Arial"/>
          <w:color w:val="000000"/>
          <w:sz w:val="22"/>
          <w:szCs w:val="22"/>
        </w:rPr>
      </w:pPr>
    </w:p>
    <w:p w14:paraId="19F25A92" w14:textId="77777777" w:rsidR="001B1752" w:rsidRPr="00A401F6" w:rsidRDefault="001B1752" w:rsidP="001B1752">
      <w:pPr>
        <w:rPr>
          <w:rFonts w:cs="Arial"/>
          <w:color w:val="000000"/>
          <w:sz w:val="22"/>
          <w:szCs w:val="22"/>
        </w:rPr>
      </w:pPr>
      <w:r w:rsidRPr="00A401F6">
        <w:rPr>
          <w:rFonts w:cs="Arial"/>
          <w:color w:val="000000"/>
          <w:sz w:val="22"/>
          <w:szCs w:val="22"/>
        </w:rPr>
        <w:t>Resolution 11.33 Paragraph 1 states:</w:t>
      </w:r>
    </w:p>
    <w:p w14:paraId="01895F78" w14:textId="77777777" w:rsidR="001B1752" w:rsidRPr="00A401F6" w:rsidRDefault="001B1752" w:rsidP="001B1752">
      <w:pPr>
        <w:ind w:left="720"/>
        <w:jc w:val="both"/>
        <w:rPr>
          <w:rFonts w:cs="Arial"/>
          <w:i/>
          <w:color w:val="000000"/>
          <w:sz w:val="22"/>
          <w:szCs w:val="22"/>
        </w:rPr>
      </w:pPr>
      <w:r w:rsidRPr="00A401F6">
        <w:rPr>
          <w:rFonts w:cs="Arial"/>
          <w:i/>
          <w:iCs/>
          <w:color w:val="000000"/>
          <w:sz w:val="22"/>
          <w:szCs w:val="22"/>
        </w:rPr>
        <w:t xml:space="preserve">Decides </w:t>
      </w:r>
      <w:r w:rsidRPr="00A401F6">
        <w:rPr>
          <w:rFonts w:cs="Arial"/>
          <w:i/>
          <w:color w:val="000000"/>
          <w:sz w:val="22"/>
          <w:szCs w:val="22"/>
        </w:rPr>
        <w:t xml:space="preserve">to interpret the term “endangered” in Article I, paragraph 1(e), of the Convention, as meaning: </w:t>
      </w:r>
    </w:p>
    <w:p w14:paraId="0E203C90" w14:textId="77777777" w:rsidR="001B1752" w:rsidRPr="00A401F6" w:rsidRDefault="001B1752" w:rsidP="001B1752">
      <w:pPr>
        <w:ind w:left="1440"/>
        <w:jc w:val="both"/>
        <w:rPr>
          <w:rFonts w:cs="Arial"/>
          <w:i/>
          <w:color w:val="000000"/>
          <w:sz w:val="22"/>
          <w:szCs w:val="22"/>
        </w:rPr>
      </w:pPr>
      <w:r w:rsidRPr="00A401F6">
        <w:rPr>
          <w:rFonts w:cs="Arial"/>
          <w:i/>
          <w:color w:val="000000"/>
          <w:sz w:val="22"/>
          <w:szCs w:val="22"/>
        </w:rPr>
        <w:t xml:space="preserve">“facing a very high risk of extinction in the wild in the near future”; </w:t>
      </w:r>
    </w:p>
    <w:p w14:paraId="05C01C1C" w14:textId="77777777" w:rsidR="001B1752" w:rsidRPr="00A401F6" w:rsidRDefault="001B1752" w:rsidP="001B1752">
      <w:pPr>
        <w:jc w:val="both"/>
        <w:rPr>
          <w:rFonts w:eastAsia="Calibri" w:cs="Arial"/>
          <w:sz w:val="22"/>
          <w:szCs w:val="22"/>
        </w:rPr>
      </w:pPr>
    </w:p>
    <w:p w14:paraId="36031B34" w14:textId="77777777" w:rsidR="001B1752" w:rsidRPr="00A401F6" w:rsidRDefault="001B1752" w:rsidP="001B1752">
      <w:pPr>
        <w:jc w:val="both"/>
        <w:rPr>
          <w:rFonts w:eastAsia="Calibri" w:cs="Arial"/>
          <w:sz w:val="22"/>
          <w:szCs w:val="22"/>
        </w:rPr>
      </w:pPr>
      <w:r w:rsidRPr="00A401F6">
        <w:rPr>
          <w:rFonts w:eastAsia="Calibri" w:cs="Arial"/>
          <w:sz w:val="22"/>
          <w:szCs w:val="22"/>
        </w:rPr>
        <w:t>The guidelines annexed to Resolution 11.33 state:</w:t>
      </w:r>
    </w:p>
    <w:p w14:paraId="30375E7D" w14:textId="77777777" w:rsidR="001B1752" w:rsidRPr="00A401F6" w:rsidRDefault="001B1752" w:rsidP="001B1752">
      <w:pPr>
        <w:numPr>
          <w:ilvl w:val="0"/>
          <w:numId w:val="10"/>
        </w:numPr>
        <w:autoSpaceDE/>
        <w:autoSpaceDN/>
        <w:adjustRightInd/>
        <w:jc w:val="both"/>
        <w:rPr>
          <w:rFonts w:eastAsia="Calibri" w:cs="Arial"/>
          <w:i/>
          <w:sz w:val="22"/>
          <w:szCs w:val="22"/>
        </w:rPr>
      </w:pPr>
      <w:r w:rsidRPr="00A401F6">
        <w:rPr>
          <w:rFonts w:eastAsia="Calibri" w:cs="Arial"/>
          <w:i/>
          <w:sz w:val="22"/>
          <w:szCs w:val="22"/>
        </w:rPr>
        <w:t xml:space="preserve">a taxon assessed as ‘Vulnerable’ or ‘Near Threatened’ would not normally be considered for listing in Appendix I unless there is substantive information subsequent to the IUCN Red List assessment that provides evidence of deteriorating conservation status, </w:t>
      </w:r>
      <w:r w:rsidRPr="00A401F6">
        <w:rPr>
          <w:rFonts w:eastAsia="Calibri" w:cs="Arial"/>
          <w:i/>
          <w:sz w:val="22"/>
          <w:szCs w:val="22"/>
          <w:u w:val="single"/>
        </w:rPr>
        <w:t>and</w:t>
      </w:r>
      <w:r w:rsidRPr="00A401F6">
        <w:rPr>
          <w:rFonts w:eastAsia="Calibri" w:cs="Arial"/>
          <w:i/>
          <w:sz w:val="22"/>
          <w:szCs w:val="22"/>
        </w:rPr>
        <w:t xml:space="preserve"> information about the conservation benefits that an Appendix I listing would bring;</w:t>
      </w:r>
    </w:p>
    <w:p w14:paraId="5730B33B" w14:textId="77777777" w:rsidR="001B1752" w:rsidRPr="00A401F6" w:rsidRDefault="001B1752" w:rsidP="001B1752">
      <w:pPr>
        <w:ind w:left="360"/>
        <w:jc w:val="both"/>
        <w:rPr>
          <w:rFonts w:eastAsia="Calibri" w:cs="Arial"/>
          <w:i/>
          <w:sz w:val="22"/>
          <w:szCs w:val="22"/>
        </w:rPr>
      </w:pPr>
    </w:p>
    <w:p w14:paraId="0258C5C4" w14:textId="77777777" w:rsidR="001B1752" w:rsidRPr="00A401F6" w:rsidRDefault="001B1752" w:rsidP="001B1752">
      <w:pPr>
        <w:numPr>
          <w:ilvl w:val="0"/>
          <w:numId w:val="10"/>
        </w:numPr>
        <w:autoSpaceDE/>
        <w:autoSpaceDN/>
        <w:adjustRightInd/>
        <w:jc w:val="both"/>
        <w:rPr>
          <w:rFonts w:eastAsia="Calibri" w:cs="Arial"/>
          <w:i/>
          <w:sz w:val="22"/>
          <w:szCs w:val="22"/>
        </w:rPr>
      </w:pPr>
      <w:r w:rsidRPr="00A401F6">
        <w:rPr>
          <w:rFonts w:eastAsia="Calibri" w:cs="Arial"/>
          <w:i/>
          <w:sz w:val="22"/>
          <w:szCs w:val="22"/>
        </w:rPr>
        <w:t>a taxon assessed as ‘Extinct in the Wild’, ‘Critically Endangered’, ‘Endangered’, ‘Vulnerable’ or ‘Near Threatened’ using the IUCN Red List criteria will be eligible for consideration for listing in Appendix II, recognizing that such taxa meet the definition of ‘unfavourable conservation status’ under the Convention;</w:t>
      </w:r>
    </w:p>
    <w:p w14:paraId="22A78FD3" w14:textId="77777777" w:rsidR="001B1752" w:rsidRPr="00A401F6" w:rsidRDefault="001B1752" w:rsidP="001B1752">
      <w:pPr>
        <w:ind w:left="360"/>
        <w:jc w:val="both"/>
        <w:rPr>
          <w:rFonts w:eastAsia="Calibri" w:cs="Arial"/>
          <w:i/>
          <w:sz w:val="22"/>
          <w:szCs w:val="22"/>
        </w:rPr>
      </w:pPr>
    </w:p>
    <w:p w14:paraId="11455E29" w14:textId="77777777" w:rsidR="001B1752" w:rsidRPr="00A401F6" w:rsidRDefault="001B1752" w:rsidP="001B1752">
      <w:pPr>
        <w:numPr>
          <w:ilvl w:val="0"/>
          <w:numId w:val="10"/>
        </w:numPr>
        <w:autoSpaceDE/>
        <w:autoSpaceDN/>
        <w:adjustRightInd/>
        <w:jc w:val="both"/>
        <w:rPr>
          <w:rFonts w:eastAsia="Calibri" w:cs="Arial"/>
          <w:i/>
          <w:sz w:val="22"/>
          <w:szCs w:val="22"/>
        </w:rPr>
      </w:pPr>
      <w:r w:rsidRPr="00A401F6">
        <w:rPr>
          <w:rFonts w:eastAsia="Calibri" w:cs="Arial"/>
          <w:i/>
          <w:sz w:val="22"/>
          <w:szCs w:val="22"/>
        </w:rPr>
        <w:t xml:space="preserve">a taxon assessed as ‘Data Deficient’ using the IUCN Red List criteria should be evaluated in terms of the merit of any individual Appendix II proposal.  Information that may be available since the Data Deficient assessment should be considered on a case </w:t>
      </w:r>
      <w:r w:rsidRPr="00A401F6">
        <w:rPr>
          <w:rFonts w:eastAsia="Calibri" w:cs="Arial"/>
          <w:i/>
          <w:sz w:val="22"/>
          <w:szCs w:val="22"/>
        </w:rPr>
        <w:lastRenderedPageBreak/>
        <w:t>by case basis.  It would be exceptional for a ‘Data Deficient’ assessed taxon to be considered for listing in Appendix I.</w:t>
      </w:r>
    </w:p>
    <w:p w14:paraId="2D3A0078" w14:textId="77777777" w:rsidR="001B1752" w:rsidRPr="00A401F6" w:rsidRDefault="001B1752" w:rsidP="001B1752">
      <w:pPr>
        <w:jc w:val="both"/>
        <w:rPr>
          <w:rFonts w:eastAsia="Calibri" w:cs="Arial"/>
          <w:sz w:val="22"/>
          <w:szCs w:val="22"/>
        </w:rPr>
      </w:pPr>
    </w:p>
    <w:p w14:paraId="2530D090" w14:textId="77777777" w:rsidR="001B1752" w:rsidRPr="00A401F6" w:rsidRDefault="001B1752" w:rsidP="001B1752">
      <w:pPr>
        <w:jc w:val="both"/>
        <w:rPr>
          <w:rFonts w:eastAsia="Calibri" w:cs="Arial"/>
          <w:sz w:val="22"/>
          <w:szCs w:val="22"/>
        </w:rPr>
      </w:pPr>
      <w:r w:rsidRPr="00A401F6">
        <w:rPr>
          <w:rFonts w:eastAsia="Calibri" w:cs="Arial"/>
          <w:sz w:val="22"/>
          <w:szCs w:val="22"/>
        </w:rPr>
        <w:t xml:space="preserve">5.2 This section should include information complementary or equivalent to the IUCN Red List Assessment. </w:t>
      </w:r>
    </w:p>
    <w:p w14:paraId="5CBDFD67" w14:textId="77777777" w:rsidR="001B1752" w:rsidRPr="00A401F6" w:rsidRDefault="001B1752" w:rsidP="001B1752">
      <w:pPr>
        <w:jc w:val="both"/>
        <w:rPr>
          <w:rFonts w:eastAsia="Calibri" w:cs="Arial"/>
          <w:sz w:val="22"/>
          <w:szCs w:val="22"/>
        </w:rPr>
      </w:pPr>
    </w:p>
    <w:p w14:paraId="7FAF3121" w14:textId="77777777" w:rsidR="001B1752" w:rsidRPr="00A401F6" w:rsidRDefault="001B1752" w:rsidP="001B1752">
      <w:pPr>
        <w:jc w:val="both"/>
        <w:rPr>
          <w:rFonts w:eastAsia="Calibri" w:cs="Arial"/>
          <w:sz w:val="22"/>
          <w:szCs w:val="22"/>
        </w:rPr>
      </w:pPr>
      <w:r w:rsidRPr="00A401F6">
        <w:rPr>
          <w:rFonts w:eastAsia="Calibri" w:cs="Arial"/>
          <w:sz w:val="22"/>
          <w:szCs w:val="22"/>
        </w:rPr>
        <w:t>Information that has become available since the last IUCN Red List assessment for a taxon should be provided, using the same principles and percentage changes in populations as the red-listing process.</w:t>
      </w:r>
    </w:p>
    <w:p w14:paraId="7EFCC196" w14:textId="77777777" w:rsidR="001B1752" w:rsidRPr="00A401F6" w:rsidRDefault="001B1752" w:rsidP="001B1752">
      <w:pPr>
        <w:jc w:val="both"/>
        <w:rPr>
          <w:rFonts w:eastAsia="Calibri" w:cs="Arial"/>
          <w:sz w:val="22"/>
          <w:szCs w:val="22"/>
        </w:rPr>
      </w:pPr>
    </w:p>
    <w:p w14:paraId="419B8869" w14:textId="77777777" w:rsidR="001B1752" w:rsidRPr="00A401F6" w:rsidRDefault="001B1752" w:rsidP="001B1752">
      <w:pPr>
        <w:jc w:val="both"/>
        <w:rPr>
          <w:rFonts w:eastAsia="Calibri" w:cs="Arial"/>
          <w:sz w:val="22"/>
          <w:szCs w:val="22"/>
        </w:rPr>
      </w:pPr>
      <w:r w:rsidRPr="00A401F6">
        <w:rPr>
          <w:rFonts w:eastAsia="Calibri" w:cs="Arial"/>
          <w:sz w:val="22"/>
          <w:szCs w:val="22"/>
        </w:rPr>
        <w:t>If an IUCN Red List assessment is not available for a taxon, equivalent information, using the same principles and percentage changes in populations as the red-listing process, should be provided to enable the proposal to be assessed on an equivalent basis.</w:t>
      </w:r>
    </w:p>
    <w:p w14:paraId="06CCF3CC" w14:textId="77777777" w:rsidR="001B1752" w:rsidRPr="00A401F6" w:rsidRDefault="001B1752" w:rsidP="001B1752">
      <w:pPr>
        <w:jc w:val="both"/>
        <w:rPr>
          <w:rFonts w:cs="Arial"/>
          <w:sz w:val="22"/>
          <w:szCs w:val="22"/>
        </w:rPr>
      </w:pPr>
    </w:p>
    <w:p w14:paraId="7FB18FCE" w14:textId="77777777" w:rsidR="001B1752" w:rsidRPr="00A401F6" w:rsidRDefault="001B1752" w:rsidP="001B1752">
      <w:pPr>
        <w:jc w:val="both"/>
        <w:rPr>
          <w:rFonts w:cs="Arial"/>
          <w:sz w:val="22"/>
          <w:szCs w:val="22"/>
        </w:rPr>
      </w:pPr>
      <w:r w:rsidRPr="00A401F6">
        <w:rPr>
          <w:rFonts w:cs="Arial"/>
          <w:sz w:val="22"/>
          <w:szCs w:val="22"/>
        </w:rPr>
        <w:t>5.3 This section should include a specification of the nature, intensity and, if possible, relative importance of human-induced threats (e.g. habitat loss or degradation; over-exploitation; effects of competition, predation or disease by introduced species; climate change; toxins and pollutants; etc.).  Where possible, a determination of the level of threat should be provided, for the purpose of future assessments of the effects of the amendment.</w:t>
      </w:r>
    </w:p>
    <w:p w14:paraId="59E6C29A" w14:textId="77777777" w:rsidR="001B1752" w:rsidRPr="00A401F6" w:rsidRDefault="001B1752" w:rsidP="001B1752">
      <w:pPr>
        <w:jc w:val="both"/>
        <w:rPr>
          <w:rFonts w:cs="Arial"/>
          <w:sz w:val="22"/>
          <w:szCs w:val="22"/>
        </w:rPr>
      </w:pPr>
    </w:p>
    <w:p w14:paraId="04C47606" w14:textId="77777777" w:rsidR="001B1752" w:rsidRPr="00A401F6" w:rsidRDefault="001B1752" w:rsidP="001B1752">
      <w:pPr>
        <w:jc w:val="both"/>
        <w:rPr>
          <w:rFonts w:cs="Arial"/>
          <w:sz w:val="22"/>
          <w:szCs w:val="22"/>
        </w:rPr>
      </w:pPr>
      <w:r w:rsidRPr="00A401F6">
        <w:rPr>
          <w:rFonts w:cs="Arial"/>
          <w:sz w:val="22"/>
          <w:szCs w:val="22"/>
        </w:rPr>
        <w:t xml:space="preserve">5.4 This section should include a description of any threat related specifically to the migratory behaviour of the taxon, or affecting it (e.g. obstacles to migration). </w:t>
      </w:r>
    </w:p>
    <w:p w14:paraId="7FF0831E" w14:textId="77777777" w:rsidR="001B1752" w:rsidRPr="00A401F6" w:rsidRDefault="001B1752" w:rsidP="001B1752">
      <w:pPr>
        <w:jc w:val="both"/>
        <w:rPr>
          <w:rFonts w:cs="Arial"/>
          <w:sz w:val="22"/>
          <w:szCs w:val="22"/>
        </w:rPr>
      </w:pPr>
    </w:p>
    <w:p w14:paraId="48E305EB" w14:textId="77777777" w:rsidR="001B1752" w:rsidRPr="00A401F6" w:rsidRDefault="001B1752" w:rsidP="001B1752">
      <w:pPr>
        <w:jc w:val="both"/>
        <w:rPr>
          <w:rFonts w:cs="Arial"/>
          <w:sz w:val="22"/>
          <w:szCs w:val="22"/>
        </w:rPr>
      </w:pPr>
      <w:r w:rsidRPr="00A401F6">
        <w:rPr>
          <w:rFonts w:cs="Arial"/>
          <w:sz w:val="22"/>
          <w:szCs w:val="22"/>
        </w:rPr>
        <w:t>5.5 This section should include a description of the types and extent of all known uses of the taxon, indicating trends if possible.</w:t>
      </w:r>
    </w:p>
    <w:p w14:paraId="4866D120" w14:textId="77777777" w:rsidR="001B1752" w:rsidRPr="00A401F6" w:rsidRDefault="001B1752" w:rsidP="001B1752">
      <w:pPr>
        <w:jc w:val="both"/>
        <w:rPr>
          <w:rFonts w:eastAsia="Calibri" w:cs="Arial"/>
          <w:sz w:val="22"/>
          <w:szCs w:val="22"/>
        </w:rPr>
      </w:pPr>
    </w:p>
    <w:p w14:paraId="2B71A0C7" w14:textId="77777777" w:rsidR="001B1752" w:rsidRPr="00A401F6" w:rsidRDefault="001B1752" w:rsidP="001B1752">
      <w:pPr>
        <w:jc w:val="both"/>
        <w:rPr>
          <w:rFonts w:cs="Arial"/>
          <w:sz w:val="22"/>
          <w:szCs w:val="22"/>
        </w:rPr>
      </w:pPr>
      <w:r w:rsidRPr="00A401F6">
        <w:rPr>
          <w:rFonts w:cs="Arial"/>
          <w:sz w:val="22"/>
          <w:szCs w:val="22"/>
        </w:rPr>
        <w:t xml:space="preserve">6. </w:t>
      </w:r>
      <w:r w:rsidRPr="00A401F6">
        <w:rPr>
          <w:rFonts w:cs="Arial"/>
          <w:sz w:val="22"/>
          <w:szCs w:val="22"/>
          <w:u w:val="single"/>
        </w:rPr>
        <w:t>Protection status and species management</w:t>
      </w:r>
    </w:p>
    <w:p w14:paraId="4131B834" w14:textId="77777777" w:rsidR="001B1752" w:rsidRPr="00A401F6" w:rsidRDefault="001B1752" w:rsidP="001B1752">
      <w:pPr>
        <w:jc w:val="both"/>
        <w:rPr>
          <w:rFonts w:cs="Arial"/>
          <w:sz w:val="22"/>
          <w:szCs w:val="22"/>
        </w:rPr>
      </w:pPr>
    </w:p>
    <w:p w14:paraId="2B74686D" w14:textId="77777777" w:rsidR="001B1752" w:rsidRPr="00A401F6" w:rsidRDefault="001B1752" w:rsidP="001B1752">
      <w:pPr>
        <w:jc w:val="both"/>
        <w:rPr>
          <w:rFonts w:eastAsia="Calibri" w:cs="Arial"/>
          <w:sz w:val="22"/>
          <w:szCs w:val="22"/>
        </w:rPr>
      </w:pPr>
      <w:r w:rsidRPr="00A401F6">
        <w:rPr>
          <w:rFonts w:cs="Arial"/>
          <w:sz w:val="22"/>
          <w:szCs w:val="22"/>
        </w:rPr>
        <w:t>6.1 This section should include details of legislation in relevant Range States relating to the conservation of the species, including its habitat, either specifically (such as endangered species legislation) or generally (such as legislation on wildlife and accompanying regulations).  The nature of legal protection (i.e. whether the species is totally protected, or whether harvesting is regulated or controlled) should be indicated.  Where appropriate, an assessment of the effectiveness of this legislation in ensuring the conservation and/or management of the taxon should be provided.</w:t>
      </w:r>
    </w:p>
    <w:p w14:paraId="2BD6E6A8" w14:textId="77777777" w:rsidR="001B1752" w:rsidRPr="00A401F6" w:rsidRDefault="001B1752" w:rsidP="001B1752">
      <w:pPr>
        <w:jc w:val="both"/>
        <w:rPr>
          <w:rFonts w:cs="Arial"/>
          <w:sz w:val="22"/>
          <w:szCs w:val="22"/>
        </w:rPr>
      </w:pPr>
    </w:p>
    <w:p w14:paraId="6E5B7253" w14:textId="29BA24C4" w:rsidR="001B1752" w:rsidRPr="00A401F6" w:rsidRDefault="001B1752" w:rsidP="001B1752">
      <w:pPr>
        <w:jc w:val="both"/>
        <w:rPr>
          <w:rFonts w:cs="Arial"/>
          <w:sz w:val="22"/>
          <w:szCs w:val="22"/>
        </w:rPr>
      </w:pPr>
      <w:r w:rsidRPr="00A401F6">
        <w:rPr>
          <w:rFonts w:cs="Arial"/>
          <w:sz w:val="22"/>
          <w:szCs w:val="22"/>
        </w:rPr>
        <w:t>6.2 This section should include details of international instruments relating to the species in question, including the nature of the protection afforded by such instruments.  This section should also indicate where the species is captured by management measure of a Regional Fisheries Management Organi</w:t>
      </w:r>
      <w:r w:rsidR="0007246E" w:rsidRPr="00A401F6">
        <w:rPr>
          <w:rFonts w:cs="Arial"/>
          <w:sz w:val="22"/>
          <w:szCs w:val="22"/>
        </w:rPr>
        <w:t>z</w:t>
      </w:r>
      <w:r w:rsidRPr="00A401F6">
        <w:rPr>
          <w:rFonts w:cs="Arial"/>
          <w:sz w:val="22"/>
          <w:szCs w:val="22"/>
        </w:rPr>
        <w:t>ation (RFMO), whether as a targeted species or bycatch.  Where appropriate, an assessment of the effectiveness of these instruments in ensuring the conservation and/or management of the species should be provided.</w:t>
      </w:r>
    </w:p>
    <w:p w14:paraId="453DDC4E" w14:textId="77777777" w:rsidR="001B1752" w:rsidRPr="00A401F6" w:rsidRDefault="001B1752" w:rsidP="001B1752">
      <w:pPr>
        <w:jc w:val="both"/>
        <w:rPr>
          <w:rFonts w:cs="Arial"/>
          <w:sz w:val="22"/>
          <w:szCs w:val="22"/>
        </w:rPr>
      </w:pPr>
    </w:p>
    <w:p w14:paraId="71396371" w14:textId="77777777" w:rsidR="001B1752" w:rsidRPr="00A401F6" w:rsidRDefault="001B1752" w:rsidP="001B1752">
      <w:pPr>
        <w:jc w:val="both"/>
        <w:rPr>
          <w:rFonts w:eastAsia="Calibri" w:cs="Arial"/>
          <w:sz w:val="22"/>
          <w:szCs w:val="22"/>
        </w:rPr>
      </w:pPr>
      <w:r w:rsidRPr="00A401F6">
        <w:rPr>
          <w:rFonts w:eastAsia="Calibri" w:cs="Arial"/>
          <w:sz w:val="22"/>
          <w:szCs w:val="22"/>
        </w:rPr>
        <w:t xml:space="preserve">6.3 This section should include details of programmes in place in the individual Range States as well as of joint programmes between Range States to manage populations of the taxon in question </w:t>
      </w:r>
      <w:r w:rsidRPr="00A401F6">
        <w:rPr>
          <w:rFonts w:cs="Arial"/>
          <w:sz w:val="22"/>
          <w:szCs w:val="22"/>
        </w:rPr>
        <w:t>(e.g. recovery plans, RFMO management systems and/or conservation measures, controlled harvest from the wild, captive breeding or artificial propagation, reintroduction, ranching, quota systems, etc.).  It should include, where appropriate, details such as planned harvest rates, planned population sizes, procedures for the establishment and implementation of quotas, and mechanisms for ensuring that wildlife management advice is taken into account.  Where applicable, details should be provided of any mechanisms used to ensure a return from utilization of the species in question to conservation and/or management programmes (e.g. pricing schemes, community ownership plans, export tariffs, etc.).</w:t>
      </w:r>
    </w:p>
    <w:p w14:paraId="41A8CE5A" w14:textId="77777777" w:rsidR="001B1752" w:rsidRPr="00A401F6" w:rsidRDefault="001B1752" w:rsidP="001B1752">
      <w:pPr>
        <w:jc w:val="both"/>
        <w:rPr>
          <w:rFonts w:cs="Arial"/>
          <w:sz w:val="22"/>
          <w:szCs w:val="22"/>
        </w:rPr>
      </w:pPr>
    </w:p>
    <w:p w14:paraId="0401268B" w14:textId="77777777" w:rsidR="001B1752" w:rsidRPr="00A401F6" w:rsidRDefault="001B1752" w:rsidP="001B1752">
      <w:pPr>
        <w:jc w:val="both"/>
        <w:rPr>
          <w:rFonts w:cs="Arial"/>
          <w:sz w:val="22"/>
          <w:szCs w:val="22"/>
        </w:rPr>
      </w:pPr>
      <w:r w:rsidRPr="00A401F6">
        <w:rPr>
          <w:rFonts w:cs="Arial"/>
          <w:sz w:val="22"/>
          <w:szCs w:val="22"/>
        </w:rPr>
        <w:t>6.4 This section should provide information, where available, regarding the number, size and type of protected areas relevant to the habitat of the species, and on habitat conservation programmes outside protected areas.</w:t>
      </w:r>
    </w:p>
    <w:p w14:paraId="3B305FCA" w14:textId="77777777" w:rsidR="001B1752" w:rsidRPr="00A401F6" w:rsidRDefault="001B1752" w:rsidP="001B1752">
      <w:pPr>
        <w:jc w:val="both"/>
        <w:rPr>
          <w:rFonts w:cs="Arial"/>
          <w:sz w:val="22"/>
          <w:szCs w:val="22"/>
        </w:rPr>
      </w:pPr>
    </w:p>
    <w:p w14:paraId="49D79230" w14:textId="77777777" w:rsidR="001B1752" w:rsidRPr="00A401F6" w:rsidRDefault="001B1752" w:rsidP="001B1752">
      <w:pPr>
        <w:jc w:val="both"/>
        <w:rPr>
          <w:rFonts w:cs="Arial"/>
          <w:sz w:val="22"/>
          <w:szCs w:val="22"/>
        </w:rPr>
      </w:pPr>
      <w:r w:rsidRPr="00A401F6">
        <w:rPr>
          <w:rFonts w:cs="Arial"/>
          <w:sz w:val="22"/>
          <w:szCs w:val="22"/>
        </w:rPr>
        <w:lastRenderedPageBreak/>
        <w:t>6.5 This section should provide details of programmes in place to monitor the status of wild populations and the sustainability of offtake from the wild (referencing information provided in section 6.1, 6.2 and 6.3).</w:t>
      </w:r>
    </w:p>
    <w:p w14:paraId="6E10120D" w14:textId="77777777" w:rsidR="001B1752" w:rsidRPr="00A401F6" w:rsidRDefault="001B1752" w:rsidP="001B1752">
      <w:pPr>
        <w:jc w:val="both"/>
        <w:rPr>
          <w:rFonts w:cs="Arial"/>
          <w:sz w:val="22"/>
          <w:szCs w:val="22"/>
        </w:rPr>
      </w:pPr>
    </w:p>
    <w:p w14:paraId="79917C06" w14:textId="77777777" w:rsidR="001B1752" w:rsidRPr="00A401F6" w:rsidRDefault="001B1752" w:rsidP="001B1752">
      <w:pPr>
        <w:jc w:val="both"/>
        <w:rPr>
          <w:rFonts w:cs="Arial"/>
          <w:sz w:val="22"/>
          <w:szCs w:val="22"/>
        </w:rPr>
      </w:pPr>
      <w:r w:rsidRPr="00A401F6">
        <w:rPr>
          <w:rFonts w:cs="Arial"/>
          <w:sz w:val="22"/>
          <w:szCs w:val="22"/>
        </w:rPr>
        <w:t xml:space="preserve">7. </w:t>
      </w:r>
      <w:r w:rsidRPr="00A401F6">
        <w:rPr>
          <w:rFonts w:cs="Arial"/>
          <w:sz w:val="22"/>
          <w:szCs w:val="22"/>
          <w:u w:val="single"/>
        </w:rPr>
        <w:t>Effects of the proposed amendment</w:t>
      </w:r>
    </w:p>
    <w:p w14:paraId="5D4FE365" w14:textId="77777777" w:rsidR="001B1752" w:rsidRPr="00A401F6" w:rsidRDefault="001B1752" w:rsidP="001B1752">
      <w:pPr>
        <w:jc w:val="both"/>
        <w:rPr>
          <w:rFonts w:cs="Arial"/>
          <w:sz w:val="22"/>
          <w:szCs w:val="22"/>
        </w:rPr>
      </w:pPr>
    </w:p>
    <w:p w14:paraId="5CD38536" w14:textId="77777777" w:rsidR="001B1752" w:rsidRPr="00A401F6" w:rsidRDefault="001B1752" w:rsidP="001B1752">
      <w:pPr>
        <w:jc w:val="both"/>
        <w:rPr>
          <w:rFonts w:cs="Arial"/>
          <w:color w:val="000000"/>
          <w:sz w:val="22"/>
          <w:szCs w:val="22"/>
        </w:rPr>
      </w:pPr>
      <w:r w:rsidRPr="00A401F6">
        <w:rPr>
          <w:rFonts w:cs="Arial"/>
          <w:sz w:val="22"/>
          <w:szCs w:val="22"/>
        </w:rPr>
        <w:t xml:space="preserve">7.1 This section should clearly demonstrate how the proposed amendment will benefit the taxon.  Coherence with existing measures in other multilateral fora should be demonstrated.  </w:t>
      </w:r>
      <w:r w:rsidRPr="00A401F6">
        <w:rPr>
          <w:rFonts w:cs="Arial"/>
          <w:color w:val="000000"/>
          <w:sz w:val="22"/>
          <w:szCs w:val="22"/>
        </w:rPr>
        <w:t>As far as possible information should also be provided on the following:</w:t>
      </w:r>
    </w:p>
    <w:p w14:paraId="39AA5B8F" w14:textId="77777777" w:rsidR="001B1752" w:rsidRPr="00A401F6" w:rsidRDefault="001B1752" w:rsidP="001B1752">
      <w:pPr>
        <w:rPr>
          <w:rFonts w:cs="Arial"/>
          <w:color w:val="000000"/>
          <w:sz w:val="22"/>
          <w:szCs w:val="22"/>
        </w:rPr>
      </w:pPr>
    </w:p>
    <w:p w14:paraId="578748DA" w14:textId="77777777" w:rsidR="001B1752" w:rsidRPr="00A401F6" w:rsidRDefault="001B1752" w:rsidP="001B1752">
      <w:pPr>
        <w:pStyle w:val="ListParagraph"/>
        <w:widowControl/>
        <w:numPr>
          <w:ilvl w:val="0"/>
          <w:numId w:val="12"/>
        </w:numPr>
        <w:rPr>
          <w:rFonts w:cs="Arial"/>
          <w:color w:val="000000"/>
          <w:sz w:val="22"/>
          <w:szCs w:val="22"/>
        </w:rPr>
      </w:pPr>
      <w:r w:rsidRPr="00A401F6">
        <w:rPr>
          <w:rFonts w:cs="Arial"/>
          <w:color w:val="000000"/>
          <w:sz w:val="22"/>
          <w:szCs w:val="22"/>
        </w:rPr>
        <w:t xml:space="preserve">whether existing legislation in the Range States is sufficient, or if further protection is needed; </w:t>
      </w:r>
    </w:p>
    <w:p w14:paraId="7C02AD1B" w14:textId="77777777" w:rsidR="001B1752" w:rsidRPr="00A401F6" w:rsidRDefault="001B1752" w:rsidP="001B1752">
      <w:pPr>
        <w:rPr>
          <w:rFonts w:cs="Arial"/>
          <w:color w:val="000000"/>
          <w:sz w:val="22"/>
          <w:szCs w:val="22"/>
        </w:rPr>
      </w:pPr>
    </w:p>
    <w:p w14:paraId="0DB7E3D1" w14:textId="77777777" w:rsidR="001B1752" w:rsidRPr="00A401F6" w:rsidRDefault="001B1752" w:rsidP="001B1752">
      <w:pPr>
        <w:pStyle w:val="ListParagraph"/>
        <w:widowControl/>
        <w:numPr>
          <w:ilvl w:val="0"/>
          <w:numId w:val="12"/>
        </w:numPr>
        <w:rPr>
          <w:rFonts w:cs="Arial"/>
          <w:color w:val="000000"/>
          <w:sz w:val="22"/>
          <w:szCs w:val="22"/>
        </w:rPr>
      </w:pPr>
      <w:r w:rsidRPr="00A401F6">
        <w:rPr>
          <w:rFonts w:cs="Arial"/>
          <w:color w:val="000000"/>
          <w:sz w:val="22"/>
          <w:szCs w:val="22"/>
        </w:rPr>
        <w:t xml:space="preserve">the extent to which the factors that have led to an unfavourable conservation status are anthropogenic or natural; </w:t>
      </w:r>
    </w:p>
    <w:p w14:paraId="62AB77E7" w14:textId="77777777" w:rsidR="001B1752" w:rsidRPr="00A401F6" w:rsidRDefault="001B1752" w:rsidP="001B1752">
      <w:pPr>
        <w:rPr>
          <w:rFonts w:cs="Arial"/>
          <w:color w:val="000000"/>
          <w:sz w:val="22"/>
          <w:szCs w:val="22"/>
        </w:rPr>
      </w:pPr>
    </w:p>
    <w:p w14:paraId="6723D4D9" w14:textId="77777777" w:rsidR="001B1752" w:rsidRPr="00A401F6" w:rsidRDefault="001B1752" w:rsidP="001B1752">
      <w:pPr>
        <w:pStyle w:val="ListParagraph"/>
        <w:widowControl/>
        <w:numPr>
          <w:ilvl w:val="0"/>
          <w:numId w:val="12"/>
        </w:numPr>
        <w:rPr>
          <w:rFonts w:cs="Arial"/>
          <w:color w:val="000000"/>
          <w:sz w:val="22"/>
          <w:szCs w:val="22"/>
        </w:rPr>
      </w:pPr>
      <w:r w:rsidRPr="00A401F6">
        <w:rPr>
          <w:rFonts w:cs="Arial"/>
          <w:color w:val="000000"/>
          <w:sz w:val="22"/>
          <w:szCs w:val="22"/>
        </w:rPr>
        <w:t xml:space="preserve">whether existing bilateral or multilateral measures/agreements need to be boosted or amended; </w:t>
      </w:r>
    </w:p>
    <w:p w14:paraId="64A9734E" w14:textId="77777777" w:rsidR="001B1752" w:rsidRPr="00A401F6" w:rsidRDefault="001B1752" w:rsidP="001B1752">
      <w:pPr>
        <w:rPr>
          <w:rFonts w:cs="Arial"/>
          <w:color w:val="000000"/>
          <w:sz w:val="22"/>
          <w:szCs w:val="22"/>
        </w:rPr>
      </w:pPr>
    </w:p>
    <w:p w14:paraId="53B95572" w14:textId="77777777" w:rsidR="001B1752" w:rsidRPr="00A401F6" w:rsidRDefault="001B1752" w:rsidP="001B1752">
      <w:pPr>
        <w:pStyle w:val="ListParagraph"/>
        <w:widowControl/>
        <w:numPr>
          <w:ilvl w:val="0"/>
          <w:numId w:val="12"/>
        </w:numPr>
        <w:rPr>
          <w:rFonts w:cs="Arial"/>
          <w:color w:val="000000"/>
          <w:sz w:val="22"/>
          <w:szCs w:val="22"/>
        </w:rPr>
      </w:pPr>
      <w:r w:rsidRPr="00A401F6">
        <w:rPr>
          <w:rFonts w:cs="Arial"/>
          <w:color w:val="000000"/>
          <w:sz w:val="22"/>
          <w:szCs w:val="22"/>
        </w:rPr>
        <w:t xml:space="preserve">the extent to which all range states already protect the species or have management recovery plans in place; and </w:t>
      </w:r>
    </w:p>
    <w:p w14:paraId="080FD5A7" w14:textId="77777777" w:rsidR="001B1752" w:rsidRPr="00A401F6" w:rsidRDefault="001B1752" w:rsidP="001B1752">
      <w:pPr>
        <w:rPr>
          <w:rFonts w:cs="Arial"/>
          <w:sz w:val="22"/>
          <w:szCs w:val="22"/>
        </w:rPr>
      </w:pPr>
    </w:p>
    <w:p w14:paraId="628415F9" w14:textId="77777777" w:rsidR="001B1752" w:rsidRPr="00A401F6" w:rsidRDefault="001B1752" w:rsidP="001B1752">
      <w:pPr>
        <w:pStyle w:val="ListParagraph"/>
        <w:widowControl/>
        <w:numPr>
          <w:ilvl w:val="0"/>
          <w:numId w:val="12"/>
        </w:numPr>
        <w:rPr>
          <w:rFonts w:cs="Arial"/>
          <w:sz w:val="22"/>
          <w:szCs w:val="22"/>
        </w:rPr>
      </w:pPr>
      <w:r w:rsidRPr="00A401F6">
        <w:rPr>
          <w:rFonts w:cs="Arial"/>
          <w:sz w:val="22"/>
          <w:szCs w:val="22"/>
        </w:rPr>
        <w:t xml:space="preserve">how listing in a CMS Appendix would support measures in other multilateral fora, especially those under the Convention on International Trade in Endangered Species (CITES), or RFMOs.   </w:t>
      </w:r>
    </w:p>
    <w:p w14:paraId="004BD50A" w14:textId="77777777" w:rsidR="001B1752" w:rsidRPr="00A401F6" w:rsidRDefault="001B1752" w:rsidP="00A401F6">
      <w:pPr>
        <w:jc w:val="both"/>
        <w:rPr>
          <w:rFonts w:cs="Arial"/>
          <w:sz w:val="22"/>
          <w:szCs w:val="22"/>
        </w:rPr>
      </w:pPr>
    </w:p>
    <w:p w14:paraId="7838A377" w14:textId="77777777" w:rsidR="001B1752" w:rsidRPr="00A401F6" w:rsidRDefault="001B1752" w:rsidP="00A401F6">
      <w:pPr>
        <w:jc w:val="both"/>
        <w:rPr>
          <w:rFonts w:cs="Arial"/>
          <w:sz w:val="22"/>
          <w:szCs w:val="22"/>
        </w:rPr>
      </w:pPr>
      <w:r w:rsidRPr="00A401F6">
        <w:rPr>
          <w:rFonts w:cs="Arial"/>
          <w:sz w:val="22"/>
          <w:szCs w:val="22"/>
        </w:rPr>
        <w:t>7.2 This section should include a statement of the potential risks to conservation of the proposed amendment.  In the case of proposals to removing a taxon from the Appendices, an assessment of the suitability of removing the protection provided by the CMS Appendices should be provided.  Consideration should also be given to coherence with protection under other regimes – such as CITES or RFMOs.</w:t>
      </w:r>
    </w:p>
    <w:p w14:paraId="2FE40D56" w14:textId="77777777" w:rsidR="001B1752" w:rsidRPr="00A401F6" w:rsidRDefault="001B1752" w:rsidP="001B1752">
      <w:pPr>
        <w:jc w:val="both"/>
        <w:rPr>
          <w:rFonts w:cs="Arial"/>
          <w:sz w:val="22"/>
          <w:szCs w:val="22"/>
        </w:rPr>
      </w:pPr>
    </w:p>
    <w:p w14:paraId="5AE05CE7" w14:textId="77777777" w:rsidR="001B1752" w:rsidRPr="00A401F6" w:rsidRDefault="001B1752" w:rsidP="001B1752">
      <w:pPr>
        <w:jc w:val="both"/>
        <w:rPr>
          <w:rFonts w:cs="Arial"/>
          <w:sz w:val="22"/>
          <w:szCs w:val="22"/>
        </w:rPr>
      </w:pPr>
      <w:r w:rsidRPr="00A401F6">
        <w:rPr>
          <w:rFonts w:cs="Arial"/>
          <w:sz w:val="22"/>
          <w:szCs w:val="22"/>
        </w:rPr>
        <w:t>7.3 The proponent(s) must provide a statement of its/their intention of the following:</w:t>
      </w:r>
    </w:p>
    <w:p w14:paraId="6C5900C0" w14:textId="77777777" w:rsidR="001B1752" w:rsidRPr="00A401F6" w:rsidRDefault="001B1752" w:rsidP="001B1752">
      <w:pPr>
        <w:jc w:val="both"/>
        <w:rPr>
          <w:rFonts w:cs="Arial"/>
          <w:sz w:val="22"/>
          <w:szCs w:val="22"/>
        </w:rPr>
      </w:pPr>
    </w:p>
    <w:p w14:paraId="2D7EC91A" w14:textId="77777777" w:rsidR="001B1752" w:rsidRPr="00A401F6" w:rsidRDefault="001B1752" w:rsidP="001B1752">
      <w:pPr>
        <w:pStyle w:val="ListParagraph"/>
        <w:widowControl/>
        <w:numPr>
          <w:ilvl w:val="0"/>
          <w:numId w:val="13"/>
        </w:numPr>
        <w:rPr>
          <w:rFonts w:cs="Arial"/>
          <w:sz w:val="22"/>
          <w:szCs w:val="22"/>
        </w:rPr>
      </w:pPr>
      <w:r w:rsidRPr="00A401F6">
        <w:rPr>
          <w:rFonts w:cs="Arial"/>
          <w:sz w:val="22"/>
          <w:szCs w:val="22"/>
        </w:rPr>
        <w:t xml:space="preserve">concluding an international agreement or concerted action; </w:t>
      </w:r>
      <w:r w:rsidRPr="00A401F6">
        <w:rPr>
          <w:rFonts w:cs="Arial"/>
          <w:sz w:val="22"/>
          <w:szCs w:val="22"/>
          <w:u w:val="single"/>
        </w:rPr>
        <w:t>and</w:t>
      </w:r>
      <w:r w:rsidRPr="00A401F6">
        <w:rPr>
          <w:rFonts w:cs="Arial"/>
          <w:sz w:val="22"/>
          <w:szCs w:val="22"/>
        </w:rPr>
        <w:t xml:space="preserve"> </w:t>
      </w:r>
    </w:p>
    <w:p w14:paraId="73F5ADF4" w14:textId="77777777" w:rsidR="001B1752" w:rsidRPr="00A401F6" w:rsidRDefault="001B1752" w:rsidP="001B1752">
      <w:pPr>
        <w:rPr>
          <w:rFonts w:cs="Arial"/>
          <w:sz w:val="22"/>
          <w:szCs w:val="22"/>
        </w:rPr>
      </w:pPr>
    </w:p>
    <w:p w14:paraId="331F5CBB" w14:textId="77777777" w:rsidR="001B1752" w:rsidRPr="00A401F6" w:rsidRDefault="001B1752" w:rsidP="001B1752">
      <w:pPr>
        <w:pStyle w:val="ListParagraph"/>
        <w:widowControl/>
        <w:numPr>
          <w:ilvl w:val="0"/>
          <w:numId w:val="13"/>
        </w:numPr>
        <w:rPr>
          <w:rFonts w:cs="Arial"/>
          <w:sz w:val="22"/>
          <w:szCs w:val="22"/>
        </w:rPr>
      </w:pPr>
      <w:r w:rsidRPr="00A401F6">
        <w:rPr>
          <w:rFonts w:cs="Arial"/>
          <w:sz w:val="22"/>
          <w:szCs w:val="22"/>
        </w:rPr>
        <w:t xml:space="preserve">adopting the role of Focal Point for the nominated taxon and lead the development of an international agreement or concerted action. </w:t>
      </w:r>
    </w:p>
    <w:p w14:paraId="55354BC6" w14:textId="77777777" w:rsidR="001B1752" w:rsidRPr="00A401F6" w:rsidRDefault="001B1752" w:rsidP="001B1752">
      <w:pPr>
        <w:jc w:val="both"/>
        <w:rPr>
          <w:rFonts w:cs="Arial"/>
          <w:sz w:val="22"/>
          <w:szCs w:val="22"/>
        </w:rPr>
      </w:pPr>
    </w:p>
    <w:p w14:paraId="78A8BC99" w14:textId="77777777" w:rsidR="001B1752" w:rsidRPr="00A401F6" w:rsidRDefault="001B1752" w:rsidP="001B1752">
      <w:pPr>
        <w:jc w:val="both"/>
        <w:rPr>
          <w:rFonts w:cs="Arial"/>
          <w:sz w:val="22"/>
          <w:szCs w:val="22"/>
        </w:rPr>
      </w:pPr>
      <w:r w:rsidRPr="00A401F6">
        <w:rPr>
          <w:rFonts w:cs="Arial"/>
          <w:sz w:val="22"/>
          <w:szCs w:val="22"/>
        </w:rPr>
        <w:t xml:space="preserve">8. </w:t>
      </w:r>
      <w:r w:rsidRPr="00A401F6">
        <w:rPr>
          <w:rFonts w:cs="Arial"/>
          <w:sz w:val="22"/>
          <w:szCs w:val="22"/>
          <w:u w:val="single"/>
        </w:rPr>
        <w:t>Range States</w:t>
      </w:r>
      <w:r w:rsidRPr="00A401F6">
        <w:rPr>
          <w:rFonts w:cs="Arial"/>
          <w:sz w:val="22"/>
          <w:szCs w:val="22"/>
        </w:rPr>
        <w:t xml:space="preserve"> </w:t>
      </w:r>
    </w:p>
    <w:p w14:paraId="7C583955" w14:textId="77777777" w:rsidR="001B1752" w:rsidRPr="00A401F6" w:rsidRDefault="001B1752" w:rsidP="001B1752">
      <w:pPr>
        <w:jc w:val="both"/>
        <w:rPr>
          <w:rFonts w:cs="Arial"/>
          <w:sz w:val="22"/>
          <w:szCs w:val="22"/>
        </w:rPr>
      </w:pPr>
    </w:p>
    <w:p w14:paraId="5F9C668A" w14:textId="77777777" w:rsidR="001B1752" w:rsidRPr="00A401F6" w:rsidRDefault="001B1752" w:rsidP="001B1752">
      <w:pPr>
        <w:jc w:val="both"/>
        <w:rPr>
          <w:rFonts w:cs="Arial"/>
          <w:sz w:val="22"/>
          <w:szCs w:val="22"/>
        </w:rPr>
      </w:pPr>
      <w:r w:rsidRPr="00A401F6">
        <w:rPr>
          <w:rFonts w:cs="Arial"/>
          <w:sz w:val="22"/>
          <w:szCs w:val="22"/>
        </w:rPr>
        <w:t xml:space="preserve">The proponent(s) should provide a list of States where the occurrence of species has been proved (indicating, where possible, whether these are breeding, migrating or resting ranges).  </w:t>
      </w:r>
    </w:p>
    <w:p w14:paraId="0E16B54C" w14:textId="77777777" w:rsidR="001B1752" w:rsidRPr="00A401F6" w:rsidRDefault="001B1752" w:rsidP="001B1752">
      <w:pPr>
        <w:jc w:val="both"/>
        <w:rPr>
          <w:rFonts w:cs="Arial"/>
          <w:sz w:val="22"/>
          <w:szCs w:val="22"/>
        </w:rPr>
      </w:pPr>
    </w:p>
    <w:p w14:paraId="1835CD13" w14:textId="77777777" w:rsidR="001B1752" w:rsidRPr="00A401F6" w:rsidRDefault="001B1752" w:rsidP="001B1752">
      <w:pPr>
        <w:jc w:val="both"/>
        <w:rPr>
          <w:rFonts w:cs="Arial"/>
          <w:sz w:val="22"/>
          <w:szCs w:val="22"/>
          <w:u w:val="single"/>
        </w:rPr>
      </w:pPr>
      <w:r w:rsidRPr="00A401F6">
        <w:rPr>
          <w:rFonts w:cs="Arial"/>
          <w:sz w:val="22"/>
          <w:szCs w:val="22"/>
        </w:rPr>
        <w:t xml:space="preserve">9. </w:t>
      </w:r>
      <w:r w:rsidRPr="00A401F6">
        <w:rPr>
          <w:rFonts w:cs="Arial"/>
          <w:sz w:val="22"/>
          <w:szCs w:val="22"/>
          <w:u w:val="single"/>
        </w:rPr>
        <w:t>Consultations</w:t>
      </w:r>
    </w:p>
    <w:p w14:paraId="630908AC" w14:textId="77777777" w:rsidR="001B1752" w:rsidRPr="00A401F6" w:rsidRDefault="001B1752" w:rsidP="001B1752">
      <w:pPr>
        <w:jc w:val="both"/>
        <w:rPr>
          <w:rFonts w:cs="Arial"/>
          <w:sz w:val="22"/>
          <w:szCs w:val="22"/>
        </w:rPr>
      </w:pPr>
    </w:p>
    <w:p w14:paraId="6C9EA638" w14:textId="77777777" w:rsidR="001B1752" w:rsidRPr="00A401F6" w:rsidRDefault="001B1752" w:rsidP="00A401F6">
      <w:pPr>
        <w:jc w:val="both"/>
        <w:rPr>
          <w:rFonts w:cs="Arial"/>
          <w:sz w:val="22"/>
          <w:szCs w:val="22"/>
        </w:rPr>
      </w:pPr>
      <w:r w:rsidRPr="00A401F6">
        <w:rPr>
          <w:rFonts w:cs="Arial"/>
          <w:sz w:val="22"/>
          <w:szCs w:val="22"/>
        </w:rPr>
        <w:t>The proponent(s) should consult, as far as possible, nature conservation authorities of the other Range States before the proposal is submitted, and give a brief outline of any comments received upon the proposal.  Where comments were sought but not received in sufficient time to enable their inclusion in the supporting statement, this should be noted, as well as the date of the request.</w:t>
      </w:r>
      <w:r w:rsidRPr="00A401F6" w:rsidDel="009A07D0">
        <w:rPr>
          <w:rFonts w:cs="Arial"/>
          <w:sz w:val="22"/>
          <w:szCs w:val="22"/>
        </w:rPr>
        <w:t xml:space="preserve"> </w:t>
      </w:r>
    </w:p>
    <w:p w14:paraId="1D5B963A" w14:textId="77777777" w:rsidR="001B1752" w:rsidRPr="00A401F6" w:rsidRDefault="001B1752" w:rsidP="00A401F6">
      <w:pPr>
        <w:jc w:val="both"/>
        <w:rPr>
          <w:rFonts w:cs="Arial"/>
          <w:sz w:val="22"/>
          <w:szCs w:val="22"/>
        </w:rPr>
      </w:pPr>
    </w:p>
    <w:p w14:paraId="5D9EE77D" w14:textId="77777777" w:rsidR="001B1752" w:rsidRPr="00A401F6" w:rsidRDefault="001B1752" w:rsidP="00A401F6">
      <w:pPr>
        <w:jc w:val="both"/>
        <w:rPr>
          <w:rFonts w:cs="Arial"/>
          <w:sz w:val="22"/>
          <w:szCs w:val="22"/>
        </w:rPr>
      </w:pPr>
      <w:r w:rsidRPr="00A401F6">
        <w:rPr>
          <w:rFonts w:cs="Arial"/>
          <w:sz w:val="22"/>
          <w:szCs w:val="22"/>
        </w:rPr>
        <w:t>In the case of taxa that are also managed through other international agreements or intergovernmental bodies, consultations should be undertaken to obtain the comments of those organizations or bodies.  Where comments were sought but not received in sufficient time to enable their inclusion in the supporting statement, this should be noted, as well as the date of the request.</w:t>
      </w:r>
    </w:p>
    <w:p w14:paraId="34239DFF" w14:textId="77777777" w:rsidR="001B1752" w:rsidRPr="00A401F6" w:rsidRDefault="001B1752" w:rsidP="00A401F6">
      <w:pPr>
        <w:jc w:val="both"/>
        <w:rPr>
          <w:rFonts w:cs="Arial"/>
          <w:sz w:val="22"/>
          <w:szCs w:val="22"/>
        </w:rPr>
      </w:pPr>
    </w:p>
    <w:p w14:paraId="55711594" w14:textId="77777777" w:rsidR="001B1752" w:rsidRPr="00A401F6" w:rsidRDefault="001B1752" w:rsidP="00A401F6">
      <w:pPr>
        <w:jc w:val="both"/>
        <w:rPr>
          <w:rFonts w:cs="Arial"/>
          <w:sz w:val="22"/>
          <w:szCs w:val="22"/>
        </w:rPr>
      </w:pPr>
      <w:r w:rsidRPr="00A401F6">
        <w:rPr>
          <w:rFonts w:cs="Arial"/>
          <w:sz w:val="22"/>
          <w:szCs w:val="22"/>
        </w:rPr>
        <w:t xml:space="preserve">10.  </w:t>
      </w:r>
      <w:r w:rsidRPr="00A401F6">
        <w:rPr>
          <w:rFonts w:cs="Arial"/>
          <w:sz w:val="22"/>
          <w:szCs w:val="22"/>
          <w:u w:val="single"/>
        </w:rPr>
        <w:t>Additional remarks</w:t>
      </w:r>
    </w:p>
    <w:p w14:paraId="6E55B5B7" w14:textId="77777777" w:rsidR="001B1752" w:rsidRPr="00A401F6" w:rsidRDefault="001B1752" w:rsidP="00A401F6">
      <w:pPr>
        <w:jc w:val="both"/>
        <w:rPr>
          <w:rFonts w:cs="Arial"/>
          <w:sz w:val="22"/>
          <w:szCs w:val="22"/>
        </w:rPr>
      </w:pPr>
    </w:p>
    <w:p w14:paraId="69291D59" w14:textId="77777777" w:rsidR="001B1752" w:rsidRPr="00A401F6" w:rsidRDefault="001B1752" w:rsidP="00A401F6">
      <w:pPr>
        <w:jc w:val="both"/>
        <w:rPr>
          <w:rFonts w:cs="Arial"/>
          <w:sz w:val="22"/>
          <w:szCs w:val="22"/>
        </w:rPr>
      </w:pPr>
      <w:r w:rsidRPr="00A401F6">
        <w:rPr>
          <w:rFonts w:cs="Arial"/>
          <w:sz w:val="22"/>
          <w:szCs w:val="22"/>
        </w:rPr>
        <w:t xml:space="preserve">This section should be used for any other relevant information that does not fit into the sections above.  This section may be left blank if there are no additional remarks to be made.  </w:t>
      </w:r>
    </w:p>
    <w:p w14:paraId="6957C083" w14:textId="77777777" w:rsidR="001B1752" w:rsidRPr="00A401F6" w:rsidRDefault="001B1752" w:rsidP="00A401F6">
      <w:pPr>
        <w:jc w:val="both"/>
        <w:rPr>
          <w:rFonts w:cs="Arial"/>
          <w:sz w:val="22"/>
          <w:szCs w:val="22"/>
        </w:rPr>
      </w:pPr>
    </w:p>
    <w:p w14:paraId="668151FB" w14:textId="77777777" w:rsidR="001B1752" w:rsidRPr="00A401F6" w:rsidRDefault="001B1752" w:rsidP="00A401F6">
      <w:pPr>
        <w:jc w:val="both"/>
        <w:rPr>
          <w:rFonts w:cs="Arial"/>
          <w:sz w:val="22"/>
          <w:szCs w:val="22"/>
        </w:rPr>
      </w:pPr>
      <w:r w:rsidRPr="00A401F6">
        <w:rPr>
          <w:rFonts w:cs="Arial"/>
          <w:sz w:val="22"/>
          <w:szCs w:val="22"/>
        </w:rPr>
        <w:t xml:space="preserve">11.  </w:t>
      </w:r>
      <w:r w:rsidRPr="00A401F6">
        <w:rPr>
          <w:rFonts w:cs="Arial"/>
          <w:sz w:val="22"/>
          <w:szCs w:val="22"/>
          <w:u w:val="single"/>
        </w:rPr>
        <w:t>References</w:t>
      </w:r>
      <w:r w:rsidRPr="00A401F6">
        <w:rPr>
          <w:rFonts w:cs="Arial"/>
          <w:sz w:val="22"/>
          <w:szCs w:val="22"/>
        </w:rPr>
        <w:t xml:space="preserve"> </w:t>
      </w:r>
    </w:p>
    <w:p w14:paraId="0A32F5B6" w14:textId="77777777" w:rsidR="001B1752" w:rsidRPr="00A401F6" w:rsidRDefault="001B1752" w:rsidP="00A401F6">
      <w:pPr>
        <w:jc w:val="both"/>
        <w:rPr>
          <w:rFonts w:cs="Arial"/>
          <w:sz w:val="22"/>
          <w:szCs w:val="22"/>
        </w:rPr>
      </w:pPr>
    </w:p>
    <w:p w14:paraId="0E9C4F93" w14:textId="602A0A45" w:rsidR="001B1752" w:rsidRPr="00A401F6" w:rsidRDefault="001B1752" w:rsidP="00A401F6">
      <w:pPr>
        <w:jc w:val="both"/>
        <w:rPr>
          <w:rFonts w:cs="Arial"/>
          <w:sz w:val="22"/>
          <w:szCs w:val="22"/>
          <w:lang w:val="en-GB"/>
        </w:rPr>
      </w:pPr>
      <w:r w:rsidRPr="00A401F6">
        <w:rPr>
          <w:rFonts w:cs="Arial"/>
          <w:sz w:val="22"/>
          <w:szCs w:val="22"/>
        </w:rPr>
        <w:t xml:space="preserve">Full bibliographic references should be provided, including names of all authors so that readers of the proposal who wish to cross-check the references can find them easily.  As far as possible references should be from peer-reviewed rather than ‘grey’ literature or unpublished sources.  Where possible please provide web-links or ‘doi’ numbers to make finding the references easier. </w:t>
      </w:r>
    </w:p>
    <w:p w14:paraId="1DA56CAF" w14:textId="77777777" w:rsidR="001B1752" w:rsidRDefault="001B1752" w:rsidP="007910DD">
      <w:pPr>
        <w:jc w:val="center"/>
        <w:rPr>
          <w:rFonts w:cs="Arial"/>
          <w:sz w:val="22"/>
          <w:szCs w:val="22"/>
          <w:lang w:val="en-GB"/>
        </w:rPr>
      </w:pPr>
    </w:p>
    <w:p w14:paraId="793C0BF2" w14:textId="1309EB76" w:rsidR="001B1752" w:rsidRDefault="001B1752" w:rsidP="00A401F6">
      <w:pPr>
        <w:rPr>
          <w:rFonts w:cs="Arial"/>
          <w:sz w:val="22"/>
          <w:szCs w:val="22"/>
          <w:lang w:val="en-GB"/>
        </w:rPr>
      </w:pPr>
    </w:p>
    <w:sectPr w:rsidR="001B1752" w:rsidSect="00A401F6">
      <w:headerReference w:type="even" r:id="rId3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27FEC" w14:textId="77777777" w:rsidR="002A0A77" w:rsidRDefault="002A0A77">
      <w:r>
        <w:separator/>
      </w:r>
    </w:p>
  </w:endnote>
  <w:endnote w:type="continuationSeparator" w:id="0">
    <w:p w14:paraId="73623F7D" w14:textId="77777777" w:rsidR="002A0A77" w:rsidRDefault="002A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DE91" w14:textId="59871DAD"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A401F6">
      <w:rPr>
        <w:rFonts w:cs="Arial"/>
        <w:noProof/>
        <w:szCs w:val="18"/>
      </w:rPr>
      <w:t>10</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62FA" w14:textId="5D899767" w:rsidR="00354A9C" w:rsidRPr="002F7C29" w:rsidRDefault="00354A9C" w:rsidP="00056DC1">
    <w:pPr>
      <w:pStyle w:val="Footer"/>
      <w:ind w:right="-367"/>
      <w:jc w:val="center"/>
      <w:rPr>
        <w:rFonts w:cs="Arial"/>
        <w:szCs w:val="18"/>
      </w:rPr>
    </w:pPr>
    <w:r w:rsidRPr="002F7C29">
      <w:rPr>
        <w:rFonts w:cs="Arial"/>
        <w:szCs w:val="18"/>
      </w:rPr>
      <w:fldChar w:fldCharType="begin"/>
    </w:r>
    <w:r w:rsidRPr="002F7C29">
      <w:rPr>
        <w:rFonts w:cs="Arial"/>
        <w:szCs w:val="18"/>
      </w:rPr>
      <w:instrText xml:space="preserve"> PAGE   \* MERGEFORMAT </w:instrText>
    </w:r>
    <w:r w:rsidRPr="002F7C29">
      <w:rPr>
        <w:rFonts w:cs="Arial"/>
        <w:szCs w:val="18"/>
      </w:rPr>
      <w:fldChar w:fldCharType="separate"/>
    </w:r>
    <w:r w:rsidR="00A401F6">
      <w:rPr>
        <w:rFonts w:cs="Arial"/>
        <w:noProof/>
        <w:szCs w:val="18"/>
      </w:rPr>
      <w:t>9</w:t>
    </w:r>
    <w:r w:rsidRPr="002F7C29">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9CE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0B42" w14:textId="41747400" w:rsidR="00D605A4" w:rsidRPr="002F7C29" w:rsidRDefault="00015E07" w:rsidP="00015E07">
    <w:pPr>
      <w:pStyle w:val="Footer"/>
      <w:tabs>
        <w:tab w:val="clear" w:pos="8640"/>
        <w:tab w:val="right" w:pos="9083"/>
      </w:tabs>
      <w:jc w:val="center"/>
      <w:rPr>
        <w:rFonts w:cs="Arial"/>
        <w:szCs w:val="18"/>
      </w:rPr>
    </w:pPr>
    <w:r w:rsidRPr="002F7C29">
      <w:rPr>
        <w:rFonts w:cs="Arial"/>
        <w:noProof/>
        <w:szCs w:val="18"/>
      </w:rPr>
      <w:tab/>
    </w:r>
    <w:r w:rsidRPr="002F7C29">
      <w:rPr>
        <w:rFonts w:cs="Arial"/>
        <w:szCs w:val="18"/>
      </w:rPr>
      <w:fldChar w:fldCharType="begin"/>
    </w:r>
    <w:r w:rsidRPr="002F7C29">
      <w:rPr>
        <w:rFonts w:cs="Arial"/>
        <w:szCs w:val="18"/>
      </w:rPr>
      <w:instrText xml:space="preserve"> PAGE   \* MERGEFORMAT </w:instrText>
    </w:r>
    <w:r w:rsidRPr="002F7C29">
      <w:rPr>
        <w:rFonts w:cs="Arial"/>
        <w:szCs w:val="18"/>
      </w:rPr>
      <w:fldChar w:fldCharType="separate"/>
    </w:r>
    <w:r w:rsidR="00A401F6">
      <w:rPr>
        <w:rFonts w:cs="Arial"/>
        <w:noProof/>
        <w:szCs w:val="18"/>
      </w:rPr>
      <w:t>5</w:t>
    </w:r>
    <w:r w:rsidRPr="002F7C29">
      <w:rPr>
        <w:rFonts w:cs="Arial"/>
        <w:noProof/>
        <w:szCs w:val="18"/>
      </w:rPr>
      <w:fldChar w:fldCharType="end"/>
    </w:r>
    <w:r w:rsidRPr="002F7C29">
      <w:rPr>
        <w:rFonts w:cs="Arial"/>
        <w:noProof/>
        <w:szCs w:val="18"/>
      </w:rPr>
      <w:tab/>
    </w:r>
  </w:p>
  <w:p w14:paraId="53C4A0CB"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FB5CE" w14:textId="77777777" w:rsidR="002A0A77" w:rsidRDefault="002A0A77">
      <w:r>
        <w:separator/>
      </w:r>
    </w:p>
  </w:footnote>
  <w:footnote w:type="continuationSeparator" w:id="0">
    <w:p w14:paraId="7F38DEF8" w14:textId="77777777" w:rsidR="002A0A77" w:rsidRDefault="002A0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6207"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C78B" w14:textId="77777777" w:rsidR="00254721" w:rsidRPr="00497E66"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B7AB8" w:rsidRPr="00497E66">
      <w:rPr>
        <w:rFonts w:cs="Arial"/>
        <w:b w:val="0"/>
        <w:i/>
        <w:sz w:val="18"/>
        <w:szCs w:val="18"/>
        <w:lang w:val="fr-FR"/>
      </w:rPr>
      <w:t>.</w:t>
    </w:r>
    <w:r w:rsidR="00897B4C">
      <w:rPr>
        <w:rFonts w:cs="Arial"/>
        <w:b w:val="0"/>
        <w:i/>
        <w:sz w:val="18"/>
        <w:szCs w:val="18"/>
        <w:lang w:val="fr-FR"/>
      </w:rPr>
      <w:t>25.2/Annex1</w:t>
    </w:r>
  </w:p>
  <w:p w14:paraId="26DAED93"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6964"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474E07D9" wp14:editId="178FE853">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6D07F7D" wp14:editId="07B78EE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B1E8A"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102C" w14:textId="77777777" w:rsidR="00D605A4" w:rsidRPr="00D605A4" w:rsidRDefault="00D605A4" w:rsidP="00B87E1C">
    <w:pPr>
      <w:pStyle w:val="Header"/>
      <w:pBdr>
        <w:bottom w:val="single" w:sz="4" w:space="1" w:color="auto"/>
      </w:pBdr>
      <w:rPr>
        <w:rFonts w:cs="Arial"/>
        <w:i/>
        <w:szCs w:val="18"/>
        <w:lang w:val="de-DE"/>
      </w:rPr>
    </w:pPr>
    <w:r w:rsidRPr="00D605A4">
      <w:rPr>
        <w:rFonts w:cs="Arial"/>
        <w:i/>
        <w:szCs w:val="18"/>
        <w:lang w:val="de-DE"/>
      </w:rPr>
      <w:t>UNEP/CMS/COP12/Doc.</w:t>
    </w:r>
    <w:r w:rsidR="00B735E1">
      <w:rPr>
        <w:rFonts w:cs="Arial"/>
        <w:i/>
        <w:szCs w:val="18"/>
        <w:lang w:val="de-DE"/>
      </w:rPr>
      <w:t>25.2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A1A7" w14:textId="557AE0EA" w:rsidR="00A401F6" w:rsidRPr="00922791" w:rsidRDefault="00A401F6"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6B64" w14:textId="77777777" w:rsidR="002F7C29" w:rsidRPr="00497E66" w:rsidRDefault="002F7C29" w:rsidP="00A401F6">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25.2/Annex1</w:t>
    </w:r>
  </w:p>
  <w:p w14:paraId="394C8583" w14:textId="77777777" w:rsidR="002F7C29" w:rsidRPr="00497E66" w:rsidRDefault="002F7C29" w:rsidP="00A27BE3">
    <w:pPr>
      <w:jc w:val="right"/>
      <w:rPr>
        <w:i/>
        <w:szCs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39A1" w14:textId="262DEC15" w:rsidR="002F7C29" w:rsidRPr="00D605A4" w:rsidRDefault="002F7C29" w:rsidP="002F7C29">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25.2/Annex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BBFB" w14:textId="3E575CCD" w:rsidR="00A401F6" w:rsidRPr="00922791" w:rsidRDefault="00A401F6"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/Doc.25.2/Annex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FC2E9B"/>
    <w:multiLevelType w:val="hybridMultilevel"/>
    <w:tmpl w:val="4F98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FEB43AC"/>
    <w:multiLevelType w:val="hybridMultilevel"/>
    <w:tmpl w:val="7022530A"/>
    <w:lvl w:ilvl="0" w:tplc="85C8B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1A64"/>
    <w:rsid w:val="000254DF"/>
    <w:rsid w:val="00027C66"/>
    <w:rsid w:val="00031A88"/>
    <w:rsid w:val="0003449E"/>
    <w:rsid w:val="00036C53"/>
    <w:rsid w:val="000518C2"/>
    <w:rsid w:val="00056DC1"/>
    <w:rsid w:val="00060156"/>
    <w:rsid w:val="00070BBC"/>
    <w:rsid w:val="0007246E"/>
    <w:rsid w:val="00073C92"/>
    <w:rsid w:val="00080F03"/>
    <w:rsid w:val="000900E1"/>
    <w:rsid w:val="0009076A"/>
    <w:rsid w:val="000B6220"/>
    <w:rsid w:val="000C21B1"/>
    <w:rsid w:val="000C3C87"/>
    <w:rsid w:val="000C7460"/>
    <w:rsid w:val="000E01C1"/>
    <w:rsid w:val="000F0B93"/>
    <w:rsid w:val="000F1156"/>
    <w:rsid w:val="000F1A13"/>
    <w:rsid w:val="000F52BA"/>
    <w:rsid w:val="001111A9"/>
    <w:rsid w:val="001151A3"/>
    <w:rsid w:val="001245DF"/>
    <w:rsid w:val="00124E8C"/>
    <w:rsid w:val="00130BFD"/>
    <w:rsid w:val="001419C7"/>
    <w:rsid w:val="00150AC4"/>
    <w:rsid w:val="00151B6F"/>
    <w:rsid w:val="001531BC"/>
    <w:rsid w:val="00162D88"/>
    <w:rsid w:val="00166ABA"/>
    <w:rsid w:val="001743FD"/>
    <w:rsid w:val="001764E6"/>
    <w:rsid w:val="001808F1"/>
    <w:rsid w:val="00184497"/>
    <w:rsid w:val="00196514"/>
    <w:rsid w:val="001A33B6"/>
    <w:rsid w:val="001B0E45"/>
    <w:rsid w:val="001B1752"/>
    <w:rsid w:val="001C069F"/>
    <w:rsid w:val="001C6038"/>
    <w:rsid w:val="001F60A1"/>
    <w:rsid w:val="00200759"/>
    <w:rsid w:val="00200A67"/>
    <w:rsid w:val="00201F88"/>
    <w:rsid w:val="00202332"/>
    <w:rsid w:val="002210F4"/>
    <w:rsid w:val="00224DAD"/>
    <w:rsid w:val="002316EF"/>
    <w:rsid w:val="00254721"/>
    <w:rsid w:val="00257709"/>
    <w:rsid w:val="00263159"/>
    <w:rsid w:val="002779F7"/>
    <w:rsid w:val="00287939"/>
    <w:rsid w:val="002A0A1C"/>
    <w:rsid w:val="002A0A77"/>
    <w:rsid w:val="002A380C"/>
    <w:rsid w:val="002C187A"/>
    <w:rsid w:val="002C20F1"/>
    <w:rsid w:val="002D2863"/>
    <w:rsid w:val="002D5EC0"/>
    <w:rsid w:val="002E3DEA"/>
    <w:rsid w:val="002E7CC2"/>
    <w:rsid w:val="002F50FF"/>
    <w:rsid w:val="002F6F9B"/>
    <w:rsid w:val="002F7C29"/>
    <w:rsid w:val="003331C6"/>
    <w:rsid w:val="00345044"/>
    <w:rsid w:val="00351095"/>
    <w:rsid w:val="00354A9C"/>
    <w:rsid w:val="00364973"/>
    <w:rsid w:val="00364C8C"/>
    <w:rsid w:val="00372347"/>
    <w:rsid w:val="003779D4"/>
    <w:rsid w:val="00382398"/>
    <w:rsid w:val="003909E4"/>
    <w:rsid w:val="00391C0A"/>
    <w:rsid w:val="003967E2"/>
    <w:rsid w:val="003A3E30"/>
    <w:rsid w:val="003A70FE"/>
    <w:rsid w:val="003B0C35"/>
    <w:rsid w:val="003B219E"/>
    <w:rsid w:val="003E21B3"/>
    <w:rsid w:val="00411E65"/>
    <w:rsid w:val="00412DE9"/>
    <w:rsid w:val="00420040"/>
    <w:rsid w:val="00423388"/>
    <w:rsid w:val="00426D73"/>
    <w:rsid w:val="00454913"/>
    <w:rsid w:val="00457441"/>
    <w:rsid w:val="004579F6"/>
    <w:rsid w:val="004656D0"/>
    <w:rsid w:val="00465B53"/>
    <w:rsid w:val="00473ABD"/>
    <w:rsid w:val="00482DCA"/>
    <w:rsid w:val="00497E66"/>
    <w:rsid w:val="004B6CFD"/>
    <w:rsid w:val="004C204D"/>
    <w:rsid w:val="004D0436"/>
    <w:rsid w:val="004D0936"/>
    <w:rsid w:val="004E7ED7"/>
    <w:rsid w:val="004F243D"/>
    <w:rsid w:val="004F3D8D"/>
    <w:rsid w:val="005076F1"/>
    <w:rsid w:val="00512B91"/>
    <w:rsid w:val="005158EB"/>
    <w:rsid w:val="00520215"/>
    <w:rsid w:val="0052082F"/>
    <w:rsid w:val="00542FCC"/>
    <w:rsid w:val="0055762E"/>
    <w:rsid w:val="00565445"/>
    <w:rsid w:val="00575334"/>
    <w:rsid w:val="005905B8"/>
    <w:rsid w:val="00593736"/>
    <w:rsid w:val="00597F6A"/>
    <w:rsid w:val="005A3181"/>
    <w:rsid w:val="005B0F06"/>
    <w:rsid w:val="005B2E6F"/>
    <w:rsid w:val="005B6141"/>
    <w:rsid w:val="005C3F15"/>
    <w:rsid w:val="005F3989"/>
    <w:rsid w:val="005F4303"/>
    <w:rsid w:val="005F7B20"/>
    <w:rsid w:val="00601B52"/>
    <w:rsid w:val="0060280B"/>
    <w:rsid w:val="00604422"/>
    <w:rsid w:val="00620809"/>
    <w:rsid w:val="00623F5D"/>
    <w:rsid w:val="0063472D"/>
    <w:rsid w:val="00651341"/>
    <w:rsid w:val="00666F8B"/>
    <w:rsid w:val="00677499"/>
    <w:rsid w:val="006815B2"/>
    <w:rsid w:val="006826E0"/>
    <w:rsid w:val="00682B31"/>
    <w:rsid w:val="006864E1"/>
    <w:rsid w:val="00691001"/>
    <w:rsid w:val="006B1031"/>
    <w:rsid w:val="006B1037"/>
    <w:rsid w:val="006E56AD"/>
    <w:rsid w:val="006E5763"/>
    <w:rsid w:val="007101BB"/>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1600F"/>
    <w:rsid w:val="0082555A"/>
    <w:rsid w:val="0082722D"/>
    <w:rsid w:val="008274F7"/>
    <w:rsid w:val="008441F9"/>
    <w:rsid w:val="00846A99"/>
    <w:rsid w:val="008641D1"/>
    <w:rsid w:val="00870FB9"/>
    <w:rsid w:val="00872F67"/>
    <w:rsid w:val="008879E9"/>
    <w:rsid w:val="00893346"/>
    <w:rsid w:val="00894D19"/>
    <w:rsid w:val="00896A7B"/>
    <w:rsid w:val="00897B4C"/>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72D36"/>
    <w:rsid w:val="00973BFB"/>
    <w:rsid w:val="00980406"/>
    <w:rsid w:val="00980E63"/>
    <w:rsid w:val="00994621"/>
    <w:rsid w:val="00996D85"/>
    <w:rsid w:val="009A2C8F"/>
    <w:rsid w:val="009A7B65"/>
    <w:rsid w:val="009D2AD6"/>
    <w:rsid w:val="009D3A07"/>
    <w:rsid w:val="009D4711"/>
    <w:rsid w:val="009D5DA6"/>
    <w:rsid w:val="009E3A84"/>
    <w:rsid w:val="009E72D7"/>
    <w:rsid w:val="009E7ACC"/>
    <w:rsid w:val="009F450E"/>
    <w:rsid w:val="009F54DA"/>
    <w:rsid w:val="00A06984"/>
    <w:rsid w:val="00A1324E"/>
    <w:rsid w:val="00A27BE3"/>
    <w:rsid w:val="00A339B9"/>
    <w:rsid w:val="00A401F6"/>
    <w:rsid w:val="00A40EDF"/>
    <w:rsid w:val="00A568DF"/>
    <w:rsid w:val="00A73A79"/>
    <w:rsid w:val="00A8053B"/>
    <w:rsid w:val="00A93C52"/>
    <w:rsid w:val="00AA7368"/>
    <w:rsid w:val="00AB4FF9"/>
    <w:rsid w:val="00AE7B21"/>
    <w:rsid w:val="00AF1980"/>
    <w:rsid w:val="00AF2021"/>
    <w:rsid w:val="00B016F8"/>
    <w:rsid w:val="00B025B7"/>
    <w:rsid w:val="00B15E85"/>
    <w:rsid w:val="00B471BD"/>
    <w:rsid w:val="00B50C2D"/>
    <w:rsid w:val="00B64904"/>
    <w:rsid w:val="00B735E1"/>
    <w:rsid w:val="00B86037"/>
    <w:rsid w:val="00B87E1C"/>
    <w:rsid w:val="00BA0A8E"/>
    <w:rsid w:val="00BA60CE"/>
    <w:rsid w:val="00BB7AB8"/>
    <w:rsid w:val="00BC4667"/>
    <w:rsid w:val="00BC5607"/>
    <w:rsid w:val="00BE0D1D"/>
    <w:rsid w:val="00BE2448"/>
    <w:rsid w:val="00BE24D4"/>
    <w:rsid w:val="00BF2BE7"/>
    <w:rsid w:val="00BF4512"/>
    <w:rsid w:val="00C05102"/>
    <w:rsid w:val="00C1264D"/>
    <w:rsid w:val="00C13FA6"/>
    <w:rsid w:val="00C169ED"/>
    <w:rsid w:val="00C44645"/>
    <w:rsid w:val="00C5484D"/>
    <w:rsid w:val="00C618F2"/>
    <w:rsid w:val="00C73207"/>
    <w:rsid w:val="00C746CA"/>
    <w:rsid w:val="00C7602A"/>
    <w:rsid w:val="00C82160"/>
    <w:rsid w:val="00C82ED9"/>
    <w:rsid w:val="00C87D68"/>
    <w:rsid w:val="00C925FF"/>
    <w:rsid w:val="00C9281B"/>
    <w:rsid w:val="00CA367A"/>
    <w:rsid w:val="00CB1D26"/>
    <w:rsid w:val="00CC4C21"/>
    <w:rsid w:val="00CC57AD"/>
    <w:rsid w:val="00CD0FE9"/>
    <w:rsid w:val="00CD7355"/>
    <w:rsid w:val="00CD7E47"/>
    <w:rsid w:val="00CE5B83"/>
    <w:rsid w:val="00CF6EDD"/>
    <w:rsid w:val="00D03D59"/>
    <w:rsid w:val="00D05922"/>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B30A6"/>
    <w:rsid w:val="00DD6A9E"/>
    <w:rsid w:val="00E23367"/>
    <w:rsid w:val="00E31B92"/>
    <w:rsid w:val="00E36CA1"/>
    <w:rsid w:val="00E475D4"/>
    <w:rsid w:val="00E74D1C"/>
    <w:rsid w:val="00E8776E"/>
    <w:rsid w:val="00E9237A"/>
    <w:rsid w:val="00EA0B88"/>
    <w:rsid w:val="00EB0307"/>
    <w:rsid w:val="00EB2285"/>
    <w:rsid w:val="00EC4294"/>
    <w:rsid w:val="00EC681E"/>
    <w:rsid w:val="00ED02D3"/>
    <w:rsid w:val="00ED477B"/>
    <w:rsid w:val="00ED5E31"/>
    <w:rsid w:val="00EE4434"/>
    <w:rsid w:val="00EE4815"/>
    <w:rsid w:val="00EE64C1"/>
    <w:rsid w:val="00F05AA0"/>
    <w:rsid w:val="00F061CB"/>
    <w:rsid w:val="00F06901"/>
    <w:rsid w:val="00F11793"/>
    <w:rsid w:val="00F12E6C"/>
    <w:rsid w:val="00F24050"/>
    <w:rsid w:val="00F248AA"/>
    <w:rsid w:val="00F2747A"/>
    <w:rsid w:val="00F31539"/>
    <w:rsid w:val="00F34E98"/>
    <w:rsid w:val="00F444EC"/>
    <w:rsid w:val="00F45FE3"/>
    <w:rsid w:val="00F54D03"/>
    <w:rsid w:val="00F6347A"/>
    <w:rsid w:val="00F7503A"/>
    <w:rsid w:val="00F81FEF"/>
    <w:rsid w:val="00F978B9"/>
    <w:rsid w:val="00FA61AF"/>
    <w:rsid w:val="00FB2C17"/>
    <w:rsid w:val="00FC4ADE"/>
    <w:rsid w:val="00FD3A06"/>
    <w:rsid w:val="00FD7D14"/>
    <w:rsid w:val="00FE1947"/>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53680B"/>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ms.int/en/document/guidelines-assessing-listing-proposals-appendices-i-and-ii-convention" TargetMode="External"/><Relationship Id="rId3" Type="http://schemas.openxmlformats.org/officeDocument/2006/relationships/styles" Target="styles.xml"/><Relationship Id="rId21" Type="http://schemas.openxmlformats.org/officeDocument/2006/relationships/hyperlink" Target="http://www.cms.int/en/document/revision-template-and-guidelines-drafting-listing-proposals" TargetMode="External"/><Relationship Id="rId7" Type="http://schemas.openxmlformats.org/officeDocument/2006/relationships/endnotes" Target="endnotes.xml"/><Relationship Id="rId12" Type="http://schemas.openxmlformats.org/officeDocument/2006/relationships/hyperlink" Target="http://www.cms.int/sites/default/files/document/Res1.5_E_0_0.pdf"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ms.int/sites/default/files/document/Res1.5_E_0_0.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int/sites/default/files/document/Res_11_33_Guidelines_Assessing_Listing_Proposals_E_0.pdf"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ms.int/en/news/2016037-submission-proposals-amend-appendices-convention" TargetMode="External"/><Relationship Id="rId28" Type="http://schemas.openxmlformats.org/officeDocument/2006/relationships/header" Target="header6.xml"/><Relationship Id="rId10" Type="http://schemas.openxmlformats.org/officeDocument/2006/relationships/hyperlink" Target="http://www.cms.int/sites/default/files/document/Res1.5_E_0_0.pdf" TargetMode="External"/><Relationship Id="rId19" Type="http://schemas.openxmlformats.org/officeDocument/2006/relationships/hyperlink" Target="http://www.cms.int/sites/default/files/document/Res_11_33_Guidelines_Assessing_Listing_Proposals_E_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s.int/sites/default/files/document/Res_11_33_Guidelines_Assessing_Listing_Proposals_E_0.pdf" TargetMode="External"/><Relationship Id="rId14" Type="http://schemas.openxmlformats.org/officeDocument/2006/relationships/header" Target="header2.xml"/><Relationship Id="rId22" Type="http://schemas.openxmlformats.org/officeDocument/2006/relationships/hyperlink" Target="http://www.cms.int/en/document/revised-format-proposals-amendment-appendices" TargetMode="External"/><Relationship Id="rId27" Type="http://schemas.openxmlformats.org/officeDocument/2006/relationships/header" Target="header5.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C4CB-2768-476D-9244-D7F9C96F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3426</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2017-05-11T10:32:00Z</cp:lastPrinted>
  <dcterms:created xsi:type="dcterms:W3CDTF">2017-05-29T08:06:00Z</dcterms:created>
  <dcterms:modified xsi:type="dcterms:W3CDTF">2017-05-29T08:06:00Z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