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5" w:rsidRPr="00220037" w:rsidRDefault="00220037" w:rsidP="00220037">
      <w:pPr>
        <w:jc w:val="right"/>
        <w:rPr>
          <w:szCs w:val="24"/>
          <w:lang w:val="fr-FR"/>
        </w:rPr>
      </w:pPr>
      <w:r w:rsidRPr="00220037">
        <w:rPr>
          <w:szCs w:val="24"/>
          <w:lang w:val="fr-FR"/>
        </w:rPr>
        <w:t>PNUE/CMS/COP11/CRP24</w:t>
      </w:r>
    </w:p>
    <w:p w:rsidR="00220037" w:rsidRPr="00220037" w:rsidRDefault="00220037" w:rsidP="00220037">
      <w:pPr>
        <w:jc w:val="right"/>
        <w:rPr>
          <w:szCs w:val="24"/>
          <w:lang w:val="fr-FR"/>
        </w:rPr>
      </w:pPr>
      <w:r w:rsidRPr="00220037">
        <w:rPr>
          <w:szCs w:val="24"/>
          <w:lang w:val="fr-FR"/>
        </w:rPr>
        <w:t>7 novembre 2014</w:t>
      </w:r>
    </w:p>
    <w:p w:rsidR="00220037" w:rsidRDefault="00220037" w:rsidP="00220037">
      <w:pPr>
        <w:jc w:val="right"/>
        <w:rPr>
          <w:b/>
          <w:szCs w:val="24"/>
          <w:lang w:val="fr-FR"/>
        </w:rPr>
      </w:pPr>
    </w:p>
    <w:p w:rsidR="00220037" w:rsidRDefault="00220037" w:rsidP="00220037">
      <w:pPr>
        <w:jc w:val="right"/>
        <w:rPr>
          <w:b/>
          <w:szCs w:val="24"/>
          <w:lang w:val="fr-FR"/>
        </w:rPr>
      </w:pPr>
    </w:p>
    <w:p w:rsidR="00220037" w:rsidRDefault="00220037" w:rsidP="00220037">
      <w:pPr>
        <w:jc w:val="center"/>
        <w:rPr>
          <w:i/>
          <w:lang w:val="fr-FR"/>
        </w:rPr>
      </w:pPr>
      <w:r>
        <w:rPr>
          <w:i/>
          <w:lang w:val="fr-FR"/>
        </w:rPr>
        <w:t>Amendements proposés en session</w:t>
      </w:r>
    </w:p>
    <w:p w:rsidR="00220037" w:rsidRDefault="00220037" w:rsidP="00220037">
      <w:pPr>
        <w:jc w:val="right"/>
        <w:rPr>
          <w:b/>
          <w:szCs w:val="24"/>
          <w:lang w:val="fr-FR"/>
        </w:rPr>
      </w:pPr>
    </w:p>
    <w:p w:rsidR="00220037" w:rsidRPr="00DE5465" w:rsidRDefault="00220037" w:rsidP="00220037">
      <w:pPr>
        <w:jc w:val="right"/>
        <w:rPr>
          <w:b/>
          <w:szCs w:val="24"/>
          <w:lang w:val="fr-FR"/>
        </w:rPr>
      </w:pPr>
    </w:p>
    <w:p w:rsidR="00DE5465" w:rsidRPr="00DE5465" w:rsidRDefault="00DE5465" w:rsidP="00DE5465">
      <w:pPr>
        <w:jc w:val="center"/>
        <w:rPr>
          <w:b/>
          <w:szCs w:val="24"/>
          <w:lang w:val="fr-FR"/>
        </w:rPr>
      </w:pPr>
      <w:r w:rsidRPr="00DE5465">
        <w:rPr>
          <w:b/>
          <w:szCs w:val="24"/>
          <w:lang w:val="fr-FR"/>
        </w:rPr>
        <w:t>PROJET DE RÉSOLUTION</w:t>
      </w:r>
    </w:p>
    <w:p w:rsidR="00DE5465" w:rsidRPr="00DE5465" w:rsidRDefault="00DE5465" w:rsidP="00DE5465">
      <w:pPr>
        <w:jc w:val="both"/>
        <w:rPr>
          <w:bCs/>
          <w:szCs w:val="24"/>
          <w:lang w:val="fr-FR"/>
        </w:rPr>
      </w:pPr>
    </w:p>
    <w:p w:rsidR="00DE5465" w:rsidRPr="00DE5465" w:rsidRDefault="00DE5465" w:rsidP="00DE5465">
      <w:pPr>
        <w:spacing w:after="120"/>
        <w:jc w:val="center"/>
        <w:rPr>
          <w:szCs w:val="24"/>
          <w:lang w:val="fr-FR"/>
        </w:rPr>
      </w:pPr>
      <w:r w:rsidRPr="00DE5465">
        <w:rPr>
          <w:b/>
          <w:szCs w:val="24"/>
          <w:lang w:val="fr-FR"/>
        </w:rPr>
        <w:t xml:space="preserve">AMÉLIORER L’EFFICACITÉ DE LA CONVENTION PAR LE BIAIS D’UN PROCESSUS D’EXAMEN DE LA MISE EN OEUVRE </w:t>
      </w:r>
    </w:p>
    <w:p w:rsidR="00DE5465" w:rsidRPr="00DE5465" w:rsidRDefault="00DE5465" w:rsidP="00DE5465">
      <w:pPr>
        <w:jc w:val="both"/>
        <w:rPr>
          <w:bCs/>
          <w:szCs w:val="24"/>
          <w:lang w:val="fr-FR"/>
        </w:rPr>
      </w:pPr>
    </w:p>
    <w:p w:rsidR="00DE5465" w:rsidRPr="00DE5465" w:rsidRDefault="00DE5465" w:rsidP="00DE5465">
      <w:pPr>
        <w:ind w:firstLine="720"/>
        <w:jc w:val="both"/>
        <w:rPr>
          <w:szCs w:val="24"/>
          <w:lang w:val="fr-FR"/>
        </w:rPr>
      </w:pPr>
      <w:r w:rsidRPr="00DE5465">
        <w:rPr>
          <w:i/>
          <w:spacing w:val="-3"/>
          <w:szCs w:val="24"/>
          <w:lang w:val="fr-FR"/>
        </w:rPr>
        <w:t xml:space="preserve">Rappelant </w:t>
      </w:r>
      <w:r w:rsidRPr="00DE5465">
        <w:rPr>
          <w:spacing w:val="-3"/>
          <w:szCs w:val="24"/>
          <w:lang w:val="fr-FR"/>
        </w:rPr>
        <w:t xml:space="preserve">que le Programme des Nations Unies pour l’environnement, dans ses </w:t>
      </w:r>
      <w:r w:rsidRPr="00DE5465">
        <w:rPr>
          <w:bCs/>
          <w:i/>
          <w:szCs w:val="24"/>
          <w:lang w:val="fr-FR"/>
        </w:rPr>
        <w:t>Directives sur le respect et l’application des accords multilatéraux sur l’environnement</w:t>
      </w:r>
      <w:r w:rsidRPr="00DE5465">
        <w:rPr>
          <w:spacing w:val="-3"/>
          <w:szCs w:val="24"/>
          <w:lang w:val="fr-FR"/>
        </w:rPr>
        <w:t xml:space="preserve"> (2002), a identifié « le renforcement du </w:t>
      </w:r>
      <w:r w:rsidRPr="00DE5465">
        <w:rPr>
          <w:szCs w:val="24"/>
          <w:lang w:val="fr-FR"/>
        </w:rPr>
        <w:t>respect des accords multilatéraux sur l’environnement (…) comme une question essentielle »</w:t>
      </w:r>
      <w:r w:rsidR="006F307C">
        <w:rPr>
          <w:szCs w:val="24"/>
          <w:lang w:val="fr-FR"/>
        </w:rPr>
        <w:t xml:space="preserve"> </w:t>
      </w:r>
      <w:r w:rsidRPr="00DE5465">
        <w:rPr>
          <w:szCs w:val="24"/>
          <w:lang w:val="fr-FR"/>
        </w:rPr>
        <w:t>;</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Constatant </w:t>
      </w:r>
      <w:r w:rsidRPr="00DE5465">
        <w:rPr>
          <w:szCs w:val="24"/>
          <w:lang w:val="fr-FR"/>
        </w:rPr>
        <w:t xml:space="preserve">que la plupart des principaux accords multilatéraux sur l’environnement ont mis en place un processus visant à </w:t>
      </w:r>
      <w:r w:rsidRPr="00DE5465">
        <w:rPr>
          <w:spacing w:val="-3"/>
          <w:szCs w:val="24"/>
          <w:lang w:val="fr-FR"/>
        </w:rPr>
        <w:t>faciliter la mise en œuvre et à fournir un appui aux Parties qui rencontrent des difficultés dans la mise en œuvre</w:t>
      </w:r>
      <w:r w:rsidR="006F307C">
        <w:rPr>
          <w:spacing w:val="-3"/>
          <w:szCs w:val="24"/>
          <w:lang w:val="fr-FR"/>
        </w:rPr>
        <w:t xml:space="preserve"> </w:t>
      </w:r>
      <w:r w:rsidRPr="00DE5465">
        <w:rPr>
          <w:szCs w:val="24"/>
          <w:lang w:val="fr-FR"/>
        </w:rPr>
        <w:t xml:space="preserve">; </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Sachant </w:t>
      </w:r>
      <w:r w:rsidR="00977587">
        <w:rPr>
          <w:szCs w:val="24"/>
          <w:lang w:val="fr-FR"/>
        </w:rPr>
        <w:t>que deux</w:t>
      </w:r>
      <w:r w:rsidRPr="00DE5465">
        <w:rPr>
          <w:szCs w:val="24"/>
          <w:lang w:val="fr-FR"/>
        </w:rPr>
        <w:t xml:space="preserve"> accord</w:t>
      </w:r>
      <w:r w:rsidR="00977587">
        <w:rPr>
          <w:szCs w:val="24"/>
          <w:lang w:val="fr-FR"/>
        </w:rPr>
        <w:t>s</w:t>
      </w:r>
      <w:r w:rsidRPr="00DE5465">
        <w:rPr>
          <w:szCs w:val="24"/>
          <w:lang w:val="fr-FR"/>
        </w:rPr>
        <w:t xml:space="preserve"> au sein de la Famille CMS, à savoir, l’Accord sur la conservation des oiseaux d’eau migr</w:t>
      </w:r>
      <w:r w:rsidR="00977587">
        <w:rPr>
          <w:szCs w:val="24"/>
          <w:lang w:val="fr-FR"/>
        </w:rPr>
        <w:t>ateurs d’Afrique-Eurasie (AEWA) et l’</w:t>
      </w:r>
      <w:r w:rsidR="00977587">
        <w:rPr>
          <w:rStyle w:val="hps"/>
          <w:lang w:val="fr-FR"/>
        </w:rPr>
        <w:t>Accord sur</w:t>
      </w:r>
      <w:r w:rsidR="00977587">
        <w:rPr>
          <w:lang w:val="fr-FR"/>
        </w:rPr>
        <w:t xml:space="preserve"> </w:t>
      </w:r>
      <w:r w:rsidR="00977587">
        <w:rPr>
          <w:rStyle w:val="hps"/>
          <w:lang w:val="fr-FR"/>
        </w:rPr>
        <w:t>la Conservation des Cétacés</w:t>
      </w:r>
      <w:r w:rsidR="00977587">
        <w:rPr>
          <w:lang w:val="fr-FR"/>
        </w:rPr>
        <w:t xml:space="preserve"> </w:t>
      </w:r>
      <w:r w:rsidR="00977587">
        <w:rPr>
          <w:rStyle w:val="hps"/>
          <w:lang w:val="fr-FR"/>
        </w:rPr>
        <w:t>de la Mer Noire</w:t>
      </w:r>
      <w:r w:rsidR="00977587">
        <w:rPr>
          <w:lang w:val="fr-FR"/>
        </w:rPr>
        <w:t xml:space="preserve">, de la Méditerranée </w:t>
      </w:r>
      <w:r w:rsidR="00977587">
        <w:rPr>
          <w:rStyle w:val="hps"/>
          <w:lang w:val="fr-FR"/>
        </w:rPr>
        <w:t>et</w:t>
      </w:r>
      <w:r w:rsidR="00977587">
        <w:rPr>
          <w:lang w:val="fr-FR"/>
        </w:rPr>
        <w:t xml:space="preserve"> </w:t>
      </w:r>
      <w:r w:rsidR="00977587">
        <w:rPr>
          <w:rStyle w:val="hps"/>
          <w:lang w:val="fr-FR"/>
        </w:rPr>
        <w:t>de la zone Atlantique</w:t>
      </w:r>
      <w:r w:rsidR="00977587">
        <w:rPr>
          <w:lang w:val="fr-FR"/>
        </w:rPr>
        <w:t xml:space="preserve"> </w:t>
      </w:r>
      <w:r w:rsidR="00977587">
        <w:rPr>
          <w:rStyle w:val="hps"/>
          <w:lang w:val="fr-FR"/>
        </w:rPr>
        <w:t>adjacente</w:t>
      </w:r>
      <w:r w:rsidR="00977587">
        <w:rPr>
          <w:lang w:val="fr-FR"/>
        </w:rPr>
        <w:t xml:space="preserve"> </w:t>
      </w:r>
      <w:r w:rsidR="00977587">
        <w:rPr>
          <w:rStyle w:val="hps"/>
          <w:lang w:val="fr-FR"/>
        </w:rPr>
        <w:t>(ACCOBAMS</w:t>
      </w:r>
      <w:r w:rsidR="00977587">
        <w:rPr>
          <w:lang w:val="fr-FR"/>
        </w:rPr>
        <w:t>)</w:t>
      </w:r>
      <w:r w:rsidRPr="00DE5465">
        <w:rPr>
          <w:szCs w:val="24"/>
          <w:lang w:val="fr-FR"/>
        </w:rPr>
        <w:t xml:space="preserve"> dispose</w:t>
      </w:r>
      <w:r w:rsidR="00977587">
        <w:rPr>
          <w:szCs w:val="24"/>
          <w:lang w:val="fr-FR"/>
        </w:rPr>
        <w:t>nt</w:t>
      </w:r>
      <w:r w:rsidRPr="00DE5465">
        <w:rPr>
          <w:szCs w:val="24"/>
          <w:lang w:val="fr-FR"/>
        </w:rPr>
        <w:t xml:space="preserve"> déjà d’une procédure d’évaluation de l’efficacité des mesures de mise en œuvre (Résolution 4.6 de l’AEWA, </w:t>
      </w:r>
      <w:r w:rsidRPr="00DE5465">
        <w:rPr>
          <w:i/>
          <w:szCs w:val="24"/>
          <w:lang w:val="fr-FR"/>
        </w:rPr>
        <w:t>Mise en place d’une procédure d’évaluation</w:t>
      </w:r>
      <w:r w:rsidRPr="00DE5465">
        <w:rPr>
          <w:szCs w:val="24"/>
          <w:lang w:val="fr-FR"/>
        </w:rPr>
        <w:t xml:space="preserve"> </w:t>
      </w:r>
      <w:r w:rsidRPr="00DE5465">
        <w:rPr>
          <w:i/>
          <w:szCs w:val="24"/>
          <w:lang w:val="fr-FR"/>
        </w:rPr>
        <w:t xml:space="preserve">de la mise en œuvre </w:t>
      </w:r>
      <w:r w:rsidRPr="00DE5465">
        <w:rPr>
          <w:szCs w:val="24"/>
          <w:lang w:val="fr-FR"/>
        </w:rPr>
        <w:t>(2008)</w:t>
      </w:r>
      <w:r w:rsidR="00AA68D0">
        <w:rPr>
          <w:szCs w:val="24"/>
          <w:lang w:val="fr-FR"/>
        </w:rPr>
        <w:t>, ACCOBAMS procédure de suivi (2013</w:t>
      </w:r>
      <w:r w:rsidRPr="00DE5465">
        <w:rPr>
          <w:szCs w:val="24"/>
          <w:lang w:val="fr-FR"/>
        </w:rPr>
        <w:t>)</w:t>
      </w:r>
      <w:r w:rsidR="00AA68D0">
        <w:rPr>
          <w:szCs w:val="24"/>
          <w:lang w:val="fr-FR"/>
        </w:rPr>
        <w:t>)</w:t>
      </w:r>
      <w:r w:rsidR="006F307C">
        <w:rPr>
          <w:szCs w:val="24"/>
          <w:lang w:val="fr-FR"/>
        </w:rPr>
        <w:t xml:space="preserve"> </w:t>
      </w:r>
      <w:r w:rsidRPr="00DE5465">
        <w:rPr>
          <w:szCs w:val="24"/>
          <w:lang w:val="fr-FR"/>
        </w:rPr>
        <w:t xml:space="preserve">; </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Reconnaissant </w:t>
      </w:r>
      <w:r w:rsidRPr="00DE5465">
        <w:rPr>
          <w:szCs w:val="24"/>
          <w:lang w:val="fr-FR"/>
        </w:rPr>
        <w:t>que le respect des obligations prévues au titre de la Convention, tout comme l’efficacité des mesures de mise en œuvre, sont essentiels pour la conservation et la gestion des espèces migratrices</w:t>
      </w:r>
      <w:r w:rsidR="006F307C">
        <w:rPr>
          <w:szCs w:val="24"/>
          <w:lang w:val="fr-FR"/>
        </w:rPr>
        <w:t xml:space="preserve"> </w:t>
      </w:r>
      <w:r w:rsidRPr="00DE5465">
        <w:rPr>
          <w:szCs w:val="24"/>
          <w:lang w:val="fr-FR"/>
        </w:rPr>
        <w:t>;</w:t>
      </w:r>
    </w:p>
    <w:p w:rsidR="00DE5465" w:rsidRPr="00DE5465" w:rsidRDefault="00DE5465" w:rsidP="00DE5465">
      <w:pPr>
        <w:jc w:val="both"/>
        <w:rPr>
          <w:szCs w:val="24"/>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le paragraphe 5 de l’article VII de la Convention, qui prévoit que « la Conférence des Parties procède à un examen de</w:t>
      </w:r>
      <w:r w:rsidRPr="00DE5465">
        <w:rPr>
          <w:spacing w:val="-3"/>
          <w:szCs w:val="24"/>
          <w:lang w:val="fr-FR"/>
        </w:rPr>
        <w:t xml:space="preserve"> l’application de la présente Convention » et peut, en particulier, « faire des recommandations aux Parties en vue d’améliorer l’efficacité de la présente Convention »</w:t>
      </w:r>
      <w:r w:rsidR="006F307C">
        <w:rPr>
          <w:spacing w:val="-3"/>
          <w:szCs w:val="24"/>
          <w:lang w:val="fr-FR"/>
        </w:rPr>
        <w:t xml:space="preserve"> </w:t>
      </w:r>
      <w:r w:rsidRPr="00DE5465">
        <w:rPr>
          <w:spacing w:val="-3"/>
          <w:szCs w:val="24"/>
          <w:lang w:val="fr-FR"/>
        </w:rPr>
        <w:t>;</w:t>
      </w:r>
    </w:p>
    <w:p w:rsidR="00DE5465" w:rsidRPr="00DE5465" w:rsidRDefault="00DE5465" w:rsidP="00DE5465">
      <w:pPr>
        <w:jc w:val="both"/>
        <w:rPr>
          <w:szCs w:val="24"/>
          <w:highlight w:val="yellow"/>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l’activité 16 de la Résolution 10.9 sur la structure et les stratégies futures de la CMS, qui énonce comme priorité à moyen terme (soit d’ici la COP12 en 2017) : « améliorer les mécanismes visant à mesurer la mise en œuvre de la CMS et de la Famille CMS (…), recenser les lacunes et proposer des mesures pour y remédier »</w:t>
      </w:r>
      <w:r w:rsidR="006F307C">
        <w:rPr>
          <w:szCs w:val="24"/>
          <w:lang w:val="fr-FR"/>
        </w:rPr>
        <w:t xml:space="preserve"> </w:t>
      </w:r>
      <w:r w:rsidRPr="00DE5465">
        <w:rPr>
          <w:szCs w:val="24"/>
          <w:lang w:val="fr-FR"/>
        </w:rPr>
        <w:t xml:space="preserve">; </w:t>
      </w:r>
    </w:p>
    <w:p w:rsidR="00DE5465" w:rsidRPr="00DE5465" w:rsidRDefault="00DE5465" w:rsidP="00DE5465">
      <w:pPr>
        <w:jc w:val="both"/>
        <w:rPr>
          <w:szCs w:val="24"/>
          <w:highlight w:val="yellow"/>
          <w:lang w:val="fr-FR"/>
        </w:rPr>
      </w:pPr>
    </w:p>
    <w:p w:rsidR="00DE5465" w:rsidRPr="00DE5465" w:rsidRDefault="00DE5465" w:rsidP="00DE5465">
      <w:pPr>
        <w:ind w:firstLine="720"/>
        <w:jc w:val="both"/>
        <w:rPr>
          <w:szCs w:val="24"/>
          <w:lang w:val="fr-FR"/>
        </w:rPr>
      </w:pPr>
      <w:r w:rsidRPr="00DE5465">
        <w:rPr>
          <w:i/>
          <w:szCs w:val="24"/>
          <w:lang w:val="fr-FR"/>
        </w:rPr>
        <w:t xml:space="preserve">Rappelant </w:t>
      </w:r>
      <w:r w:rsidRPr="00DE5465">
        <w:rPr>
          <w:szCs w:val="24"/>
          <w:lang w:val="fr-FR"/>
        </w:rPr>
        <w:t xml:space="preserve">le paragraphe 4 de l’article IX de la Convention, qui demande au </w:t>
      </w:r>
      <w:r w:rsidRPr="00DE5465">
        <w:rPr>
          <w:spacing w:val="-3"/>
          <w:szCs w:val="24"/>
          <w:lang w:val="fr-FR"/>
        </w:rPr>
        <w:t>Secrétariat « d’attirer l’attention de la Conférence des Parties sur toute question portant sur les objectifs de la présente Convention »</w:t>
      </w:r>
      <w:r w:rsidR="006F307C">
        <w:rPr>
          <w:spacing w:val="-3"/>
          <w:szCs w:val="24"/>
          <w:lang w:val="fr-FR"/>
        </w:rPr>
        <w:t xml:space="preserve"> </w:t>
      </w:r>
      <w:r w:rsidRPr="00DE5465">
        <w:rPr>
          <w:spacing w:val="-3"/>
          <w:szCs w:val="24"/>
          <w:lang w:val="fr-FR"/>
        </w:rPr>
        <w:t>;</w:t>
      </w:r>
    </w:p>
    <w:p w:rsidR="00DE5465" w:rsidRDefault="00DE5465" w:rsidP="00DE5465">
      <w:pPr>
        <w:jc w:val="both"/>
        <w:rPr>
          <w:bCs/>
          <w:szCs w:val="24"/>
          <w:lang w:val="fr-FR"/>
        </w:rPr>
      </w:pPr>
    </w:p>
    <w:p w:rsidR="004F56CD" w:rsidRPr="00DE5465" w:rsidRDefault="004F56CD" w:rsidP="00DE5465">
      <w:pPr>
        <w:jc w:val="both"/>
        <w:rPr>
          <w:bCs/>
          <w:szCs w:val="24"/>
          <w:lang w:val="fr-FR"/>
        </w:rPr>
      </w:pPr>
    </w:p>
    <w:p w:rsidR="00DE5465" w:rsidRPr="00DE5465" w:rsidRDefault="00DE5465" w:rsidP="00DE5465">
      <w:pPr>
        <w:jc w:val="center"/>
        <w:rPr>
          <w:bCs/>
          <w:szCs w:val="24"/>
          <w:lang w:val="fr-FR"/>
        </w:rPr>
      </w:pPr>
      <w:r w:rsidRPr="00DE5465">
        <w:rPr>
          <w:bCs/>
          <w:i/>
          <w:iCs/>
          <w:szCs w:val="24"/>
          <w:lang w:val="fr-FR"/>
        </w:rPr>
        <w:t>La Conférence des Parties à la</w:t>
      </w:r>
    </w:p>
    <w:p w:rsidR="00DE5465" w:rsidRPr="00DE5465" w:rsidRDefault="00DE5465" w:rsidP="00DE5465">
      <w:pPr>
        <w:jc w:val="center"/>
        <w:rPr>
          <w:bCs/>
          <w:iCs/>
          <w:szCs w:val="24"/>
          <w:lang w:val="fr-FR"/>
        </w:rPr>
      </w:pPr>
      <w:r w:rsidRPr="00DE5465">
        <w:rPr>
          <w:bCs/>
          <w:i/>
          <w:iCs/>
          <w:szCs w:val="24"/>
          <w:lang w:val="fr-FR"/>
        </w:rPr>
        <w:t>Convention sur la conservation des espèces migratrices appartenant à la faune sauvage</w:t>
      </w:r>
    </w:p>
    <w:p w:rsidR="00DE5465" w:rsidRPr="00DE5465" w:rsidRDefault="00DE5465" w:rsidP="00DE5465">
      <w:pPr>
        <w:jc w:val="both"/>
        <w:rPr>
          <w:bCs/>
          <w:iCs/>
          <w:szCs w:val="24"/>
          <w:lang w:val="fr-FR"/>
        </w:rPr>
      </w:pPr>
    </w:p>
    <w:p w:rsidR="00DE5465" w:rsidRPr="00DE5465" w:rsidRDefault="00DE5465" w:rsidP="00DE5465">
      <w:pPr>
        <w:numPr>
          <w:ilvl w:val="0"/>
          <w:numId w:val="19"/>
        </w:numPr>
        <w:autoSpaceDE w:val="0"/>
        <w:autoSpaceDN w:val="0"/>
        <w:adjustRightInd w:val="0"/>
        <w:ind w:left="0" w:firstLine="0"/>
        <w:contextualSpacing/>
        <w:jc w:val="both"/>
        <w:rPr>
          <w:szCs w:val="24"/>
          <w:lang w:val="fr-FR"/>
        </w:rPr>
      </w:pPr>
      <w:r w:rsidRPr="00DE5465">
        <w:rPr>
          <w:i/>
          <w:iCs/>
          <w:szCs w:val="24"/>
          <w:lang w:val="fr-FR"/>
        </w:rPr>
        <w:lastRenderedPageBreak/>
        <w:t xml:space="preserve">Lance </w:t>
      </w:r>
      <w:r w:rsidRPr="00DE5465">
        <w:rPr>
          <w:szCs w:val="24"/>
          <w:lang w:val="fr-FR"/>
        </w:rPr>
        <w:t>un processus intersessions pour étudier les possibilités de renforcer l’application de la Convention, au moyen de l’élaboration d’un processus d’examen</w:t>
      </w:r>
      <w:r w:rsidR="006F307C">
        <w:rPr>
          <w:szCs w:val="24"/>
          <w:lang w:val="fr-FR"/>
        </w:rPr>
        <w:t xml:space="preserve"> </w:t>
      </w:r>
      <w:r w:rsidRPr="00DE5465">
        <w:rPr>
          <w:szCs w:val="24"/>
          <w:lang w:val="fr-FR"/>
        </w:rPr>
        <w:t>;</w:t>
      </w:r>
    </w:p>
    <w:p w:rsidR="00DE5465" w:rsidRPr="00DE5465" w:rsidRDefault="00DE5465" w:rsidP="00DE5465">
      <w:pPr>
        <w:autoSpaceDE w:val="0"/>
        <w:autoSpaceDN w:val="0"/>
        <w:adjustRightInd w:val="0"/>
        <w:contextualSpacing/>
        <w:jc w:val="both"/>
        <w:rPr>
          <w:szCs w:val="24"/>
          <w:lang w:val="fr-FR"/>
        </w:rPr>
      </w:pPr>
    </w:p>
    <w:p w:rsidR="00BF1270" w:rsidRDefault="00220037" w:rsidP="00BF1270">
      <w:pPr>
        <w:numPr>
          <w:ilvl w:val="0"/>
          <w:numId w:val="19"/>
        </w:numPr>
        <w:autoSpaceDE w:val="0"/>
        <w:autoSpaceDN w:val="0"/>
        <w:adjustRightInd w:val="0"/>
        <w:ind w:left="0" w:firstLine="0"/>
        <w:contextualSpacing/>
        <w:jc w:val="both"/>
        <w:rPr>
          <w:bCs/>
          <w:szCs w:val="24"/>
          <w:lang w:val="fr-FR"/>
        </w:rPr>
      </w:pPr>
      <w:r w:rsidRPr="00BF1270">
        <w:rPr>
          <w:rStyle w:val="hps"/>
          <w:i/>
          <w:color w:val="222222"/>
          <w:lang w:val="fr-FR"/>
        </w:rPr>
        <w:t>Charge</w:t>
      </w:r>
      <w:r w:rsidRPr="00BF1270">
        <w:rPr>
          <w:color w:val="222222"/>
          <w:lang w:val="fr-FR"/>
        </w:rPr>
        <w:t xml:space="preserve"> </w:t>
      </w:r>
      <w:r w:rsidRPr="00BF1270">
        <w:rPr>
          <w:rStyle w:val="hps"/>
          <w:color w:val="222222"/>
          <w:lang w:val="fr-FR"/>
        </w:rPr>
        <w:t>le Secrétariat de</w:t>
      </w:r>
      <w:r w:rsidRPr="00BF1270">
        <w:rPr>
          <w:color w:val="222222"/>
          <w:lang w:val="fr-FR"/>
        </w:rPr>
        <w:t xml:space="preserve"> </w:t>
      </w:r>
      <w:r w:rsidRPr="00BF1270">
        <w:rPr>
          <w:rStyle w:val="hps"/>
          <w:color w:val="222222"/>
          <w:lang w:val="fr-FR"/>
        </w:rPr>
        <w:t>proposer un mandat</w:t>
      </w:r>
      <w:r w:rsidRPr="00BF1270">
        <w:rPr>
          <w:color w:val="222222"/>
          <w:lang w:val="fr-FR"/>
        </w:rPr>
        <w:t xml:space="preserve"> </w:t>
      </w:r>
      <w:r w:rsidRPr="00BF1270">
        <w:rPr>
          <w:rStyle w:val="hps"/>
          <w:color w:val="222222"/>
          <w:lang w:val="fr-FR"/>
        </w:rPr>
        <w:t>pour</w:t>
      </w:r>
      <w:r w:rsidRPr="00BF1270">
        <w:rPr>
          <w:color w:val="222222"/>
          <w:lang w:val="fr-FR"/>
        </w:rPr>
        <w:t xml:space="preserve"> </w:t>
      </w:r>
      <w:r w:rsidRPr="00BF1270">
        <w:rPr>
          <w:rStyle w:val="hps"/>
          <w:color w:val="222222"/>
          <w:lang w:val="fr-FR"/>
        </w:rPr>
        <w:t>un</w:t>
      </w:r>
      <w:r w:rsidRPr="00BF1270">
        <w:rPr>
          <w:color w:val="222222"/>
          <w:lang w:val="fr-FR"/>
        </w:rPr>
        <w:t xml:space="preserve"> </w:t>
      </w:r>
      <w:r w:rsidRPr="00BF1270">
        <w:rPr>
          <w:rStyle w:val="hps"/>
          <w:color w:val="222222"/>
          <w:lang w:val="fr-FR"/>
        </w:rPr>
        <w:t>groupe de travail dont l’adoption</w:t>
      </w:r>
      <w:r w:rsidRPr="00BF1270">
        <w:rPr>
          <w:color w:val="222222"/>
          <w:lang w:val="fr-FR"/>
        </w:rPr>
        <w:t xml:space="preserve"> </w:t>
      </w:r>
      <w:r w:rsidR="00BF1270" w:rsidRPr="00BF1270">
        <w:rPr>
          <w:color w:val="222222"/>
          <w:lang w:val="fr-FR"/>
        </w:rPr>
        <w:t>devra</w:t>
      </w:r>
      <w:r w:rsidRPr="00BF1270">
        <w:rPr>
          <w:color w:val="222222"/>
          <w:lang w:val="fr-FR"/>
        </w:rPr>
        <w:t xml:space="preserve"> être </w:t>
      </w:r>
      <w:r w:rsidR="00BF1270" w:rsidRPr="00BF1270">
        <w:rPr>
          <w:color w:val="222222"/>
          <w:lang w:val="fr-FR"/>
        </w:rPr>
        <w:t>examiné</w:t>
      </w:r>
      <w:r w:rsidRPr="00BF1270">
        <w:rPr>
          <w:color w:val="222222"/>
          <w:lang w:val="fr-FR"/>
        </w:rPr>
        <w:t xml:space="preserve"> </w:t>
      </w:r>
      <w:r w:rsidRPr="00BF1270">
        <w:rPr>
          <w:rStyle w:val="hps"/>
          <w:color w:val="222222"/>
          <w:lang w:val="fr-FR"/>
        </w:rPr>
        <w:t>par</w:t>
      </w:r>
      <w:r w:rsidRPr="00BF1270">
        <w:rPr>
          <w:color w:val="222222"/>
          <w:lang w:val="fr-FR"/>
        </w:rPr>
        <w:t xml:space="preserve"> </w:t>
      </w:r>
      <w:r w:rsidRPr="00BF1270">
        <w:rPr>
          <w:rStyle w:val="hps"/>
          <w:color w:val="222222"/>
          <w:lang w:val="fr-FR"/>
        </w:rPr>
        <w:t>le</w:t>
      </w:r>
      <w:r w:rsidRPr="00BF1270">
        <w:rPr>
          <w:color w:val="222222"/>
          <w:lang w:val="fr-FR"/>
        </w:rPr>
        <w:t xml:space="preserve"> </w:t>
      </w:r>
      <w:r w:rsidRPr="00BF1270">
        <w:rPr>
          <w:rStyle w:val="hps"/>
          <w:color w:val="222222"/>
          <w:lang w:val="fr-FR"/>
        </w:rPr>
        <w:t>Comité permanent à sa</w:t>
      </w:r>
      <w:r w:rsidRPr="00BF1270">
        <w:rPr>
          <w:color w:val="222222"/>
          <w:lang w:val="fr-FR"/>
        </w:rPr>
        <w:t xml:space="preserve"> </w:t>
      </w:r>
      <w:r w:rsidRPr="00BF1270">
        <w:rPr>
          <w:rStyle w:val="hps"/>
          <w:color w:val="222222"/>
          <w:lang w:val="fr-FR"/>
        </w:rPr>
        <w:t>44</w:t>
      </w:r>
      <w:r w:rsidRPr="00BF1270">
        <w:rPr>
          <w:rStyle w:val="hps"/>
          <w:color w:val="222222"/>
          <w:vertAlign w:val="superscript"/>
          <w:lang w:val="fr-FR"/>
        </w:rPr>
        <w:t>ème</w:t>
      </w:r>
      <w:r w:rsidRPr="00BF1270">
        <w:rPr>
          <w:color w:val="222222"/>
          <w:lang w:val="fr-FR"/>
        </w:rPr>
        <w:t xml:space="preserve"> </w:t>
      </w:r>
      <w:r w:rsidRPr="00BF1270">
        <w:rPr>
          <w:rStyle w:val="hps"/>
          <w:color w:val="222222"/>
          <w:lang w:val="fr-FR"/>
        </w:rPr>
        <w:t>réunion</w:t>
      </w:r>
      <w:r w:rsidR="006F307C">
        <w:rPr>
          <w:rStyle w:val="hps"/>
          <w:color w:val="222222"/>
          <w:lang w:val="fr-FR"/>
        </w:rPr>
        <w:t> ;</w:t>
      </w:r>
    </w:p>
    <w:p w:rsidR="00BF1270" w:rsidRDefault="00BF1270" w:rsidP="00BF1270">
      <w:pPr>
        <w:pStyle w:val="ListParagraph"/>
        <w:rPr>
          <w:rStyle w:val="hps"/>
          <w:rFonts w:ascii="Arial" w:hAnsi="Arial" w:cs="Arial"/>
          <w:color w:val="222222"/>
          <w:lang w:val="fr-FR"/>
        </w:rPr>
      </w:pPr>
    </w:p>
    <w:p w:rsidR="00DE5465" w:rsidRPr="00BF1270" w:rsidRDefault="00BF1270" w:rsidP="00BF1270">
      <w:pPr>
        <w:numPr>
          <w:ilvl w:val="0"/>
          <w:numId w:val="19"/>
        </w:numPr>
        <w:autoSpaceDE w:val="0"/>
        <w:autoSpaceDN w:val="0"/>
        <w:adjustRightInd w:val="0"/>
        <w:ind w:left="0" w:firstLine="0"/>
        <w:contextualSpacing/>
        <w:jc w:val="both"/>
        <w:rPr>
          <w:bCs/>
          <w:szCs w:val="24"/>
          <w:lang w:val="fr-FR"/>
        </w:rPr>
      </w:pPr>
      <w:r w:rsidRPr="00BF1270">
        <w:rPr>
          <w:rStyle w:val="hps"/>
          <w:i/>
          <w:color w:val="222222"/>
          <w:lang w:val="fr-FR"/>
        </w:rPr>
        <w:t>Charge</w:t>
      </w:r>
      <w:r w:rsidRPr="00BF1270">
        <w:rPr>
          <w:rStyle w:val="hps"/>
          <w:color w:val="222222"/>
          <w:lang w:val="fr-FR"/>
        </w:rPr>
        <w:t xml:space="preserve"> le</w:t>
      </w:r>
      <w:r w:rsidRPr="00BF1270">
        <w:rPr>
          <w:color w:val="222222"/>
          <w:lang w:val="fr-FR"/>
        </w:rPr>
        <w:t xml:space="preserve"> </w:t>
      </w:r>
      <w:r w:rsidRPr="00BF1270">
        <w:rPr>
          <w:rStyle w:val="hps"/>
          <w:color w:val="222222"/>
          <w:lang w:val="fr-FR"/>
        </w:rPr>
        <w:t>Comité permanent</w:t>
      </w:r>
      <w:r w:rsidRPr="00BF1270">
        <w:rPr>
          <w:color w:val="222222"/>
          <w:lang w:val="fr-FR"/>
        </w:rPr>
        <w:t xml:space="preserve"> </w:t>
      </w:r>
      <w:r>
        <w:rPr>
          <w:rStyle w:val="hps"/>
          <w:color w:val="222222"/>
          <w:lang w:val="fr-FR"/>
        </w:rPr>
        <w:t>à sa 45</w:t>
      </w:r>
      <w:r w:rsidRPr="00BF1270">
        <w:rPr>
          <w:rStyle w:val="hps"/>
          <w:color w:val="222222"/>
          <w:vertAlign w:val="superscript"/>
          <w:lang w:val="fr-FR"/>
        </w:rPr>
        <w:t>ème</w:t>
      </w:r>
      <w:r w:rsidRPr="00BF1270">
        <w:rPr>
          <w:color w:val="222222"/>
          <w:lang w:val="fr-FR"/>
        </w:rPr>
        <w:t xml:space="preserve"> </w:t>
      </w:r>
      <w:r w:rsidRPr="00BF1270">
        <w:rPr>
          <w:rStyle w:val="hps"/>
          <w:color w:val="222222"/>
          <w:lang w:val="fr-FR"/>
        </w:rPr>
        <w:t xml:space="preserve">réunion </w:t>
      </w:r>
      <w:r>
        <w:rPr>
          <w:rStyle w:val="hps"/>
          <w:color w:val="222222"/>
          <w:lang w:val="fr-FR"/>
        </w:rPr>
        <w:t>d’</w:t>
      </w:r>
      <w:r w:rsidRPr="00BF1270">
        <w:rPr>
          <w:rStyle w:val="hps"/>
          <w:color w:val="222222"/>
          <w:lang w:val="fr-FR"/>
        </w:rPr>
        <w:t>examiner</w:t>
      </w:r>
      <w:r w:rsidRPr="00BF1270">
        <w:rPr>
          <w:color w:val="222222"/>
          <w:lang w:val="fr-FR"/>
        </w:rPr>
        <w:t xml:space="preserve"> </w:t>
      </w:r>
      <w:r w:rsidRPr="00BF1270">
        <w:rPr>
          <w:rStyle w:val="hps"/>
          <w:color w:val="222222"/>
          <w:lang w:val="fr-FR"/>
        </w:rPr>
        <w:t>les progrès</w:t>
      </w:r>
      <w:r w:rsidRPr="00BF1270">
        <w:rPr>
          <w:color w:val="222222"/>
          <w:lang w:val="fr-FR"/>
        </w:rPr>
        <w:t xml:space="preserve">, </w:t>
      </w:r>
      <w:r w:rsidRPr="00BF1270">
        <w:rPr>
          <w:rStyle w:val="hps"/>
          <w:color w:val="222222"/>
          <w:lang w:val="fr-FR"/>
        </w:rPr>
        <w:t>si</w:t>
      </w:r>
      <w:r w:rsidRPr="00BF1270">
        <w:rPr>
          <w:color w:val="222222"/>
          <w:lang w:val="fr-FR"/>
        </w:rPr>
        <w:t xml:space="preserve"> </w:t>
      </w:r>
      <w:r w:rsidRPr="00BF1270">
        <w:rPr>
          <w:rStyle w:val="hps"/>
          <w:color w:val="222222"/>
          <w:lang w:val="fr-FR"/>
        </w:rPr>
        <w:t>un</w:t>
      </w:r>
      <w:r w:rsidRPr="00BF1270">
        <w:rPr>
          <w:color w:val="222222"/>
          <w:lang w:val="fr-FR"/>
        </w:rPr>
        <w:t xml:space="preserve"> </w:t>
      </w:r>
      <w:r w:rsidRPr="00BF1270">
        <w:rPr>
          <w:rStyle w:val="hps"/>
          <w:color w:val="222222"/>
          <w:lang w:val="fr-FR"/>
        </w:rPr>
        <w:t>groupe de travail</w:t>
      </w:r>
      <w:r w:rsidRPr="00BF1270">
        <w:rPr>
          <w:color w:val="222222"/>
          <w:lang w:val="fr-FR"/>
        </w:rPr>
        <w:t xml:space="preserve"> </w:t>
      </w:r>
      <w:r w:rsidRPr="00BF1270">
        <w:rPr>
          <w:rStyle w:val="hps"/>
          <w:color w:val="222222"/>
          <w:lang w:val="fr-FR"/>
        </w:rPr>
        <w:t>est</w:t>
      </w:r>
      <w:r w:rsidRPr="00BF1270">
        <w:rPr>
          <w:color w:val="222222"/>
          <w:lang w:val="fr-FR"/>
        </w:rPr>
        <w:t xml:space="preserve"> </w:t>
      </w:r>
      <w:r w:rsidRPr="00BF1270">
        <w:rPr>
          <w:rStyle w:val="hps"/>
          <w:color w:val="222222"/>
          <w:lang w:val="fr-FR"/>
        </w:rPr>
        <w:t>mis en place</w:t>
      </w:r>
      <w:r w:rsidRPr="00BF1270">
        <w:rPr>
          <w:color w:val="222222"/>
          <w:lang w:val="fr-FR"/>
        </w:rPr>
        <w:t xml:space="preserve">, </w:t>
      </w:r>
      <w:r>
        <w:rPr>
          <w:rStyle w:val="hps"/>
          <w:color w:val="222222"/>
          <w:lang w:val="fr-FR"/>
        </w:rPr>
        <w:t>et de faire rapport</w:t>
      </w:r>
      <w:r w:rsidRPr="00BF1270">
        <w:rPr>
          <w:color w:val="222222"/>
          <w:lang w:val="fr-FR"/>
        </w:rPr>
        <w:t xml:space="preserve"> </w:t>
      </w:r>
      <w:r w:rsidRPr="00BF1270">
        <w:rPr>
          <w:rStyle w:val="hps"/>
          <w:color w:val="222222"/>
          <w:lang w:val="fr-FR"/>
        </w:rPr>
        <w:t>à</w:t>
      </w:r>
      <w:r w:rsidRPr="00BF1270">
        <w:rPr>
          <w:color w:val="222222"/>
          <w:lang w:val="fr-FR"/>
        </w:rPr>
        <w:t xml:space="preserve"> </w:t>
      </w:r>
      <w:r w:rsidRPr="00BF1270">
        <w:rPr>
          <w:rStyle w:val="hps"/>
          <w:color w:val="222222"/>
          <w:lang w:val="fr-FR"/>
        </w:rPr>
        <w:t>la 12</w:t>
      </w:r>
      <w:r w:rsidRPr="00BF1270">
        <w:rPr>
          <w:rStyle w:val="hps"/>
          <w:color w:val="222222"/>
          <w:vertAlign w:val="superscript"/>
          <w:lang w:val="fr-FR"/>
        </w:rPr>
        <w:t>ème</w:t>
      </w:r>
      <w:r w:rsidRPr="00BF1270">
        <w:rPr>
          <w:rStyle w:val="hps"/>
          <w:color w:val="222222"/>
          <w:lang w:val="fr-FR"/>
        </w:rPr>
        <w:t xml:space="preserve"> réunion</w:t>
      </w:r>
      <w:r w:rsidRPr="00BF1270">
        <w:rPr>
          <w:color w:val="222222"/>
          <w:lang w:val="fr-FR"/>
        </w:rPr>
        <w:t xml:space="preserve"> </w:t>
      </w:r>
      <w:r w:rsidRPr="00BF1270">
        <w:rPr>
          <w:rStyle w:val="hps"/>
          <w:color w:val="222222"/>
          <w:lang w:val="fr-FR"/>
        </w:rPr>
        <w:t>de la Conférence</w:t>
      </w:r>
      <w:r w:rsidRPr="00BF1270">
        <w:rPr>
          <w:color w:val="222222"/>
          <w:lang w:val="fr-FR"/>
        </w:rPr>
        <w:t xml:space="preserve"> </w:t>
      </w:r>
      <w:r w:rsidRPr="00BF1270">
        <w:rPr>
          <w:rStyle w:val="hps"/>
          <w:color w:val="222222"/>
          <w:lang w:val="fr-FR"/>
        </w:rPr>
        <w:t>des Parties</w:t>
      </w:r>
      <w:r w:rsidR="006F307C">
        <w:rPr>
          <w:rStyle w:val="hps"/>
          <w:color w:val="222222"/>
          <w:lang w:val="fr-FR"/>
        </w:rPr>
        <w:t> </w:t>
      </w:r>
      <w:r w:rsidR="006F307C">
        <w:rPr>
          <w:color w:val="222222"/>
          <w:lang w:val="fr-FR"/>
        </w:rPr>
        <w:t>;</w:t>
      </w:r>
    </w:p>
    <w:p w:rsidR="00DE5465" w:rsidRPr="00DE5465" w:rsidRDefault="00DE5465" w:rsidP="00DE5465">
      <w:pPr>
        <w:rPr>
          <w:bCs/>
          <w:szCs w:val="24"/>
          <w:lang w:val="fr-FR"/>
        </w:rPr>
      </w:pPr>
    </w:p>
    <w:p w:rsidR="00DE5465" w:rsidRPr="00BF1270" w:rsidRDefault="00BF1270" w:rsidP="00DE5465">
      <w:pPr>
        <w:numPr>
          <w:ilvl w:val="0"/>
          <w:numId w:val="19"/>
        </w:numPr>
        <w:ind w:left="0" w:firstLine="0"/>
        <w:contextualSpacing/>
        <w:jc w:val="both"/>
        <w:rPr>
          <w:bCs/>
          <w:szCs w:val="24"/>
          <w:lang w:val="fr-FR"/>
        </w:rPr>
      </w:pPr>
      <w:r>
        <w:rPr>
          <w:i/>
          <w:iCs/>
          <w:szCs w:val="24"/>
          <w:lang w:val="fr-FR"/>
        </w:rPr>
        <w:t xml:space="preserve">Charge </w:t>
      </w:r>
      <w:r w:rsidRPr="00BF1270">
        <w:rPr>
          <w:iCs/>
          <w:szCs w:val="24"/>
          <w:lang w:val="fr-FR"/>
        </w:rPr>
        <w:t>le Secrétariat de soutenir le processus </w:t>
      </w:r>
      <w:r w:rsidR="00DE5465" w:rsidRPr="00BF1270">
        <w:rPr>
          <w:szCs w:val="24"/>
          <w:lang w:val="fr-FR"/>
        </w:rPr>
        <w:t>;</w:t>
      </w:r>
    </w:p>
    <w:p w:rsidR="00DE5465" w:rsidRPr="00DE5465" w:rsidRDefault="00DE5465" w:rsidP="00DE5465">
      <w:pPr>
        <w:contextualSpacing/>
        <w:rPr>
          <w:szCs w:val="24"/>
          <w:lang w:val="fr-FR"/>
        </w:rPr>
      </w:pPr>
    </w:p>
    <w:p w:rsidR="00DE5465" w:rsidRPr="00DE5465" w:rsidRDefault="00DE5465" w:rsidP="00DE5465">
      <w:pPr>
        <w:numPr>
          <w:ilvl w:val="0"/>
          <w:numId w:val="19"/>
        </w:numPr>
        <w:ind w:left="0" w:firstLine="0"/>
        <w:contextualSpacing/>
        <w:jc w:val="both"/>
        <w:rPr>
          <w:szCs w:val="24"/>
          <w:lang w:val="fr-FR"/>
        </w:rPr>
      </w:pPr>
      <w:r w:rsidRPr="00DE5465">
        <w:rPr>
          <w:i/>
          <w:szCs w:val="24"/>
          <w:lang w:val="fr-FR"/>
        </w:rPr>
        <w:t>Prie</w:t>
      </w:r>
      <w:r w:rsidRPr="00DE5465">
        <w:rPr>
          <w:szCs w:val="24"/>
          <w:lang w:val="fr-FR"/>
        </w:rPr>
        <w:t xml:space="preserve"> le PNUE, les Parties et les autres bailleurs de fonds de fournir une assistance financière pour appuyer l’élaboration du processus d’examen</w:t>
      </w:r>
      <w:r w:rsidR="006F307C">
        <w:rPr>
          <w:szCs w:val="24"/>
          <w:lang w:val="fr-FR"/>
        </w:rPr>
        <w:t xml:space="preserve"> </w:t>
      </w:r>
      <w:bookmarkStart w:id="0" w:name="_GoBack"/>
      <w:bookmarkEnd w:id="0"/>
      <w:r w:rsidRPr="00DE5465">
        <w:rPr>
          <w:szCs w:val="24"/>
          <w:lang w:val="fr-FR"/>
        </w:rPr>
        <w:t xml:space="preserve">; </w:t>
      </w:r>
    </w:p>
    <w:p w:rsidR="00DE5465" w:rsidRPr="00DE5465" w:rsidRDefault="00DE5465" w:rsidP="00DE5465">
      <w:pPr>
        <w:contextualSpacing/>
        <w:rPr>
          <w:szCs w:val="24"/>
          <w:lang w:val="fr-FR"/>
        </w:rPr>
      </w:pPr>
    </w:p>
    <w:p w:rsidR="006E6631" w:rsidRPr="004F56CD" w:rsidRDefault="00DE5465" w:rsidP="004F56CD">
      <w:pPr>
        <w:numPr>
          <w:ilvl w:val="0"/>
          <w:numId w:val="19"/>
        </w:numPr>
        <w:ind w:left="0" w:firstLine="0"/>
        <w:contextualSpacing/>
        <w:jc w:val="both"/>
        <w:rPr>
          <w:szCs w:val="24"/>
          <w:lang w:val="fr-FR"/>
        </w:rPr>
      </w:pPr>
      <w:r w:rsidRPr="00DE5465">
        <w:rPr>
          <w:i/>
          <w:szCs w:val="24"/>
          <w:lang w:val="fr-FR"/>
        </w:rPr>
        <w:t>Prie</w:t>
      </w:r>
      <w:r w:rsidRPr="00DE5465">
        <w:rPr>
          <w:szCs w:val="24"/>
          <w:lang w:val="fr-FR"/>
        </w:rPr>
        <w:t xml:space="preserve"> le Secrétariat, lorsque cela est possible, de réduire les coûts en organisant les réunions </w:t>
      </w:r>
      <w:r w:rsidR="00BF1270">
        <w:rPr>
          <w:szCs w:val="24"/>
          <w:lang w:val="fr-FR"/>
        </w:rPr>
        <w:t xml:space="preserve">potentiels </w:t>
      </w:r>
      <w:r w:rsidRPr="00DE5465">
        <w:rPr>
          <w:szCs w:val="24"/>
          <w:lang w:val="fr-FR"/>
        </w:rPr>
        <w:t xml:space="preserve">du Groupe de travail de la façon la plus rentable possible. </w:t>
      </w:r>
    </w:p>
    <w:sectPr w:rsidR="006E6631" w:rsidRPr="004F56CD" w:rsidSect="00B4087D">
      <w:footerReference w:type="even" r:id="rId9"/>
      <w:footerReference w:type="default" r:id="rId10"/>
      <w:pgSz w:w="11907" w:h="16840" w:code="9"/>
      <w:pgMar w:top="1134"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EE7" w:rsidRDefault="00413EE7" w:rsidP="00C96A00">
      <w:r>
        <w:separator/>
      </w:r>
    </w:p>
  </w:endnote>
  <w:endnote w:type="continuationSeparator" w:id="0">
    <w:p w:rsidR="00413EE7" w:rsidRDefault="00413EE7"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Baskerville">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162980"/>
      <w:docPartObj>
        <w:docPartGallery w:val="Page Numbers (Bottom of Page)"/>
        <w:docPartUnique/>
      </w:docPartObj>
    </w:sdtPr>
    <w:sdtEndPr>
      <w:rPr>
        <w:noProof/>
        <w:sz w:val="20"/>
        <w:szCs w:val="20"/>
      </w:rPr>
    </w:sdtEndPr>
    <w:sdtContent>
      <w:p w:rsidR="00220037" w:rsidRPr="00220037" w:rsidRDefault="00220037" w:rsidP="00220037">
        <w:pPr>
          <w:pStyle w:val="Footer"/>
          <w:tabs>
            <w:tab w:val="clear" w:pos="4680"/>
            <w:tab w:val="clear" w:pos="9360"/>
            <w:tab w:val="left" w:pos="4536"/>
            <w:tab w:val="right" w:pos="9072"/>
          </w:tabs>
          <w:rPr>
            <w:sz w:val="20"/>
            <w:szCs w:val="20"/>
          </w:rPr>
        </w:pPr>
        <w:r>
          <w:tab/>
        </w:r>
        <w:r w:rsidRPr="00220037">
          <w:rPr>
            <w:sz w:val="20"/>
            <w:szCs w:val="20"/>
          </w:rPr>
          <w:fldChar w:fldCharType="begin"/>
        </w:r>
        <w:r w:rsidRPr="00220037">
          <w:rPr>
            <w:sz w:val="20"/>
            <w:szCs w:val="20"/>
          </w:rPr>
          <w:instrText xml:space="preserve"> PAGE   \* MERGEFORMAT </w:instrText>
        </w:r>
        <w:r w:rsidRPr="00220037">
          <w:rPr>
            <w:sz w:val="20"/>
            <w:szCs w:val="20"/>
          </w:rPr>
          <w:fldChar w:fldCharType="separate"/>
        </w:r>
        <w:r w:rsidR="006F307C">
          <w:rPr>
            <w:noProof/>
            <w:sz w:val="20"/>
            <w:szCs w:val="20"/>
          </w:rPr>
          <w:t>2</w:t>
        </w:r>
        <w:r w:rsidRPr="00220037">
          <w:rPr>
            <w:noProof/>
            <w:sz w:val="20"/>
            <w:szCs w:val="20"/>
          </w:rPr>
          <w:fldChar w:fldCharType="end"/>
        </w:r>
        <w:r>
          <w:rPr>
            <w:noProof/>
            <w:sz w:val="20"/>
            <w:szCs w:val="20"/>
          </w:rPr>
          <w:t xml:space="preserve"> </w:t>
        </w:r>
        <w:r>
          <w:rPr>
            <w:noProof/>
            <w:sz w:val="20"/>
            <w:szCs w:val="20"/>
          </w:rPr>
          <w:tab/>
          <w:t>PNUE/CMS/COP11/CRP24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746885"/>
      <w:docPartObj>
        <w:docPartGallery w:val="Page Numbers (Bottom of Page)"/>
        <w:docPartUnique/>
      </w:docPartObj>
    </w:sdtPr>
    <w:sdtEndPr>
      <w:rPr>
        <w:noProof/>
        <w:sz w:val="20"/>
        <w:szCs w:val="20"/>
      </w:rPr>
    </w:sdtEndPr>
    <w:sdtContent>
      <w:p w:rsidR="00220037" w:rsidRPr="00220037" w:rsidRDefault="00220037" w:rsidP="00220037">
        <w:pPr>
          <w:pStyle w:val="Footer"/>
          <w:tabs>
            <w:tab w:val="clear" w:pos="4680"/>
            <w:tab w:val="clear" w:pos="9360"/>
            <w:tab w:val="left" w:pos="4536"/>
            <w:tab w:val="right" w:pos="9071"/>
          </w:tabs>
          <w:ind w:right="-1"/>
          <w:rPr>
            <w:sz w:val="20"/>
            <w:szCs w:val="20"/>
          </w:rPr>
        </w:pPr>
        <w:r>
          <w:tab/>
        </w:r>
        <w:r w:rsidRPr="00220037">
          <w:rPr>
            <w:sz w:val="20"/>
            <w:szCs w:val="20"/>
          </w:rPr>
          <w:fldChar w:fldCharType="begin"/>
        </w:r>
        <w:r w:rsidRPr="00220037">
          <w:rPr>
            <w:sz w:val="20"/>
            <w:szCs w:val="20"/>
          </w:rPr>
          <w:instrText xml:space="preserve"> PAGE   \* MERGEFORMAT </w:instrText>
        </w:r>
        <w:r w:rsidRPr="00220037">
          <w:rPr>
            <w:sz w:val="20"/>
            <w:szCs w:val="20"/>
          </w:rPr>
          <w:fldChar w:fldCharType="separate"/>
        </w:r>
        <w:r w:rsidR="006F307C">
          <w:rPr>
            <w:noProof/>
            <w:sz w:val="20"/>
            <w:szCs w:val="20"/>
          </w:rPr>
          <w:t>1</w:t>
        </w:r>
        <w:r w:rsidRPr="00220037">
          <w:rPr>
            <w:noProof/>
            <w:sz w:val="20"/>
            <w:szCs w:val="20"/>
          </w:rPr>
          <w:fldChar w:fldCharType="end"/>
        </w:r>
        <w:r>
          <w:rPr>
            <w:noProof/>
            <w:sz w:val="20"/>
            <w:szCs w:val="20"/>
          </w:rPr>
          <w:t xml:space="preserve"> </w:t>
        </w:r>
        <w:r>
          <w:rPr>
            <w:noProof/>
            <w:sz w:val="20"/>
            <w:szCs w:val="20"/>
          </w:rPr>
          <w:tab/>
          <w:t>PNUE/CMS/COP11/CRP24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EE7" w:rsidRDefault="00413EE7" w:rsidP="00C96A00">
      <w:r>
        <w:separator/>
      </w:r>
    </w:p>
  </w:footnote>
  <w:footnote w:type="continuationSeparator" w:id="0">
    <w:p w:rsidR="00413EE7" w:rsidRDefault="00413EE7" w:rsidP="00C96A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433C05"/>
    <w:multiLevelType w:val="multilevel"/>
    <w:tmpl w:val="E84C3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169553C"/>
    <w:multiLevelType w:val="hybridMultilevel"/>
    <w:tmpl w:val="52BA10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1B3540"/>
    <w:multiLevelType w:val="hybridMultilevel"/>
    <w:tmpl w:val="517A0B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B3C0D"/>
    <w:multiLevelType w:val="hybridMultilevel"/>
    <w:tmpl w:val="D23E18FE"/>
    <w:lvl w:ilvl="0" w:tplc="0A2CAAA6">
      <w:start w:val="1"/>
      <w:numFmt w:val="lowerRoman"/>
      <w:lvlText w:val="(%1)"/>
      <w:lvlJc w:val="left"/>
      <w:pPr>
        <w:ind w:left="792" w:hanging="432"/>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B626A"/>
    <w:multiLevelType w:val="hybridMultilevel"/>
    <w:tmpl w:val="665688EA"/>
    <w:lvl w:ilvl="0" w:tplc="4FB41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E57656"/>
    <w:multiLevelType w:val="hybridMultilevel"/>
    <w:tmpl w:val="40F8E42E"/>
    <w:lvl w:ilvl="0" w:tplc="F9F03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DD79B0"/>
    <w:multiLevelType w:val="hybridMultilevel"/>
    <w:tmpl w:val="5AEEBF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6E3D73"/>
    <w:multiLevelType w:val="hybridMultilevel"/>
    <w:tmpl w:val="D3A87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5E2BD3"/>
    <w:multiLevelType w:val="hybridMultilevel"/>
    <w:tmpl w:val="27FA074C"/>
    <w:lvl w:ilvl="0" w:tplc="6A164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F357A5"/>
    <w:multiLevelType w:val="hybridMultilevel"/>
    <w:tmpl w:val="477A9B7E"/>
    <w:lvl w:ilvl="0" w:tplc="0A2CAAA6">
      <w:start w:val="1"/>
      <w:numFmt w:val="lowerRoman"/>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D034170"/>
    <w:multiLevelType w:val="hybridMultilevel"/>
    <w:tmpl w:val="3CB8B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10894"/>
    <w:multiLevelType w:val="hybridMultilevel"/>
    <w:tmpl w:val="FFD43426"/>
    <w:lvl w:ilvl="0" w:tplc="8ED400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33FAA"/>
    <w:multiLevelType w:val="hybridMultilevel"/>
    <w:tmpl w:val="55BECC9C"/>
    <w:lvl w:ilvl="0" w:tplc="8C62EE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813245B"/>
    <w:multiLevelType w:val="multilevel"/>
    <w:tmpl w:val="62364512"/>
    <w:lvl w:ilvl="0">
      <w:start w:val="1"/>
      <w:numFmt w:val="decimal"/>
      <w:lvlText w:val="%1."/>
      <w:lvlJc w:val="left"/>
      <w:pPr>
        <w:ind w:left="720" w:hanging="360"/>
      </w:pPr>
      <w:rPr>
        <w:rFonts w:hint="default"/>
        <w:b w:val="0"/>
      </w:rPr>
    </w:lvl>
    <w:lvl w:ilvl="1">
      <w:start w:val="1"/>
      <w:numFmt w:val="decimal"/>
      <w:isLgl/>
      <w:lvlText w:val="%1.%2"/>
      <w:lvlJc w:val="left"/>
      <w:pPr>
        <w:ind w:left="780" w:hanging="420"/>
      </w:pPr>
      <w:rPr>
        <w:rFonts w:hint="default"/>
        <w:lang w:val="fr-FR"/>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DA601A5"/>
    <w:multiLevelType w:val="hybridMultilevel"/>
    <w:tmpl w:val="B380BE8A"/>
    <w:lvl w:ilvl="0" w:tplc="DFC8AB2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C3A41AF"/>
    <w:multiLevelType w:val="hybridMultilevel"/>
    <w:tmpl w:val="36444E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C85212"/>
    <w:multiLevelType w:val="hybridMultilevel"/>
    <w:tmpl w:val="945C1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BC646B"/>
    <w:multiLevelType w:val="multilevel"/>
    <w:tmpl w:val="E0C6980A"/>
    <w:lvl w:ilvl="0">
      <w:start w:val="1"/>
      <w:numFmt w:val="decimal"/>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4F0717A"/>
    <w:multiLevelType w:val="hybridMultilevel"/>
    <w:tmpl w:val="2D127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F031A9"/>
    <w:multiLevelType w:val="hybridMultilevel"/>
    <w:tmpl w:val="7304C418"/>
    <w:lvl w:ilvl="0" w:tplc="3758B7BA">
      <w:start w:val="1"/>
      <w:numFmt w:val="decimal"/>
      <w:lvlText w:val="%1."/>
      <w:lvlJc w:val="left"/>
      <w:pPr>
        <w:ind w:left="1080" w:hanging="360"/>
      </w:pPr>
    </w:lvl>
    <w:lvl w:ilvl="1" w:tplc="7F404F4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7A544098"/>
    <w:multiLevelType w:val="hybridMultilevel"/>
    <w:tmpl w:val="8FC0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8330FC"/>
    <w:multiLevelType w:val="hybridMultilevel"/>
    <w:tmpl w:val="AEF450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9"/>
  </w:num>
  <w:num w:numId="4">
    <w:abstractNumId w:val="13"/>
  </w:num>
  <w:num w:numId="5">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6">
    <w:abstractNumId w:val="7"/>
  </w:num>
  <w:num w:numId="7">
    <w:abstractNumId w:val="5"/>
  </w:num>
  <w:num w:numId="8">
    <w:abstractNumId w:val="6"/>
  </w:num>
  <w:num w:numId="9">
    <w:abstractNumId w:val="21"/>
  </w:num>
  <w:num w:numId="10">
    <w:abstractNumId w:val="3"/>
  </w:num>
  <w:num w:numId="11">
    <w:abstractNumId w:val="1"/>
  </w:num>
  <w:num w:numId="12">
    <w:abstractNumId w:val="11"/>
  </w:num>
  <w:num w:numId="13">
    <w:abstractNumId w:val="17"/>
  </w:num>
  <w:num w:numId="14">
    <w:abstractNumId w:val="4"/>
  </w:num>
  <w:num w:numId="15">
    <w:abstractNumId w:val="14"/>
  </w:num>
  <w:num w:numId="16">
    <w:abstractNumId w:val="16"/>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20"/>
  </w:num>
  <w:num w:numId="21">
    <w:abstractNumId w:val="19"/>
  </w:num>
  <w:num w:numId="22">
    <w:abstractNumId w:val="25"/>
  </w:num>
  <w:num w:numId="23">
    <w:abstractNumId w:val="15"/>
  </w:num>
  <w:num w:numId="24">
    <w:abstractNumId w:val="8"/>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EE7"/>
    <w:rsid w:val="00001BCE"/>
    <w:rsid w:val="00012D5E"/>
    <w:rsid w:val="000216CB"/>
    <w:rsid w:val="0002353C"/>
    <w:rsid w:val="00031D49"/>
    <w:rsid w:val="00033272"/>
    <w:rsid w:val="00043DED"/>
    <w:rsid w:val="00050F99"/>
    <w:rsid w:val="00074FE8"/>
    <w:rsid w:val="00076D11"/>
    <w:rsid w:val="00077FDD"/>
    <w:rsid w:val="000A4AA9"/>
    <w:rsid w:val="000B2583"/>
    <w:rsid w:val="000B5AD1"/>
    <w:rsid w:val="000C5934"/>
    <w:rsid w:val="000D5656"/>
    <w:rsid w:val="00101EBB"/>
    <w:rsid w:val="00105EA7"/>
    <w:rsid w:val="00106A1A"/>
    <w:rsid w:val="00107D1D"/>
    <w:rsid w:val="00113CC4"/>
    <w:rsid w:val="00133164"/>
    <w:rsid w:val="00137D60"/>
    <w:rsid w:val="00161140"/>
    <w:rsid w:val="00172816"/>
    <w:rsid w:val="001956D7"/>
    <w:rsid w:val="001A0800"/>
    <w:rsid w:val="001C14B6"/>
    <w:rsid w:val="001C226F"/>
    <w:rsid w:val="001D2C15"/>
    <w:rsid w:val="001F42A1"/>
    <w:rsid w:val="00220037"/>
    <w:rsid w:val="00225DDF"/>
    <w:rsid w:val="0023227B"/>
    <w:rsid w:val="00232963"/>
    <w:rsid w:val="00234976"/>
    <w:rsid w:val="002355CF"/>
    <w:rsid w:val="00241D3F"/>
    <w:rsid w:val="00251A43"/>
    <w:rsid w:val="00251C73"/>
    <w:rsid w:val="00256CB6"/>
    <w:rsid w:val="00257ACF"/>
    <w:rsid w:val="00275603"/>
    <w:rsid w:val="00277F62"/>
    <w:rsid w:val="002823B0"/>
    <w:rsid w:val="002911AC"/>
    <w:rsid w:val="002B7853"/>
    <w:rsid w:val="002E45CD"/>
    <w:rsid w:val="00300DAD"/>
    <w:rsid w:val="003172D0"/>
    <w:rsid w:val="00322215"/>
    <w:rsid w:val="00325D81"/>
    <w:rsid w:val="0038468E"/>
    <w:rsid w:val="003860F5"/>
    <w:rsid w:val="003B756F"/>
    <w:rsid w:val="003D36E9"/>
    <w:rsid w:val="003D63C2"/>
    <w:rsid w:val="003F74EF"/>
    <w:rsid w:val="00413EE7"/>
    <w:rsid w:val="004466AC"/>
    <w:rsid w:val="004556F3"/>
    <w:rsid w:val="004630FC"/>
    <w:rsid w:val="004702EF"/>
    <w:rsid w:val="004721A4"/>
    <w:rsid w:val="004758D5"/>
    <w:rsid w:val="0048032E"/>
    <w:rsid w:val="00481F69"/>
    <w:rsid w:val="0048410B"/>
    <w:rsid w:val="00484510"/>
    <w:rsid w:val="00494DAC"/>
    <w:rsid w:val="004A4620"/>
    <w:rsid w:val="004B06CB"/>
    <w:rsid w:val="004F56CD"/>
    <w:rsid w:val="005044A9"/>
    <w:rsid w:val="005049DE"/>
    <w:rsid w:val="00514D01"/>
    <w:rsid w:val="005176BE"/>
    <w:rsid w:val="00532731"/>
    <w:rsid w:val="00534E61"/>
    <w:rsid w:val="0053705B"/>
    <w:rsid w:val="0054242A"/>
    <w:rsid w:val="005510FA"/>
    <w:rsid w:val="00561D4F"/>
    <w:rsid w:val="00567790"/>
    <w:rsid w:val="005A2F42"/>
    <w:rsid w:val="005B48D8"/>
    <w:rsid w:val="005B733D"/>
    <w:rsid w:val="005C6999"/>
    <w:rsid w:val="005D7FD0"/>
    <w:rsid w:val="005F3451"/>
    <w:rsid w:val="005F3BCA"/>
    <w:rsid w:val="00601422"/>
    <w:rsid w:val="00603D73"/>
    <w:rsid w:val="0061392A"/>
    <w:rsid w:val="00640B0A"/>
    <w:rsid w:val="0065265A"/>
    <w:rsid w:val="00662AC3"/>
    <w:rsid w:val="00687274"/>
    <w:rsid w:val="006903A2"/>
    <w:rsid w:val="006924F5"/>
    <w:rsid w:val="00696095"/>
    <w:rsid w:val="00696D1D"/>
    <w:rsid w:val="006A0F69"/>
    <w:rsid w:val="006A169A"/>
    <w:rsid w:val="006B6DB2"/>
    <w:rsid w:val="006C4A53"/>
    <w:rsid w:val="006D2850"/>
    <w:rsid w:val="006D6D07"/>
    <w:rsid w:val="006E42C0"/>
    <w:rsid w:val="006E6631"/>
    <w:rsid w:val="006F307C"/>
    <w:rsid w:val="00717220"/>
    <w:rsid w:val="007314BF"/>
    <w:rsid w:val="007359C6"/>
    <w:rsid w:val="00747A24"/>
    <w:rsid w:val="00755089"/>
    <w:rsid w:val="007563CA"/>
    <w:rsid w:val="0075758A"/>
    <w:rsid w:val="007579DE"/>
    <w:rsid w:val="00761614"/>
    <w:rsid w:val="00761732"/>
    <w:rsid w:val="00772CCB"/>
    <w:rsid w:val="00774C29"/>
    <w:rsid w:val="00774F03"/>
    <w:rsid w:val="00775388"/>
    <w:rsid w:val="0078781C"/>
    <w:rsid w:val="007922DF"/>
    <w:rsid w:val="007A10CB"/>
    <w:rsid w:val="007A5891"/>
    <w:rsid w:val="007C59AD"/>
    <w:rsid w:val="007D0D9D"/>
    <w:rsid w:val="007E5DB9"/>
    <w:rsid w:val="007F7154"/>
    <w:rsid w:val="008168F5"/>
    <w:rsid w:val="00835F1F"/>
    <w:rsid w:val="0085400D"/>
    <w:rsid w:val="00854FF9"/>
    <w:rsid w:val="00867C98"/>
    <w:rsid w:val="00871D3F"/>
    <w:rsid w:val="00886C44"/>
    <w:rsid w:val="008A4888"/>
    <w:rsid w:val="008C424F"/>
    <w:rsid w:val="008D4A4E"/>
    <w:rsid w:val="008E47CF"/>
    <w:rsid w:val="008F0739"/>
    <w:rsid w:val="009113F4"/>
    <w:rsid w:val="0091211B"/>
    <w:rsid w:val="00915885"/>
    <w:rsid w:val="00921275"/>
    <w:rsid w:val="0092465D"/>
    <w:rsid w:val="00925D84"/>
    <w:rsid w:val="00943637"/>
    <w:rsid w:val="009659BE"/>
    <w:rsid w:val="009704CA"/>
    <w:rsid w:val="00974507"/>
    <w:rsid w:val="00977587"/>
    <w:rsid w:val="00991055"/>
    <w:rsid w:val="009A4C94"/>
    <w:rsid w:val="009B298A"/>
    <w:rsid w:val="009B7296"/>
    <w:rsid w:val="009C380B"/>
    <w:rsid w:val="009D5101"/>
    <w:rsid w:val="009E75A4"/>
    <w:rsid w:val="009F5470"/>
    <w:rsid w:val="00A079D5"/>
    <w:rsid w:val="00A1231A"/>
    <w:rsid w:val="00A17533"/>
    <w:rsid w:val="00A22EEC"/>
    <w:rsid w:val="00A72E6C"/>
    <w:rsid w:val="00A83B6F"/>
    <w:rsid w:val="00A9767A"/>
    <w:rsid w:val="00AA6754"/>
    <w:rsid w:val="00AA68D0"/>
    <w:rsid w:val="00AB0C7A"/>
    <w:rsid w:val="00AC6844"/>
    <w:rsid w:val="00AD2F11"/>
    <w:rsid w:val="00AD3A97"/>
    <w:rsid w:val="00AF6F73"/>
    <w:rsid w:val="00B007B0"/>
    <w:rsid w:val="00B016BB"/>
    <w:rsid w:val="00B047D9"/>
    <w:rsid w:val="00B22C5E"/>
    <w:rsid w:val="00B2711B"/>
    <w:rsid w:val="00B3336A"/>
    <w:rsid w:val="00B4087D"/>
    <w:rsid w:val="00B436D3"/>
    <w:rsid w:val="00B546FF"/>
    <w:rsid w:val="00B73B41"/>
    <w:rsid w:val="00B742E3"/>
    <w:rsid w:val="00B75D83"/>
    <w:rsid w:val="00BD42FF"/>
    <w:rsid w:val="00BE365E"/>
    <w:rsid w:val="00BF1270"/>
    <w:rsid w:val="00C15FDB"/>
    <w:rsid w:val="00C208F8"/>
    <w:rsid w:val="00C2540B"/>
    <w:rsid w:val="00C32294"/>
    <w:rsid w:val="00C41390"/>
    <w:rsid w:val="00C54744"/>
    <w:rsid w:val="00C552AF"/>
    <w:rsid w:val="00C754C4"/>
    <w:rsid w:val="00C75DB8"/>
    <w:rsid w:val="00C82B8B"/>
    <w:rsid w:val="00C85720"/>
    <w:rsid w:val="00C86D48"/>
    <w:rsid w:val="00C87CFD"/>
    <w:rsid w:val="00C9458B"/>
    <w:rsid w:val="00C96A00"/>
    <w:rsid w:val="00CB058F"/>
    <w:rsid w:val="00CC19AA"/>
    <w:rsid w:val="00CC2968"/>
    <w:rsid w:val="00CD417B"/>
    <w:rsid w:val="00CD46D6"/>
    <w:rsid w:val="00CD475A"/>
    <w:rsid w:val="00D07537"/>
    <w:rsid w:val="00D13EBE"/>
    <w:rsid w:val="00D1415C"/>
    <w:rsid w:val="00D20955"/>
    <w:rsid w:val="00D3014E"/>
    <w:rsid w:val="00D30FF5"/>
    <w:rsid w:val="00D33B7A"/>
    <w:rsid w:val="00D45F44"/>
    <w:rsid w:val="00D52B1D"/>
    <w:rsid w:val="00D52F53"/>
    <w:rsid w:val="00D54340"/>
    <w:rsid w:val="00D85978"/>
    <w:rsid w:val="00D92C5E"/>
    <w:rsid w:val="00DD2FE7"/>
    <w:rsid w:val="00DE1F2C"/>
    <w:rsid w:val="00DE5465"/>
    <w:rsid w:val="00DF53A9"/>
    <w:rsid w:val="00E04F05"/>
    <w:rsid w:val="00E34730"/>
    <w:rsid w:val="00E80A33"/>
    <w:rsid w:val="00E94D56"/>
    <w:rsid w:val="00E9660D"/>
    <w:rsid w:val="00EB4FAC"/>
    <w:rsid w:val="00EE451B"/>
    <w:rsid w:val="00EF1332"/>
    <w:rsid w:val="00EF35F9"/>
    <w:rsid w:val="00F03E5C"/>
    <w:rsid w:val="00F07452"/>
    <w:rsid w:val="00F26339"/>
    <w:rsid w:val="00F4301E"/>
    <w:rsid w:val="00F67195"/>
    <w:rsid w:val="00F858C3"/>
    <w:rsid w:val="00F85E2F"/>
    <w:rsid w:val="00F97125"/>
    <w:rsid w:val="00FA636F"/>
    <w:rsid w:val="00FA7F06"/>
    <w:rsid w:val="00FC3253"/>
    <w:rsid w:val="00FD56C5"/>
    <w:rsid w:val="00FE1191"/>
    <w:rsid w:val="00FE334F"/>
    <w:rsid w:val="00FF7022"/>
    <w:rsid w:val="00FF71F5"/>
    <w:rsid w:val="00FF7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Document">
    <w:name w:val="_Document"/>
    <w:basedOn w:val="Normal"/>
    <w:qFormat/>
    <w:rsid w:val="00DE5465"/>
    <w:pPr>
      <w:widowControl w:val="0"/>
      <w:suppressLineNumbers/>
      <w:tabs>
        <w:tab w:val="left" w:pos="0"/>
        <w:tab w:val="left" w:pos="230"/>
        <w:tab w:val="left" w:pos="620"/>
      </w:tabs>
      <w:spacing w:before="20" w:line="260" w:lineRule="exact"/>
      <w:ind w:firstLine="230"/>
      <w:jc w:val="both"/>
    </w:pPr>
    <w:rPr>
      <w:rFonts w:ascii="NewBaskerville" w:eastAsia="Times New Roman" w:hAnsi="NewBaskerville"/>
      <w:sz w:val="23"/>
      <w:szCs w:val="20"/>
    </w:rPr>
  </w:style>
  <w:style w:type="paragraph" w:customStyle="1" w:styleId="FootNote">
    <w:name w:val="_FootNote"/>
    <w:basedOn w:val="Document"/>
    <w:qFormat/>
    <w:rsid w:val="00DE5465"/>
    <w:pPr>
      <w:tabs>
        <w:tab w:val="clear" w:pos="0"/>
        <w:tab w:val="clear" w:pos="230"/>
        <w:tab w:val="clear" w:pos="620"/>
        <w:tab w:val="right" w:pos="480"/>
        <w:tab w:val="left" w:pos="640"/>
      </w:tabs>
      <w:spacing w:line="200" w:lineRule="exact"/>
      <w:ind w:firstLine="0"/>
    </w:pPr>
    <w:rPr>
      <w:sz w:val="17"/>
    </w:rPr>
  </w:style>
  <w:style w:type="character" w:customStyle="1" w:styleId="NoterefInNote">
    <w:name w:val="_NoterefInNote"/>
    <w:qFormat/>
    <w:rsid w:val="00DE5465"/>
    <w:rPr>
      <w:rFonts w:ascii="NewBaskerville" w:hAnsi="NewBaskerville"/>
      <w:sz w:val="17"/>
      <w:vertAlign w:val="baseline"/>
    </w:rPr>
  </w:style>
  <w:style w:type="character" w:customStyle="1" w:styleId="term">
    <w:name w:val="term"/>
    <w:basedOn w:val="DefaultParagraphFont"/>
    <w:rsid w:val="00DE5465"/>
  </w:style>
  <w:style w:type="character" w:customStyle="1" w:styleId="st">
    <w:name w:val="st"/>
    <w:basedOn w:val="DefaultParagraphFont"/>
    <w:rsid w:val="00DE54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A83B6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rsid w:val="00CC2968"/>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rPr>
  </w:style>
  <w:style w:type="paragraph" w:styleId="Heading3">
    <w:name w:val="heading 3"/>
    <w:basedOn w:val="Normal"/>
    <w:next w:val="Normal"/>
    <w:link w:val="Heading3Char"/>
    <w:uiPriority w:val="99"/>
    <w:qFormat/>
    <w:rsid w:val="00105EA7"/>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756"/>
      <w:outlineLvl w:val="2"/>
    </w:pPr>
    <w:rPr>
      <w:rFonts w:eastAsia="Times New Roman"/>
      <w:szCs w:val="24"/>
      <w:lang w:val="en-GB"/>
    </w:rPr>
  </w:style>
  <w:style w:type="paragraph" w:styleId="Heading4">
    <w:name w:val="heading 4"/>
    <w:basedOn w:val="Normal"/>
    <w:next w:val="Normal"/>
    <w:link w:val="Heading4Char"/>
    <w:uiPriority w:val="99"/>
    <w:qFormat/>
    <w:rsid w:val="00105EA7"/>
    <w:pPr>
      <w:keepNext/>
      <w:widowControl w:val="0"/>
      <w:autoSpaceDE w:val="0"/>
      <w:autoSpaceDN w:val="0"/>
      <w:adjustRightInd w:val="0"/>
      <w:outlineLvl w:val="3"/>
    </w:pPr>
    <w:rPr>
      <w:rFonts w:eastAsia="Times New Roman"/>
      <w:b/>
      <w:bCs/>
      <w:sz w:val="20"/>
      <w:szCs w:val="20"/>
      <w:lang w:val="en-GB"/>
    </w:rPr>
  </w:style>
  <w:style w:type="paragraph" w:styleId="Heading5">
    <w:name w:val="heading 5"/>
    <w:basedOn w:val="Normal"/>
    <w:next w:val="Normal"/>
    <w:link w:val="Heading5Char"/>
    <w:uiPriority w:val="99"/>
    <w:qFormat/>
    <w:rsid w:val="00105EA7"/>
    <w:pPr>
      <w:keepNext/>
      <w:widowControl w:val="0"/>
      <w:autoSpaceDE w:val="0"/>
      <w:autoSpaceDN w:val="0"/>
      <w:adjustRightInd w:val="0"/>
      <w:jc w:val="both"/>
      <w:outlineLvl w:val="4"/>
    </w:pPr>
    <w:rPr>
      <w:rFonts w:eastAsia="Times New Roman"/>
      <w:b/>
      <w:i/>
      <w:iCs/>
      <w:sz w:val="22"/>
      <w:szCs w:val="24"/>
      <w:u w:val="single"/>
      <w:lang w:val="en-GB"/>
    </w:rPr>
  </w:style>
  <w:style w:type="paragraph" w:styleId="Heading6">
    <w:name w:val="heading 6"/>
    <w:basedOn w:val="Normal"/>
    <w:next w:val="Normal"/>
    <w:link w:val="Heading6Char"/>
    <w:uiPriority w:val="99"/>
    <w:qFormat/>
    <w:rsid w:val="00105EA7"/>
    <w:pPr>
      <w:keepNext/>
      <w:widowControl w:val="0"/>
      <w:autoSpaceDE w:val="0"/>
      <w:autoSpaceDN w:val="0"/>
      <w:adjustRightInd w:val="0"/>
      <w:outlineLvl w:val="5"/>
    </w:pPr>
    <w:rPr>
      <w:rFonts w:eastAsia="Times New Roman"/>
      <w:i/>
      <w:iCs/>
      <w:sz w:val="23"/>
      <w:szCs w:val="23"/>
      <w:lang w:val="en-GB"/>
    </w:rPr>
  </w:style>
  <w:style w:type="paragraph" w:styleId="Heading7">
    <w:name w:val="heading 7"/>
    <w:basedOn w:val="Normal"/>
    <w:next w:val="Normal"/>
    <w:link w:val="Heading7Char"/>
    <w:uiPriority w:val="99"/>
    <w:qFormat/>
    <w:rsid w:val="00105EA7"/>
    <w:pPr>
      <w:keepNext/>
      <w:widowControl w:val="0"/>
      <w:autoSpaceDE w:val="0"/>
      <w:autoSpaceDN w:val="0"/>
      <w:adjustRightInd w:val="0"/>
      <w:jc w:val="center"/>
      <w:outlineLvl w:val="6"/>
    </w:pPr>
    <w:rPr>
      <w:rFonts w:eastAsia="Times New Roman"/>
      <w:b/>
      <w:bCs/>
      <w:sz w:val="26"/>
      <w:szCs w:val="26"/>
      <w:lang w:val="en-GB"/>
    </w:rPr>
  </w:style>
  <w:style w:type="paragraph" w:styleId="Heading8">
    <w:name w:val="heading 8"/>
    <w:basedOn w:val="Normal"/>
    <w:next w:val="Normal"/>
    <w:link w:val="Heading8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ind w:right="-108"/>
      <w:outlineLvl w:val="7"/>
    </w:pPr>
    <w:rPr>
      <w:rFonts w:ascii="Arial" w:eastAsia="Times New Roman" w:hAnsi="Arial" w:cs="Arial"/>
      <w:szCs w:val="24"/>
      <w:lang w:val="en-GB"/>
    </w:rPr>
  </w:style>
  <w:style w:type="paragraph" w:styleId="Heading9">
    <w:name w:val="heading 9"/>
    <w:basedOn w:val="Normal"/>
    <w:next w:val="Normal"/>
    <w:link w:val="Heading9Char"/>
    <w:uiPriority w:val="99"/>
    <w:qFormat/>
    <w:rsid w:val="00105EA7"/>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line="300" w:lineRule="atLeast"/>
      <w:outlineLvl w:val="8"/>
    </w:pPr>
    <w:rPr>
      <w:rFonts w:ascii="Arial" w:eastAsia="Times New Roman"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semiHidden/>
    <w:unhideWhenUsed/>
    <w:rsid w:val="00C96A00"/>
    <w:rPr>
      <w:rFonts w:ascii="Tahoma" w:hAnsi="Tahoma" w:cs="Tahoma"/>
      <w:sz w:val="16"/>
      <w:szCs w:val="16"/>
    </w:rPr>
  </w:style>
  <w:style w:type="character" w:customStyle="1" w:styleId="BalloonTextChar">
    <w:name w:val="Balloon Text Char"/>
    <w:link w:val="BalloonText"/>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CC2968"/>
    <w:rPr>
      <w:rFonts w:eastAsia="Times New Roman"/>
      <w:b/>
      <w:bCs/>
      <w:sz w:val="36"/>
      <w:szCs w:val="24"/>
    </w:rPr>
  </w:style>
  <w:style w:type="character" w:customStyle="1" w:styleId="hps">
    <w:name w:val="hps"/>
    <w:rsid w:val="00C87CFD"/>
  </w:style>
  <w:style w:type="character" w:customStyle="1" w:styleId="Heading1Char">
    <w:name w:val="Heading 1 Char"/>
    <w:link w:val="Heading1"/>
    <w:uiPriority w:val="9"/>
    <w:rsid w:val="00A83B6F"/>
    <w:rPr>
      <w:rFonts w:ascii="Cambria" w:eastAsia="Times New Roman" w:hAnsi="Cambria" w:cs="Times New Roman"/>
      <w:b/>
      <w:bCs/>
      <w:kern w:val="32"/>
      <w:sz w:val="32"/>
      <w:szCs w:val="32"/>
    </w:rPr>
  </w:style>
  <w:style w:type="paragraph" w:styleId="ListParagraph">
    <w:name w:val="List Paragraph"/>
    <w:basedOn w:val="Normal"/>
    <w:uiPriority w:val="34"/>
    <w:qFormat/>
    <w:rsid w:val="004556F3"/>
    <w:pPr>
      <w:ind w:left="720"/>
    </w:pPr>
  </w:style>
  <w:style w:type="character" w:customStyle="1" w:styleId="Heading3Char">
    <w:name w:val="Heading 3 Char"/>
    <w:link w:val="Heading3"/>
    <w:uiPriority w:val="99"/>
    <w:rsid w:val="00105EA7"/>
    <w:rPr>
      <w:rFonts w:eastAsia="Times New Roman"/>
      <w:sz w:val="24"/>
      <w:szCs w:val="24"/>
      <w:lang w:val="en-GB"/>
    </w:rPr>
  </w:style>
  <w:style w:type="character" w:customStyle="1" w:styleId="Heading4Char">
    <w:name w:val="Heading 4 Char"/>
    <w:link w:val="Heading4"/>
    <w:uiPriority w:val="99"/>
    <w:rsid w:val="00105EA7"/>
    <w:rPr>
      <w:rFonts w:eastAsia="Times New Roman"/>
      <w:b/>
      <w:bCs/>
      <w:lang w:val="en-GB"/>
    </w:rPr>
  </w:style>
  <w:style w:type="character" w:customStyle="1" w:styleId="Heading5Char">
    <w:name w:val="Heading 5 Char"/>
    <w:link w:val="Heading5"/>
    <w:uiPriority w:val="99"/>
    <w:rsid w:val="00105EA7"/>
    <w:rPr>
      <w:rFonts w:eastAsia="Times New Roman"/>
      <w:b/>
      <w:i/>
      <w:iCs/>
      <w:sz w:val="22"/>
      <w:szCs w:val="24"/>
      <w:u w:val="single"/>
      <w:lang w:val="en-GB"/>
    </w:rPr>
  </w:style>
  <w:style w:type="character" w:customStyle="1" w:styleId="Heading6Char">
    <w:name w:val="Heading 6 Char"/>
    <w:link w:val="Heading6"/>
    <w:uiPriority w:val="99"/>
    <w:rsid w:val="00105EA7"/>
    <w:rPr>
      <w:rFonts w:eastAsia="Times New Roman"/>
      <w:i/>
      <w:iCs/>
      <w:sz w:val="23"/>
      <w:szCs w:val="23"/>
      <w:lang w:val="en-GB"/>
    </w:rPr>
  </w:style>
  <w:style w:type="character" w:customStyle="1" w:styleId="Heading7Char">
    <w:name w:val="Heading 7 Char"/>
    <w:link w:val="Heading7"/>
    <w:uiPriority w:val="99"/>
    <w:rsid w:val="00105EA7"/>
    <w:rPr>
      <w:rFonts w:eastAsia="Times New Roman"/>
      <w:b/>
      <w:bCs/>
      <w:sz w:val="26"/>
      <w:szCs w:val="26"/>
      <w:lang w:val="en-GB"/>
    </w:rPr>
  </w:style>
  <w:style w:type="character" w:customStyle="1" w:styleId="Heading8Char">
    <w:name w:val="Heading 8 Char"/>
    <w:link w:val="Heading8"/>
    <w:uiPriority w:val="99"/>
    <w:rsid w:val="00105EA7"/>
    <w:rPr>
      <w:rFonts w:ascii="Arial" w:eastAsia="Times New Roman" w:hAnsi="Arial" w:cs="Arial"/>
      <w:sz w:val="24"/>
      <w:szCs w:val="24"/>
      <w:lang w:val="en-GB"/>
    </w:rPr>
  </w:style>
  <w:style w:type="character" w:customStyle="1" w:styleId="Heading9Char">
    <w:name w:val="Heading 9 Char"/>
    <w:link w:val="Heading9"/>
    <w:uiPriority w:val="99"/>
    <w:rsid w:val="00105EA7"/>
    <w:rPr>
      <w:rFonts w:ascii="Arial" w:eastAsia="Times New Roman" w:hAnsi="Arial" w:cs="Arial"/>
      <w:b/>
      <w:bCs/>
      <w:sz w:val="32"/>
      <w:szCs w:val="36"/>
      <w:lang w:val="en-GB"/>
    </w:rPr>
  </w:style>
  <w:style w:type="character" w:styleId="FootnoteReference">
    <w:name w:val="footnote reference"/>
    <w:uiPriority w:val="99"/>
    <w:semiHidden/>
    <w:rsid w:val="00105EA7"/>
    <w:rPr>
      <w:rFonts w:cs="Times New Roman"/>
    </w:rPr>
  </w:style>
  <w:style w:type="paragraph" w:customStyle="1" w:styleId="Level1">
    <w:name w:val="Level 1"/>
    <w:basedOn w:val="Normal"/>
    <w:uiPriority w:val="99"/>
    <w:rsid w:val="00105EA7"/>
    <w:pPr>
      <w:widowControl w:val="0"/>
      <w:numPr>
        <w:numId w:val="5"/>
      </w:numPr>
      <w:autoSpaceDE w:val="0"/>
      <w:autoSpaceDN w:val="0"/>
      <w:adjustRightInd w:val="0"/>
      <w:ind w:left="566" w:hanging="566"/>
      <w:outlineLvl w:val="0"/>
    </w:pPr>
    <w:rPr>
      <w:rFonts w:eastAsia="Times New Roman"/>
      <w:sz w:val="20"/>
      <w:szCs w:val="24"/>
    </w:rPr>
  </w:style>
  <w:style w:type="paragraph" w:customStyle="1" w:styleId="Level2">
    <w:name w:val="Level 2"/>
    <w:basedOn w:val="Normal"/>
    <w:uiPriority w:val="99"/>
    <w:rsid w:val="00105EA7"/>
    <w:pPr>
      <w:widowControl w:val="0"/>
      <w:numPr>
        <w:ilvl w:val="1"/>
        <w:numId w:val="5"/>
      </w:numPr>
      <w:autoSpaceDE w:val="0"/>
      <w:autoSpaceDN w:val="0"/>
      <w:adjustRightInd w:val="0"/>
      <w:ind w:left="1132" w:hanging="566"/>
      <w:outlineLvl w:val="1"/>
    </w:pPr>
    <w:rPr>
      <w:rFonts w:eastAsia="Times New Roman"/>
      <w:sz w:val="20"/>
      <w:szCs w:val="24"/>
    </w:rPr>
  </w:style>
  <w:style w:type="paragraph" w:customStyle="1" w:styleId="Level3">
    <w:name w:val="Level 3"/>
    <w:basedOn w:val="Normal"/>
    <w:uiPriority w:val="99"/>
    <w:rsid w:val="00105EA7"/>
    <w:pPr>
      <w:widowControl w:val="0"/>
      <w:numPr>
        <w:ilvl w:val="2"/>
        <w:numId w:val="5"/>
      </w:numPr>
      <w:autoSpaceDE w:val="0"/>
      <w:autoSpaceDN w:val="0"/>
      <w:adjustRightInd w:val="0"/>
      <w:ind w:left="1700" w:hanging="568"/>
      <w:outlineLvl w:val="2"/>
    </w:pPr>
    <w:rPr>
      <w:rFonts w:eastAsia="Times New Roman"/>
      <w:sz w:val="20"/>
      <w:szCs w:val="24"/>
    </w:rPr>
  </w:style>
  <w:style w:type="paragraph" w:customStyle="1" w:styleId="1AutoList1">
    <w:name w:val="1AutoList1"/>
    <w:uiPriority w:val="99"/>
    <w:rsid w:val="00105EA7"/>
    <w:pPr>
      <w:widowControl w:val="0"/>
      <w:tabs>
        <w:tab w:val="left" w:pos="720"/>
      </w:tabs>
      <w:autoSpaceDE w:val="0"/>
      <w:autoSpaceDN w:val="0"/>
      <w:adjustRightInd w:val="0"/>
      <w:ind w:left="720" w:hanging="720"/>
      <w:jc w:val="both"/>
    </w:pPr>
    <w:rPr>
      <w:rFonts w:eastAsia="Times New Roman"/>
      <w:sz w:val="24"/>
      <w:szCs w:val="24"/>
      <w:lang w:val="en-GB"/>
    </w:rPr>
  </w:style>
  <w:style w:type="paragraph" w:customStyle="1" w:styleId="Preformatted">
    <w:name w:val="Preformatted"/>
    <w:uiPriority w:val="99"/>
    <w:rsid w:val="00105EA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eastAsia="Times New Roman" w:hAnsi="Courier New" w:cs="Courier New"/>
    </w:rPr>
  </w:style>
  <w:style w:type="paragraph" w:customStyle="1" w:styleId="footnotetex">
    <w:name w:val="footnote tex"/>
    <w:uiPriority w:val="99"/>
    <w:rsid w:val="00105EA7"/>
    <w:pPr>
      <w:widowControl w:val="0"/>
      <w:autoSpaceDE w:val="0"/>
      <w:autoSpaceDN w:val="0"/>
      <w:adjustRightInd w:val="0"/>
      <w:jc w:val="both"/>
    </w:pPr>
    <w:rPr>
      <w:rFonts w:eastAsia="Times New Roman"/>
      <w:lang w:val="de-DE"/>
    </w:rPr>
  </w:style>
  <w:style w:type="character" w:styleId="PageNumber">
    <w:name w:val="page number"/>
    <w:uiPriority w:val="99"/>
    <w:rsid w:val="00105EA7"/>
    <w:rPr>
      <w:rFonts w:cs="Times New Roman"/>
    </w:rPr>
  </w:style>
  <w:style w:type="paragraph" w:styleId="BodyTextIndent">
    <w:name w:val="Body Text Indent"/>
    <w:basedOn w:val="Normal"/>
    <w:link w:val="BodyTextIndentChar"/>
    <w:uiPriority w:val="99"/>
    <w:rsid w:val="00105EA7"/>
    <w:pPr>
      <w:widowControl w:val="0"/>
      <w:autoSpaceDE w:val="0"/>
      <w:autoSpaceDN w:val="0"/>
      <w:adjustRightInd w:val="0"/>
      <w:ind w:left="720" w:hanging="720"/>
      <w:jc w:val="both"/>
    </w:pPr>
    <w:rPr>
      <w:rFonts w:eastAsia="Times New Roman"/>
      <w:sz w:val="22"/>
      <w:szCs w:val="24"/>
      <w:lang w:val="en-GB"/>
    </w:rPr>
  </w:style>
  <w:style w:type="character" w:customStyle="1" w:styleId="BodyTextIndentChar">
    <w:name w:val="Body Text Indent Char"/>
    <w:link w:val="BodyTextIndent"/>
    <w:uiPriority w:val="99"/>
    <w:rsid w:val="00105EA7"/>
    <w:rPr>
      <w:rFonts w:eastAsia="Times New Roman"/>
      <w:sz w:val="22"/>
      <w:szCs w:val="24"/>
      <w:lang w:val="en-GB"/>
    </w:rPr>
  </w:style>
  <w:style w:type="paragraph" w:styleId="BodyText">
    <w:name w:val="Body Text"/>
    <w:basedOn w:val="Normal"/>
    <w:link w:val="BodyTextChar"/>
    <w:uiPriority w:val="99"/>
    <w:rsid w:val="00105EA7"/>
    <w:pPr>
      <w:widowControl w:val="0"/>
      <w:autoSpaceDE w:val="0"/>
      <w:autoSpaceDN w:val="0"/>
      <w:adjustRightInd w:val="0"/>
      <w:jc w:val="both"/>
    </w:pPr>
    <w:rPr>
      <w:rFonts w:eastAsia="Times New Roman"/>
      <w:sz w:val="22"/>
      <w:szCs w:val="24"/>
      <w:lang w:val="en-GB"/>
    </w:rPr>
  </w:style>
  <w:style w:type="character" w:customStyle="1" w:styleId="BodyTextChar">
    <w:name w:val="Body Text Char"/>
    <w:link w:val="BodyText"/>
    <w:uiPriority w:val="99"/>
    <w:rsid w:val="00105EA7"/>
    <w:rPr>
      <w:rFonts w:eastAsia="Times New Roman"/>
      <w:sz w:val="22"/>
      <w:szCs w:val="24"/>
      <w:lang w:val="en-GB"/>
    </w:rPr>
  </w:style>
  <w:style w:type="character" w:styleId="Hyperlink">
    <w:name w:val="Hyperlink"/>
    <w:uiPriority w:val="99"/>
    <w:rsid w:val="00105EA7"/>
    <w:rPr>
      <w:rFonts w:cs="Times New Roman"/>
      <w:color w:val="0000FF"/>
      <w:u w:val="single"/>
    </w:rPr>
  </w:style>
  <w:style w:type="paragraph" w:styleId="FootnoteText">
    <w:name w:val="footnote text"/>
    <w:basedOn w:val="Normal"/>
    <w:link w:val="FootnoteTextChar"/>
    <w:uiPriority w:val="99"/>
    <w:rsid w:val="00105EA7"/>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105EA7"/>
    <w:rPr>
      <w:rFonts w:eastAsia="Times New Roman"/>
    </w:rPr>
  </w:style>
  <w:style w:type="paragraph" w:styleId="BodyText2">
    <w:name w:val="Body Text 2"/>
    <w:basedOn w:val="Normal"/>
    <w:link w:val="BodyText2Char"/>
    <w:uiPriority w:val="99"/>
    <w:rsid w:val="00105EA7"/>
    <w:pPr>
      <w:widowControl w:val="0"/>
      <w:autoSpaceDE w:val="0"/>
      <w:autoSpaceDN w:val="0"/>
      <w:adjustRightInd w:val="0"/>
    </w:pPr>
    <w:rPr>
      <w:rFonts w:eastAsia="Times New Roman"/>
      <w:sz w:val="22"/>
      <w:szCs w:val="24"/>
    </w:rPr>
  </w:style>
  <w:style w:type="character" w:customStyle="1" w:styleId="BodyText2Char">
    <w:name w:val="Body Text 2 Char"/>
    <w:link w:val="BodyText2"/>
    <w:uiPriority w:val="99"/>
    <w:rsid w:val="00105EA7"/>
    <w:rPr>
      <w:rFonts w:eastAsia="Times New Roman"/>
      <w:sz w:val="22"/>
      <w:szCs w:val="24"/>
    </w:rPr>
  </w:style>
  <w:style w:type="paragraph" w:styleId="BodyText3">
    <w:name w:val="Body Text 3"/>
    <w:basedOn w:val="Normal"/>
    <w:link w:val="BodyText3Char"/>
    <w:uiPriority w:val="99"/>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line="232" w:lineRule="auto"/>
      <w:jc w:val="center"/>
    </w:pPr>
    <w:rPr>
      <w:rFonts w:eastAsia="Times New Roman"/>
      <w:b/>
      <w:bCs/>
      <w:szCs w:val="24"/>
      <w:lang w:val="en-GB"/>
    </w:rPr>
  </w:style>
  <w:style w:type="character" w:customStyle="1" w:styleId="BodyText3Char">
    <w:name w:val="Body Text 3 Char"/>
    <w:link w:val="BodyText3"/>
    <w:uiPriority w:val="99"/>
    <w:rsid w:val="00105EA7"/>
    <w:rPr>
      <w:rFonts w:eastAsia="Times New Roman"/>
      <w:b/>
      <w:bCs/>
      <w:sz w:val="24"/>
      <w:szCs w:val="24"/>
      <w:lang w:val="en-GB"/>
    </w:rPr>
  </w:style>
  <w:style w:type="paragraph" w:styleId="BlockText">
    <w:name w:val="Block Text"/>
    <w:basedOn w:val="Normal"/>
    <w:uiPriority w:val="99"/>
    <w:rsid w:val="00105EA7"/>
    <w:pPr>
      <w:widowControl w:val="0"/>
      <w:autoSpaceDE w:val="0"/>
      <w:autoSpaceDN w:val="0"/>
      <w:adjustRightInd w:val="0"/>
      <w:ind w:left="1418" w:right="283" w:hanging="709"/>
    </w:pPr>
    <w:rPr>
      <w:rFonts w:eastAsia="Times New Roman"/>
      <w:szCs w:val="23"/>
    </w:rPr>
  </w:style>
  <w:style w:type="character" w:styleId="FollowedHyperlink">
    <w:name w:val="FollowedHyperlink"/>
    <w:uiPriority w:val="99"/>
    <w:rsid w:val="00105EA7"/>
    <w:rPr>
      <w:rFonts w:cs="Times New Roman"/>
      <w:color w:val="800080"/>
      <w:u w:val="single"/>
    </w:rPr>
  </w:style>
  <w:style w:type="paragraph" w:styleId="Title">
    <w:name w:val="Title"/>
    <w:basedOn w:val="Normal"/>
    <w:link w:val="TitleChar"/>
    <w:uiPriority w:val="99"/>
    <w:qFormat/>
    <w:rsid w:val="00105EA7"/>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jc w:val="center"/>
    </w:pPr>
    <w:rPr>
      <w:rFonts w:ascii="Arial" w:eastAsia="Times New Roman" w:hAnsi="Arial" w:cs="Arial"/>
      <w:b/>
      <w:bCs/>
      <w:sz w:val="32"/>
      <w:lang w:val="en-GB"/>
    </w:rPr>
  </w:style>
  <w:style w:type="character" w:customStyle="1" w:styleId="TitleChar">
    <w:name w:val="Title Char"/>
    <w:link w:val="Title"/>
    <w:uiPriority w:val="99"/>
    <w:rsid w:val="00105EA7"/>
    <w:rPr>
      <w:rFonts w:ascii="Arial" w:eastAsia="Times New Roman" w:hAnsi="Arial" w:cs="Arial"/>
      <w:b/>
      <w:bCs/>
      <w:sz w:val="32"/>
      <w:szCs w:val="22"/>
      <w:lang w:val="en-GB"/>
    </w:rPr>
  </w:style>
  <w:style w:type="paragraph" w:customStyle="1" w:styleId="ColorfulList-Accent11">
    <w:name w:val="Colorful List - Accent 11"/>
    <w:basedOn w:val="Normal"/>
    <w:uiPriority w:val="99"/>
    <w:rsid w:val="00105EA7"/>
    <w:pPr>
      <w:ind w:left="720"/>
    </w:pPr>
    <w:rPr>
      <w:rFonts w:eastAsia="Times New Roman"/>
      <w:szCs w:val="24"/>
      <w:lang w:val="es-UY"/>
    </w:rPr>
  </w:style>
  <w:style w:type="character" w:styleId="Emphasis">
    <w:name w:val="Emphasis"/>
    <w:uiPriority w:val="20"/>
    <w:qFormat/>
    <w:rsid w:val="00105EA7"/>
    <w:rPr>
      <w:rFonts w:cs="Times New Roman"/>
      <w:i/>
      <w:iCs/>
    </w:rPr>
  </w:style>
  <w:style w:type="paragraph" w:customStyle="1" w:styleId="Default">
    <w:name w:val="Default"/>
    <w:basedOn w:val="Normal"/>
    <w:rsid w:val="00105EA7"/>
    <w:pPr>
      <w:autoSpaceDE w:val="0"/>
      <w:autoSpaceDN w:val="0"/>
    </w:pPr>
    <w:rPr>
      <w:rFonts w:eastAsia="Times New Roman"/>
      <w:color w:val="000000"/>
      <w:szCs w:val="24"/>
      <w:lang w:val="en-GB" w:eastAsia="en-GB"/>
    </w:rPr>
  </w:style>
  <w:style w:type="paragraph" w:styleId="Revision">
    <w:name w:val="Revision"/>
    <w:hidden/>
    <w:uiPriority w:val="99"/>
    <w:semiHidden/>
    <w:rsid w:val="00105EA7"/>
    <w:rPr>
      <w:rFonts w:eastAsia="Times New Roman"/>
      <w:szCs w:val="24"/>
    </w:rPr>
  </w:style>
  <w:style w:type="paragraph" w:styleId="NormalWeb">
    <w:name w:val="Normal (Web)"/>
    <w:basedOn w:val="Normal"/>
    <w:uiPriority w:val="99"/>
    <w:unhideWhenUsed/>
    <w:rsid w:val="00105EA7"/>
    <w:pPr>
      <w:spacing w:after="150"/>
    </w:pPr>
    <w:rPr>
      <w:rFonts w:eastAsia="Times New Roman"/>
      <w:szCs w:val="24"/>
    </w:rPr>
  </w:style>
  <w:style w:type="paragraph" w:customStyle="1" w:styleId="Document">
    <w:name w:val="_Document"/>
    <w:basedOn w:val="Normal"/>
    <w:qFormat/>
    <w:rsid w:val="00DE5465"/>
    <w:pPr>
      <w:widowControl w:val="0"/>
      <w:suppressLineNumbers/>
      <w:tabs>
        <w:tab w:val="left" w:pos="0"/>
        <w:tab w:val="left" w:pos="230"/>
        <w:tab w:val="left" w:pos="620"/>
      </w:tabs>
      <w:spacing w:before="20" w:line="260" w:lineRule="exact"/>
      <w:ind w:firstLine="230"/>
      <w:jc w:val="both"/>
    </w:pPr>
    <w:rPr>
      <w:rFonts w:ascii="NewBaskerville" w:eastAsia="Times New Roman" w:hAnsi="NewBaskerville"/>
      <w:sz w:val="23"/>
      <w:szCs w:val="20"/>
    </w:rPr>
  </w:style>
  <w:style w:type="paragraph" w:customStyle="1" w:styleId="FootNote">
    <w:name w:val="_FootNote"/>
    <w:basedOn w:val="Document"/>
    <w:qFormat/>
    <w:rsid w:val="00DE5465"/>
    <w:pPr>
      <w:tabs>
        <w:tab w:val="clear" w:pos="0"/>
        <w:tab w:val="clear" w:pos="230"/>
        <w:tab w:val="clear" w:pos="620"/>
        <w:tab w:val="right" w:pos="480"/>
        <w:tab w:val="left" w:pos="640"/>
      </w:tabs>
      <w:spacing w:line="200" w:lineRule="exact"/>
      <w:ind w:firstLine="0"/>
    </w:pPr>
    <w:rPr>
      <w:sz w:val="17"/>
    </w:rPr>
  </w:style>
  <w:style w:type="character" w:customStyle="1" w:styleId="NoterefInNote">
    <w:name w:val="_NoterefInNote"/>
    <w:qFormat/>
    <w:rsid w:val="00DE5465"/>
    <w:rPr>
      <w:rFonts w:ascii="NewBaskerville" w:hAnsi="NewBaskerville"/>
      <w:sz w:val="17"/>
      <w:vertAlign w:val="baseline"/>
    </w:rPr>
  </w:style>
  <w:style w:type="character" w:customStyle="1" w:styleId="term">
    <w:name w:val="term"/>
    <w:basedOn w:val="DefaultParagraphFont"/>
    <w:rsid w:val="00DE5465"/>
  </w:style>
  <w:style w:type="character" w:customStyle="1" w:styleId="st">
    <w:name w:val="st"/>
    <w:basedOn w:val="DefaultParagraphFont"/>
    <w:rsid w:val="00DE54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4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Frenc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29BB7-D5FA-4407-A5F6-68EFB6789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COP11_Template_French_new</Template>
  <TotalTime>2</TotalTime>
  <Pages>2</Pages>
  <Words>489</Words>
  <Characters>2788</Characters>
  <Application>Microsoft Office Word</Application>
  <DocSecurity>4</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Jakuttek (UNEP/AEWA Secretariat)</dc:creator>
  <cp:lastModifiedBy>Catherine Lehmann (UNEP/AEWA Secretariat)</cp:lastModifiedBy>
  <cp:revision>2</cp:revision>
  <cp:lastPrinted>2014-10-13T11:44:00Z</cp:lastPrinted>
  <dcterms:created xsi:type="dcterms:W3CDTF">2014-11-08T01:12:00Z</dcterms:created>
  <dcterms:modified xsi:type="dcterms:W3CDTF">2014-11-08T01:12:00Z</dcterms:modified>
</cp:coreProperties>
</file>