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07"/>
        <w:gridCol w:w="4069"/>
      </w:tblGrid>
      <w:tr w:rsidR="003C6B55" w:rsidRPr="00FD56E6"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7B4024" w14:paraId="472DD153" w14:textId="77777777" w:rsidTr="00FD4F0F">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4068"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149C1F4F" w:rsidR="003C6B55" w:rsidRPr="006E38FA" w:rsidRDefault="003C6B55" w:rsidP="007B4024">
            <w:pPr>
              <w:spacing w:before="40" w:after="40"/>
              <w:ind w:left="-108"/>
              <w:jc w:val="both"/>
              <w:rPr>
                <w:rFonts w:ascii="Arial" w:hAnsi="Arial" w:cs="Arial"/>
                <w:sz w:val="22"/>
                <w:szCs w:val="22"/>
              </w:rPr>
            </w:pPr>
            <w:r w:rsidRPr="006E38FA">
              <w:rPr>
                <w:rFonts w:ascii="Arial" w:hAnsi="Arial" w:cs="Arial"/>
                <w:sz w:val="22"/>
                <w:szCs w:val="22"/>
              </w:rPr>
              <w:t>CMS/Sharks/MOS</w:t>
            </w:r>
            <w:r w:rsidR="004F27E0" w:rsidRPr="006E38FA">
              <w:rPr>
                <w:rFonts w:ascii="Arial" w:hAnsi="Arial" w:cs="Arial"/>
                <w:sz w:val="22"/>
                <w:szCs w:val="22"/>
              </w:rPr>
              <w:t>4</w:t>
            </w:r>
            <w:r w:rsidR="001C7504" w:rsidRPr="006E38FA">
              <w:rPr>
                <w:rFonts w:ascii="Arial" w:hAnsi="Arial" w:cs="Arial"/>
                <w:sz w:val="22"/>
                <w:szCs w:val="22"/>
              </w:rPr>
              <w:t>/Doc.</w:t>
            </w:r>
            <w:r w:rsidR="009E16F8" w:rsidRPr="006E38FA">
              <w:rPr>
                <w:rFonts w:ascii="Arial" w:hAnsi="Arial" w:cs="Arial"/>
                <w:sz w:val="22"/>
                <w:szCs w:val="22"/>
              </w:rPr>
              <w:t>10.7</w:t>
            </w:r>
          </w:p>
          <w:p w14:paraId="5D8B5935" w14:textId="55F15425" w:rsidR="003C6B55" w:rsidRPr="006E38FA" w:rsidRDefault="009E16F8" w:rsidP="007B4024">
            <w:pPr>
              <w:spacing w:before="40" w:after="40"/>
              <w:ind w:left="-108"/>
              <w:jc w:val="both"/>
              <w:rPr>
                <w:rFonts w:ascii="Arial" w:hAnsi="Arial" w:cs="Arial"/>
                <w:sz w:val="22"/>
                <w:szCs w:val="22"/>
              </w:rPr>
            </w:pPr>
            <w:r w:rsidRPr="006E38FA">
              <w:rPr>
                <w:rFonts w:ascii="Arial" w:hAnsi="Arial" w:cs="Arial"/>
                <w:sz w:val="22"/>
                <w:szCs w:val="22"/>
              </w:rPr>
              <w:t xml:space="preserve">9 </w:t>
            </w:r>
            <w:proofErr w:type="spellStart"/>
            <w:r w:rsidRPr="006E38FA">
              <w:rPr>
                <w:rFonts w:ascii="Arial" w:hAnsi="Arial" w:cs="Arial"/>
                <w:sz w:val="22"/>
                <w:szCs w:val="22"/>
              </w:rPr>
              <w:t>decembre</w:t>
            </w:r>
            <w:proofErr w:type="spellEnd"/>
            <w:r w:rsidR="00627A42" w:rsidRPr="006E38FA">
              <w:rPr>
                <w:rFonts w:ascii="Arial" w:hAnsi="Arial" w:cs="Arial"/>
                <w:sz w:val="22"/>
                <w:szCs w:val="22"/>
              </w:rPr>
              <w:t xml:space="preserve"> </w:t>
            </w:r>
            <w:r w:rsidR="003C6B55" w:rsidRPr="006E38FA">
              <w:rPr>
                <w:rFonts w:ascii="Arial" w:hAnsi="Arial" w:cs="Arial"/>
                <w:sz w:val="22"/>
                <w:szCs w:val="22"/>
              </w:rPr>
              <w:t>20</w:t>
            </w:r>
            <w:r w:rsidR="004F27E0" w:rsidRPr="006E38FA">
              <w:rPr>
                <w:rFonts w:ascii="Arial" w:hAnsi="Arial" w:cs="Arial"/>
                <w:sz w:val="22"/>
                <w:szCs w:val="22"/>
              </w:rPr>
              <w:t>22</w:t>
            </w:r>
          </w:p>
          <w:p w14:paraId="417F2EA9" w14:textId="77777777" w:rsidR="003C6B55" w:rsidRPr="007B4024" w:rsidRDefault="003C6B55" w:rsidP="007B4024">
            <w:pPr>
              <w:ind w:left="-108"/>
              <w:jc w:val="both"/>
              <w:rPr>
                <w:sz w:val="22"/>
                <w:szCs w:val="22"/>
                <w:lang w:val="fr-FR"/>
              </w:rPr>
            </w:pPr>
            <w:proofErr w:type="gramStart"/>
            <w:r w:rsidRPr="00540C05">
              <w:rPr>
                <w:rFonts w:ascii="Arial" w:hAnsi="Arial" w:cs="Arial"/>
                <w:sz w:val="22"/>
                <w:szCs w:val="22"/>
                <w:lang w:val="fr-FR"/>
              </w:rPr>
              <w:t>Original:</w:t>
            </w:r>
            <w:proofErr w:type="gramEnd"/>
            <w:r w:rsidRPr="00540C05">
              <w:rPr>
                <w:rFonts w:ascii="Arial" w:hAnsi="Arial" w:cs="Arial"/>
                <w:sz w:val="22"/>
                <w:szCs w:val="22"/>
                <w:lang w:val="fr-FR"/>
              </w:rPr>
              <w:t xml:space="preserve">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77777777"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627A42">
        <w:rPr>
          <w:rFonts w:ascii="Arial" w:hAnsi="Arial" w:cs="Arial"/>
          <w:bCs/>
          <w:sz w:val="22"/>
          <w:szCs w:val="22"/>
          <w:lang w:val="fr-FR"/>
        </w:rPr>
        <w:t xml:space="preserve">XX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0D06ECEA" w14:textId="77777777" w:rsidR="00B25614" w:rsidRPr="00540C05" w:rsidRDefault="00B25614" w:rsidP="00B25614">
      <w:pPr>
        <w:jc w:val="both"/>
        <w:rPr>
          <w:rFonts w:ascii="Arial" w:hAnsi="Arial" w:cs="Arial"/>
          <w:sz w:val="22"/>
          <w:szCs w:val="22"/>
          <w:lang w:val="fr-FR"/>
        </w:rPr>
      </w:pPr>
    </w:p>
    <w:p w14:paraId="36972D39" w14:textId="77777777" w:rsidR="009E16F8" w:rsidRPr="009E16F8" w:rsidRDefault="009E16F8" w:rsidP="009E16F8">
      <w:pPr>
        <w:jc w:val="center"/>
        <w:rPr>
          <w:rFonts w:ascii="Arial" w:hAnsi="Arial" w:cs="Arial"/>
          <w:b/>
          <w:bCs/>
          <w:sz w:val="22"/>
          <w:szCs w:val="22"/>
          <w:lang w:val="fr-FR"/>
        </w:rPr>
      </w:pPr>
      <w:r w:rsidRPr="009E16F8">
        <w:rPr>
          <w:rFonts w:ascii="Arial" w:hAnsi="Arial" w:cs="Arial"/>
          <w:b/>
          <w:bCs/>
          <w:sz w:val="22"/>
          <w:szCs w:val="22"/>
          <w:lang w:val="fr-FR"/>
        </w:rPr>
        <w:t>EXAMEN DE LA MORTALITÉ LIÉE À LA PÊCHE DES</w:t>
      </w:r>
    </w:p>
    <w:p w14:paraId="60AEA232" w14:textId="77777777" w:rsidR="009E16F8" w:rsidRPr="009E16F8" w:rsidRDefault="009E16F8" w:rsidP="009E16F8">
      <w:pPr>
        <w:jc w:val="center"/>
        <w:rPr>
          <w:rFonts w:ascii="Arial" w:hAnsi="Arial" w:cs="Arial"/>
          <w:b/>
          <w:bCs/>
          <w:sz w:val="22"/>
          <w:szCs w:val="22"/>
          <w:lang w:val="fr-FR"/>
        </w:rPr>
      </w:pPr>
      <w:r w:rsidRPr="009E16F8">
        <w:rPr>
          <w:rFonts w:ascii="Arial" w:hAnsi="Arial" w:cs="Arial"/>
          <w:b/>
          <w:bCs/>
          <w:sz w:val="22"/>
          <w:szCs w:val="22"/>
          <w:lang w:val="fr-FR"/>
        </w:rPr>
        <w:t>ESPÈCES DE REQUINS ET DE RAIES</w:t>
      </w:r>
    </w:p>
    <w:p w14:paraId="269144BD" w14:textId="77777777" w:rsidR="009E16F8" w:rsidRPr="009E16F8" w:rsidRDefault="009E16F8" w:rsidP="009E16F8">
      <w:pPr>
        <w:spacing w:after="120"/>
        <w:jc w:val="center"/>
        <w:rPr>
          <w:rFonts w:ascii="Arial" w:hAnsi="Arial" w:cs="Arial"/>
          <w:b/>
          <w:bCs/>
          <w:sz w:val="22"/>
          <w:szCs w:val="22"/>
          <w:lang w:val="fr-FR"/>
        </w:rPr>
      </w:pPr>
      <w:r w:rsidRPr="009E16F8">
        <w:rPr>
          <w:rFonts w:ascii="Arial" w:hAnsi="Arial" w:cs="Arial"/>
          <w:b/>
          <w:bCs/>
          <w:sz w:val="22"/>
          <w:szCs w:val="22"/>
          <w:lang w:val="fr-FR"/>
        </w:rPr>
        <w:t>INSCRITES À L’ANNEXE 1 DU MDE REQUINS ET AUX ANNEXES DE LA CMS</w:t>
      </w:r>
    </w:p>
    <w:p w14:paraId="2E06C1B4" w14:textId="77777777" w:rsidR="009E16F8" w:rsidRPr="009E16F8" w:rsidRDefault="009E16F8" w:rsidP="009E16F8">
      <w:pPr>
        <w:jc w:val="center"/>
        <w:rPr>
          <w:rFonts w:ascii="Arial" w:hAnsi="Arial" w:cs="Arial"/>
          <w:bCs/>
          <w:i/>
          <w:sz w:val="22"/>
          <w:szCs w:val="22"/>
          <w:lang w:val="fr-FR"/>
        </w:rPr>
      </w:pPr>
      <w:r w:rsidRPr="009E16F8">
        <w:rPr>
          <w:rFonts w:ascii="Arial" w:hAnsi="Arial" w:cs="Arial"/>
          <w:bCs/>
          <w:i/>
          <w:sz w:val="22"/>
          <w:szCs w:val="22"/>
          <w:lang w:val="fr-FR"/>
        </w:rPr>
        <w:t>(Préparé par le Secrétariat et le Comité consultatif)</w:t>
      </w:r>
    </w:p>
    <w:p w14:paraId="5441F553" w14:textId="77777777" w:rsidR="009E16F8" w:rsidRPr="009E16F8" w:rsidRDefault="009E16F8" w:rsidP="009E16F8">
      <w:pPr>
        <w:jc w:val="center"/>
        <w:rPr>
          <w:rFonts w:ascii="Arial" w:hAnsi="Arial" w:cs="Arial"/>
          <w:bCs/>
          <w:i/>
          <w:sz w:val="22"/>
          <w:szCs w:val="22"/>
          <w:lang w:val="fr-FR"/>
        </w:rPr>
      </w:pPr>
    </w:p>
    <w:p w14:paraId="016D5051" w14:textId="77777777" w:rsidR="009E16F8" w:rsidRPr="009E16F8" w:rsidRDefault="009E16F8" w:rsidP="009E16F8">
      <w:pPr>
        <w:jc w:val="center"/>
        <w:rPr>
          <w:rFonts w:ascii="Arial" w:hAnsi="Arial" w:cs="Arial"/>
          <w:bCs/>
          <w:i/>
          <w:sz w:val="22"/>
          <w:szCs w:val="22"/>
          <w:lang w:val="fr-FR"/>
        </w:rPr>
      </w:pPr>
    </w:p>
    <w:p w14:paraId="59AEDAC3" w14:textId="77777777" w:rsidR="009E16F8" w:rsidRPr="009E16F8" w:rsidRDefault="009E16F8" w:rsidP="009E16F8">
      <w:pPr>
        <w:numPr>
          <w:ilvl w:val="0"/>
          <w:numId w:val="5"/>
        </w:numPr>
        <w:ind w:left="540" w:hanging="540"/>
        <w:contextualSpacing/>
        <w:jc w:val="both"/>
        <w:rPr>
          <w:rFonts w:ascii="Arial" w:hAnsi="Arial" w:cs="Arial"/>
          <w:bCs/>
          <w:iCs/>
          <w:sz w:val="22"/>
          <w:szCs w:val="22"/>
          <w:lang w:val="fr-FR"/>
        </w:rPr>
      </w:pPr>
      <w:r w:rsidRPr="009E16F8">
        <w:rPr>
          <w:rFonts w:ascii="Arial" w:hAnsi="Arial" w:cs="Arial"/>
          <w:bCs/>
          <w:iCs/>
          <w:sz w:val="22"/>
          <w:szCs w:val="22"/>
          <w:lang w:val="fr-FR"/>
        </w:rPr>
        <w:t xml:space="preserve">Le présent document fournit des informations sur les travaux proposés par le Secrétariat dans le but d’examiner l’incidence des prises accessoires sur les espèces de requins et de raies migrateurs inscrites aux Annexes de la CMS et/ou à l’Annexe 1 du </w:t>
      </w:r>
      <w:proofErr w:type="spellStart"/>
      <w:r w:rsidRPr="009E16F8">
        <w:rPr>
          <w:rFonts w:ascii="Arial" w:hAnsi="Arial" w:cs="Arial"/>
          <w:bCs/>
          <w:iCs/>
          <w:sz w:val="22"/>
          <w:szCs w:val="22"/>
          <w:lang w:val="fr-FR"/>
        </w:rPr>
        <w:t>MdE</w:t>
      </w:r>
      <w:proofErr w:type="spellEnd"/>
      <w:r w:rsidRPr="009E16F8">
        <w:rPr>
          <w:rFonts w:ascii="Arial" w:hAnsi="Arial" w:cs="Arial"/>
          <w:bCs/>
          <w:iCs/>
          <w:sz w:val="22"/>
          <w:szCs w:val="22"/>
          <w:lang w:val="fr-FR"/>
        </w:rPr>
        <w:t xml:space="preserve"> requins.</w:t>
      </w:r>
    </w:p>
    <w:p w14:paraId="240B528B" w14:textId="77777777" w:rsidR="009E16F8" w:rsidRPr="009E16F8" w:rsidRDefault="009E16F8" w:rsidP="009E16F8">
      <w:pPr>
        <w:rPr>
          <w:rFonts w:ascii="Arial" w:hAnsi="Arial" w:cs="Arial"/>
          <w:bCs/>
          <w:iCs/>
          <w:sz w:val="22"/>
          <w:szCs w:val="22"/>
          <w:lang w:val="fr-FR"/>
        </w:rPr>
      </w:pPr>
    </w:p>
    <w:p w14:paraId="616A6C6B" w14:textId="77777777" w:rsidR="009E16F8" w:rsidRPr="009E16F8" w:rsidRDefault="009E16F8" w:rsidP="009E16F8">
      <w:pPr>
        <w:numPr>
          <w:ilvl w:val="0"/>
          <w:numId w:val="5"/>
        </w:numPr>
        <w:ind w:left="540" w:hanging="540"/>
        <w:contextualSpacing/>
        <w:jc w:val="both"/>
        <w:rPr>
          <w:rFonts w:ascii="Arial" w:hAnsi="Arial" w:cs="Arial"/>
          <w:bCs/>
          <w:iCs/>
          <w:sz w:val="22"/>
          <w:szCs w:val="22"/>
          <w:lang w:val="fr-FR"/>
        </w:rPr>
      </w:pPr>
      <w:r w:rsidRPr="009E16F8">
        <w:rPr>
          <w:rFonts w:ascii="Arial" w:hAnsi="Arial" w:cs="Arial"/>
          <w:bCs/>
          <w:iCs/>
          <w:sz w:val="22"/>
          <w:szCs w:val="22"/>
          <w:lang w:val="fr-FR"/>
        </w:rPr>
        <w:t>Le Secrétariat a soumis à l’</w:t>
      </w:r>
      <w:r w:rsidRPr="009E16F8">
        <w:rPr>
          <w:rFonts w:ascii="Arial" w:hAnsi="Arial" w:cs="Arial"/>
          <w:bCs/>
          <w:iCs/>
          <w:sz w:val="22"/>
          <w:szCs w:val="22"/>
          <w:u w:val="single"/>
          <w:lang w:val="fr-FR"/>
        </w:rPr>
        <w:t xml:space="preserve">annexe 1 </w:t>
      </w:r>
      <w:r w:rsidRPr="009E16F8">
        <w:rPr>
          <w:rFonts w:ascii="Arial" w:hAnsi="Arial" w:cs="Arial"/>
          <w:bCs/>
          <w:iCs/>
          <w:sz w:val="22"/>
          <w:szCs w:val="22"/>
          <w:lang w:val="fr-FR"/>
        </w:rPr>
        <w:t>des projets de décisions à prendre lors de cette réunion en vue de soutenir la mise en œuvre des travaux proposés sur les prises accessoires, pour examen lors de la réunion.</w:t>
      </w:r>
    </w:p>
    <w:p w14:paraId="4ACE417A" w14:textId="77777777" w:rsidR="009E16F8" w:rsidRPr="009E16F8" w:rsidRDefault="009E16F8" w:rsidP="009E16F8">
      <w:pPr>
        <w:ind w:left="540"/>
        <w:contextualSpacing/>
        <w:jc w:val="both"/>
        <w:rPr>
          <w:rFonts w:ascii="Arial" w:hAnsi="Arial" w:cs="Arial"/>
          <w:bCs/>
          <w:iCs/>
          <w:sz w:val="22"/>
          <w:szCs w:val="22"/>
          <w:lang w:val="fr-FR"/>
        </w:rPr>
      </w:pPr>
    </w:p>
    <w:p w14:paraId="65B2C1C8" w14:textId="77777777" w:rsidR="009E16F8" w:rsidRPr="009E16F8" w:rsidRDefault="009E16F8" w:rsidP="009E16F8">
      <w:pPr>
        <w:numPr>
          <w:ilvl w:val="0"/>
          <w:numId w:val="5"/>
        </w:numPr>
        <w:ind w:left="540" w:hanging="540"/>
        <w:contextualSpacing/>
        <w:jc w:val="both"/>
        <w:rPr>
          <w:rFonts w:ascii="Arial" w:hAnsi="Arial" w:cs="Arial"/>
          <w:bCs/>
          <w:iCs/>
          <w:sz w:val="22"/>
          <w:szCs w:val="22"/>
          <w:lang w:val="fr-FR"/>
        </w:rPr>
      </w:pPr>
      <w:r w:rsidRPr="009E16F8">
        <w:rPr>
          <w:rFonts w:ascii="Arial" w:hAnsi="Arial" w:cs="Arial"/>
          <w:bCs/>
          <w:iCs/>
          <w:sz w:val="22"/>
          <w:szCs w:val="22"/>
          <w:u w:val="single"/>
          <w:lang w:val="fr-FR"/>
        </w:rPr>
        <w:t>L’annexe 2</w:t>
      </w:r>
      <w:r w:rsidRPr="009E16F8">
        <w:rPr>
          <w:rFonts w:ascii="Arial" w:hAnsi="Arial" w:cs="Arial"/>
          <w:bCs/>
          <w:iCs/>
          <w:sz w:val="22"/>
          <w:szCs w:val="22"/>
          <w:lang w:val="fr-FR"/>
        </w:rPr>
        <w:t xml:space="preserve"> présente des suggestions d’activités que les Signataires pourraient souhaiter inclure dans leur Programme de travail pour la période triennale 2023-2025, qui seront également discutées au point 12 de l’ordre du jour.</w:t>
      </w:r>
    </w:p>
    <w:p w14:paraId="15C0F50B" w14:textId="77777777" w:rsidR="009E16F8" w:rsidRPr="009E16F8" w:rsidRDefault="009E16F8" w:rsidP="009E16F8">
      <w:pPr>
        <w:ind w:left="540"/>
        <w:contextualSpacing/>
        <w:jc w:val="both"/>
        <w:rPr>
          <w:rFonts w:ascii="Arial" w:hAnsi="Arial" w:cs="Arial"/>
          <w:bCs/>
          <w:iCs/>
          <w:sz w:val="22"/>
          <w:szCs w:val="22"/>
          <w:lang w:val="fr-FR"/>
        </w:rPr>
      </w:pPr>
    </w:p>
    <w:p w14:paraId="2685633E" w14:textId="77777777" w:rsidR="009E16F8" w:rsidRPr="009E16F8" w:rsidRDefault="009E16F8" w:rsidP="009E16F8">
      <w:pPr>
        <w:contextualSpacing/>
        <w:jc w:val="both"/>
        <w:rPr>
          <w:rFonts w:ascii="Arial" w:hAnsi="Arial" w:cs="Arial"/>
          <w:b/>
          <w:iCs/>
          <w:sz w:val="22"/>
          <w:szCs w:val="22"/>
          <w:lang w:val="fr-FR"/>
        </w:rPr>
      </w:pPr>
      <w:r w:rsidRPr="009E16F8">
        <w:rPr>
          <w:rFonts w:ascii="Arial" w:hAnsi="Arial" w:cs="Arial"/>
          <w:b/>
          <w:iCs/>
          <w:sz w:val="22"/>
          <w:szCs w:val="22"/>
          <w:lang w:val="fr-FR"/>
        </w:rPr>
        <w:t>Contexte</w:t>
      </w:r>
    </w:p>
    <w:p w14:paraId="663CF67F" w14:textId="77777777" w:rsidR="009E16F8" w:rsidRPr="009E16F8" w:rsidRDefault="009E16F8" w:rsidP="009E16F8">
      <w:pPr>
        <w:ind w:left="540"/>
        <w:contextualSpacing/>
        <w:jc w:val="both"/>
        <w:rPr>
          <w:rFonts w:ascii="Arial" w:hAnsi="Arial" w:cs="Arial"/>
          <w:bCs/>
          <w:iCs/>
          <w:sz w:val="22"/>
          <w:szCs w:val="22"/>
          <w:lang w:val="fr-FR"/>
        </w:rPr>
      </w:pPr>
    </w:p>
    <w:p w14:paraId="4BC95016" w14:textId="77777777" w:rsidR="009E16F8" w:rsidRPr="009E16F8" w:rsidRDefault="009E16F8" w:rsidP="009E16F8">
      <w:pPr>
        <w:numPr>
          <w:ilvl w:val="0"/>
          <w:numId w:val="5"/>
        </w:numPr>
        <w:ind w:left="540" w:hanging="540"/>
        <w:contextualSpacing/>
        <w:jc w:val="both"/>
        <w:rPr>
          <w:rFonts w:ascii="Arial" w:hAnsi="Arial" w:cs="Arial"/>
          <w:bCs/>
          <w:iCs/>
          <w:sz w:val="22"/>
          <w:szCs w:val="22"/>
          <w:lang w:val="fr-FR"/>
        </w:rPr>
      </w:pPr>
      <w:r w:rsidRPr="009E16F8">
        <w:rPr>
          <w:rFonts w:ascii="Arial" w:hAnsi="Arial"/>
          <w:sz w:val="22"/>
          <w:szCs w:val="22"/>
          <w:lang w:val="fr-FR"/>
        </w:rPr>
        <w:t>Il est nécessaire de mieux comprendre les niveaux de « mortalité liée à la pêche » des espèces de requins et de raies inscrites. La mortalité liée à la pêche comprend à la fois les prises ciblées et les prises accessoires</w:t>
      </w:r>
      <w:r w:rsidRPr="009E16F8">
        <w:rPr>
          <w:rFonts w:ascii="Arial" w:hAnsi="Arial"/>
          <w:sz w:val="22"/>
          <w:szCs w:val="22"/>
          <w:vertAlign w:val="superscript"/>
          <w:lang w:val="fr-FR"/>
        </w:rPr>
        <w:footnoteReference w:id="1"/>
      </w:r>
      <w:r w:rsidRPr="009E16F8">
        <w:rPr>
          <w:rFonts w:ascii="Arial" w:hAnsi="Arial"/>
          <w:sz w:val="22"/>
          <w:szCs w:val="22"/>
          <w:lang w:val="fr-FR"/>
        </w:rPr>
        <w:t>. Les captures comprennent les éléments qui sont conservés (débarquements ou consommation à bord), ceux qui sont rejetés morts (c’est-à-dire la mortalité au retour au port ou à bord du navire) et ceux qui sont rejetés vivants, mais qui peuvent ensuite mourir en raison d’une mortalité après la remise à l’eau.</w:t>
      </w:r>
    </w:p>
    <w:p w14:paraId="05122FB1" w14:textId="77777777" w:rsidR="009E16F8" w:rsidRPr="009E16F8" w:rsidRDefault="009E16F8" w:rsidP="009E16F8">
      <w:pPr>
        <w:ind w:left="720"/>
        <w:contextualSpacing/>
        <w:rPr>
          <w:rFonts w:ascii="Arial" w:hAnsi="Arial"/>
          <w:sz w:val="22"/>
          <w:szCs w:val="22"/>
          <w:lang w:val="fr-FR"/>
        </w:rPr>
      </w:pPr>
    </w:p>
    <w:p w14:paraId="25BC48A8" w14:textId="77777777" w:rsidR="009E16F8" w:rsidRPr="009E16F8" w:rsidRDefault="009E16F8" w:rsidP="009E16F8">
      <w:pPr>
        <w:numPr>
          <w:ilvl w:val="0"/>
          <w:numId w:val="5"/>
        </w:numPr>
        <w:ind w:left="540" w:hanging="540"/>
        <w:contextualSpacing/>
        <w:jc w:val="both"/>
        <w:rPr>
          <w:rFonts w:ascii="Arial" w:hAnsi="Arial" w:cs="Arial"/>
          <w:bCs/>
          <w:iCs/>
          <w:sz w:val="22"/>
          <w:szCs w:val="22"/>
          <w:lang w:val="fr-FR"/>
        </w:rPr>
      </w:pPr>
      <w:r w:rsidRPr="009E16F8">
        <w:rPr>
          <w:rFonts w:ascii="Arial" w:hAnsi="Arial"/>
          <w:sz w:val="22"/>
          <w:szCs w:val="22"/>
          <w:lang w:val="fr-FR"/>
        </w:rPr>
        <w:t>La pêche englobe la pêche commerciale, artisanale, de subsistance et récréative. Bien qu’il existe des programmes nationaux et internationaux visant à rassembler les débarquements déclarés par les pêcheries (principalement les pêcheries commerciales), ces données peuvent être incomplètes pour certaines pêcheries et zones. Les données relatives aux autres formes de mortalité (par exemple, le total des captures rejetées mortes) font souvent défaut ou sont estimées. Il est dès lors nécessaire d’améliorer la compréhension de la « mortalité totale liée à la pêche ».</w:t>
      </w:r>
    </w:p>
    <w:p w14:paraId="433C2714" w14:textId="77777777" w:rsidR="009E16F8" w:rsidRPr="009E16F8" w:rsidRDefault="009E16F8" w:rsidP="009E16F8">
      <w:pPr>
        <w:ind w:left="720" w:right="252" w:hanging="720"/>
        <w:jc w:val="both"/>
        <w:rPr>
          <w:rFonts w:ascii="Arial" w:hAnsi="Arial"/>
          <w:sz w:val="22"/>
          <w:szCs w:val="22"/>
          <w:lang w:val="fr-FR"/>
        </w:rPr>
      </w:pPr>
    </w:p>
    <w:p w14:paraId="6343CEDE" w14:textId="77777777" w:rsidR="006E38FA" w:rsidRDefault="006E38FA">
      <w:pPr>
        <w:widowControl/>
        <w:autoSpaceDE/>
        <w:autoSpaceDN/>
        <w:adjustRightInd/>
        <w:spacing w:after="160" w:line="259" w:lineRule="auto"/>
        <w:rPr>
          <w:rFonts w:ascii="Arial" w:hAnsi="Arial"/>
          <w:b/>
          <w:bCs/>
          <w:sz w:val="22"/>
          <w:szCs w:val="22"/>
          <w:lang w:val="fr-FR"/>
        </w:rPr>
      </w:pPr>
      <w:r>
        <w:rPr>
          <w:rFonts w:ascii="Arial" w:hAnsi="Arial"/>
          <w:b/>
          <w:bCs/>
          <w:sz w:val="22"/>
          <w:szCs w:val="22"/>
          <w:lang w:val="fr-FR"/>
        </w:rPr>
        <w:br w:type="page"/>
      </w:r>
    </w:p>
    <w:p w14:paraId="75B40021" w14:textId="4071A7EC" w:rsidR="009E16F8" w:rsidRPr="009E16F8" w:rsidRDefault="009E16F8" w:rsidP="009E16F8">
      <w:pPr>
        <w:ind w:right="51"/>
        <w:jc w:val="both"/>
        <w:rPr>
          <w:rFonts w:ascii="Arial" w:hAnsi="Arial"/>
          <w:b/>
          <w:bCs/>
          <w:sz w:val="22"/>
          <w:szCs w:val="22"/>
          <w:lang w:val="fr-FR"/>
        </w:rPr>
      </w:pPr>
      <w:r w:rsidRPr="009E16F8">
        <w:rPr>
          <w:rFonts w:ascii="Arial" w:hAnsi="Arial"/>
          <w:b/>
          <w:bCs/>
          <w:sz w:val="22"/>
          <w:szCs w:val="22"/>
          <w:lang w:val="fr-FR"/>
        </w:rPr>
        <w:lastRenderedPageBreak/>
        <w:t xml:space="preserve">Mandats du </w:t>
      </w:r>
      <w:proofErr w:type="spellStart"/>
      <w:r w:rsidRPr="009E16F8">
        <w:rPr>
          <w:rFonts w:ascii="Arial" w:hAnsi="Arial"/>
          <w:b/>
          <w:bCs/>
          <w:sz w:val="22"/>
          <w:szCs w:val="22"/>
          <w:lang w:val="fr-FR"/>
        </w:rPr>
        <w:t>MdE</w:t>
      </w:r>
      <w:proofErr w:type="spellEnd"/>
    </w:p>
    <w:p w14:paraId="1575F856" w14:textId="77777777" w:rsidR="009E16F8" w:rsidRPr="009E16F8" w:rsidRDefault="009E16F8" w:rsidP="009E16F8">
      <w:pPr>
        <w:ind w:left="540" w:right="51"/>
        <w:contextualSpacing/>
        <w:jc w:val="both"/>
        <w:rPr>
          <w:rFonts w:ascii="Arial" w:hAnsi="Arial"/>
          <w:sz w:val="22"/>
          <w:szCs w:val="22"/>
          <w:lang w:val="fr-FR"/>
        </w:rPr>
      </w:pPr>
    </w:p>
    <w:p w14:paraId="69C4C8F1" w14:textId="77777777" w:rsidR="009E16F8" w:rsidRPr="009E16F8" w:rsidRDefault="009E16F8" w:rsidP="009E16F8">
      <w:pPr>
        <w:numPr>
          <w:ilvl w:val="0"/>
          <w:numId w:val="5"/>
        </w:numPr>
        <w:ind w:left="540" w:right="51" w:hanging="540"/>
        <w:contextualSpacing/>
        <w:jc w:val="both"/>
        <w:rPr>
          <w:rFonts w:ascii="Arial" w:hAnsi="Arial"/>
          <w:sz w:val="22"/>
          <w:szCs w:val="22"/>
          <w:lang w:val="fr-FR"/>
        </w:rPr>
      </w:pPr>
      <w:r w:rsidRPr="009E16F8">
        <w:rPr>
          <w:rFonts w:ascii="Arial" w:hAnsi="Arial"/>
          <w:sz w:val="22"/>
          <w:szCs w:val="22"/>
          <w:lang w:val="fr-FR"/>
        </w:rPr>
        <w:t xml:space="preserve">Le </w:t>
      </w:r>
      <w:proofErr w:type="spellStart"/>
      <w:r w:rsidRPr="009E16F8">
        <w:rPr>
          <w:rFonts w:ascii="Arial" w:hAnsi="Arial"/>
          <w:sz w:val="22"/>
          <w:szCs w:val="22"/>
          <w:lang w:val="fr-FR"/>
        </w:rPr>
        <w:t>MdE</w:t>
      </w:r>
      <w:proofErr w:type="spellEnd"/>
      <w:r w:rsidRPr="009E16F8">
        <w:rPr>
          <w:rFonts w:ascii="Arial" w:hAnsi="Arial"/>
          <w:sz w:val="22"/>
          <w:szCs w:val="22"/>
          <w:lang w:val="fr-FR"/>
        </w:rPr>
        <w:t xml:space="preserve"> requins comprend des mandats forts, appelant à l’amélioration de la recherche et de la collecte de données liées à la pêche pour s’assurer que la prise de requins et de raies dans les pêcheries est gérée de manière appropriée pour garantir des niveaux durables d’exploitation pour toutes les espèces inscrites à l’Annexe 1 du </w:t>
      </w:r>
      <w:proofErr w:type="spellStart"/>
      <w:r w:rsidRPr="009E16F8">
        <w:rPr>
          <w:rFonts w:ascii="Arial" w:hAnsi="Arial"/>
          <w:sz w:val="22"/>
          <w:szCs w:val="22"/>
          <w:lang w:val="fr-FR"/>
        </w:rPr>
        <w:t>MdE</w:t>
      </w:r>
      <w:proofErr w:type="spellEnd"/>
      <w:r w:rsidRPr="009E16F8">
        <w:rPr>
          <w:rFonts w:ascii="Arial" w:hAnsi="Arial"/>
          <w:sz w:val="22"/>
          <w:szCs w:val="22"/>
          <w:lang w:val="fr-FR"/>
        </w:rPr>
        <w:t xml:space="preserve"> requins, et pour inclure l’interdiction de prendre les espèces de requins et de raies inscrites à l’Annexe I de la CMS.</w:t>
      </w:r>
    </w:p>
    <w:p w14:paraId="3D5DAD41" w14:textId="77777777" w:rsidR="009E16F8" w:rsidRPr="009E16F8" w:rsidRDefault="009E16F8" w:rsidP="009E16F8">
      <w:pPr>
        <w:ind w:left="720" w:right="51"/>
        <w:contextualSpacing/>
        <w:rPr>
          <w:rFonts w:ascii="Arial" w:hAnsi="Arial"/>
          <w:sz w:val="22"/>
          <w:szCs w:val="22"/>
          <w:lang w:val="fr-FR"/>
        </w:rPr>
      </w:pPr>
    </w:p>
    <w:p w14:paraId="33820C2A" w14:textId="0BBF88FE" w:rsidR="009E16F8" w:rsidRDefault="009E16F8" w:rsidP="0073602E">
      <w:pPr>
        <w:numPr>
          <w:ilvl w:val="0"/>
          <w:numId w:val="5"/>
        </w:numPr>
        <w:ind w:left="540" w:right="51" w:hanging="540"/>
        <w:contextualSpacing/>
        <w:jc w:val="both"/>
        <w:rPr>
          <w:rFonts w:ascii="Arial" w:hAnsi="Arial"/>
          <w:sz w:val="22"/>
          <w:szCs w:val="22"/>
          <w:lang w:val="fr-FR"/>
        </w:rPr>
      </w:pPr>
      <w:r w:rsidRPr="0073602E">
        <w:rPr>
          <w:rFonts w:ascii="Arial" w:hAnsi="Arial"/>
          <w:sz w:val="22"/>
          <w:szCs w:val="22"/>
          <w:lang w:val="fr-FR"/>
        </w:rPr>
        <w:t xml:space="preserve">L’activité 4.2 du </w:t>
      </w:r>
      <w:r w:rsidR="00C63085">
        <w:fldChar w:fldCharType="begin"/>
      </w:r>
      <w:r w:rsidR="00C63085" w:rsidRPr="00C63085">
        <w:rPr>
          <w:lang w:val="fr-FR"/>
        </w:rPr>
        <w:instrText xml:space="preserve"> HYPERLINK "https://www.cms.int/sharks/fr/node/23628" </w:instrText>
      </w:r>
      <w:r w:rsidR="00C63085">
        <w:fldChar w:fldCharType="separate"/>
      </w:r>
      <w:r w:rsidRPr="0073602E">
        <w:rPr>
          <w:rFonts w:ascii="Arial" w:hAnsi="Arial"/>
          <w:color w:val="0000FF"/>
          <w:sz w:val="22"/>
          <w:szCs w:val="22"/>
          <w:u w:val="single"/>
          <w:lang w:val="fr-FR"/>
        </w:rPr>
        <w:t>Plan de conservation</w:t>
      </w:r>
      <w:r w:rsidR="00C63085">
        <w:rPr>
          <w:rFonts w:ascii="Arial" w:hAnsi="Arial"/>
          <w:color w:val="0000FF"/>
          <w:sz w:val="22"/>
          <w:szCs w:val="22"/>
          <w:u w:val="single"/>
          <w:lang w:val="fr-FR"/>
        </w:rPr>
        <w:fldChar w:fldCharType="end"/>
      </w:r>
      <w:r w:rsidRPr="0073602E">
        <w:rPr>
          <w:rFonts w:ascii="Arial" w:hAnsi="Arial"/>
          <w:sz w:val="22"/>
          <w:szCs w:val="22"/>
          <w:lang w:val="fr-FR"/>
        </w:rPr>
        <w:t xml:space="preserve"> (Annexe 3 du </w:t>
      </w:r>
      <w:proofErr w:type="spellStart"/>
      <w:r w:rsidRPr="0073602E">
        <w:rPr>
          <w:rFonts w:ascii="Arial" w:hAnsi="Arial"/>
          <w:sz w:val="22"/>
          <w:szCs w:val="22"/>
          <w:lang w:val="fr-FR"/>
        </w:rPr>
        <w:t>MdE</w:t>
      </w:r>
      <w:proofErr w:type="spellEnd"/>
      <w:r w:rsidRPr="0073602E">
        <w:rPr>
          <w:rFonts w:ascii="Arial" w:hAnsi="Arial"/>
          <w:sz w:val="22"/>
          <w:szCs w:val="22"/>
          <w:lang w:val="fr-FR"/>
        </w:rPr>
        <w:t>) demande aux Signataires</w:t>
      </w:r>
      <w:r w:rsidR="0073602E" w:rsidRPr="0073602E">
        <w:rPr>
          <w:rFonts w:ascii="Arial" w:hAnsi="Arial"/>
          <w:sz w:val="22"/>
          <w:szCs w:val="22"/>
          <w:lang w:val="fr-FR"/>
        </w:rPr>
        <w:t xml:space="preserve"> </w:t>
      </w:r>
      <w:proofErr w:type="gramStart"/>
      <w:r w:rsidR="0073602E" w:rsidRPr="0073602E">
        <w:rPr>
          <w:rFonts w:ascii="Arial" w:hAnsi="Arial"/>
          <w:sz w:val="22"/>
          <w:szCs w:val="22"/>
          <w:lang w:val="fr-FR"/>
        </w:rPr>
        <w:t xml:space="preserve">d’ </w:t>
      </w:r>
      <w:r w:rsidR="0073602E" w:rsidRPr="00FC4B70">
        <w:rPr>
          <w:rFonts w:ascii="Arial" w:hAnsi="Arial"/>
          <w:sz w:val="22"/>
          <w:szCs w:val="22"/>
          <w:lang w:val="fr-FR"/>
        </w:rPr>
        <w:t>«</w:t>
      </w:r>
      <w:proofErr w:type="gramEnd"/>
      <w:r w:rsidR="0073602E" w:rsidRPr="00FC4B70">
        <w:rPr>
          <w:rFonts w:ascii="Arial" w:hAnsi="Arial"/>
          <w:sz w:val="22"/>
          <w:szCs w:val="22"/>
          <w:lang w:val="fr-FR"/>
        </w:rPr>
        <w:t> Élaborer des programmes pour suivre la pêche ciblant spécifiquement les requins</w:t>
      </w:r>
      <w:r w:rsidR="00FC4B70" w:rsidRPr="00FC4B70">
        <w:rPr>
          <w:rFonts w:ascii="Arial" w:hAnsi="Arial"/>
          <w:vanish/>
          <w:sz w:val="22"/>
          <w:szCs w:val="22"/>
          <w:vertAlign w:val="superscript"/>
          <w:lang w:val="fr-FR"/>
        </w:rPr>
        <w:footnoteReference w:id="2"/>
      </w:r>
      <w:r w:rsidR="0073602E" w:rsidRPr="00FC4B70">
        <w:rPr>
          <w:rFonts w:ascii="Arial" w:hAnsi="Arial"/>
          <w:sz w:val="22"/>
          <w:szCs w:val="22"/>
          <w:lang w:val="fr-FR"/>
        </w:rPr>
        <w:t xml:space="preserve"> ainsi que les prises accessoires de requins, incluant des programmes tels que les systèmes de surveillance des navires, des inspections, des observateurs à bord ou des programmes de suivi. »</w:t>
      </w:r>
    </w:p>
    <w:p w14:paraId="434E6076" w14:textId="77777777" w:rsidR="0073602E" w:rsidRDefault="0073602E" w:rsidP="0073602E">
      <w:pPr>
        <w:pStyle w:val="ListParagraph"/>
        <w:rPr>
          <w:rFonts w:ascii="Arial" w:hAnsi="Arial"/>
          <w:sz w:val="22"/>
          <w:szCs w:val="22"/>
          <w:lang w:val="fr-FR"/>
        </w:rPr>
      </w:pPr>
    </w:p>
    <w:p w14:paraId="1F196E11" w14:textId="4C6C1EE0" w:rsidR="009E16F8" w:rsidRDefault="009E16F8" w:rsidP="009E16F8">
      <w:pPr>
        <w:numPr>
          <w:ilvl w:val="0"/>
          <w:numId w:val="5"/>
        </w:numPr>
        <w:ind w:left="540" w:right="51" w:hanging="540"/>
        <w:contextualSpacing/>
        <w:jc w:val="both"/>
        <w:rPr>
          <w:rFonts w:ascii="Arial" w:hAnsi="Arial"/>
          <w:sz w:val="22"/>
          <w:szCs w:val="22"/>
          <w:lang w:val="fr-FR"/>
        </w:rPr>
      </w:pPr>
      <w:r w:rsidRPr="009E16F8">
        <w:rPr>
          <w:rFonts w:ascii="Arial" w:hAnsi="Arial"/>
          <w:sz w:val="22"/>
          <w:szCs w:val="22"/>
          <w:lang w:val="fr-FR"/>
        </w:rPr>
        <w:t>Le plan de conservation comprend également trois activités dans la section relative aux captures accessoires. Les activités 5.1 à 5.3 demandent aux Signataires de :</w:t>
      </w:r>
    </w:p>
    <w:p w14:paraId="6AE963A5" w14:textId="77777777" w:rsidR="0073602E" w:rsidRDefault="0073602E" w:rsidP="0073602E">
      <w:pPr>
        <w:ind w:right="51"/>
        <w:contextualSpacing/>
        <w:jc w:val="both"/>
        <w:rPr>
          <w:rFonts w:ascii="Arial" w:hAnsi="Arial"/>
          <w:sz w:val="22"/>
          <w:szCs w:val="22"/>
          <w:lang w:val="fr-FR"/>
        </w:rPr>
      </w:pPr>
    </w:p>
    <w:p w14:paraId="52878900" w14:textId="3D621122" w:rsidR="0073602E" w:rsidRDefault="0073602E" w:rsidP="0073602E">
      <w:pPr>
        <w:pStyle w:val="ListParagraph"/>
        <w:numPr>
          <w:ilvl w:val="0"/>
          <w:numId w:val="8"/>
        </w:numPr>
        <w:ind w:left="900"/>
        <w:jc w:val="both"/>
        <w:rPr>
          <w:rFonts w:ascii="Arial" w:hAnsi="Arial"/>
          <w:i/>
          <w:iCs/>
          <w:sz w:val="22"/>
          <w:szCs w:val="22"/>
          <w:lang w:val="fr-FR"/>
        </w:rPr>
      </w:pPr>
      <w:r w:rsidRPr="0073602E">
        <w:rPr>
          <w:rFonts w:ascii="Arial" w:hAnsi="Arial"/>
          <w:i/>
          <w:iCs/>
          <w:sz w:val="22"/>
          <w:szCs w:val="22"/>
          <w:lang w:val="fr-FR"/>
        </w:rPr>
        <w:t>« Dans la mesure du possible, développer et/ou utiliser des engins, des dispositifs et des techniques sélectifs pour garantir que les captures de requins au sein des pêcheries sont durables et gérées de manière appropriées et que la mortalité des prises non utilisées est la plus réduite possible </w:t>
      </w:r>
    </w:p>
    <w:p w14:paraId="45E0158E" w14:textId="77777777" w:rsidR="00FC4B70" w:rsidRPr="0073602E" w:rsidRDefault="00FC4B70" w:rsidP="00FC4B70">
      <w:pPr>
        <w:pStyle w:val="ListParagraph"/>
        <w:ind w:left="900"/>
        <w:jc w:val="both"/>
        <w:rPr>
          <w:rFonts w:ascii="Arial" w:hAnsi="Arial"/>
          <w:i/>
          <w:iCs/>
          <w:sz w:val="22"/>
          <w:szCs w:val="22"/>
          <w:lang w:val="fr-FR"/>
        </w:rPr>
      </w:pPr>
    </w:p>
    <w:p w14:paraId="4CC0FFED" w14:textId="40A7C3D9" w:rsidR="0073602E" w:rsidRDefault="0073602E" w:rsidP="0073602E">
      <w:pPr>
        <w:pStyle w:val="ListParagraph"/>
        <w:numPr>
          <w:ilvl w:val="0"/>
          <w:numId w:val="8"/>
        </w:numPr>
        <w:ind w:left="900"/>
        <w:jc w:val="both"/>
        <w:rPr>
          <w:rFonts w:ascii="Arial" w:hAnsi="Arial"/>
          <w:i/>
          <w:iCs/>
          <w:sz w:val="22"/>
          <w:szCs w:val="22"/>
          <w:lang w:val="fr-FR"/>
        </w:rPr>
      </w:pPr>
      <w:r w:rsidRPr="0073602E">
        <w:rPr>
          <w:rFonts w:ascii="Arial" w:hAnsi="Arial"/>
          <w:i/>
          <w:iCs/>
          <w:sz w:val="22"/>
          <w:szCs w:val="22"/>
          <w:lang w:val="fr-FR"/>
        </w:rPr>
        <w:t xml:space="preserve">Assurer la liaison et la coordination avec l’industrie des pêches, les organisations de gestion des pêches, les instituts universitaires et les organisations non gouvernementales dédiées à l’environnement pour développer et mettre en place des mécanismes de réduction des captures accessoires dans les eaux nationales et en haute mer, en accordant la priorité aux travaux permettant d’éviter la capture des requins protégés conformément au paragraphe 13 i du </w:t>
      </w:r>
      <w:proofErr w:type="spellStart"/>
      <w:r w:rsidRPr="0073602E">
        <w:rPr>
          <w:rFonts w:ascii="Arial" w:hAnsi="Arial"/>
          <w:i/>
          <w:iCs/>
          <w:sz w:val="22"/>
          <w:szCs w:val="22"/>
          <w:lang w:val="fr-FR"/>
        </w:rPr>
        <w:t>MdE</w:t>
      </w:r>
      <w:proofErr w:type="spellEnd"/>
      <w:r w:rsidRPr="0073602E">
        <w:rPr>
          <w:rFonts w:ascii="Arial" w:hAnsi="Arial"/>
          <w:i/>
          <w:iCs/>
          <w:sz w:val="22"/>
          <w:szCs w:val="22"/>
          <w:lang w:val="fr-FR"/>
        </w:rPr>
        <w:t>.</w:t>
      </w:r>
    </w:p>
    <w:p w14:paraId="53A38961" w14:textId="77777777" w:rsidR="00FC4B70" w:rsidRPr="00FC4B70" w:rsidRDefault="00FC4B70" w:rsidP="00FC4B70">
      <w:pPr>
        <w:pStyle w:val="ListParagraph"/>
        <w:rPr>
          <w:rFonts w:ascii="Arial" w:hAnsi="Arial"/>
          <w:i/>
          <w:iCs/>
          <w:sz w:val="22"/>
          <w:szCs w:val="22"/>
          <w:lang w:val="fr-FR"/>
        </w:rPr>
      </w:pPr>
    </w:p>
    <w:p w14:paraId="6F32AE6F" w14:textId="513CFD22" w:rsidR="0073602E" w:rsidRPr="0073602E" w:rsidRDefault="0073602E" w:rsidP="0073602E">
      <w:pPr>
        <w:pStyle w:val="ListParagraph"/>
        <w:numPr>
          <w:ilvl w:val="0"/>
          <w:numId w:val="8"/>
        </w:numPr>
        <w:ind w:left="900"/>
        <w:jc w:val="both"/>
        <w:rPr>
          <w:rFonts w:ascii="Arial" w:hAnsi="Arial"/>
          <w:i/>
          <w:iCs/>
          <w:sz w:val="22"/>
          <w:szCs w:val="22"/>
          <w:lang w:val="fr-FR"/>
        </w:rPr>
      </w:pPr>
      <w:r w:rsidRPr="0073602E">
        <w:rPr>
          <w:rFonts w:ascii="Arial" w:hAnsi="Arial"/>
          <w:i/>
          <w:iCs/>
          <w:sz w:val="22"/>
          <w:szCs w:val="22"/>
          <w:lang w:val="fr-FR"/>
        </w:rPr>
        <w:t>Promouvoir le renforcement des capacités concernant la manipulation et la remise à l’eau sécurisée des requins</w:t>
      </w:r>
      <w:r w:rsidR="00FC4B70">
        <w:rPr>
          <w:rFonts w:ascii="Arial" w:hAnsi="Arial"/>
          <w:i/>
          <w:iCs/>
          <w:sz w:val="22"/>
          <w:szCs w:val="22"/>
          <w:lang w:val="fr-FR"/>
        </w:rPr>
        <w:t> »</w:t>
      </w:r>
    </w:p>
    <w:p w14:paraId="089B8D47" w14:textId="77777777" w:rsidR="0073602E" w:rsidRPr="009E16F8" w:rsidRDefault="0073602E" w:rsidP="0073602E">
      <w:pPr>
        <w:ind w:right="51"/>
        <w:contextualSpacing/>
        <w:jc w:val="both"/>
        <w:rPr>
          <w:rFonts w:ascii="Arial" w:hAnsi="Arial"/>
          <w:sz w:val="22"/>
          <w:szCs w:val="22"/>
          <w:lang w:val="fr-FR"/>
        </w:rPr>
      </w:pPr>
    </w:p>
    <w:p w14:paraId="4BC8BB3C" w14:textId="77777777" w:rsidR="009E16F8" w:rsidRPr="009E16F8" w:rsidRDefault="009E16F8" w:rsidP="009E16F8">
      <w:pPr>
        <w:ind w:right="51"/>
        <w:rPr>
          <w:rFonts w:ascii="Arial" w:hAnsi="Arial"/>
          <w:b/>
          <w:bCs/>
          <w:sz w:val="22"/>
          <w:szCs w:val="22"/>
          <w:lang w:val="fr-FR"/>
        </w:rPr>
      </w:pPr>
      <w:r w:rsidRPr="009E16F8">
        <w:rPr>
          <w:rFonts w:ascii="Arial" w:hAnsi="Arial"/>
          <w:b/>
          <w:bCs/>
          <w:sz w:val="22"/>
          <w:szCs w:val="22"/>
          <w:lang w:val="fr-FR"/>
        </w:rPr>
        <w:t>Décisions de la COP13 de la CMS sur les prises accessoires</w:t>
      </w:r>
    </w:p>
    <w:p w14:paraId="6EC3DAF0" w14:textId="77777777" w:rsidR="009E16F8" w:rsidRPr="009E16F8" w:rsidRDefault="009E16F8" w:rsidP="009E16F8">
      <w:pPr>
        <w:ind w:right="51"/>
        <w:rPr>
          <w:rFonts w:ascii="Arial" w:hAnsi="Arial"/>
          <w:sz w:val="22"/>
          <w:szCs w:val="22"/>
          <w:lang w:val="fr-FR"/>
        </w:rPr>
      </w:pPr>
    </w:p>
    <w:p w14:paraId="6AB329D6" w14:textId="5BAB374C" w:rsidR="009E16F8" w:rsidRDefault="009E16F8" w:rsidP="009E16F8">
      <w:pPr>
        <w:numPr>
          <w:ilvl w:val="0"/>
          <w:numId w:val="5"/>
        </w:numPr>
        <w:ind w:left="540" w:right="51" w:hanging="540"/>
        <w:contextualSpacing/>
        <w:jc w:val="both"/>
        <w:rPr>
          <w:rFonts w:ascii="Arial" w:hAnsi="Arial"/>
          <w:sz w:val="22"/>
          <w:szCs w:val="22"/>
          <w:lang w:val="fr-FR"/>
        </w:rPr>
      </w:pPr>
      <w:r w:rsidRPr="009E16F8">
        <w:rPr>
          <w:rFonts w:ascii="Arial" w:hAnsi="Arial"/>
          <w:sz w:val="22"/>
          <w:szCs w:val="22"/>
          <w:lang w:val="fr-FR"/>
        </w:rPr>
        <w:t>Lors de la 13</w:t>
      </w:r>
      <w:r w:rsidRPr="009E16F8">
        <w:rPr>
          <w:rFonts w:ascii="Arial" w:hAnsi="Arial"/>
          <w:sz w:val="22"/>
          <w:szCs w:val="22"/>
          <w:vertAlign w:val="superscript"/>
          <w:lang w:val="fr-FR"/>
        </w:rPr>
        <w:t>e</w:t>
      </w:r>
      <w:r w:rsidRPr="009E16F8">
        <w:rPr>
          <w:rFonts w:ascii="Arial" w:hAnsi="Arial"/>
          <w:sz w:val="22"/>
          <w:szCs w:val="22"/>
          <w:lang w:val="fr-FR"/>
        </w:rPr>
        <w:t xml:space="preserve"> Réunion des Parties à la Convention sur les espèces migratrices appartenant à la faune sauvage (COP13), les Décisions </w:t>
      </w:r>
      <w:r w:rsidR="00C63085">
        <w:fldChar w:fldCharType="begin"/>
      </w:r>
      <w:r w:rsidR="00C63085" w:rsidRPr="00C63085">
        <w:rPr>
          <w:lang w:val="fr-FR"/>
        </w:rPr>
        <w:instrText xml:space="preserve"> HYPERLINK "https://www.cms.int/fr/page/decisions-1361-%C3%A0-1363-prises-accessoires" </w:instrText>
      </w:r>
      <w:r w:rsidR="00C63085">
        <w:fldChar w:fldCharType="separate"/>
      </w:r>
      <w:r w:rsidRPr="009E16F8">
        <w:rPr>
          <w:rFonts w:ascii="Arial" w:hAnsi="Arial"/>
          <w:color w:val="0000FF"/>
          <w:sz w:val="22"/>
          <w:szCs w:val="22"/>
          <w:u w:val="single"/>
          <w:lang w:val="fr-FR"/>
        </w:rPr>
        <w:t>13.62 et 13.63 sur les prises accessoires</w:t>
      </w:r>
      <w:r w:rsidR="00C63085">
        <w:rPr>
          <w:rFonts w:ascii="Arial" w:hAnsi="Arial"/>
          <w:color w:val="0000FF"/>
          <w:sz w:val="22"/>
          <w:szCs w:val="22"/>
          <w:u w:val="single"/>
          <w:lang w:val="fr-FR"/>
        </w:rPr>
        <w:fldChar w:fldCharType="end"/>
      </w:r>
      <w:r w:rsidRPr="009E16F8">
        <w:rPr>
          <w:rFonts w:ascii="Arial" w:hAnsi="Arial"/>
          <w:sz w:val="22"/>
          <w:szCs w:val="22"/>
          <w:lang w:val="fr-FR"/>
        </w:rPr>
        <w:t xml:space="preserve"> ont été adoptées, invitant également le Comité consultatif (CC) du </w:t>
      </w:r>
      <w:proofErr w:type="spellStart"/>
      <w:r w:rsidRPr="009E16F8">
        <w:rPr>
          <w:rFonts w:ascii="Arial" w:hAnsi="Arial"/>
          <w:sz w:val="22"/>
          <w:szCs w:val="22"/>
          <w:lang w:val="fr-FR"/>
        </w:rPr>
        <w:t>MdE</w:t>
      </w:r>
      <w:proofErr w:type="spellEnd"/>
      <w:r w:rsidRPr="009E16F8">
        <w:rPr>
          <w:rFonts w:ascii="Arial" w:hAnsi="Arial"/>
          <w:sz w:val="22"/>
          <w:szCs w:val="22"/>
          <w:lang w:val="fr-FR"/>
        </w:rPr>
        <w:t xml:space="preserve"> requins à soutenir la mise en œuvre.  </w:t>
      </w:r>
    </w:p>
    <w:p w14:paraId="5275494F" w14:textId="77777777" w:rsidR="0024795D" w:rsidRPr="009E16F8" w:rsidRDefault="0024795D" w:rsidP="0024795D">
      <w:pPr>
        <w:ind w:left="540" w:right="51"/>
        <w:contextualSpacing/>
        <w:jc w:val="both"/>
        <w:rPr>
          <w:rFonts w:ascii="Arial" w:hAnsi="Arial"/>
          <w:sz w:val="22"/>
          <w:szCs w:val="22"/>
          <w:lang w:val="fr-FR"/>
        </w:rPr>
      </w:pPr>
    </w:p>
    <w:p w14:paraId="6AC9D691" w14:textId="77777777" w:rsidR="00426B0A" w:rsidRDefault="0024795D" w:rsidP="009E16F8">
      <w:pPr>
        <w:ind w:left="720" w:right="51"/>
        <w:contextualSpacing/>
        <w:rPr>
          <w:rFonts w:ascii="Arial" w:hAnsi="Arial"/>
          <w:b/>
          <w:bCs/>
          <w:sz w:val="22"/>
          <w:szCs w:val="22"/>
          <w:lang w:val="fr-FR"/>
        </w:rPr>
      </w:pPr>
      <w:r w:rsidRPr="0024795D">
        <w:rPr>
          <w:rFonts w:ascii="Arial" w:hAnsi="Arial"/>
          <w:b/>
          <w:bCs/>
          <w:sz w:val="22"/>
          <w:szCs w:val="22"/>
          <w:lang w:val="fr-FR"/>
        </w:rPr>
        <w:t xml:space="preserve">Décision </w:t>
      </w:r>
      <w:r>
        <w:rPr>
          <w:rFonts w:ascii="Arial" w:hAnsi="Arial"/>
          <w:b/>
          <w:bCs/>
          <w:sz w:val="22"/>
          <w:szCs w:val="22"/>
          <w:lang w:val="fr-FR"/>
        </w:rPr>
        <w:t xml:space="preserve">13.62 </w:t>
      </w:r>
      <w:r w:rsidRPr="0024795D">
        <w:rPr>
          <w:rFonts w:ascii="Arial" w:hAnsi="Arial"/>
          <w:b/>
          <w:bCs/>
          <w:sz w:val="22"/>
          <w:szCs w:val="22"/>
          <w:lang w:val="fr-FR"/>
        </w:rPr>
        <w:t xml:space="preserve">adressée </w:t>
      </w:r>
      <w:proofErr w:type="gramStart"/>
      <w:r w:rsidRPr="0024795D">
        <w:rPr>
          <w:rFonts w:ascii="Arial" w:hAnsi="Arial"/>
          <w:b/>
          <w:bCs/>
          <w:sz w:val="22"/>
          <w:szCs w:val="22"/>
          <w:lang w:val="fr-FR"/>
        </w:rPr>
        <w:t>à</w:t>
      </w:r>
      <w:r>
        <w:rPr>
          <w:rFonts w:ascii="Arial" w:hAnsi="Arial"/>
          <w:b/>
          <w:bCs/>
          <w:sz w:val="22"/>
          <w:szCs w:val="22"/>
          <w:lang w:val="fr-FR"/>
        </w:rPr>
        <w:t xml:space="preserve"> </w:t>
      </w:r>
      <w:r w:rsidRPr="0024795D">
        <w:rPr>
          <w:rFonts w:ascii="Arial" w:hAnsi="Arial"/>
          <w:b/>
          <w:bCs/>
          <w:sz w:val="22"/>
          <w:szCs w:val="22"/>
          <w:lang w:val="fr-FR"/>
        </w:rPr>
        <w:t>le</w:t>
      </w:r>
      <w:proofErr w:type="gramEnd"/>
      <w:r w:rsidRPr="0024795D">
        <w:rPr>
          <w:rFonts w:ascii="Arial" w:hAnsi="Arial"/>
          <w:b/>
          <w:bCs/>
          <w:sz w:val="22"/>
          <w:szCs w:val="22"/>
          <w:lang w:val="fr-FR"/>
        </w:rPr>
        <w:t xml:space="preserve"> Conseil scientifique</w:t>
      </w:r>
    </w:p>
    <w:p w14:paraId="7658F24C" w14:textId="1DFF6B73" w:rsidR="009E16F8" w:rsidRPr="0024795D" w:rsidRDefault="0024795D" w:rsidP="009E16F8">
      <w:pPr>
        <w:ind w:left="720" w:right="51"/>
        <w:contextualSpacing/>
        <w:rPr>
          <w:rFonts w:ascii="Arial" w:hAnsi="Arial"/>
          <w:b/>
          <w:bCs/>
          <w:sz w:val="22"/>
          <w:szCs w:val="22"/>
          <w:lang w:val="fr-FR"/>
        </w:rPr>
      </w:pPr>
      <w:r w:rsidRPr="0024795D">
        <w:rPr>
          <w:rFonts w:ascii="Arial" w:hAnsi="Arial"/>
          <w:b/>
          <w:bCs/>
          <w:sz w:val="22"/>
          <w:szCs w:val="22"/>
          <w:lang w:val="fr-FR"/>
        </w:rPr>
        <w:t xml:space="preserve"> </w:t>
      </w:r>
    </w:p>
    <w:p w14:paraId="27AEA68A" w14:textId="7155045E" w:rsidR="0073602E" w:rsidRPr="0024795D" w:rsidRDefault="0073602E" w:rsidP="00FC4B70">
      <w:pPr>
        <w:pStyle w:val="NormalWeb"/>
        <w:shd w:val="clear" w:color="auto" w:fill="FFFFFF"/>
        <w:spacing w:before="0" w:beforeAutospacing="0" w:after="0" w:afterAutospacing="0"/>
        <w:ind w:left="720"/>
        <w:jc w:val="both"/>
        <w:rPr>
          <w:rFonts w:ascii="Arial" w:hAnsi="Arial" w:cs="Arial"/>
          <w:i/>
          <w:iCs/>
          <w:color w:val="333333"/>
          <w:sz w:val="22"/>
          <w:szCs w:val="22"/>
          <w:lang w:val="fr-FR"/>
        </w:rPr>
      </w:pPr>
      <w:r w:rsidRPr="0024795D">
        <w:rPr>
          <w:rFonts w:ascii="Arial" w:hAnsi="Arial" w:cs="Arial"/>
          <w:i/>
          <w:iCs/>
          <w:color w:val="333333"/>
          <w:sz w:val="22"/>
          <w:szCs w:val="22"/>
          <w:lang w:val="fr-FR"/>
        </w:rPr>
        <w:t xml:space="preserve">Le Conseil scientifique et le Groupe de travail sur les prises accessoires sont invités, sous </w:t>
      </w:r>
      <w:proofErr w:type="gramStart"/>
      <w:r w:rsidRPr="0024795D">
        <w:rPr>
          <w:rFonts w:ascii="Arial" w:hAnsi="Arial" w:cs="Arial"/>
          <w:i/>
          <w:iCs/>
          <w:color w:val="333333"/>
          <w:sz w:val="22"/>
          <w:szCs w:val="22"/>
          <w:lang w:val="fr-FR"/>
        </w:rPr>
        <w:t>réserve</w:t>
      </w:r>
      <w:proofErr w:type="gramEnd"/>
      <w:r w:rsidRPr="0024795D">
        <w:rPr>
          <w:rFonts w:ascii="Arial" w:hAnsi="Arial" w:cs="Arial"/>
          <w:i/>
          <w:iCs/>
          <w:color w:val="333333"/>
          <w:sz w:val="22"/>
          <w:szCs w:val="22"/>
          <w:lang w:val="fr-FR"/>
        </w:rPr>
        <w:t xml:space="preserve"> de fonds disponibles et en coopération avec d’autres organisations compétentes, comme le Comité consultatif du Mémorandum d'entente (</w:t>
      </w:r>
      <w:proofErr w:type="spellStart"/>
      <w:r w:rsidRPr="0024795D">
        <w:rPr>
          <w:rFonts w:ascii="Arial" w:hAnsi="Arial" w:cs="Arial"/>
          <w:i/>
          <w:iCs/>
          <w:color w:val="333333"/>
          <w:sz w:val="22"/>
          <w:szCs w:val="22"/>
          <w:lang w:val="fr-FR"/>
        </w:rPr>
        <w:t>MdE</w:t>
      </w:r>
      <w:proofErr w:type="spellEnd"/>
      <w:r w:rsidRPr="0024795D">
        <w:rPr>
          <w:rFonts w:ascii="Arial" w:hAnsi="Arial" w:cs="Arial"/>
          <w:i/>
          <w:iCs/>
          <w:color w:val="333333"/>
          <w:sz w:val="22"/>
          <w:szCs w:val="22"/>
          <w:lang w:val="fr-FR"/>
        </w:rPr>
        <w:t>) sur la conservation des requins migrateurs et d’autres organisations régionales de gestion des pêches, à :</w:t>
      </w:r>
    </w:p>
    <w:p w14:paraId="65958926" w14:textId="34BB7283" w:rsidR="00FC4B70" w:rsidRPr="0024795D" w:rsidRDefault="00FC4B70">
      <w:pPr>
        <w:widowControl/>
        <w:autoSpaceDE/>
        <w:autoSpaceDN/>
        <w:adjustRightInd/>
        <w:spacing w:after="160" w:line="259" w:lineRule="auto"/>
        <w:rPr>
          <w:rFonts w:ascii="Arial" w:hAnsi="Arial" w:cs="Arial"/>
          <w:i/>
          <w:iCs/>
          <w:color w:val="333333"/>
          <w:sz w:val="22"/>
          <w:szCs w:val="22"/>
          <w:lang w:val="fr-FR"/>
        </w:rPr>
      </w:pPr>
      <w:r w:rsidRPr="0024795D">
        <w:rPr>
          <w:rFonts w:ascii="Arial" w:hAnsi="Arial" w:cs="Arial"/>
          <w:i/>
          <w:iCs/>
          <w:color w:val="333333"/>
          <w:sz w:val="22"/>
          <w:szCs w:val="22"/>
          <w:lang w:val="fr-FR"/>
        </w:rPr>
        <w:br w:type="page"/>
      </w:r>
    </w:p>
    <w:p w14:paraId="1624E129" w14:textId="77777777" w:rsidR="00FC4B70" w:rsidRPr="0024795D" w:rsidRDefault="00FC4B70" w:rsidP="00FC4B70">
      <w:pPr>
        <w:pStyle w:val="NormalWeb"/>
        <w:shd w:val="clear" w:color="auto" w:fill="FFFFFF"/>
        <w:spacing w:before="0" w:beforeAutospacing="0" w:after="0" w:afterAutospacing="0"/>
        <w:ind w:left="720"/>
        <w:jc w:val="both"/>
        <w:rPr>
          <w:rFonts w:ascii="Arial" w:hAnsi="Arial" w:cs="Arial"/>
          <w:i/>
          <w:iCs/>
          <w:color w:val="333333"/>
          <w:sz w:val="22"/>
          <w:szCs w:val="22"/>
          <w:lang w:val="fr-FR"/>
        </w:rPr>
      </w:pPr>
    </w:p>
    <w:p w14:paraId="7237B72C" w14:textId="1B2D17F4" w:rsidR="0073602E" w:rsidRPr="0024795D" w:rsidRDefault="0073602E" w:rsidP="00FC4B70">
      <w:pPr>
        <w:pStyle w:val="NormalWeb"/>
        <w:numPr>
          <w:ilvl w:val="0"/>
          <w:numId w:val="9"/>
        </w:numPr>
        <w:shd w:val="clear" w:color="auto" w:fill="FFFFFF"/>
        <w:spacing w:before="0" w:beforeAutospacing="0" w:after="0" w:afterAutospacing="0"/>
        <w:jc w:val="both"/>
        <w:rPr>
          <w:rFonts w:ascii="Arial" w:hAnsi="Arial" w:cs="Arial"/>
          <w:i/>
          <w:iCs/>
          <w:color w:val="333333"/>
          <w:sz w:val="22"/>
          <w:szCs w:val="22"/>
          <w:lang w:val="fr-FR"/>
        </w:rPr>
      </w:pPr>
      <w:proofErr w:type="gramStart"/>
      <w:r w:rsidRPr="0024795D">
        <w:rPr>
          <w:rFonts w:ascii="Arial" w:hAnsi="Arial" w:cs="Arial"/>
          <w:i/>
          <w:iCs/>
          <w:color w:val="333333"/>
          <w:sz w:val="22"/>
          <w:szCs w:val="22"/>
          <w:lang w:val="fr-FR"/>
        </w:rPr>
        <w:t>examiner</w:t>
      </w:r>
      <w:proofErr w:type="gramEnd"/>
      <w:r w:rsidRPr="0024795D">
        <w:rPr>
          <w:rFonts w:ascii="Arial" w:hAnsi="Arial" w:cs="Arial"/>
          <w:i/>
          <w:iCs/>
          <w:color w:val="333333"/>
          <w:sz w:val="22"/>
          <w:szCs w:val="22"/>
          <w:lang w:val="fr-FR"/>
        </w:rPr>
        <w:t xml:space="preserve"> les données et connaissances actuelles sur les niveaux de prises accessoires d'espèces de chondrichtyens inscrites aux annexes de la CMS et les mesures en vigueur pour réduire les prises accessoires en fonction des espèces, des zones de pêche, des pêcheries, de la saison de pêche et des types d'engin;</w:t>
      </w:r>
    </w:p>
    <w:p w14:paraId="2562B421" w14:textId="77777777" w:rsidR="00FC4B70" w:rsidRPr="0024795D" w:rsidRDefault="00FC4B70" w:rsidP="0073602E">
      <w:pPr>
        <w:pStyle w:val="NormalWeb"/>
        <w:shd w:val="clear" w:color="auto" w:fill="FFFFFF"/>
        <w:spacing w:before="0" w:beforeAutospacing="0" w:after="0" w:afterAutospacing="0"/>
        <w:jc w:val="both"/>
        <w:rPr>
          <w:rFonts w:ascii="Arial" w:hAnsi="Arial" w:cs="Arial"/>
          <w:i/>
          <w:iCs/>
          <w:color w:val="333333"/>
          <w:sz w:val="22"/>
          <w:szCs w:val="22"/>
          <w:lang w:val="fr-FR"/>
        </w:rPr>
      </w:pPr>
    </w:p>
    <w:p w14:paraId="5E7B1848" w14:textId="5C3976EE" w:rsidR="0073602E" w:rsidRDefault="0073602E" w:rsidP="00FC4B70">
      <w:pPr>
        <w:pStyle w:val="NormalWeb"/>
        <w:numPr>
          <w:ilvl w:val="0"/>
          <w:numId w:val="9"/>
        </w:numPr>
        <w:shd w:val="clear" w:color="auto" w:fill="FFFFFF"/>
        <w:spacing w:before="0" w:beforeAutospacing="0" w:after="0" w:afterAutospacing="0"/>
        <w:jc w:val="both"/>
        <w:rPr>
          <w:rFonts w:ascii="Arial" w:hAnsi="Arial" w:cs="Arial"/>
          <w:i/>
          <w:iCs/>
          <w:color w:val="333333"/>
          <w:sz w:val="22"/>
          <w:szCs w:val="22"/>
          <w:lang w:val="fr-FR"/>
        </w:rPr>
      </w:pPr>
      <w:r w:rsidRPr="0024795D">
        <w:rPr>
          <w:rFonts w:ascii="Arial" w:hAnsi="Arial" w:cs="Arial"/>
          <w:i/>
          <w:iCs/>
          <w:color w:val="333333"/>
          <w:sz w:val="22"/>
          <w:szCs w:val="22"/>
          <w:lang w:val="fr-FR"/>
        </w:rPr>
        <w:t xml:space="preserve">sur la base de ce qui précède, définir les priorités en matière de réduction des prises accessoires et faire des recommandations aux Parties et au </w:t>
      </w:r>
      <w:proofErr w:type="spellStart"/>
      <w:r w:rsidRPr="0024795D">
        <w:rPr>
          <w:rFonts w:ascii="Arial" w:hAnsi="Arial" w:cs="Arial"/>
          <w:i/>
          <w:iCs/>
          <w:color w:val="333333"/>
          <w:sz w:val="22"/>
          <w:szCs w:val="22"/>
          <w:lang w:val="fr-FR"/>
        </w:rPr>
        <w:t>MdE</w:t>
      </w:r>
      <w:proofErr w:type="spellEnd"/>
      <w:r w:rsidRPr="0024795D">
        <w:rPr>
          <w:rFonts w:ascii="Arial" w:hAnsi="Arial" w:cs="Arial"/>
          <w:i/>
          <w:iCs/>
          <w:color w:val="333333"/>
          <w:sz w:val="22"/>
          <w:szCs w:val="22"/>
          <w:lang w:val="fr-FR"/>
        </w:rPr>
        <w:t xml:space="preserve"> de la CMS sur la conservation des requins migrateurs concernant les mesures les plus efficaces et les plus appropriées pour atténuer et réduire les prises accessoires, sur la base des catégories susmentionnées, tout en veillant à ce que les mesures recommandées ne soient pas appliquées au détriment d’autres espèces marines inscrites aux Annexes de la CMS.</w:t>
      </w:r>
    </w:p>
    <w:p w14:paraId="0EEDB140" w14:textId="77777777" w:rsidR="00426B0A" w:rsidRDefault="00426B0A" w:rsidP="00426B0A">
      <w:pPr>
        <w:pStyle w:val="ListParagraph"/>
        <w:rPr>
          <w:rFonts w:ascii="Arial" w:hAnsi="Arial" w:cs="Arial"/>
          <w:i/>
          <w:iCs/>
          <w:color w:val="333333"/>
          <w:sz w:val="22"/>
          <w:szCs w:val="22"/>
          <w:lang w:val="fr-FR"/>
        </w:rPr>
      </w:pPr>
    </w:p>
    <w:p w14:paraId="760D1E82" w14:textId="71314410" w:rsidR="003547E4" w:rsidRDefault="0024795D" w:rsidP="001F5D5D">
      <w:pPr>
        <w:ind w:left="720"/>
        <w:jc w:val="both"/>
        <w:rPr>
          <w:rStyle w:val="field-content"/>
          <w:rFonts w:ascii="Arial" w:hAnsi="Arial" w:cs="Arial"/>
          <w:b/>
          <w:bCs/>
          <w:color w:val="333333"/>
          <w:sz w:val="22"/>
          <w:szCs w:val="22"/>
          <w:shd w:val="clear" w:color="auto" w:fill="FFFFFF"/>
          <w:lang w:val="fr-FR"/>
        </w:rPr>
      </w:pPr>
      <w:r w:rsidRPr="0024795D">
        <w:rPr>
          <w:rStyle w:val="Strong"/>
          <w:rFonts w:ascii="Arial" w:hAnsi="Arial" w:cs="Arial"/>
          <w:color w:val="333333"/>
          <w:sz w:val="22"/>
          <w:szCs w:val="22"/>
          <w:shd w:val="clear" w:color="auto" w:fill="FFFFFF"/>
          <w:lang w:val="fr-FR"/>
        </w:rPr>
        <w:t>Décision 13.63 adressée à</w:t>
      </w:r>
      <w:r w:rsidR="00F30113">
        <w:rPr>
          <w:rStyle w:val="Strong"/>
          <w:rFonts w:ascii="Arial" w:hAnsi="Arial" w:cs="Arial"/>
          <w:color w:val="333333"/>
          <w:sz w:val="22"/>
          <w:szCs w:val="22"/>
          <w:shd w:val="clear" w:color="auto" w:fill="FFFFFF"/>
          <w:lang w:val="fr-FR"/>
        </w:rPr>
        <w:t> :</w:t>
      </w:r>
      <w:r w:rsidRPr="0024795D">
        <w:rPr>
          <w:rStyle w:val="Strong"/>
          <w:rFonts w:ascii="Arial" w:hAnsi="Arial" w:cs="Arial"/>
          <w:b w:val="0"/>
          <w:bCs w:val="0"/>
          <w:color w:val="333333"/>
          <w:sz w:val="22"/>
          <w:szCs w:val="22"/>
          <w:shd w:val="clear" w:color="auto" w:fill="FFFFFF"/>
          <w:lang w:val="fr-FR"/>
        </w:rPr>
        <w:t> </w:t>
      </w:r>
      <w:r w:rsidRPr="0024795D">
        <w:rPr>
          <w:rStyle w:val="field-content"/>
          <w:rFonts w:ascii="Arial" w:hAnsi="Arial" w:cs="Arial"/>
          <w:b/>
          <w:bCs/>
          <w:color w:val="333333"/>
          <w:sz w:val="22"/>
          <w:szCs w:val="22"/>
          <w:shd w:val="clear" w:color="auto" w:fill="FFFFFF"/>
          <w:lang w:val="fr-FR"/>
        </w:rPr>
        <w:t>Secrétariat</w:t>
      </w:r>
    </w:p>
    <w:p w14:paraId="056E5B06" w14:textId="77777777" w:rsidR="003547E4" w:rsidRDefault="003547E4" w:rsidP="001F5D5D">
      <w:pPr>
        <w:ind w:left="720"/>
        <w:jc w:val="both"/>
        <w:rPr>
          <w:rStyle w:val="field-content"/>
          <w:rFonts w:ascii="Arial" w:hAnsi="Arial" w:cs="Arial"/>
          <w:b/>
          <w:bCs/>
          <w:color w:val="333333"/>
          <w:sz w:val="22"/>
          <w:szCs w:val="22"/>
          <w:shd w:val="clear" w:color="auto" w:fill="FFFFFF"/>
          <w:lang w:val="fr-FR"/>
        </w:rPr>
      </w:pPr>
    </w:p>
    <w:p w14:paraId="76E20A76" w14:textId="7058457A" w:rsidR="001F5D5D" w:rsidRDefault="001F5D5D" w:rsidP="001F5D5D">
      <w:pPr>
        <w:ind w:left="720"/>
        <w:jc w:val="both"/>
        <w:rPr>
          <w:rFonts w:ascii="Arial" w:hAnsi="Arial" w:cs="Arial"/>
          <w:i/>
          <w:iCs/>
          <w:color w:val="333333"/>
          <w:sz w:val="22"/>
          <w:szCs w:val="22"/>
          <w:shd w:val="clear" w:color="auto" w:fill="FFFFFF"/>
          <w:lang w:val="fr-FR"/>
        </w:rPr>
      </w:pPr>
      <w:r w:rsidRPr="001F5D5D">
        <w:rPr>
          <w:rFonts w:ascii="Arial" w:hAnsi="Arial" w:cs="Arial"/>
          <w:i/>
          <w:iCs/>
          <w:color w:val="333333"/>
          <w:sz w:val="22"/>
          <w:szCs w:val="22"/>
          <w:shd w:val="clear" w:color="auto" w:fill="FFFFFF"/>
          <w:lang w:val="fr-FR"/>
        </w:rPr>
        <w:t>Le Secrétariat est prié, sous réserve de fonds disponibles :</w:t>
      </w:r>
    </w:p>
    <w:p w14:paraId="5DA1F1C6" w14:textId="55E26081" w:rsidR="0024795D" w:rsidRPr="001F5D5D" w:rsidRDefault="0024795D" w:rsidP="001F5D5D">
      <w:pPr>
        <w:ind w:left="720"/>
        <w:jc w:val="both"/>
        <w:rPr>
          <w:rFonts w:ascii="Arial" w:hAnsi="Arial" w:cs="Arial"/>
          <w:i/>
          <w:iCs/>
          <w:color w:val="333333"/>
          <w:sz w:val="22"/>
          <w:szCs w:val="22"/>
          <w:shd w:val="clear" w:color="auto" w:fill="FFFFFF"/>
          <w:lang w:val="fr-FR"/>
        </w:rPr>
      </w:pPr>
      <w:r w:rsidRPr="0024795D">
        <w:rPr>
          <w:rFonts w:ascii="Arial" w:hAnsi="Arial" w:cs="Arial"/>
          <w:i/>
          <w:iCs/>
          <w:color w:val="333333"/>
          <w:sz w:val="22"/>
          <w:szCs w:val="22"/>
          <w:shd w:val="clear" w:color="auto" w:fill="FFFFFF"/>
          <w:lang w:val="fr-FR"/>
        </w:rPr>
        <w:t>…</w:t>
      </w:r>
    </w:p>
    <w:p w14:paraId="708E1148" w14:textId="40D6651C" w:rsidR="001F5D5D" w:rsidRDefault="001F5D5D" w:rsidP="001F5D5D">
      <w:pPr>
        <w:widowControl/>
        <w:shd w:val="clear" w:color="auto" w:fill="FFFFFF"/>
        <w:autoSpaceDE/>
        <w:autoSpaceDN/>
        <w:adjustRightInd/>
        <w:ind w:left="720"/>
        <w:jc w:val="both"/>
        <w:rPr>
          <w:rFonts w:ascii="Arial" w:hAnsi="Arial" w:cs="Arial"/>
          <w:i/>
          <w:iCs/>
          <w:color w:val="333333"/>
          <w:sz w:val="22"/>
          <w:szCs w:val="22"/>
          <w:lang w:val="fr-FR"/>
        </w:rPr>
      </w:pPr>
      <w:r w:rsidRPr="0024795D">
        <w:rPr>
          <w:rFonts w:ascii="Arial" w:hAnsi="Arial" w:cs="Arial"/>
          <w:i/>
          <w:iCs/>
          <w:color w:val="333333"/>
          <w:sz w:val="22"/>
          <w:szCs w:val="22"/>
          <w:lang w:val="fr-FR"/>
        </w:rPr>
        <w:t xml:space="preserve">b) de soutenir le Conseil scientifique dans la mise en œuvre de sa mission telle qu’énoncée dans la Décision 13.62, notamment en demandant un examen des prises accessoires d'espèces de chondrichtyens et en facilitant la coopération entre le Conseil scientifique et le Comité consultatif du </w:t>
      </w:r>
      <w:proofErr w:type="spellStart"/>
      <w:r w:rsidRPr="0024795D">
        <w:rPr>
          <w:rFonts w:ascii="Arial" w:hAnsi="Arial" w:cs="Arial"/>
          <w:i/>
          <w:iCs/>
          <w:color w:val="333333"/>
          <w:sz w:val="22"/>
          <w:szCs w:val="22"/>
          <w:lang w:val="fr-FR"/>
        </w:rPr>
        <w:t>MdE</w:t>
      </w:r>
      <w:proofErr w:type="spellEnd"/>
      <w:r w:rsidRPr="0024795D">
        <w:rPr>
          <w:rFonts w:ascii="Arial" w:hAnsi="Arial" w:cs="Arial"/>
          <w:i/>
          <w:iCs/>
          <w:color w:val="333333"/>
          <w:sz w:val="22"/>
          <w:szCs w:val="22"/>
          <w:lang w:val="fr-FR"/>
        </w:rPr>
        <w:t xml:space="preserve"> sur la conservation des requins migrateurs.</w:t>
      </w:r>
    </w:p>
    <w:p w14:paraId="7BF1B703" w14:textId="77777777" w:rsidR="00426B0A" w:rsidRPr="0024795D" w:rsidRDefault="00426B0A" w:rsidP="001F5D5D">
      <w:pPr>
        <w:widowControl/>
        <w:shd w:val="clear" w:color="auto" w:fill="FFFFFF"/>
        <w:autoSpaceDE/>
        <w:autoSpaceDN/>
        <w:adjustRightInd/>
        <w:ind w:left="720"/>
        <w:jc w:val="both"/>
        <w:rPr>
          <w:rFonts w:ascii="Arial" w:hAnsi="Arial" w:cs="Arial"/>
          <w:i/>
          <w:iCs/>
          <w:color w:val="333333"/>
          <w:sz w:val="22"/>
          <w:szCs w:val="22"/>
          <w:lang w:val="fr-FR"/>
        </w:rPr>
      </w:pPr>
    </w:p>
    <w:p w14:paraId="1D553261" w14:textId="77777777" w:rsidR="009E16F8" w:rsidRPr="009E16F8" w:rsidRDefault="009E16F8" w:rsidP="009E16F8">
      <w:pPr>
        <w:jc w:val="both"/>
        <w:rPr>
          <w:rFonts w:ascii="Arial" w:hAnsi="Arial"/>
          <w:b/>
          <w:bCs/>
          <w:sz w:val="22"/>
          <w:szCs w:val="32"/>
          <w:lang w:val="fr-FR"/>
        </w:rPr>
      </w:pPr>
      <w:r w:rsidRPr="009E16F8">
        <w:rPr>
          <w:rFonts w:ascii="Arial" w:hAnsi="Arial"/>
          <w:b/>
          <w:bCs/>
          <w:sz w:val="22"/>
          <w:szCs w:val="32"/>
          <w:lang w:val="fr-FR"/>
        </w:rPr>
        <w:t xml:space="preserve">Approche suggérée pour mettre en œuvre la partie a) de la Décision </w:t>
      </w:r>
      <w:r w:rsidRPr="009E16F8">
        <w:rPr>
          <w:rFonts w:ascii="Arial" w:hAnsi="Arial"/>
          <w:b/>
          <w:bCs/>
          <w:sz w:val="22"/>
          <w:szCs w:val="22"/>
          <w:lang w:val="fr-FR"/>
        </w:rPr>
        <w:t>13.62</w:t>
      </w:r>
    </w:p>
    <w:p w14:paraId="687A8030" w14:textId="77777777" w:rsidR="009E16F8" w:rsidRPr="009E16F8" w:rsidRDefault="009E16F8" w:rsidP="009E16F8">
      <w:pPr>
        <w:jc w:val="both"/>
        <w:rPr>
          <w:rFonts w:ascii="Arial" w:hAnsi="Arial"/>
          <w:sz w:val="22"/>
          <w:szCs w:val="32"/>
          <w:lang w:val="fr-FR"/>
        </w:rPr>
      </w:pPr>
    </w:p>
    <w:p w14:paraId="3E94A02F"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 xml:space="preserve">Les données communiquées sur les prises accessoires sont souvent difficiles à comparer car le terme « prises accessoires » n’est pas défini de manière cohérente et les normes d’établissement de rapports diffèrent selon les pays et les organismes. Une analyse des niveaux actuels de prises </w:t>
      </w:r>
      <w:proofErr w:type="gramStart"/>
      <w:r w:rsidRPr="009E16F8">
        <w:rPr>
          <w:rFonts w:ascii="Arial" w:hAnsi="Arial"/>
          <w:sz w:val="22"/>
          <w:szCs w:val="32"/>
          <w:lang w:val="fr-FR"/>
        </w:rPr>
        <w:t>accessoires basée</w:t>
      </w:r>
      <w:proofErr w:type="gramEnd"/>
      <w:r w:rsidRPr="009E16F8">
        <w:rPr>
          <w:rFonts w:ascii="Arial" w:hAnsi="Arial"/>
          <w:sz w:val="22"/>
          <w:szCs w:val="32"/>
          <w:lang w:val="fr-FR"/>
        </w:rPr>
        <w:t xml:space="preserve"> sur les données disponibles s’avère dès lors difficile et peut conduire à des résultats erronés. En outre, les prises accessoires peuvent ne pas refléter avec précision l’incidence globale de la pêche sur les populations de requins et de raies, car elles ne rendent compte que d’une partie de la mortalité liée à la pêche.</w:t>
      </w:r>
    </w:p>
    <w:p w14:paraId="66D1F061" w14:textId="77777777" w:rsidR="009E16F8" w:rsidRPr="009E16F8" w:rsidRDefault="009E16F8" w:rsidP="009E16F8">
      <w:pPr>
        <w:ind w:left="540"/>
        <w:contextualSpacing/>
        <w:jc w:val="both"/>
        <w:rPr>
          <w:rFonts w:ascii="Arial" w:hAnsi="Arial"/>
          <w:sz w:val="22"/>
          <w:szCs w:val="32"/>
          <w:lang w:val="fr-FR"/>
        </w:rPr>
      </w:pPr>
    </w:p>
    <w:p w14:paraId="1EFFBA1E"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Comme indiqué aux paragraphes 4 et 5 ci-dessus, pour élaborer des mesures de conservation efficaces, il est important d’évaluer avec précision l’incidence globale de la pêche sur les populations de requins et de raies, en prenant en considération de toutes les sources de mortalité liée à la pêche.</w:t>
      </w:r>
    </w:p>
    <w:p w14:paraId="5393D48F" w14:textId="77777777" w:rsidR="009E16F8" w:rsidRPr="009E16F8" w:rsidRDefault="009E16F8" w:rsidP="009E16F8">
      <w:pPr>
        <w:ind w:left="540"/>
        <w:contextualSpacing/>
        <w:jc w:val="both"/>
        <w:rPr>
          <w:rFonts w:ascii="Arial" w:hAnsi="Arial"/>
          <w:sz w:val="22"/>
          <w:szCs w:val="32"/>
          <w:lang w:val="fr-FR"/>
        </w:rPr>
      </w:pPr>
    </w:p>
    <w:p w14:paraId="694E4C9C"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 xml:space="preserve">Pour mettre en œuvre la partie a) de la Décision </w:t>
      </w:r>
      <w:r w:rsidRPr="009E16F8">
        <w:rPr>
          <w:rFonts w:ascii="Arial" w:hAnsi="Arial"/>
          <w:sz w:val="22"/>
          <w:szCs w:val="22"/>
          <w:lang w:val="fr-FR"/>
        </w:rPr>
        <w:t>13.62</w:t>
      </w:r>
      <w:r w:rsidRPr="009E16F8">
        <w:rPr>
          <w:rFonts w:ascii="Arial" w:hAnsi="Arial"/>
          <w:sz w:val="22"/>
          <w:szCs w:val="32"/>
          <w:lang w:val="fr-FR"/>
        </w:rPr>
        <w:t xml:space="preserve">, le CC et le Secrétariat suggèrent en conséquence d’examiner et d’évaluer de manière critique les données et les connaissances actuelles concernant les niveaux de « mortalité liée à la pêche » des espèces de requins et de raies inscrites aux Annexes I et II de la CMS et à l’Annexe 1 du </w:t>
      </w:r>
      <w:proofErr w:type="spellStart"/>
      <w:r w:rsidRPr="009E16F8">
        <w:rPr>
          <w:rFonts w:ascii="Arial" w:hAnsi="Arial"/>
          <w:sz w:val="22"/>
          <w:szCs w:val="32"/>
          <w:lang w:val="fr-FR"/>
        </w:rPr>
        <w:t>MdE</w:t>
      </w:r>
      <w:proofErr w:type="spellEnd"/>
      <w:r w:rsidRPr="009E16F8">
        <w:rPr>
          <w:rFonts w:ascii="Arial" w:hAnsi="Arial"/>
          <w:sz w:val="22"/>
          <w:szCs w:val="32"/>
          <w:lang w:val="fr-FR"/>
        </w:rPr>
        <w:t xml:space="preserve"> requins, dans le but de hiérarchiser les zones et les espèces aux fins de l’application de mesures d’atténuation des prises accessoires visant à réduire la mortalité liée à la pêche.</w:t>
      </w:r>
    </w:p>
    <w:p w14:paraId="7BDDF4A1" w14:textId="77777777" w:rsidR="009E16F8" w:rsidRPr="009E16F8" w:rsidRDefault="009E16F8" w:rsidP="009E16F8">
      <w:pPr>
        <w:rPr>
          <w:rFonts w:ascii="Arial" w:hAnsi="Arial"/>
          <w:sz w:val="22"/>
          <w:szCs w:val="32"/>
          <w:lang w:val="fr-FR"/>
        </w:rPr>
      </w:pPr>
    </w:p>
    <w:p w14:paraId="0CFEBD47"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Il est proposé de mener une étude pilote pour deux régions définies, sur la base des zones de pêche utilisées par l’Organisation des Nations Unies pour l’Alimentation et l’Agriculture (FAO). L’objectif serait de mettre au point une méthodologie normalisée pour comprendre la mortalité liée à la pêche sur les requins et les raies, qui pourrait ensuite être appliquée à d’autres zones. Les données seront ventilées en fonction de la zone de pêche de la FAO, du taxon et, le cas échéant, du type de pêche (industrielle, artisanale, récréative, etc.), du type d’engin et de la saison de pêche.</w:t>
      </w:r>
    </w:p>
    <w:p w14:paraId="23AFF8C7" w14:textId="77777777" w:rsidR="009E16F8" w:rsidRPr="009E16F8" w:rsidRDefault="009E16F8" w:rsidP="009E16F8">
      <w:pPr>
        <w:ind w:left="720"/>
        <w:contextualSpacing/>
        <w:rPr>
          <w:rFonts w:ascii="Arial" w:hAnsi="Arial"/>
          <w:sz w:val="22"/>
          <w:szCs w:val="32"/>
          <w:lang w:val="fr-FR"/>
        </w:rPr>
      </w:pPr>
    </w:p>
    <w:p w14:paraId="30E7B5AC"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Dans un premier temps, il est proposé que la FAO se concentre sur les zones de pêche 37 (Méditerranée et mer Noire) et 87 (Pacifique, sud-est). Ces régions sont importantes pour un fournir éventail contrasté d’espèces de requins et de raies figurant dans les Annexes de la CMS et pour lesquelles les informations et données peuvent être disponibles à des degrés divers.</w:t>
      </w:r>
    </w:p>
    <w:p w14:paraId="443156FC" w14:textId="77777777" w:rsidR="009E16F8" w:rsidRPr="009E16F8" w:rsidRDefault="009E16F8" w:rsidP="009E16F8">
      <w:pPr>
        <w:ind w:left="720"/>
        <w:contextualSpacing/>
        <w:rPr>
          <w:rFonts w:ascii="Arial" w:hAnsi="Arial"/>
          <w:sz w:val="22"/>
          <w:szCs w:val="32"/>
          <w:lang w:val="fr-FR"/>
        </w:rPr>
      </w:pPr>
    </w:p>
    <w:p w14:paraId="33E2D0AC"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Le bassin méditerranéen, connu pour abriter une série d’espèces de requins et de raies dont l’état de conservation est défavorable, comprend plus de 20 États et territoires de l’aire de répartition, ainsi qu’une gamme de pêcheries et de données disponibles [y compris des données nationales et des données compilées par la Commission générale des pêches pour la Méditerranée (CGPM), la Commission internationale pour la conservation des thonidés de l’Atlantique (CICTA) et la FAO].</w:t>
      </w:r>
    </w:p>
    <w:p w14:paraId="1F6C2922" w14:textId="77777777" w:rsidR="009E16F8" w:rsidRPr="009E16F8" w:rsidRDefault="009E16F8" w:rsidP="009E16F8">
      <w:pPr>
        <w:ind w:left="720"/>
        <w:contextualSpacing/>
        <w:rPr>
          <w:rFonts w:ascii="Arial" w:hAnsi="Arial"/>
          <w:sz w:val="22"/>
          <w:szCs w:val="32"/>
          <w:lang w:val="fr-FR"/>
        </w:rPr>
      </w:pPr>
    </w:p>
    <w:p w14:paraId="1372BE3E"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Le Pacifique, sud-est est non seulement bordé par un nombre plus limité d’États de l’aire de répartition, mais comporte aussi une plus grande étendue spatiale de hautes mers qui peuvent être exploitées par des flottes de pêche lointaine ; les données y sont potentiellement disponibles par le biais d’autres organismes de pêche [par exemple, la Commission interaméricaine du thon tropical (CITT) et l’Organisation régionale de gestion des pêches du Pacifique Sud (ORGPPS)]. Le choix de deux zones géographiques aux différences marquées devrait permettre d’informer et d’affiner les méthodes qui seront ensuite appliquées dans les études régionales suivantes.</w:t>
      </w:r>
    </w:p>
    <w:p w14:paraId="33F90F8A" w14:textId="77777777" w:rsidR="009E16F8" w:rsidRPr="009E16F8" w:rsidRDefault="009E16F8" w:rsidP="009E16F8">
      <w:pPr>
        <w:ind w:left="540"/>
        <w:contextualSpacing/>
        <w:jc w:val="both"/>
        <w:rPr>
          <w:rFonts w:ascii="Arial" w:hAnsi="Arial"/>
          <w:sz w:val="22"/>
          <w:szCs w:val="32"/>
          <w:lang w:val="fr-FR"/>
        </w:rPr>
      </w:pPr>
    </w:p>
    <w:p w14:paraId="74D5F1C1"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L’examen portera sur les niveaux actuels de mortalité liée à la pêche (débarquements, captures rejetées mortes et mortalité estimée après remise à l’eau) en utilisant différentes sources de données, telles que la littérature évaluée par des pairs, les bases de données internationales, régionales et nationales, et la littérature grise (qui peut être plus pertinente pour certaines espèces ou régions). En outre, les organismes régionaux de pêche, les pouvoirs publics, les agences et les chercheurs concernés seront contactés en vue de recueillir des données supplémentaires à travers des demandes de données ou des entretiens bilatéraux.</w:t>
      </w:r>
    </w:p>
    <w:p w14:paraId="4EA86409" w14:textId="77777777" w:rsidR="009E16F8" w:rsidRPr="009E16F8" w:rsidRDefault="009E16F8" w:rsidP="009E16F8">
      <w:pPr>
        <w:ind w:left="540"/>
        <w:contextualSpacing/>
        <w:jc w:val="both"/>
        <w:rPr>
          <w:rFonts w:ascii="Arial" w:hAnsi="Arial"/>
          <w:sz w:val="22"/>
          <w:szCs w:val="32"/>
          <w:lang w:val="fr-FR"/>
        </w:rPr>
      </w:pPr>
    </w:p>
    <w:p w14:paraId="2D128EE7"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L’examen aura pour objectif de d’identifier les lacunes importantes dans les données et de déduire qualitativement l’ampleur potentielle des captures sous-déclarées (captures rejetées mortes, débarquements et captures rejetées vivantes) pour les espèces ou les pêcheries pour lesquelles ces données sont limitées dans les deux zones d’étude de cas (zones de pêche 37 et 87 de la FAO). Le tableau 1 répertorie les espèces figurant à l’annexe 1 qui sont présentes dans ces zones.</w:t>
      </w:r>
    </w:p>
    <w:p w14:paraId="3C010165" w14:textId="77777777" w:rsidR="009E16F8" w:rsidRPr="009E16F8" w:rsidRDefault="009E16F8" w:rsidP="009E16F8">
      <w:pPr>
        <w:ind w:left="720"/>
        <w:contextualSpacing/>
        <w:rPr>
          <w:rFonts w:ascii="Arial" w:hAnsi="Arial"/>
          <w:sz w:val="22"/>
          <w:szCs w:val="32"/>
          <w:lang w:val="fr-FR"/>
        </w:rPr>
      </w:pPr>
    </w:p>
    <w:p w14:paraId="0D9F527E"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 xml:space="preserve">L’examen permettra d’identifier certaines des mesures à prendre en priorité en vue de réduire la mortalité liée à la pêche des espèces de requins et de raies inscrites aux annexes de la CMS et du </w:t>
      </w:r>
      <w:proofErr w:type="spellStart"/>
      <w:r w:rsidRPr="009E16F8">
        <w:rPr>
          <w:rFonts w:ascii="Arial" w:hAnsi="Arial"/>
          <w:sz w:val="22"/>
          <w:szCs w:val="32"/>
          <w:lang w:val="fr-FR"/>
        </w:rPr>
        <w:t>MdE</w:t>
      </w:r>
      <w:proofErr w:type="spellEnd"/>
      <w:r w:rsidRPr="009E16F8">
        <w:rPr>
          <w:rFonts w:ascii="Arial" w:hAnsi="Arial"/>
          <w:sz w:val="22"/>
          <w:szCs w:val="32"/>
          <w:lang w:val="fr-FR"/>
        </w:rPr>
        <w:t xml:space="preserve"> requins, en particulier dans les zones d’étude de cas. Il rassemblera et résumera également les connaissances disponibles sur la mortalité à bord des navires et après la remise à l’eau au niveau mondial, y compris les effets </w:t>
      </w:r>
      <w:proofErr w:type="spellStart"/>
      <w:r w:rsidRPr="009E16F8">
        <w:rPr>
          <w:rFonts w:ascii="Arial" w:hAnsi="Arial"/>
          <w:sz w:val="22"/>
          <w:szCs w:val="32"/>
          <w:lang w:val="fr-FR"/>
        </w:rPr>
        <w:t>sublétaux</w:t>
      </w:r>
      <w:proofErr w:type="spellEnd"/>
      <w:r w:rsidRPr="009E16F8">
        <w:rPr>
          <w:rFonts w:ascii="Arial" w:hAnsi="Arial"/>
          <w:sz w:val="22"/>
          <w:szCs w:val="32"/>
          <w:lang w:val="fr-FR"/>
        </w:rPr>
        <w:t>, pour les espèces qui interagissent avec diverses pêcheries.</w:t>
      </w:r>
    </w:p>
    <w:p w14:paraId="342C543C" w14:textId="0F461B26" w:rsidR="006E38FA" w:rsidRDefault="006E38FA">
      <w:pPr>
        <w:widowControl/>
        <w:autoSpaceDE/>
        <w:autoSpaceDN/>
        <w:adjustRightInd/>
        <w:spacing w:after="160" w:line="259" w:lineRule="auto"/>
        <w:rPr>
          <w:rFonts w:ascii="Arial" w:hAnsi="Arial"/>
          <w:sz w:val="22"/>
          <w:szCs w:val="32"/>
          <w:lang w:val="fr-FR"/>
        </w:rPr>
      </w:pPr>
      <w:r>
        <w:rPr>
          <w:rFonts w:ascii="Arial" w:hAnsi="Arial"/>
          <w:sz w:val="22"/>
          <w:szCs w:val="32"/>
          <w:lang w:val="fr-FR"/>
        </w:rPr>
        <w:br w:type="page"/>
      </w:r>
    </w:p>
    <w:p w14:paraId="0F8C2BAB" w14:textId="77777777" w:rsidR="009E16F8" w:rsidRPr="009E16F8" w:rsidRDefault="009E16F8" w:rsidP="009E16F8">
      <w:pPr>
        <w:ind w:left="720"/>
        <w:contextualSpacing/>
        <w:rPr>
          <w:rFonts w:ascii="Arial" w:hAnsi="Arial"/>
          <w:sz w:val="22"/>
          <w:szCs w:val="32"/>
          <w:lang w:val="fr-FR"/>
        </w:rPr>
      </w:pPr>
    </w:p>
    <w:p w14:paraId="23A85EEF" w14:textId="77777777" w:rsidR="009E16F8" w:rsidRPr="009E16F8" w:rsidRDefault="009E16F8" w:rsidP="009E16F8">
      <w:pPr>
        <w:numPr>
          <w:ilvl w:val="0"/>
          <w:numId w:val="5"/>
        </w:numPr>
        <w:ind w:left="540" w:hanging="540"/>
        <w:contextualSpacing/>
        <w:jc w:val="both"/>
        <w:rPr>
          <w:rFonts w:ascii="Arial" w:hAnsi="Arial"/>
          <w:sz w:val="22"/>
          <w:szCs w:val="32"/>
          <w:lang w:val="fr-FR"/>
        </w:rPr>
      </w:pPr>
      <w:r w:rsidRPr="009E16F8">
        <w:rPr>
          <w:rFonts w:ascii="Arial" w:hAnsi="Arial"/>
          <w:sz w:val="22"/>
          <w:szCs w:val="32"/>
          <w:lang w:val="fr-FR"/>
        </w:rPr>
        <w:t>Cette approche permettra de mettre au point une méthodologie adéquate qui facilitera les examens ultérieurs dans les autres zones de pêche de la FAO (qui sont actuellement hors du champ de l’examen suggéré).</w:t>
      </w:r>
    </w:p>
    <w:p w14:paraId="0D4EC833" w14:textId="77777777" w:rsidR="009E16F8" w:rsidRPr="009E16F8" w:rsidRDefault="009E16F8" w:rsidP="009E16F8">
      <w:pPr>
        <w:ind w:left="540"/>
        <w:contextualSpacing/>
        <w:jc w:val="both"/>
        <w:rPr>
          <w:rFonts w:ascii="Arial" w:hAnsi="Arial"/>
          <w:sz w:val="22"/>
          <w:szCs w:val="32"/>
          <w:lang w:val="fr-FR"/>
        </w:rPr>
      </w:pPr>
    </w:p>
    <w:p w14:paraId="4C8526B4" w14:textId="77FA300C" w:rsidR="009E16F8" w:rsidRPr="009E16F8" w:rsidRDefault="009E16F8" w:rsidP="009E16F8">
      <w:pPr>
        <w:ind w:left="540"/>
        <w:contextualSpacing/>
        <w:jc w:val="both"/>
        <w:rPr>
          <w:rFonts w:ascii="Arial" w:hAnsi="Arial" w:cs="Arial"/>
          <w:iCs/>
          <w:sz w:val="22"/>
          <w:szCs w:val="22"/>
          <w:lang w:val="fr-FR"/>
        </w:rPr>
      </w:pPr>
      <w:r w:rsidRPr="009E16F8">
        <w:rPr>
          <w:rFonts w:ascii="Arial" w:hAnsi="Arial" w:cs="Arial"/>
          <w:b/>
          <w:bCs/>
          <w:sz w:val="22"/>
          <w:szCs w:val="22"/>
          <w:lang w:val="fr-FR"/>
        </w:rPr>
        <w:t>Tableau 1.</w:t>
      </w:r>
      <w:r w:rsidRPr="009E16F8">
        <w:rPr>
          <w:rFonts w:ascii="Arial" w:hAnsi="Arial" w:cs="Arial"/>
          <w:sz w:val="22"/>
          <w:szCs w:val="22"/>
          <w:lang w:val="fr-FR"/>
        </w:rPr>
        <w:t xml:space="preserve"> </w:t>
      </w:r>
      <w:r w:rsidRPr="009E16F8">
        <w:rPr>
          <w:rFonts w:ascii="Arial" w:hAnsi="Arial" w:cs="Arial"/>
          <w:iCs/>
          <w:sz w:val="22"/>
          <w:szCs w:val="22"/>
          <w:lang w:val="fr-FR"/>
        </w:rPr>
        <w:t xml:space="preserve">Occurrence des espèces de requins et de raies inscrites aux Annexes de la CMS et à l’Annexe 1 du </w:t>
      </w:r>
      <w:proofErr w:type="spellStart"/>
      <w:r w:rsidRPr="009E16F8">
        <w:rPr>
          <w:rFonts w:ascii="Arial" w:hAnsi="Arial" w:cs="Arial"/>
          <w:iCs/>
          <w:sz w:val="22"/>
          <w:szCs w:val="22"/>
          <w:lang w:val="fr-FR"/>
        </w:rPr>
        <w:t>MdE</w:t>
      </w:r>
      <w:proofErr w:type="spellEnd"/>
      <w:r w:rsidRPr="009E16F8">
        <w:rPr>
          <w:rFonts w:ascii="Arial" w:hAnsi="Arial" w:cs="Arial"/>
          <w:iCs/>
          <w:sz w:val="22"/>
          <w:szCs w:val="22"/>
          <w:lang w:val="fr-FR"/>
        </w:rPr>
        <w:t xml:space="preserve"> requins pour les zones de pêche principales 37 (Méditerranée et mer Noire) et 87 (Pacifique, sud-est) de la </w:t>
      </w:r>
      <w:proofErr w:type="gramStart"/>
      <w:r w:rsidRPr="009E16F8">
        <w:rPr>
          <w:rFonts w:ascii="Arial" w:hAnsi="Arial" w:cs="Arial"/>
          <w:iCs/>
          <w:sz w:val="22"/>
          <w:szCs w:val="22"/>
          <w:lang w:val="fr-FR"/>
        </w:rPr>
        <w:t>FAO.</w:t>
      </w:r>
      <w:r w:rsidRPr="009E16F8">
        <w:rPr>
          <w:rFonts w:ascii="Segoe UI Symbol" w:eastAsia="Noto Sans Symbols" w:hAnsi="Segoe UI Symbol" w:cs="Segoe UI Symbol"/>
          <w:iCs/>
          <w:sz w:val="22"/>
          <w:szCs w:val="22"/>
          <w:lang w:val="fr-FR"/>
        </w:rPr>
        <w:t>⬤</w:t>
      </w:r>
      <w:proofErr w:type="gramEnd"/>
      <w:r w:rsidRPr="009E16F8">
        <w:rPr>
          <w:rFonts w:ascii="Arial" w:hAnsi="Arial" w:cs="Arial"/>
          <w:iCs/>
          <w:sz w:val="22"/>
          <w:szCs w:val="22"/>
          <w:lang w:val="fr-FR"/>
        </w:rPr>
        <w:t xml:space="preserve"> = présent ; </w:t>
      </w:r>
      <w:bookmarkStart w:id="0" w:name="_Hlk122515780"/>
      <w:r w:rsidRPr="009E16F8">
        <w:rPr>
          <w:rFonts w:ascii="Cambria Math" w:eastAsia="Noto Sans Symbols" w:hAnsi="Cambria Math" w:cs="Cambria Math"/>
          <w:iCs/>
          <w:sz w:val="22"/>
          <w:szCs w:val="22"/>
          <w:lang w:val="fr-FR"/>
        </w:rPr>
        <w:t>◉</w:t>
      </w:r>
      <w:r w:rsidRPr="009E16F8">
        <w:rPr>
          <w:rFonts w:ascii="Arial" w:hAnsi="Arial" w:cs="Arial"/>
          <w:iCs/>
          <w:sz w:val="22"/>
          <w:szCs w:val="22"/>
          <w:lang w:val="fr-FR"/>
        </w:rPr>
        <w:t xml:space="preserve"> = limite de la répartition/cas </w:t>
      </w:r>
      <w:proofErr w:type="spellStart"/>
      <w:r w:rsidRPr="009E16F8">
        <w:rPr>
          <w:rFonts w:ascii="Arial" w:hAnsi="Arial" w:cs="Arial"/>
          <w:iCs/>
          <w:sz w:val="22"/>
          <w:szCs w:val="22"/>
          <w:lang w:val="fr-FR"/>
        </w:rPr>
        <w:t>extralimites</w:t>
      </w:r>
      <w:bookmarkEnd w:id="0"/>
      <w:proofErr w:type="spellEnd"/>
      <w:r w:rsidRPr="009E16F8">
        <w:rPr>
          <w:rFonts w:ascii="Arial" w:hAnsi="Arial" w:cs="Arial"/>
          <w:iCs/>
          <w:sz w:val="22"/>
          <w:szCs w:val="22"/>
          <w:lang w:val="fr-FR"/>
        </w:rPr>
        <w:t xml:space="preserve"> ; </w:t>
      </w:r>
      <w:r w:rsidRPr="009E16F8">
        <w:rPr>
          <w:rFonts w:ascii="Arial" w:hAnsi="Arial" w:cs="Arial"/>
          <w:noProof/>
          <w:szCs w:val="20"/>
          <w:lang w:val="fr-FR"/>
        </w:rPr>
        <w:drawing>
          <wp:inline distT="0" distB="0" distL="0" distR="0" wp14:anchorId="5BD5C2A6" wp14:editId="32993232">
            <wp:extent cx="95250" cy="95250"/>
            <wp:effectExtent l="0" t="0" r="0" b="0"/>
            <wp:docPr id="63" name="Picture 6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r w:rsidRPr="009E16F8">
        <w:rPr>
          <w:rFonts w:ascii="Arial" w:hAnsi="Arial" w:cs="Arial"/>
          <w:iCs/>
          <w:sz w:val="22"/>
          <w:szCs w:val="22"/>
          <w:lang w:val="fr-FR"/>
        </w:rPr>
        <w:t>= absent, ? = incertain ; s. o. = sans objet.</w:t>
      </w:r>
    </w:p>
    <w:p w14:paraId="2B2AB802" w14:textId="77777777" w:rsidR="009E16F8" w:rsidRPr="009E16F8" w:rsidRDefault="009E16F8" w:rsidP="009E16F8">
      <w:pPr>
        <w:ind w:left="540"/>
        <w:contextualSpacing/>
        <w:jc w:val="both"/>
        <w:rPr>
          <w:rFonts w:ascii="Arial" w:hAnsi="Arial" w:cs="Arial"/>
          <w:iCs/>
          <w:sz w:val="22"/>
          <w:szCs w:val="22"/>
          <w:lang w:val="fr-FR"/>
        </w:rPr>
      </w:pPr>
    </w:p>
    <w:tbl>
      <w:tblPr>
        <w:tblStyle w:val="PlainTable21"/>
        <w:tblW w:w="0" w:type="auto"/>
        <w:tblInd w:w="540" w:type="dxa"/>
        <w:tblLook w:val="04A0" w:firstRow="1" w:lastRow="0" w:firstColumn="1" w:lastColumn="0" w:noHBand="0" w:noVBand="1"/>
      </w:tblPr>
      <w:tblGrid>
        <w:gridCol w:w="2684"/>
        <w:gridCol w:w="609"/>
        <w:gridCol w:w="614"/>
        <w:gridCol w:w="793"/>
        <w:gridCol w:w="2536"/>
        <w:gridCol w:w="612"/>
        <w:gridCol w:w="612"/>
      </w:tblGrid>
      <w:tr w:rsidR="009E16F8" w:rsidRPr="009E16F8" w14:paraId="2CB7D512" w14:textId="77777777" w:rsidTr="009E16F8">
        <w:trPr>
          <w:cnfStyle w:val="100000000000" w:firstRow="1" w:lastRow="0" w:firstColumn="0" w:lastColumn="0" w:oddVBand="0" w:evenVBand="0" w:oddHBand="0" w:evenHBand="0" w:firstRowFirstColumn="0" w:firstRowLastColumn="0" w:lastRowFirstColumn="0" w:lastRowLastColumn="0"/>
          <w:trHeight w:val="257"/>
          <w:tblHeader/>
        </w:trPr>
        <w:tc>
          <w:tcPr>
            <w:cnfStyle w:val="001000000000" w:firstRow="0" w:lastRow="0" w:firstColumn="1" w:lastColumn="0" w:oddVBand="0" w:evenVBand="0" w:oddHBand="0" w:evenHBand="0" w:firstRowFirstColumn="0" w:firstRowLastColumn="0" w:lastRowFirstColumn="0" w:lastRowLastColumn="0"/>
            <w:tcW w:w="2484" w:type="dxa"/>
            <w:tcBorders>
              <w:top w:val="single" w:sz="4" w:space="0" w:color="7F7F7F"/>
              <w:left w:val="nil"/>
              <w:right w:val="nil"/>
            </w:tcBorders>
            <w:hideMark/>
          </w:tcPr>
          <w:p w14:paraId="20E1FECB" w14:textId="77777777" w:rsidR="009E16F8" w:rsidRPr="009E16F8" w:rsidRDefault="009E16F8" w:rsidP="009E16F8">
            <w:pPr>
              <w:contextualSpacing/>
              <w:jc w:val="both"/>
              <w:rPr>
                <w:rFonts w:ascii="Arial" w:hAnsi="Arial" w:cs="Arial"/>
                <w:iCs/>
                <w:szCs w:val="20"/>
                <w:lang w:val="fr-FR"/>
              </w:rPr>
            </w:pPr>
            <w:r w:rsidRPr="009E16F8">
              <w:rPr>
                <w:rFonts w:ascii="Arial" w:hAnsi="Arial" w:cs="Arial"/>
                <w:szCs w:val="20"/>
                <w:lang w:val="fr-FR"/>
              </w:rPr>
              <w:t>Nom scientifique</w:t>
            </w:r>
          </w:p>
        </w:tc>
        <w:tc>
          <w:tcPr>
            <w:tcW w:w="609" w:type="dxa"/>
            <w:tcBorders>
              <w:top w:val="single" w:sz="4" w:space="0" w:color="7F7F7F"/>
              <w:left w:val="nil"/>
              <w:right w:val="nil"/>
            </w:tcBorders>
            <w:hideMark/>
          </w:tcPr>
          <w:p w14:paraId="18F871F6"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Arial" w:hAnsi="Arial" w:cs="Arial"/>
                <w:szCs w:val="20"/>
              </w:rPr>
              <w:t>37</w:t>
            </w:r>
          </w:p>
        </w:tc>
        <w:tc>
          <w:tcPr>
            <w:tcW w:w="614" w:type="dxa"/>
            <w:tcBorders>
              <w:top w:val="single" w:sz="4" w:space="0" w:color="7F7F7F"/>
              <w:left w:val="nil"/>
              <w:right w:val="nil"/>
            </w:tcBorders>
            <w:hideMark/>
          </w:tcPr>
          <w:p w14:paraId="0E38B766"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Arial" w:hAnsi="Arial" w:cs="Arial"/>
                <w:szCs w:val="20"/>
              </w:rPr>
              <w:t>87</w:t>
            </w:r>
          </w:p>
        </w:tc>
        <w:tc>
          <w:tcPr>
            <w:tcW w:w="793" w:type="dxa"/>
            <w:tcBorders>
              <w:top w:val="single" w:sz="4" w:space="0" w:color="7F7F7F"/>
              <w:left w:val="nil"/>
              <w:right w:val="nil"/>
            </w:tcBorders>
          </w:tcPr>
          <w:p w14:paraId="30E06D0B"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single" w:sz="4" w:space="0" w:color="7F7F7F"/>
              <w:left w:val="nil"/>
              <w:right w:val="nil"/>
            </w:tcBorders>
            <w:hideMark/>
          </w:tcPr>
          <w:p w14:paraId="2CC4002F"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szCs w:val="20"/>
                <w:lang w:val="fr-FR"/>
              </w:rPr>
              <w:t>Nom scientifique</w:t>
            </w:r>
          </w:p>
        </w:tc>
        <w:tc>
          <w:tcPr>
            <w:tcW w:w="612" w:type="dxa"/>
            <w:tcBorders>
              <w:top w:val="single" w:sz="4" w:space="0" w:color="7F7F7F"/>
              <w:left w:val="nil"/>
              <w:right w:val="nil"/>
            </w:tcBorders>
            <w:hideMark/>
          </w:tcPr>
          <w:p w14:paraId="7647E5F6"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Arial" w:hAnsi="Arial" w:cs="Arial"/>
                <w:szCs w:val="20"/>
              </w:rPr>
              <w:t>37</w:t>
            </w:r>
          </w:p>
        </w:tc>
        <w:tc>
          <w:tcPr>
            <w:tcW w:w="612" w:type="dxa"/>
            <w:tcBorders>
              <w:top w:val="single" w:sz="4" w:space="0" w:color="7F7F7F"/>
              <w:left w:val="nil"/>
              <w:right w:val="nil"/>
            </w:tcBorders>
            <w:hideMark/>
          </w:tcPr>
          <w:p w14:paraId="3F4DF4DF" w14:textId="77777777" w:rsidR="009E16F8" w:rsidRPr="009E16F8" w:rsidRDefault="009E16F8" w:rsidP="009E16F8">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Arial" w:hAnsi="Arial" w:cs="Arial"/>
                <w:szCs w:val="20"/>
              </w:rPr>
              <w:t>87</w:t>
            </w:r>
          </w:p>
        </w:tc>
      </w:tr>
      <w:tr w:rsidR="009E16F8" w:rsidRPr="009E16F8" w14:paraId="74292AE5" w14:textId="77777777" w:rsidTr="009E16F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2375E703" w14:textId="77777777" w:rsidR="009E16F8" w:rsidRPr="009E16F8" w:rsidRDefault="009E16F8" w:rsidP="009E16F8">
            <w:pPr>
              <w:contextualSpacing/>
              <w:jc w:val="both"/>
              <w:rPr>
                <w:rFonts w:ascii="Arial" w:hAnsi="Arial" w:cs="Arial"/>
                <w:i/>
                <w:iCs/>
                <w:szCs w:val="20"/>
                <w:lang w:val="fr-FR"/>
              </w:rPr>
            </w:pPr>
            <w:proofErr w:type="spellStart"/>
            <w:r w:rsidRPr="009E16F8">
              <w:rPr>
                <w:rFonts w:ascii="Arial" w:hAnsi="Arial" w:cs="Arial"/>
                <w:i/>
                <w:iCs/>
                <w:szCs w:val="20"/>
                <w:lang w:val="fr-FR"/>
              </w:rPr>
              <w:t>Squalus</w:t>
            </w:r>
            <w:proofErr w:type="spellEnd"/>
            <w:r w:rsidRPr="009E16F8">
              <w:rPr>
                <w:rFonts w:ascii="Arial" w:hAnsi="Arial" w:cs="Arial"/>
                <w:i/>
                <w:iCs/>
                <w:szCs w:val="20"/>
                <w:lang w:val="fr-FR"/>
              </w:rPr>
              <w:t xml:space="preserve"> acanthias</w:t>
            </w:r>
            <w:r w:rsidRPr="009E16F8">
              <w:rPr>
                <w:rFonts w:ascii="Arial" w:hAnsi="Arial" w:cs="Arial"/>
                <w:i/>
                <w:iCs/>
                <w:szCs w:val="20"/>
                <w:bdr w:val="none" w:sz="0" w:space="0" w:color="auto" w:frame="1"/>
                <w:vertAlign w:val="superscript"/>
                <w:lang w:val="fr-FR" w:eastAsia="en-GB"/>
              </w:rPr>
              <w:footnoteReference w:id="3"/>
            </w:r>
          </w:p>
        </w:tc>
        <w:tc>
          <w:tcPr>
            <w:tcW w:w="609" w:type="dxa"/>
            <w:tcBorders>
              <w:left w:val="nil"/>
              <w:right w:val="nil"/>
            </w:tcBorders>
            <w:hideMark/>
          </w:tcPr>
          <w:p w14:paraId="7D2C1EE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left w:val="nil"/>
              <w:right w:val="nil"/>
            </w:tcBorders>
            <w:hideMark/>
          </w:tcPr>
          <w:p w14:paraId="20AA6254"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szCs w:val="20"/>
                <w:lang w:val="fr-FR"/>
              </w:rPr>
              <w:t>s. o.</w:t>
            </w:r>
          </w:p>
        </w:tc>
        <w:tc>
          <w:tcPr>
            <w:tcW w:w="793" w:type="dxa"/>
            <w:tcBorders>
              <w:left w:val="nil"/>
              <w:right w:val="nil"/>
            </w:tcBorders>
          </w:tcPr>
          <w:p w14:paraId="438B0542"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47559F8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Rhinobatos</w:t>
            </w:r>
            <w:proofErr w:type="spellEnd"/>
            <w:r w:rsidRPr="009E16F8">
              <w:rPr>
                <w:rFonts w:ascii="Arial" w:hAnsi="Arial" w:cs="Arial"/>
                <w:i/>
                <w:iCs/>
                <w:szCs w:val="20"/>
              </w:rPr>
              <w:t xml:space="preserve"> </w:t>
            </w:r>
            <w:proofErr w:type="spellStart"/>
            <w:r w:rsidRPr="009E16F8">
              <w:rPr>
                <w:rFonts w:ascii="Arial" w:hAnsi="Arial" w:cs="Arial"/>
                <w:i/>
                <w:iCs/>
                <w:szCs w:val="20"/>
              </w:rPr>
              <w:t>rhinobatos</w:t>
            </w:r>
            <w:proofErr w:type="spellEnd"/>
          </w:p>
        </w:tc>
        <w:tc>
          <w:tcPr>
            <w:tcW w:w="612" w:type="dxa"/>
            <w:tcBorders>
              <w:left w:val="nil"/>
              <w:right w:val="nil"/>
            </w:tcBorders>
            <w:hideMark/>
          </w:tcPr>
          <w:p w14:paraId="3AD5BCC2"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2" w:type="dxa"/>
            <w:tcBorders>
              <w:left w:val="nil"/>
              <w:right w:val="nil"/>
            </w:tcBorders>
            <w:hideMark/>
          </w:tcPr>
          <w:p w14:paraId="34B73997"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3A27847A" wp14:editId="19120DC5">
                  <wp:extent cx="95250" cy="95250"/>
                  <wp:effectExtent l="0" t="0" r="0" b="0"/>
                  <wp:docPr id="62" name="Picture 6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4B43AF5B"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A5F999C"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 xml:space="preserve">Squatina </w:t>
            </w:r>
            <w:proofErr w:type="spellStart"/>
            <w:r w:rsidRPr="009E16F8">
              <w:rPr>
                <w:rFonts w:ascii="Arial" w:hAnsi="Arial" w:cs="Arial"/>
                <w:i/>
                <w:iCs/>
                <w:szCs w:val="20"/>
              </w:rPr>
              <w:t>squatina</w:t>
            </w:r>
            <w:proofErr w:type="spellEnd"/>
          </w:p>
        </w:tc>
        <w:tc>
          <w:tcPr>
            <w:tcW w:w="609" w:type="dxa"/>
            <w:tcBorders>
              <w:top w:val="nil"/>
              <w:left w:val="nil"/>
              <w:bottom w:val="nil"/>
              <w:right w:val="nil"/>
            </w:tcBorders>
            <w:hideMark/>
          </w:tcPr>
          <w:p w14:paraId="7094F0C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1CE5ECD8"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64A7030D" wp14:editId="762CE44F">
                  <wp:extent cx="95250" cy="95250"/>
                  <wp:effectExtent l="0" t="0" r="0" b="0"/>
                  <wp:docPr id="61" name="Picture 6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793" w:type="dxa"/>
            <w:tcBorders>
              <w:top w:val="nil"/>
              <w:left w:val="nil"/>
              <w:bottom w:val="nil"/>
              <w:right w:val="nil"/>
            </w:tcBorders>
          </w:tcPr>
          <w:p w14:paraId="3BBBD956"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308D7AE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Rhynchobatus</w:t>
            </w:r>
            <w:proofErr w:type="spellEnd"/>
            <w:r w:rsidRPr="009E16F8">
              <w:rPr>
                <w:rFonts w:ascii="Arial" w:hAnsi="Arial" w:cs="Arial"/>
                <w:i/>
                <w:iCs/>
                <w:szCs w:val="20"/>
              </w:rPr>
              <w:t xml:space="preserve"> </w:t>
            </w:r>
            <w:proofErr w:type="spellStart"/>
            <w:r w:rsidRPr="009E16F8">
              <w:rPr>
                <w:rFonts w:ascii="Arial" w:hAnsi="Arial" w:cs="Arial"/>
                <w:i/>
                <w:iCs/>
                <w:szCs w:val="20"/>
              </w:rPr>
              <w:t>australiae</w:t>
            </w:r>
            <w:proofErr w:type="spellEnd"/>
          </w:p>
        </w:tc>
        <w:tc>
          <w:tcPr>
            <w:tcW w:w="612" w:type="dxa"/>
            <w:tcBorders>
              <w:top w:val="nil"/>
              <w:left w:val="nil"/>
              <w:bottom w:val="nil"/>
              <w:right w:val="nil"/>
            </w:tcBorders>
            <w:hideMark/>
          </w:tcPr>
          <w:p w14:paraId="3EB1C943"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333F9BB1" wp14:editId="2A44ABD8">
                  <wp:extent cx="95250" cy="95250"/>
                  <wp:effectExtent l="0" t="0" r="0" b="0"/>
                  <wp:docPr id="60" name="Picture 6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4582F026"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27814F71" wp14:editId="26D170F4">
                  <wp:extent cx="95250" cy="95250"/>
                  <wp:effectExtent l="0" t="0" r="0" b="0"/>
                  <wp:docPr id="59" name="Picture 5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364C5487" w14:textId="77777777" w:rsidTr="009E16F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EAB0FD2"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Alopias</w:t>
            </w:r>
            <w:proofErr w:type="spellEnd"/>
            <w:r w:rsidRPr="009E16F8">
              <w:rPr>
                <w:rFonts w:ascii="Arial" w:hAnsi="Arial" w:cs="Arial"/>
                <w:i/>
                <w:iCs/>
                <w:szCs w:val="20"/>
              </w:rPr>
              <w:t xml:space="preserve"> </w:t>
            </w:r>
            <w:proofErr w:type="spellStart"/>
            <w:r w:rsidRPr="009E16F8">
              <w:rPr>
                <w:rFonts w:ascii="Arial" w:hAnsi="Arial" w:cs="Arial"/>
                <w:i/>
                <w:iCs/>
                <w:szCs w:val="20"/>
              </w:rPr>
              <w:t>pelagicus</w:t>
            </w:r>
            <w:proofErr w:type="spellEnd"/>
          </w:p>
        </w:tc>
        <w:tc>
          <w:tcPr>
            <w:tcW w:w="609" w:type="dxa"/>
            <w:tcBorders>
              <w:left w:val="nil"/>
              <w:right w:val="nil"/>
            </w:tcBorders>
            <w:hideMark/>
          </w:tcPr>
          <w:p w14:paraId="038ADC5C"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BE6FE62" wp14:editId="77B9C2D9">
                  <wp:extent cx="95250" cy="95250"/>
                  <wp:effectExtent l="0" t="0" r="0" b="0"/>
                  <wp:docPr id="58" name="Picture 5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left w:val="nil"/>
              <w:right w:val="nil"/>
            </w:tcBorders>
            <w:hideMark/>
          </w:tcPr>
          <w:p w14:paraId="01346CA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5338CAC2"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44C765FE"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Rhynchobatus</w:t>
            </w:r>
            <w:proofErr w:type="spellEnd"/>
            <w:r w:rsidRPr="009E16F8">
              <w:rPr>
                <w:rFonts w:ascii="Arial" w:hAnsi="Arial" w:cs="Arial"/>
                <w:i/>
                <w:iCs/>
                <w:szCs w:val="20"/>
              </w:rPr>
              <w:t xml:space="preserve"> </w:t>
            </w:r>
            <w:proofErr w:type="spellStart"/>
            <w:r w:rsidRPr="009E16F8">
              <w:rPr>
                <w:rFonts w:ascii="Arial" w:hAnsi="Arial" w:cs="Arial"/>
                <w:i/>
                <w:iCs/>
                <w:szCs w:val="20"/>
              </w:rPr>
              <w:t>djiddensis</w:t>
            </w:r>
            <w:proofErr w:type="spellEnd"/>
          </w:p>
        </w:tc>
        <w:tc>
          <w:tcPr>
            <w:tcW w:w="612" w:type="dxa"/>
            <w:tcBorders>
              <w:left w:val="nil"/>
              <w:right w:val="nil"/>
            </w:tcBorders>
            <w:hideMark/>
          </w:tcPr>
          <w:p w14:paraId="30A0ADB2"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2C750973" wp14:editId="20F85C1E">
                  <wp:extent cx="95250" cy="95250"/>
                  <wp:effectExtent l="0" t="0" r="0" b="0"/>
                  <wp:docPr id="57" name="Picture 5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1F345923"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72F2AE7B" wp14:editId="631C9EBD">
                  <wp:extent cx="95250" cy="95250"/>
                  <wp:effectExtent l="0" t="0" r="0" b="0"/>
                  <wp:docPr id="56" name="Picture 5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0FB5AA42" w14:textId="77777777" w:rsidTr="009E16F8">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29539D74"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Alopias</w:t>
            </w:r>
            <w:proofErr w:type="spellEnd"/>
            <w:r w:rsidRPr="009E16F8">
              <w:rPr>
                <w:rFonts w:ascii="Arial" w:hAnsi="Arial" w:cs="Arial"/>
                <w:i/>
                <w:iCs/>
                <w:szCs w:val="20"/>
              </w:rPr>
              <w:t xml:space="preserve"> </w:t>
            </w:r>
            <w:proofErr w:type="spellStart"/>
            <w:r w:rsidRPr="009E16F8">
              <w:rPr>
                <w:rFonts w:ascii="Arial" w:hAnsi="Arial" w:cs="Arial"/>
                <w:i/>
                <w:iCs/>
                <w:szCs w:val="20"/>
              </w:rPr>
              <w:t>superciliosus</w:t>
            </w:r>
            <w:proofErr w:type="spellEnd"/>
          </w:p>
        </w:tc>
        <w:tc>
          <w:tcPr>
            <w:tcW w:w="609" w:type="dxa"/>
            <w:tcBorders>
              <w:top w:val="nil"/>
              <w:left w:val="nil"/>
              <w:bottom w:val="nil"/>
              <w:right w:val="nil"/>
            </w:tcBorders>
            <w:hideMark/>
          </w:tcPr>
          <w:p w14:paraId="07CC3FE3"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5C02B4D1" wp14:editId="6EDF8EF0">
                  <wp:extent cx="95250" cy="95250"/>
                  <wp:effectExtent l="0" t="0" r="0" b="0"/>
                  <wp:docPr id="55" name="Picture 5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4" w:type="dxa"/>
            <w:tcBorders>
              <w:top w:val="nil"/>
              <w:left w:val="nil"/>
              <w:bottom w:val="nil"/>
              <w:right w:val="nil"/>
            </w:tcBorders>
            <w:hideMark/>
          </w:tcPr>
          <w:p w14:paraId="41BBABA6"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793" w:type="dxa"/>
            <w:tcBorders>
              <w:top w:val="nil"/>
              <w:left w:val="nil"/>
              <w:bottom w:val="nil"/>
              <w:right w:val="nil"/>
            </w:tcBorders>
          </w:tcPr>
          <w:p w14:paraId="57B4E462"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51AA5EB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Rhynchobatus</w:t>
            </w:r>
            <w:proofErr w:type="spellEnd"/>
            <w:r w:rsidRPr="009E16F8">
              <w:rPr>
                <w:rFonts w:ascii="Arial" w:hAnsi="Arial" w:cs="Arial"/>
                <w:i/>
                <w:iCs/>
                <w:szCs w:val="20"/>
              </w:rPr>
              <w:t xml:space="preserve"> </w:t>
            </w:r>
            <w:proofErr w:type="spellStart"/>
            <w:r w:rsidRPr="009E16F8">
              <w:rPr>
                <w:rFonts w:ascii="Arial" w:hAnsi="Arial" w:cs="Arial"/>
                <w:i/>
                <w:iCs/>
                <w:szCs w:val="20"/>
              </w:rPr>
              <w:t>laevis</w:t>
            </w:r>
            <w:proofErr w:type="spellEnd"/>
          </w:p>
        </w:tc>
        <w:tc>
          <w:tcPr>
            <w:tcW w:w="612" w:type="dxa"/>
            <w:tcBorders>
              <w:top w:val="nil"/>
              <w:left w:val="nil"/>
              <w:bottom w:val="nil"/>
              <w:right w:val="nil"/>
            </w:tcBorders>
            <w:hideMark/>
          </w:tcPr>
          <w:p w14:paraId="1000678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117B854D" wp14:editId="4AB5950B">
                  <wp:extent cx="95250" cy="95250"/>
                  <wp:effectExtent l="0" t="0" r="0" b="0"/>
                  <wp:docPr id="54" name="Picture 5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7A905FBC"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33239812" wp14:editId="778DB28B">
                  <wp:extent cx="95250" cy="95250"/>
                  <wp:effectExtent l="0" t="0" r="0" b="0"/>
                  <wp:docPr id="53" name="Picture 5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2ED164E4" w14:textId="77777777" w:rsidTr="009E16F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7515C4D"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Alopias</w:t>
            </w:r>
            <w:proofErr w:type="spellEnd"/>
            <w:r w:rsidRPr="009E16F8">
              <w:rPr>
                <w:rFonts w:ascii="Arial" w:hAnsi="Arial" w:cs="Arial"/>
                <w:i/>
                <w:iCs/>
                <w:szCs w:val="20"/>
              </w:rPr>
              <w:t xml:space="preserve"> vulpinus</w:t>
            </w:r>
          </w:p>
        </w:tc>
        <w:tc>
          <w:tcPr>
            <w:tcW w:w="609" w:type="dxa"/>
            <w:tcBorders>
              <w:left w:val="nil"/>
              <w:right w:val="nil"/>
            </w:tcBorders>
            <w:hideMark/>
          </w:tcPr>
          <w:p w14:paraId="174EC3E7"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left w:val="nil"/>
              <w:right w:val="nil"/>
            </w:tcBorders>
            <w:hideMark/>
          </w:tcPr>
          <w:p w14:paraId="43BE24CC"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70968291"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591BFA6C"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Anoxypristis</w:t>
            </w:r>
            <w:proofErr w:type="spellEnd"/>
            <w:r w:rsidRPr="009E16F8">
              <w:rPr>
                <w:rFonts w:ascii="Arial" w:hAnsi="Arial" w:cs="Arial"/>
                <w:i/>
                <w:iCs/>
                <w:szCs w:val="20"/>
              </w:rPr>
              <w:t xml:space="preserve"> </w:t>
            </w:r>
            <w:proofErr w:type="spellStart"/>
            <w:r w:rsidRPr="009E16F8">
              <w:rPr>
                <w:rFonts w:ascii="Arial" w:hAnsi="Arial" w:cs="Arial"/>
                <w:i/>
                <w:iCs/>
                <w:szCs w:val="20"/>
              </w:rPr>
              <w:t>cuspidata</w:t>
            </w:r>
            <w:proofErr w:type="spellEnd"/>
          </w:p>
        </w:tc>
        <w:tc>
          <w:tcPr>
            <w:tcW w:w="612" w:type="dxa"/>
            <w:tcBorders>
              <w:left w:val="nil"/>
              <w:right w:val="nil"/>
            </w:tcBorders>
            <w:hideMark/>
          </w:tcPr>
          <w:p w14:paraId="2162E3E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12076DB1" wp14:editId="4207E80E">
                  <wp:extent cx="95250" cy="95250"/>
                  <wp:effectExtent l="0" t="0" r="0" b="0"/>
                  <wp:docPr id="52" name="Picture 5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69CE6A50"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45E493C" wp14:editId="702C6F11">
                  <wp:extent cx="95250" cy="95250"/>
                  <wp:effectExtent l="0" t="0" r="0" b="0"/>
                  <wp:docPr id="51" name="Picture 5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0FA7EF73" w14:textId="77777777" w:rsidTr="009E16F8">
        <w:trPr>
          <w:trHeight w:val="241"/>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321852E6"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Cetorhinus</w:t>
            </w:r>
            <w:proofErr w:type="spellEnd"/>
            <w:r w:rsidRPr="009E16F8">
              <w:rPr>
                <w:rFonts w:ascii="Arial" w:hAnsi="Arial" w:cs="Arial"/>
                <w:i/>
                <w:iCs/>
                <w:szCs w:val="20"/>
              </w:rPr>
              <w:t xml:space="preserve"> maximus</w:t>
            </w:r>
          </w:p>
        </w:tc>
        <w:tc>
          <w:tcPr>
            <w:tcW w:w="609" w:type="dxa"/>
            <w:tcBorders>
              <w:top w:val="nil"/>
              <w:left w:val="nil"/>
              <w:bottom w:val="nil"/>
              <w:right w:val="nil"/>
            </w:tcBorders>
            <w:hideMark/>
          </w:tcPr>
          <w:p w14:paraId="6A3113C0"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77CF908D"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70E96F53"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4660B7F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Pristis</w:t>
            </w:r>
            <w:proofErr w:type="spellEnd"/>
            <w:r w:rsidRPr="009E16F8">
              <w:rPr>
                <w:rFonts w:ascii="Arial" w:hAnsi="Arial" w:cs="Arial"/>
                <w:i/>
                <w:iCs/>
                <w:szCs w:val="20"/>
              </w:rPr>
              <w:t xml:space="preserve"> </w:t>
            </w:r>
            <w:proofErr w:type="spellStart"/>
            <w:r w:rsidRPr="009E16F8">
              <w:rPr>
                <w:rFonts w:ascii="Arial" w:hAnsi="Arial" w:cs="Arial"/>
                <w:i/>
                <w:iCs/>
                <w:szCs w:val="20"/>
              </w:rPr>
              <w:t>clavata</w:t>
            </w:r>
            <w:proofErr w:type="spellEnd"/>
          </w:p>
        </w:tc>
        <w:tc>
          <w:tcPr>
            <w:tcW w:w="612" w:type="dxa"/>
            <w:tcBorders>
              <w:top w:val="nil"/>
              <w:left w:val="nil"/>
              <w:bottom w:val="nil"/>
              <w:right w:val="nil"/>
            </w:tcBorders>
            <w:hideMark/>
          </w:tcPr>
          <w:p w14:paraId="077E5F7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73ADCB12" wp14:editId="6D5460F4">
                  <wp:extent cx="95250" cy="95250"/>
                  <wp:effectExtent l="0" t="0" r="0" b="0"/>
                  <wp:docPr id="50" name="Picture 5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16211ED1"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591874BD" wp14:editId="1A43597E">
                  <wp:extent cx="95250" cy="95250"/>
                  <wp:effectExtent l="0" t="0" r="0" b="0"/>
                  <wp:docPr id="49" name="Picture 49"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61482062" w14:textId="77777777" w:rsidTr="009E16F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3899D91B"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Carcharodon carcharias</w:t>
            </w:r>
          </w:p>
        </w:tc>
        <w:tc>
          <w:tcPr>
            <w:tcW w:w="609" w:type="dxa"/>
            <w:tcBorders>
              <w:left w:val="nil"/>
              <w:right w:val="nil"/>
            </w:tcBorders>
            <w:hideMark/>
          </w:tcPr>
          <w:p w14:paraId="012AC1D8"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left w:val="nil"/>
              <w:right w:val="nil"/>
            </w:tcBorders>
            <w:hideMark/>
          </w:tcPr>
          <w:p w14:paraId="605B378F"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266F5CB7"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1944AFC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Pristis</w:t>
            </w:r>
            <w:proofErr w:type="spellEnd"/>
            <w:r w:rsidRPr="009E16F8">
              <w:rPr>
                <w:rFonts w:ascii="Arial" w:hAnsi="Arial" w:cs="Arial"/>
                <w:i/>
                <w:iCs/>
                <w:szCs w:val="20"/>
              </w:rPr>
              <w:t xml:space="preserve"> </w:t>
            </w:r>
            <w:proofErr w:type="spellStart"/>
            <w:r w:rsidRPr="009E16F8">
              <w:rPr>
                <w:rFonts w:ascii="Arial" w:hAnsi="Arial" w:cs="Arial"/>
                <w:i/>
                <w:iCs/>
                <w:szCs w:val="20"/>
              </w:rPr>
              <w:t>pectinata</w:t>
            </w:r>
            <w:proofErr w:type="spellEnd"/>
          </w:p>
        </w:tc>
        <w:tc>
          <w:tcPr>
            <w:tcW w:w="612" w:type="dxa"/>
            <w:tcBorders>
              <w:left w:val="nil"/>
              <w:right w:val="nil"/>
            </w:tcBorders>
            <w:hideMark/>
          </w:tcPr>
          <w:p w14:paraId="7B1809D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24CD00A8" wp14:editId="679EE440">
                  <wp:extent cx="95250" cy="95250"/>
                  <wp:effectExtent l="0" t="0" r="0" b="0"/>
                  <wp:docPr id="3" name="Picture 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643F08F9"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55A7666E" wp14:editId="12117B7B">
                  <wp:extent cx="95250" cy="95250"/>
                  <wp:effectExtent l="0" t="0" r="0" b="0"/>
                  <wp:docPr id="48" name="Picture 4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3CFFFBFF"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270F26F8"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Isurus</w:t>
            </w:r>
            <w:proofErr w:type="spellEnd"/>
            <w:r w:rsidRPr="009E16F8">
              <w:rPr>
                <w:rFonts w:ascii="Arial" w:hAnsi="Arial" w:cs="Arial"/>
                <w:i/>
                <w:iCs/>
                <w:szCs w:val="20"/>
              </w:rPr>
              <w:t xml:space="preserve"> </w:t>
            </w:r>
            <w:proofErr w:type="spellStart"/>
            <w:r w:rsidRPr="009E16F8">
              <w:rPr>
                <w:rFonts w:ascii="Arial" w:hAnsi="Arial" w:cs="Arial"/>
                <w:i/>
                <w:iCs/>
                <w:szCs w:val="20"/>
              </w:rPr>
              <w:t>oxyrinchus</w:t>
            </w:r>
            <w:proofErr w:type="spellEnd"/>
          </w:p>
        </w:tc>
        <w:tc>
          <w:tcPr>
            <w:tcW w:w="609" w:type="dxa"/>
            <w:tcBorders>
              <w:top w:val="nil"/>
              <w:left w:val="nil"/>
              <w:bottom w:val="nil"/>
              <w:right w:val="nil"/>
            </w:tcBorders>
            <w:hideMark/>
          </w:tcPr>
          <w:p w14:paraId="0B56C9F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1B8FDD35"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7925FC1D"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4145D7C6"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Pristis</w:t>
            </w:r>
            <w:proofErr w:type="spellEnd"/>
            <w:r w:rsidRPr="009E16F8">
              <w:rPr>
                <w:rFonts w:ascii="Arial" w:hAnsi="Arial" w:cs="Arial"/>
                <w:i/>
                <w:iCs/>
                <w:szCs w:val="20"/>
              </w:rPr>
              <w:t xml:space="preserve"> </w:t>
            </w:r>
            <w:proofErr w:type="spellStart"/>
            <w:r w:rsidRPr="009E16F8">
              <w:rPr>
                <w:rFonts w:ascii="Arial" w:hAnsi="Arial" w:cs="Arial"/>
                <w:i/>
                <w:iCs/>
                <w:szCs w:val="20"/>
              </w:rPr>
              <w:t>pristis</w:t>
            </w:r>
            <w:proofErr w:type="spellEnd"/>
          </w:p>
        </w:tc>
        <w:tc>
          <w:tcPr>
            <w:tcW w:w="612" w:type="dxa"/>
            <w:tcBorders>
              <w:top w:val="nil"/>
              <w:left w:val="nil"/>
              <w:bottom w:val="nil"/>
              <w:right w:val="nil"/>
            </w:tcBorders>
            <w:hideMark/>
          </w:tcPr>
          <w:p w14:paraId="2F73AEDB"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3BAD847" wp14:editId="7207F747">
                  <wp:extent cx="95250" cy="95250"/>
                  <wp:effectExtent l="0" t="0" r="0" b="0"/>
                  <wp:docPr id="2" name="Picture 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0407DEE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265B77BD" w14:textId="77777777" w:rsidTr="009E16F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43732D91"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Isurus</w:t>
            </w:r>
            <w:proofErr w:type="spellEnd"/>
            <w:r w:rsidRPr="009E16F8">
              <w:rPr>
                <w:rFonts w:ascii="Arial" w:hAnsi="Arial" w:cs="Arial"/>
                <w:i/>
                <w:iCs/>
                <w:szCs w:val="20"/>
              </w:rPr>
              <w:t xml:space="preserve"> </w:t>
            </w:r>
            <w:proofErr w:type="spellStart"/>
            <w:r w:rsidRPr="009E16F8">
              <w:rPr>
                <w:rFonts w:ascii="Arial" w:hAnsi="Arial" w:cs="Arial"/>
                <w:i/>
                <w:iCs/>
                <w:szCs w:val="20"/>
              </w:rPr>
              <w:t>paucus</w:t>
            </w:r>
            <w:proofErr w:type="spellEnd"/>
          </w:p>
        </w:tc>
        <w:tc>
          <w:tcPr>
            <w:tcW w:w="609" w:type="dxa"/>
            <w:tcBorders>
              <w:left w:val="nil"/>
              <w:right w:val="nil"/>
            </w:tcBorders>
            <w:hideMark/>
          </w:tcPr>
          <w:p w14:paraId="34A7FBE7"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614" w:type="dxa"/>
            <w:tcBorders>
              <w:left w:val="nil"/>
              <w:right w:val="nil"/>
            </w:tcBorders>
            <w:hideMark/>
          </w:tcPr>
          <w:p w14:paraId="2B7799CC"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2653E88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7C0C261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Pristis</w:t>
            </w:r>
            <w:proofErr w:type="spellEnd"/>
            <w:r w:rsidRPr="009E16F8">
              <w:rPr>
                <w:rFonts w:ascii="Arial" w:hAnsi="Arial" w:cs="Arial"/>
                <w:i/>
                <w:iCs/>
                <w:szCs w:val="20"/>
              </w:rPr>
              <w:t xml:space="preserve"> </w:t>
            </w:r>
            <w:proofErr w:type="spellStart"/>
            <w:r w:rsidRPr="009E16F8">
              <w:rPr>
                <w:rFonts w:ascii="Arial" w:hAnsi="Arial" w:cs="Arial"/>
                <w:i/>
                <w:iCs/>
                <w:szCs w:val="20"/>
              </w:rPr>
              <w:t>zijsron</w:t>
            </w:r>
            <w:proofErr w:type="spellEnd"/>
          </w:p>
        </w:tc>
        <w:tc>
          <w:tcPr>
            <w:tcW w:w="612" w:type="dxa"/>
            <w:tcBorders>
              <w:left w:val="nil"/>
              <w:right w:val="nil"/>
            </w:tcBorders>
            <w:hideMark/>
          </w:tcPr>
          <w:p w14:paraId="791EDA4F"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36A656AE" wp14:editId="26581CAA">
                  <wp:extent cx="95250" cy="95250"/>
                  <wp:effectExtent l="0" t="0" r="0" b="0"/>
                  <wp:docPr id="47" name="Picture 4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2FA9F652"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1D507C3A" wp14:editId="33BA8813">
                  <wp:extent cx="95250" cy="95250"/>
                  <wp:effectExtent l="0" t="0" r="0" b="0"/>
                  <wp:docPr id="46" name="Picture 4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25D43D82"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1E0D603C"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Lamna nasus</w:t>
            </w:r>
          </w:p>
        </w:tc>
        <w:tc>
          <w:tcPr>
            <w:tcW w:w="609" w:type="dxa"/>
            <w:tcBorders>
              <w:top w:val="nil"/>
              <w:left w:val="nil"/>
              <w:bottom w:val="nil"/>
              <w:right w:val="nil"/>
            </w:tcBorders>
            <w:hideMark/>
          </w:tcPr>
          <w:p w14:paraId="023197B8"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439630FB"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73E1DD6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3AF8CA69"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alfredi</w:t>
            </w:r>
            <w:proofErr w:type="spellEnd"/>
          </w:p>
        </w:tc>
        <w:tc>
          <w:tcPr>
            <w:tcW w:w="612" w:type="dxa"/>
            <w:tcBorders>
              <w:top w:val="nil"/>
              <w:left w:val="nil"/>
              <w:bottom w:val="nil"/>
              <w:right w:val="nil"/>
            </w:tcBorders>
            <w:hideMark/>
          </w:tcPr>
          <w:p w14:paraId="7579E4F3"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160313ED" wp14:editId="0F202878">
                  <wp:extent cx="95250" cy="95250"/>
                  <wp:effectExtent l="0" t="0" r="0" b="0"/>
                  <wp:docPr id="45" name="Picture 45"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60513111"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5FBD2E00" wp14:editId="779AAEDB">
                  <wp:extent cx="95250" cy="95250"/>
                  <wp:effectExtent l="0" t="0" r="0" b="0"/>
                  <wp:docPr id="44" name="Picture 4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4EBBF119" w14:textId="77777777" w:rsidTr="009E16F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5A486005" w14:textId="77777777" w:rsidR="009E16F8" w:rsidRPr="009E16F8" w:rsidRDefault="009E16F8" w:rsidP="009E16F8">
            <w:pPr>
              <w:contextualSpacing/>
              <w:jc w:val="both"/>
              <w:rPr>
                <w:rFonts w:ascii="Arial" w:hAnsi="Arial" w:cs="Arial"/>
                <w:i/>
                <w:iCs/>
                <w:szCs w:val="20"/>
                <w:lang w:val="fr-FR"/>
              </w:rPr>
            </w:pPr>
            <w:proofErr w:type="spellStart"/>
            <w:r w:rsidRPr="009E16F8">
              <w:rPr>
                <w:rFonts w:ascii="Arial" w:hAnsi="Arial" w:cs="Arial"/>
                <w:i/>
                <w:iCs/>
                <w:szCs w:val="20"/>
                <w:lang w:val="fr-FR"/>
              </w:rPr>
              <w:t>Rhincodon</w:t>
            </w:r>
            <w:proofErr w:type="spellEnd"/>
            <w:r w:rsidRPr="009E16F8">
              <w:rPr>
                <w:rFonts w:ascii="Arial" w:hAnsi="Arial" w:cs="Arial"/>
                <w:i/>
                <w:iCs/>
                <w:szCs w:val="20"/>
                <w:lang w:val="fr-FR"/>
              </w:rPr>
              <w:t xml:space="preserve"> </w:t>
            </w:r>
            <w:proofErr w:type="spellStart"/>
            <w:r w:rsidRPr="009E16F8">
              <w:rPr>
                <w:rFonts w:ascii="Arial" w:hAnsi="Arial" w:cs="Arial"/>
                <w:i/>
                <w:iCs/>
                <w:szCs w:val="20"/>
                <w:lang w:val="fr-FR"/>
              </w:rPr>
              <w:t>typus</w:t>
            </w:r>
            <w:proofErr w:type="spellEnd"/>
            <w:r w:rsidRPr="009E16F8">
              <w:rPr>
                <w:rFonts w:ascii="Arial" w:hAnsi="Arial" w:cs="Arial"/>
                <w:i/>
                <w:iCs/>
                <w:szCs w:val="20"/>
                <w:vertAlign w:val="superscript"/>
                <w:lang w:val="fr-FR"/>
              </w:rPr>
              <w:footnoteReference w:id="4"/>
            </w:r>
          </w:p>
        </w:tc>
        <w:tc>
          <w:tcPr>
            <w:tcW w:w="609" w:type="dxa"/>
            <w:tcBorders>
              <w:left w:val="nil"/>
              <w:right w:val="nil"/>
            </w:tcBorders>
            <w:hideMark/>
          </w:tcPr>
          <w:p w14:paraId="259877B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614" w:type="dxa"/>
            <w:tcBorders>
              <w:left w:val="nil"/>
              <w:right w:val="nil"/>
            </w:tcBorders>
            <w:hideMark/>
          </w:tcPr>
          <w:p w14:paraId="65353710"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458E589F"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00EAB69D"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birostris</w:t>
            </w:r>
            <w:proofErr w:type="spellEnd"/>
          </w:p>
        </w:tc>
        <w:tc>
          <w:tcPr>
            <w:tcW w:w="612" w:type="dxa"/>
            <w:tcBorders>
              <w:left w:val="nil"/>
              <w:right w:val="nil"/>
            </w:tcBorders>
            <w:hideMark/>
          </w:tcPr>
          <w:p w14:paraId="476C5943"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0433073E" wp14:editId="34A9766B">
                  <wp:extent cx="95250" cy="95250"/>
                  <wp:effectExtent l="0" t="0" r="0" b="0"/>
                  <wp:docPr id="42" name="Picture 4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22A929F9"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4A66C2B2"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1B1D3C67"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Galeorhinus</w:t>
            </w:r>
            <w:proofErr w:type="spellEnd"/>
            <w:r w:rsidRPr="009E16F8">
              <w:rPr>
                <w:rFonts w:ascii="Arial" w:hAnsi="Arial" w:cs="Arial"/>
                <w:i/>
                <w:iCs/>
                <w:szCs w:val="20"/>
              </w:rPr>
              <w:t xml:space="preserve"> </w:t>
            </w:r>
            <w:proofErr w:type="spellStart"/>
            <w:r w:rsidRPr="009E16F8">
              <w:rPr>
                <w:rFonts w:ascii="Arial" w:hAnsi="Arial" w:cs="Arial"/>
                <w:i/>
                <w:iCs/>
                <w:szCs w:val="20"/>
              </w:rPr>
              <w:t>galeus</w:t>
            </w:r>
            <w:proofErr w:type="spellEnd"/>
          </w:p>
        </w:tc>
        <w:tc>
          <w:tcPr>
            <w:tcW w:w="609" w:type="dxa"/>
            <w:tcBorders>
              <w:top w:val="nil"/>
              <w:left w:val="nil"/>
              <w:bottom w:val="nil"/>
              <w:right w:val="nil"/>
            </w:tcBorders>
            <w:hideMark/>
          </w:tcPr>
          <w:p w14:paraId="4BA2F99C"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464EA65F"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5251560A"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155E9B12"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eregoodoo</w:t>
            </w:r>
            <w:proofErr w:type="spellEnd"/>
          </w:p>
        </w:tc>
        <w:tc>
          <w:tcPr>
            <w:tcW w:w="612" w:type="dxa"/>
            <w:tcBorders>
              <w:top w:val="nil"/>
              <w:left w:val="nil"/>
              <w:bottom w:val="nil"/>
              <w:right w:val="nil"/>
            </w:tcBorders>
            <w:hideMark/>
          </w:tcPr>
          <w:p w14:paraId="696FC86B"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6430B6BE" wp14:editId="3BDF88FD">
                  <wp:extent cx="95250" cy="95250"/>
                  <wp:effectExtent l="0" t="0" r="0" b="0"/>
                  <wp:docPr id="40" name="Picture 40"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0068AAA2"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09973651" wp14:editId="090B8431">
                  <wp:extent cx="95250" cy="95250"/>
                  <wp:effectExtent l="0" t="0" r="0" b="0"/>
                  <wp:docPr id="14" name="Picture 1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732A7FB9" w14:textId="77777777" w:rsidTr="009E16F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3480932"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Carcharhinus.falciformis</w:t>
            </w:r>
            <w:proofErr w:type="spellEnd"/>
          </w:p>
        </w:tc>
        <w:tc>
          <w:tcPr>
            <w:tcW w:w="609" w:type="dxa"/>
            <w:tcBorders>
              <w:left w:val="nil"/>
              <w:right w:val="nil"/>
            </w:tcBorders>
            <w:hideMark/>
          </w:tcPr>
          <w:p w14:paraId="5D95A5E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614" w:type="dxa"/>
            <w:tcBorders>
              <w:left w:val="nil"/>
              <w:right w:val="nil"/>
            </w:tcBorders>
            <w:hideMark/>
          </w:tcPr>
          <w:p w14:paraId="510B11A5"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30B0C8A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090E5CC1"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lang w:val="fr-FR"/>
              </w:rPr>
            </w:pPr>
            <w:proofErr w:type="spellStart"/>
            <w:r w:rsidRPr="009E16F8">
              <w:rPr>
                <w:rFonts w:ascii="Arial" w:hAnsi="Arial" w:cs="Arial"/>
                <w:i/>
                <w:iCs/>
                <w:szCs w:val="20"/>
                <w:lang w:val="fr-FR"/>
              </w:rPr>
              <w:t>Mobula</w:t>
            </w:r>
            <w:proofErr w:type="spellEnd"/>
            <w:r w:rsidRPr="009E16F8">
              <w:rPr>
                <w:rFonts w:ascii="Arial" w:hAnsi="Arial" w:cs="Arial"/>
                <w:i/>
                <w:iCs/>
                <w:szCs w:val="20"/>
                <w:lang w:val="fr-FR"/>
              </w:rPr>
              <w:t xml:space="preserve"> </w:t>
            </w:r>
            <w:proofErr w:type="spellStart"/>
            <w:r w:rsidRPr="009E16F8">
              <w:rPr>
                <w:rFonts w:ascii="Arial" w:hAnsi="Arial" w:cs="Arial"/>
                <w:i/>
                <w:iCs/>
                <w:szCs w:val="20"/>
                <w:lang w:val="fr-FR"/>
              </w:rPr>
              <w:t>hypostoma</w:t>
            </w:r>
            <w:proofErr w:type="spellEnd"/>
            <w:r w:rsidRPr="009E16F8">
              <w:rPr>
                <w:rFonts w:ascii="Arial" w:hAnsi="Arial" w:cs="Arial"/>
                <w:i/>
                <w:iCs/>
                <w:szCs w:val="20"/>
                <w:bdr w:val="none" w:sz="0" w:space="0" w:color="auto" w:frame="1"/>
                <w:vertAlign w:val="superscript"/>
                <w:lang w:val="fr-FR" w:eastAsia="en-GB"/>
              </w:rPr>
              <w:footnoteReference w:id="5"/>
            </w:r>
            <w:r w:rsidRPr="009E16F8">
              <w:rPr>
                <w:rFonts w:ascii="Arial" w:hAnsi="Arial" w:cs="Arial"/>
                <w:i/>
                <w:iCs/>
                <w:szCs w:val="20"/>
                <w:lang w:val="fr-FR"/>
              </w:rPr>
              <w:t xml:space="preserve"> </w:t>
            </w:r>
          </w:p>
        </w:tc>
        <w:tc>
          <w:tcPr>
            <w:tcW w:w="612" w:type="dxa"/>
            <w:tcBorders>
              <w:left w:val="nil"/>
              <w:right w:val="nil"/>
            </w:tcBorders>
            <w:hideMark/>
          </w:tcPr>
          <w:p w14:paraId="0709006E"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19DAF936" wp14:editId="009742F2">
                  <wp:extent cx="95250" cy="95250"/>
                  <wp:effectExtent l="0" t="0" r="0" b="0"/>
                  <wp:docPr id="13" name="Picture 13"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7F6224C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5EFE57A" wp14:editId="1F434F91">
                  <wp:extent cx="95250" cy="95250"/>
                  <wp:effectExtent l="0" t="0" r="0" b="0"/>
                  <wp:docPr id="12" name="Picture 12"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52335302"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4072BF56" w14:textId="77777777" w:rsidR="009E16F8" w:rsidRPr="009E16F8" w:rsidRDefault="009E16F8" w:rsidP="009E16F8">
            <w:pPr>
              <w:contextualSpacing/>
              <w:jc w:val="both"/>
              <w:rPr>
                <w:rFonts w:ascii="Arial" w:hAnsi="Arial" w:cs="Arial"/>
                <w:i/>
                <w:iCs/>
                <w:szCs w:val="20"/>
              </w:rPr>
            </w:pPr>
            <w:proofErr w:type="spellStart"/>
            <w:r w:rsidRPr="009E16F8">
              <w:rPr>
                <w:rFonts w:ascii="Arial" w:hAnsi="Arial" w:cs="Arial"/>
                <w:i/>
                <w:iCs/>
                <w:szCs w:val="20"/>
              </w:rPr>
              <w:t>Carcharhinus.longimanus</w:t>
            </w:r>
            <w:proofErr w:type="spellEnd"/>
          </w:p>
        </w:tc>
        <w:tc>
          <w:tcPr>
            <w:tcW w:w="609" w:type="dxa"/>
            <w:tcBorders>
              <w:top w:val="nil"/>
              <w:left w:val="nil"/>
              <w:bottom w:val="nil"/>
              <w:right w:val="nil"/>
            </w:tcBorders>
            <w:hideMark/>
          </w:tcPr>
          <w:p w14:paraId="0D232C13"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Arial" w:hAnsi="Arial" w:cs="Arial"/>
                <w:szCs w:val="20"/>
              </w:rPr>
              <w:t>?</w:t>
            </w:r>
          </w:p>
        </w:tc>
        <w:tc>
          <w:tcPr>
            <w:tcW w:w="614" w:type="dxa"/>
            <w:tcBorders>
              <w:top w:val="nil"/>
              <w:left w:val="nil"/>
              <w:bottom w:val="nil"/>
              <w:right w:val="nil"/>
            </w:tcBorders>
            <w:hideMark/>
          </w:tcPr>
          <w:p w14:paraId="195E829C"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59C56CD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05EE6475"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kuhlii</w:t>
            </w:r>
            <w:proofErr w:type="spellEnd"/>
          </w:p>
        </w:tc>
        <w:tc>
          <w:tcPr>
            <w:tcW w:w="612" w:type="dxa"/>
            <w:tcBorders>
              <w:top w:val="nil"/>
              <w:left w:val="nil"/>
              <w:bottom w:val="nil"/>
              <w:right w:val="nil"/>
            </w:tcBorders>
            <w:hideMark/>
          </w:tcPr>
          <w:p w14:paraId="25908DE2"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74502F3C" wp14:editId="43310E87">
                  <wp:extent cx="95250" cy="95250"/>
                  <wp:effectExtent l="0" t="0" r="0" b="0"/>
                  <wp:docPr id="11" name="Picture 11"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359FE57A"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C072317" wp14:editId="48D9FF39">
                  <wp:extent cx="95250" cy="95250"/>
                  <wp:effectExtent l="0" t="0" r="0" b="0"/>
                  <wp:docPr id="6" name="Picture 6"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r>
      <w:tr w:rsidR="009E16F8" w:rsidRPr="009E16F8" w14:paraId="21502DD2" w14:textId="77777777" w:rsidTr="009E16F8">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16045DD4"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Carcharhinus obscurus</w:t>
            </w:r>
          </w:p>
        </w:tc>
        <w:tc>
          <w:tcPr>
            <w:tcW w:w="609" w:type="dxa"/>
            <w:tcBorders>
              <w:left w:val="nil"/>
              <w:right w:val="nil"/>
            </w:tcBorders>
            <w:hideMark/>
          </w:tcPr>
          <w:p w14:paraId="40904949"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left w:val="nil"/>
              <w:right w:val="nil"/>
            </w:tcBorders>
            <w:hideMark/>
          </w:tcPr>
          <w:p w14:paraId="7A5842FE"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Arial" w:hAnsi="Arial" w:cs="Arial"/>
                <w:szCs w:val="20"/>
              </w:rPr>
              <w:t>?</w:t>
            </w:r>
          </w:p>
        </w:tc>
        <w:tc>
          <w:tcPr>
            <w:tcW w:w="793" w:type="dxa"/>
            <w:tcBorders>
              <w:left w:val="nil"/>
              <w:right w:val="nil"/>
            </w:tcBorders>
          </w:tcPr>
          <w:p w14:paraId="270F036F"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0603883A"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lang w:val="fr-FR"/>
              </w:rPr>
            </w:pPr>
            <w:proofErr w:type="spellStart"/>
            <w:r w:rsidRPr="009E16F8">
              <w:rPr>
                <w:rFonts w:ascii="Arial" w:hAnsi="Arial" w:cs="Arial"/>
                <w:i/>
                <w:iCs/>
                <w:szCs w:val="20"/>
                <w:lang w:val="fr-FR"/>
              </w:rPr>
              <w:t>Mobula</w:t>
            </w:r>
            <w:proofErr w:type="spellEnd"/>
            <w:r w:rsidRPr="009E16F8">
              <w:rPr>
                <w:rFonts w:ascii="Arial" w:hAnsi="Arial" w:cs="Arial"/>
                <w:i/>
                <w:iCs/>
                <w:szCs w:val="20"/>
                <w:lang w:val="fr-FR"/>
              </w:rPr>
              <w:t xml:space="preserve"> mobular</w:t>
            </w:r>
            <w:r w:rsidRPr="009E16F8">
              <w:rPr>
                <w:rFonts w:ascii="Arial" w:hAnsi="Arial" w:cs="Arial"/>
                <w:i/>
                <w:iCs/>
                <w:szCs w:val="20"/>
                <w:bdr w:val="none" w:sz="0" w:space="0" w:color="auto" w:frame="1"/>
                <w:vertAlign w:val="superscript"/>
                <w:lang w:val="fr-FR" w:eastAsia="en-GB"/>
              </w:rPr>
              <w:footnoteReference w:id="6"/>
            </w:r>
          </w:p>
        </w:tc>
        <w:tc>
          <w:tcPr>
            <w:tcW w:w="612" w:type="dxa"/>
            <w:tcBorders>
              <w:left w:val="nil"/>
              <w:right w:val="nil"/>
            </w:tcBorders>
            <w:hideMark/>
          </w:tcPr>
          <w:p w14:paraId="508DD6CF"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2" w:type="dxa"/>
            <w:tcBorders>
              <w:left w:val="nil"/>
              <w:right w:val="nil"/>
            </w:tcBorders>
            <w:hideMark/>
          </w:tcPr>
          <w:p w14:paraId="6C76B6D0"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1E4FE751"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1BFA8644"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Prionace glauca</w:t>
            </w:r>
          </w:p>
        </w:tc>
        <w:tc>
          <w:tcPr>
            <w:tcW w:w="609" w:type="dxa"/>
            <w:tcBorders>
              <w:top w:val="nil"/>
              <w:left w:val="nil"/>
              <w:bottom w:val="nil"/>
              <w:right w:val="nil"/>
            </w:tcBorders>
            <w:hideMark/>
          </w:tcPr>
          <w:p w14:paraId="74FDA249"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top w:val="nil"/>
              <w:left w:val="nil"/>
              <w:bottom w:val="nil"/>
              <w:right w:val="nil"/>
            </w:tcBorders>
            <w:hideMark/>
          </w:tcPr>
          <w:p w14:paraId="4147C494"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794D378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225941F7"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munkiana</w:t>
            </w:r>
            <w:proofErr w:type="spellEnd"/>
          </w:p>
        </w:tc>
        <w:tc>
          <w:tcPr>
            <w:tcW w:w="612" w:type="dxa"/>
            <w:tcBorders>
              <w:top w:val="nil"/>
              <w:left w:val="nil"/>
              <w:bottom w:val="nil"/>
              <w:right w:val="nil"/>
            </w:tcBorders>
            <w:hideMark/>
          </w:tcPr>
          <w:p w14:paraId="5544727A"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6E210DB0" wp14:editId="05170CEE">
                  <wp:extent cx="95250" cy="95250"/>
                  <wp:effectExtent l="0" t="0" r="0" b="0"/>
                  <wp:docPr id="4" name="Picture 4"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3DE892AE"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40177D5E" w14:textId="77777777" w:rsidTr="009E16F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7A69DA8D"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 xml:space="preserve">Sphyrna </w:t>
            </w:r>
            <w:proofErr w:type="spellStart"/>
            <w:r w:rsidRPr="009E16F8">
              <w:rPr>
                <w:rFonts w:ascii="Arial" w:hAnsi="Arial" w:cs="Arial"/>
                <w:i/>
                <w:iCs/>
                <w:szCs w:val="20"/>
              </w:rPr>
              <w:t>lewini</w:t>
            </w:r>
            <w:proofErr w:type="spellEnd"/>
          </w:p>
        </w:tc>
        <w:tc>
          <w:tcPr>
            <w:tcW w:w="609" w:type="dxa"/>
            <w:tcBorders>
              <w:left w:val="nil"/>
              <w:right w:val="nil"/>
            </w:tcBorders>
            <w:hideMark/>
          </w:tcPr>
          <w:p w14:paraId="49F2420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614" w:type="dxa"/>
            <w:tcBorders>
              <w:left w:val="nil"/>
              <w:right w:val="nil"/>
            </w:tcBorders>
            <w:hideMark/>
          </w:tcPr>
          <w:p w14:paraId="6DDC6C58"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3C356FB1"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hideMark/>
          </w:tcPr>
          <w:p w14:paraId="690ABFBA"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tarapacana</w:t>
            </w:r>
            <w:proofErr w:type="spellEnd"/>
          </w:p>
        </w:tc>
        <w:tc>
          <w:tcPr>
            <w:tcW w:w="612" w:type="dxa"/>
            <w:tcBorders>
              <w:left w:val="nil"/>
              <w:right w:val="nil"/>
            </w:tcBorders>
            <w:hideMark/>
          </w:tcPr>
          <w:p w14:paraId="5C6A2806"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6057C0D4" wp14:editId="218D71F7">
                  <wp:extent cx="95250" cy="95250"/>
                  <wp:effectExtent l="0" t="0" r="0" b="0"/>
                  <wp:docPr id="7" name="Picture 7"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left w:val="nil"/>
              <w:right w:val="nil"/>
            </w:tcBorders>
            <w:hideMark/>
          </w:tcPr>
          <w:p w14:paraId="6F8E45C5"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268F80EF" w14:textId="77777777" w:rsidTr="009E16F8">
        <w:trPr>
          <w:trHeight w:val="257"/>
        </w:trPr>
        <w:tc>
          <w:tcPr>
            <w:cnfStyle w:val="001000000000" w:firstRow="0" w:lastRow="0" w:firstColumn="1" w:lastColumn="0" w:oddVBand="0" w:evenVBand="0" w:oddHBand="0" w:evenHBand="0" w:firstRowFirstColumn="0" w:firstRowLastColumn="0" w:lastRowFirstColumn="0" w:lastRowLastColumn="0"/>
            <w:tcW w:w="2484" w:type="dxa"/>
            <w:tcBorders>
              <w:top w:val="nil"/>
              <w:left w:val="nil"/>
              <w:bottom w:val="nil"/>
              <w:right w:val="nil"/>
            </w:tcBorders>
            <w:hideMark/>
          </w:tcPr>
          <w:p w14:paraId="60316114"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 xml:space="preserve">Sphyrna </w:t>
            </w:r>
            <w:proofErr w:type="spellStart"/>
            <w:r w:rsidRPr="009E16F8">
              <w:rPr>
                <w:rFonts w:ascii="Arial" w:hAnsi="Arial" w:cs="Arial"/>
                <w:i/>
                <w:iCs/>
                <w:szCs w:val="20"/>
              </w:rPr>
              <w:t>mokarran</w:t>
            </w:r>
            <w:proofErr w:type="spellEnd"/>
          </w:p>
        </w:tc>
        <w:tc>
          <w:tcPr>
            <w:tcW w:w="609" w:type="dxa"/>
            <w:tcBorders>
              <w:top w:val="nil"/>
              <w:left w:val="nil"/>
              <w:bottom w:val="nil"/>
              <w:right w:val="nil"/>
            </w:tcBorders>
            <w:hideMark/>
          </w:tcPr>
          <w:p w14:paraId="6166259D"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Cambria Math" w:hAnsi="Cambria Math" w:cs="Cambria Math"/>
                <w:szCs w:val="20"/>
              </w:rPr>
              <w:t>◉</w:t>
            </w:r>
          </w:p>
        </w:tc>
        <w:tc>
          <w:tcPr>
            <w:tcW w:w="614" w:type="dxa"/>
            <w:tcBorders>
              <w:top w:val="nil"/>
              <w:left w:val="nil"/>
              <w:bottom w:val="nil"/>
              <w:right w:val="nil"/>
            </w:tcBorders>
            <w:hideMark/>
          </w:tcPr>
          <w:p w14:paraId="26BDE0B6"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top w:val="nil"/>
              <w:left w:val="nil"/>
              <w:bottom w:val="nil"/>
              <w:right w:val="nil"/>
            </w:tcBorders>
          </w:tcPr>
          <w:p w14:paraId="5D627670"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p>
        </w:tc>
        <w:tc>
          <w:tcPr>
            <w:tcW w:w="2536" w:type="dxa"/>
            <w:tcBorders>
              <w:top w:val="nil"/>
              <w:left w:val="nil"/>
              <w:bottom w:val="nil"/>
              <w:right w:val="nil"/>
            </w:tcBorders>
            <w:hideMark/>
          </w:tcPr>
          <w:p w14:paraId="25669C1A"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szCs w:val="20"/>
              </w:rPr>
            </w:pPr>
            <w:proofErr w:type="spellStart"/>
            <w:r w:rsidRPr="009E16F8">
              <w:rPr>
                <w:rFonts w:ascii="Arial" w:hAnsi="Arial" w:cs="Arial"/>
                <w:i/>
                <w:iCs/>
                <w:szCs w:val="20"/>
              </w:rPr>
              <w:t>Mobula</w:t>
            </w:r>
            <w:proofErr w:type="spellEnd"/>
            <w:r w:rsidRPr="009E16F8">
              <w:rPr>
                <w:rFonts w:ascii="Arial" w:hAnsi="Arial" w:cs="Arial"/>
                <w:i/>
                <w:iCs/>
                <w:szCs w:val="20"/>
              </w:rPr>
              <w:t xml:space="preserve"> </w:t>
            </w:r>
            <w:proofErr w:type="spellStart"/>
            <w:r w:rsidRPr="009E16F8">
              <w:rPr>
                <w:rFonts w:ascii="Arial" w:hAnsi="Arial" w:cs="Arial"/>
                <w:i/>
                <w:iCs/>
                <w:szCs w:val="20"/>
              </w:rPr>
              <w:t>thurstoni</w:t>
            </w:r>
            <w:proofErr w:type="spellEnd"/>
          </w:p>
        </w:tc>
        <w:tc>
          <w:tcPr>
            <w:tcW w:w="612" w:type="dxa"/>
            <w:tcBorders>
              <w:top w:val="nil"/>
              <w:left w:val="nil"/>
              <w:bottom w:val="nil"/>
              <w:right w:val="nil"/>
            </w:tcBorders>
            <w:hideMark/>
          </w:tcPr>
          <w:p w14:paraId="6C7F5D1F"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lang w:val="fr-FR"/>
              </w:rPr>
            </w:pPr>
            <w:r w:rsidRPr="009E16F8">
              <w:rPr>
                <w:rFonts w:ascii="Arial" w:hAnsi="Arial" w:cs="Arial"/>
                <w:noProof/>
                <w:szCs w:val="20"/>
                <w:lang w:val="fr-FR"/>
              </w:rPr>
              <w:drawing>
                <wp:inline distT="0" distB="0" distL="0" distR="0" wp14:anchorId="4A59C841" wp14:editId="71642FF1">
                  <wp:extent cx="95250" cy="95250"/>
                  <wp:effectExtent l="0" t="0" r="0" b="0"/>
                  <wp:docPr id="8" name="Picture 8" descr="StatusCirc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tatusCircl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5250" cy="95250"/>
                          </a:xfrm>
                          <a:prstGeom prst="rect">
                            <a:avLst/>
                          </a:prstGeom>
                          <a:noFill/>
                          <a:ln>
                            <a:noFill/>
                          </a:ln>
                        </pic:spPr>
                      </pic:pic>
                    </a:graphicData>
                  </a:graphic>
                </wp:inline>
              </w:drawing>
            </w:r>
          </w:p>
        </w:tc>
        <w:tc>
          <w:tcPr>
            <w:tcW w:w="612" w:type="dxa"/>
            <w:tcBorders>
              <w:top w:val="nil"/>
              <w:left w:val="nil"/>
              <w:bottom w:val="nil"/>
              <w:right w:val="nil"/>
            </w:tcBorders>
            <w:hideMark/>
          </w:tcPr>
          <w:p w14:paraId="6D2459A2" w14:textId="77777777" w:rsidR="009E16F8" w:rsidRPr="009E16F8" w:rsidRDefault="009E16F8" w:rsidP="009E16F8">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r>
      <w:tr w:rsidR="009E16F8" w:rsidRPr="009E16F8" w14:paraId="24987357" w14:textId="77777777" w:rsidTr="009E16F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84" w:type="dxa"/>
            <w:tcBorders>
              <w:left w:val="nil"/>
              <w:right w:val="nil"/>
            </w:tcBorders>
            <w:hideMark/>
          </w:tcPr>
          <w:p w14:paraId="6A5205A5" w14:textId="77777777" w:rsidR="009E16F8" w:rsidRPr="009E16F8" w:rsidRDefault="009E16F8" w:rsidP="009E16F8">
            <w:pPr>
              <w:contextualSpacing/>
              <w:jc w:val="both"/>
              <w:rPr>
                <w:rFonts w:ascii="Arial" w:hAnsi="Arial" w:cs="Arial"/>
                <w:i/>
                <w:iCs/>
                <w:szCs w:val="20"/>
              </w:rPr>
            </w:pPr>
            <w:r w:rsidRPr="009E16F8">
              <w:rPr>
                <w:rFonts w:ascii="Arial" w:hAnsi="Arial" w:cs="Arial"/>
                <w:i/>
                <w:iCs/>
                <w:szCs w:val="20"/>
              </w:rPr>
              <w:t xml:space="preserve">Sphyrna </w:t>
            </w:r>
            <w:proofErr w:type="spellStart"/>
            <w:r w:rsidRPr="009E16F8">
              <w:rPr>
                <w:rFonts w:ascii="Arial" w:hAnsi="Arial" w:cs="Arial"/>
                <w:i/>
                <w:iCs/>
                <w:szCs w:val="20"/>
              </w:rPr>
              <w:t>zygaena</w:t>
            </w:r>
            <w:proofErr w:type="spellEnd"/>
          </w:p>
        </w:tc>
        <w:tc>
          <w:tcPr>
            <w:tcW w:w="609" w:type="dxa"/>
            <w:tcBorders>
              <w:left w:val="nil"/>
              <w:right w:val="nil"/>
            </w:tcBorders>
            <w:hideMark/>
          </w:tcPr>
          <w:p w14:paraId="67AF8D51"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614" w:type="dxa"/>
            <w:tcBorders>
              <w:left w:val="nil"/>
              <w:right w:val="nil"/>
            </w:tcBorders>
            <w:hideMark/>
          </w:tcPr>
          <w:p w14:paraId="54CD385D"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rPr>
            </w:pPr>
            <w:r w:rsidRPr="009E16F8">
              <w:rPr>
                <w:rFonts w:ascii="Segoe UI Symbol" w:hAnsi="Segoe UI Symbol" w:cs="Segoe UI Symbol"/>
                <w:szCs w:val="20"/>
              </w:rPr>
              <w:t>⬤</w:t>
            </w:r>
          </w:p>
        </w:tc>
        <w:tc>
          <w:tcPr>
            <w:tcW w:w="793" w:type="dxa"/>
            <w:tcBorders>
              <w:left w:val="nil"/>
              <w:right w:val="nil"/>
            </w:tcBorders>
          </w:tcPr>
          <w:p w14:paraId="5FF81CC1"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iCs/>
                <w:szCs w:val="20"/>
                <w:lang w:val="fr-FR"/>
              </w:rPr>
            </w:pPr>
          </w:p>
        </w:tc>
        <w:tc>
          <w:tcPr>
            <w:tcW w:w="2536" w:type="dxa"/>
            <w:tcBorders>
              <w:left w:val="nil"/>
              <w:right w:val="nil"/>
            </w:tcBorders>
            <w:vAlign w:val="center"/>
            <w:hideMark/>
          </w:tcPr>
          <w:p w14:paraId="4C73F134" w14:textId="77777777" w:rsidR="009E16F8" w:rsidRPr="009E16F8" w:rsidRDefault="009E16F8" w:rsidP="009E16F8">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bCs/>
                <w:iCs/>
                <w:szCs w:val="20"/>
                <w:lang w:val="fr-FR"/>
              </w:rPr>
            </w:pPr>
            <w:r w:rsidRPr="009E16F8">
              <w:rPr>
                <w:rFonts w:ascii="Arial" w:hAnsi="Arial" w:cs="Arial"/>
                <w:b/>
                <w:bCs/>
                <w:szCs w:val="20"/>
                <w:lang w:val="fr-FR"/>
              </w:rPr>
              <w:t>Nombre total d’espèces inscrites à la CMS</w:t>
            </w:r>
          </w:p>
        </w:tc>
        <w:tc>
          <w:tcPr>
            <w:tcW w:w="612" w:type="dxa"/>
            <w:tcBorders>
              <w:left w:val="nil"/>
              <w:right w:val="nil"/>
            </w:tcBorders>
            <w:hideMark/>
          </w:tcPr>
          <w:p w14:paraId="16F9309C"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bCs/>
                <w:iCs/>
                <w:szCs w:val="20"/>
              </w:rPr>
            </w:pPr>
            <w:r w:rsidRPr="009E16F8">
              <w:rPr>
                <w:rFonts w:ascii="Arial" w:hAnsi="Arial" w:cs="Arial"/>
                <w:b/>
                <w:bCs/>
                <w:szCs w:val="20"/>
              </w:rPr>
              <w:t>17</w:t>
            </w:r>
          </w:p>
        </w:tc>
        <w:tc>
          <w:tcPr>
            <w:tcW w:w="612" w:type="dxa"/>
            <w:tcBorders>
              <w:left w:val="nil"/>
              <w:right w:val="nil"/>
            </w:tcBorders>
            <w:hideMark/>
          </w:tcPr>
          <w:p w14:paraId="70CA868B" w14:textId="77777777" w:rsidR="009E16F8" w:rsidRPr="009E16F8" w:rsidRDefault="009E16F8" w:rsidP="009E16F8">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bCs/>
                <w:iCs/>
                <w:szCs w:val="20"/>
              </w:rPr>
            </w:pPr>
            <w:r w:rsidRPr="009E16F8">
              <w:rPr>
                <w:rFonts w:ascii="Arial" w:hAnsi="Arial" w:cs="Arial"/>
                <w:b/>
                <w:bCs/>
                <w:szCs w:val="20"/>
              </w:rPr>
              <w:t>22</w:t>
            </w:r>
          </w:p>
        </w:tc>
      </w:tr>
    </w:tbl>
    <w:p w14:paraId="5E414692" w14:textId="77777777" w:rsidR="009E16F8" w:rsidRPr="009E16F8" w:rsidRDefault="009E16F8" w:rsidP="009E16F8">
      <w:pPr>
        <w:ind w:right="252"/>
        <w:jc w:val="both"/>
        <w:rPr>
          <w:rFonts w:ascii="Arial" w:hAnsi="Arial"/>
          <w:sz w:val="22"/>
          <w:szCs w:val="32"/>
          <w:lang w:val="fr-FR"/>
        </w:rPr>
      </w:pPr>
    </w:p>
    <w:p w14:paraId="093D3B50" w14:textId="77777777" w:rsidR="009E16F8" w:rsidRPr="009E16F8" w:rsidRDefault="009E16F8" w:rsidP="009E16F8">
      <w:pPr>
        <w:jc w:val="both"/>
        <w:rPr>
          <w:rFonts w:ascii="Arial" w:hAnsi="Arial"/>
          <w:sz w:val="22"/>
          <w:szCs w:val="32"/>
          <w:lang w:val="fr-FR"/>
        </w:rPr>
      </w:pPr>
      <w:r w:rsidRPr="009E16F8">
        <w:rPr>
          <w:rFonts w:ascii="Arial" w:hAnsi="Arial"/>
          <w:b/>
          <w:bCs/>
          <w:sz w:val="22"/>
          <w:szCs w:val="22"/>
          <w:lang w:val="fr-FR"/>
        </w:rPr>
        <w:t xml:space="preserve">Travaux entrepris pour mettre en œuvre la partie b) de la </w:t>
      </w:r>
      <w:r w:rsidRPr="009E16F8">
        <w:rPr>
          <w:rFonts w:ascii="Arial" w:hAnsi="Arial"/>
          <w:b/>
          <w:bCs/>
          <w:sz w:val="22"/>
          <w:szCs w:val="32"/>
          <w:lang w:val="fr-FR"/>
        </w:rPr>
        <w:t xml:space="preserve">Décision </w:t>
      </w:r>
      <w:r w:rsidRPr="009E16F8">
        <w:rPr>
          <w:rFonts w:ascii="Arial" w:hAnsi="Arial"/>
          <w:b/>
          <w:bCs/>
          <w:sz w:val="22"/>
          <w:szCs w:val="22"/>
          <w:lang w:val="fr-FR"/>
        </w:rPr>
        <w:t>13.62</w:t>
      </w:r>
    </w:p>
    <w:p w14:paraId="0D193199" w14:textId="77777777" w:rsidR="009E16F8" w:rsidRPr="009E16F8" w:rsidRDefault="009E16F8" w:rsidP="009E16F8">
      <w:pPr>
        <w:jc w:val="both"/>
        <w:rPr>
          <w:rFonts w:ascii="Arial" w:hAnsi="Arial"/>
          <w:b/>
          <w:bCs/>
          <w:sz w:val="22"/>
          <w:szCs w:val="32"/>
          <w:lang w:val="fr-FR"/>
        </w:rPr>
      </w:pPr>
    </w:p>
    <w:p w14:paraId="1A9083A4" w14:textId="77777777" w:rsidR="009E16F8" w:rsidRPr="009E16F8" w:rsidRDefault="009E16F8" w:rsidP="009E16F8">
      <w:pPr>
        <w:numPr>
          <w:ilvl w:val="0"/>
          <w:numId w:val="5"/>
        </w:numPr>
        <w:ind w:left="540" w:hanging="540"/>
        <w:contextualSpacing/>
        <w:jc w:val="both"/>
        <w:rPr>
          <w:rFonts w:ascii="Arial" w:hAnsi="Arial" w:cs="Arial"/>
          <w:iCs/>
          <w:sz w:val="22"/>
          <w:szCs w:val="22"/>
          <w:lang w:val="fr-FR"/>
        </w:rPr>
      </w:pPr>
      <w:r w:rsidRPr="009E16F8">
        <w:rPr>
          <w:rFonts w:ascii="Arial" w:hAnsi="Arial"/>
          <w:sz w:val="22"/>
          <w:szCs w:val="32"/>
          <w:lang w:val="fr-FR"/>
        </w:rPr>
        <w:t xml:space="preserve">Le Conseiller en prises accessoires nommé par la COP de la CMS entreprend actuellement un examen des </w:t>
      </w:r>
      <w:r w:rsidRPr="009E16F8">
        <w:rPr>
          <w:rFonts w:ascii="Arial" w:hAnsi="Arial"/>
          <w:sz w:val="22"/>
          <w:szCs w:val="22"/>
          <w:lang w:val="fr-FR"/>
        </w:rPr>
        <w:t>mesures les plus efficaces et les plus appropriées pour atténuer et réduire les prises accidentelles</w:t>
      </w:r>
      <w:r w:rsidRPr="009E16F8">
        <w:rPr>
          <w:rFonts w:ascii="Arial" w:hAnsi="Arial"/>
          <w:sz w:val="22"/>
          <w:szCs w:val="32"/>
          <w:lang w:val="fr-FR"/>
        </w:rPr>
        <w:t>. Les conclusions de l’étude seront mises à la disposition de la 6</w:t>
      </w:r>
      <w:r w:rsidRPr="009E16F8">
        <w:rPr>
          <w:rFonts w:ascii="Arial" w:hAnsi="Arial"/>
          <w:sz w:val="22"/>
          <w:szCs w:val="32"/>
          <w:vertAlign w:val="superscript"/>
          <w:lang w:val="fr-FR"/>
        </w:rPr>
        <w:t>e</w:t>
      </w:r>
      <w:r w:rsidRPr="009E16F8">
        <w:rPr>
          <w:rFonts w:ascii="Arial" w:hAnsi="Arial"/>
          <w:sz w:val="22"/>
          <w:szCs w:val="32"/>
          <w:lang w:val="fr-FR"/>
        </w:rPr>
        <w:t xml:space="preserve"> réunion du Comité de session du Conseil scientifique et de la COP14 de la CMS, qui doivent se tenir respectivement en juillet et octobre 2023. L’examen portera sur l’efficacité et l’aspect pratique des différentes mesures d’atténuation des prises accessoires et fournira des recommandations sur les meilleures pratiques en matière de mesures d’atténuation à la CMS et, par la suite, aux Signataires du </w:t>
      </w:r>
      <w:proofErr w:type="spellStart"/>
      <w:r w:rsidRPr="009E16F8">
        <w:rPr>
          <w:rFonts w:ascii="Arial" w:hAnsi="Arial"/>
          <w:sz w:val="22"/>
          <w:szCs w:val="32"/>
          <w:lang w:val="fr-FR"/>
        </w:rPr>
        <w:t>MdE</w:t>
      </w:r>
      <w:proofErr w:type="spellEnd"/>
      <w:r w:rsidRPr="009E16F8">
        <w:rPr>
          <w:rFonts w:ascii="Arial" w:hAnsi="Arial"/>
          <w:sz w:val="22"/>
          <w:szCs w:val="32"/>
          <w:lang w:val="fr-FR"/>
        </w:rPr>
        <w:t xml:space="preserve"> requins.</w:t>
      </w:r>
    </w:p>
    <w:p w14:paraId="3516E1E0" w14:textId="77777777" w:rsidR="009E16F8" w:rsidRPr="009E16F8" w:rsidRDefault="009E16F8" w:rsidP="009E16F8">
      <w:pPr>
        <w:rPr>
          <w:rFonts w:ascii="Arial" w:hAnsi="Arial"/>
          <w:b/>
          <w:bCs/>
          <w:sz w:val="22"/>
          <w:szCs w:val="32"/>
          <w:lang w:val="fr-FR"/>
        </w:rPr>
      </w:pPr>
    </w:p>
    <w:p w14:paraId="49E42A29" w14:textId="77777777" w:rsidR="009E16F8" w:rsidRPr="009E16F8" w:rsidRDefault="009E16F8" w:rsidP="009E16F8">
      <w:pPr>
        <w:rPr>
          <w:rFonts w:ascii="Arial" w:hAnsi="Arial"/>
          <w:b/>
          <w:bCs/>
          <w:sz w:val="22"/>
          <w:szCs w:val="22"/>
          <w:lang w:val="fr-FR"/>
        </w:rPr>
      </w:pPr>
    </w:p>
    <w:p w14:paraId="5132544A" w14:textId="77777777" w:rsidR="009E16F8" w:rsidRPr="009E16F8" w:rsidRDefault="009E16F8" w:rsidP="009E16F8">
      <w:pPr>
        <w:widowControl/>
        <w:autoSpaceDE/>
        <w:adjustRightInd/>
        <w:spacing w:line="256" w:lineRule="auto"/>
        <w:jc w:val="both"/>
        <w:rPr>
          <w:rFonts w:ascii="Arial" w:hAnsi="Arial" w:cs="Arial"/>
          <w:sz w:val="22"/>
          <w:szCs w:val="22"/>
          <w:u w:val="single"/>
          <w:lang w:val="fr-FR"/>
        </w:rPr>
      </w:pPr>
      <w:r w:rsidRPr="009E16F8">
        <w:rPr>
          <w:rFonts w:ascii="Arial" w:hAnsi="Arial" w:cs="Arial"/>
          <w:sz w:val="22"/>
          <w:szCs w:val="22"/>
          <w:u w:val="single"/>
          <w:lang w:val="fr-FR"/>
        </w:rPr>
        <w:t>Action requise :</w:t>
      </w:r>
    </w:p>
    <w:p w14:paraId="12D87C38" w14:textId="77777777" w:rsidR="009E16F8" w:rsidRPr="009E16F8" w:rsidRDefault="009E16F8" w:rsidP="009E16F8">
      <w:pPr>
        <w:jc w:val="both"/>
        <w:rPr>
          <w:rFonts w:ascii="Arial" w:hAnsi="Arial" w:cs="Arial"/>
          <w:sz w:val="22"/>
          <w:szCs w:val="22"/>
          <w:lang w:val="fr-FR"/>
        </w:rPr>
      </w:pPr>
    </w:p>
    <w:p w14:paraId="162221F3" w14:textId="77777777" w:rsidR="009E16F8" w:rsidRPr="009E16F8" w:rsidRDefault="009E16F8" w:rsidP="009E16F8">
      <w:pPr>
        <w:numPr>
          <w:ilvl w:val="0"/>
          <w:numId w:val="5"/>
        </w:numPr>
        <w:ind w:left="540" w:hanging="540"/>
        <w:contextualSpacing/>
        <w:jc w:val="both"/>
        <w:rPr>
          <w:rFonts w:ascii="Arial" w:hAnsi="Arial" w:cs="Arial"/>
          <w:sz w:val="22"/>
          <w:szCs w:val="22"/>
          <w:lang w:val="fr-FR"/>
        </w:rPr>
      </w:pPr>
      <w:r w:rsidRPr="009E16F8">
        <w:rPr>
          <w:rFonts w:ascii="Arial" w:hAnsi="Arial" w:cs="Arial"/>
          <w:sz w:val="22"/>
          <w:szCs w:val="22"/>
          <w:lang w:val="fr-FR"/>
        </w:rPr>
        <w:t>L’assemblée des Signataires est invitée à :</w:t>
      </w:r>
    </w:p>
    <w:p w14:paraId="367D2432" w14:textId="77777777" w:rsidR="009E16F8" w:rsidRPr="009E16F8" w:rsidRDefault="009E16F8" w:rsidP="009E16F8">
      <w:pPr>
        <w:ind w:firstLine="360"/>
        <w:jc w:val="both"/>
        <w:rPr>
          <w:rFonts w:ascii="Arial" w:hAnsi="Arial" w:cs="Arial"/>
          <w:sz w:val="22"/>
          <w:szCs w:val="22"/>
          <w:lang w:val="fr-FR"/>
        </w:rPr>
      </w:pPr>
    </w:p>
    <w:p w14:paraId="79E25F7D" w14:textId="77777777" w:rsidR="009E16F8" w:rsidRPr="009E16F8" w:rsidRDefault="009E16F8" w:rsidP="009E16F8">
      <w:pPr>
        <w:widowControl/>
        <w:numPr>
          <w:ilvl w:val="0"/>
          <w:numId w:val="4"/>
        </w:numPr>
        <w:autoSpaceDE/>
        <w:adjustRightInd/>
        <w:spacing w:after="160"/>
        <w:ind w:left="900"/>
        <w:contextualSpacing/>
        <w:jc w:val="both"/>
        <w:rPr>
          <w:rFonts w:ascii="Arial" w:hAnsi="Arial" w:cs="Arial"/>
          <w:sz w:val="22"/>
          <w:szCs w:val="22"/>
          <w:lang w:val="fr-FR"/>
        </w:rPr>
      </w:pPr>
      <w:r w:rsidRPr="009E16F8">
        <w:rPr>
          <w:rFonts w:ascii="Arial" w:hAnsi="Arial" w:cs="Arial"/>
          <w:sz w:val="22"/>
          <w:szCs w:val="22"/>
          <w:lang w:val="fr-FR"/>
        </w:rPr>
        <w:t>Prendre note des décisions de la COP13 de la CMS et accepter de soutenir la CMS pour leur mise en œuvre ;</w:t>
      </w:r>
    </w:p>
    <w:p w14:paraId="7C7629A1" w14:textId="77777777" w:rsidR="009E16F8" w:rsidRPr="009E16F8" w:rsidRDefault="009E16F8" w:rsidP="009E16F8">
      <w:pPr>
        <w:widowControl/>
        <w:autoSpaceDE/>
        <w:adjustRightInd/>
        <w:spacing w:after="160"/>
        <w:ind w:left="900"/>
        <w:contextualSpacing/>
        <w:jc w:val="both"/>
        <w:rPr>
          <w:rFonts w:ascii="Arial" w:hAnsi="Arial" w:cs="Arial"/>
          <w:sz w:val="22"/>
          <w:szCs w:val="22"/>
          <w:lang w:val="fr-FR"/>
        </w:rPr>
      </w:pPr>
    </w:p>
    <w:p w14:paraId="5C2802FE" w14:textId="77777777" w:rsidR="009E16F8" w:rsidRPr="009E16F8" w:rsidRDefault="009E16F8" w:rsidP="009E16F8">
      <w:pPr>
        <w:widowControl/>
        <w:numPr>
          <w:ilvl w:val="0"/>
          <w:numId w:val="4"/>
        </w:numPr>
        <w:autoSpaceDE/>
        <w:adjustRightInd/>
        <w:spacing w:after="160"/>
        <w:ind w:left="900"/>
        <w:contextualSpacing/>
        <w:jc w:val="both"/>
        <w:rPr>
          <w:rFonts w:ascii="Arial" w:hAnsi="Arial" w:cs="Arial"/>
          <w:sz w:val="22"/>
          <w:szCs w:val="22"/>
          <w:lang w:val="fr-FR"/>
        </w:rPr>
      </w:pPr>
      <w:r w:rsidRPr="009E16F8">
        <w:rPr>
          <w:rFonts w:ascii="Arial" w:hAnsi="Arial" w:cs="Arial"/>
          <w:sz w:val="22"/>
          <w:szCs w:val="22"/>
          <w:lang w:val="fr-FR"/>
        </w:rPr>
        <w:t>Examiner et approuver une version finale des projets de décisions de la réunion à l’</w:t>
      </w:r>
      <w:r w:rsidRPr="009E16F8">
        <w:rPr>
          <w:rFonts w:ascii="Arial" w:hAnsi="Arial" w:cs="Arial"/>
          <w:sz w:val="22"/>
          <w:szCs w:val="22"/>
          <w:u w:val="single"/>
          <w:lang w:val="fr-FR"/>
        </w:rPr>
        <w:t>annexe 1</w:t>
      </w:r>
      <w:r w:rsidRPr="009E16F8">
        <w:rPr>
          <w:rFonts w:ascii="Arial" w:hAnsi="Arial" w:cs="Arial"/>
          <w:sz w:val="22"/>
          <w:szCs w:val="22"/>
          <w:lang w:val="fr-FR"/>
        </w:rPr>
        <w:t xml:space="preserve"> du présent document ;</w:t>
      </w:r>
    </w:p>
    <w:p w14:paraId="0607ADB5" w14:textId="77777777" w:rsidR="009E16F8" w:rsidRPr="009E16F8" w:rsidRDefault="009E16F8" w:rsidP="009E16F8">
      <w:pPr>
        <w:ind w:left="720"/>
        <w:contextualSpacing/>
        <w:rPr>
          <w:rFonts w:ascii="Arial" w:hAnsi="Arial" w:cs="Arial"/>
          <w:sz w:val="22"/>
          <w:szCs w:val="22"/>
          <w:lang w:val="fr-FR"/>
        </w:rPr>
      </w:pPr>
    </w:p>
    <w:p w14:paraId="6F9FADA7" w14:textId="77777777" w:rsidR="009E16F8" w:rsidRPr="009E16F8" w:rsidRDefault="009E16F8" w:rsidP="009E16F8">
      <w:pPr>
        <w:widowControl/>
        <w:numPr>
          <w:ilvl w:val="0"/>
          <w:numId w:val="4"/>
        </w:numPr>
        <w:autoSpaceDE/>
        <w:adjustRightInd/>
        <w:spacing w:after="160"/>
        <w:ind w:left="900"/>
        <w:contextualSpacing/>
        <w:jc w:val="both"/>
        <w:rPr>
          <w:rFonts w:ascii="Arial" w:hAnsi="Arial" w:cs="Arial"/>
          <w:sz w:val="22"/>
          <w:szCs w:val="22"/>
          <w:lang w:val="fr-FR"/>
        </w:rPr>
      </w:pPr>
      <w:r w:rsidRPr="009E16F8">
        <w:rPr>
          <w:rFonts w:ascii="Arial" w:hAnsi="Arial" w:cs="Arial"/>
          <w:sz w:val="22"/>
          <w:szCs w:val="22"/>
          <w:lang w:val="fr-FR"/>
        </w:rPr>
        <w:t>Examiner les projets d’activités présentés à l’</w:t>
      </w:r>
      <w:r w:rsidRPr="009E16F8">
        <w:rPr>
          <w:rFonts w:ascii="Arial" w:hAnsi="Arial" w:cs="Arial"/>
          <w:sz w:val="22"/>
          <w:szCs w:val="22"/>
          <w:u w:val="single"/>
          <w:lang w:val="fr-FR"/>
        </w:rPr>
        <w:t>annexe 2</w:t>
      </w:r>
      <w:r w:rsidRPr="009E16F8">
        <w:rPr>
          <w:rFonts w:ascii="Arial" w:hAnsi="Arial" w:cs="Arial"/>
          <w:sz w:val="22"/>
          <w:szCs w:val="22"/>
          <w:lang w:val="fr-FR"/>
        </w:rPr>
        <w:t xml:space="preserve"> du présent document et envisager de les inclure dans le Programme de travail 2023-2025.</w:t>
      </w:r>
    </w:p>
    <w:p w14:paraId="3314423F" w14:textId="77777777" w:rsidR="009E16F8" w:rsidRDefault="009E16F8" w:rsidP="00627A42">
      <w:pPr>
        <w:jc w:val="both"/>
        <w:rPr>
          <w:rFonts w:ascii="Arial" w:hAnsi="Arial" w:cs="Arial"/>
          <w:bCs/>
          <w:sz w:val="22"/>
          <w:szCs w:val="22"/>
          <w:lang w:val="fr-FR"/>
        </w:rPr>
        <w:sectPr w:rsidR="009E16F8" w:rsidSect="00CC76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326B16AF" w14:textId="77777777" w:rsidR="009E16F8" w:rsidRPr="009E16F8" w:rsidRDefault="009E16F8" w:rsidP="009E16F8">
      <w:pPr>
        <w:ind w:right="252"/>
        <w:jc w:val="right"/>
        <w:rPr>
          <w:rFonts w:ascii="Arial" w:hAnsi="Arial" w:cs="Arial"/>
          <w:b/>
          <w:iCs/>
          <w:sz w:val="22"/>
          <w:szCs w:val="22"/>
          <w:lang w:val="fr-FR"/>
        </w:rPr>
      </w:pPr>
      <w:r w:rsidRPr="009E16F8">
        <w:rPr>
          <w:rFonts w:ascii="Arial" w:hAnsi="Arial" w:cs="Arial"/>
          <w:b/>
          <w:iCs/>
          <w:sz w:val="22"/>
          <w:szCs w:val="22"/>
          <w:lang w:val="fr-FR"/>
        </w:rPr>
        <w:lastRenderedPageBreak/>
        <w:t>ANNEXE 1</w:t>
      </w:r>
    </w:p>
    <w:p w14:paraId="515209D8" w14:textId="77777777" w:rsidR="009E16F8" w:rsidRPr="009E16F8" w:rsidRDefault="009E16F8" w:rsidP="009E16F8">
      <w:pPr>
        <w:ind w:right="252"/>
        <w:jc w:val="center"/>
        <w:rPr>
          <w:rFonts w:ascii="Arial" w:hAnsi="Arial" w:cs="Arial"/>
          <w:b/>
          <w:iCs/>
          <w:sz w:val="22"/>
          <w:szCs w:val="22"/>
          <w:lang w:val="fr-FR"/>
        </w:rPr>
      </w:pPr>
    </w:p>
    <w:p w14:paraId="53508E3E" w14:textId="77777777" w:rsidR="009E16F8" w:rsidRPr="009E16F8" w:rsidRDefault="009E16F8" w:rsidP="009E16F8">
      <w:pPr>
        <w:ind w:right="252"/>
        <w:jc w:val="center"/>
        <w:rPr>
          <w:rFonts w:ascii="Arial" w:hAnsi="Arial" w:cs="Arial"/>
          <w:b/>
          <w:iCs/>
          <w:sz w:val="22"/>
          <w:szCs w:val="22"/>
          <w:lang w:val="fr-FR"/>
        </w:rPr>
      </w:pPr>
    </w:p>
    <w:p w14:paraId="546DB424" w14:textId="77777777" w:rsidR="009E16F8" w:rsidRPr="009E16F8" w:rsidRDefault="009E16F8" w:rsidP="009E16F8">
      <w:pPr>
        <w:ind w:right="252"/>
        <w:jc w:val="center"/>
        <w:rPr>
          <w:rFonts w:ascii="Arial" w:hAnsi="Arial" w:cs="Arial"/>
          <w:b/>
          <w:iCs/>
          <w:sz w:val="22"/>
          <w:szCs w:val="22"/>
          <w:lang w:val="fr-FR"/>
        </w:rPr>
      </w:pPr>
      <w:r w:rsidRPr="009E16F8">
        <w:rPr>
          <w:rFonts w:ascii="Arial" w:hAnsi="Arial" w:cs="Arial"/>
          <w:b/>
          <w:iCs/>
          <w:sz w:val="22"/>
          <w:szCs w:val="22"/>
          <w:lang w:val="fr-FR"/>
        </w:rPr>
        <w:t>PROJETS DE DÉCISIONS DE LA RÉUNION</w:t>
      </w:r>
    </w:p>
    <w:p w14:paraId="0FA4BE32" w14:textId="77777777" w:rsidR="009E16F8" w:rsidRPr="009E16F8" w:rsidRDefault="009E16F8" w:rsidP="009E16F8">
      <w:pPr>
        <w:ind w:right="252"/>
        <w:rPr>
          <w:rFonts w:ascii="Arial" w:hAnsi="Arial" w:cs="Arial"/>
          <w:b/>
          <w:iCs/>
          <w:sz w:val="22"/>
          <w:szCs w:val="22"/>
          <w:lang w:val="fr-FR"/>
        </w:rPr>
      </w:pPr>
    </w:p>
    <w:p w14:paraId="3E2133F8" w14:textId="77777777" w:rsidR="009E16F8" w:rsidRPr="009E16F8" w:rsidRDefault="009E16F8" w:rsidP="009E16F8">
      <w:pPr>
        <w:ind w:right="252"/>
        <w:rPr>
          <w:rFonts w:ascii="Arial" w:hAnsi="Arial" w:cs="Arial"/>
          <w:bCs/>
          <w:iCs/>
          <w:sz w:val="22"/>
          <w:szCs w:val="22"/>
          <w:lang w:val="fr-FR"/>
        </w:rPr>
      </w:pPr>
      <w:r w:rsidRPr="009E16F8">
        <w:rPr>
          <w:rFonts w:ascii="Arial" w:hAnsi="Arial" w:cs="Arial"/>
          <w:bCs/>
          <w:iCs/>
          <w:sz w:val="22"/>
          <w:szCs w:val="22"/>
          <w:lang w:val="fr-FR"/>
        </w:rPr>
        <w:t>Les Signataires</w:t>
      </w:r>
    </w:p>
    <w:p w14:paraId="1AD38697" w14:textId="77777777" w:rsidR="009E16F8" w:rsidRPr="009E16F8" w:rsidRDefault="009E16F8" w:rsidP="009E16F8">
      <w:pPr>
        <w:ind w:right="252"/>
        <w:jc w:val="both"/>
        <w:rPr>
          <w:rFonts w:ascii="Arial" w:hAnsi="Arial"/>
          <w:sz w:val="22"/>
          <w:szCs w:val="32"/>
          <w:lang w:val="fr-FR"/>
        </w:rPr>
      </w:pPr>
    </w:p>
    <w:p w14:paraId="3FDF0BFF" w14:textId="77777777" w:rsidR="009E16F8" w:rsidRPr="009E16F8" w:rsidRDefault="009E16F8" w:rsidP="009E16F8">
      <w:pPr>
        <w:numPr>
          <w:ilvl w:val="0"/>
          <w:numId w:val="7"/>
        </w:numPr>
        <w:ind w:right="252"/>
        <w:contextualSpacing/>
        <w:jc w:val="both"/>
        <w:rPr>
          <w:rFonts w:ascii="Arial" w:hAnsi="Arial"/>
          <w:sz w:val="22"/>
          <w:szCs w:val="32"/>
          <w:lang w:val="fr-FR"/>
        </w:rPr>
      </w:pPr>
      <w:r w:rsidRPr="009E16F8">
        <w:rPr>
          <w:rFonts w:ascii="Arial" w:hAnsi="Arial"/>
          <w:sz w:val="22"/>
          <w:szCs w:val="32"/>
          <w:lang w:val="fr-FR"/>
        </w:rPr>
        <w:t>Conviennent d’appuyer la CMS dans la mise en œuvre des Décisions 13.62 (a) et 13.63 (b) de la COP13 de la CMS ;</w:t>
      </w:r>
    </w:p>
    <w:p w14:paraId="6ADC17DE" w14:textId="77777777" w:rsidR="009E16F8" w:rsidRPr="009E16F8" w:rsidRDefault="009E16F8" w:rsidP="009E16F8">
      <w:pPr>
        <w:ind w:left="360" w:right="252"/>
        <w:contextualSpacing/>
        <w:jc w:val="both"/>
        <w:rPr>
          <w:rFonts w:ascii="Arial" w:hAnsi="Arial"/>
          <w:sz w:val="22"/>
          <w:szCs w:val="32"/>
          <w:lang w:val="fr-FR"/>
        </w:rPr>
      </w:pPr>
    </w:p>
    <w:p w14:paraId="188C7E83" w14:textId="77777777" w:rsidR="009E16F8" w:rsidRPr="009E16F8" w:rsidRDefault="009E16F8" w:rsidP="009E16F8">
      <w:pPr>
        <w:numPr>
          <w:ilvl w:val="0"/>
          <w:numId w:val="7"/>
        </w:numPr>
        <w:ind w:right="252"/>
        <w:contextualSpacing/>
        <w:jc w:val="both"/>
        <w:rPr>
          <w:rFonts w:ascii="Arial" w:hAnsi="Arial"/>
          <w:sz w:val="22"/>
          <w:szCs w:val="32"/>
          <w:lang w:val="fr-FR"/>
        </w:rPr>
      </w:pPr>
      <w:r w:rsidRPr="009E16F8">
        <w:rPr>
          <w:rFonts w:ascii="Arial" w:hAnsi="Arial"/>
          <w:sz w:val="22"/>
          <w:szCs w:val="32"/>
          <w:lang w:val="fr-FR"/>
        </w:rPr>
        <w:t xml:space="preserve">Saluent l’approche proposée par le Comité consultatif, qui consiste à se concentrer sur la mortalité liée à la pêche plutôt que sur les prises accessoires, pour les raisons exposées dans le document </w:t>
      </w:r>
      <w:r w:rsidR="00C63085">
        <w:fldChar w:fldCharType="begin"/>
      </w:r>
      <w:r w:rsidR="00C63085" w:rsidRPr="00C63085">
        <w:rPr>
          <w:lang w:val="fr-FR"/>
        </w:rPr>
        <w:instrText xml:space="preserve"> HYPERLINK "https://www.cms.int/sharks/fr/node/23723" </w:instrText>
      </w:r>
      <w:r w:rsidR="00C63085">
        <w:fldChar w:fldCharType="separate"/>
      </w:r>
      <w:r w:rsidRPr="009E16F8">
        <w:rPr>
          <w:rFonts w:ascii="Arial" w:hAnsi="Arial"/>
          <w:color w:val="0000FF"/>
          <w:sz w:val="22"/>
          <w:szCs w:val="32"/>
          <w:u w:val="single"/>
          <w:lang w:val="fr-FR"/>
        </w:rPr>
        <w:t>CMS/</w:t>
      </w:r>
      <w:proofErr w:type="spellStart"/>
      <w:r w:rsidRPr="009E16F8">
        <w:rPr>
          <w:rFonts w:ascii="Arial" w:hAnsi="Arial"/>
          <w:color w:val="0000FF"/>
          <w:sz w:val="22"/>
          <w:szCs w:val="32"/>
          <w:u w:val="single"/>
          <w:lang w:val="fr-FR"/>
        </w:rPr>
        <w:t>Sharks</w:t>
      </w:r>
      <w:proofErr w:type="spellEnd"/>
      <w:r w:rsidRPr="009E16F8">
        <w:rPr>
          <w:rFonts w:ascii="Arial" w:hAnsi="Arial"/>
          <w:color w:val="0000FF"/>
          <w:sz w:val="22"/>
          <w:szCs w:val="32"/>
          <w:u w:val="single"/>
          <w:lang w:val="fr-FR"/>
        </w:rPr>
        <w:t>/MOS4/Doc.10.7</w:t>
      </w:r>
      <w:r w:rsidR="00C63085">
        <w:rPr>
          <w:rFonts w:ascii="Arial" w:hAnsi="Arial"/>
          <w:color w:val="0000FF"/>
          <w:sz w:val="22"/>
          <w:szCs w:val="32"/>
          <w:u w:val="single"/>
          <w:lang w:val="fr-FR"/>
        </w:rPr>
        <w:fldChar w:fldCharType="end"/>
      </w:r>
      <w:r w:rsidRPr="009E16F8">
        <w:rPr>
          <w:rFonts w:ascii="Arial" w:hAnsi="Arial"/>
          <w:sz w:val="22"/>
          <w:szCs w:val="32"/>
          <w:lang w:val="fr-FR"/>
        </w:rPr>
        <w:t>, et conviennent d’entreprendre l’étude pilote pour les zones de pêche 37 (Méditerranée et mer Noire) et 87 (Pacifique, sud-est) de la FAO.</w:t>
      </w:r>
    </w:p>
    <w:p w14:paraId="40D2035A" w14:textId="47621468" w:rsidR="00627A42" w:rsidRDefault="00627A42" w:rsidP="00627A42">
      <w:pPr>
        <w:jc w:val="both"/>
        <w:rPr>
          <w:rFonts w:ascii="Arial" w:hAnsi="Arial" w:cs="Arial"/>
          <w:bCs/>
          <w:sz w:val="22"/>
          <w:szCs w:val="22"/>
          <w:lang w:val="fr-FR"/>
        </w:rPr>
      </w:pPr>
    </w:p>
    <w:p w14:paraId="18B5C6E1" w14:textId="109B6B33" w:rsidR="009E16F8" w:rsidRDefault="009E16F8" w:rsidP="00627A42">
      <w:pPr>
        <w:jc w:val="both"/>
        <w:rPr>
          <w:rFonts w:ascii="Arial" w:hAnsi="Arial" w:cs="Arial"/>
          <w:bCs/>
          <w:sz w:val="22"/>
          <w:szCs w:val="22"/>
          <w:lang w:val="fr-FR"/>
        </w:rPr>
      </w:pPr>
    </w:p>
    <w:p w14:paraId="15B779D2" w14:textId="77777777" w:rsidR="009E16F8" w:rsidRDefault="009E16F8" w:rsidP="00627A42">
      <w:pPr>
        <w:jc w:val="both"/>
        <w:rPr>
          <w:rFonts w:ascii="Arial" w:hAnsi="Arial" w:cs="Arial"/>
          <w:bCs/>
          <w:sz w:val="22"/>
          <w:szCs w:val="22"/>
          <w:lang w:val="fr-FR"/>
        </w:rPr>
        <w:sectPr w:rsidR="009E16F8" w:rsidSect="00CC76F2">
          <w:headerReference w:type="first" r:id="rId18"/>
          <w:footerReference w:type="first" r:id="rId19"/>
          <w:pgSz w:w="12240" w:h="15840"/>
          <w:pgMar w:top="1440" w:right="1440" w:bottom="1440" w:left="1440" w:header="720" w:footer="720" w:gutter="0"/>
          <w:cols w:space="720"/>
          <w:titlePg/>
          <w:docGrid w:linePitch="360"/>
        </w:sectPr>
      </w:pPr>
    </w:p>
    <w:p w14:paraId="3B2A21AF" w14:textId="77777777" w:rsidR="009E16F8" w:rsidRDefault="009E16F8" w:rsidP="009E16F8">
      <w:pPr>
        <w:ind w:right="252"/>
        <w:jc w:val="right"/>
        <w:rPr>
          <w:rFonts w:ascii="Arial" w:hAnsi="Arial" w:cs="Arial"/>
          <w:b/>
          <w:iCs/>
          <w:sz w:val="22"/>
          <w:szCs w:val="22"/>
          <w:lang w:val="fr-FR"/>
        </w:rPr>
      </w:pPr>
    </w:p>
    <w:p w14:paraId="0D125F22" w14:textId="6F2A0C63" w:rsidR="009E16F8" w:rsidRPr="009E16F8" w:rsidRDefault="009E16F8" w:rsidP="009E16F8">
      <w:pPr>
        <w:ind w:right="252"/>
        <w:jc w:val="right"/>
        <w:rPr>
          <w:rFonts w:ascii="Arial" w:hAnsi="Arial" w:cs="Arial"/>
          <w:b/>
          <w:iCs/>
          <w:sz w:val="22"/>
          <w:szCs w:val="22"/>
          <w:lang w:val="fr-FR"/>
        </w:rPr>
      </w:pPr>
      <w:r w:rsidRPr="009E16F8">
        <w:rPr>
          <w:rFonts w:ascii="Arial" w:hAnsi="Arial" w:cs="Arial"/>
          <w:b/>
          <w:iCs/>
          <w:sz w:val="22"/>
          <w:szCs w:val="22"/>
          <w:lang w:val="fr-FR"/>
        </w:rPr>
        <w:t>ANNEXE 2</w:t>
      </w:r>
    </w:p>
    <w:p w14:paraId="14D84B3C" w14:textId="77777777" w:rsidR="009E16F8" w:rsidRPr="009E16F8" w:rsidRDefault="009E16F8" w:rsidP="009E16F8">
      <w:pPr>
        <w:ind w:right="252"/>
        <w:jc w:val="center"/>
        <w:rPr>
          <w:rFonts w:ascii="Arial" w:hAnsi="Arial" w:cs="Arial"/>
          <w:bCs/>
          <w:iCs/>
          <w:sz w:val="22"/>
          <w:szCs w:val="22"/>
          <w:lang w:val="fr-FR"/>
        </w:rPr>
      </w:pPr>
    </w:p>
    <w:p w14:paraId="48CAF2E5" w14:textId="77777777" w:rsidR="009E16F8" w:rsidRPr="009E16F8" w:rsidRDefault="009E16F8" w:rsidP="009E16F8">
      <w:pPr>
        <w:ind w:right="252"/>
        <w:jc w:val="center"/>
        <w:rPr>
          <w:rFonts w:ascii="Arial" w:hAnsi="Arial" w:cs="Arial"/>
          <w:bCs/>
          <w:iCs/>
          <w:sz w:val="22"/>
          <w:szCs w:val="22"/>
          <w:lang w:val="fr-FR"/>
        </w:rPr>
      </w:pPr>
    </w:p>
    <w:p w14:paraId="2CD51A94" w14:textId="77777777" w:rsidR="009E16F8" w:rsidRPr="009E16F8" w:rsidRDefault="009E16F8" w:rsidP="009E16F8">
      <w:pPr>
        <w:ind w:right="252"/>
        <w:jc w:val="center"/>
        <w:rPr>
          <w:rFonts w:ascii="Arial" w:hAnsi="Arial" w:cs="Arial"/>
          <w:b/>
          <w:iCs/>
          <w:sz w:val="22"/>
          <w:szCs w:val="22"/>
          <w:lang w:val="fr-FR"/>
        </w:rPr>
      </w:pPr>
      <w:r w:rsidRPr="009E16F8">
        <w:rPr>
          <w:rFonts w:ascii="Arial" w:hAnsi="Arial" w:cs="Arial"/>
          <w:b/>
          <w:iCs/>
          <w:sz w:val="22"/>
          <w:szCs w:val="22"/>
          <w:lang w:val="fr-FR"/>
        </w:rPr>
        <w:t>PROJET D’ACTIVITÉS POUR INCLUSION DANS LE PROGRAMME DE TRAVAIL 2023-2025</w:t>
      </w:r>
    </w:p>
    <w:p w14:paraId="06695C03" w14:textId="77777777" w:rsidR="009E16F8" w:rsidRPr="009E16F8" w:rsidRDefault="009E16F8" w:rsidP="009E16F8">
      <w:pPr>
        <w:ind w:right="252"/>
        <w:jc w:val="center"/>
        <w:rPr>
          <w:rFonts w:ascii="Arial" w:hAnsi="Arial" w:cs="Arial"/>
          <w:bCs/>
          <w:iCs/>
          <w:sz w:val="22"/>
          <w:szCs w:val="22"/>
          <w:lang w:val="fr-FR"/>
        </w:rPr>
      </w:pPr>
    </w:p>
    <w:tbl>
      <w:tblPr>
        <w:tblStyle w:val="PlainTable22"/>
        <w:tblW w:w="5000" w:type="pct"/>
        <w:tblLook w:val="04A0" w:firstRow="1" w:lastRow="0" w:firstColumn="1" w:lastColumn="0" w:noHBand="0" w:noVBand="1"/>
      </w:tblPr>
      <w:tblGrid>
        <w:gridCol w:w="720"/>
        <w:gridCol w:w="3977"/>
        <w:gridCol w:w="1315"/>
        <w:gridCol w:w="1378"/>
        <w:gridCol w:w="1278"/>
        <w:gridCol w:w="2008"/>
        <w:gridCol w:w="1971"/>
        <w:gridCol w:w="1886"/>
        <w:gridCol w:w="29"/>
      </w:tblGrid>
      <w:tr w:rsidR="009E16F8" w:rsidRPr="00C63085" w14:paraId="2121F6FD" w14:textId="77777777" w:rsidTr="00C845ED">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72" w:type="pct"/>
            <w:vAlign w:val="center"/>
            <w:hideMark/>
          </w:tcPr>
          <w:p w14:paraId="12FB9411" w14:textId="77777777" w:rsidR="009E16F8" w:rsidRPr="009E16F8" w:rsidRDefault="009E16F8" w:rsidP="009E16F8">
            <w:pPr>
              <w:widowControl/>
              <w:autoSpaceDE/>
              <w:autoSpaceDN/>
              <w:adjustRightInd/>
              <w:textAlignment w:val="baseline"/>
              <w:rPr>
                <w:rFonts w:ascii="Arial" w:hAnsi="Arial" w:cs="Arial"/>
                <w:szCs w:val="20"/>
                <w:lang w:val="fr-FR" w:eastAsia="en-GB"/>
              </w:rPr>
            </w:pPr>
            <w:bookmarkStart w:id="2" w:name="_Hlk122090648"/>
            <w:r w:rsidRPr="009E16F8">
              <w:rPr>
                <w:rFonts w:ascii="Arial" w:hAnsi="Arial" w:cs="Arial"/>
                <w:szCs w:val="20"/>
                <w:lang w:val="fr-FR" w:eastAsia="en-GB"/>
              </w:rPr>
              <w:t>Nº </w:t>
            </w:r>
          </w:p>
        </w:tc>
        <w:tc>
          <w:tcPr>
            <w:tcW w:w="1390" w:type="pct"/>
            <w:vAlign w:val="center"/>
            <w:hideMark/>
          </w:tcPr>
          <w:p w14:paraId="586C13C3"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color w:val="000000"/>
                <w:szCs w:val="20"/>
                <w:lang w:val="fr-FR" w:eastAsia="en-GB"/>
              </w:rPr>
              <w:t>Activité</w:t>
            </w:r>
          </w:p>
        </w:tc>
        <w:tc>
          <w:tcPr>
            <w:tcW w:w="476" w:type="pct"/>
            <w:vAlign w:val="center"/>
            <w:hideMark/>
          </w:tcPr>
          <w:p w14:paraId="453EF389"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Mandat</w:t>
            </w:r>
            <w:r w:rsidRPr="009E16F8">
              <w:rPr>
                <w:rFonts w:ascii="Arial" w:hAnsi="Arial" w:cs="Arial"/>
                <w:szCs w:val="20"/>
                <w:vertAlign w:val="superscript"/>
                <w:lang w:val="fr-FR" w:eastAsia="en-GB"/>
              </w:rPr>
              <w:footnoteReference w:id="7"/>
            </w:r>
          </w:p>
        </w:tc>
        <w:tc>
          <w:tcPr>
            <w:tcW w:w="439" w:type="pct"/>
            <w:vAlign w:val="center"/>
            <w:hideMark/>
          </w:tcPr>
          <w:p w14:paraId="1B11A47D"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Priorité</w:t>
            </w:r>
          </w:p>
          <w:p w14:paraId="0EE02176"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proofErr w:type="gramStart"/>
            <w:r w:rsidRPr="009E16F8">
              <w:rPr>
                <w:rFonts w:ascii="Arial" w:hAnsi="Arial" w:cs="Arial"/>
                <w:szCs w:val="20"/>
                <w:lang w:val="fr-FR" w:eastAsia="en-GB"/>
              </w:rPr>
              <w:t>classement</w:t>
            </w:r>
            <w:proofErr w:type="gramEnd"/>
            <w:r w:rsidRPr="009E16F8">
              <w:rPr>
                <w:rFonts w:ascii="Arial" w:hAnsi="Arial" w:cs="Arial"/>
                <w:szCs w:val="20"/>
                <w:vertAlign w:val="superscript"/>
                <w:lang w:val="fr-FR" w:eastAsia="en-GB"/>
              </w:rPr>
              <w:footnoteReference w:id="8"/>
            </w:r>
          </w:p>
        </w:tc>
        <w:tc>
          <w:tcPr>
            <w:tcW w:w="321" w:type="pct"/>
            <w:vAlign w:val="center"/>
            <w:hideMark/>
          </w:tcPr>
          <w:p w14:paraId="47705B5F"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Calendrier</w:t>
            </w:r>
            <w:r w:rsidRPr="009E16F8">
              <w:rPr>
                <w:rFonts w:ascii="Arial" w:hAnsi="Arial" w:cs="Arial"/>
                <w:szCs w:val="20"/>
                <w:vertAlign w:val="superscript"/>
                <w:lang w:val="fr-FR" w:eastAsia="en-GB"/>
              </w:rPr>
              <w:footnoteReference w:id="9"/>
            </w:r>
          </w:p>
        </w:tc>
        <w:tc>
          <w:tcPr>
            <w:tcW w:w="714" w:type="pct"/>
            <w:vAlign w:val="center"/>
            <w:hideMark/>
          </w:tcPr>
          <w:p w14:paraId="3C6E2B7F"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Entité responsable</w:t>
            </w:r>
            <w:r w:rsidRPr="009E16F8">
              <w:rPr>
                <w:rFonts w:ascii="Arial" w:hAnsi="Arial" w:cs="Arial"/>
                <w:szCs w:val="20"/>
                <w:vertAlign w:val="superscript"/>
                <w:lang w:val="fr-FR" w:eastAsia="en-GB"/>
              </w:rPr>
              <w:footnoteReference w:id="10"/>
            </w:r>
          </w:p>
        </w:tc>
        <w:tc>
          <w:tcPr>
            <w:tcW w:w="701" w:type="pct"/>
            <w:vAlign w:val="center"/>
            <w:hideMark/>
          </w:tcPr>
          <w:p w14:paraId="698774C3"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Besoins de financement pour la mise en œuvre</w:t>
            </w:r>
          </w:p>
        </w:tc>
        <w:tc>
          <w:tcPr>
            <w:tcW w:w="686" w:type="pct"/>
            <w:gridSpan w:val="2"/>
            <w:vAlign w:val="center"/>
            <w:hideMark/>
          </w:tcPr>
          <w:p w14:paraId="0C973D93" w14:textId="77777777" w:rsidR="009E16F8" w:rsidRPr="009E16F8" w:rsidRDefault="009E16F8" w:rsidP="009E16F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Personnel du Secrétariat requis pour la mise en œuvre (jours ouvrables) </w:t>
            </w:r>
          </w:p>
        </w:tc>
      </w:tr>
      <w:tr w:rsidR="009E16F8" w:rsidRPr="00C63085" w14:paraId="20B00FA8" w14:textId="77777777" w:rsidTr="00C845ED">
        <w:trPr>
          <w:gridAfter w:val="1"/>
          <w:cnfStyle w:val="000000100000" w:firstRow="0" w:lastRow="0" w:firstColumn="0" w:lastColumn="0" w:oddVBand="0" w:evenVBand="0" w:oddHBand="1" w:evenHBand="0" w:firstRowFirstColumn="0" w:firstRowLastColumn="0" w:lastRowFirstColumn="0" w:lastRowLastColumn="0"/>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hideMark/>
          </w:tcPr>
          <w:p w14:paraId="2F0CFF6F" w14:textId="77777777" w:rsidR="009E16F8" w:rsidRPr="009E16F8" w:rsidRDefault="009E16F8" w:rsidP="009E16F8">
            <w:pPr>
              <w:widowControl/>
              <w:autoSpaceDE/>
              <w:autoSpaceDN/>
              <w:adjustRightInd/>
              <w:textAlignment w:val="baseline"/>
              <w:rPr>
                <w:rFonts w:ascii="Arial" w:hAnsi="Arial" w:cs="Arial"/>
                <w:szCs w:val="20"/>
                <w:lang w:val="fr-FR" w:eastAsia="en-GB"/>
              </w:rPr>
            </w:pPr>
            <w:r w:rsidRPr="009E16F8">
              <w:rPr>
                <w:rFonts w:ascii="Arial" w:hAnsi="Arial" w:cs="Arial"/>
                <w:szCs w:val="20"/>
                <w:lang w:val="fr-FR" w:eastAsia="en-GB"/>
              </w:rPr>
              <w:t>Conservation de l’espèce/Conservation de l'habitat </w:t>
            </w:r>
          </w:p>
        </w:tc>
      </w:tr>
      <w:tr w:rsidR="009E16F8" w:rsidRPr="00C63085" w14:paraId="6E85677B" w14:textId="77777777" w:rsidTr="00C845ED">
        <w:trPr>
          <w:gridAfter w:val="1"/>
          <w:wAfter w:w="15" w:type="pct"/>
          <w:trHeight w:val="270"/>
        </w:trPr>
        <w:tc>
          <w:tcPr>
            <w:cnfStyle w:val="001000000000" w:firstRow="0" w:lastRow="0" w:firstColumn="1" w:lastColumn="0" w:oddVBand="0" w:evenVBand="0" w:oddHBand="0" w:evenHBand="0" w:firstRowFirstColumn="0" w:firstRowLastColumn="0" w:lastRowFirstColumn="0" w:lastRowLastColumn="0"/>
            <w:tcW w:w="4985" w:type="pct"/>
            <w:gridSpan w:val="8"/>
          </w:tcPr>
          <w:p w14:paraId="1D555AB4" w14:textId="77777777" w:rsidR="009E16F8" w:rsidRPr="009E16F8" w:rsidRDefault="009E16F8" w:rsidP="009E16F8">
            <w:pPr>
              <w:ind w:right="252"/>
              <w:rPr>
                <w:rFonts w:ascii="Arial" w:hAnsi="Arial" w:cs="Arial"/>
                <w:szCs w:val="20"/>
                <w:lang w:val="fr-FR"/>
              </w:rPr>
            </w:pPr>
            <w:r w:rsidRPr="009E16F8">
              <w:rPr>
                <w:rFonts w:ascii="Arial" w:hAnsi="Arial" w:cs="Arial"/>
                <w:szCs w:val="20"/>
                <w:lang w:val="fr-FR" w:eastAsia="en-GB"/>
              </w:rPr>
              <w:t xml:space="preserve">X. </w:t>
            </w:r>
            <w:r w:rsidRPr="009E16F8">
              <w:rPr>
                <w:rFonts w:ascii="Arial" w:hAnsi="Arial" w:cs="Arial"/>
                <w:szCs w:val="20"/>
                <w:lang w:val="fr-FR"/>
              </w:rPr>
              <w:t xml:space="preserve">Examen de la mortalité liée à la pêche des espèces de requins et de raies inscrites à l’Annexe 1 du </w:t>
            </w:r>
            <w:proofErr w:type="spellStart"/>
            <w:r w:rsidRPr="009E16F8">
              <w:rPr>
                <w:rFonts w:ascii="Arial" w:hAnsi="Arial" w:cs="Arial"/>
                <w:szCs w:val="20"/>
                <w:lang w:val="fr-FR"/>
              </w:rPr>
              <w:t>MdE</w:t>
            </w:r>
            <w:proofErr w:type="spellEnd"/>
            <w:r w:rsidRPr="009E16F8">
              <w:rPr>
                <w:rFonts w:ascii="Arial" w:hAnsi="Arial" w:cs="Arial"/>
                <w:szCs w:val="20"/>
                <w:lang w:val="fr-FR"/>
              </w:rPr>
              <w:t xml:space="preserve"> requins et aux Annexes de la CMS</w:t>
            </w:r>
          </w:p>
        </w:tc>
      </w:tr>
      <w:tr w:rsidR="009E16F8" w:rsidRPr="009E16F8" w14:paraId="67DA76F7" w14:textId="77777777" w:rsidTr="00C845E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2" w:type="pct"/>
            <w:hideMark/>
          </w:tcPr>
          <w:p w14:paraId="0EDFCD73" w14:textId="77777777" w:rsidR="009E16F8" w:rsidRPr="009E16F8" w:rsidRDefault="009E16F8" w:rsidP="009E16F8">
            <w:pPr>
              <w:widowControl/>
              <w:autoSpaceDE/>
              <w:autoSpaceDN/>
              <w:adjustRightInd/>
              <w:textAlignment w:val="baseline"/>
              <w:rPr>
                <w:rFonts w:ascii="Arial" w:hAnsi="Arial" w:cs="Arial"/>
                <w:szCs w:val="20"/>
                <w:lang w:val="en-GB" w:eastAsia="en-GB"/>
              </w:rPr>
            </w:pPr>
            <w:r w:rsidRPr="009E16F8">
              <w:rPr>
                <w:rFonts w:ascii="Arial" w:hAnsi="Arial" w:cs="Arial"/>
                <w:szCs w:val="20"/>
                <w:lang w:val="en-GB" w:eastAsia="en-GB"/>
              </w:rPr>
              <w:t>x.1</w:t>
            </w:r>
          </w:p>
        </w:tc>
        <w:tc>
          <w:tcPr>
            <w:tcW w:w="1390" w:type="pct"/>
          </w:tcPr>
          <w:p w14:paraId="3AD980AE" w14:textId="77777777" w:rsidR="009E16F8" w:rsidRPr="009E16F8" w:rsidRDefault="009E16F8" w:rsidP="009E16F8">
            <w:pPr>
              <w:widowControl/>
              <w:autoSpaceDE/>
              <w:autoSpaceDN/>
              <w:adjustRightInd/>
              <w:spacing w:after="2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9E16F8">
              <w:rPr>
                <w:rFonts w:ascii="Arial" w:hAnsi="Arial" w:cs="Arial"/>
                <w:szCs w:val="20"/>
                <w:lang w:val="fr-FR" w:eastAsia="en-GB"/>
              </w:rPr>
              <w:t>Fournir un appui technique à l’examen.</w:t>
            </w:r>
          </w:p>
        </w:tc>
        <w:tc>
          <w:tcPr>
            <w:tcW w:w="476" w:type="pct"/>
          </w:tcPr>
          <w:p w14:paraId="452A6D20"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Décisions de la MOS4</w:t>
            </w:r>
          </w:p>
        </w:tc>
        <w:tc>
          <w:tcPr>
            <w:tcW w:w="439" w:type="pct"/>
          </w:tcPr>
          <w:p w14:paraId="07A93D45" w14:textId="77777777" w:rsidR="009E16F8" w:rsidRPr="009E16F8" w:rsidRDefault="009E16F8" w:rsidP="009E16F8">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roofErr w:type="gramStart"/>
            <w:r w:rsidRPr="009E16F8">
              <w:rPr>
                <w:rFonts w:ascii="Arial" w:hAnsi="Arial" w:cs="Arial"/>
                <w:szCs w:val="20"/>
                <w:lang w:val="fr-FR" w:eastAsia="en-GB"/>
              </w:rPr>
              <w:t>à</w:t>
            </w:r>
            <w:proofErr w:type="gramEnd"/>
            <w:r w:rsidRPr="009E16F8">
              <w:rPr>
                <w:rFonts w:ascii="Arial" w:hAnsi="Arial" w:cs="Arial"/>
                <w:szCs w:val="20"/>
                <w:lang w:val="fr-FR" w:eastAsia="en-GB"/>
              </w:rPr>
              <w:t xml:space="preserve"> déterminer</w:t>
            </w:r>
          </w:p>
        </w:tc>
        <w:tc>
          <w:tcPr>
            <w:tcW w:w="321" w:type="pct"/>
          </w:tcPr>
          <w:p w14:paraId="02A02EFA" w14:textId="77777777" w:rsidR="009E16F8" w:rsidRPr="009E16F8" w:rsidRDefault="009E16F8" w:rsidP="009E16F8">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roofErr w:type="gramStart"/>
            <w:r w:rsidRPr="009E16F8">
              <w:rPr>
                <w:rFonts w:ascii="Arial" w:hAnsi="Arial" w:cs="Arial"/>
                <w:szCs w:val="20"/>
                <w:lang w:val="fr-FR" w:eastAsia="en-GB"/>
              </w:rPr>
              <w:t>à</w:t>
            </w:r>
            <w:proofErr w:type="gramEnd"/>
            <w:r w:rsidRPr="009E16F8">
              <w:rPr>
                <w:rFonts w:ascii="Arial" w:hAnsi="Arial" w:cs="Arial"/>
                <w:szCs w:val="20"/>
                <w:lang w:val="fr-FR" w:eastAsia="en-GB"/>
              </w:rPr>
              <w:t xml:space="preserve"> déterminer</w:t>
            </w:r>
          </w:p>
        </w:tc>
        <w:tc>
          <w:tcPr>
            <w:tcW w:w="714" w:type="pct"/>
          </w:tcPr>
          <w:p w14:paraId="5636D50E" w14:textId="77777777" w:rsidR="009E16F8" w:rsidRPr="009E16F8" w:rsidRDefault="009E16F8" w:rsidP="009E16F8">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CC</w:t>
            </w:r>
          </w:p>
        </w:tc>
        <w:tc>
          <w:tcPr>
            <w:tcW w:w="701" w:type="pct"/>
          </w:tcPr>
          <w:p w14:paraId="109868B0"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highlight w:val="yellow"/>
                <w:lang w:val="fr-FR" w:eastAsia="en-GB"/>
              </w:rPr>
            </w:pPr>
          </w:p>
        </w:tc>
        <w:tc>
          <w:tcPr>
            <w:tcW w:w="686" w:type="pct"/>
            <w:gridSpan w:val="2"/>
          </w:tcPr>
          <w:p w14:paraId="41F4CFF3"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highlight w:val="yellow"/>
                <w:lang w:val="fr-FR" w:eastAsia="en-GB"/>
              </w:rPr>
            </w:pPr>
          </w:p>
        </w:tc>
      </w:tr>
      <w:tr w:rsidR="009E16F8" w:rsidRPr="00C63085" w14:paraId="3705C754" w14:textId="77777777" w:rsidTr="00C845ED">
        <w:trPr>
          <w:trHeight w:val="850"/>
        </w:trPr>
        <w:tc>
          <w:tcPr>
            <w:cnfStyle w:val="001000000000" w:firstRow="0" w:lastRow="0" w:firstColumn="1" w:lastColumn="0" w:oddVBand="0" w:evenVBand="0" w:oddHBand="0" w:evenHBand="0" w:firstRowFirstColumn="0" w:firstRowLastColumn="0" w:lastRowFirstColumn="0" w:lastRowLastColumn="0"/>
            <w:tcW w:w="272" w:type="pct"/>
            <w:hideMark/>
          </w:tcPr>
          <w:p w14:paraId="4312CBD4" w14:textId="77777777" w:rsidR="009E16F8" w:rsidRPr="009E16F8" w:rsidRDefault="009E16F8" w:rsidP="009E16F8">
            <w:pPr>
              <w:widowControl/>
              <w:autoSpaceDE/>
              <w:autoSpaceDN/>
              <w:adjustRightInd/>
              <w:textAlignment w:val="baseline"/>
              <w:rPr>
                <w:rFonts w:ascii="Arial" w:hAnsi="Arial" w:cs="Arial"/>
                <w:szCs w:val="20"/>
                <w:lang w:val="en-GB" w:eastAsia="en-GB"/>
              </w:rPr>
            </w:pPr>
            <w:r w:rsidRPr="009E16F8">
              <w:rPr>
                <w:rFonts w:ascii="Arial" w:hAnsi="Arial" w:cs="Arial"/>
                <w:szCs w:val="20"/>
                <w:lang w:val="en-GB" w:eastAsia="en-GB"/>
              </w:rPr>
              <w:t>x.2 </w:t>
            </w:r>
          </w:p>
        </w:tc>
        <w:tc>
          <w:tcPr>
            <w:tcW w:w="1390" w:type="pct"/>
          </w:tcPr>
          <w:p w14:paraId="432265A6"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lang w:val="fr-FR"/>
              </w:rPr>
            </w:pPr>
            <w:r w:rsidRPr="009E16F8">
              <w:rPr>
                <w:rFonts w:ascii="Arial" w:eastAsia="Arial" w:hAnsi="Arial" w:cs="Arial"/>
                <w:bCs/>
                <w:szCs w:val="20"/>
                <w:lang w:val="fr-FR"/>
              </w:rPr>
              <w:t>Fournir un appui financier pour la réalisation de l’étude pilote dans deux zones de la FAO.</w:t>
            </w:r>
          </w:p>
        </w:tc>
        <w:tc>
          <w:tcPr>
            <w:tcW w:w="476" w:type="pct"/>
          </w:tcPr>
          <w:p w14:paraId="19A25EC9"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Décisions de la MOS4</w:t>
            </w:r>
          </w:p>
        </w:tc>
        <w:tc>
          <w:tcPr>
            <w:tcW w:w="439" w:type="pct"/>
          </w:tcPr>
          <w:p w14:paraId="051AF175" w14:textId="77777777" w:rsidR="009E16F8" w:rsidRPr="009E16F8" w:rsidRDefault="009E16F8" w:rsidP="009E16F8">
            <w:pPr>
              <w:widowControl/>
              <w:autoSpaceDE/>
              <w:autoSpaceDN/>
              <w:adjustRightInd/>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roofErr w:type="gramStart"/>
            <w:r w:rsidRPr="009E16F8">
              <w:rPr>
                <w:rFonts w:ascii="Arial" w:hAnsi="Arial" w:cs="Arial"/>
                <w:szCs w:val="20"/>
                <w:lang w:val="fr-FR" w:eastAsia="en-GB"/>
              </w:rPr>
              <w:t>à</w:t>
            </w:r>
            <w:proofErr w:type="gramEnd"/>
            <w:r w:rsidRPr="009E16F8">
              <w:rPr>
                <w:rFonts w:ascii="Arial" w:hAnsi="Arial" w:cs="Arial"/>
                <w:szCs w:val="20"/>
                <w:lang w:val="fr-FR" w:eastAsia="en-GB"/>
              </w:rPr>
              <w:t xml:space="preserve"> déterminer</w:t>
            </w:r>
          </w:p>
        </w:tc>
        <w:tc>
          <w:tcPr>
            <w:tcW w:w="321" w:type="pct"/>
          </w:tcPr>
          <w:p w14:paraId="75ADBDF6" w14:textId="77777777" w:rsidR="009E16F8" w:rsidRPr="009E16F8" w:rsidRDefault="009E16F8" w:rsidP="009E16F8">
            <w:pPr>
              <w:widowControl/>
              <w:autoSpaceDE/>
              <w:autoSpaceDN/>
              <w:adjustRightInd/>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roofErr w:type="gramStart"/>
            <w:r w:rsidRPr="009E16F8">
              <w:rPr>
                <w:rFonts w:ascii="Arial" w:hAnsi="Arial" w:cs="Arial"/>
                <w:szCs w:val="20"/>
                <w:lang w:val="fr-FR" w:eastAsia="en-GB"/>
              </w:rPr>
              <w:t>à</w:t>
            </w:r>
            <w:proofErr w:type="gramEnd"/>
            <w:r w:rsidRPr="009E16F8">
              <w:rPr>
                <w:rFonts w:ascii="Arial" w:hAnsi="Arial" w:cs="Arial"/>
                <w:szCs w:val="20"/>
                <w:lang w:val="fr-FR" w:eastAsia="en-GB"/>
              </w:rPr>
              <w:t xml:space="preserve"> déterminer</w:t>
            </w:r>
          </w:p>
        </w:tc>
        <w:tc>
          <w:tcPr>
            <w:tcW w:w="714" w:type="pct"/>
          </w:tcPr>
          <w:p w14:paraId="255D89DE"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SIG (SEC : si les fonds ont été fournis par le Secrétariat)</w:t>
            </w:r>
          </w:p>
        </w:tc>
        <w:tc>
          <w:tcPr>
            <w:tcW w:w="701" w:type="pct"/>
          </w:tcPr>
          <w:p w14:paraId="107EDB19"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50 000 €</w:t>
            </w:r>
          </w:p>
          <w:p w14:paraId="6DA81290"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63DD1F43"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w:t>
            </w:r>
            <w:proofErr w:type="gramStart"/>
            <w:r w:rsidRPr="009E16F8">
              <w:rPr>
                <w:rFonts w:ascii="Arial" w:hAnsi="Arial" w:cs="Arial"/>
                <w:szCs w:val="20"/>
                <w:lang w:val="fr-FR" w:eastAsia="en-GB"/>
              </w:rPr>
              <w:t>services</w:t>
            </w:r>
            <w:proofErr w:type="gramEnd"/>
            <w:r w:rsidRPr="009E16F8">
              <w:rPr>
                <w:rFonts w:ascii="Arial" w:hAnsi="Arial" w:cs="Arial"/>
                <w:szCs w:val="20"/>
                <w:lang w:val="fr-FR" w:eastAsia="en-GB"/>
              </w:rPr>
              <w:t xml:space="preserve"> de conseil : le financement est déjà disponible)</w:t>
            </w:r>
          </w:p>
          <w:p w14:paraId="35053E68"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2537F94B"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686" w:type="pct"/>
            <w:gridSpan w:val="2"/>
          </w:tcPr>
          <w:p w14:paraId="6F638018"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Personnel P : 10</w:t>
            </w:r>
          </w:p>
          <w:p w14:paraId="57360E5B"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Personnel G : 1</w:t>
            </w:r>
          </w:p>
          <w:p w14:paraId="4FD199CA" w14:textId="77777777" w:rsidR="009E16F8" w:rsidRPr="009E16F8" w:rsidRDefault="009E16F8" w:rsidP="009E16F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9E16F8">
              <w:rPr>
                <w:rFonts w:ascii="Arial" w:hAnsi="Arial" w:cs="Arial"/>
                <w:szCs w:val="20"/>
                <w:lang w:val="fr-FR" w:eastAsia="en-GB"/>
              </w:rPr>
              <w:t>(</w:t>
            </w:r>
            <w:proofErr w:type="gramStart"/>
            <w:r w:rsidRPr="009E16F8">
              <w:rPr>
                <w:rFonts w:ascii="Arial" w:hAnsi="Arial" w:cs="Arial"/>
                <w:szCs w:val="20"/>
                <w:lang w:val="fr-FR" w:eastAsia="en-GB"/>
              </w:rPr>
              <w:t>gestion</w:t>
            </w:r>
            <w:proofErr w:type="gramEnd"/>
            <w:r w:rsidRPr="009E16F8">
              <w:rPr>
                <w:rFonts w:ascii="Arial" w:hAnsi="Arial" w:cs="Arial"/>
                <w:szCs w:val="20"/>
                <w:lang w:val="fr-FR" w:eastAsia="en-GB"/>
              </w:rPr>
              <w:t xml:space="preserve"> de l’accord avec les donateurs, recrutement et supervision du consultant)</w:t>
            </w:r>
          </w:p>
        </w:tc>
      </w:tr>
      <w:tr w:rsidR="009E16F8" w:rsidRPr="00C63085" w14:paraId="445929F1" w14:textId="77777777" w:rsidTr="00C845ED">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72" w:type="pct"/>
          </w:tcPr>
          <w:p w14:paraId="73BCBF66" w14:textId="77777777" w:rsidR="009E16F8" w:rsidRPr="009E16F8" w:rsidRDefault="009E16F8" w:rsidP="009E16F8">
            <w:pPr>
              <w:widowControl/>
              <w:autoSpaceDE/>
              <w:autoSpaceDN/>
              <w:adjustRightInd/>
              <w:textAlignment w:val="baseline"/>
              <w:rPr>
                <w:rFonts w:ascii="Arial" w:hAnsi="Arial" w:cs="Arial"/>
                <w:szCs w:val="20"/>
                <w:lang w:val="fr-FR" w:eastAsia="en-GB"/>
              </w:rPr>
            </w:pPr>
          </w:p>
        </w:tc>
        <w:tc>
          <w:tcPr>
            <w:tcW w:w="1390" w:type="pct"/>
          </w:tcPr>
          <w:p w14:paraId="2B079CC0"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bCs/>
                <w:szCs w:val="20"/>
                <w:lang w:val="fr-FR"/>
              </w:rPr>
            </w:pPr>
          </w:p>
        </w:tc>
        <w:tc>
          <w:tcPr>
            <w:tcW w:w="476" w:type="pct"/>
          </w:tcPr>
          <w:p w14:paraId="5E152C6B"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439" w:type="pct"/>
          </w:tcPr>
          <w:p w14:paraId="6D55E753" w14:textId="77777777" w:rsidR="009E16F8" w:rsidRPr="009E16F8" w:rsidRDefault="009E16F8" w:rsidP="009E16F8">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321" w:type="pct"/>
          </w:tcPr>
          <w:p w14:paraId="13984EEB" w14:textId="77777777" w:rsidR="009E16F8" w:rsidRPr="009E16F8" w:rsidRDefault="009E16F8" w:rsidP="009E16F8">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714" w:type="pct"/>
          </w:tcPr>
          <w:p w14:paraId="55185946"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701" w:type="pct"/>
          </w:tcPr>
          <w:p w14:paraId="2225AC59"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686" w:type="pct"/>
            <w:gridSpan w:val="2"/>
          </w:tcPr>
          <w:p w14:paraId="1A51849D" w14:textId="77777777" w:rsidR="009E16F8" w:rsidRPr="009E16F8" w:rsidRDefault="009E16F8" w:rsidP="009E16F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r>
      <w:bookmarkEnd w:id="2"/>
    </w:tbl>
    <w:p w14:paraId="2BAAD127" w14:textId="77777777" w:rsidR="009E16F8" w:rsidRPr="009E16F8" w:rsidRDefault="009E16F8" w:rsidP="009E16F8">
      <w:pPr>
        <w:ind w:right="252"/>
        <w:jc w:val="center"/>
        <w:rPr>
          <w:rFonts w:ascii="Arial" w:hAnsi="Arial" w:cs="Arial"/>
          <w:bCs/>
          <w:iCs/>
          <w:sz w:val="22"/>
          <w:szCs w:val="22"/>
          <w:lang w:val="fr-FR"/>
        </w:rPr>
      </w:pPr>
    </w:p>
    <w:p w14:paraId="53268D66" w14:textId="77777777" w:rsidR="009E16F8" w:rsidRPr="009E16F8" w:rsidRDefault="009E16F8" w:rsidP="009E16F8">
      <w:pPr>
        <w:ind w:right="252"/>
        <w:jc w:val="center"/>
        <w:rPr>
          <w:rFonts w:ascii="Arial" w:hAnsi="Arial" w:cs="Arial"/>
          <w:bCs/>
          <w:iCs/>
          <w:sz w:val="22"/>
          <w:szCs w:val="22"/>
          <w:lang w:val="fr-FR"/>
        </w:rPr>
      </w:pPr>
    </w:p>
    <w:p w14:paraId="090B5FCB" w14:textId="77777777" w:rsidR="009E16F8" w:rsidRPr="009E16F8" w:rsidRDefault="009E16F8" w:rsidP="009E16F8">
      <w:pPr>
        <w:ind w:right="252"/>
        <w:jc w:val="center"/>
        <w:rPr>
          <w:rFonts w:ascii="Arial" w:hAnsi="Arial" w:cs="Arial"/>
          <w:bCs/>
          <w:iCs/>
          <w:sz w:val="22"/>
          <w:szCs w:val="22"/>
          <w:lang w:val="fr-FR"/>
        </w:rPr>
      </w:pPr>
    </w:p>
    <w:p w14:paraId="1466AB24" w14:textId="77777777" w:rsidR="009E16F8" w:rsidRPr="009E16F8" w:rsidRDefault="009E16F8" w:rsidP="009E16F8">
      <w:pPr>
        <w:ind w:right="252"/>
        <w:rPr>
          <w:rFonts w:ascii="Arial" w:hAnsi="Arial" w:cs="Arial"/>
          <w:bCs/>
          <w:iCs/>
          <w:sz w:val="22"/>
          <w:szCs w:val="22"/>
          <w:lang w:val="fr-FR"/>
        </w:rPr>
      </w:pPr>
    </w:p>
    <w:p w14:paraId="41C046FD" w14:textId="77777777" w:rsidR="009E16F8" w:rsidRPr="009E16F8" w:rsidRDefault="009E16F8" w:rsidP="009E16F8">
      <w:pPr>
        <w:ind w:right="252"/>
        <w:jc w:val="both"/>
        <w:rPr>
          <w:rFonts w:ascii="Arial" w:hAnsi="Arial"/>
          <w:sz w:val="22"/>
          <w:szCs w:val="32"/>
          <w:lang w:val="fr-FR"/>
        </w:rPr>
      </w:pPr>
    </w:p>
    <w:p w14:paraId="356C459D" w14:textId="77777777" w:rsidR="009E16F8" w:rsidRPr="00627A42" w:rsidRDefault="009E16F8" w:rsidP="00627A42">
      <w:pPr>
        <w:jc w:val="both"/>
        <w:rPr>
          <w:rFonts w:ascii="Arial" w:hAnsi="Arial" w:cs="Arial"/>
          <w:bCs/>
          <w:sz w:val="22"/>
          <w:szCs w:val="22"/>
          <w:lang w:val="fr-FR"/>
        </w:rPr>
      </w:pPr>
    </w:p>
    <w:sectPr w:rsidR="009E16F8" w:rsidRPr="00627A42" w:rsidSect="00FF6AF2">
      <w:headerReference w:type="first" r:id="rId20"/>
      <w:footerReference w:type="first" r:id="rId21"/>
      <w:pgSz w:w="16838" w:h="11906" w:orient="landscape" w:code="9"/>
      <w:pgMar w:top="1138" w:right="1138" w:bottom="1138" w:left="1138"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DA18" w14:textId="77777777" w:rsidR="00C63085" w:rsidRDefault="00C630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5733"/>
      <w:docPartObj>
        <w:docPartGallery w:val="Page Numbers (Bottom of Page)"/>
        <w:docPartUnique/>
      </w:docPartObj>
    </w:sdtPr>
    <w:sdtEndPr>
      <w:rPr>
        <w:rFonts w:ascii="Arial" w:hAnsi="Arial" w:cs="Arial"/>
        <w:noProof/>
        <w:sz w:val="18"/>
        <w:szCs w:val="18"/>
      </w:rPr>
    </w:sdtEndPr>
    <w:sdtContent>
      <w:p w14:paraId="0ABA928C" w14:textId="1119CE44" w:rsidR="009E16F8" w:rsidRPr="009E16F8" w:rsidRDefault="009E16F8">
        <w:pPr>
          <w:pStyle w:val="Footer"/>
          <w:jc w:val="center"/>
          <w:rPr>
            <w:rFonts w:ascii="Arial" w:hAnsi="Arial" w:cs="Arial"/>
            <w:sz w:val="18"/>
            <w:szCs w:val="18"/>
          </w:rPr>
        </w:pPr>
        <w:r w:rsidRPr="009E16F8">
          <w:rPr>
            <w:rFonts w:ascii="Arial" w:hAnsi="Arial" w:cs="Arial"/>
            <w:sz w:val="18"/>
            <w:szCs w:val="18"/>
          </w:rPr>
          <w:fldChar w:fldCharType="begin"/>
        </w:r>
        <w:r w:rsidRPr="009E16F8">
          <w:rPr>
            <w:rFonts w:ascii="Arial" w:hAnsi="Arial" w:cs="Arial"/>
            <w:sz w:val="18"/>
            <w:szCs w:val="18"/>
          </w:rPr>
          <w:instrText xml:space="preserve"> PAGE   \* MERGEFORMAT </w:instrText>
        </w:r>
        <w:r w:rsidRPr="009E16F8">
          <w:rPr>
            <w:rFonts w:ascii="Arial" w:hAnsi="Arial" w:cs="Arial"/>
            <w:sz w:val="18"/>
            <w:szCs w:val="18"/>
          </w:rPr>
          <w:fldChar w:fldCharType="separate"/>
        </w:r>
        <w:r w:rsidRPr="009E16F8">
          <w:rPr>
            <w:rFonts w:ascii="Arial" w:hAnsi="Arial" w:cs="Arial"/>
            <w:noProof/>
            <w:sz w:val="18"/>
            <w:szCs w:val="18"/>
          </w:rPr>
          <w:t>2</w:t>
        </w:r>
        <w:r w:rsidRPr="009E16F8">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60965"/>
      <w:docPartObj>
        <w:docPartGallery w:val="Page Numbers (Bottom of Page)"/>
        <w:docPartUnique/>
      </w:docPartObj>
    </w:sdtPr>
    <w:sdtEndPr>
      <w:rPr>
        <w:rFonts w:ascii="Arial" w:hAnsi="Arial" w:cs="Arial"/>
        <w:noProof/>
        <w:sz w:val="18"/>
        <w:szCs w:val="18"/>
      </w:rPr>
    </w:sdtEndPr>
    <w:sdtContent>
      <w:p w14:paraId="67AF77CA" w14:textId="77777777" w:rsidR="009E16F8" w:rsidRPr="009E16F8" w:rsidRDefault="009E16F8">
        <w:pPr>
          <w:pStyle w:val="Footer"/>
          <w:jc w:val="center"/>
          <w:rPr>
            <w:rFonts w:ascii="Arial" w:hAnsi="Arial" w:cs="Arial"/>
            <w:sz w:val="18"/>
            <w:szCs w:val="18"/>
          </w:rPr>
        </w:pPr>
        <w:r w:rsidRPr="009E16F8">
          <w:rPr>
            <w:rFonts w:ascii="Arial" w:hAnsi="Arial" w:cs="Arial"/>
            <w:sz w:val="18"/>
            <w:szCs w:val="18"/>
          </w:rPr>
          <w:fldChar w:fldCharType="begin"/>
        </w:r>
        <w:r w:rsidRPr="009E16F8">
          <w:rPr>
            <w:rFonts w:ascii="Arial" w:hAnsi="Arial" w:cs="Arial"/>
            <w:sz w:val="18"/>
            <w:szCs w:val="18"/>
          </w:rPr>
          <w:instrText xml:space="preserve"> PAGE   \* MERGEFORMAT </w:instrText>
        </w:r>
        <w:r w:rsidRPr="009E16F8">
          <w:rPr>
            <w:rFonts w:ascii="Arial" w:hAnsi="Arial" w:cs="Arial"/>
            <w:sz w:val="18"/>
            <w:szCs w:val="18"/>
          </w:rPr>
          <w:fldChar w:fldCharType="separate"/>
        </w:r>
        <w:r w:rsidRPr="009E16F8">
          <w:rPr>
            <w:rFonts w:ascii="Arial" w:hAnsi="Arial" w:cs="Arial"/>
            <w:noProof/>
            <w:sz w:val="18"/>
            <w:szCs w:val="18"/>
          </w:rPr>
          <w:t>2</w:t>
        </w:r>
        <w:r w:rsidRPr="009E16F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50FF63A9"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Style w:val="cf01"/>
          <w:rFonts w:ascii="Arial" w:hAnsi="Arial" w:cs="Arial"/>
          <w:sz w:val="16"/>
          <w:szCs w:val="16"/>
          <w:lang w:val="fr-FR"/>
        </w:rPr>
        <w:t>Cette définition inclut les composantes de la capture qui peuvent être décrites comme des « prises accessoires » ou des « prises accidentelles ».</w:t>
      </w:r>
    </w:p>
  </w:footnote>
  <w:footnote w:id="2">
    <w:p w14:paraId="4DF73C58" w14:textId="77777777" w:rsidR="00FC4B70" w:rsidRPr="00FF6AF2" w:rsidRDefault="00FC4B70" w:rsidP="00FC4B70">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Conformément au </w:t>
      </w:r>
      <w:proofErr w:type="spellStart"/>
      <w:r>
        <w:rPr>
          <w:rFonts w:ascii="Arial" w:hAnsi="Arial" w:cs="Arial"/>
          <w:sz w:val="16"/>
          <w:szCs w:val="16"/>
          <w:lang w:val="fr-FR"/>
        </w:rPr>
        <w:t>MdE</w:t>
      </w:r>
      <w:proofErr w:type="spellEnd"/>
      <w:r>
        <w:rPr>
          <w:rFonts w:ascii="Arial" w:hAnsi="Arial" w:cs="Arial"/>
          <w:sz w:val="16"/>
          <w:szCs w:val="16"/>
          <w:lang w:val="fr-FR"/>
        </w:rPr>
        <w:t xml:space="preserve"> requins, le terme « requin » est ici utilisé pour désigner toute espèce de la classe des </w:t>
      </w:r>
      <w:proofErr w:type="spellStart"/>
      <w:r>
        <w:rPr>
          <w:rFonts w:ascii="Arial" w:hAnsi="Arial" w:cs="Arial"/>
          <w:sz w:val="16"/>
          <w:szCs w:val="16"/>
          <w:lang w:val="fr-FR"/>
        </w:rPr>
        <w:t>Chondrichthyes</w:t>
      </w:r>
      <w:proofErr w:type="spellEnd"/>
      <w:r>
        <w:rPr>
          <w:rFonts w:ascii="Arial" w:hAnsi="Arial" w:cs="Arial"/>
          <w:sz w:val="16"/>
          <w:szCs w:val="16"/>
          <w:lang w:val="fr-FR"/>
        </w:rPr>
        <w:t xml:space="preserve"> (= classe </w:t>
      </w:r>
      <w:proofErr w:type="spellStart"/>
      <w:r>
        <w:rPr>
          <w:rFonts w:ascii="Arial" w:hAnsi="Arial" w:cs="Arial"/>
          <w:sz w:val="16"/>
          <w:szCs w:val="16"/>
          <w:lang w:val="fr-FR"/>
        </w:rPr>
        <w:t>Elasmobranchii</w:t>
      </w:r>
      <w:proofErr w:type="spellEnd"/>
      <w:r>
        <w:rPr>
          <w:rFonts w:ascii="Arial" w:hAnsi="Arial" w:cs="Arial"/>
          <w:sz w:val="16"/>
          <w:szCs w:val="16"/>
          <w:lang w:val="fr-FR"/>
        </w:rPr>
        <w:t xml:space="preserve"> et classe </w:t>
      </w:r>
      <w:proofErr w:type="spellStart"/>
      <w:r>
        <w:rPr>
          <w:rFonts w:ascii="Arial" w:hAnsi="Arial" w:cs="Arial"/>
          <w:sz w:val="16"/>
          <w:szCs w:val="16"/>
          <w:lang w:val="fr-FR"/>
        </w:rPr>
        <w:t>Holocephali</w:t>
      </w:r>
      <w:proofErr w:type="spellEnd"/>
      <w:r>
        <w:rPr>
          <w:rFonts w:ascii="Arial" w:hAnsi="Arial" w:cs="Arial"/>
          <w:sz w:val="16"/>
          <w:szCs w:val="16"/>
          <w:lang w:val="fr-FR"/>
        </w:rPr>
        <w:t>) et comprend les requins, les différentes raies et les chimères.</w:t>
      </w:r>
    </w:p>
  </w:footnote>
  <w:footnote w:id="3">
    <w:p w14:paraId="236C0CE9"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Seule la population de l’hémisphère nord est répertoriée.</w:t>
      </w:r>
    </w:p>
  </w:footnote>
  <w:footnote w:id="4">
    <w:p w14:paraId="03381A0B"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w:t>
      </w:r>
      <w:bookmarkStart w:id="1" w:name="_Hlk122515827"/>
      <w:r>
        <w:rPr>
          <w:rFonts w:ascii="Arial" w:hAnsi="Arial" w:cs="Arial"/>
          <w:sz w:val="16"/>
          <w:szCs w:val="16"/>
          <w:lang w:val="fr-FR"/>
        </w:rPr>
        <w:t xml:space="preserve">Le 18 octobre 2021, un requin-baleine </w:t>
      </w:r>
      <w:proofErr w:type="spellStart"/>
      <w:r>
        <w:rPr>
          <w:rFonts w:ascii="Arial" w:hAnsi="Arial" w:cs="Arial"/>
          <w:sz w:val="16"/>
          <w:szCs w:val="16"/>
          <w:lang w:val="fr-FR"/>
        </w:rPr>
        <w:t>Rhincodon</w:t>
      </w:r>
      <w:proofErr w:type="spellEnd"/>
      <w:r>
        <w:rPr>
          <w:rFonts w:ascii="Arial" w:hAnsi="Arial" w:cs="Arial"/>
          <w:sz w:val="16"/>
          <w:szCs w:val="16"/>
          <w:lang w:val="fr-FR"/>
        </w:rPr>
        <w:t xml:space="preserve"> </w:t>
      </w:r>
      <w:proofErr w:type="spellStart"/>
      <w:r>
        <w:rPr>
          <w:rFonts w:ascii="Arial" w:hAnsi="Arial" w:cs="Arial"/>
          <w:sz w:val="16"/>
          <w:szCs w:val="16"/>
          <w:lang w:val="fr-FR"/>
        </w:rPr>
        <w:t>typus</w:t>
      </w:r>
      <w:proofErr w:type="spellEnd"/>
      <w:r>
        <w:rPr>
          <w:rFonts w:ascii="Arial" w:hAnsi="Arial" w:cs="Arial"/>
          <w:sz w:val="16"/>
          <w:szCs w:val="16"/>
          <w:lang w:val="fr-FR"/>
        </w:rPr>
        <w:t xml:space="preserve"> (Smith, 1828) a été aperçu au large des côtes de </w:t>
      </w:r>
      <w:proofErr w:type="spellStart"/>
      <w:r>
        <w:rPr>
          <w:rFonts w:ascii="Arial" w:hAnsi="Arial" w:cs="Arial"/>
          <w:sz w:val="16"/>
          <w:szCs w:val="16"/>
          <w:lang w:val="fr-FR"/>
        </w:rPr>
        <w:t>Samandağ</w:t>
      </w:r>
      <w:proofErr w:type="spellEnd"/>
      <w:r>
        <w:rPr>
          <w:rFonts w:ascii="Arial" w:hAnsi="Arial" w:cs="Arial"/>
          <w:sz w:val="16"/>
          <w:szCs w:val="16"/>
          <w:lang w:val="fr-FR"/>
        </w:rPr>
        <w:t xml:space="preserve"> (Hatay en Turquie, mer Méditerranée NE), par un palangrier commercial. (</w:t>
      </w:r>
      <w:proofErr w:type="gramStart"/>
      <w:r>
        <w:rPr>
          <w:rFonts w:ascii="Arial" w:hAnsi="Arial" w:cs="Arial"/>
          <w:sz w:val="16"/>
          <w:szCs w:val="16"/>
          <w:lang w:val="fr-FR"/>
        </w:rPr>
        <w:t>voir</w:t>
      </w:r>
      <w:proofErr w:type="gramEnd"/>
      <w:r>
        <w:rPr>
          <w:rFonts w:ascii="Arial" w:hAnsi="Arial" w:cs="Arial"/>
          <w:sz w:val="16"/>
          <w:szCs w:val="16"/>
          <w:lang w:val="fr-FR"/>
        </w:rPr>
        <w:t xml:space="preserve"> :</w:t>
      </w:r>
      <w:proofErr w:type="spellStart"/>
      <w:r w:rsidR="001F5D5D">
        <w:fldChar w:fldCharType="begin"/>
      </w:r>
      <w:r w:rsidR="001F5D5D" w:rsidRPr="0073602E">
        <w:rPr>
          <w:lang w:val="fr-FR"/>
        </w:rPr>
        <w:instrText xml:space="preserve"> HYPERLINK "https://www.researchgate.net/publication/357241091_A_NEW_RECORD_FOR_THE_SHARK_FAUNA_OF_THE_MEDITERRANEAN_SEA_WHALE_SHARK_RHINCODON_TYPUS_ORECTOLOBIFORMES_RHINCODONTIDAE" </w:instrText>
      </w:r>
      <w:r w:rsidR="001F5D5D">
        <w:fldChar w:fldCharType="separate"/>
      </w:r>
      <w:r>
        <w:rPr>
          <w:rStyle w:val="Hyperlink"/>
          <w:rFonts w:ascii="Arial" w:hAnsi="Arial" w:cs="Arial"/>
          <w:sz w:val="16"/>
          <w:szCs w:val="16"/>
          <w:lang w:val="fr-FR"/>
        </w:rPr>
        <w:t>Turan</w:t>
      </w:r>
      <w:proofErr w:type="spellEnd"/>
      <w:r>
        <w:rPr>
          <w:rStyle w:val="Hyperlink"/>
          <w:rFonts w:ascii="Arial" w:hAnsi="Arial" w:cs="Arial"/>
          <w:sz w:val="16"/>
          <w:szCs w:val="16"/>
          <w:lang w:val="fr-FR"/>
        </w:rPr>
        <w:t xml:space="preserve">, </w:t>
      </w:r>
      <w:proofErr w:type="spellStart"/>
      <w:r>
        <w:rPr>
          <w:rStyle w:val="Hyperlink"/>
          <w:rFonts w:ascii="Arial" w:hAnsi="Arial" w:cs="Arial"/>
          <w:sz w:val="16"/>
          <w:szCs w:val="16"/>
          <w:lang w:val="fr-FR"/>
        </w:rPr>
        <w:t>Cemal</w:t>
      </w:r>
      <w:proofErr w:type="spellEnd"/>
      <w:r>
        <w:rPr>
          <w:rStyle w:val="Hyperlink"/>
          <w:rFonts w:ascii="Arial" w:hAnsi="Arial" w:cs="Arial"/>
          <w:sz w:val="16"/>
          <w:szCs w:val="16"/>
          <w:lang w:val="fr-FR"/>
        </w:rPr>
        <w:t xml:space="preserve"> &amp; </w:t>
      </w:r>
      <w:proofErr w:type="spellStart"/>
      <w:r>
        <w:rPr>
          <w:rStyle w:val="Hyperlink"/>
          <w:rFonts w:ascii="Arial" w:hAnsi="Arial" w:cs="Arial"/>
          <w:sz w:val="16"/>
          <w:szCs w:val="16"/>
          <w:lang w:val="fr-FR"/>
        </w:rPr>
        <w:t>Gürlek</w:t>
      </w:r>
      <w:proofErr w:type="spellEnd"/>
      <w:r>
        <w:rPr>
          <w:rStyle w:val="Hyperlink"/>
          <w:rFonts w:ascii="Arial" w:hAnsi="Arial" w:cs="Arial"/>
          <w:sz w:val="16"/>
          <w:szCs w:val="16"/>
          <w:lang w:val="fr-FR"/>
        </w:rPr>
        <w:t xml:space="preserve">, </w:t>
      </w:r>
      <w:proofErr w:type="spellStart"/>
      <w:r>
        <w:rPr>
          <w:rStyle w:val="Hyperlink"/>
          <w:rFonts w:ascii="Arial" w:hAnsi="Arial" w:cs="Arial"/>
          <w:sz w:val="16"/>
          <w:szCs w:val="16"/>
          <w:lang w:val="fr-FR"/>
        </w:rPr>
        <w:t>Mevlüt</w:t>
      </w:r>
      <w:proofErr w:type="spellEnd"/>
      <w:r>
        <w:rPr>
          <w:rStyle w:val="Hyperlink"/>
          <w:rFonts w:ascii="Arial" w:hAnsi="Arial" w:cs="Arial"/>
          <w:sz w:val="16"/>
          <w:szCs w:val="16"/>
          <w:lang w:val="fr-FR"/>
        </w:rPr>
        <w:t xml:space="preserve"> &amp; </w:t>
      </w:r>
      <w:proofErr w:type="spellStart"/>
      <w:r>
        <w:rPr>
          <w:rStyle w:val="Hyperlink"/>
          <w:rFonts w:ascii="Arial" w:hAnsi="Arial" w:cs="Arial"/>
          <w:sz w:val="16"/>
          <w:szCs w:val="16"/>
          <w:lang w:val="fr-FR"/>
        </w:rPr>
        <w:t>Ergüden</w:t>
      </w:r>
      <w:proofErr w:type="spellEnd"/>
      <w:r>
        <w:rPr>
          <w:rStyle w:val="Hyperlink"/>
          <w:rFonts w:ascii="Arial" w:hAnsi="Arial" w:cs="Arial"/>
          <w:sz w:val="16"/>
          <w:szCs w:val="16"/>
          <w:lang w:val="fr-FR"/>
        </w:rPr>
        <w:t xml:space="preserve">, Deniz &amp; </w:t>
      </w:r>
      <w:proofErr w:type="spellStart"/>
      <w:r>
        <w:rPr>
          <w:rStyle w:val="Hyperlink"/>
          <w:rFonts w:ascii="Arial" w:hAnsi="Arial" w:cs="Arial"/>
          <w:sz w:val="16"/>
          <w:szCs w:val="16"/>
          <w:lang w:val="fr-FR"/>
        </w:rPr>
        <w:t>Kabasakal</w:t>
      </w:r>
      <w:proofErr w:type="spellEnd"/>
      <w:r>
        <w:rPr>
          <w:rStyle w:val="Hyperlink"/>
          <w:rFonts w:ascii="Arial" w:hAnsi="Arial" w:cs="Arial"/>
          <w:sz w:val="16"/>
          <w:szCs w:val="16"/>
          <w:lang w:val="fr-FR"/>
        </w:rPr>
        <w:t xml:space="preserve">, Hakan. (2021). A NEW RECORD FOR THE SHARK FAUNA OF THE MEDITERRANEAN </w:t>
      </w:r>
      <w:proofErr w:type="gramStart"/>
      <w:r>
        <w:rPr>
          <w:rStyle w:val="Hyperlink"/>
          <w:rFonts w:ascii="Arial" w:hAnsi="Arial" w:cs="Arial"/>
          <w:sz w:val="16"/>
          <w:szCs w:val="16"/>
          <w:lang w:val="fr-FR"/>
        </w:rPr>
        <w:t>SEA:</w:t>
      </w:r>
      <w:proofErr w:type="gramEnd"/>
      <w:r>
        <w:rPr>
          <w:rStyle w:val="Hyperlink"/>
          <w:rFonts w:ascii="Arial" w:hAnsi="Arial" w:cs="Arial"/>
          <w:sz w:val="16"/>
          <w:szCs w:val="16"/>
          <w:lang w:val="fr-FR"/>
        </w:rPr>
        <w:t xml:space="preserve"> WHALE SHARK, RHINCODON TYPUS (ORECTOLOBIFORMES: RHINCODONTIDAE). 10.19233/ASHN.2021.20</w:t>
      </w:r>
      <w:r w:rsidR="001F5D5D">
        <w:rPr>
          <w:rStyle w:val="Hyperlink"/>
          <w:rFonts w:ascii="Arial" w:hAnsi="Arial" w:cs="Arial"/>
          <w:sz w:val="16"/>
          <w:szCs w:val="16"/>
          <w:lang w:val="fr-FR"/>
        </w:rPr>
        <w:fldChar w:fldCharType="end"/>
      </w:r>
      <w:r>
        <w:rPr>
          <w:rFonts w:ascii="Arial" w:hAnsi="Arial" w:cs="Arial"/>
          <w:sz w:val="16"/>
          <w:szCs w:val="16"/>
          <w:lang w:val="fr-FR"/>
        </w:rPr>
        <w:t>.)</w:t>
      </w:r>
      <w:bookmarkEnd w:id="1"/>
    </w:p>
  </w:footnote>
  <w:footnote w:id="5">
    <w:p w14:paraId="1A4BD1D8"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Comprend </w:t>
      </w:r>
      <w:r>
        <w:rPr>
          <w:rFonts w:ascii="Arial" w:hAnsi="Arial" w:cs="Arial"/>
          <w:i/>
          <w:iCs/>
          <w:sz w:val="16"/>
          <w:szCs w:val="16"/>
          <w:lang w:val="fr-FR"/>
        </w:rPr>
        <w:t xml:space="preserve">M. </w:t>
      </w:r>
      <w:proofErr w:type="spellStart"/>
      <w:r>
        <w:rPr>
          <w:rFonts w:ascii="Arial" w:hAnsi="Arial" w:cs="Arial"/>
          <w:i/>
          <w:iCs/>
          <w:sz w:val="16"/>
          <w:szCs w:val="16"/>
          <w:lang w:val="fr-FR"/>
        </w:rPr>
        <w:t>rochebrunei</w:t>
      </w:r>
      <w:proofErr w:type="spellEnd"/>
      <w:r>
        <w:rPr>
          <w:rFonts w:ascii="Arial" w:hAnsi="Arial" w:cs="Arial"/>
          <w:sz w:val="16"/>
          <w:szCs w:val="16"/>
          <w:lang w:val="fr-FR"/>
        </w:rPr>
        <w:t>.</w:t>
      </w:r>
    </w:p>
  </w:footnote>
  <w:footnote w:id="6">
    <w:p w14:paraId="69BE07A3"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Comprend </w:t>
      </w:r>
      <w:r>
        <w:rPr>
          <w:rFonts w:ascii="Arial" w:hAnsi="Arial" w:cs="Arial"/>
          <w:i/>
          <w:iCs/>
          <w:sz w:val="16"/>
          <w:szCs w:val="16"/>
          <w:lang w:val="fr-FR"/>
        </w:rPr>
        <w:t xml:space="preserve">M. </w:t>
      </w:r>
      <w:proofErr w:type="spellStart"/>
      <w:r>
        <w:rPr>
          <w:rFonts w:ascii="Arial" w:hAnsi="Arial" w:cs="Arial"/>
          <w:i/>
          <w:iCs/>
          <w:sz w:val="16"/>
          <w:szCs w:val="16"/>
          <w:lang w:val="fr-FR"/>
        </w:rPr>
        <w:t>japanica</w:t>
      </w:r>
      <w:proofErr w:type="spellEnd"/>
      <w:r>
        <w:rPr>
          <w:rFonts w:ascii="Arial" w:hAnsi="Arial" w:cs="Arial"/>
          <w:sz w:val="16"/>
          <w:szCs w:val="16"/>
          <w:lang w:val="fr-FR"/>
        </w:rPr>
        <w:t>.</w:t>
      </w:r>
    </w:p>
  </w:footnote>
  <w:footnote w:id="7">
    <w:p w14:paraId="0870399F"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Plan de Conservation (PC), Termes de référence du Comité consultatif (TDR CC), Termes de référence du Secrétariat (TDR SEC)</w:t>
      </w:r>
    </w:p>
  </w:footnote>
  <w:footnote w:id="8">
    <w:p w14:paraId="545F36D7"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9">
    <w:p w14:paraId="63C7CB24" w14:textId="77777777" w:rsidR="009E16F8" w:rsidRPr="00FF6AF2" w:rsidRDefault="009E16F8" w:rsidP="009E16F8">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Année(s) au cours de laquelle/desquelles l’activité devrait être mise en œuvre</w:t>
      </w:r>
    </w:p>
  </w:footnote>
  <w:footnote w:id="10">
    <w:p w14:paraId="02C919A5" w14:textId="77777777" w:rsidR="009E16F8" w:rsidRPr="00FF6AF2" w:rsidRDefault="009E16F8" w:rsidP="009E16F8">
      <w:pPr>
        <w:pStyle w:val="FootnoteText"/>
        <w:jc w:val="both"/>
        <w:rPr>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(GTC), Consultants, Partenaires coopérants (</w:t>
      </w:r>
      <w:proofErr w:type="spellStart"/>
      <w:r>
        <w:rPr>
          <w:rFonts w:ascii="Arial" w:hAnsi="Arial" w:cs="Arial"/>
          <w:sz w:val="16"/>
          <w:szCs w:val="16"/>
          <w:lang w:val="fr-FR"/>
        </w:rPr>
        <w:t>CooP</w:t>
      </w:r>
      <w:proofErr w:type="spellEnd"/>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46CFA986"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9E16F8">
      <w:rPr>
        <w:rFonts w:ascii="Arial" w:hAnsi="Arial" w:cs="Arial"/>
        <w:i/>
        <w:sz w:val="18"/>
        <w:szCs w:val="18"/>
      </w:rPr>
      <w:t>10.7</w:t>
    </w:r>
  </w:p>
  <w:p w14:paraId="0A439A74" w14:textId="77777777" w:rsidR="00E42B63" w:rsidRDefault="00C6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301DC240"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9E16F8">
      <w:rPr>
        <w:rFonts w:ascii="Arial" w:hAnsi="Arial" w:cs="Arial"/>
        <w:i/>
        <w:sz w:val="18"/>
        <w:szCs w:val="18"/>
      </w:rPr>
      <w:t>10.7</w:t>
    </w:r>
  </w:p>
  <w:p w14:paraId="479B4D53" w14:textId="77777777" w:rsidR="00627A42" w:rsidRDefault="0062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2C27" w14:textId="77777777" w:rsidR="00C63085" w:rsidRDefault="00C630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A641" w14:textId="1AFDFA2C" w:rsidR="009E16F8" w:rsidRPr="00627A42" w:rsidRDefault="009E16F8" w:rsidP="00C63085">
    <w:pPr>
      <w:pBdr>
        <w:bottom w:val="single" w:sz="4" w:space="1" w:color="auto"/>
      </w:pBdr>
      <w:ind w:left="-36" w:right="-108"/>
      <w:jc w:val="right"/>
      <w:rPr>
        <w:rFonts w:ascii="Arial" w:hAnsi="Arial" w:cs="Arial"/>
        <w:i/>
        <w:sz w:val="18"/>
        <w:szCs w:val="18"/>
      </w:rPr>
    </w:pPr>
    <w:r>
      <w:rPr>
        <w:rFonts w:ascii="Arial" w:hAnsi="Arial" w:cs="Arial"/>
        <w:i/>
        <w:sz w:val="18"/>
        <w:szCs w:val="18"/>
      </w:rPr>
      <w:t>CMS/Sharks/MOS4/Doc.10.7/</w:t>
    </w:r>
    <w:proofErr w:type="spellStart"/>
    <w:r>
      <w:rPr>
        <w:rFonts w:ascii="Arial" w:hAnsi="Arial" w:cs="Arial"/>
        <w:i/>
        <w:sz w:val="18"/>
        <w:szCs w:val="18"/>
      </w:rPr>
      <w:t>Annexe</w:t>
    </w:r>
    <w:proofErr w:type="spellEnd"/>
    <w:r>
      <w:rPr>
        <w:rFonts w:ascii="Arial" w:hAnsi="Arial" w:cs="Arial"/>
        <w:i/>
        <w:sz w:val="18"/>
        <w:szCs w:val="18"/>
      </w:rPr>
      <w:t xml:space="preserve"> 1</w:t>
    </w:r>
  </w:p>
  <w:p w14:paraId="0B5E22AB" w14:textId="77777777" w:rsidR="009E16F8" w:rsidRDefault="009E16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BF5" w14:textId="6E476E61" w:rsidR="009E16F8" w:rsidRPr="00627A42" w:rsidRDefault="009E16F8" w:rsidP="009E16F8">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CMS/Sharks/MOS4/Doc.10.7/</w:t>
    </w:r>
    <w:proofErr w:type="spellStart"/>
    <w:r>
      <w:rPr>
        <w:rFonts w:ascii="Arial" w:hAnsi="Arial" w:cs="Arial"/>
        <w:i/>
        <w:sz w:val="18"/>
        <w:szCs w:val="18"/>
      </w:rPr>
      <w:t>Annexe</w:t>
    </w:r>
    <w:proofErr w:type="spellEnd"/>
    <w:r>
      <w:rPr>
        <w:rFonts w:ascii="Arial" w:hAnsi="Arial" w:cs="Arial"/>
        <w:i/>
        <w:sz w:val="18"/>
        <w:szCs w:val="18"/>
      </w:rPr>
      <w:t xml:space="preserve"> 2</w:t>
    </w:r>
  </w:p>
  <w:p w14:paraId="543474EF" w14:textId="77777777" w:rsidR="005A2FA7" w:rsidRPr="00211EB8" w:rsidRDefault="00C63085" w:rsidP="005A2FA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BFC177C"/>
    <w:multiLevelType w:val="hybridMultilevel"/>
    <w:tmpl w:val="983E265C"/>
    <w:lvl w:ilvl="0" w:tplc="4D60B058">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C454AEB"/>
    <w:multiLevelType w:val="hybridMultilevel"/>
    <w:tmpl w:val="35021604"/>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30413"/>
    <w:multiLevelType w:val="hybridMultilevel"/>
    <w:tmpl w:val="E6F25030"/>
    <w:lvl w:ilvl="0" w:tplc="04090017">
      <w:start w:val="1"/>
      <w:numFmt w:val="lowerLetter"/>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6"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F876DE2"/>
    <w:multiLevelType w:val="hybridMultilevel"/>
    <w:tmpl w:val="7372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D52C8"/>
    <w:multiLevelType w:val="hybridMultilevel"/>
    <w:tmpl w:val="0C0CA072"/>
    <w:lvl w:ilvl="0" w:tplc="159AF8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qgUA9mTVNCwAAAA="/>
  </w:docVars>
  <w:rsids>
    <w:rsidRoot w:val="00B25614"/>
    <w:rsid w:val="000E249B"/>
    <w:rsid w:val="000F4E00"/>
    <w:rsid w:val="001050B4"/>
    <w:rsid w:val="001B6B92"/>
    <w:rsid w:val="001C7504"/>
    <w:rsid w:val="001F5D5D"/>
    <w:rsid w:val="0024795D"/>
    <w:rsid w:val="003403BD"/>
    <w:rsid w:val="003547E4"/>
    <w:rsid w:val="003853A2"/>
    <w:rsid w:val="003C6B55"/>
    <w:rsid w:val="00426B0A"/>
    <w:rsid w:val="00451B4C"/>
    <w:rsid w:val="0048633E"/>
    <w:rsid w:val="00490565"/>
    <w:rsid w:val="0049063C"/>
    <w:rsid w:val="004F27E0"/>
    <w:rsid w:val="00536C33"/>
    <w:rsid w:val="00540C05"/>
    <w:rsid w:val="0061372A"/>
    <w:rsid w:val="00627A42"/>
    <w:rsid w:val="00633185"/>
    <w:rsid w:val="006E38FA"/>
    <w:rsid w:val="0073602E"/>
    <w:rsid w:val="007B4024"/>
    <w:rsid w:val="007E577C"/>
    <w:rsid w:val="00901D65"/>
    <w:rsid w:val="00903E8A"/>
    <w:rsid w:val="00964545"/>
    <w:rsid w:val="009A4757"/>
    <w:rsid w:val="009B083A"/>
    <w:rsid w:val="009E16F8"/>
    <w:rsid w:val="009F3112"/>
    <w:rsid w:val="00B134E7"/>
    <w:rsid w:val="00B25614"/>
    <w:rsid w:val="00C63085"/>
    <w:rsid w:val="00CC6F9A"/>
    <w:rsid w:val="00CC76F2"/>
    <w:rsid w:val="00CE7534"/>
    <w:rsid w:val="00DA06A7"/>
    <w:rsid w:val="00DD3534"/>
    <w:rsid w:val="00E72512"/>
    <w:rsid w:val="00EE2A73"/>
    <w:rsid w:val="00F30113"/>
    <w:rsid w:val="00FC4B70"/>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E16F8"/>
    <w:pPr>
      <w:keepNext/>
      <w:keepLines/>
      <w:spacing w:before="240"/>
      <w:outlineLvl w:val="0"/>
    </w:pPr>
    <w:rPr>
      <w:rFonts w:ascii="Calibri Light" w:hAnsi="Calibri Light"/>
      <w:color w:val="2F5496"/>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9E16F8"/>
    <w:rPr>
      <w:szCs w:val="20"/>
    </w:rPr>
  </w:style>
  <w:style w:type="character" w:customStyle="1" w:styleId="FootnoteTextChar">
    <w:name w:val="Footnote Text Char"/>
    <w:basedOn w:val="DefaultParagraphFont"/>
    <w:link w:val="FootnoteText"/>
    <w:uiPriority w:val="99"/>
    <w:semiHidden/>
    <w:rsid w:val="009E16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16F8"/>
    <w:rPr>
      <w:vertAlign w:val="superscript"/>
    </w:rPr>
  </w:style>
  <w:style w:type="table" w:customStyle="1" w:styleId="PlainTable21">
    <w:name w:val="Plain Table 21"/>
    <w:basedOn w:val="TableNormal"/>
    <w:next w:val="PlainTable2"/>
    <w:uiPriority w:val="42"/>
    <w:rsid w:val="009E16F8"/>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f01">
    <w:name w:val="cf01"/>
    <w:basedOn w:val="DefaultParagraphFont"/>
    <w:rsid w:val="009E16F8"/>
    <w:rPr>
      <w:rFonts w:ascii="Segoe UI" w:hAnsi="Segoe UI" w:cs="Segoe UI" w:hint="default"/>
      <w:sz w:val="18"/>
      <w:szCs w:val="18"/>
    </w:rPr>
  </w:style>
  <w:style w:type="table" w:styleId="PlainTable2">
    <w:name w:val="Plain Table 2"/>
    <w:basedOn w:val="TableNormal"/>
    <w:uiPriority w:val="42"/>
    <w:rsid w:val="009E16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11">
    <w:name w:val="Heading 11"/>
    <w:basedOn w:val="Normal"/>
    <w:next w:val="Normal"/>
    <w:uiPriority w:val="9"/>
    <w:qFormat/>
    <w:rsid w:val="009E16F8"/>
    <w:pPr>
      <w:keepNext/>
      <w:keepLines/>
      <w:spacing w:before="240"/>
      <w:outlineLvl w:val="0"/>
    </w:pPr>
    <w:rPr>
      <w:rFonts w:ascii="Calibri Light" w:hAnsi="Calibri Light"/>
      <w:color w:val="2F5496"/>
      <w:sz w:val="32"/>
      <w:szCs w:val="32"/>
    </w:rPr>
  </w:style>
  <w:style w:type="character" w:customStyle="1" w:styleId="Heading1Char">
    <w:name w:val="Heading 1 Char"/>
    <w:basedOn w:val="DefaultParagraphFont"/>
    <w:link w:val="Heading1"/>
    <w:uiPriority w:val="9"/>
    <w:rsid w:val="009E16F8"/>
    <w:rPr>
      <w:rFonts w:ascii="Calibri Light" w:eastAsia="Times New Roman" w:hAnsi="Calibri Light" w:cs="Times New Roman"/>
      <w:color w:val="2F5496"/>
      <w:sz w:val="32"/>
      <w:szCs w:val="32"/>
    </w:rPr>
  </w:style>
  <w:style w:type="table" w:customStyle="1" w:styleId="PlainTable22">
    <w:name w:val="Plain Table 22"/>
    <w:basedOn w:val="TableNormal"/>
    <w:next w:val="PlainTable2"/>
    <w:uiPriority w:val="42"/>
    <w:rsid w:val="009E16F8"/>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9E16F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3602E"/>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24795D"/>
    <w:rPr>
      <w:b/>
      <w:bCs/>
    </w:rPr>
  </w:style>
  <w:style w:type="character" w:customStyle="1" w:styleId="field-content">
    <w:name w:val="field-content"/>
    <w:basedOn w:val="DefaultParagraphFont"/>
    <w:rsid w:val="0024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219508712">
      <w:bodyDiv w:val="1"/>
      <w:marLeft w:val="0"/>
      <w:marRight w:val="0"/>
      <w:marTop w:val="0"/>
      <w:marBottom w:val="0"/>
      <w:divBdr>
        <w:top w:val="none" w:sz="0" w:space="0" w:color="auto"/>
        <w:left w:val="none" w:sz="0" w:space="0" w:color="auto"/>
        <w:bottom w:val="none" w:sz="0" w:space="0" w:color="auto"/>
        <w:right w:val="none" w:sz="0" w:space="0" w:color="auto"/>
      </w:divBdr>
    </w:div>
    <w:div w:id="1324119417">
      <w:bodyDiv w:val="1"/>
      <w:marLeft w:val="0"/>
      <w:marRight w:val="0"/>
      <w:marTop w:val="0"/>
      <w:marBottom w:val="0"/>
      <w:divBdr>
        <w:top w:val="none" w:sz="0" w:space="0" w:color="auto"/>
        <w:left w:val="none" w:sz="0" w:space="0" w:color="auto"/>
        <w:bottom w:val="none" w:sz="0" w:space="0" w:color="auto"/>
        <w:right w:val="none" w:sz="0" w:space="0" w:color="auto"/>
      </w:divBdr>
      <w:divsChild>
        <w:div w:id="1337809305">
          <w:marLeft w:val="0"/>
          <w:marRight w:val="0"/>
          <w:marTop w:val="0"/>
          <w:marBottom w:val="0"/>
          <w:divBdr>
            <w:top w:val="none" w:sz="0" w:space="0" w:color="auto"/>
            <w:left w:val="none" w:sz="0" w:space="0" w:color="auto"/>
            <w:bottom w:val="none" w:sz="0" w:space="0" w:color="auto"/>
            <w:right w:val="none" w:sz="0" w:space="0" w:color="auto"/>
          </w:divBdr>
          <w:divsChild>
            <w:div w:id="8734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2549</Words>
  <Characters>13258</Characters>
  <Application>Microsoft Office Word</Application>
  <DocSecurity>0</DocSecurity>
  <Lines>473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Ximena Victoria Cancino Ordenes</cp:lastModifiedBy>
  <cp:revision>12</cp:revision>
  <cp:lastPrinted>2022-12-29T11:37:00Z</cp:lastPrinted>
  <dcterms:created xsi:type="dcterms:W3CDTF">2022-12-29T10:57:00Z</dcterms:created>
  <dcterms:modified xsi:type="dcterms:W3CDTF">2022-12-29T11:41:00Z</dcterms:modified>
</cp:coreProperties>
</file>