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94"/>
        <w:tblW w:w="9014" w:type="dxa"/>
        <w:tblBorders>
          <w:insideV w:val="single" w:sz="12" w:space="0" w:color="auto"/>
        </w:tblBorders>
        <w:tblLayout w:type="fixed"/>
        <w:tblCellMar>
          <w:top w:w="198" w:type="dxa"/>
        </w:tblCellMar>
        <w:tblLook w:val="0000" w:firstRow="0" w:lastRow="0" w:firstColumn="0" w:lastColumn="0" w:noHBand="0" w:noVBand="0"/>
      </w:tblPr>
      <w:tblGrid>
        <w:gridCol w:w="1441"/>
        <w:gridCol w:w="3804"/>
        <w:gridCol w:w="3769"/>
      </w:tblGrid>
      <w:tr w:rsidR="003C6B55" w:rsidRPr="00FD56E6" w14:paraId="31C1001A" w14:textId="77777777" w:rsidTr="00A25B8F">
        <w:trPr>
          <w:cantSplit/>
          <w:trHeight w:val="1022"/>
        </w:trPr>
        <w:tc>
          <w:tcPr>
            <w:tcW w:w="9014" w:type="dxa"/>
            <w:gridSpan w:val="3"/>
            <w:tcBorders>
              <w:bottom w:val="single" w:sz="12" w:space="0" w:color="auto"/>
            </w:tcBorders>
            <w:tcMar>
              <w:top w:w="85" w:type="dxa"/>
            </w:tcMar>
          </w:tcPr>
          <w:p w14:paraId="669D0B22" w14:textId="2AFD918D" w:rsidR="00CE7534" w:rsidRPr="00CE7534" w:rsidRDefault="003853A2" w:rsidP="00CE7534">
            <w:pPr>
              <w:tabs>
                <w:tab w:val="left" w:pos="-1057"/>
                <w:tab w:val="left" w:pos="-720"/>
                <w:tab w:val="left" w:pos="0"/>
                <w:tab w:val="left" w:pos="141"/>
                <w:tab w:val="left" w:pos="720"/>
                <w:tab w:val="right" w:pos="8955"/>
              </w:tabs>
              <w:jc w:val="both"/>
              <w:rPr>
                <w:sz w:val="22"/>
                <w:szCs w:val="22"/>
                <w:lang w:val="en-GB"/>
              </w:rPr>
            </w:pPr>
            <w:r>
              <w:rPr>
                <w:noProof/>
                <w:sz w:val="22"/>
                <w:szCs w:val="22"/>
                <w:lang w:val="en-GB"/>
              </w:rPr>
              <w:drawing>
                <wp:anchor distT="0" distB="0" distL="114300" distR="114300" simplePos="0" relativeHeight="251671552" behindDoc="0" locked="0" layoutInCell="1" allowOverlap="1" wp14:anchorId="778279E1" wp14:editId="7D577BDF">
                  <wp:simplePos x="0" y="0"/>
                  <wp:positionH relativeFrom="column">
                    <wp:posOffset>-68580</wp:posOffset>
                  </wp:positionH>
                  <wp:positionV relativeFrom="paragraph">
                    <wp:posOffset>161925</wp:posOffset>
                  </wp:positionV>
                  <wp:extent cx="781050" cy="457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732" b="20732"/>
                          <a:stretch/>
                        </pic:blipFill>
                        <pic:spPr bwMode="auto">
                          <a:xfrm>
                            <a:off x="0" y="0"/>
                            <a:ext cx="78105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1B4C" w:rsidRPr="00F9613E">
              <w:rPr>
                <w:noProof/>
              </w:rPr>
              <w:drawing>
                <wp:anchor distT="0" distB="0" distL="114300" distR="114300" simplePos="0" relativeHeight="251670528" behindDoc="0" locked="0" layoutInCell="1" allowOverlap="1" wp14:anchorId="53D76870" wp14:editId="6AC8DF92">
                  <wp:simplePos x="0" y="0"/>
                  <wp:positionH relativeFrom="column">
                    <wp:posOffset>759460</wp:posOffset>
                  </wp:positionH>
                  <wp:positionV relativeFrom="paragraph">
                    <wp:posOffset>207645</wp:posOffset>
                  </wp:positionV>
                  <wp:extent cx="333375" cy="409575"/>
                  <wp:effectExtent l="0" t="0" r="0" b="9525"/>
                  <wp:wrapNone/>
                  <wp:docPr id="9" name="Picture 9"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ms_logo-for_letterhead_bla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0273" b="-13983"/>
                          <a:stretch/>
                        </pic:blipFill>
                        <pic:spPr bwMode="auto">
                          <a:xfrm>
                            <a:off x="0" y="0"/>
                            <a:ext cx="333375"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C6B55" w:rsidRPr="007B4024" w14:paraId="472DD153" w14:textId="77777777" w:rsidTr="00A25B8F">
        <w:trPr>
          <w:trHeight w:val="1340"/>
        </w:trPr>
        <w:tc>
          <w:tcPr>
            <w:tcW w:w="1441" w:type="dxa"/>
            <w:tcBorders>
              <w:top w:val="single" w:sz="12" w:space="0" w:color="auto"/>
              <w:bottom w:val="single" w:sz="12" w:space="0" w:color="auto"/>
              <w:right w:val="nil"/>
            </w:tcBorders>
            <w:tcMar>
              <w:top w:w="85" w:type="dxa"/>
            </w:tcMar>
          </w:tcPr>
          <w:p w14:paraId="542DBCBC" w14:textId="77777777" w:rsidR="003C6B55" w:rsidRPr="00FD56E6" w:rsidRDefault="003C6B55" w:rsidP="003C6B55">
            <w:pPr>
              <w:jc w:val="both"/>
              <w:rPr>
                <w:sz w:val="22"/>
                <w:szCs w:val="22"/>
                <w:lang w:val="en-GB"/>
              </w:rPr>
            </w:pPr>
            <w:r>
              <w:rPr>
                <w:noProof/>
              </w:rPr>
              <w:drawing>
                <wp:anchor distT="0" distB="0" distL="114300" distR="114300" simplePos="0" relativeHeight="251666432" behindDoc="0" locked="0" layoutInCell="1" allowOverlap="1" wp14:anchorId="4B2DA574" wp14:editId="0EE21F26">
                  <wp:simplePos x="0" y="0"/>
                  <wp:positionH relativeFrom="column">
                    <wp:posOffset>-17145</wp:posOffset>
                  </wp:positionH>
                  <wp:positionV relativeFrom="paragraph">
                    <wp:posOffset>-4445</wp:posOffset>
                  </wp:positionV>
                  <wp:extent cx="977900" cy="83501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7097" t="4031" r="6290" b="3818"/>
                          <a:stretch>
                            <a:fillRect/>
                          </a:stretch>
                        </pic:blipFill>
                        <pic:spPr bwMode="auto">
                          <a:xfrm>
                            <a:off x="0" y="0"/>
                            <a:ext cx="977900" cy="8350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4" w:type="dxa"/>
            <w:tcBorders>
              <w:top w:val="single" w:sz="12" w:space="0" w:color="auto"/>
              <w:left w:val="nil"/>
              <w:bottom w:val="single" w:sz="12" w:space="0" w:color="auto"/>
              <w:right w:val="nil"/>
            </w:tcBorders>
            <w:tcMar>
              <w:top w:w="85" w:type="dxa"/>
            </w:tcMar>
          </w:tcPr>
          <w:p w14:paraId="4987A3C6" w14:textId="77777777" w:rsidR="000F4E00" w:rsidRPr="000F4E00" w:rsidRDefault="000F4E00" w:rsidP="003C6B55">
            <w:pPr>
              <w:spacing w:before="40"/>
              <w:ind w:left="274"/>
              <w:rPr>
                <w:rFonts w:ascii="Arial" w:hAnsi="Arial" w:cs="Arial"/>
                <w:b/>
                <w:bCs/>
                <w:sz w:val="10"/>
                <w:szCs w:val="10"/>
                <w:lang w:val="fr-FR"/>
              </w:rPr>
            </w:pPr>
          </w:p>
          <w:p w14:paraId="79AE6996" w14:textId="54E3FDAC" w:rsidR="003C6B55" w:rsidRPr="00B25614" w:rsidRDefault="003C6B55" w:rsidP="003C6B55">
            <w:pPr>
              <w:spacing w:before="40"/>
              <w:ind w:left="274"/>
              <w:rPr>
                <w:b/>
                <w:bCs/>
                <w:sz w:val="22"/>
                <w:szCs w:val="22"/>
                <w:lang w:val="fr-FR"/>
              </w:rPr>
            </w:pPr>
            <w:r w:rsidRPr="009B083A">
              <w:rPr>
                <w:rFonts w:ascii="Arial" w:hAnsi="Arial" w:cs="Arial"/>
                <w:b/>
                <w:bCs/>
                <w:sz w:val="22"/>
                <w:szCs w:val="22"/>
                <w:lang w:val="fr-FR"/>
              </w:rPr>
              <w:t>MÉ</w:t>
            </w:r>
            <w:r>
              <w:rPr>
                <w:rFonts w:ascii="Arial" w:hAnsi="Arial" w:cs="Arial"/>
                <w:b/>
                <w:bCs/>
                <w:sz w:val="22"/>
                <w:szCs w:val="22"/>
                <w:lang w:val="fr-FR"/>
              </w:rPr>
              <w:t xml:space="preserve">MORANDUM D’ENTENTE SUR LA </w:t>
            </w:r>
            <w:r w:rsidRPr="009B083A">
              <w:rPr>
                <w:rFonts w:ascii="Arial" w:hAnsi="Arial" w:cs="Arial"/>
                <w:b/>
                <w:bCs/>
                <w:sz w:val="22"/>
                <w:szCs w:val="22"/>
                <w:lang w:val="fr-FR"/>
              </w:rPr>
              <w:t>CONSERVATION DES REQUINS MIGRATEURS</w:t>
            </w:r>
          </w:p>
        </w:tc>
        <w:tc>
          <w:tcPr>
            <w:tcW w:w="3768" w:type="dxa"/>
            <w:tcBorders>
              <w:top w:val="single" w:sz="12" w:space="0" w:color="auto"/>
              <w:left w:val="nil"/>
              <w:bottom w:val="single" w:sz="12" w:space="0" w:color="auto"/>
            </w:tcBorders>
            <w:tcMar>
              <w:top w:w="85" w:type="dxa"/>
            </w:tcMar>
          </w:tcPr>
          <w:p w14:paraId="17B9FB22" w14:textId="77777777" w:rsidR="000F4E00" w:rsidRPr="000F4E00" w:rsidRDefault="000F4E00" w:rsidP="007B4024">
            <w:pPr>
              <w:spacing w:before="40" w:after="40"/>
              <w:ind w:left="-108"/>
              <w:jc w:val="both"/>
              <w:rPr>
                <w:rFonts w:ascii="Arial" w:hAnsi="Arial" w:cs="Arial"/>
                <w:sz w:val="10"/>
                <w:szCs w:val="10"/>
                <w:lang w:val="fr-FR"/>
              </w:rPr>
            </w:pPr>
          </w:p>
          <w:p w14:paraId="331591E9" w14:textId="1660A5CB" w:rsidR="003C6B55" w:rsidRPr="00627A42" w:rsidRDefault="003C6B55" w:rsidP="007B4024">
            <w:pPr>
              <w:spacing w:before="40" w:after="40"/>
              <w:ind w:left="-108"/>
              <w:jc w:val="both"/>
              <w:rPr>
                <w:rFonts w:ascii="Arial" w:hAnsi="Arial" w:cs="Arial"/>
                <w:sz w:val="22"/>
                <w:szCs w:val="22"/>
                <w:lang w:val="fr-FR"/>
              </w:rPr>
            </w:pPr>
            <w:r w:rsidRPr="00627A42">
              <w:rPr>
                <w:rFonts w:ascii="Arial" w:hAnsi="Arial" w:cs="Arial"/>
                <w:sz w:val="22"/>
                <w:szCs w:val="22"/>
                <w:lang w:val="fr-FR"/>
              </w:rPr>
              <w:t>CMS/</w:t>
            </w:r>
            <w:proofErr w:type="spellStart"/>
            <w:r w:rsidRPr="00627A42">
              <w:rPr>
                <w:rFonts w:ascii="Arial" w:hAnsi="Arial" w:cs="Arial"/>
                <w:sz w:val="22"/>
                <w:szCs w:val="22"/>
                <w:lang w:val="fr-FR"/>
              </w:rPr>
              <w:t>Sharks</w:t>
            </w:r>
            <w:proofErr w:type="spellEnd"/>
            <w:r w:rsidRPr="00627A42">
              <w:rPr>
                <w:rFonts w:ascii="Arial" w:hAnsi="Arial" w:cs="Arial"/>
                <w:sz w:val="22"/>
                <w:szCs w:val="22"/>
                <w:lang w:val="fr-FR"/>
              </w:rPr>
              <w:t>/MOS</w:t>
            </w:r>
            <w:r w:rsidR="004F27E0">
              <w:rPr>
                <w:rFonts w:ascii="Arial" w:hAnsi="Arial" w:cs="Arial"/>
                <w:sz w:val="22"/>
                <w:szCs w:val="22"/>
                <w:lang w:val="fr-FR"/>
              </w:rPr>
              <w:t>4</w:t>
            </w:r>
            <w:r w:rsidR="001C7504" w:rsidRPr="00627A42">
              <w:rPr>
                <w:rFonts w:ascii="Arial" w:hAnsi="Arial" w:cs="Arial"/>
                <w:sz w:val="22"/>
                <w:szCs w:val="22"/>
                <w:lang w:val="fr-FR"/>
              </w:rPr>
              <w:t>/Doc.</w:t>
            </w:r>
            <w:r w:rsidR="00D42D2B">
              <w:rPr>
                <w:rFonts w:ascii="Arial" w:hAnsi="Arial" w:cs="Arial"/>
                <w:sz w:val="22"/>
                <w:szCs w:val="22"/>
                <w:lang w:val="fr-FR"/>
              </w:rPr>
              <w:t>10.6</w:t>
            </w:r>
          </w:p>
          <w:p w14:paraId="5D8B5935" w14:textId="4E2D9B32" w:rsidR="003C6B55" w:rsidRPr="00540C05" w:rsidRDefault="00D42D2B" w:rsidP="007B4024">
            <w:pPr>
              <w:spacing w:before="40" w:after="40"/>
              <w:ind w:left="-108"/>
              <w:jc w:val="both"/>
              <w:rPr>
                <w:rFonts w:ascii="Arial" w:hAnsi="Arial" w:cs="Arial"/>
                <w:sz w:val="22"/>
                <w:szCs w:val="22"/>
                <w:lang w:val="fr-FR"/>
              </w:rPr>
            </w:pPr>
            <w:r>
              <w:rPr>
                <w:rFonts w:ascii="Arial" w:hAnsi="Arial" w:cs="Arial"/>
                <w:sz w:val="22"/>
                <w:szCs w:val="22"/>
                <w:lang w:val="fr-FR"/>
              </w:rPr>
              <w:t>22 décembre 2022</w:t>
            </w:r>
          </w:p>
          <w:p w14:paraId="417F2EA9" w14:textId="77777777" w:rsidR="003C6B55" w:rsidRPr="007B4024" w:rsidRDefault="003C6B55" w:rsidP="007B4024">
            <w:pPr>
              <w:ind w:left="-108"/>
              <w:jc w:val="both"/>
              <w:rPr>
                <w:sz w:val="22"/>
                <w:szCs w:val="22"/>
                <w:lang w:val="fr-FR"/>
              </w:rPr>
            </w:pPr>
            <w:r w:rsidRPr="00540C05">
              <w:rPr>
                <w:rFonts w:ascii="Arial" w:hAnsi="Arial" w:cs="Arial"/>
                <w:sz w:val="22"/>
                <w:szCs w:val="22"/>
                <w:lang w:val="fr-FR"/>
              </w:rPr>
              <w:t>Original: Anglais</w:t>
            </w:r>
          </w:p>
        </w:tc>
      </w:tr>
    </w:tbl>
    <w:p w14:paraId="43C44561" w14:textId="2739FBE5" w:rsidR="00B25614" w:rsidRPr="009B083A" w:rsidRDefault="00CC6F9A" w:rsidP="0049063C">
      <w:pPr>
        <w:jc w:val="both"/>
        <w:rPr>
          <w:rFonts w:ascii="Arial" w:hAnsi="Arial" w:cs="Arial"/>
          <w:spacing w:val="-4"/>
          <w:sz w:val="22"/>
          <w:szCs w:val="22"/>
          <w:lang w:val="fr-FR"/>
        </w:rPr>
      </w:pPr>
      <w:r w:rsidRPr="00CC6F9A">
        <w:rPr>
          <w:rFonts w:ascii="Arial" w:hAnsi="Arial" w:cs="Arial"/>
          <w:sz w:val="22"/>
          <w:szCs w:val="22"/>
          <w:lang w:val="fr-FR"/>
        </w:rPr>
        <w:t>4</w:t>
      </w:r>
      <w:r w:rsidRPr="00CC6F9A">
        <w:rPr>
          <w:rFonts w:ascii="Arial" w:hAnsi="Arial" w:cs="Arial"/>
          <w:sz w:val="22"/>
          <w:szCs w:val="22"/>
          <w:vertAlign w:val="superscript"/>
          <w:lang w:val="fr-FR"/>
        </w:rPr>
        <w:t>e</w:t>
      </w:r>
      <w:r>
        <w:rPr>
          <w:rFonts w:ascii="Arial" w:hAnsi="Arial" w:cs="Arial"/>
          <w:sz w:val="22"/>
          <w:szCs w:val="22"/>
          <w:lang w:val="fr-FR"/>
        </w:rPr>
        <w:t xml:space="preserve"> </w:t>
      </w:r>
      <w:r w:rsidR="00B25614" w:rsidRPr="009B083A">
        <w:rPr>
          <w:rFonts w:ascii="Arial" w:hAnsi="Arial" w:cs="Arial"/>
          <w:spacing w:val="-4"/>
          <w:sz w:val="22"/>
          <w:szCs w:val="22"/>
          <w:lang w:val="fr-FR"/>
        </w:rPr>
        <w:t xml:space="preserve">Réunion des </w:t>
      </w:r>
      <w:r w:rsidR="00B25614" w:rsidRPr="009B083A">
        <w:rPr>
          <w:rFonts w:ascii="Arial" w:hAnsi="Arial" w:cs="Arial"/>
          <w:bCs/>
          <w:spacing w:val="-4"/>
          <w:sz w:val="22"/>
          <w:szCs w:val="22"/>
          <w:lang w:val="fr-FR"/>
        </w:rPr>
        <w:t>Signataires</w:t>
      </w:r>
    </w:p>
    <w:p w14:paraId="5BA6671D" w14:textId="444A0D9E" w:rsidR="00B25614" w:rsidRPr="009B083A" w:rsidRDefault="004F27E0" w:rsidP="0049063C">
      <w:pPr>
        <w:spacing w:line="228" w:lineRule="auto"/>
        <w:jc w:val="both"/>
        <w:rPr>
          <w:rFonts w:ascii="Arial" w:hAnsi="Arial" w:cs="Arial"/>
          <w:iCs/>
          <w:sz w:val="22"/>
          <w:szCs w:val="22"/>
          <w:lang w:val="fr-FR"/>
        </w:rPr>
      </w:pPr>
      <w:r>
        <w:rPr>
          <w:rFonts w:ascii="Arial" w:hAnsi="Arial" w:cs="Arial"/>
          <w:bCs/>
          <w:sz w:val="22"/>
          <w:szCs w:val="22"/>
          <w:lang w:val="fr-FR"/>
        </w:rPr>
        <w:t>Bonn</w:t>
      </w:r>
      <w:r w:rsidR="009B083A" w:rsidRPr="009B083A">
        <w:rPr>
          <w:rFonts w:ascii="Arial" w:hAnsi="Arial" w:cs="Arial"/>
          <w:bCs/>
          <w:sz w:val="22"/>
          <w:szCs w:val="22"/>
          <w:lang w:val="fr-FR"/>
        </w:rPr>
        <w:t xml:space="preserve">, </w:t>
      </w:r>
      <w:r>
        <w:rPr>
          <w:rFonts w:ascii="Arial" w:hAnsi="Arial" w:cs="Arial"/>
          <w:bCs/>
          <w:sz w:val="22"/>
          <w:szCs w:val="22"/>
          <w:lang w:val="fr-FR"/>
        </w:rPr>
        <w:t>28 février</w:t>
      </w:r>
      <w:r w:rsidR="009B083A" w:rsidRPr="009B083A">
        <w:rPr>
          <w:rFonts w:ascii="Arial" w:hAnsi="Arial" w:cs="Arial"/>
          <w:bCs/>
          <w:sz w:val="22"/>
          <w:szCs w:val="22"/>
          <w:lang w:val="fr-FR"/>
        </w:rPr>
        <w:t xml:space="preserve"> – </w:t>
      </w:r>
      <w:r>
        <w:rPr>
          <w:rFonts w:ascii="Arial" w:hAnsi="Arial" w:cs="Arial"/>
          <w:bCs/>
          <w:sz w:val="22"/>
          <w:szCs w:val="22"/>
          <w:lang w:val="fr-FR"/>
        </w:rPr>
        <w:t>2 mars</w:t>
      </w:r>
      <w:r w:rsidR="009B083A" w:rsidRPr="009B083A">
        <w:rPr>
          <w:rFonts w:ascii="Arial" w:hAnsi="Arial" w:cs="Arial"/>
          <w:bCs/>
          <w:sz w:val="22"/>
          <w:szCs w:val="22"/>
          <w:lang w:val="fr-FR"/>
        </w:rPr>
        <w:t xml:space="preserve"> 20</w:t>
      </w:r>
      <w:r>
        <w:rPr>
          <w:rFonts w:ascii="Arial" w:hAnsi="Arial" w:cs="Arial"/>
          <w:bCs/>
          <w:sz w:val="22"/>
          <w:szCs w:val="22"/>
          <w:lang w:val="fr-FR"/>
        </w:rPr>
        <w:t>23</w:t>
      </w:r>
    </w:p>
    <w:p w14:paraId="19CEAB50" w14:textId="30AFB270" w:rsidR="00B25614" w:rsidRPr="009B083A" w:rsidRDefault="001C7504" w:rsidP="0049063C">
      <w:pPr>
        <w:jc w:val="both"/>
        <w:rPr>
          <w:rFonts w:ascii="Arial" w:hAnsi="Arial" w:cs="Arial"/>
          <w:sz w:val="22"/>
          <w:szCs w:val="22"/>
          <w:lang w:val="fr-FR"/>
        </w:rPr>
      </w:pPr>
      <w:r>
        <w:rPr>
          <w:rFonts w:ascii="Arial" w:hAnsi="Arial" w:cs="Arial"/>
          <w:bCs/>
          <w:sz w:val="22"/>
          <w:szCs w:val="22"/>
          <w:lang w:val="fr-FR"/>
        </w:rPr>
        <w:t xml:space="preserve">Point </w:t>
      </w:r>
      <w:r w:rsidR="00D42D2B">
        <w:rPr>
          <w:rFonts w:ascii="Arial" w:hAnsi="Arial" w:cs="Arial"/>
          <w:bCs/>
          <w:sz w:val="22"/>
          <w:szCs w:val="22"/>
          <w:lang w:val="fr-FR"/>
        </w:rPr>
        <w:t>10</w:t>
      </w:r>
      <w:r w:rsidR="00627A42">
        <w:rPr>
          <w:rFonts w:ascii="Arial" w:hAnsi="Arial" w:cs="Arial"/>
          <w:bCs/>
          <w:sz w:val="22"/>
          <w:szCs w:val="22"/>
          <w:lang w:val="fr-FR"/>
        </w:rPr>
        <w:t xml:space="preserve"> </w:t>
      </w:r>
      <w:r w:rsidR="00B25614" w:rsidRPr="009B083A">
        <w:rPr>
          <w:rFonts w:ascii="Arial" w:hAnsi="Arial" w:cs="Arial"/>
          <w:bCs/>
          <w:sz w:val="22"/>
          <w:szCs w:val="22"/>
          <w:lang w:val="fr-FR"/>
        </w:rPr>
        <w:t>de l’ordre du jour</w:t>
      </w:r>
    </w:p>
    <w:p w14:paraId="288EE57E" w14:textId="77777777" w:rsidR="00B25614" w:rsidRPr="00540C05" w:rsidRDefault="00B25614" w:rsidP="00B25614">
      <w:pPr>
        <w:jc w:val="both"/>
        <w:rPr>
          <w:rFonts w:ascii="Arial" w:hAnsi="Arial" w:cs="Arial"/>
          <w:sz w:val="22"/>
          <w:szCs w:val="22"/>
          <w:lang w:val="fr-FR"/>
        </w:rPr>
      </w:pPr>
    </w:p>
    <w:p w14:paraId="0D06ECEA" w14:textId="77777777" w:rsidR="00B25614" w:rsidRPr="00540C05" w:rsidRDefault="00B25614" w:rsidP="00B25614">
      <w:pPr>
        <w:jc w:val="both"/>
        <w:rPr>
          <w:rFonts w:ascii="Arial" w:hAnsi="Arial" w:cs="Arial"/>
          <w:sz w:val="22"/>
          <w:szCs w:val="22"/>
          <w:lang w:val="fr-FR"/>
        </w:rPr>
      </w:pPr>
    </w:p>
    <w:p w14:paraId="4E1C8011" w14:textId="22E6EDD6" w:rsidR="00D42D2B" w:rsidRPr="00995C01" w:rsidRDefault="00D42D2B" w:rsidP="00D42D2B">
      <w:pPr>
        <w:pStyle w:val="Heading1"/>
        <w:spacing w:before="0"/>
        <w:jc w:val="center"/>
        <w:rPr>
          <w:rFonts w:ascii="Arial" w:hAnsi="Arial" w:cs="Arial"/>
          <w:b/>
          <w:bCs/>
          <w:color w:val="auto"/>
          <w:sz w:val="22"/>
          <w:szCs w:val="22"/>
          <w:lang w:val="fr-FR"/>
        </w:rPr>
      </w:pPr>
      <w:bookmarkStart w:id="0" w:name="_Hlk122617051"/>
      <w:r w:rsidRPr="00995C01">
        <w:rPr>
          <w:rFonts w:ascii="Arial" w:hAnsi="Arial" w:cs="Arial"/>
          <w:b/>
          <w:bCs/>
          <w:color w:val="auto"/>
          <w:sz w:val="22"/>
          <w:szCs w:val="22"/>
          <w:lang w:val="fr-FR"/>
        </w:rPr>
        <w:t xml:space="preserve">AMÉLIORER LA COMMUNICATION DES DONNÉES </w:t>
      </w:r>
      <w:r w:rsidR="004165F5">
        <w:rPr>
          <w:rFonts w:ascii="Arial" w:hAnsi="Arial" w:cs="Arial"/>
          <w:b/>
          <w:bCs/>
          <w:color w:val="auto"/>
          <w:sz w:val="22"/>
          <w:szCs w:val="22"/>
          <w:lang w:val="fr-FR"/>
        </w:rPr>
        <w:t>DE</w:t>
      </w:r>
      <w:r w:rsidRPr="00995C01">
        <w:rPr>
          <w:rFonts w:ascii="Arial" w:hAnsi="Arial" w:cs="Arial"/>
          <w:b/>
          <w:bCs/>
          <w:color w:val="auto"/>
          <w:sz w:val="22"/>
          <w:szCs w:val="22"/>
          <w:lang w:val="fr-FR"/>
        </w:rPr>
        <w:t xml:space="preserve"> DÉBARQUEMENTS</w:t>
      </w:r>
    </w:p>
    <w:p w14:paraId="3669E81D" w14:textId="045410B8" w:rsidR="00D42D2B" w:rsidRPr="00995C01" w:rsidRDefault="00D42D2B" w:rsidP="00D42D2B">
      <w:pPr>
        <w:pStyle w:val="Heading1"/>
        <w:spacing w:before="0" w:after="120"/>
        <w:jc w:val="center"/>
        <w:rPr>
          <w:rFonts w:ascii="Arial" w:hAnsi="Arial" w:cs="Arial"/>
          <w:b/>
          <w:bCs/>
          <w:color w:val="auto"/>
          <w:sz w:val="22"/>
          <w:szCs w:val="22"/>
          <w:lang w:val="fr-FR"/>
        </w:rPr>
      </w:pPr>
      <w:r w:rsidRPr="00995C01">
        <w:rPr>
          <w:rFonts w:ascii="Arial" w:hAnsi="Arial" w:cs="Arial"/>
          <w:b/>
          <w:bCs/>
          <w:color w:val="auto"/>
          <w:sz w:val="22"/>
          <w:szCs w:val="22"/>
          <w:lang w:val="fr-FR"/>
        </w:rPr>
        <w:t>POUR LES ESPÈCES INSCRITES À L’ANNEXE 1 DU M</w:t>
      </w:r>
      <w:r w:rsidR="00A25B8F">
        <w:rPr>
          <w:rFonts w:ascii="Arial" w:hAnsi="Arial" w:cs="Arial"/>
          <w:b/>
          <w:bCs/>
          <w:color w:val="auto"/>
          <w:sz w:val="22"/>
          <w:szCs w:val="22"/>
          <w:lang w:val="fr-FR"/>
        </w:rPr>
        <w:t>DE RE</w:t>
      </w:r>
      <w:r w:rsidRPr="00995C01">
        <w:rPr>
          <w:rFonts w:ascii="Arial" w:hAnsi="Arial" w:cs="Arial"/>
          <w:b/>
          <w:bCs/>
          <w:color w:val="auto"/>
          <w:sz w:val="22"/>
          <w:szCs w:val="22"/>
          <w:lang w:val="fr-FR"/>
        </w:rPr>
        <w:t xml:space="preserve">QUINS </w:t>
      </w:r>
    </w:p>
    <w:bookmarkEnd w:id="0"/>
    <w:p w14:paraId="17FA7582" w14:textId="77777777" w:rsidR="00D42D2B" w:rsidRPr="00D42D2B" w:rsidRDefault="00D42D2B" w:rsidP="00D42D2B">
      <w:pPr>
        <w:ind w:right="252"/>
        <w:jc w:val="center"/>
        <w:rPr>
          <w:rFonts w:ascii="Arial" w:hAnsi="Arial" w:cs="Arial"/>
          <w:bCs/>
          <w:i/>
          <w:sz w:val="22"/>
          <w:szCs w:val="22"/>
          <w:lang w:val="fr-FR"/>
        </w:rPr>
      </w:pPr>
      <w:r w:rsidRPr="00D42D2B">
        <w:rPr>
          <w:rFonts w:ascii="Arial" w:hAnsi="Arial" w:cs="Arial"/>
          <w:bCs/>
          <w:i/>
          <w:sz w:val="22"/>
          <w:szCs w:val="22"/>
          <w:lang w:val="fr-FR"/>
        </w:rPr>
        <w:t>(Préparé par le Comité consultatif)</w:t>
      </w:r>
    </w:p>
    <w:p w14:paraId="54CDA235" w14:textId="6FD4AD7B" w:rsidR="00CE7534" w:rsidRPr="004866AB" w:rsidRDefault="00CE7534" w:rsidP="00D42D2B">
      <w:pPr>
        <w:rPr>
          <w:rFonts w:ascii="Arial" w:hAnsi="Arial" w:cs="Arial"/>
          <w:bCs/>
          <w:iCs/>
          <w:sz w:val="22"/>
          <w:szCs w:val="22"/>
          <w:lang w:val="fr-FR"/>
        </w:rPr>
      </w:pPr>
    </w:p>
    <w:p w14:paraId="4D104CE8" w14:textId="056338A0" w:rsidR="00CE7534" w:rsidRPr="004866AB" w:rsidRDefault="00CE7534" w:rsidP="004866AB">
      <w:pPr>
        <w:rPr>
          <w:rFonts w:ascii="Arial" w:hAnsi="Arial" w:cs="Arial"/>
          <w:bCs/>
          <w:iCs/>
          <w:sz w:val="22"/>
          <w:szCs w:val="22"/>
          <w:lang w:val="fr-FR"/>
        </w:rPr>
      </w:pPr>
    </w:p>
    <w:p w14:paraId="3DF9989B" w14:textId="0A0F2F62"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1.</w:t>
      </w:r>
      <w:r w:rsidRPr="00D42D2B">
        <w:rPr>
          <w:rFonts w:ascii="Arial" w:hAnsi="Arial" w:cs="Arial"/>
          <w:bCs/>
          <w:sz w:val="22"/>
          <w:szCs w:val="22"/>
          <w:lang w:val="fr-FR"/>
        </w:rPr>
        <w:tab/>
      </w:r>
      <w:r w:rsidRPr="00D42D2B">
        <w:rPr>
          <w:rFonts w:ascii="Arial" w:hAnsi="Arial" w:cs="Arial"/>
          <w:bCs/>
          <w:sz w:val="22"/>
          <w:szCs w:val="22"/>
          <w:u w:val="single"/>
          <w:lang w:val="fr-FR"/>
        </w:rPr>
        <w:t>L’Annexe 1</w:t>
      </w:r>
      <w:r w:rsidRPr="00D42D2B">
        <w:rPr>
          <w:rFonts w:ascii="Arial" w:hAnsi="Arial" w:cs="Arial"/>
          <w:bCs/>
          <w:sz w:val="22"/>
          <w:szCs w:val="22"/>
          <w:lang w:val="fr-FR"/>
        </w:rPr>
        <w:t xml:space="preserve"> du présent document comprend une analyse des données communiquées à l’Organisation des Nations Unies pour l’alimentation et l’agriculture (FAO) sur les débarquements nominaux </w:t>
      </w:r>
      <w:r w:rsidR="004866AB">
        <w:rPr>
          <w:rStyle w:val="FootnoteReference"/>
          <w:rFonts w:cs="Arial"/>
          <w:sz w:val="22"/>
          <w:szCs w:val="22"/>
          <w:lang w:val="fr-FR"/>
        </w:rPr>
        <w:footnoteReference w:id="1"/>
      </w:r>
      <w:r w:rsidRPr="00D42D2B">
        <w:rPr>
          <w:rFonts w:ascii="Arial" w:hAnsi="Arial" w:cs="Arial"/>
          <w:bCs/>
          <w:sz w:val="22"/>
          <w:szCs w:val="22"/>
          <w:lang w:val="fr-FR"/>
        </w:rPr>
        <w:t xml:space="preserve"> des espèces de requins et de raies inscrites à l’Annexe I de la Convention sur la conservation des espèces migratrices appartenant à la faune sauvage (CMS) et à l’Annexe 1 du Mémorandum d’entente sur la conservation des requins migrateurs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Un « Résumé analytique des principaux résultats et recommandations » est fourni à la section 1 de </w:t>
      </w:r>
      <w:r w:rsidRPr="00D42D2B">
        <w:rPr>
          <w:rFonts w:ascii="Arial" w:hAnsi="Arial" w:cs="Arial"/>
          <w:bCs/>
          <w:sz w:val="22"/>
          <w:szCs w:val="22"/>
          <w:u w:val="single"/>
          <w:lang w:val="fr-FR"/>
        </w:rPr>
        <w:t>l’Annexe 1</w:t>
      </w:r>
      <w:r w:rsidRPr="00D42D2B">
        <w:rPr>
          <w:rFonts w:ascii="Arial" w:hAnsi="Arial" w:cs="Arial"/>
          <w:bCs/>
          <w:sz w:val="22"/>
          <w:szCs w:val="22"/>
          <w:lang w:val="fr-FR"/>
        </w:rPr>
        <w:t>.</w:t>
      </w:r>
    </w:p>
    <w:p w14:paraId="2B603479" w14:textId="77777777" w:rsidR="00D42D2B" w:rsidRPr="00D42D2B" w:rsidRDefault="00D42D2B" w:rsidP="00D42D2B">
      <w:pPr>
        <w:ind w:left="567" w:hanging="567"/>
        <w:jc w:val="both"/>
        <w:rPr>
          <w:rFonts w:ascii="Arial" w:hAnsi="Arial" w:cs="Arial"/>
          <w:bCs/>
          <w:sz w:val="22"/>
          <w:szCs w:val="22"/>
          <w:lang w:val="fr-FR"/>
        </w:rPr>
      </w:pPr>
    </w:p>
    <w:p w14:paraId="24C9C858" w14:textId="77777777"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2.</w:t>
      </w:r>
      <w:r w:rsidRPr="00D42D2B">
        <w:rPr>
          <w:rFonts w:ascii="Arial" w:hAnsi="Arial" w:cs="Arial"/>
          <w:bCs/>
          <w:sz w:val="22"/>
          <w:szCs w:val="22"/>
          <w:lang w:val="fr-FR"/>
        </w:rPr>
        <w:tab/>
        <w:t xml:space="preserve">Sur la base des résultats de l’analyse, </w:t>
      </w:r>
      <w:r w:rsidRPr="00D42D2B">
        <w:rPr>
          <w:rFonts w:ascii="Arial" w:hAnsi="Arial" w:cs="Arial"/>
          <w:bCs/>
          <w:sz w:val="22"/>
          <w:szCs w:val="22"/>
          <w:u w:val="single"/>
          <w:lang w:val="fr-FR"/>
        </w:rPr>
        <w:t>l’Annexe 2</w:t>
      </w:r>
      <w:r w:rsidRPr="00D42D2B">
        <w:rPr>
          <w:rFonts w:ascii="Arial" w:hAnsi="Arial" w:cs="Arial"/>
          <w:bCs/>
          <w:sz w:val="22"/>
          <w:szCs w:val="22"/>
          <w:lang w:val="fr-FR"/>
        </w:rPr>
        <w:t xml:space="preserve"> comprend des « </w:t>
      </w:r>
      <w:r w:rsidRPr="00D42D2B">
        <w:rPr>
          <w:rFonts w:ascii="Arial" w:hAnsi="Arial" w:cs="Arial"/>
          <w:bCs/>
          <w:i/>
          <w:iCs/>
          <w:sz w:val="22"/>
          <w:szCs w:val="22"/>
          <w:lang w:val="fr-FR"/>
        </w:rPr>
        <w:t xml:space="preserve">Recommandations aux Signataires pour améliorer la communication des données de débarquement des espèces inscrites à l’Annexe 1 du </w:t>
      </w:r>
      <w:proofErr w:type="spellStart"/>
      <w:r w:rsidRPr="00D42D2B">
        <w:rPr>
          <w:rFonts w:ascii="Arial" w:hAnsi="Arial" w:cs="Arial"/>
          <w:bCs/>
          <w:i/>
          <w:iCs/>
          <w:sz w:val="22"/>
          <w:szCs w:val="22"/>
          <w:lang w:val="fr-FR"/>
        </w:rPr>
        <w:t>MdE</w:t>
      </w:r>
      <w:proofErr w:type="spellEnd"/>
      <w:r w:rsidRPr="00D42D2B">
        <w:rPr>
          <w:rFonts w:ascii="Arial" w:hAnsi="Arial" w:cs="Arial"/>
          <w:bCs/>
          <w:i/>
          <w:iCs/>
          <w:sz w:val="22"/>
          <w:szCs w:val="22"/>
          <w:lang w:val="fr-FR"/>
        </w:rPr>
        <w:t xml:space="preserve"> requin</w:t>
      </w:r>
      <w:r w:rsidRPr="00D42D2B">
        <w:rPr>
          <w:rFonts w:ascii="Arial" w:hAnsi="Arial" w:cs="Arial"/>
          <w:bCs/>
          <w:sz w:val="22"/>
          <w:szCs w:val="22"/>
          <w:lang w:val="fr-FR"/>
        </w:rPr>
        <w:t xml:space="preserve">s ». Les Signataires sont invités à examiner et à adopter les recommandations finales en tant que « </w:t>
      </w:r>
      <w:proofErr w:type="spellStart"/>
      <w:r w:rsidRPr="00D42D2B">
        <w:rPr>
          <w:rFonts w:ascii="Arial" w:hAnsi="Arial" w:cs="Arial"/>
          <w:bCs/>
          <w:sz w:val="22"/>
          <w:szCs w:val="22"/>
          <w:lang w:val="fr-FR"/>
        </w:rPr>
        <w:t>Outcome</w:t>
      </w:r>
      <w:proofErr w:type="spellEnd"/>
      <w:r w:rsidRPr="00D42D2B">
        <w:rPr>
          <w:rFonts w:ascii="Arial" w:hAnsi="Arial" w:cs="Arial"/>
          <w:bCs/>
          <w:sz w:val="22"/>
          <w:szCs w:val="22"/>
          <w:lang w:val="fr-FR"/>
        </w:rPr>
        <w:t xml:space="preserve"> 4.x » de cette réunion</w:t>
      </w:r>
    </w:p>
    <w:p w14:paraId="6C17AF42" w14:textId="77777777" w:rsidR="00D42D2B" w:rsidRPr="00D42D2B" w:rsidRDefault="00D42D2B" w:rsidP="00D42D2B">
      <w:pPr>
        <w:ind w:left="567" w:hanging="567"/>
        <w:jc w:val="both"/>
        <w:rPr>
          <w:rFonts w:ascii="Arial" w:hAnsi="Arial" w:cs="Arial"/>
          <w:bCs/>
          <w:sz w:val="22"/>
          <w:szCs w:val="22"/>
          <w:lang w:val="fr-FR"/>
        </w:rPr>
      </w:pPr>
    </w:p>
    <w:p w14:paraId="63AB6844" w14:textId="218E09F3"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3.</w:t>
      </w:r>
      <w:r w:rsidRPr="00D42D2B">
        <w:rPr>
          <w:rFonts w:ascii="Arial" w:hAnsi="Arial" w:cs="Arial"/>
          <w:bCs/>
          <w:sz w:val="22"/>
          <w:szCs w:val="22"/>
          <w:lang w:val="fr-FR"/>
        </w:rPr>
        <w:tab/>
      </w:r>
      <w:r w:rsidRPr="00D42D2B">
        <w:rPr>
          <w:rFonts w:ascii="Arial" w:hAnsi="Arial" w:cs="Arial"/>
          <w:bCs/>
          <w:sz w:val="22"/>
          <w:szCs w:val="22"/>
          <w:u w:val="single"/>
          <w:lang w:val="fr-FR"/>
        </w:rPr>
        <w:t>L’Annexe 3</w:t>
      </w:r>
      <w:r w:rsidRPr="00D42D2B">
        <w:rPr>
          <w:rFonts w:ascii="Arial" w:hAnsi="Arial" w:cs="Arial"/>
          <w:bCs/>
          <w:sz w:val="22"/>
          <w:szCs w:val="22"/>
          <w:lang w:val="fr-FR"/>
        </w:rPr>
        <w:t xml:space="preserve"> comprend les projets de décisions de cette réunion et </w:t>
      </w:r>
      <w:r>
        <w:rPr>
          <w:rFonts w:ascii="Arial" w:hAnsi="Arial" w:cs="Arial"/>
          <w:bCs/>
          <w:sz w:val="22"/>
          <w:szCs w:val="22"/>
          <w:u w:val="single"/>
          <w:lang w:val="fr-FR"/>
        </w:rPr>
        <w:t>l</w:t>
      </w:r>
      <w:r w:rsidRPr="00D42D2B">
        <w:rPr>
          <w:rFonts w:ascii="Arial" w:hAnsi="Arial" w:cs="Arial"/>
          <w:bCs/>
          <w:sz w:val="22"/>
          <w:szCs w:val="22"/>
          <w:u w:val="single"/>
          <w:lang w:val="fr-FR"/>
        </w:rPr>
        <w:t>’Annexe 4</w:t>
      </w:r>
      <w:r w:rsidRPr="00D42D2B">
        <w:rPr>
          <w:rFonts w:ascii="Arial" w:hAnsi="Arial" w:cs="Arial"/>
          <w:bCs/>
          <w:sz w:val="22"/>
          <w:szCs w:val="22"/>
          <w:lang w:val="fr-FR"/>
        </w:rPr>
        <w:t xml:space="preserve"> les projets d’activités que les signataires peuvent envisager d’inclure dans le Programme de travail (2023-2025) également discuté au point 12 de l’ordre du jour.</w:t>
      </w:r>
    </w:p>
    <w:p w14:paraId="41CBEB1E" w14:textId="77777777" w:rsidR="00D42D2B" w:rsidRPr="00D42D2B" w:rsidRDefault="00D42D2B" w:rsidP="00D42D2B">
      <w:pPr>
        <w:ind w:left="567" w:hanging="567"/>
        <w:jc w:val="both"/>
        <w:rPr>
          <w:rFonts w:ascii="Arial" w:hAnsi="Arial" w:cs="Arial"/>
          <w:bCs/>
          <w:sz w:val="22"/>
          <w:szCs w:val="22"/>
          <w:lang w:val="fr-FR"/>
        </w:rPr>
      </w:pPr>
    </w:p>
    <w:p w14:paraId="4707C5C0" w14:textId="77777777"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4.</w:t>
      </w:r>
      <w:r w:rsidRPr="00D42D2B">
        <w:rPr>
          <w:rFonts w:ascii="Arial" w:hAnsi="Arial" w:cs="Arial"/>
          <w:bCs/>
          <w:sz w:val="22"/>
          <w:szCs w:val="22"/>
          <w:lang w:val="fr-FR"/>
        </w:rPr>
        <w:tab/>
        <w:t xml:space="preserve">Les données sur les débarquements utilisées pour cette analyse peuvent être visualisées de manière interactive en accédant aux </w:t>
      </w:r>
      <w:r w:rsidRPr="00D42D2B">
        <w:rPr>
          <w:rFonts w:ascii="Arial" w:hAnsi="Arial" w:cs="Arial"/>
          <w:bCs/>
          <w:sz w:val="22"/>
          <w:szCs w:val="22"/>
          <w:u w:val="single"/>
          <w:lang w:val="fr-FR"/>
        </w:rPr>
        <w:t>fichiers d’informations supplémentaires de l’Annexe I</w:t>
      </w:r>
      <w:r w:rsidRPr="00D42D2B">
        <w:rPr>
          <w:rFonts w:ascii="Arial" w:hAnsi="Arial" w:cs="Arial"/>
          <w:bCs/>
          <w:sz w:val="22"/>
          <w:szCs w:val="22"/>
          <w:lang w:val="fr-FR"/>
        </w:rPr>
        <w:t xml:space="preserve">. Les Signataires sont encouragés à consulter ces fichiers et à envisager de s’y référer pour informer les activités futures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en cas de besoin.</w:t>
      </w:r>
    </w:p>
    <w:p w14:paraId="103A2727" w14:textId="57966177" w:rsidR="004866AB" w:rsidRDefault="004866AB" w:rsidP="00D42D2B">
      <w:pPr>
        <w:jc w:val="both"/>
        <w:rPr>
          <w:rFonts w:ascii="Arial" w:hAnsi="Arial" w:cs="Arial"/>
          <w:bCs/>
          <w:sz w:val="22"/>
          <w:szCs w:val="22"/>
          <w:lang w:val="fr-FR"/>
        </w:rPr>
      </w:pPr>
      <w:r>
        <w:rPr>
          <w:rFonts w:ascii="Arial" w:hAnsi="Arial" w:cs="Arial"/>
          <w:bCs/>
          <w:sz w:val="22"/>
          <w:szCs w:val="22"/>
          <w:lang w:val="fr-FR"/>
        </w:rPr>
        <w:br w:type="page"/>
      </w:r>
    </w:p>
    <w:p w14:paraId="21FCB2D3" w14:textId="77777777" w:rsidR="00D42D2B" w:rsidRPr="00D42D2B" w:rsidRDefault="00D42D2B" w:rsidP="00D42D2B">
      <w:pPr>
        <w:jc w:val="both"/>
        <w:rPr>
          <w:rFonts w:ascii="Arial" w:hAnsi="Arial" w:cs="Arial"/>
          <w:b/>
          <w:sz w:val="22"/>
          <w:szCs w:val="22"/>
          <w:lang w:val="fr-FR"/>
        </w:rPr>
      </w:pPr>
      <w:r w:rsidRPr="00D42D2B">
        <w:rPr>
          <w:rFonts w:ascii="Arial" w:hAnsi="Arial" w:cs="Arial"/>
          <w:b/>
          <w:sz w:val="22"/>
          <w:szCs w:val="22"/>
          <w:lang w:val="fr-FR"/>
        </w:rPr>
        <w:lastRenderedPageBreak/>
        <w:t>Contexte</w:t>
      </w:r>
    </w:p>
    <w:p w14:paraId="76651035" w14:textId="77777777" w:rsidR="00D42D2B" w:rsidRPr="00D42D2B" w:rsidRDefault="00D42D2B" w:rsidP="00D42D2B">
      <w:pPr>
        <w:jc w:val="both"/>
        <w:rPr>
          <w:rFonts w:ascii="Arial" w:hAnsi="Arial" w:cs="Arial"/>
          <w:bCs/>
          <w:sz w:val="22"/>
          <w:szCs w:val="22"/>
          <w:lang w:val="fr-FR"/>
        </w:rPr>
      </w:pPr>
    </w:p>
    <w:p w14:paraId="1E2BAD01" w14:textId="77777777" w:rsidR="00D42D2B" w:rsidRPr="00D42D2B" w:rsidRDefault="00D42D2B" w:rsidP="00D42D2B">
      <w:pPr>
        <w:jc w:val="both"/>
        <w:rPr>
          <w:rFonts w:ascii="Arial" w:hAnsi="Arial" w:cs="Arial"/>
          <w:b/>
          <w:sz w:val="22"/>
          <w:szCs w:val="22"/>
          <w:lang w:val="fr-FR"/>
        </w:rPr>
      </w:pPr>
      <w:r w:rsidRPr="00D42D2B">
        <w:rPr>
          <w:rFonts w:ascii="Arial" w:hAnsi="Arial" w:cs="Arial"/>
          <w:b/>
          <w:sz w:val="22"/>
          <w:szCs w:val="22"/>
          <w:lang w:val="fr-FR"/>
        </w:rPr>
        <w:t xml:space="preserve">Mandats du </w:t>
      </w:r>
      <w:proofErr w:type="spellStart"/>
      <w:r w:rsidRPr="00D42D2B">
        <w:rPr>
          <w:rFonts w:ascii="Arial" w:hAnsi="Arial" w:cs="Arial"/>
          <w:b/>
          <w:sz w:val="22"/>
          <w:szCs w:val="22"/>
          <w:lang w:val="fr-FR"/>
        </w:rPr>
        <w:t>MdE</w:t>
      </w:r>
      <w:proofErr w:type="spellEnd"/>
    </w:p>
    <w:p w14:paraId="0C98BAA3" w14:textId="77777777" w:rsidR="00D42D2B" w:rsidRPr="00D42D2B" w:rsidRDefault="00D42D2B" w:rsidP="00D42D2B">
      <w:pPr>
        <w:jc w:val="both"/>
        <w:rPr>
          <w:rFonts w:ascii="Arial" w:hAnsi="Arial" w:cs="Arial"/>
          <w:bCs/>
          <w:sz w:val="22"/>
          <w:szCs w:val="22"/>
          <w:lang w:val="fr-FR"/>
        </w:rPr>
      </w:pPr>
    </w:p>
    <w:p w14:paraId="5A3CA653" w14:textId="7BE5A536" w:rsid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5.</w:t>
      </w:r>
      <w:r w:rsidRPr="00D42D2B">
        <w:rPr>
          <w:rFonts w:ascii="Arial" w:hAnsi="Arial" w:cs="Arial"/>
          <w:bCs/>
          <w:sz w:val="22"/>
          <w:szCs w:val="22"/>
          <w:lang w:val="fr-FR"/>
        </w:rPr>
        <w:tab/>
        <w:t xml:space="preserve">Conformément au </w:t>
      </w:r>
      <w:hyperlink r:id="rId11" w:history="1">
        <w:r w:rsidRPr="00A25B8F">
          <w:rPr>
            <w:rStyle w:val="Hyperlink"/>
            <w:rFonts w:ascii="Arial" w:hAnsi="Arial" w:cs="Arial"/>
            <w:bCs/>
            <w:sz w:val="22"/>
            <w:szCs w:val="22"/>
            <w:lang w:val="fr-FR"/>
          </w:rPr>
          <w:t>Programme de travail (2019-2021)</w:t>
        </w:r>
      </w:hyperlink>
      <w:r w:rsidRPr="00D42D2B">
        <w:rPr>
          <w:rFonts w:ascii="Arial" w:hAnsi="Arial" w:cs="Arial"/>
          <w:bCs/>
          <w:sz w:val="22"/>
          <w:szCs w:val="22"/>
          <w:lang w:val="fr-FR"/>
        </w:rPr>
        <w:t xml:space="preserve">, le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a été chargé des actions suivantes :</w:t>
      </w:r>
    </w:p>
    <w:p w14:paraId="78A30240" w14:textId="77777777" w:rsidR="00D42D2B" w:rsidRPr="00D42D2B" w:rsidRDefault="00D42D2B" w:rsidP="00D42D2B">
      <w:pPr>
        <w:ind w:left="567" w:hanging="567"/>
        <w:jc w:val="both"/>
        <w:rPr>
          <w:rFonts w:ascii="Arial" w:hAnsi="Arial" w:cs="Arial"/>
          <w:bCs/>
          <w:sz w:val="22"/>
          <w:szCs w:val="22"/>
          <w:lang w:val="fr-FR"/>
        </w:rPr>
      </w:pPr>
    </w:p>
    <w:p w14:paraId="4D1F5C65" w14:textId="77777777" w:rsidR="00D42D2B" w:rsidRPr="00D42D2B" w:rsidRDefault="00D42D2B" w:rsidP="00D42D2B">
      <w:pPr>
        <w:pStyle w:val="ListParagraph"/>
        <w:widowControl/>
        <w:numPr>
          <w:ilvl w:val="1"/>
          <w:numId w:val="5"/>
        </w:numPr>
        <w:pBdr>
          <w:top w:val="nil"/>
          <w:left w:val="nil"/>
          <w:bottom w:val="nil"/>
          <w:right w:val="nil"/>
          <w:between w:val="nil"/>
          <w:bar w:val="nil"/>
        </w:pBdr>
        <w:autoSpaceDE/>
        <w:autoSpaceDN/>
        <w:adjustRightInd/>
        <w:ind w:left="993" w:right="26" w:hanging="453"/>
        <w:contextualSpacing w:val="0"/>
        <w:jc w:val="both"/>
        <w:rPr>
          <w:rFonts w:ascii="Arial" w:hAnsi="Arial" w:cs="Arial"/>
          <w:vanish/>
          <w:sz w:val="22"/>
          <w:szCs w:val="22"/>
          <w:lang w:val="fr-FR"/>
        </w:rPr>
      </w:pPr>
      <w:r w:rsidRPr="00D42D2B">
        <w:rPr>
          <w:rFonts w:ascii="Arial" w:hAnsi="Arial" w:cs="Arial"/>
          <w:vanish/>
          <w:sz w:val="22"/>
          <w:szCs w:val="22"/>
          <w:lang w:val="fr-FR"/>
        </w:rPr>
        <w:t xml:space="preserve">Élaborer plus avant et classer par ordre de priorité les domaines d'action suggérés dans le Document </w:t>
      </w:r>
      <w:hyperlink r:id="rId12" w:history="1">
        <w:proofErr w:type="spellStart"/>
        <w:r w:rsidRPr="00D42D2B">
          <w:rPr>
            <w:rStyle w:val="Hyperlink"/>
            <w:rFonts w:ascii="Arial" w:hAnsi="Arial" w:cs="Arial"/>
            <w:vanish/>
            <w:color w:val="auto"/>
            <w:sz w:val="22"/>
            <w:szCs w:val="22"/>
            <w:u w:val="none"/>
            <w:lang w:val="fr-FR"/>
          </w:rPr>
          <w:t>Outcome</w:t>
        </w:r>
        <w:proofErr w:type="spellEnd"/>
        <w:r w:rsidRPr="00D42D2B">
          <w:rPr>
            <w:rStyle w:val="Hyperlink"/>
            <w:rFonts w:ascii="Arial" w:hAnsi="Arial" w:cs="Arial"/>
            <w:vanish/>
            <w:color w:val="auto"/>
            <w:sz w:val="22"/>
            <w:szCs w:val="22"/>
            <w:u w:val="none"/>
            <w:lang w:val="fr-FR"/>
          </w:rPr>
          <w:t xml:space="preserve"> 3.12</w:t>
        </w:r>
      </w:hyperlink>
      <w:r w:rsidRPr="00D42D2B">
        <w:rPr>
          <w:rFonts w:ascii="Arial" w:hAnsi="Arial" w:cs="Arial"/>
          <w:vanish/>
          <w:sz w:val="22"/>
          <w:szCs w:val="22"/>
          <w:lang w:val="fr-FR"/>
        </w:rPr>
        <w:t xml:space="preserve"> avec des options par taxon, région et autres facteurs pertinents ;</w:t>
      </w:r>
    </w:p>
    <w:p w14:paraId="4728726C" w14:textId="77777777" w:rsidR="00D42D2B" w:rsidRPr="00D42D2B" w:rsidRDefault="00D42D2B" w:rsidP="00D42D2B">
      <w:pPr>
        <w:ind w:left="993" w:right="26" w:hanging="453"/>
        <w:rPr>
          <w:rFonts w:ascii="Arial" w:hAnsi="Arial" w:cs="Arial"/>
          <w:vanish/>
          <w:sz w:val="22"/>
          <w:szCs w:val="22"/>
          <w:lang w:val="fr-FR"/>
        </w:rPr>
      </w:pPr>
    </w:p>
    <w:p w14:paraId="75BA6A01" w14:textId="77777777" w:rsidR="00D42D2B" w:rsidRPr="00D42D2B" w:rsidRDefault="00D42D2B" w:rsidP="00D42D2B">
      <w:pPr>
        <w:pStyle w:val="ListParagraph"/>
        <w:widowControl/>
        <w:numPr>
          <w:ilvl w:val="1"/>
          <w:numId w:val="5"/>
        </w:numPr>
        <w:pBdr>
          <w:top w:val="nil"/>
          <w:left w:val="nil"/>
          <w:bottom w:val="nil"/>
          <w:right w:val="nil"/>
          <w:between w:val="nil"/>
          <w:bar w:val="nil"/>
        </w:pBdr>
        <w:autoSpaceDE/>
        <w:autoSpaceDN/>
        <w:adjustRightInd/>
        <w:ind w:left="993" w:right="26" w:hanging="453"/>
        <w:contextualSpacing w:val="0"/>
        <w:jc w:val="both"/>
        <w:rPr>
          <w:rFonts w:ascii="Arial" w:hAnsi="Arial" w:cs="Arial"/>
          <w:vanish/>
          <w:sz w:val="22"/>
          <w:szCs w:val="22"/>
          <w:lang w:val="fr-BE"/>
        </w:rPr>
      </w:pPr>
      <w:r w:rsidRPr="00D42D2B">
        <w:rPr>
          <w:rFonts w:ascii="Arial" w:hAnsi="Arial" w:cs="Arial"/>
          <w:vanish/>
          <w:sz w:val="22"/>
          <w:szCs w:val="22"/>
          <w:lang w:val="fr-BE"/>
        </w:rPr>
        <w:t>Établir un dépôt d'information pertinente pour aider les gestionnaires, y compris l'identification des espèces, l'atténuation des prises accessoires et la manipulation sûre, la survie des rejets et d'autres renseignements pertinents sur la gestion des pêches (activité 8) ;</w:t>
      </w:r>
    </w:p>
    <w:p w14:paraId="0B81A13A" w14:textId="77777777" w:rsidR="00D42D2B" w:rsidRPr="00D42D2B" w:rsidRDefault="00D42D2B" w:rsidP="00D42D2B">
      <w:pPr>
        <w:pStyle w:val="ListParagraph"/>
        <w:ind w:left="993" w:right="26" w:hanging="453"/>
        <w:rPr>
          <w:rFonts w:ascii="Arial" w:hAnsi="Arial" w:cs="Arial"/>
          <w:vanish/>
          <w:sz w:val="22"/>
          <w:szCs w:val="22"/>
          <w:lang w:val="fr-FR"/>
        </w:rPr>
      </w:pPr>
    </w:p>
    <w:p w14:paraId="0712E11A" w14:textId="3400140F" w:rsidR="00D42D2B" w:rsidRPr="00A25B8F" w:rsidRDefault="00D42D2B" w:rsidP="00D42D2B">
      <w:pPr>
        <w:pStyle w:val="ListParagraph"/>
        <w:widowControl/>
        <w:numPr>
          <w:ilvl w:val="1"/>
          <w:numId w:val="5"/>
        </w:numPr>
        <w:pBdr>
          <w:top w:val="nil"/>
          <w:left w:val="nil"/>
          <w:bottom w:val="nil"/>
          <w:right w:val="nil"/>
          <w:between w:val="nil"/>
          <w:bar w:val="nil"/>
        </w:pBdr>
        <w:autoSpaceDE/>
        <w:autoSpaceDN/>
        <w:adjustRightInd/>
        <w:ind w:left="993" w:right="26" w:hanging="453"/>
        <w:contextualSpacing w:val="0"/>
        <w:jc w:val="both"/>
        <w:rPr>
          <w:rFonts w:ascii="Arial" w:hAnsi="Arial" w:cs="Arial"/>
          <w:vanish/>
          <w:sz w:val="22"/>
          <w:szCs w:val="22"/>
          <w:lang w:val="fr-FR"/>
        </w:rPr>
      </w:pPr>
      <w:r w:rsidRPr="00D42D2B">
        <w:rPr>
          <w:rFonts w:ascii="Arial" w:hAnsi="Arial" w:cs="Arial"/>
          <w:vanish/>
          <w:sz w:val="22"/>
          <w:szCs w:val="22"/>
          <w:shd w:val="clear" w:color="auto" w:fill="FFFFFF"/>
          <w:lang w:val="fr-FR"/>
        </w:rPr>
        <w:t xml:space="preserve">Mettre en œuvre le Programme de renforcement des capacités pour le </w:t>
      </w:r>
      <w:proofErr w:type="spellStart"/>
      <w:r w:rsidRPr="00D42D2B">
        <w:rPr>
          <w:rFonts w:ascii="Arial" w:hAnsi="Arial" w:cs="Arial"/>
          <w:vanish/>
          <w:sz w:val="22"/>
          <w:szCs w:val="22"/>
          <w:shd w:val="clear" w:color="auto" w:fill="FFFFFF"/>
          <w:lang w:val="fr-FR"/>
        </w:rPr>
        <w:t>MdE</w:t>
      </w:r>
      <w:proofErr w:type="spellEnd"/>
      <w:r w:rsidRPr="00D42D2B">
        <w:rPr>
          <w:rFonts w:ascii="Arial" w:hAnsi="Arial" w:cs="Arial"/>
          <w:vanish/>
          <w:sz w:val="22"/>
          <w:szCs w:val="22"/>
          <w:shd w:val="clear" w:color="auto" w:fill="FFFFFF"/>
          <w:lang w:val="fr-FR"/>
        </w:rPr>
        <w:t xml:space="preserve"> tel qu'adopté dans le Document </w:t>
      </w:r>
      <w:hyperlink r:id="rId13" w:history="1">
        <w:r w:rsidRPr="00D42D2B">
          <w:rPr>
            <w:rStyle w:val="Hyperlink"/>
            <w:rFonts w:ascii="Arial" w:hAnsi="Arial" w:cs="Arial"/>
            <w:vanish/>
            <w:color w:val="auto"/>
            <w:sz w:val="22"/>
            <w:szCs w:val="22"/>
            <w:u w:val="none"/>
            <w:shd w:val="clear" w:color="auto" w:fill="FFFFFF"/>
            <w:lang w:val="fr-FR"/>
          </w:rPr>
          <w:t>CMS/</w:t>
        </w:r>
        <w:proofErr w:type="spellStart"/>
        <w:r w:rsidRPr="00D42D2B">
          <w:rPr>
            <w:rStyle w:val="Hyperlink"/>
            <w:rFonts w:ascii="Arial" w:hAnsi="Arial" w:cs="Arial"/>
            <w:vanish/>
            <w:color w:val="auto"/>
            <w:sz w:val="22"/>
            <w:szCs w:val="22"/>
            <w:u w:val="none"/>
            <w:shd w:val="clear" w:color="auto" w:fill="FFFFFF"/>
            <w:lang w:val="fr-FR"/>
          </w:rPr>
          <w:t>Sharks</w:t>
        </w:r>
        <w:proofErr w:type="spellEnd"/>
        <w:r w:rsidRPr="00D42D2B">
          <w:rPr>
            <w:rStyle w:val="Hyperlink"/>
            <w:rFonts w:ascii="Arial" w:hAnsi="Arial" w:cs="Arial"/>
            <w:vanish/>
            <w:color w:val="auto"/>
            <w:sz w:val="22"/>
            <w:szCs w:val="22"/>
            <w:u w:val="none"/>
            <w:shd w:val="clear" w:color="auto" w:fill="FFFFFF"/>
            <w:lang w:val="fr-FR"/>
          </w:rPr>
          <w:t>/</w:t>
        </w:r>
        <w:proofErr w:type="spellStart"/>
        <w:r w:rsidRPr="00D42D2B">
          <w:rPr>
            <w:rStyle w:val="Hyperlink"/>
            <w:rFonts w:ascii="Arial" w:hAnsi="Arial" w:cs="Arial"/>
            <w:vanish/>
            <w:color w:val="auto"/>
            <w:sz w:val="22"/>
            <w:szCs w:val="22"/>
            <w:u w:val="none"/>
            <w:shd w:val="clear" w:color="auto" w:fill="FFFFFF"/>
            <w:lang w:val="fr-FR"/>
          </w:rPr>
          <w:t>Outcome</w:t>
        </w:r>
        <w:proofErr w:type="spellEnd"/>
        <w:r w:rsidRPr="00D42D2B">
          <w:rPr>
            <w:rStyle w:val="Hyperlink"/>
            <w:rFonts w:ascii="Arial" w:hAnsi="Arial" w:cs="Arial"/>
            <w:vanish/>
            <w:color w:val="auto"/>
            <w:sz w:val="22"/>
            <w:szCs w:val="22"/>
            <w:u w:val="none"/>
            <w:shd w:val="clear" w:color="auto" w:fill="FFFFFF"/>
            <w:lang w:val="fr-FR"/>
          </w:rPr>
          <w:t xml:space="preserve"> 3.6</w:t>
        </w:r>
      </w:hyperlink>
      <w:r w:rsidRPr="00D42D2B">
        <w:rPr>
          <w:rFonts w:ascii="Arial" w:hAnsi="Arial" w:cs="Arial"/>
          <w:vanish/>
          <w:sz w:val="22"/>
          <w:szCs w:val="22"/>
          <w:shd w:val="clear" w:color="auto" w:fill="FFFFFF"/>
          <w:lang w:val="fr-FR"/>
        </w:rPr>
        <w:t xml:space="preserve"> pour aider les Signataires à exécuter le Plan de conservation (</w:t>
      </w:r>
      <w:r w:rsidRPr="00D42D2B">
        <w:rPr>
          <w:rFonts w:ascii="Arial" w:hAnsi="Arial" w:cs="Arial"/>
          <w:vanish/>
          <w:sz w:val="22"/>
          <w:szCs w:val="22"/>
          <w:lang w:val="fr-FR"/>
        </w:rPr>
        <w:t xml:space="preserve">activité </w:t>
      </w:r>
      <w:r w:rsidRPr="00D42D2B">
        <w:rPr>
          <w:rFonts w:ascii="Arial" w:hAnsi="Arial" w:cs="Arial"/>
          <w:vanish/>
          <w:sz w:val="22"/>
          <w:szCs w:val="22"/>
          <w:shd w:val="clear" w:color="auto" w:fill="FFFFFF"/>
          <w:lang w:val="fr-FR"/>
        </w:rPr>
        <w:t>10) ;</w:t>
      </w:r>
    </w:p>
    <w:p w14:paraId="020E5EA4" w14:textId="77777777" w:rsidR="00A25B8F" w:rsidRPr="00A25B8F" w:rsidRDefault="00A25B8F" w:rsidP="00A25B8F">
      <w:pPr>
        <w:widowControl/>
        <w:pBdr>
          <w:top w:val="nil"/>
          <w:left w:val="nil"/>
          <w:bottom w:val="nil"/>
          <w:right w:val="nil"/>
          <w:between w:val="nil"/>
          <w:bar w:val="nil"/>
        </w:pBdr>
        <w:autoSpaceDE/>
        <w:autoSpaceDN/>
        <w:adjustRightInd/>
        <w:ind w:right="26"/>
        <w:jc w:val="both"/>
        <w:rPr>
          <w:rFonts w:ascii="Arial" w:hAnsi="Arial" w:cs="Arial"/>
          <w:vanish/>
          <w:sz w:val="22"/>
          <w:szCs w:val="22"/>
          <w:lang w:val="fr-FR"/>
        </w:rPr>
      </w:pPr>
    </w:p>
    <w:p w14:paraId="21236F81" w14:textId="77777777" w:rsidR="00D42D2B" w:rsidRPr="00D42D2B" w:rsidRDefault="00D42D2B" w:rsidP="00D42D2B">
      <w:pPr>
        <w:pStyle w:val="ListParagraph"/>
        <w:widowControl/>
        <w:numPr>
          <w:ilvl w:val="1"/>
          <w:numId w:val="5"/>
        </w:numPr>
        <w:pBdr>
          <w:top w:val="nil"/>
          <w:left w:val="nil"/>
          <w:bottom w:val="nil"/>
          <w:right w:val="nil"/>
          <w:between w:val="nil"/>
          <w:bar w:val="nil"/>
        </w:pBdr>
        <w:autoSpaceDE/>
        <w:autoSpaceDN/>
        <w:adjustRightInd/>
        <w:ind w:left="993" w:right="26" w:hanging="453"/>
        <w:contextualSpacing w:val="0"/>
        <w:jc w:val="both"/>
        <w:rPr>
          <w:rFonts w:ascii="Arial" w:hAnsi="Arial" w:cs="Arial"/>
          <w:vanish/>
          <w:sz w:val="22"/>
          <w:szCs w:val="22"/>
          <w:lang w:val="fr-FR"/>
        </w:rPr>
      </w:pPr>
      <w:r w:rsidRPr="00D42D2B">
        <w:rPr>
          <w:rFonts w:ascii="Arial" w:hAnsi="Arial" w:cs="Arial"/>
          <w:vanish/>
          <w:sz w:val="22"/>
          <w:szCs w:val="22"/>
          <w:lang w:val="fr-FR"/>
        </w:rPr>
        <w:t>Renforcer les synergies et collaborer avec la – Convention sur le commerce international des espèces de faune et de flore sauvages menacées d’extinction (CITES) et l’Organisation des Nations Unies pour l’alimentation et l’agriculture (FAO) (activité 12).</w:t>
      </w:r>
    </w:p>
    <w:p w14:paraId="6779726A" w14:textId="77777777" w:rsidR="00D42D2B" w:rsidRPr="00D42D2B" w:rsidRDefault="00D42D2B" w:rsidP="00D42D2B">
      <w:pPr>
        <w:pStyle w:val="ListParagraph"/>
        <w:ind w:left="993" w:right="26" w:hanging="453"/>
        <w:rPr>
          <w:rFonts w:ascii="Arial" w:hAnsi="Arial" w:cs="Arial"/>
          <w:vanish/>
          <w:sz w:val="22"/>
          <w:szCs w:val="22"/>
          <w:lang w:val="fr-FR"/>
        </w:rPr>
      </w:pPr>
    </w:p>
    <w:p w14:paraId="39274272" w14:textId="77777777" w:rsidR="00D42D2B" w:rsidRPr="00D42D2B" w:rsidRDefault="00D42D2B" w:rsidP="00D42D2B">
      <w:pPr>
        <w:pStyle w:val="ListParagraph"/>
        <w:widowControl/>
        <w:numPr>
          <w:ilvl w:val="1"/>
          <w:numId w:val="5"/>
        </w:numPr>
        <w:pBdr>
          <w:top w:val="nil"/>
          <w:left w:val="nil"/>
          <w:bottom w:val="nil"/>
          <w:right w:val="nil"/>
          <w:between w:val="nil"/>
          <w:bar w:val="nil"/>
        </w:pBdr>
        <w:autoSpaceDE/>
        <w:autoSpaceDN/>
        <w:adjustRightInd/>
        <w:ind w:left="993" w:right="26" w:hanging="453"/>
        <w:contextualSpacing w:val="0"/>
        <w:jc w:val="both"/>
        <w:rPr>
          <w:rFonts w:ascii="Arial" w:hAnsi="Arial" w:cs="Arial"/>
          <w:vanish/>
          <w:sz w:val="22"/>
          <w:szCs w:val="22"/>
          <w:lang w:val="fr-FR"/>
        </w:rPr>
      </w:pPr>
      <w:r w:rsidRPr="00D42D2B">
        <w:rPr>
          <w:rFonts w:ascii="Arial" w:hAnsi="Arial" w:cs="Arial"/>
          <w:vanish/>
          <w:sz w:val="22"/>
          <w:szCs w:val="22"/>
          <w:shd w:val="clear" w:color="auto" w:fill="FFFFFF"/>
          <w:lang w:val="fr-FR"/>
        </w:rPr>
        <w:t>Préparer des publications (par exemple, la législation nationale, les priorités par espèce) (</w:t>
      </w:r>
      <w:r w:rsidRPr="00D42D2B">
        <w:rPr>
          <w:rFonts w:ascii="Arial" w:hAnsi="Arial" w:cs="Arial"/>
          <w:vanish/>
          <w:sz w:val="22"/>
          <w:szCs w:val="22"/>
          <w:lang w:val="fr-FR"/>
        </w:rPr>
        <w:t xml:space="preserve">activité </w:t>
      </w:r>
      <w:r w:rsidRPr="00D42D2B">
        <w:rPr>
          <w:rFonts w:ascii="Arial" w:hAnsi="Arial" w:cs="Arial"/>
          <w:vanish/>
          <w:sz w:val="22"/>
          <w:szCs w:val="22"/>
          <w:shd w:val="clear" w:color="auto" w:fill="FFFFFF"/>
          <w:lang w:val="fr-FR"/>
        </w:rPr>
        <w:t>20);</w:t>
      </w:r>
    </w:p>
    <w:p w14:paraId="322CE582" w14:textId="77777777" w:rsidR="00D42D2B" w:rsidRPr="00D42D2B" w:rsidRDefault="00D42D2B" w:rsidP="00D42D2B">
      <w:pPr>
        <w:widowControl/>
        <w:pBdr>
          <w:top w:val="nil"/>
          <w:left w:val="nil"/>
          <w:bottom w:val="nil"/>
          <w:right w:val="nil"/>
          <w:between w:val="nil"/>
          <w:bar w:val="nil"/>
        </w:pBdr>
        <w:autoSpaceDE/>
        <w:autoSpaceDN/>
        <w:adjustRightInd/>
        <w:ind w:left="993" w:right="26" w:hanging="453"/>
        <w:jc w:val="both"/>
        <w:rPr>
          <w:rFonts w:ascii="Arial" w:hAnsi="Arial" w:cs="Arial"/>
          <w:vanish/>
          <w:sz w:val="22"/>
          <w:szCs w:val="22"/>
          <w:lang w:val="fr-FR"/>
        </w:rPr>
      </w:pPr>
    </w:p>
    <w:p w14:paraId="7F6D7ABF" w14:textId="77777777" w:rsidR="00D42D2B" w:rsidRPr="00D42D2B" w:rsidRDefault="00D42D2B" w:rsidP="00D42D2B">
      <w:pPr>
        <w:pStyle w:val="ListParagraph"/>
        <w:widowControl/>
        <w:numPr>
          <w:ilvl w:val="1"/>
          <w:numId w:val="5"/>
        </w:numPr>
        <w:pBdr>
          <w:top w:val="nil"/>
          <w:left w:val="nil"/>
          <w:bottom w:val="nil"/>
          <w:right w:val="nil"/>
          <w:between w:val="nil"/>
          <w:bar w:val="nil"/>
        </w:pBdr>
        <w:autoSpaceDE/>
        <w:autoSpaceDN/>
        <w:adjustRightInd/>
        <w:ind w:left="993" w:right="26" w:hanging="453"/>
        <w:contextualSpacing w:val="0"/>
        <w:jc w:val="both"/>
        <w:rPr>
          <w:rFonts w:ascii="Arial" w:hAnsi="Arial" w:cs="Arial"/>
          <w:vanish/>
          <w:sz w:val="22"/>
          <w:szCs w:val="22"/>
          <w:lang w:val="fr-FR"/>
        </w:rPr>
      </w:pPr>
      <w:r w:rsidRPr="00D42D2B">
        <w:rPr>
          <w:rFonts w:ascii="Arial" w:hAnsi="Arial" w:cs="Arial"/>
          <w:vanish/>
          <w:sz w:val="22"/>
          <w:szCs w:val="22"/>
          <w:shd w:val="clear" w:color="auto" w:fill="FFFFFF"/>
          <w:lang w:val="fr-FR"/>
        </w:rPr>
        <w:t xml:space="preserve">Consolider les informations, examiner les données, assurer une liaison avec les parties prenantes et fournir des informations aux Signataires sur la mise en œuvre et le fonctionnement du </w:t>
      </w:r>
      <w:proofErr w:type="spellStart"/>
      <w:r w:rsidRPr="00D42D2B">
        <w:rPr>
          <w:rFonts w:ascii="Arial" w:hAnsi="Arial" w:cs="Arial"/>
          <w:vanish/>
          <w:sz w:val="22"/>
          <w:szCs w:val="22"/>
          <w:shd w:val="clear" w:color="auto" w:fill="FFFFFF"/>
          <w:lang w:val="fr-FR"/>
        </w:rPr>
        <w:t>MdE</w:t>
      </w:r>
      <w:proofErr w:type="spellEnd"/>
      <w:r w:rsidRPr="00D42D2B">
        <w:rPr>
          <w:rFonts w:ascii="Arial" w:hAnsi="Arial" w:cs="Arial"/>
          <w:vanish/>
          <w:sz w:val="22"/>
          <w:szCs w:val="22"/>
          <w:shd w:val="clear" w:color="auto" w:fill="FFFFFF"/>
          <w:lang w:val="fr-FR"/>
        </w:rPr>
        <w:t xml:space="preserve"> (</w:t>
      </w:r>
      <w:r w:rsidRPr="00D42D2B">
        <w:rPr>
          <w:rFonts w:ascii="Arial" w:hAnsi="Arial" w:cs="Arial"/>
          <w:vanish/>
          <w:sz w:val="22"/>
          <w:szCs w:val="22"/>
          <w:lang w:val="fr-FR"/>
        </w:rPr>
        <w:t xml:space="preserve">activité </w:t>
      </w:r>
      <w:r w:rsidRPr="00D42D2B">
        <w:rPr>
          <w:rFonts w:ascii="Arial" w:hAnsi="Arial" w:cs="Arial"/>
          <w:vanish/>
          <w:sz w:val="22"/>
          <w:szCs w:val="22"/>
          <w:shd w:val="clear" w:color="auto" w:fill="FFFFFF"/>
          <w:lang w:val="fr-FR"/>
        </w:rPr>
        <w:t>21).</w:t>
      </w:r>
    </w:p>
    <w:p w14:paraId="331646E3" w14:textId="77777777" w:rsidR="00D42D2B" w:rsidRPr="00D42D2B" w:rsidRDefault="00D42D2B" w:rsidP="00D42D2B">
      <w:pPr>
        <w:jc w:val="both"/>
        <w:rPr>
          <w:rFonts w:ascii="Arial" w:hAnsi="Arial" w:cs="Arial"/>
          <w:bCs/>
          <w:sz w:val="22"/>
          <w:szCs w:val="22"/>
          <w:lang w:val="fr-FR"/>
        </w:rPr>
      </w:pPr>
    </w:p>
    <w:p w14:paraId="78AA4F99" w14:textId="77777777" w:rsidR="00D42D2B" w:rsidRPr="00D42D2B" w:rsidRDefault="00D42D2B" w:rsidP="00D42D2B">
      <w:pPr>
        <w:jc w:val="both"/>
        <w:rPr>
          <w:rFonts w:ascii="Arial" w:hAnsi="Arial" w:cs="Arial"/>
          <w:b/>
          <w:sz w:val="22"/>
          <w:szCs w:val="22"/>
          <w:lang w:val="fr-FR"/>
        </w:rPr>
      </w:pPr>
      <w:r w:rsidRPr="00D42D2B">
        <w:rPr>
          <w:rFonts w:ascii="Arial" w:hAnsi="Arial" w:cs="Arial"/>
          <w:b/>
          <w:sz w:val="22"/>
          <w:szCs w:val="22"/>
          <w:lang w:val="fr-FR"/>
        </w:rPr>
        <w:t>Analyse des données de débarquement</w:t>
      </w:r>
    </w:p>
    <w:p w14:paraId="38BC9851" w14:textId="77777777" w:rsidR="00D42D2B" w:rsidRPr="00D42D2B" w:rsidRDefault="00D42D2B" w:rsidP="00D42D2B">
      <w:pPr>
        <w:ind w:left="567" w:hanging="567"/>
        <w:jc w:val="both"/>
        <w:rPr>
          <w:rFonts w:ascii="Arial" w:hAnsi="Arial" w:cs="Arial"/>
          <w:bCs/>
          <w:sz w:val="22"/>
          <w:szCs w:val="22"/>
          <w:lang w:val="fr-FR"/>
        </w:rPr>
      </w:pPr>
    </w:p>
    <w:p w14:paraId="362C3F75" w14:textId="77777777"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6.</w:t>
      </w:r>
      <w:r w:rsidRPr="00D42D2B">
        <w:rPr>
          <w:rFonts w:ascii="Arial" w:hAnsi="Arial" w:cs="Arial"/>
          <w:bCs/>
          <w:sz w:val="22"/>
          <w:szCs w:val="22"/>
          <w:lang w:val="fr-FR"/>
        </w:rPr>
        <w:tab/>
        <w:t xml:space="preserve">Tandis que le Plan de conservation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indique la nécessité de créer et de maintenir des registres nationaux de captures de requins spécifiques à chaque espèce, cette tâche a été entravée par le manque de communication et de standardisation des données dans les rapports nationaux produits par les Signataires pour chaque MOS. En outre, le nouveau format de rapport national mis à jour après la MOS3 a exclu la communication de données quantitatives sur les captures (en précisant que ces données sont communiquées à la FAO et à d’autres organismes compétents, le cas échéant) pour donner la priorité à la communication des actions entreprises pour mettre en œuvre le Plan de conservation. Néanmoins, étant donné que les pêcheries constituent la principale menace pour tous les requins et raies inscrits, les analyses de données précises sur les captures par espèce restent un effort essentiel pour identifier les besoins de conservation et l’impact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w:t>
      </w:r>
    </w:p>
    <w:p w14:paraId="5A8B31C9" w14:textId="77777777" w:rsidR="00D42D2B" w:rsidRPr="00D42D2B" w:rsidRDefault="00D42D2B" w:rsidP="00D42D2B">
      <w:pPr>
        <w:ind w:left="567" w:hanging="567"/>
        <w:jc w:val="both"/>
        <w:rPr>
          <w:rFonts w:ascii="Arial" w:hAnsi="Arial" w:cs="Arial"/>
          <w:bCs/>
          <w:sz w:val="22"/>
          <w:szCs w:val="22"/>
          <w:lang w:val="fr-FR"/>
        </w:rPr>
      </w:pPr>
    </w:p>
    <w:p w14:paraId="2901D465" w14:textId="77777777"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7.</w:t>
      </w:r>
      <w:r w:rsidRPr="00D42D2B">
        <w:rPr>
          <w:rFonts w:ascii="Arial" w:hAnsi="Arial" w:cs="Arial"/>
          <w:bCs/>
          <w:sz w:val="22"/>
          <w:szCs w:val="22"/>
          <w:lang w:val="fr-FR"/>
        </w:rPr>
        <w:tab/>
        <w:t xml:space="preserve">Par conséquent, les données sur les débarquements recueillies par la base de données mondiale sur la production de capture de la FAO peuvent devenir un outil important pour informer le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en évaluant le niveau d’exploitation des espèces inscrites à la CMS et au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car la plupart des signataires communiquent déjà des données annuelles sur les débarquements, notamment pour les espèces de requins et de raies inscrites à l’Annexe 1 du Mémorandum d’entente. En outre, l’ensemble de données de la FAO rassemble également les données de débarquement des autres États de l’aire de répartition, ce qui pourrait aider à identifier de nouvelles collaborations potentielles et des Signataires supplémentaires. Enfin, les données rapportées sont maintenues et conservées dans un souci de cohérence, faisant de cet ensemble de données une référence mondiale pour les chercheurs et les parties prenantes.</w:t>
      </w:r>
    </w:p>
    <w:p w14:paraId="463E0181" w14:textId="77777777" w:rsidR="00D42D2B" w:rsidRPr="00D42D2B" w:rsidRDefault="00D42D2B" w:rsidP="00D42D2B">
      <w:pPr>
        <w:ind w:left="567" w:hanging="567"/>
        <w:jc w:val="both"/>
        <w:rPr>
          <w:rFonts w:ascii="Arial" w:hAnsi="Arial" w:cs="Arial"/>
          <w:bCs/>
          <w:sz w:val="22"/>
          <w:szCs w:val="22"/>
          <w:lang w:val="fr-FR"/>
        </w:rPr>
      </w:pPr>
    </w:p>
    <w:p w14:paraId="69F2C03B" w14:textId="028EA65B" w:rsidR="00D42D2B" w:rsidRPr="00D42D2B" w:rsidRDefault="00D42D2B" w:rsidP="00D42D2B">
      <w:pPr>
        <w:ind w:left="567" w:hanging="567"/>
        <w:jc w:val="both"/>
        <w:rPr>
          <w:rFonts w:ascii="Arial" w:hAnsi="Arial" w:cs="Arial"/>
          <w:bCs/>
          <w:sz w:val="22"/>
          <w:szCs w:val="22"/>
          <w:lang w:val="fr-FR"/>
        </w:rPr>
      </w:pPr>
      <w:r w:rsidRPr="00D42D2B">
        <w:rPr>
          <w:rFonts w:ascii="Arial" w:hAnsi="Arial" w:cs="Arial"/>
          <w:bCs/>
          <w:sz w:val="22"/>
          <w:szCs w:val="22"/>
          <w:lang w:val="fr-FR"/>
        </w:rPr>
        <w:t>8.</w:t>
      </w:r>
      <w:r w:rsidRPr="00D42D2B">
        <w:rPr>
          <w:rFonts w:ascii="Arial" w:hAnsi="Arial" w:cs="Arial"/>
          <w:bCs/>
          <w:sz w:val="22"/>
          <w:szCs w:val="22"/>
          <w:lang w:val="fr-FR"/>
        </w:rPr>
        <w:tab/>
        <w:t xml:space="preserve">À cette fin, le Comité consultatif a analysé les récentes données de débarquement de la FAO concernant les espèces figurant à l’Annexe I de la CMS et à l’Annexe 1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comme étude de cas. L’étude, présentée à </w:t>
      </w:r>
      <w:r w:rsidRPr="004866AB">
        <w:rPr>
          <w:rFonts w:ascii="Arial" w:hAnsi="Arial" w:cs="Arial"/>
          <w:bCs/>
          <w:sz w:val="22"/>
          <w:szCs w:val="22"/>
          <w:u w:val="single"/>
          <w:lang w:val="fr-FR"/>
        </w:rPr>
        <w:t>l’Annexe 1</w:t>
      </w:r>
      <w:r w:rsidRPr="00D42D2B">
        <w:rPr>
          <w:rFonts w:ascii="Arial" w:hAnsi="Arial" w:cs="Arial"/>
          <w:bCs/>
          <w:sz w:val="22"/>
          <w:szCs w:val="22"/>
          <w:lang w:val="fr-FR"/>
        </w:rPr>
        <w:t xml:space="preserve"> du présent document, a consisté à analyser les débarquements annuels moyens déclarés à l’échelle mondiale entre 2015 et 2019 de :</w:t>
      </w:r>
    </w:p>
    <w:p w14:paraId="20C590E5" w14:textId="77777777" w:rsidR="00D42D2B" w:rsidRPr="00D42D2B" w:rsidRDefault="00D42D2B" w:rsidP="00D42D2B">
      <w:pPr>
        <w:ind w:left="567" w:hanging="567"/>
        <w:jc w:val="both"/>
        <w:rPr>
          <w:rFonts w:ascii="Arial" w:hAnsi="Arial" w:cs="Arial"/>
          <w:bCs/>
          <w:sz w:val="22"/>
          <w:szCs w:val="22"/>
          <w:lang w:val="fr-FR"/>
        </w:rPr>
      </w:pPr>
    </w:p>
    <w:p w14:paraId="56546586" w14:textId="77777777" w:rsidR="00D42D2B" w:rsidRPr="00D42D2B" w:rsidRDefault="00D42D2B" w:rsidP="00D42D2B">
      <w:pPr>
        <w:ind w:left="1134" w:hanging="567"/>
        <w:jc w:val="both"/>
        <w:rPr>
          <w:rFonts w:ascii="Arial" w:hAnsi="Arial" w:cs="Arial"/>
          <w:bCs/>
          <w:sz w:val="22"/>
          <w:szCs w:val="22"/>
          <w:lang w:val="fr-FR"/>
        </w:rPr>
      </w:pPr>
      <w:r w:rsidRPr="00D42D2B">
        <w:rPr>
          <w:rFonts w:ascii="Arial" w:hAnsi="Arial" w:cs="Arial"/>
          <w:bCs/>
          <w:sz w:val="22"/>
          <w:szCs w:val="22"/>
          <w:lang w:val="fr-FR"/>
        </w:rPr>
        <w:t>a)</w:t>
      </w:r>
      <w:r w:rsidRPr="00D42D2B">
        <w:rPr>
          <w:rFonts w:ascii="Arial" w:hAnsi="Arial" w:cs="Arial"/>
          <w:bCs/>
          <w:sz w:val="22"/>
          <w:szCs w:val="22"/>
          <w:lang w:val="fr-FR"/>
        </w:rPr>
        <w:tab/>
        <w:t>Espèces de requins et de raies inscrites à l’Annexe I de la CMS (</w:t>
      </w:r>
      <w:r w:rsidRPr="004866AB">
        <w:rPr>
          <w:rFonts w:ascii="Arial" w:hAnsi="Arial" w:cs="Arial"/>
          <w:bCs/>
          <w:sz w:val="22"/>
          <w:szCs w:val="22"/>
          <w:u w:val="single"/>
          <w:lang w:val="fr-FR"/>
        </w:rPr>
        <w:t>Annexe 1, section 3</w:t>
      </w:r>
      <w:r w:rsidRPr="00D42D2B">
        <w:rPr>
          <w:rFonts w:ascii="Arial" w:hAnsi="Arial" w:cs="Arial"/>
          <w:bCs/>
          <w:sz w:val="22"/>
          <w:szCs w:val="22"/>
          <w:lang w:val="fr-FR"/>
        </w:rPr>
        <w:t>) ;</w:t>
      </w:r>
    </w:p>
    <w:p w14:paraId="7EC7B8B1" w14:textId="77777777" w:rsidR="00D42D2B" w:rsidRPr="00D42D2B" w:rsidRDefault="00D42D2B" w:rsidP="00D42D2B">
      <w:pPr>
        <w:ind w:left="1134" w:hanging="567"/>
        <w:jc w:val="both"/>
        <w:rPr>
          <w:rFonts w:ascii="Arial" w:hAnsi="Arial" w:cs="Arial"/>
          <w:bCs/>
          <w:sz w:val="22"/>
          <w:szCs w:val="22"/>
          <w:lang w:val="fr-FR"/>
        </w:rPr>
      </w:pPr>
    </w:p>
    <w:p w14:paraId="4F055789" w14:textId="77777777" w:rsidR="00D42D2B" w:rsidRPr="00D42D2B" w:rsidRDefault="00D42D2B" w:rsidP="00D42D2B">
      <w:pPr>
        <w:ind w:left="1134" w:hanging="567"/>
        <w:jc w:val="both"/>
        <w:rPr>
          <w:rFonts w:ascii="Arial" w:hAnsi="Arial" w:cs="Arial"/>
          <w:bCs/>
          <w:sz w:val="22"/>
          <w:szCs w:val="22"/>
          <w:lang w:val="fr-FR"/>
        </w:rPr>
      </w:pPr>
      <w:r w:rsidRPr="00D42D2B">
        <w:rPr>
          <w:rFonts w:ascii="Arial" w:hAnsi="Arial" w:cs="Arial"/>
          <w:bCs/>
          <w:sz w:val="22"/>
          <w:szCs w:val="22"/>
          <w:lang w:val="fr-FR"/>
        </w:rPr>
        <w:t>b)</w:t>
      </w:r>
      <w:r w:rsidRPr="00D42D2B">
        <w:rPr>
          <w:rFonts w:ascii="Arial" w:hAnsi="Arial" w:cs="Arial"/>
          <w:bCs/>
          <w:sz w:val="22"/>
          <w:szCs w:val="22"/>
          <w:lang w:val="fr-FR"/>
        </w:rPr>
        <w:tab/>
        <w:t xml:space="preserve">Espèces de requins et de raies inscrites à l’Annexe 1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w:t>
      </w:r>
      <w:r w:rsidRPr="004866AB">
        <w:rPr>
          <w:rFonts w:ascii="Arial" w:hAnsi="Arial" w:cs="Arial"/>
          <w:bCs/>
          <w:sz w:val="22"/>
          <w:szCs w:val="22"/>
          <w:u w:val="single"/>
          <w:lang w:val="fr-FR"/>
        </w:rPr>
        <w:t>Annexe 1, section 4</w:t>
      </w:r>
      <w:r w:rsidRPr="00D42D2B">
        <w:rPr>
          <w:rFonts w:ascii="Arial" w:hAnsi="Arial" w:cs="Arial"/>
          <w:bCs/>
          <w:sz w:val="22"/>
          <w:szCs w:val="22"/>
          <w:lang w:val="fr-FR"/>
        </w:rPr>
        <w:t>) ;</w:t>
      </w:r>
    </w:p>
    <w:p w14:paraId="1AFBF8B7" w14:textId="77777777" w:rsidR="00D42D2B" w:rsidRPr="00D42D2B" w:rsidRDefault="00D42D2B" w:rsidP="00D42D2B">
      <w:pPr>
        <w:ind w:left="1134" w:hanging="567"/>
        <w:jc w:val="both"/>
        <w:rPr>
          <w:rFonts w:ascii="Arial" w:hAnsi="Arial" w:cs="Arial"/>
          <w:bCs/>
          <w:sz w:val="22"/>
          <w:szCs w:val="22"/>
          <w:lang w:val="fr-FR"/>
        </w:rPr>
      </w:pPr>
    </w:p>
    <w:p w14:paraId="4F814511" w14:textId="77777777" w:rsidR="00D42D2B" w:rsidRPr="00D42D2B" w:rsidRDefault="00D42D2B" w:rsidP="00D42D2B">
      <w:pPr>
        <w:ind w:left="1134" w:hanging="567"/>
        <w:jc w:val="both"/>
        <w:rPr>
          <w:rFonts w:ascii="Arial" w:hAnsi="Arial" w:cs="Arial"/>
          <w:bCs/>
          <w:sz w:val="22"/>
          <w:szCs w:val="22"/>
          <w:lang w:val="fr-FR"/>
        </w:rPr>
      </w:pPr>
      <w:r w:rsidRPr="00D42D2B">
        <w:rPr>
          <w:rFonts w:ascii="Arial" w:hAnsi="Arial" w:cs="Arial"/>
          <w:bCs/>
          <w:sz w:val="22"/>
          <w:szCs w:val="22"/>
          <w:lang w:val="fr-FR"/>
        </w:rPr>
        <w:t>c)</w:t>
      </w:r>
      <w:r w:rsidRPr="00D42D2B">
        <w:rPr>
          <w:rFonts w:ascii="Arial" w:hAnsi="Arial" w:cs="Arial"/>
          <w:bCs/>
          <w:sz w:val="22"/>
          <w:szCs w:val="22"/>
          <w:lang w:val="fr-FR"/>
        </w:rPr>
        <w:tab/>
        <w:t>Débarquements de requins et de raies déclarés à l’aide de codes d’espèces génériques et agrégés (par exemple, « requins non classés ailleurs » ) qui peuvent se rapporter ou non à des espèces inscrites (</w:t>
      </w:r>
      <w:r w:rsidRPr="004866AB">
        <w:rPr>
          <w:rFonts w:ascii="Arial" w:hAnsi="Arial" w:cs="Arial"/>
          <w:bCs/>
          <w:sz w:val="22"/>
          <w:szCs w:val="22"/>
          <w:u w:val="single"/>
          <w:lang w:val="fr-FR"/>
        </w:rPr>
        <w:t>Annexe 1, section 5</w:t>
      </w:r>
      <w:r w:rsidRPr="00D42D2B">
        <w:rPr>
          <w:rFonts w:ascii="Arial" w:hAnsi="Arial" w:cs="Arial"/>
          <w:bCs/>
          <w:sz w:val="22"/>
          <w:szCs w:val="22"/>
          <w:lang w:val="fr-FR"/>
        </w:rPr>
        <w:t>).</w:t>
      </w:r>
    </w:p>
    <w:p w14:paraId="2D438D0C" w14:textId="77777777" w:rsidR="00D42D2B" w:rsidRPr="00D42D2B" w:rsidRDefault="00D42D2B" w:rsidP="00D42D2B">
      <w:pPr>
        <w:jc w:val="both"/>
        <w:rPr>
          <w:rFonts w:ascii="Arial" w:hAnsi="Arial" w:cs="Arial"/>
          <w:bCs/>
          <w:sz w:val="22"/>
          <w:szCs w:val="22"/>
          <w:lang w:val="fr-FR"/>
        </w:rPr>
      </w:pPr>
    </w:p>
    <w:p w14:paraId="1386C01B" w14:textId="77777777" w:rsidR="00D42D2B" w:rsidRPr="00D42D2B" w:rsidRDefault="00D42D2B" w:rsidP="004866AB">
      <w:pPr>
        <w:ind w:left="567" w:hanging="567"/>
        <w:jc w:val="both"/>
        <w:rPr>
          <w:rFonts w:ascii="Arial" w:hAnsi="Arial" w:cs="Arial"/>
          <w:bCs/>
          <w:sz w:val="22"/>
          <w:szCs w:val="22"/>
          <w:lang w:val="fr-FR"/>
        </w:rPr>
      </w:pPr>
      <w:r w:rsidRPr="00D42D2B">
        <w:rPr>
          <w:rFonts w:ascii="Arial" w:hAnsi="Arial" w:cs="Arial"/>
          <w:bCs/>
          <w:sz w:val="22"/>
          <w:szCs w:val="22"/>
          <w:lang w:val="fr-FR"/>
        </w:rPr>
        <w:t>9.</w:t>
      </w:r>
      <w:r w:rsidRPr="00D42D2B">
        <w:rPr>
          <w:rFonts w:ascii="Arial" w:hAnsi="Arial" w:cs="Arial"/>
          <w:bCs/>
          <w:sz w:val="22"/>
          <w:szCs w:val="22"/>
          <w:lang w:val="fr-FR"/>
        </w:rPr>
        <w:tab/>
        <w:t>Sur la base des résultats de l’analyse, le Comité consultatif a préparé des recommandations aux Signataires :</w:t>
      </w:r>
    </w:p>
    <w:p w14:paraId="33848EDF" w14:textId="77777777" w:rsidR="00D42D2B" w:rsidRPr="00D42D2B" w:rsidRDefault="00D42D2B" w:rsidP="00D42D2B">
      <w:pPr>
        <w:jc w:val="both"/>
        <w:rPr>
          <w:rFonts w:ascii="Arial" w:hAnsi="Arial" w:cs="Arial"/>
          <w:bCs/>
          <w:sz w:val="22"/>
          <w:szCs w:val="22"/>
          <w:lang w:val="fr-FR"/>
        </w:rPr>
      </w:pPr>
    </w:p>
    <w:p w14:paraId="7F69CA4A" w14:textId="77777777" w:rsidR="00D42D2B" w:rsidRPr="00D42D2B" w:rsidRDefault="00D42D2B" w:rsidP="004866AB">
      <w:pPr>
        <w:tabs>
          <w:tab w:val="left" w:pos="1134"/>
        </w:tabs>
        <w:ind w:left="1134" w:hanging="567"/>
        <w:jc w:val="both"/>
        <w:rPr>
          <w:rFonts w:ascii="Arial" w:hAnsi="Arial" w:cs="Arial"/>
          <w:bCs/>
          <w:sz w:val="22"/>
          <w:szCs w:val="22"/>
          <w:lang w:val="fr-FR"/>
        </w:rPr>
      </w:pPr>
      <w:r w:rsidRPr="00D42D2B">
        <w:rPr>
          <w:rFonts w:ascii="Arial" w:hAnsi="Arial" w:cs="Arial"/>
          <w:bCs/>
          <w:sz w:val="22"/>
          <w:szCs w:val="22"/>
          <w:lang w:val="fr-FR"/>
        </w:rPr>
        <w:t>a)</w:t>
      </w:r>
      <w:r w:rsidRPr="00D42D2B">
        <w:rPr>
          <w:rFonts w:ascii="Arial" w:hAnsi="Arial" w:cs="Arial"/>
          <w:bCs/>
          <w:sz w:val="22"/>
          <w:szCs w:val="22"/>
          <w:lang w:val="fr-FR"/>
        </w:rPr>
        <w:tab/>
        <w:t xml:space="preserve">promouvoir l’interdiction des débarquements des espèces inscrites à l’Annexe I </w:t>
      </w:r>
      <w:r w:rsidRPr="00D42D2B">
        <w:rPr>
          <w:rFonts w:ascii="Arial" w:hAnsi="Arial" w:cs="Arial"/>
          <w:bCs/>
          <w:sz w:val="22"/>
          <w:szCs w:val="22"/>
          <w:lang w:val="fr-FR"/>
        </w:rPr>
        <w:lastRenderedPageBreak/>
        <w:t>de la CMS ;</w:t>
      </w:r>
    </w:p>
    <w:p w14:paraId="18826B73" w14:textId="77777777" w:rsidR="00D42D2B" w:rsidRPr="00D42D2B" w:rsidRDefault="00D42D2B" w:rsidP="004866AB">
      <w:pPr>
        <w:tabs>
          <w:tab w:val="left" w:pos="1134"/>
        </w:tabs>
        <w:ind w:left="1134" w:hanging="567"/>
        <w:jc w:val="both"/>
        <w:rPr>
          <w:rFonts w:ascii="Arial" w:hAnsi="Arial" w:cs="Arial"/>
          <w:bCs/>
          <w:sz w:val="22"/>
          <w:szCs w:val="22"/>
          <w:lang w:val="fr-FR"/>
        </w:rPr>
      </w:pPr>
    </w:p>
    <w:p w14:paraId="5E60EA46" w14:textId="77777777" w:rsidR="00D42D2B" w:rsidRPr="00D42D2B" w:rsidRDefault="00D42D2B" w:rsidP="004866AB">
      <w:pPr>
        <w:tabs>
          <w:tab w:val="left" w:pos="1134"/>
        </w:tabs>
        <w:ind w:left="1134" w:hanging="567"/>
        <w:jc w:val="both"/>
        <w:rPr>
          <w:rFonts w:ascii="Arial" w:hAnsi="Arial" w:cs="Arial"/>
          <w:bCs/>
          <w:sz w:val="22"/>
          <w:szCs w:val="22"/>
          <w:lang w:val="fr-FR"/>
        </w:rPr>
      </w:pPr>
      <w:r w:rsidRPr="00D42D2B">
        <w:rPr>
          <w:rFonts w:ascii="Arial" w:hAnsi="Arial" w:cs="Arial"/>
          <w:bCs/>
          <w:sz w:val="22"/>
          <w:szCs w:val="22"/>
          <w:lang w:val="fr-FR"/>
        </w:rPr>
        <w:t>b)</w:t>
      </w:r>
      <w:r w:rsidRPr="00D42D2B">
        <w:rPr>
          <w:rFonts w:ascii="Arial" w:hAnsi="Arial" w:cs="Arial"/>
          <w:bCs/>
          <w:sz w:val="22"/>
          <w:szCs w:val="22"/>
          <w:lang w:val="fr-FR"/>
        </w:rPr>
        <w:tab/>
        <w:t>souligner la nécessité de partager les mesures régionales de recherche et de conservation entre toutes les nations de pêche dans les principales zones de pêche de la FAO (ci-après dénommées zones FAO), étant donné le niveau considérable d’exploitation des flottes de pêche lointaine de certains Signataires et États de l’aire de répartition (au lieu de s’appuyer uniquement sur les Signataires ayant des eaux territoriales dans la région) ;</w:t>
      </w:r>
    </w:p>
    <w:p w14:paraId="470874EB" w14:textId="77777777" w:rsidR="00D42D2B" w:rsidRPr="00D42D2B" w:rsidRDefault="00D42D2B" w:rsidP="004866AB">
      <w:pPr>
        <w:tabs>
          <w:tab w:val="left" w:pos="1134"/>
        </w:tabs>
        <w:ind w:left="1134" w:hanging="567"/>
        <w:jc w:val="both"/>
        <w:rPr>
          <w:rFonts w:ascii="Arial" w:hAnsi="Arial" w:cs="Arial"/>
          <w:bCs/>
          <w:sz w:val="22"/>
          <w:szCs w:val="22"/>
          <w:lang w:val="fr-FR"/>
        </w:rPr>
      </w:pPr>
    </w:p>
    <w:p w14:paraId="2A7A2E05" w14:textId="77777777" w:rsidR="00D42D2B" w:rsidRPr="00D42D2B" w:rsidRDefault="00D42D2B" w:rsidP="004866AB">
      <w:pPr>
        <w:tabs>
          <w:tab w:val="left" w:pos="1134"/>
        </w:tabs>
        <w:ind w:left="1134" w:hanging="567"/>
        <w:jc w:val="both"/>
        <w:rPr>
          <w:rFonts w:ascii="Arial" w:hAnsi="Arial" w:cs="Arial"/>
          <w:bCs/>
          <w:sz w:val="22"/>
          <w:szCs w:val="22"/>
          <w:lang w:val="fr-FR"/>
        </w:rPr>
      </w:pPr>
      <w:r w:rsidRPr="00D42D2B">
        <w:rPr>
          <w:rFonts w:ascii="Arial" w:hAnsi="Arial" w:cs="Arial"/>
          <w:bCs/>
          <w:sz w:val="22"/>
          <w:szCs w:val="22"/>
          <w:lang w:val="fr-FR"/>
        </w:rPr>
        <w:t>c)</w:t>
      </w:r>
      <w:r w:rsidRPr="00D42D2B">
        <w:rPr>
          <w:rFonts w:ascii="Arial" w:hAnsi="Arial" w:cs="Arial"/>
          <w:bCs/>
          <w:sz w:val="22"/>
          <w:szCs w:val="22"/>
          <w:lang w:val="fr-FR"/>
        </w:rPr>
        <w:tab/>
        <w:t xml:space="preserve">améliorer l’exhaustivité et la qualité des données communiquées à la FAO afin d’accroître la précision et la valeur de cette puissante ressource. Les recommandations spécifiques ont été rassemblées dans le projet de document intitulé « </w:t>
      </w:r>
      <w:proofErr w:type="spellStart"/>
      <w:r w:rsidRPr="00D42D2B">
        <w:rPr>
          <w:rFonts w:ascii="Arial" w:hAnsi="Arial" w:cs="Arial"/>
          <w:bCs/>
          <w:sz w:val="22"/>
          <w:szCs w:val="22"/>
          <w:lang w:val="fr-FR"/>
        </w:rPr>
        <w:t>Outcome</w:t>
      </w:r>
      <w:proofErr w:type="spellEnd"/>
      <w:r w:rsidRPr="00D42D2B">
        <w:rPr>
          <w:rFonts w:ascii="Arial" w:hAnsi="Arial" w:cs="Arial"/>
          <w:bCs/>
          <w:sz w:val="22"/>
          <w:szCs w:val="22"/>
          <w:lang w:val="fr-FR"/>
        </w:rPr>
        <w:t xml:space="preserve"> 4.x », à l’Annexe 2 pour discussion et accord.</w:t>
      </w:r>
    </w:p>
    <w:p w14:paraId="2C4436B5" w14:textId="77777777" w:rsidR="00D42D2B" w:rsidRPr="00D42D2B" w:rsidRDefault="00D42D2B" w:rsidP="00D42D2B">
      <w:pPr>
        <w:jc w:val="both"/>
        <w:rPr>
          <w:rFonts w:ascii="Arial" w:hAnsi="Arial" w:cs="Arial"/>
          <w:bCs/>
          <w:sz w:val="22"/>
          <w:szCs w:val="22"/>
          <w:lang w:val="fr-FR"/>
        </w:rPr>
      </w:pPr>
    </w:p>
    <w:p w14:paraId="4FF37CC5" w14:textId="70154EB2" w:rsidR="00D42D2B" w:rsidRPr="00D42D2B" w:rsidRDefault="00D42D2B" w:rsidP="004866AB">
      <w:pPr>
        <w:ind w:left="567" w:hanging="567"/>
        <w:jc w:val="both"/>
        <w:rPr>
          <w:rFonts w:ascii="Arial" w:hAnsi="Arial" w:cs="Arial"/>
          <w:bCs/>
          <w:sz w:val="22"/>
          <w:szCs w:val="22"/>
          <w:lang w:val="fr-FR"/>
        </w:rPr>
      </w:pPr>
      <w:r w:rsidRPr="00D42D2B">
        <w:rPr>
          <w:rFonts w:ascii="Arial" w:hAnsi="Arial" w:cs="Arial"/>
          <w:bCs/>
          <w:sz w:val="22"/>
          <w:szCs w:val="22"/>
          <w:lang w:val="fr-FR"/>
        </w:rPr>
        <w:t>10.</w:t>
      </w:r>
      <w:r w:rsidRPr="00D42D2B">
        <w:rPr>
          <w:rFonts w:ascii="Arial" w:hAnsi="Arial" w:cs="Arial"/>
          <w:bCs/>
          <w:sz w:val="22"/>
          <w:szCs w:val="22"/>
          <w:lang w:val="fr-FR"/>
        </w:rPr>
        <w:tab/>
        <w:t xml:space="preserve">Les </w:t>
      </w:r>
      <w:hyperlink r:id="rId14" w:history="1">
        <w:r w:rsidRPr="004866AB">
          <w:rPr>
            <w:rStyle w:val="Hyperlink"/>
            <w:rFonts w:ascii="Arial" w:hAnsi="Arial" w:cs="Arial"/>
            <w:bCs/>
            <w:sz w:val="22"/>
            <w:szCs w:val="22"/>
            <w:lang w:val="fr-FR"/>
          </w:rPr>
          <w:t>fichiers d’informations supplémentaires</w:t>
        </w:r>
      </w:hyperlink>
      <w:r w:rsidRPr="00D42D2B">
        <w:rPr>
          <w:rFonts w:ascii="Arial" w:hAnsi="Arial" w:cs="Arial"/>
          <w:bCs/>
          <w:sz w:val="22"/>
          <w:szCs w:val="22"/>
          <w:lang w:val="fr-FR"/>
        </w:rPr>
        <w:t xml:space="preserve"> (SI) générés pour cette analyse ont été conçus en outre pour servir d’outil pour informer les activités futures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Chacun des fichiers fournit des données sur les débarquements entre 2015 et 2019 communiquées par les Signataires et les États de l’aire de répartition pour chaque zone FAO : </w:t>
      </w:r>
    </w:p>
    <w:p w14:paraId="4B066230" w14:textId="77777777" w:rsidR="00D42D2B" w:rsidRPr="00D42D2B" w:rsidRDefault="00D42D2B" w:rsidP="00D42D2B">
      <w:pPr>
        <w:jc w:val="both"/>
        <w:rPr>
          <w:rFonts w:ascii="Arial" w:hAnsi="Arial" w:cs="Arial"/>
          <w:bCs/>
          <w:sz w:val="22"/>
          <w:szCs w:val="22"/>
          <w:lang w:val="fr-FR"/>
        </w:rPr>
      </w:pPr>
    </w:p>
    <w:p w14:paraId="4EF1B65C" w14:textId="77777777"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a)</w:t>
      </w:r>
      <w:r w:rsidRPr="00D42D2B">
        <w:rPr>
          <w:rFonts w:ascii="Arial" w:hAnsi="Arial" w:cs="Arial"/>
          <w:bCs/>
          <w:sz w:val="22"/>
          <w:szCs w:val="22"/>
          <w:lang w:val="fr-FR"/>
        </w:rPr>
        <w:tab/>
        <w:t>espèces inscrites à l’Annexe I de la CMS (SI-1) ;</w:t>
      </w:r>
    </w:p>
    <w:p w14:paraId="29EDC8FB" w14:textId="77777777" w:rsidR="00D42D2B" w:rsidRPr="00D42D2B" w:rsidRDefault="00D42D2B" w:rsidP="004866AB">
      <w:pPr>
        <w:ind w:left="1134" w:hanging="567"/>
        <w:jc w:val="both"/>
        <w:rPr>
          <w:rFonts w:ascii="Arial" w:hAnsi="Arial" w:cs="Arial"/>
          <w:bCs/>
          <w:sz w:val="22"/>
          <w:szCs w:val="22"/>
          <w:lang w:val="fr-FR"/>
        </w:rPr>
      </w:pPr>
    </w:p>
    <w:p w14:paraId="22440BB1" w14:textId="77777777"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b)</w:t>
      </w:r>
      <w:r w:rsidRPr="00D42D2B">
        <w:rPr>
          <w:rFonts w:ascii="Arial" w:hAnsi="Arial" w:cs="Arial"/>
          <w:bCs/>
          <w:sz w:val="22"/>
          <w:szCs w:val="22"/>
          <w:lang w:val="fr-FR"/>
        </w:rPr>
        <w:tab/>
        <w:t xml:space="preserve">débarquements spécifiques aux espèces inscrites à l’Annexe 1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(SI-2) ;</w:t>
      </w:r>
    </w:p>
    <w:p w14:paraId="27815C38" w14:textId="77777777" w:rsidR="00D42D2B" w:rsidRPr="00D42D2B" w:rsidRDefault="00D42D2B" w:rsidP="004866AB">
      <w:pPr>
        <w:ind w:left="1134" w:hanging="567"/>
        <w:jc w:val="both"/>
        <w:rPr>
          <w:rFonts w:ascii="Arial" w:hAnsi="Arial" w:cs="Arial"/>
          <w:bCs/>
          <w:sz w:val="22"/>
          <w:szCs w:val="22"/>
          <w:lang w:val="fr-FR"/>
        </w:rPr>
      </w:pPr>
    </w:p>
    <w:p w14:paraId="28BB9ECC" w14:textId="77777777"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c)</w:t>
      </w:r>
      <w:r w:rsidRPr="00D42D2B">
        <w:rPr>
          <w:rFonts w:ascii="Arial" w:hAnsi="Arial" w:cs="Arial"/>
          <w:bCs/>
          <w:sz w:val="22"/>
          <w:szCs w:val="22"/>
          <w:lang w:val="fr-FR"/>
        </w:rPr>
        <w:tab/>
        <w:t xml:space="preserve">total des débarquements correspondant aux espèces inscrites au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et incertains par rapport à toutes les espèces de requins et de raies déclarées à la FAO (SI-3).</w:t>
      </w:r>
    </w:p>
    <w:p w14:paraId="29B52907" w14:textId="25F3C850" w:rsidR="00D42D2B" w:rsidRPr="00D42D2B" w:rsidRDefault="004866AB" w:rsidP="004866AB">
      <w:pPr>
        <w:ind w:left="1134" w:hanging="567"/>
        <w:jc w:val="both"/>
        <w:rPr>
          <w:rFonts w:ascii="Arial" w:hAnsi="Arial" w:cs="Arial"/>
          <w:bCs/>
          <w:sz w:val="22"/>
          <w:szCs w:val="22"/>
          <w:lang w:val="fr-FR"/>
        </w:rPr>
      </w:pPr>
      <w:r>
        <w:rPr>
          <w:rFonts w:ascii="Arial" w:hAnsi="Arial" w:cs="Arial"/>
          <w:bCs/>
          <w:sz w:val="22"/>
          <w:szCs w:val="22"/>
          <w:lang w:val="fr-FR"/>
        </w:rPr>
        <w:br w:type="page"/>
      </w:r>
    </w:p>
    <w:p w14:paraId="4813FF65" w14:textId="77777777" w:rsidR="00D42D2B" w:rsidRPr="00D42D2B" w:rsidRDefault="00D42D2B" w:rsidP="004866AB">
      <w:pPr>
        <w:ind w:left="567" w:hanging="567"/>
        <w:jc w:val="both"/>
        <w:rPr>
          <w:rFonts w:ascii="Arial" w:hAnsi="Arial" w:cs="Arial"/>
          <w:bCs/>
          <w:sz w:val="22"/>
          <w:szCs w:val="22"/>
          <w:lang w:val="fr-FR"/>
        </w:rPr>
      </w:pPr>
      <w:r w:rsidRPr="00D42D2B">
        <w:rPr>
          <w:rFonts w:ascii="Arial" w:hAnsi="Arial" w:cs="Arial"/>
          <w:bCs/>
          <w:sz w:val="22"/>
          <w:szCs w:val="22"/>
          <w:lang w:val="fr-FR"/>
        </w:rPr>
        <w:lastRenderedPageBreak/>
        <w:t>11.</w:t>
      </w:r>
      <w:r w:rsidRPr="00D42D2B">
        <w:rPr>
          <w:rFonts w:ascii="Arial" w:hAnsi="Arial" w:cs="Arial"/>
          <w:bCs/>
          <w:sz w:val="22"/>
          <w:szCs w:val="22"/>
          <w:lang w:val="fr-FR"/>
        </w:rPr>
        <w:tab/>
        <w:t>Les exemples potentiels d’utilisation de cet outil incluent :</w:t>
      </w:r>
    </w:p>
    <w:p w14:paraId="4239A7B3" w14:textId="77777777" w:rsidR="00D42D2B" w:rsidRPr="00D42D2B" w:rsidRDefault="00D42D2B" w:rsidP="00D42D2B">
      <w:pPr>
        <w:jc w:val="both"/>
        <w:rPr>
          <w:rFonts w:ascii="Arial" w:hAnsi="Arial" w:cs="Arial"/>
          <w:bCs/>
          <w:sz w:val="22"/>
          <w:szCs w:val="22"/>
          <w:lang w:val="fr-FR"/>
        </w:rPr>
      </w:pPr>
    </w:p>
    <w:p w14:paraId="38E347FB" w14:textId="2A889B0F"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a)</w:t>
      </w:r>
      <w:r w:rsidRPr="00D42D2B">
        <w:rPr>
          <w:rFonts w:ascii="Arial" w:hAnsi="Arial" w:cs="Arial"/>
          <w:bCs/>
          <w:sz w:val="22"/>
          <w:szCs w:val="22"/>
          <w:lang w:val="fr-FR"/>
        </w:rPr>
        <w:tab/>
      </w:r>
      <w:r w:rsidR="004866AB">
        <w:rPr>
          <w:rFonts w:ascii="Arial" w:hAnsi="Arial" w:cs="Arial"/>
          <w:bCs/>
          <w:sz w:val="22"/>
          <w:szCs w:val="22"/>
          <w:lang w:val="fr-FR"/>
        </w:rPr>
        <w:t>l</w:t>
      </w:r>
      <w:r w:rsidRPr="00D42D2B">
        <w:rPr>
          <w:rFonts w:ascii="Arial" w:hAnsi="Arial" w:cs="Arial"/>
          <w:bCs/>
          <w:sz w:val="22"/>
          <w:szCs w:val="22"/>
          <w:lang w:val="fr-FR"/>
        </w:rPr>
        <w:t xml:space="preserve">'identification des Signataires et des États de l’aire de répartition dont la collaboration peut être essentielle à travers une action concertée ou l’adhésion au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étant donné le niveau d’exploitation d’espèces spécifiques inscrites sur la liste des priorités de conservation ou de recherche.</w:t>
      </w:r>
    </w:p>
    <w:p w14:paraId="024D4CBE" w14:textId="77777777" w:rsidR="00D42D2B" w:rsidRPr="00D42D2B" w:rsidRDefault="00D42D2B" w:rsidP="004866AB">
      <w:pPr>
        <w:ind w:left="1134" w:hanging="567"/>
        <w:jc w:val="both"/>
        <w:rPr>
          <w:rFonts w:ascii="Arial" w:hAnsi="Arial" w:cs="Arial"/>
          <w:bCs/>
          <w:sz w:val="22"/>
          <w:szCs w:val="22"/>
          <w:lang w:val="fr-FR"/>
        </w:rPr>
      </w:pPr>
    </w:p>
    <w:p w14:paraId="6A85BF5B" w14:textId="12428D53"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b)</w:t>
      </w:r>
      <w:r w:rsidRPr="00D42D2B">
        <w:rPr>
          <w:rFonts w:ascii="Arial" w:hAnsi="Arial" w:cs="Arial"/>
          <w:bCs/>
          <w:sz w:val="22"/>
          <w:szCs w:val="22"/>
          <w:lang w:val="fr-FR"/>
        </w:rPr>
        <w:tab/>
      </w:r>
      <w:r w:rsidR="004866AB">
        <w:rPr>
          <w:rFonts w:ascii="Arial" w:hAnsi="Arial" w:cs="Arial"/>
          <w:bCs/>
          <w:sz w:val="22"/>
          <w:szCs w:val="22"/>
          <w:lang w:val="fr-FR"/>
        </w:rPr>
        <w:t>l</w:t>
      </w:r>
      <w:r w:rsidRPr="00D42D2B">
        <w:rPr>
          <w:rFonts w:ascii="Arial" w:hAnsi="Arial" w:cs="Arial"/>
          <w:bCs/>
          <w:sz w:val="22"/>
          <w:szCs w:val="22"/>
          <w:lang w:val="fr-FR"/>
        </w:rPr>
        <w:t>'identification des régions et Signataires où le renforcement des capacités est le plus nécessaire pour améliorer la communication des données spécifiques aux espèces.</w:t>
      </w:r>
    </w:p>
    <w:p w14:paraId="280AF7F4" w14:textId="77777777" w:rsidR="00D42D2B" w:rsidRPr="00D42D2B" w:rsidRDefault="00D42D2B" w:rsidP="00D42D2B">
      <w:pPr>
        <w:jc w:val="both"/>
        <w:rPr>
          <w:rFonts w:ascii="Arial" w:hAnsi="Arial" w:cs="Arial"/>
          <w:bCs/>
          <w:sz w:val="22"/>
          <w:szCs w:val="22"/>
          <w:lang w:val="fr-FR"/>
        </w:rPr>
      </w:pPr>
    </w:p>
    <w:p w14:paraId="47D719B7" w14:textId="77777777" w:rsidR="00D42D2B" w:rsidRPr="00D42D2B" w:rsidRDefault="00D42D2B" w:rsidP="00D42D2B">
      <w:pPr>
        <w:jc w:val="both"/>
        <w:rPr>
          <w:rFonts w:ascii="Arial" w:hAnsi="Arial" w:cs="Arial"/>
          <w:b/>
          <w:sz w:val="22"/>
          <w:szCs w:val="22"/>
          <w:u w:val="single"/>
          <w:lang w:val="fr-FR"/>
        </w:rPr>
      </w:pPr>
      <w:r w:rsidRPr="00D42D2B">
        <w:rPr>
          <w:rFonts w:ascii="Arial" w:hAnsi="Arial" w:cs="Arial"/>
          <w:b/>
          <w:sz w:val="22"/>
          <w:szCs w:val="22"/>
          <w:u w:val="single"/>
          <w:lang w:val="fr-FR"/>
        </w:rPr>
        <w:t>Action requise :</w:t>
      </w:r>
    </w:p>
    <w:p w14:paraId="220265A9" w14:textId="77777777" w:rsidR="00D42D2B" w:rsidRPr="00D42D2B" w:rsidRDefault="00D42D2B" w:rsidP="00D42D2B">
      <w:pPr>
        <w:jc w:val="both"/>
        <w:rPr>
          <w:rFonts w:ascii="Arial" w:hAnsi="Arial" w:cs="Arial"/>
          <w:bCs/>
          <w:sz w:val="22"/>
          <w:szCs w:val="22"/>
          <w:lang w:val="fr-FR"/>
        </w:rPr>
      </w:pPr>
    </w:p>
    <w:p w14:paraId="5102D89D" w14:textId="23CF7E10" w:rsidR="00D42D2B" w:rsidRPr="00D42D2B" w:rsidRDefault="00D42D2B" w:rsidP="004866AB">
      <w:pPr>
        <w:ind w:left="567" w:hanging="567"/>
        <w:jc w:val="both"/>
        <w:rPr>
          <w:rFonts w:ascii="Arial" w:hAnsi="Arial" w:cs="Arial"/>
          <w:bCs/>
          <w:sz w:val="22"/>
          <w:szCs w:val="22"/>
          <w:lang w:val="fr-FR"/>
        </w:rPr>
      </w:pPr>
      <w:r w:rsidRPr="00D42D2B">
        <w:rPr>
          <w:rFonts w:ascii="Arial" w:hAnsi="Arial" w:cs="Arial"/>
          <w:bCs/>
          <w:sz w:val="22"/>
          <w:szCs w:val="22"/>
          <w:lang w:val="fr-FR"/>
        </w:rPr>
        <w:t>12.</w:t>
      </w:r>
      <w:r w:rsidRPr="00D42D2B">
        <w:rPr>
          <w:rFonts w:ascii="Arial" w:hAnsi="Arial" w:cs="Arial"/>
          <w:bCs/>
          <w:sz w:val="22"/>
          <w:szCs w:val="22"/>
          <w:lang w:val="fr-FR"/>
        </w:rPr>
        <w:tab/>
      </w:r>
      <w:r>
        <w:rPr>
          <w:rFonts w:ascii="Arial" w:hAnsi="Arial" w:cs="Arial"/>
          <w:bCs/>
          <w:sz w:val="22"/>
          <w:szCs w:val="22"/>
          <w:lang w:val="fr-FR"/>
        </w:rPr>
        <w:t>Il est demandé à la réunion :</w:t>
      </w:r>
    </w:p>
    <w:p w14:paraId="753CDF2A" w14:textId="77777777" w:rsidR="00D42D2B" w:rsidRPr="00D42D2B" w:rsidRDefault="00D42D2B" w:rsidP="00D42D2B">
      <w:pPr>
        <w:jc w:val="both"/>
        <w:rPr>
          <w:rFonts w:ascii="Arial" w:hAnsi="Arial" w:cs="Arial"/>
          <w:bCs/>
          <w:sz w:val="22"/>
          <w:szCs w:val="22"/>
          <w:lang w:val="fr-FR"/>
        </w:rPr>
      </w:pPr>
    </w:p>
    <w:p w14:paraId="3B4A502F" w14:textId="01241364"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a)</w:t>
      </w:r>
      <w:r w:rsidRPr="00D42D2B">
        <w:rPr>
          <w:rFonts w:ascii="Arial" w:hAnsi="Arial" w:cs="Arial"/>
          <w:bCs/>
          <w:sz w:val="22"/>
          <w:szCs w:val="22"/>
          <w:lang w:val="fr-FR"/>
        </w:rPr>
        <w:tab/>
      </w:r>
      <w:r>
        <w:rPr>
          <w:rFonts w:ascii="Arial" w:hAnsi="Arial" w:cs="Arial"/>
          <w:bCs/>
          <w:sz w:val="22"/>
          <w:szCs w:val="22"/>
          <w:lang w:val="fr-FR"/>
        </w:rPr>
        <w:t>de p</w:t>
      </w:r>
      <w:r w:rsidRPr="00D42D2B">
        <w:rPr>
          <w:rFonts w:ascii="Arial" w:hAnsi="Arial" w:cs="Arial"/>
          <w:bCs/>
          <w:sz w:val="22"/>
          <w:szCs w:val="22"/>
          <w:lang w:val="fr-FR"/>
        </w:rPr>
        <w:t>rendre note de l’analyse fournie dans l’Annexe 1 et faire des observations ;</w:t>
      </w:r>
    </w:p>
    <w:p w14:paraId="2CF2F3B7" w14:textId="77777777" w:rsidR="00D42D2B" w:rsidRPr="00D42D2B" w:rsidRDefault="00D42D2B" w:rsidP="004866AB">
      <w:pPr>
        <w:ind w:left="1134" w:hanging="567"/>
        <w:jc w:val="both"/>
        <w:rPr>
          <w:rFonts w:ascii="Arial" w:hAnsi="Arial" w:cs="Arial"/>
          <w:bCs/>
          <w:sz w:val="22"/>
          <w:szCs w:val="22"/>
          <w:lang w:val="fr-FR"/>
        </w:rPr>
      </w:pPr>
    </w:p>
    <w:p w14:paraId="7F7C88BF" w14:textId="3B01A28C"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b)</w:t>
      </w:r>
      <w:r w:rsidRPr="00D42D2B">
        <w:rPr>
          <w:rFonts w:ascii="Arial" w:hAnsi="Arial" w:cs="Arial"/>
          <w:bCs/>
          <w:sz w:val="22"/>
          <w:szCs w:val="22"/>
          <w:lang w:val="fr-FR"/>
        </w:rPr>
        <w:tab/>
      </w:r>
      <w:r>
        <w:rPr>
          <w:rFonts w:ascii="Arial" w:hAnsi="Arial" w:cs="Arial"/>
          <w:bCs/>
          <w:sz w:val="22"/>
          <w:szCs w:val="22"/>
          <w:lang w:val="fr-FR"/>
        </w:rPr>
        <w:t>d’e</w:t>
      </w:r>
      <w:r w:rsidRPr="00D42D2B">
        <w:rPr>
          <w:rFonts w:ascii="Arial" w:hAnsi="Arial" w:cs="Arial"/>
          <w:bCs/>
          <w:sz w:val="22"/>
          <w:szCs w:val="22"/>
          <w:lang w:val="fr-FR"/>
        </w:rPr>
        <w:t xml:space="preserve">xaminer et discuter le projet de document « </w:t>
      </w:r>
      <w:proofErr w:type="spellStart"/>
      <w:r w:rsidRPr="00D42D2B">
        <w:rPr>
          <w:rFonts w:ascii="Arial" w:hAnsi="Arial" w:cs="Arial"/>
          <w:bCs/>
          <w:sz w:val="22"/>
          <w:szCs w:val="22"/>
          <w:lang w:val="fr-FR"/>
        </w:rPr>
        <w:t>Outcome</w:t>
      </w:r>
      <w:proofErr w:type="spellEnd"/>
      <w:r w:rsidRPr="00D42D2B">
        <w:rPr>
          <w:rFonts w:ascii="Arial" w:hAnsi="Arial" w:cs="Arial"/>
          <w:bCs/>
          <w:sz w:val="22"/>
          <w:szCs w:val="22"/>
          <w:lang w:val="fr-FR"/>
        </w:rPr>
        <w:t xml:space="preserve"> 4.x » (Annexe 2) et convenir de la version finale des « Recommandations aux Signataires pour améliorer la communication des données de débarquement des espèces inscrites à l’Annexe 1 du </w:t>
      </w:r>
      <w:proofErr w:type="spellStart"/>
      <w:r w:rsidRPr="00D42D2B">
        <w:rPr>
          <w:rFonts w:ascii="Arial" w:hAnsi="Arial" w:cs="Arial"/>
          <w:bCs/>
          <w:sz w:val="22"/>
          <w:szCs w:val="22"/>
          <w:lang w:val="fr-FR"/>
        </w:rPr>
        <w:t>MdE</w:t>
      </w:r>
      <w:proofErr w:type="spellEnd"/>
      <w:r w:rsidRPr="00D42D2B">
        <w:rPr>
          <w:rFonts w:ascii="Arial" w:hAnsi="Arial" w:cs="Arial"/>
          <w:bCs/>
          <w:sz w:val="22"/>
          <w:szCs w:val="22"/>
          <w:lang w:val="fr-FR"/>
        </w:rPr>
        <w:t xml:space="preserve"> requins » ;</w:t>
      </w:r>
    </w:p>
    <w:p w14:paraId="6796FC59" w14:textId="77777777" w:rsidR="00D42D2B" w:rsidRPr="00D42D2B" w:rsidRDefault="00D42D2B" w:rsidP="004866AB">
      <w:pPr>
        <w:ind w:left="1134" w:hanging="567"/>
        <w:jc w:val="both"/>
        <w:rPr>
          <w:rFonts w:ascii="Arial" w:hAnsi="Arial" w:cs="Arial"/>
          <w:bCs/>
          <w:sz w:val="22"/>
          <w:szCs w:val="22"/>
          <w:lang w:val="fr-FR"/>
        </w:rPr>
      </w:pPr>
    </w:p>
    <w:p w14:paraId="265BD101" w14:textId="7E1F4798" w:rsidR="00D42D2B" w:rsidRPr="00D42D2B"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c)</w:t>
      </w:r>
      <w:r w:rsidRPr="00D42D2B">
        <w:rPr>
          <w:rFonts w:ascii="Arial" w:hAnsi="Arial" w:cs="Arial"/>
          <w:bCs/>
          <w:sz w:val="22"/>
          <w:szCs w:val="22"/>
          <w:lang w:val="fr-FR"/>
        </w:rPr>
        <w:tab/>
      </w:r>
      <w:r>
        <w:rPr>
          <w:rFonts w:ascii="Arial" w:hAnsi="Arial" w:cs="Arial"/>
          <w:bCs/>
          <w:sz w:val="22"/>
          <w:szCs w:val="22"/>
          <w:lang w:val="fr-FR"/>
        </w:rPr>
        <w:t>d’e</w:t>
      </w:r>
      <w:r w:rsidRPr="00D42D2B">
        <w:rPr>
          <w:rFonts w:ascii="Arial" w:hAnsi="Arial" w:cs="Arial"/>
          <w:bCs/>
          <w:sz w:val="22"/>
          <w:szCs w:val="22"/>
          <w:lang w:val="fr-FR"/>
        </w:rPr>
        <w:t>xaminer et approuver une version finale des projets de décisions de la réunion à l’Annexe 3 du présent document ;</w:t>
      </w:r>
    </w:p>
    <w:p w14:paraId="2B6DD1B5" w14:textId="77777777" w:rsidR="00D42D2B" w:rsidRPr="00D42D2B" w:rsidRDefault="00D42D2B" w:rsidP="004866AB">
      <w:pPr>
        <w:ind w:left="1134" w:hanging="567"/>
        <w:jc w:val="both"/>
        <w:rPr>
          <w:rFonts w:ascii="Arial" w:hAnsi="Arial" w:cs="Arial"/>
          <w:bCs/>
          <w:sz w:val="22"/>
          <w:szCs w:val="22"/>
          <w:lang w:val="fr-FR"/>
        </w:rPr>
      </w:pPr>
    </w:p>
    <w:p w14:paraId="40D2035A" w14:textId="1BC4C57A" w:rsidR="00627A42" w:rsidRDefault="00D42D2B" w:rsidP="004866AB">
      <w:pPr>
        <w:ind w:left="1134" w:hanging="567"/>
        <w:jc w:val="both"/>
        <w:rPr>
          <w:rFonts w:ascii="Arial" w:hAnsi="Arial" w:cs="Arial"/>
          <w:bCs/>
          <w:sz w:val="22"/>
          <w:szCs w:val="22"/>
          <w:lang w:val="fr-FR"/>
        </w:rPr>
      </w:pPr>
      <w:r w:rsidRPr="00D42D2B">
        <w:rPr>
          <w:rFonts w:ascii="Arial" w:hAnsi="Arial" w:cs="Arial"/>
          <w:bCs/>
          <w:sz w:val="22"/>
          <w:szCs w:val="22"/>
          <w:lang w:val="fr-FR"/>
        </w:rPr>
        <w:t>d)</w:t>
      </w:r>
      <w:r w:rsidRPr="00D42D2B">
        <w:rPr>
          <w:rFonts w:ascii="Arial" w:hAnsi="Arial" w:cs="Arial"/>
          <w:bCs/>
          <w:sz w:val="22"/>
          <w:szCs w:val="22"/>
          <w:lang w:val="fr-FR"/>
        </w:rPr>
        <w:tab/>
      </w:r>
      <w:r>
        <w:rPr>
          <w:rFonts w:ascii="Arial" w:hAnsi="Arial" w:cs="Arial"/>
          <w:bCs/>
          <w:sz w:val="22"/>
          <w:szCs w:val="22"/>
          <w:lang w:val="fr-FR"/>
        </w:rPr>
        <w:t>d’e</w:t>
      </w:r>
      <w:r w:rsidRPr="00D42D2B">
        <w:rPr>
          <w:rFonts w:ascii="Arial" w:hAnsi="Arial" w:cs="Arial"/>
          <w:bCs/>
          <w:sz w:val="22"/>
          <w:szCs w:val="22"/>
          <w:lang w:val="fr-FR"/>
        </w:rPr>
        <w:t>xaminer les projets d’activités présentés à l’Annexe 4 du présent document et envisager de les inclure dans le Programme de travail 2023-2025.</w:t>
      </w:r>
    </w:p>
    <w:p w14:paraId="01A1D53A" w14:textId="77777777" w:rsidR="00D42D2B" w:rsidRDefault="00D42D2B" w:rsidP="004866AB">
      <w:pPr>
        <w:ind w:left="1134" w:hanging="567"/>
        <w:jc w:val="both"/>
        <w:rPr>
          <w:rFonts w:ascii="Arial" w:hAnsi="Arial" w:cs="Arial"/>
          <w:bCs/>
          <w:sz w:val="22"/>
          <w:szCs w:val="22"/>
          <w:lang w:val="fr-FR"/>
        </w:rPr>
        <w:sectPr w:rsidR="00D42D2B" w:rsidSect="004B1BDD">
          <w:headerReference w:type="even" r:id="rId15"/>
          <w:headerReference w:type="default" r:id="rId16"/>
          <w:footerReference w:type="even" r:id="rId17"/>
          <w:footerReference w:type="default" r:id="rId18"/>
          <w:pgSz w:w="11906" w:h="16838" w:code="9"/>
          <w:pgMar w:top="1440" w:right="1440" w:bottom="1440" w:left="1440" w:header="720" w:footer="720" w:gutter="0"/>
          <w:cols w:space="720"/>
          <w:titlePg/>
          <w:docGrid w:linePitch="360"/>
        </w:sectPr>
      </w:pPr>
    </w:p>
    <w:p w14:paraId="5BBA49EF" w14:textId="65029C20" w:rsidR="00D42D2B" w:rsidRDefault="00D42D2B" w:rsidP="00D42D2B">
      <w:pPr>
        <w:pStyle w:val="Heading1"/>
        <w:spacing w:before="0"/>
        <w:jc w:val="right"/>
        <w:rPr>
          <w:rFonts w:ascii="Arial" w:hAnsi="Arial" w:cs="Arial"/>
          <w:b/>
          <w:bCs/>
          <w:color w:val="auto"/>
          <w:sz w:val="22"/>
          <w:szCs w:val="22"/>
          <w:lang w:val="fr-FR"/>
        </w:rPr>
      </w:pPr>
      <w:r>
        <w:rPr>
          <w:rFonts w:ascii="Arial" w:hAnsi="Arial" w:cs="Arial"/>
          <w:b/>
          <w:bCs/>
          <w:color w:val="auto"/>
          <w:sz w:val="22"/>
          <w:szCs w:val="22"/>
          <w:lang w:val="fr-FR"/>
        </w:rPr>
        <w:lastRenderedPageBreak/>
        <w:t>ANNEXE 1</w:t>
      </w:r>
    </w:p>
    <w:p w14:paraId="3A6350FB" w14:textId="77777777" w:rsidR="00D42D2B" w:rsidRDefault="00D42D2B" w:rsidP="00D42D2B">
      <w:pPr>
        <w:pStyle w:val="Heading1"/>
        <w:spacing w:before="0"/>
        <w:jc w:val="center"/>
        <w:rPr>
          <w:rFonts w:ascii="Arial" w:hAnsi="Arial" w:cs="Arial"/>
          <w:b/>
          <w:bCs/>
          <w:color w:val="auto"/>
          <w:sz w:val="22"/>
          <w:szCs w:val="22"/>
          <w:lang w:val="fr-FR"/>
        </w:rPr>
      </w:pPr>
    </w:p>
    <w:p w14:paraId="6F454C05" w14:textId="14B33775" w:rsidR="00D42D2B" w:rsidRPr="00D42D2B" w:rsidRDefault="00D42D2B" w:rsidP="00D42D2B">
      <w:pPr>
        <w:pStyle w:val="Heading1"/>
        <w:spacing w:before="0"/>
        <w:jc w:val="center"/>
        <w:rPr>
          <w:rFonts w:ascii="Arial" w:hAnsi="Arial" w:cs="Arial"/>
          <w:b/>
          <w:bCs/>
          <w:color w:val="auto"/>
          <w:sz w:val="22"/>
          <w:szCs w:val="22"/>
          <w:lang w:val="fr-FR"/>
        </w:rPr>
      </w:pPr>
      <w:r w:rsidRPr="00D42D2B">
        <w:rPr>
          <w:rFonts w:ascii="Arial" w:hAnsi="Arial" w:cs="Arial"/>
          <w:b/>
          <w:bCs/>
          <w:color w:val="auto"/>
          <w:sz w:val="22"/>
          <w:szCs w:val="22"/>
          <w:lang w:val="fr-FR"/>
        </w:rPr>
        <w:t>AMÉLIORATION DE LA COMMUNICATION DES DONNÉES DE DÉBARQUEMENT POUR LES ESPÈCES INSCRITES À L’ANNEXE 1 « ANALYSE DES DÉBARQUEMENTS NOMINAUX TELS QUE COMMUNIQUÉS À LA FAO (2015-2019) »</w:t>
      </w:r>
    </w:p>
    <w:p w14:paraId="508255F3" w14:textId="77777777" w:rsidR="00D42D2B" w:rsidRPr="00D42D2B" w:rsidRDefault="00D42D2B" w:rsidP="00D42D2B">
      <w:pPr>
        <w:ind w:right="252"/>
        <w:jc w:val="center"/>
        <w:rPr>
          <w:rFonts w:ascii="Arial" w:hAnsi="Arial" w:cs="Arial"/>
          <w:b/>
          <w:bCs/>
          <w:sz w:val="22"/>
          <w:szCs w:val="22"/>
          <w:lang w:val="fr-FR"/>
        </w:rPr>
      </w:pPr>
    </w:p>
    <w:p w14:paraId="3328281D" w14:textId="77777777" w:rsidR="00D42D2B" w:rsidRPr="00D42D2B" w:rsidRDefault="00D42D2B" w:rsidP="00D42D2B">
      <w:pPr>
        <w:ind w:right="252"/>
        <w:rPr>
          <w:rFonts w:ascii="Arial" w:hAnsi="Arial" w:cs="Arial"/>
          <w:sz w:val="22"/>
          <w:szCs w:val="22"/>
          <w:lang w:val="pt-PT"/>
        </w:rPr>
      </w:pPr>
      <w:proofErr w:type="spellStart"/>
      <w:proofErr w:type="gramStart"/>
      <w:r w:rsidRPr="00D42D2B">
        <w:rPr>
          <w:rFonts w:ascii="Arial" w:hAnsi="Arial" w:cs="Arial"/>
          <w:b/>
          <w:bCs/>
          <w:sz w:val="22"/>
          <w:szCs w:val="22"/>
          <w:lang w:val="pt-PT"/>
        </w:rPr>
        <w:t>Auteurs</w:t>
      </w:r>
      <w:proofErr w:type="spellEnd"/>
      <w:r w:rsidRPr="00D42D2B">
        <w:rPr>
          <w:rFonts w:ascii="Arial" w:hAnsi="Arial" w:cs="Arial"/>
          <w:b/>
          <w:bCs/>
          <w:sz w:val="22"/>
          <w:szCs w:val="22"/>
          <w:lang w:val="pt-PT"/>
        </w:rPr>
        <w:t xml:space="preserve"> :</w:t>
      </w:r>
      <w:proofErr w:type="gramEnd"/>
      <w:r w:rsidRPr="00D42D2B">
        <w:rPr>
          <w:rFonts w:ascii="Arial" w:hAnsi="Arial" w:cs="Arial"/>
          <w:sz w:val="22"/>
          <w:szCs w:val="22"/>
          <w:lang w:val="pt-PT"/>
        </w:rPr>
        <w:t xml:space="preserve"> Maria Pozo-Montoro, </w:t>
      </w:r>
      <w:proofErr w:type="spellStart"/>
      <w:r w:rsidRPr="00D42D2B">
        <w:rPr>
          <w:rFonts w:ascii="Arial" w:hAnsi="Arial" w:cs="Arial"/>
          <w:sz w:val="22"/>
          <w:szCs w:val="22"/>
          <w:lang w:val="pt-PT"/>
        </w:rPr>
        <w:t>Mario</w:t>
      </w:r>
      <w:proofErr w:type="spellEnd"/>
      <w:r w:rsidRPr="00D42D2B">
        <w:rPr>
          <w:rFonts w:ascii="Arial" w:hAnsi="Arial" w:cs="Arial"/>
          <w:sz w:val="22"/>
          <w:szCs w:val="22"/>
          <w:lang w:val="pt-PT"/>
        </w:rPr>
        <w:t xml:space="preserve"> Espinoza, Rima W. </w:t>
      </w:r>
      <w:proofErr w:type="spellStart"/>
      <w:r w:rsidRPr="00D42D2B">
        <w:rPr>
          <w:rFonts w:ascii="Arial" w:hAnsi="Arial" w:cs="Arial"/>
          <w:sz w:val="22"/>
          <w:szCs w:val="22"/>
          <w:lang w:val="pt-PT"/>
        </w:rPr>
        <w:t>Jabado</w:t>
      </w:r>
      <w:proofErr w:type="spellEnd"/>
      <w:r w:rsidRPr="00D42D2B">
        <w:rPr>
          <w:rFonts w:ascii="Arial" w:hAnsi="Arial" w:cs="Arial"/>
          <w:sz w:val="22"/>
          <w:szCs w:val="22"/>
          <w:lang w:val="pt-PT"/>
        </w:rPr>
        <w:t xml:space="preserve">, John K. </w:t>
      </w:r>
      <w:proofErr w:type="spellStart"/>
      <w:r w:rsidRPr="00D42D2B">
        <w:rPr>
          <w:rFonts w:ascii="Arial" w:hAnsi="Arial" w:cs="Arial"/>
          <w:sz w:val="22"/>
          <w:szCs w:val="22"/>
          <w:lang w:val="pt-PT"/>
        </w:rPr>
        <w:t>Carlson</w:t>
      </w:r>
      <w:proofErr w:type="spellEnd"/>
      <w:r w:rsidRPr="00D42D2B">
        <w:rPr>
          <w:rFonts w:ascii="Arial" w:hAnsi="Arial" w:cs="Arial"/>
          <w:sz w:val="22"/>
          <w:szCs w:val="22"/>
          <w:lang w:val="pt-PT"/>
        </w:rPr>
        <w:t xml:space="preserve">, James R. </w:t>
      </w:r>
      <w:proofErr w:type="spellStart"/>
      <w:r w:rsidRPr="00D42D2B">
        <w:rPr>
          <w:rFonts w:ascii="Arial" w:hAnsi="Arial" w:cs="Arial"/>
          <w:sz w:val="22"/>
          <w:szCs w:val="22"/>
          <w:lang w:val="pt-PT"/>
        </w:rPr>
        <w:t>Ellis</w:t>
      </w:r>
      <w:proofErr w:type="spellEnd"/>
    </w:p>
    <w:p w14:paraId="2697BC66" w14:textId="77777777" w:rsidR="00D42D2B" w:rsidRPr="00D42D2B" w:rsidRDefault="00D42D2B" w:rsidP="00D42D2B">
      <w:pPr>
        <w:ind w:right="252"/>
        <w:rPr>
          <w:rFonts w:ascii="Arial" w:hAnsi="Arial" w:cs="Arial"/>
          <w:b/>
          <w:bCs/>
          <w:sz w:val="22"/>
          <w:szCs w:val="22"/>
          <w:lang w:val="pt-PT"/>
        </w:rPr>
      </w:pPr>
    </w:p>
    <w:p w14:paraId="2623630F" w14:textId="77777777" w:rsidR="00D42D2B" w:rsidRPr="00D42D2B" w:rsidRDefault="00D42D2B" w:rsidP="00D42D2B">
      <w:pPr>
        <w:ind w:right="252"/>
        <w:rPr>
          <w:rFonts w:ascii="Arial" w:hAnsi="Arial" w:cs="Arial"/>
          <w:sz w:val="22"/>
          <w:szCs w:val="22"/>
          <w:lang w:val="fr-FR"/>
        </w:rPr>
      </w:pPr>
      <w:r w:rsidRPr="00D42D2B">
        <w:rPr>
          <w:rFonts w:ascii="Arial" w:hAnsi="Arial" w:cs="Arial"/>
          <w:b/>
          <w:bCs/>
          <w:sz w:val="22"/>
          <w:szCs w:val="22"/>
          <w:lang w:val="fr-FR"/>
        </w:rPr>
        <w:t>Informations supplémentaires</w:t>
      </w:r>
      <w:r w:rsidRPr="00D42D2B">
        <w:rPr>
          <w:rFonts w:ascii="Arial" w:hAnsi="Arial" w:cs="Arial"/>
          <w:sz w:val="22"/>
          <w:szCs w:val="22"/>
          <w:lang w:val="fr-FR"/>
        </w:rPr>
        <w:t xml:space="preserve"> : </w:t>
      </w:r>
      <w:hyperlink r:id="rId19" w:history="1">
        <w:r w:rsidRPr="00D42D2B">
          <w:rPr>
            <w:rStyle w:val="Hyperlink"/>
            <w:rFonts w:ascii="Arial" w:hAnsi="Arial" w:cs="Arial"/>
            <w:sz w:val="22"/>
            <w:szCs w:val="22"/>
            <w:lang w:val="fr-FR"/>
          </w:rPr>
          <w:t>https://github</w:t>
        </w:r>
      </w:hyperlink>
      <w:r w:rsidRPr="00D42D2B">
        <w:rPr>
          <w:rStyle w:val="Hyperlink"/>
          <w:rFonts w:ascii="Arial" w:hAnsi="Arial" w:cs="Arial"/>
          <w:sz w:val="22"/>
          <w:szCs w:val="22"/>
          <w:lang w:val="fr-FR"/>
        </w:rPr>
        <w:t>.com/mpozo-montoro/MOS4-Doc.10.6</w:t>
      </w:r>
    </w:p>
    <w:p w14:paraId="369BED4C" w14:textId="77777777" w:rsidR="00D42D2B" w:rsidRPr="00D42D2B" w:rsidRDefault="00D42D2B" w:rsidP="00D42D2B">
      <w:pPr>
        <w:pStyle w:val="Body"/>
        <w:spacing w:after="0" w:line="240" w:lineRule="auto"/>
        <w:jc w:val="both"/>
        <w:rPr>
          <w:rFonts w:ascii="Arial" w:hAnsi="Arial" w:cs="Arial"/>
          <w:b/>
          <w:bCs/>
          <w:sz w:val="22"/>
          <w:szCs w:val="22"/>
          <w:lang w:val="fr-FR"/>
        </w:rPr>
      </w:pPr>
    </w:p>
    <w:p w14:paraId="16EB54F4" w14:textId="77777777" w:rsidR="00D42D2B" w:rsidRPr="004866AB" w:rsidRDefault="00D42D2B" w:rsidP="00D42D2B">
      <w:pPr>
        <w:pStyle w:val="Heading2"/>
        <w:numPr>
          <w:ilvl w:val="0"/>
          <w:numId w:val="7"/>
        </w:numPr>
        <w:tabs>
          <w:tab w:val="num" w:pos="360"/>
        </w:tabs>
        <w:ind w:left="480" w:hanging="480"/>
        <w:rPr>
          <w:rFonts w:ascii="Arial" w:hAnsi="Arial" w:cs="Arial"/>
          <w:b/>
          <w:bCs/>
          <w:color w:val="auto"/>
          <w:sz w:val="22"/>
          <w:szCs w:val="22"/>
          <w:u w:val="single"/>
          <w:lang w:val="fr-FR"/>
        </w:rPr>
      </w:pPr>
      <w:bookmarkStart w:id="1" w:name="_Hlk122367583"/>
      <w:r w:rsidRPr="004866AB">
        <w:rPr>
          <w:rFonts w:ascii="Arial" w:hAnsi="Arial" w:cs="Arial"/>
          <w:b/>
          <w:bCs/>
          <w:color w:val="auto"/>
          <w:sz w:val="22"/>
          <w:szCs w:val="22"/>
          <w:u w:val="single"/>
          <w:lang w:val="fr-FR"/>
        </w:rPr>
        <w:t>Résumé analytique des principaux résultats et recommandations</w:t>
      </w:r>
    </w:p>
    <w:p w14:paraId="5D26CE09" w14:textId="77777777" w:rsidR="00D42D2B" w:rsidRPr="00D42D2B" w:rsidRDefault="00D42D2B" w:rsidP="00D42D2B">
      <w:pPr>
        <w:rPr>
          <w:rFonts w:ascii="Arial" w:hAnsi="Arial" w:cs="Arial"/>
          <w:sz w:val="22"/>
          <w:szCs w:val="22"/>
          <w:lang w:val="fr-FR"/>
        </w:rPr>
      </w:pPr>
    </w:p>
    <w:p w14:paraId="34BB0E5B" w14:textId="77777777" w:rsidR="00D42D2B" w:rsidRPr="00D42D2B" w:rsidRDefault="00D42D2B" w:rsidP="00D42D2B">
      <w:pPr>
        <w:widowControl/>
        <w:pBdr>
          <w:top w:val="nil"/>
          <w:left w:val="nil"/>
          <w:bottom w:val="nil"/>
          <w:right w:val="nil"/>
          <w:between w:val="nil"/>
          <w:bar w:val="nil"/>
        </w:pBdr>
        <w:autoSpaceDE/>
        <w:autoSpaceDN/>
        <w:adjustRightInd/>
        <w:jc w:val="both"/>
        <w:rPr>
          <w:rFonts w:ascii="Arial" w:hAnsi="Arial" w:cs="Arial"/>
          <w:sz w:val="22"/>
          <w:szCs w:val="22"/>
          <w:lang w:val="fr-FR"/>
        </w:rPr>
      </w:pPr>
      <w:r w:rsidRPr="00D42D2B">
        <w:rPr>
          <w:rFonts w:ascii="Arial" w:hAnsi="Arial" w:cs="Arial"/>
          <w:sz w:val="22"/>
          <w:szCs w:val="22"/>
          <w:lang w:val="fr-FR"/>
        </w:rPr>
        <w:t>Les principales conclusions de ces analyses et les recommandations connexes sont les suivantes :</w:t>
      </w:r>
    </w:p>
    <w:p w14:paraId="07227FCB" w14:textId="77777777" w:rsidR="00D42D2B" w:rsidRPr="00D42D2B" w:rsidRDefault="00D42D2B" w:rsidP="00D42D2B">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518D5434" w14:textId="77777777" w:rsidR="00D42D2B" w:rsidRPr="00D42D2B" w:rsidRDefault="00D42D2B" w:rsidP="00D42D2B">
      <w:pPr>
        <w:pStyle w:val="ListParagraph"/>
        <w:widowControl/>
        <w:numPr>
          <w:ilvl w:val="1"/>
          <w:numId w:val="6"/>
        </w:numPr>
        <w:pBdr>
          <w:top w:val="nil"/>
          <w:left w:val="nil"/>
          <w:bottom w:val="nil"/>
          <w:right w:val="nil"/>
          <w:between w:val="nil"/>
          <w:bar w:val="nil"/>
        </w:pBdr>
        <w:autoSpaceDE/>
        <w:autoSpaceDN/>
        <w:adjustRightInd/>
        <w:ind w:left="567" w:hanging="567"/>
        <w:contextualSpacing w:val="0"/>
        <w:jc w:val="both"/>
        <w:rPr>
          <w:rFonts w:ascii="Arial" w:hAnsi="Arial" w:cs="Arial"/>
          <w:sz w:val="22"/>
          <w:szCs w:val="22"/>
          <w:lang w:val="fr-FR"/>
        </w:rPr>
      </w:pPr>
      <w:r w:rsidRPr="00D42D2B">
        <w:rPr>
          <w:rFonts w:ascii="Arial" w:hAnsi="Arial" w:cs="Arial"/>
          <w:b/>
          <w:bCs/>
          <w:sz w:val="22"/>
          <w:szCs w:val="22"/>
          <w:lang w:val="fr-FR"/>
        </w:rPr>
        <w:t>Les statistiques de la FAO comportent toujours des rapports sur les espèces inscrites à l’Annexe I de la CMS pour nombre de Parties à la CMS.</w:t>
      </w:r>
      <w:r w:rsidRPr="00D42D2B">
        <w:rPr>
          <w:rFonts w:ascii="Arial" w:hAnsi="Arial" w:cs="Arial"/>
          <w:sz w:val="22"/>
          <w:szCs w:val="22"/>
          <w:lang w:val="fr-FR"/>
        </w:rPr>
        <w:t xml:space="preserve"> Des efforts supplémentaires devraient être déployés pour faire respecter l’interdiction requise de la prise</w:t>
      </w:r>
      <w:r w:rsidRPr="00D42D2B">
        <w:rPr>
          <w:rStyle w:val="FootnoteReference"/>
          <w:rFonts w:ascii="Arial" w:hAnsi="Arial" w:cs="Arial"/>
          <w:sz w:val="22"/>
          <w:szCs w:val="22"/>
          <w:lang w:val="fr-FR"/>
        </w:rPr>
        <w:footnoteReference w:id="2"/>
      </w:r>
      <w:r w:rsidRPr="00D42D2B">
        <w:rPr>
          <w:rFonts w:ascii="Arial" w:hAnsi="Arial" w:cs="Arial"/>
          <w:sz w:val="22"/>
          <w:szCs w:val="22"/>
          <w:lang w:val="fr-FR"/>
        </w:rPr>
        <w:t xml:space="preserve"> de ces espèces (qui peut inclure la pêche, la rétention, le transbordement, le débarquement ou la vente), et pour encourager la remise à l’eau sûre d’individus vivants des espèces figurant à l’Annexe I en cas de captures accidentelles. Voir la </w:t>
      </w:r>
      <w:hyperlink w:anchor="Section3" w:history="1">
        <w:r w:rsidRPr="00D42D2B">
          <w:rPr>
            <w:rStyle w:val="Hyperlink"/>
            <w:rFonts w:ascii="Arial" w:hAnsi="Arial" w:cs="Arial"/>
            <w:sz w:val="22"/>
            <w:szCs w:val="22"/>
            <w:lang w:val="fr-FR"/>
          </w:rPr>
          <w:t>Section 3</w:t>
        </w:r>
      </w:hyperlink>
      <w:r w:rsidRPr="00D42D2B">
        <w:rPr>
          <w:rFonts w:ascii="Arial" w:hAnsi="Arial" w:cs="Arial"/>
          <w:sz w:val="22"/>
          <w:szCs w:val="22"/>
          <w:lang w:val="fr-FR"/>
        </w:rPr>
        <w:t xml:space="preserve"> pour des recommandations </w:t>
      </w:r>
      <w:hyperlink w:anchor="Section3c" w:history="1">
        <w:r w:rsidRPr="00D42D2B">
          <w:rPr>
            <w:rStyle w:val="Hyperlink"/>
            <w:rFonts w:ascii="Arial" w:hAnsi="Arial" w:cs="Arial"/>
            <w:sz w:val="22"/>
            <w:szCs w:val="22"/>
            <w:lang w:val="fr-FR"/>
          </w:rPr>
          <w:t>et des informations plus spécifiques</w:t>
        </w:r>
      </w:hyperlink>
      <w:r w:rsidRPr="00D42D2B">
        <w:rPr>
          <w:rFonts w:ascii="Arial" w:hAnsi="Arial" w:cs="Arial"/>
          <w:sz w:val="22"/>
          <w:szCs w:val="22"/>
          <w:lang w:val="fr-FR"/>
        </w:rPr>
        <w:t>.</w:t>
      </w:r>
    </w:p>
    <w:p w14:paraId="35E43757" w14:textId="77777777" w:rsidR="00D42D2B" w:rsidRPr="00D42D2B" w:rsidRDefault="00D42D2B" w:rsidP="00D42D2B">
      <w:pPr>
        <w:pStyle w:val="ListParagraph"/>
        <w:widowControl/>
        <w:pBdr>
          <w:top w:val="nil"/>
          <w:left w:val="nil"/>
          <w:bottom w:val="nil"/>
          <w:right w:val="nil"/>
          <w:between w:val="nil"/>
          <w:bar w:val="nil"/>
        </w:pBdr>
        <w:autoSpaceDE/>
        <w:autoSpaceDN/>
        <w:adjustRightInd/>
        <w:ind w:left="567"/>
        <w:contextualSpacing w:val="0"/>
        <w:jc w:val="both"/>
        <w:rPr>
          <w:rFonts w:ascii="Arial" w:hAnsi="Arial" w:cs="Arial"/>
          <w:sz w:val="22"/>
          <w:szCs w:val="22"/>
          <w:lang w:val="fr-FR"/>
        </w:rPr>
      </w:pPr>
    </w:p>
    <w:p w14:paraId="0F2BE664" w14:textId="77777777" w:rsidR="00D42D2B" w:rsidRPr="00D42D2B" w:rsidRDefault="00D42D2B" w:rsidP="00D42D2B">
      <w:pPr>
        <w:pStyle w:val="ListParagraph"/>
        <w:widowControl/>
        <w:numPr>
          <w:ilvl w:val="1"/>
          <w:numId w:val="6"/>
        </w:numPr>
        <w:pBdr>
          <w:top w:val="nil"/>
          <w:left w:val="nil"/>
          <w:bottom w:val="nil"/>
          <w:right w:val="nil"/>
          <w:between w:val="nil"/>
          <w:bar w:val="nil"/>
        </w:pBdr>
        <w:autoSpaceDE/>
        <w:autoSpaceDN/>
        <w:adjustRightInd/>
        <w:ind w:left="567" w:hanging="567"/>
        <w:contextualSpacing w:val="0"/>
        <w:jc w:val="both"/>
        <w:rPr>
          <w:rFonts w:ascii="Arial" w:hAnsi="Arial" w:cs="Arial"/>
          <w:sz w:val="22"/>
          <w:szCs w:val="22"/>
          <w:lang w:val="fr-FR"/>
        </w:rPr>
      </w:pPr>
      <w:r w:rsidRPr="00D42D2B">
        <w:rPr>
          <w:rFonts w:ascii="Arial" w:hAnsi="Arial" w:cs="Arial"/>
          <w:b/>
          <w:bCs/>
          <w:sz w:val="22"/>
          <w:szCs w:val="22"/>
          <w:lang w:val="fr-FR"/>
        </w:rPr>
        <w:t xml:space="preserve">D’importantes quantités d’espèces de requins inscrites à l’Annexe 1 du </w:t>
      </w:r>
      <w:proofErr w:type="spellStart"/>
      <w:r w:rsidRPr="00D42D2B">
        <w:rPr>
          <w:rFonts w:ascii="Arial" w:hAnsi="Arial" w:cs="Arial"/>
          <w:b/>
          <w:bCs/>
          <w:sz w:val="22"/>
          <w:szCs w:val="22"/>
          <w:lang w:val="fr-FR"/>
        </w:rPr>
        <w:t>MdE</w:t>
      </w:r>
      <w:proofErr w:type="spellEnd"/>
      <w:r w:rsidRPr="00D42D2B">
        <w:rPr>
          <w:rFonts w:ascii="Arial" w:hAnsi="Arial" w:cs="Arial"/>
          <w:b/>
          <w:bCs/>
          <w:sz w:val="22"/>
          <w:szCs w:val="22"/>
          <w:lang w:val="fr-FR"/>
        </w:rPr>
        <w:t xml:space="preserve"> requins sont débarquées par les Signataires dont les flottes de pêche lointaine opèrent au-delà de la ou des principales zones de pêche de la FAO correspondant à leurs eaux </w:t>
      </w:r>
      <w:proofErr w:type="spellStart"/>
      <w:r w:rsidRPr="00D42D2B">
        <w:rPr>
          <w:rFonts w:ascii="Arial" w:hAnsi="Arial" w:cs="Arial"/>
          <w:b/>
          <w:bCs/>
          <w:sz w:val="22"/>
          <w:szCs w:val="22"/>
          <w:lang w:val="fr-FR"/>
        </w:rPr>
        <w:t>nationales.</w:t>
      </w:r>
      <w:r w:rsidRPr="00D42D2B">
        <w:rPr>
          <w:rFonts w:ascii="Arial" w:hAnsi="Arial" w:cs="Arial"/>
          <w:sz w:val="22"/>
          <w:szCs w:val="22"/>
          <w:lang w:val="fr-FR"/>
        </w:rPr>
        <w:t>Le</w:t>
      </w:r>
      <w:proofErr w:type="spellEnd"/>
      <w:r w:rsidRPr="00D42D2B">
        <w:rPr>
          <w:rFonts w:ascii="Arial" w:hAnsi="Arial" w:cs="Arial"/>
          <w:sz w:val="22"/>
          <w:szCs w:val="22"/>
          <w:lang w:val="fr-FR"/>
        </w:rPr>
        <w:t xml:space="preserve"> partage et la coordination des mesures de recherche et de conservation visant les priorités régionales identifiées par le Comité consultatif sont préconisés, non seulement par les Signataires de la région, mais aussi par les Signataires dont les flottes de pêche lointaine opèrent dans les eaux internationales et les eaux d’autres États de l’aire de répartition. Voir la </w:t>
      </w:r>
      <w:hyperlink w:anchor="Section4" w:history="1">
        <w:r w:rsidRPr="00D42D2B">
          <w:rPr>
            <w:rStyle w:val="Hyperlink"/>
            <w:rFonts w:ascii="Arial" w:hAnsi="Arial" w:cs="Arial"/>
            <w:sz w:val="22"/>
            <w:szCs w:val="22"/>
            <w:lang w:val="fr-FR"/>
          </w:rPr>
          <w:t>Section 4</w:t>
        </w:r>
      </w:hyperlink>
      <w:r w:rsidRPr="00D42D2B">
        <w:rPr>
          <w:rFonts w:ascii="Arial" w:hAnsi="Arial" w:cs="Arial"/>
          <w:sz w:val="22"/>
          <w:szCs w:val="22"/>
          <w:lang w:val="fr-FR"/>
        </w:rPr>
        <w:t xml:space="preserve"> pour des recommandations </w:t>
      </w:r>
      <w:hyperlink w:anchor="Section4c" w:history="1">
        <w:r w:rsidRPr="00D42D2B">
          <w:rPr>
            <w:rStyle w:val="Hyperlink"/>
            <w:rFonts w:ascii="Arial" w:hAnsi="Arial" w:cs="Arial"/>
            <w:sz w:val="22"/>
            <w:szCs w:val="22"/>
            <w:lang w:val="fr-FR"/>
          </w:rPr>
          <w:t>et des informations plus spécifiques</w:t>
        </w:r>
      </w:hyperlink>
      <w:r w:rsidRPr="00D42D2B">
        <w:rPr>
          <w:rFonts w:ascii="Arial" w:hAnsi="Arial" w:cs="Arial"/>
          <w:sz w:val="22"/>
          <w:szCs w:val="22"/>
          <w:lang w:val="fr-FR"/>
        </w:rPr>
        <w:t>.</w:t>
      </w:r>
    </w:p>
    <w:p w14:paraId="22323F61" w14:textId="77777777" w:rsidR="00D42D2B" w:rsidRPr="00D42D2B" w:rsidRDefault="00D42D2B" w:rsidP="00D42D2B">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7CB636CA" w14:textId="77777777" w:rsidR="00D42D2B" w:rsidRPr="00D42D2B" w:rsidRDefault="00D42D2B" w:rsidP="00D42D2B">
      <w:pPr>
        <w:pStyle w:val="ListParagraph"/>
        <w:widowControl/>
        <w:numPr>
          <w:ilvl w:val="1"/>
          <w:numId w:val="6"/>
        </w:numPr>
        <w:pBdr>
          <w:top w:val="nil"/>
          <w:left w:val="nil"/>
          <w:bottom w:val="nil"/>
          <w:right w:val="nil"/>
          <w:between w:val="nil"/>
          <w:bar w:val="nil"/>
        </w:pBdr>
        <w:autoSpaceDE/>
        <w:autoSpaceDN/>
        <w:adjustRightInd/>
        <w:ind w:left="567" w:hanging="567"/>
        <w:contextualSpacing w:val="0"/>
        <w:jc w:val="both"/>
        <w:rPr>
          <w:rFonts w:ascii="Arial" w:hAnsi="Arial" w:cs="Arial"/>
          <w:sz w:val="22"/>
          <w:szCs w:val="22"/>
          <w:lang w:val="fr-FR"/>
        </w:rPr>
      </w:pPr>
      <w:r w:rsidRPr="00D42D2B">
        <w:rPr>
          <w:rFonts w:ascii="Arial" w:hAnsi="Arial" w:cs="Arial"/>
          <w:b/>
          <w:bCs/>
          <w:sz w:val="22"/>
          <w:szCs w:val="22"/>
          <w:lang w:val="fr-FR"/>
        </w:rPr>
        <w:t xml:space="preserve">L’importance des espèces inscrites à l’Annexe I de la CMS et la proportion de débarquements génériques et agrégés étaient plus faibles pour les Signataires que pour les États de l’aire de répartition </w:t>
      </w:r>
      <w:proofErr w:type="gramStart"/>
      <w:r w:rsidRPr="00D42D2B">
        <w:rPr>
          <w:rFonts w:ascii="Arial" w:hAnsi="Arial" w:cs="Arial"/>
          <w:b/>
          <w:bCs/>
          <w:sz w:val="22"/>
          <w:szCs w:val="22"/>
          <w:lang w:val="fr-FR"/>
        </w:rPr>
        <w:t>non signataires</w:t>
      </w:r>
      <w:proofErr w:type="gramEnd"/>
      <w:r w:rsidRPr="00D42D2B">
        <w:rPr>
          <w:rFonts w:ascii="Arial" w:hAnsi="Arial" w:cs="Arial"/>
          <w:b/>
          <w:bCs/>
          <w:sz w:val="22"/>
          <w:szCs w:val="22"/>
          <w:lang w:val="fr-FR"/>
        </w:rPr>
        <w:t xml:space="preserve">. Dans le même temps, les débarquements déclarés d’espèces inscrites à l’Annexe 1 du </w:t>
      </w:r>
      <w:proofErr w:type="spellStart"/>
      <w:r w:rsidRPr="00D42D2B">
        <w:rPr>
          <w:rFonts w:ascii="Arial" w:hAnsi="Arial" w:cs="Arial"/>
          <w:b/>
          <w:bCs/>
          <w:sz w:val="22"/>
          <w:szCs w:val="22"/>
          <w:lang w:val="fr-FR"/>
        </w:rPr>
        <w:t>MdE</w:t>
      </w:r>
      <w:proofErr w:type="spellEnd"/>
      <w:r w:rsidRPr="00D42D2B">
        <w:rPr>
          <w:rFonts w:ascii="Arial" w:hAnsi="Arial" w:cs="Arial"/>
          <w:b/>
          <w:bCs/>
          <w:sz w:val="22"/>
          <w:szCs w:val="22"/>
          <w:lang w:val="fr-FR"/>
        </w:rPr>
        <w:t xml:space="preserve"> requins étaient légèrement plus élevés chez les </w:t>
      </w:r>
      <w:proofErr w:type="spellStart"/>
      <w:r w:rsidRPr="00D42D2B">
        <w:rPr>
          <w:rFonts w:ascii="Arial" w:hAnsi="Arial" w:cs="Arial"/>
          <w:b/>
          <w:bCs/>
          <w:sz w:val="22"/>
          <w:szCs w:val="22"/>
          <w:lang w:val="fr-FR"/>
        </w:rPr>
        <w:t>Signataires.</w:t>
      </w:r>
      <w:r w:rsidRPr="00D42D2B">
        <w:rPr>
          <w:rFonts w:ascii="Arial" w:hAnsi="Arial" w:cs="Arial"/>
          <w:sz w:val="22"/>
          <w:szCs w:val="22"/>
          <w:lang w:val="fr-FR"/>
        </w:rPr>
        <w:t>Les</w:t>
      </w:r>
      <w:proofErr w:type="spellEnd"/>
      <w:r w:rsidRPr="00D42D2B">
        <w:rPr>
          <w:rFonts w:ascii="Arial" w:hAnsi="Arial" w:cs="Arial"/>
          <w:sz w:val="22"/>
          <w:szCs w:val="22"/>
          <w:lang w:val="fr-FR"/>
        </w:rPr>
        <w:t xml:space="preserve"> Signataires devraient continuer à encourager les États de l’aire de répartition </w:t>
      </w:r>
      <w:proofErr w:type="gramStart"/>
      <w:r w:rsidRPr="00D42D2B">
        <w:rPr>
          <w:rFonts w:ascii="Arial" w:hAnsi="Arial" w:cs="Arial"/>
          <w:sz w:val="22"/>
          <w:szCs w:val="22"/>
          <w:lang w:val="fr-FR"/>
        </w:rPr>
        <w:t>non signataires</w:t>
      </w:r>
      <w:proofErr w:type="gramEnd"/>
      <w:r w:rsidRPr="00D42D2B">
        <w:rPr>
          <w:rFonts w:ascii="Arial" w:hAnsi="Arial" w:cs="Arial"/>
          <w:sz w:val="22"/>
          <w:szCs w:val="22"/>
          <w:lang w:val="fr-FR"/>
        </w:rPr>
        <w:t xml:space="preserve"> à signer le </w:t>
      </w:r>
      <w:proofErr w:type="spellStart"/>
      <w:r w:rsidRPr="00D42D2B">
        <w:rPr>
          <w:rFonts w:ascii="Arial" w:hAnsi="Arial" w:cs="Arial"/>
          <w:sz w:val="22"/>
          <w:szCs w:val="22"/>
          <w:lang w:val="fr-FR"/>
        </w:rPr>
        <w:t>MdE</w:t>
      </w:r>
      <w:proofErr w:type="spellEnd"/>
      <w:r w:rsidRPr="00D42D2B">
        <w:rPr>
          <w:rFonts w:ascii="Arial" w:hAnsi="Arial" w:cs="Arial"/>
          <w:sz w:val="22"/>
          <w:szCs w:val="22"/>
          <w:lang w:val="fr-FR"/>
        </w:rPr>
        <w:t xml:space="preserve"> requins afin d’améliorer la coordination des efforts de conservation et de gestion des espèces inscrites. Les Signataires sont également encouragés à continuer à travailler et à collaborer avec les États de l’aire de répartition, notamment à par le biais d'accords bilatéraux, d’actions concertées et des organismes régionaux des pêches (ORP) concernés, étant donné qu’ils se partagent la moitié des débarquements déclarés. Voir les sections 3 à 5 pour de plus amples informations.</w:t>
      </w:r>
    </w:p>
    <w:p w14:paraId="7560D951" w14:textId="77777777" w:rsidR="00D42D2B" w:rsidRPr="00D42D2B" w:rsidRDefault="00D42D2B" w:rsidP="00D42D2B">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1F7DF509" w14:textId="77777777" w:rsidR="00D42D2B" w:rsidRPr="00D42D2B" w:rsidRDefault="00D42D2B" w:rsidP="00D42D2B">
      <w:pPr>
        <w:pStyle w:val="ListParagraph"/>
        <w:widowControl/>
        <w:numPr>
          <w:ilvl w:val="1"/>
          <w:numId w:val="6"/>
        </w:numPr>
        <w:pBdr>
          <w:top w:val="nil"/>
          <w:left w:val="nil"/>
          <w:bottom w:val="nil"/>
          <w:right w:val="nil"/>
          <w:between w:val="nil"/>
          <w:bar w:val="nil"/>
        </w:pBdr>
        <w:autoSpaceDE/>
        <w:autoSpaceDN/>
        <w:adjustRightInd/>
        <w:ind w:left="567" w:hanging="567"/>
        <w:contextualSpacing w:val="0"/>
        <w:jc w:val="both"/>
        <w:rPr>
          <w:rFonts w:ascii="Arial" w:hAnsi="Arial" w:cs="Arial"/>
          <w:sz w:val="22"/>
          <w:szCs w:val="22"/>
          <w:lang w:val="fr-FR"/>
        </w:rPr>
      </w:pPr>
      <w:r w:rsidRPr="00D42D2B">
        <w:rPr>
          <w:rFonts w:ascii="Arial" w:hAnsi="Arial" w:cs="Arial"/>
          <w:b/>
          <w:bCs/>
          <w:sz w:val="22"/>
          <w:szCs w:val="22"/>
          <w:lang w:val="fr-FR"/>
        </w:rPr>
        <w:t xml:space="preserve">Résultats et recommandations relatifs à la communication à la FAO des données sur les espèces </w:t>
      </w:r>
      <w:proofErr w:type="spellStart"/>
      <w:r w:rsidRPr="00D42D2B">
        <w:rPr>
          <w:rFonts w:ascii="Arial" w:hAnsi="Arial" w:cs="Arial"/>
          <w:b/>
          <w:bCs/>
          <w:sz w:val="22"/>
          <w:szCs w:val="22"/>
          <w:lang w:val="fr-FR"/>
        </w:rPr>
        <w:t>inscrites.</w:t>
      </w:r>
      <w:r w:rsidRPr="00D42D2B">
        <w:rPr>
          <w:rFonts w:ascii="Arial" w:hAnsi="Arial" w:cs="Arial"/>
          <w:sz w:val="22"/>
          <w:szCs w:val="22"/>
          <w:lang w:val="fr-FR"/>
        </w:rPr>
        <w:t>Pour</w:t>
      </w:r>
      <w:proofErr w:type="spellEnd"/>
      <w:r w:rsidRPr="00D42D2B">
        <w:rPr>
          <w:rFonts w:ascii="Arial" w:hAnsi="Arial" w:cs="Arial"/>
          <w:sz w:val="22"/>
          <w:szCs w:val="22"/>
          <w:lang w:val="fr-FR"/>
        </w:rPr>
        <w:t xml:space="preserve"> exploiter efficacement les données de la FAO afin de suivre les tendances mondiales des débarquements déclarés d’espèces inscrites, </w:t>
      </w:r>
      <w:bookmarkStart w:id="2" w:name="_Hlk119396122"/>
      <w:r w:rsidRPr="00D42D2B">
        <w:rPr>
          <w:rFonts w:ascii="Arial" w:hAnsi="Arial" w:cs="Arial"/>
          <w:sz w:val="22"/>
          <w:szCs w:val="22"/>
          <w:lang w:val="fr-FR"/>
        </w:rPr>
        <w:t>il faut améliorer la qualité des données en ce qui concerne i) la résolution taxonomique, ii) l’exhaustivité des données et iii) le contrôle de la qualité.</w:t>
      </w:r>
      <w:bookmarkEnd w:id="2"/>
    </w:p>
    <w:p w14:paraId="3E2E1071" w14:textId="77777777" w:rsidR="00D42D2B" w:rsidRPr="00D42D2B" w:rsidRDefault="00D42D2B" w:rsidP="00D42D2B">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0839A568" w14:textId="77777777" w:rsidR="00D42D2B" w:rsidRPr="00D42D2B" w:rsidRDefault="00D42D2B" w:rsidP="00D42D2B">
      <w:pPr>
        <w:pStyle w:val="ListParagraph"/>
        <w:widowControl/>
        <w:numPr>
          <w:ilvl w:val="2"/>
          <w:numId w:val="6"/>
        </w:numPr>
        <w:pBdr>
          <w:top w:val="nil"/>
          <w:left w:val="nil"/>
          <w:bottom w:val="nil"/>
          <w:right w:val="nil"/>
          <w:between w:val="nil"/>
          <w:bar w:val="nil"/>
        </w:pBdr>
        <w:autoSpaceDE/>
        <w:autoSpaceDN/>
        <w:adjustRightInd/>
        <w:ind w:left="1134" w:hanging="567"/>
        <w:contextualSpacing w:val="0"/>
        <w:jc w:val="both"/>
        <w:rPr>
          <w:rFonts w:ascii="Arial" w:hAnsi="Arial" w:cs="Arial"/>
          <w:sz w:val="22"/>
          <w:szCs w:val="22"/>
          <w:lang w:val="fr-FR"/>
        </w:rPr>
      </w:pPr>
      <w:r w:rsidRPr="00D42D2B">
        <w:rPr>
          <w:rFonts w:ascii="Arial" w:hAnsi="Arial" w:cs="Arial"/>
          <w:b/>
          <w:bCs/>
          <w:sz w:val="22"/>
          <w:szCs w:val="22"/>
          <w:u w:val="single"/>
          <w:lang w:val="fr-FR"/>
        </w:rPr>
        <w:t>Résolution taxonomique.</w:t>
      </w:r>
      <w:r w:rsidRPr="00D42D2B">
        <w:rPr>
          <w:rFonts w:ascii="Arial" w:hAnsi="Arial" w:cs="Arial"/>
          <w:b/>
          <w:bCs/>
          <w:sz w:val="22"/>
          <w:szCs w:val="22"/>
          <w:lang w:val="fr-FR"/>
        </w:rPr>
        <w:t xml:space="preserve"> Certaines régions présentent un niveau d’incertitude assez élevé dans les débarquements déclarés qui peuvent inclure des espèces inscrites à l’Annexe 1 du </w:t>
      </w:r>
      <w:proofErr w:type="spellStart"/>
      <w:r w:rsidRPr="00D42D2B">
        <w:rPr>
          <w:rFonts w:ascii="Arial" w:hAnsi="Arial" w:cs="Arial"/>
          <w:b/>
          <w:bCs/>
          <w:sz w:val="22"/>
          <w:szCs w:val="22"/>
          <w:lang w:val="fr-FR"/>
        </w:rPr>
        <w:t>MdE</w:t>
      </w:r>
      <w:proofErr w:type="spellEnd"/>
      <w:r w:rsidRPr="00D42D2B">
        <w:rPr>
          <w:rFonts w:ascii="Arial" w:hAnsi="Arial" w:cs="Arial"/>
          <w:b/>
          <w:bCs/>
          <w:sz w:val="22"/>
          <w:szCs w:val="22"/>
          <w:lang w:val="fr-FR"/>
        </w:rPr>
        <w:t xml:space="preserve"> requins.</w:t>
      </w:r>
      <w:r w:rsidRPr="00D42D2B">
        <w:rPr>
          <w:rFonts w:ascii="Arial" w:hAnsi="Arial" w:cs="Arial"/>
          <w:sz w:val="22"/>
          <w:szCs w:val="22"/>
          <w:lang w:val="fr-FR"/>
        </w:rPr>
        <w:t xml:space="preserve"> Les Signataires sont encouragés à déclarer les débarquements au niveau de l’espèce (ou du genre lorsque cela est plus approprié</w:t>
      </w:r>
      <w:bookmarkStart w:id="3" w:name="_Hlk119396111"/>
      <w:r w:rsidRPr="00D42D2B">
        <w:rPr>
          <w:rFonts w:ascii="Arial" w:hAnsi="Arial" w:cs="Arial"/>
          <w:sz w:val="22"/>
          <w:szCs w:val="22"/>
          <w:lang w:val="fr-FR"/>
        </w:rPr>
        <w:t xml:space="preserve">). </w:t>
      </w:r>
      <w:r w:rsidRPr="00D42D2B">
        <w:rPr>
          <w:rFonts w:ascii="Arial" w:hAnsi="Arial" w:cs="Arial"/>
          <w:sz w:val="22"/>
          <w:szCs w:val="22"/>
          <w:lang w:val="fr-FR"/>
        </w:rPr>
        <w:lastRenderedPageBreak/>
        <w:t xml:space="preserve">Les initiatives de collaboration visant à améliorer la résolution taxonomique des débarquements de requins devraient être encouragées entre </w:t>
      </w:r>
      <w:proofErr w:type="spellStart"/>
      <w:r w:rsidRPr="00D42D2B">
        <w:rPr>
          <w:rFonts w:ascii="Arial" w:hAnsi="Arial" w:cs="Arial"/>
          <w:sz w:val="22"/>
          <w:szCs w:val="22"/>
          <w:lang w:val="fr-FR"/>
        </w:rPr>
        <w:t>les</w:t>
      </w:r>
      <w:bookmarkEnd w:id="3"/>
      <w:r w:rsidRPr="00D42D2B">
        <w:rPr>
          <w:rFonts w:ascii="Arial" w:hAnsi="Arial" w:cs="Arial"/>
          <w:sz w:val="22"/>
          <w:szCs w:val="22"/>
          <w:lang w:val="fr-FR"/>
        </w:rPr>
        <w:t>Signataires</w:t>
      </w:r>
      <w:proofErr w:type="spellEnd"/>
      <w:r w:rsidRPr="00D42D2B">
        <w:rPr>
          <w:rFonts w:ascii="Arial" w:hAnsi="Arial" w:cs="Arial"/>
          <w:sz w:val="22"/>
          <w:szCs w:val="22"/>
          <w:lang w:val="fr-FR"/>
        </w:rPr>
        <w:t xml:space="preserve"> et les autres États de l’aire de répartition concernés qui déclarent une proportion élevée de statistiques nationales de capture de requins et de raies sous des catégories de débarquement plus génériques. Voir la </w:t>
      </w:r>
      <w:hyperlink w:anchor="Section5" w:history="1">
        <w:r w:rsidRPr="00D42D2B">
          <w:rPr>
            <w:rStyle w:val="Hyperlink"/>
            <w:rFonts w:ascii="Arial" w:hAnsi="Arial" w:cs="Arial"/>
            <w:sz w:val="22"/>
            <w:szCs w:val="22"/>
            <w:lang w:val="fr-FR"/>
          </w:rPr>
          <w:t>Section 5</w:t>
        </w:r>
      </w:hyperlink>
      <w:r w:rsidRPr="00D42D2B">
        <w:rPr>
          <w:rFonts w:ascii="Arial" w:hAnsi="Arial" w:cs="Arial"/>
          <w:sz w:val="22"/>
          <w:szCs w:val="22"/>
          <w:lang w:val="fr-FR"/>
        </w:rPr>
        <w:t xml:space="preserve"> pour des recommandations </w:t>
      </w:r>
      <w:hyperlink w:anchor="Section5c" w:history="1">
        <w:r w:rsidRPr="00D42D2B">
          <w:rPr>
            <w:rStyle w:val="Hyperlink"/>
            <w:rFonts w:ascii="Arial" w:hAnsi="Arial" w:cs="Arial"/>
            <w:sz w:val="22"/>
            <w:szCs w:val="22"/>
            <w:lang w:val="fr-FR"/>
          </w:rPr>
          <w:t>et des informations plus spécifiques</w:t>
        </w:r>
      </w:hyperlink>
      <w:r w:rsidRPr="00D42D2B">
        <w:rPr>
          <w:rFonts w:ascii="Arial" w:hAnsi="Arial" w:cs="Arial"/>
          <w:sz w:val="22"/>
          <w:szCs w:val="22"/>
          <w:lang w:val="fr-FR"/>
        </w:rPr>
        <w:t>.</w:t>
      </w:r>
    </w:p>
    <w:p w14:paraId="46F8FFA1" w14:textId="77777777" w:rsidR="00D42D2B" w:rsidRPr="00D42D2B" w:rsidRDefault="00D42D2B" w:rsidP="00D42D2B">
      <w:pPr>
        <w:widowControl/>
        <w:pBdr>
          <w:top w:val="nil"/>
          <w:left w:val="nil"/>
          <w:bottom w:val="nil"/>
          <w:right w:val="nil"/>
          <w:between w:val="nil"/>
          <w:bar w:val="nil"/>
        </w:pBdr>
        <w:autoSpaceDE/>
        <w:autoSpaceDN/>
        <w:adjustRightInd/>
        <w:ind w:left="567"/>
        <w:jc w:val="both"/>
        <w:rPr>
          <w:rFonts w:ascii="Arial" w:hAnsi="Arial" w:cs="Arial"/>
          <w:sz w:val="22"/>
          <w:szCs w:val="22"/>
          <w:lang w:val="fr-FR"/>
        </w:rPr>
      </w:pPr>
    </w:p>
    <w:p w14:paraId="5973A9EA" w14:textId="77777777" w:rsidR="00D42D2B" w:rsidRPr="00D42D2B" w:rsidRDefault="00D42D2B" w:rsidP="00D42D2B">
      <w:pPr>
        <w:pStyle w:val="ListParagraph"/>
        <w:widowControl/>
        <w:numPr>
          <w:ilvl w:val="2"/>
          <w:numId w:val="6"/>
        </w:numPr>
        <w:pBdr>
          <w:top w:val="nil"/>
          <w:left w:val="nil"/>
          <w:bottom w:val="nil"/>
          <w:right w:val="nil"/>
          <w:between w:val="nil"/>
          <w:bar w:val="nil"/>
        </w:pBdr>
        <w:autoSpaceDE/>
        <w:autoSpaceDN/>
        <w:adjustRightInd/>
        <w:ind w:left="1134" w:hanging="567"/>
        <w:contextualSpacing w:val="0"/>
        <w:jc w:val="both"/>
        <w:rPr>
          <w:rFonts w:ascii="Arial" w:hAnsi="Arial" w:cs="Arial"/>
          <w:sz w:val="22"/>
          <w:szCs w:val="22"/>
          <w:lang w:val="fr-FR"/>
        </w:rPr>
      </w:pPr>
      <w:r w:rsidRPr="00D42D2B">
        <w:rPr>
          <w:rFonts w:ascii="Arial" w:hAnsi="Arial" w:cs="Arial"/>
          <w:b/>
          <w:bCs/>
          <w:sz w:val="22"/>
          <w:szCs w:val="22"/>
          <w:u w:val="single"/>
          <w:lang w:val="fr-FR"/>
        </w:rPr>
        <w:t>Exhaustivité des données.</w:t>
      </w:r>
      <w:r w:rsidRPr="00D42D2B">
        <w:rPr>
          <w:rFonts w:ascii="Arial" w:hAnsi="Arial" w:cs="Arial"/>
          <w:b/>
          <w:bCs/>
          <w:sz w:val="22"/>
          <w:szCs w:val="22"/>
          <w:lang w:val="fr-FR"/>
        </w:rPr>
        <w:t xml:space="preserve"> Les données communiquées à la FAO ont été jugées incomplètes en raison de données manquantes ou incohérentes pour plusieurs espèces et nations, et il est nécessaire de normaliser davantage la communication des données. </w:t>
      </w:r>
      <w:r w:rsidRPr="00D42D2B">
        <w:rPr>
          <w:rFonts w:ascii="Arial" w:hAnsi="Arial" w:cs="Arial"/>
          <w:sz w:val="22"/>
          <w:szCs w:val="22"/>
          <w:lang w:val="fr-FR"/>
        </w:rPr>
        <w:t xml:space="preserve">Les signataires sont encouragés à comparer les données nationales de débarquement avec celles qui ont été rassemblées par la FAO (et d’autres bases de données régionales) et à réviser et harmoniser les sources en vue de fournir des données spatiales et temporelles plus précises. Les signataires qui ne communiquent pas actuellement leurs données à la FAO sont encouragés à le faire. Les Signataires sont encouragés à déclarer à la FAO les débarquements de toutes les espèces figurant à l’Annexe I. Des efforts supplémentaires devraient être faits pour augmenter la déclaration des captures de la pêche artisanale, de subsistance et récréative. Voir la </w:t>
      </w:r>
      <w:hyperlink w:anchor="Section6" w:history="1">
        <w:r w:rsidRPr="00D42D2B">
          <w:rPr>
            <w:rStyle w:val="Hyperlink"/>
            <w:rFonts w:ascii="Arial" w:hAnsi="Arial" w:cs="Arial"/>
            <w:sz w:val="22"/>
            <w:szCs w:val="22"/>
            <w:lang w:val="fr-FR"/>
          </w:rPr>
          <w:t>Section 6</w:t>
        </w:r>
      </w:hyperlink>
      <w:r w:rsidRPr="00D42D2B">
        <w:rPr>
          <w:rFonts w:ascii="Arial" w:hAnsi="Arial" w:cs="Arial"/>
          <w:sz w:val="22"/>
          <w:szCs w:val="22"/>
          <w:lang w:val="fr-FR"/>
        </w:rPr>
        <w:t xml:space="preserve"> pour des recommandations </w:t>
      </w:r>
      <w:hyperlink w:anchor="Section6c" w:history="1">
        <w:r w:rsidRPr="00D42D2B">
          <w:rPr>
            <w:rStyle w:val="Hyperlink"/>
            <w:rFonts w:ascii="Arial" w:hAnsi="Arial" w:cs="Arial"/>
            <w:sz w:val="22"/>
            <w:szCs w:val="22"/>
            <w:lang w:val="fr-FR"/>
          </w:rPr>
          <w:t>et des informations plus spécifiques</w:t>
        </w:r>
      </w:hyperlink>
      <w:r w:rsidRPr="00D42D2B">
        <w:rPr>
          <w:rFonts w:ascii="Arial" w:hAnsi="Arial" w:cs="Arial"/>
          <w:sz w:val="22"/>
          <w:szCs w:val="22"/>
          <w:lang w:val="fr-FR"/>
        </w:rPr>
        <w:t>.</w:t>
      </w:r>
    </w:p>
    <w:p w14:paraId="454A5B76" w14:textId="77777777" w:rsidR="00D42D2B" w:rsidRPr="00D42D2B" w:rsidRDefault="00D42D2B" w:rsidP="00D42D2B">
      <w:pPr>
        <w:pStyle w:val="ListParagraph"/>
        <w:widowControl/>
        <w:pBdr>
          <w:top w:val="nil"/>
          <w:left w:val="nil"/>
          <w:bottom w:val="nil"/>
          <w:right w:val="nil"/>
          <w:between w:val="nil"/>
          <w:bar w:val="nil"/>
        </w:pBdr>
        <w:autoSpaceDE/>
        <w:autoSpaceDN/>
        <w:adjustRightInd/>
        <w:ind w:left="1134"/>
        <w:contextualSpacing w:val="0"/>
        <w:jc w:val="both"/>
        <w:rPr>
          <w:rFonts w:ascii="Arial" w:hAnsi="Arial" w:cs="Arial"/>
          <w:sz w:val="22"/>
          <w:szCs w:val="22"/>
          <w:lang w:val="fr-FR"/>
        </w:rPr>
      </w:pPr>
    </w:p>
    <w:p w14:paraId="50A39575" w14:textId="77777777" w:rsidR="00D42D2B" w:rsidRPr="00D42D2B" w:rsidRDefault="00D42D2B" w:rsidP="00D42D2B">
      <w:pPr>
        <w:pStyle w:val="ListParagraph"/>
        <w:widowControl/>
        <w:numPr>
          <w:ilvl w:val="2"/>
          <w:numId w:val="6"/>
        </w:numPr>
        <w:pBdr>
          <w:top w:val="nil"/>
          <w:left w:val="nil"/>
          <w:bottom w:val="nil"/>
          <w:right w:val="nil"/>
          <w:between w:val="nil"/>
          <w:bar w:val="nil"/>
        </w:pBdr>
        <w:autoSpaceDE/>
        <w:autoSpaceDN/>
        <w:adjustRightInd/>
        <w:ind w:left="1134" w:hanging="567"/>
        <w:contextualSpacing w:val="0"/>
        <w:jc w:val="both"/>
        <w:rPr>
          <w:rFonts w:ascii="Arial" w:hAnsi="Arial" w:cs="Arial"/>
          <w:sz w:val="22"/>
          <w:szCs w:val="22"/>
          <w:lang w:val="fr-FR"/>
        </w:rPr>
      </w:pPr>
      <w:r w:rsidRPr="00D42D2B">
        <w:rPr>
          <w:rFonts w:ascii="Arial" w:hAnsi="Arial" w:cs="Arial"/>
          <w:b/>
          <w:bCs/>
          <w:sz w:val="22"/>
          <w:szCs w:val="22"/>
          <w:u w:val="single"/>
          <w:lang w:val="fr-FR"/>
        </w:rPr>
        <w:t>Contrôle de la qualité :</w:t>
      </w:r>
      <w:r w:rsidRPr="00D42D2B">
        <w:rPr>
          <w:rFonts w:ascii="Arial" w:hAnsi="Arial" w:cs="Arial"/>
          <w:b/>
          <w:bCs/>
          <w:sz w:val="22"/>
          <w:szCs w:val="22"/>
          <w:lang w:val="fr-FR"/>
        </w:rPr>
        <w:t xml:space="preserve"> de possibles erreurs de saisie ont également été identifiées, ce qui indique qu’un contrôle plus robuste de la qualité des données de débarquement est nécessaire avant la soumission des données. </w:t>
      </w:r>
      <w:r w:rsidRPr="00D42D2B">
        <w:rPr>
          <w:rFonts w:ascii="Arial" w:hAnsi="Arial" w:cs="Arial"/>
          <w:sz w:val="22"/>
          <w:szCs w:val="22"/>
          <w:lang w:val="fr-FR"/>
        </w:rPr>
        <w:t xml:space="preserve">Les Signataires sont encouragés à examiner et à entreprendre un contrôle plus détaillé de la qualité des données nationales de débarquement, notamment celles qui sont rapportées à la FAO (et autres bases de données régionales). Les catégories de soumission des données sur les débarquements d’espèces devraient être réexaminées pour éviter de perpétuer les erreurs taxonomiques. Voir la </w:t>
      </w:r>
      <w:hyperlink w:anchor="Section6" w:history="1">
        <w:r w:rsidRPr="00D42D2B">
          <w:rPr>
            <w:rStyle w:val="Hyperlink"/>
            <w:rFonts w:ascii="Arial" w:hAnsi="Arial" w:cs="Arial"/>
            <w:sz w:val="22"/>
            <w:szCs w:val="22"/>
            <w:lang w:val="fr-FR"/>
          </w:rPr>
          <w:t>Section 6</w:t>
        </w:r>
      </w:hyperlink>
      <w:r w:rsidRPr="00D42D2B">
        <w:rPr>
          <w:rFonts w:ascii="Arial" w:hAnsi="Arial" w:cs="Arial"/>
          <w:sz w:val="22"/>
          <w:szCs w:val="22"/>
          <w:lang w:val="fr-FR"/>
        </w:rPr>
        <w:t xml:space="preserve"> pour des recommandations </w:t>
      </w:r>
      <w:hyperlink w:anchor="Section6c" w:history="1">
        <w:r w:rsidRPr="00D42D2B">
          <w:rPr>
            <w:rStyle w:val="Hyperlink"/>
            <w:rFonts w:ascii="Arial" w:hAnsi="Arial" w:cs="Arial"/>
            <w:sz w:val="22"/>
            <w:szCs w:val="22"/>
            <w:lang w:val="fr-FR"/>
          </w:rPr>
          <w:t>et des informations plus spécifiques</w:t>
        </w:r>
      </w:hyperlink>
      <w:r w:rsidRPr="00D42D2B">
        <w:rPr>
          <w:rFonts w:ascii="Arial" w:hAnsi="Arial" w:cs="Arial"/>
          <w:sz w:val="22"/>
          <w:szCs w:val="22"/>
          <w:lang w:val="fr-FR"/>
        </w:rPr>
        <w:t>.</w:t>
      </w:r>
    </w:p>
    <w:p w14:paraId="2EA9904F" w14:textId="77777777" w:rsidR="00D42D2B" w:rsidRPr="00D42D2B" w:rsidRDefault="00D42D2B" w:rsidP="00D42D2B">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3A11E245" w14:textId="77777777" w:rsidR="00D42D2B" w:rsidRPr="00D42D2B" w:rsidRDefault="00D42D2B" w:rsidP="00D42D2B">
      <w:pPr>
        <w:pStyle w:val="ListParagraph"/>
        <w:widowControl/>
        <w:numPr>
          <w:ilvl w:val="1"/>
          <w:numId w:val="6"/>
        </w:numPr>
        <w:pBdr>
          <w:top w:val="nil"/>
          <w:left w:val="nil"/>
          <w:bottom w:val="nil"/>
          <w:right w:val="nil"/>
          <w:between w:val="nil"/>
          <w:bar w:val="nil"/>
        </w:pBdr>
        <w:autoSpaceDE/>
        <w:autoSpaceDN/>
        <w:adjustRightInd/>
        <w:ind w:left="567" w:hanging="567"/>
        <w:contextualSpacing w:val="0"/>
        <w:jc w:val="both"/>
        <w:rPr>
          <w:rFonts w:ascii="Arial" w:hAnsi="Arial" w:cs="Arial"/>
          <w:sz w:val="22"/>
          <w:szCs w:val="22"/>
          <w:lang w:val="fr-FR"/>
        </w:rPr>
      </w:pPr>
      <w:r w:rsidRPr="00D42D2B">
        <w:rPr>
          <w:rFonts w:ascii="Arial" w:hAnsi="Arial" w:cs="Arial"/>
          <w:b/>
          <w:bCs/>
          <w:sz w:val="22"/>
          <w:szCs w:val="22"/>
          <w:lang w:val="fr-FR"/>
        </w:rPr>
        <w:t xml:space="preserve">Bien qu’il s’agisse d’un outil puissant, la base de données de la FAO manque d’informations concernant les captures rejetées, qui doivent être complétées par d'autres sources de collecte de </w:t>
      </w:r>
      <w:proofErr w:type="spellStart"/>
      <w:r w:rsidRPr="00D42D2B">
        <w:rPr>
          <w:rFonts w:ascii="Arial" w:hAnsi="Arial" w:cs="Arial"/>
          <w:b/>
          <w:bCs/>
          <w:sz w:val="22"/>
          <w:szCs w:val="22"/>
          <w:lang w:val="fr-FR"/>
        </w:rPr>
        <w:t>données.</w:t>
      </w:r>
      <w:r w:rsidRPr="00D42D2B">
        <w:rPr>
          <w:rFonts w:ascii="Arial" w:hAnsi="Arial" w:cs="Arial"/>
          <w:sz w:val="22"/>
          <w:szCs w:val="22"/>
          <w:lang w:val="fr-FR"/>
        </w:rPr>
        <w:t>Il</w:t>
      </w:r>
      <w:proofErr w:type="spellEnd"/>
      <w:r w:rsidRPr="00D42D2B">
        <w:rPr>
          <w:rFonts w:ascii="Arial" w:hAnsi="Arial" w:cs="Arial"/>
          <w:sz w:val="22"/>
          <w:szCs w:val="22"/>
          <w:lang w:val="fr-FR"/>
        </w:rPr>
        <w:t xml:space="preserve"> demeure un besoin crucial de collecter à l’échelle régionale et mondiale des informations concernant les niveaux de captures rejetées et leur devenir (proportion de remises à l’eau d’individus morts et vivants et niveau de mortalité après la remise à l’eau pour chaque espèce inscrite). Veuillez également consulter le document </w:t>
      </w:r>
      <w:hyperlink r:id="rId20" w:history="1">
        <w:r w:rsidRPr="00D42D2B">
          <w:rPr>
            <w:rStyle w:val="Hyperlink"/>
            <w:rFonts w:ascii="Arial" w:hAnsi="Arial" w:cs="Arial"/>
            <w:sz w:val="22"/>
            <w:szCs w:val="22"/>
            <w:lang w:val="fr-FR"/>
          </w:rPr>
          <w:t>CMS/</w:t>
        </w:r>
        <w:proofErr w:type="spellStart"/>
        <w:r w:rsidRPr="00D42D2B">
          <w:rPr>
            <w:rStyle w:val="Hyperlink"/>
            <w:rFonts w:ascii="Arial" w:hAnsi="Arial" w:cs="Arial"/>
            <w:sz w:val="22"/>
            <w:szCs w:val="22"/>
            <w:lang w:val="fr-FR"/>
          </w:rPr>
          <w:t>Sharks</w:t>
        </w:r>
        <w:proofErr w:type="spellEnd"/>
        <w:r w:rsidRPr="00D42D2B">
          <w:rPr>
            <w:rStyle w:val="Hyperlink"/>
            <w:rFonts w:ascii="Arial" w:hAnsi="Arial" w:cs="Arial"/>
            <w:sz w:val="22"/>
            <w:szCs w:val="22"/>
            <w:lang w:val="fr-FR"/>
          </w:rPr>
          <w:t>/MOS4/Doc.10.7</w:t>
        </w:r>
      </w:hyperlink>
      <w:r w:rsidRPr="00D42D2B">
        <w:rPr>
          <w:rFonts w:ascii="Arial" w:hAnsi="Arial" w:cs="Arial"/>
          <w:sz w:val="22"/>
          <w:szCs w:val="22"/>
          <w:lang w:val="fr-FR"/>
        </w:rPr>
        <w:t>.</w:t>
      </w:r>
    </w:p>
    <w:p w14:paraId="5B22340D" w14:textId="77777777" w:rsidR="00D42D2B" w:rsidRPr="00D42D2B" w:rsidRDefault="00D42D2B" w:rsidP="00D42D2B">
      <w:pPr>
        <w:pStyle w:val="ListParagraph"/>
        <w:widowControl/>
        <w:pBdr>
          <w:top w:val="nil"/>
          <w:left w:val="nil"/>
          <w:bottom w:val="nil"/>
          <w:right w:val="nil"/>
          <w:between w:val="nil"/>
          <w:bar w:val="nil"/>
        </w:pBdr>
        <w:autoSpaceDE/>
        <w:autoSpaceDN/>
        <w:adjustRightInd/>
        <w:ind w:left="567"/>
        <w:contextualSpacing w:val="0"/>
        <w:jc w:val="both"/>
        <w:rPr>
          <w:rFonts w:ascii="Arial" w:hAnsi="Arial" w:cs="Arial"/>
          <w:sz w:val="22"/>
          <w:szCs w:val="22"/>
          <w:lang w:val="fr-FR"/>
        </w:rPr>
      </w:pPr>
    </w:p>
    <w:bookmarkEnd w:id="1"/>
    <w:p w14:paraId="4A33BF66" w14:textId="77777777" w:rsidR="00D42D2B" w:rsidRPr="00D42D2B" w:rsidRDefault="00D42D2B" w:rsidP="00D42D2B">
      <w:pPr>
        <w:pStyle w:val="Style1"/>
        <w:numPr>
          <w:ilvl w:val="0"/>
          <w:numId w:val="6"/>
        </w:numPr>
        <w:spacing w:after="0" w:line="240" w:lineRule="auto"/>
        <w:rPr>
          <w:sz w:val="22"/>
          <w:szCs w:val="22"/>
          <w:lang w:val="fr-FR"/>
        </w:rPr>
      </w:pPr>
      <w:r w:rsidRPr="00D42D2B">
        <w:rPr>
          <w:sz w:val="22"/>
          <w:szCs w:val="22"/>
          <w:lang w:val="fr-FR"/>
        </w:rPr>
        <w:t>Méthodologie</w:t>
      </w:r>
    </w:p>
    <w:p w14:paraId="3E427C61" w14:textId="77777777" w:rsidR="00D42D2B" w:rsidRPr="00D42D2B" w:rsidRDefault="00D42D2B" w:rsidP="00D42D2B">
      <w:pPr>
        <w:pStyle w:val="Style1"/>
        <w:spacing w:after="0" w:line="240" w:lineRule="auto"/>
        <w:ind w:firstLine="0"/>
        <w:rPr>
          <w:sz w:val="22"/>
          <w:szCs w:val="22"/>
          <w:lang w:val="fr-FR"/>
        </w:rPr>
      </w:pPr>
    </w:p>
    <w:p w14:paraId="17AA644A" w14:textId="77777777" w:rsidR="00D42D2B" w:rsidRPr="00D42D2B" w:rsidRDefault="00D42D2B" w:rsidP="00D42D2B">
      <w:pPr>
        <w:pStyle w:val="ListParagraph"/>
        <w:widowControl/>
        <w:numPr>
          <w:ilvl w:val="1"/>
          <w:numId w:val="6"/>
        </w:numPr>
        <w:pBdr>
          <w:top w:val="nil"/>
          <w:left w:val="nil"/>
          <w:bottom w:val="nil"/>
          <w:right w:val="nil"/>
          <w:between w:val="nil"/>
          <w:bar w:val="nil"/>
        </w:pBdr>
        <w:autoSpaceDE/>
        <w:autoSpaceDN/>
        <w:adjustRightInd/>
        <w:ind w:left="540" w:hanging="540"/>
        <w:contextualSpacing w:val="0"/>
        <w:jc w:val="both"/>
        <w:rPr>
          <w:rFonts w:ascii="Arial" w:hAnsi="Arial" w:cs="Arial"/>
          <w:b/>
          <w:bCs/>
          <w:sz w:val="22"/>
          <w:szCs w:val="22"/>
          <w:u w:val="single"/>
          <w:lang w:val="fr-FR"/>
        </w:rPr>
      </w:pPr>
      <w:r w:rsidRPr="00D42D2B">
        <w:rPr>
          <w:rFonts w:ascii="Arial" w:hAnsi="Arial" w:cs="Arial"/>
          <w:b/>
          <w:bCs/>
          <w:sz w:val="22"/>
          <w:szCs w:val="22"/>
          <w:lang w:val="fr-FR"/>
        </w:rPr>
        <w:t>Extraction des données</w:t>
      </w:r>
    </w:p>
    <w:p w14:paraId="7ED6368F" w14:textId="77777777" w:rsidR="00D42D2B" w:rsidRPr="00D42D2B" w:rsidRDefault="00D42D2B" w:rsidP="00D42D2B">
      <w:pPr>
        <w:pStyle w:val="ListParagraph"/>
        <w:widowControl/>
        <w:pBdr>
          <w:top w:val="nil"/>
          <w:left w:val="nil"/>
          <w:bottom w:val="nil"/>
          <w:right w:val="nil"/>
          <w:between w:val="nil"/>
          <w:bar w:val="nil"/>
        </w:pBdr>
        <w:autoSpaceDE/>
        <w:autoSpaceDN/>
        <w:adjustRightInd/>
        <w:ind w:left="360"/>
        <w:contextualSpacing w:val="0"/>
        <w:jc w:val="both"/>
        <w:rPr>
          <w:rFonts w:ascii="Arial" w:hAnsi="Arial" w:cs="Arial"/>
          <w:b/>
          <w:bCs/>
          <w:sz w:val="22"/>
          <w:szCs w:val="22"/>
          <w:u w:val="single"/>
          <w:lang w:val="fr-FR"/>
        </w:rPr>
      </w:pPr>
    </w:p>
    <w:p w14:paraId="7AF7F751" w14:textId="77777777" w:rsidR="00D42D2B" w:rsidRPr="00D42D2B" w:rsidRDefault="00D42D2B" w:rsidP="00D42D2B">
      <w:pPr>
        <w:pStyle w:val="Body"/>
        <w:spacing w:after="0" w:line="240" w:lineRule="auto"/>
        <w:jc w:val="both"/>
        <w:rPr>
          <w:rFonts w:ascii="Arial" w:hAnsi="Arial" w:cs="Arial"/>
          <w:sz w:val="22"/>
          <w:szCs w:val="22"/>
          <w:lang w:val="fr-FR"/>
        </w:rPr>
      </w:pPr>
      <w:r w:rsidRPr="00D42D2B">
        <w:rPr>
          <w:rFonts w:ascii="Arial" w:hAnsi="Arial" w:cs="Arial"/>
          <w:sz w:val="22"/>
          <w:szCs w:val="22"/>
          <w:lang w:val="fr-FR"/>
        </w:rPr>
        <w:t>Les données ont été extraites du jeu de données de la FAO sur la production mondiale de captures publié en mars 2021 pour chacune de ses 19 principales zones de pêche marines (ci-après dénommées zones FAO) pour les cinq dernières années disponibles (2015</w:t>
      </w:r>
      <w:r w:rsidRPr="00D42D2B">
        <w:rPr>
          <w:rFonts w:ascii="Arial" w:hAnsi="Arial" w:cs="Arial"/>
          <w:sz w:val="22"/>
          <w:szCs w:val="22"/>
          <w:lang w:val="fr-FR"/>
        </w:rPr>
        <w:softHyphen/>
        <w:t>–2019). Étant donné l’étendue et les débarquements limités des requins et raies inscrits dans les trois zones de l’Antarctique (zones FAO 48, 58 et 88), celles-ci ont été combinées en une seule zone pour l’océan Austral.</w:t>
      </w:r>
    </w:p>
    <w:p w14:paraId="15D7E9DF" w14:textId="77777777" w:rsidR="00D42D2B" w:rsidRPr="00D42D2B" w:rsidRDefault="00D42D2B" w:rsidP="00D42D2B">
      <w:pPr>
        <w:pStyle w:val="Body"/>
        <w:spacing w:after="0" w:line="240" w:lineRule="auto"/>
        <w:jc w:val="both"/>
        <w:rPr>
          <w:rFonts w:ascii="Arial" w:hAnsi="Arial" w:cs="Arial"/>
          <w:sz w:val="22"/>
          <w:szCs w:val="22"/>
          <w:lang w:val="fr-FR"/>
        </w:rPr>
      </w:pPr>
    </w:p>
    <w:p w14:paraId="381321C1" w14:textId="133B5C86" w:rsidR="00D42D2B" w:rsidRPr="00D42D2B" w:rsidRDefault="00D42D2B" w:rsidP="00D42D2B">
      <w:pPr>
        <w:ind w:right="26"/>
        <w:jc w:val="both"/>
        <w:rPr>
          <w:rFonts w:ascii="Arial" w:hAnsi="Arial" w:cs="Arial"/>
          <w:sz w:val="22"/>
          <w:szCs w:val="22"/>
          <w:lang w:val="fr-FR"/>
        </w:rPr>
        <w:sectPr w:rsidR="00D42D2B" w:rsidRPr="00D42D2B" w:rsidSect="00B67B59">
          <w:headerReference w:type="even" r:id="rId21"/>
          <w:headerReference w:type="default" r:id="rId22"/>
          <w:headerReference w:type="first" r:id="rId23"/>
          <w:footerReference w:type="first" r:id="rId24"/>
          <w:pgSz w:w="11906" w:h="16838" w:code="9"/>
          <w:pgMar w:top="1138" w:right="1138" w:bottom="1138" w:left="1138" w:header="706" w:footer="706" w:gutter="0"/>
          <w:cols w:space="720"/>
          <w:titlePg/>
          <w:docGrid w:linePitch="245"/>
        </w:sectPr>
      </w:pPr>
      <w:r w:rsidRPr="00D42D2B">
        <w:rPr>
          <w:rFonts w:ascii="Arial" w:hAnsi="Arial" w:cs="Arial"/>
          <w:sz w:val="22"/>
          <w:szCs w:val="22"/>
          <w:lang w:val="fr-FR"/>
        </w:rPr>
        <w:t xml:space="preserve">Des données ont été obtenues pour le groupe 38 de la Classification statistique internationale type des animaux et des plantes aquatiques (CSITAPA) </w:t>
      </w:r>
      <w:r w:rsidRPr="00D42D2B">
        <w:rPr>
          <w:rFonts w:ascii="Arial" w:hAnsi="Arial" w:cs="Arial"/>
          <w:sz w:val="22"/>
          <w:szCs w:val="22"/>
          <w:rtl/>
          <w:lang w:val="fr-FR"/>
        </w:rPr>
        <w:t xml:space="preserve">« </w:t>
      </w:r>
      <w:r w:rsidRPr="00D42D2B">
        <w:rPr>
          <w:rFonts w:ascii="Arial" w:hAnsi="Arial" w:cs="Arial"/>
          <w:sz w:val="22"/>
          <w:szCs w:val="22"/>
          <w:lang w:val="fr-FR"/>
        </w:rPr>
        <w:t xml:space="preserve">Requins, raies, chimères ». Les catégories se référant à des espèces </w:t>
      </w:r>
      <w:proofErr w:type="spellStart"/>
      <w:r w:rsidRPr="00D42D2B">
        <w:rPr>
          <w:rFonts w:ascii="Arial" w:hAnsi="Arial" w:cs="Arial"/>
          <w:sz w:val="22"/>
          <w:szCs w:val="22"/>
          <w:lang w:val="fr-FR"/>
        </w:rPr>
        <w:t>chimériformes</w:t>
      </w:r>
      <w:proofErr w:type="spellEnd"/>
      <w:r w:rsidRPr="00D42D2B">
        <w:rPr>
          <w:rFonts w:ascii="Arial" w:hAnsi="Arial" w:cs="Arial"/>
          <w:sz w:val="22"/>
          <w:szCs w:val="22"/>
          <w:lang w:val="fr-FR"/>
        </w:rPr>
        <w:t xml:space="preserve"> ont été supprimées de l’ensemble de données (c’est-à-dire douze catégories se référant à des chimères, telles que :</w:t>
      </w:r>
      <w:r w:rsidRPr="00D42D2B">
        <w:rPr>
          <w:rFonts w:ascii="Arial" w:hAnsi="Arial" w:cs="Arial"/>
          <w:sz w:val="22"/>
          <w:szCs w:val="22"/>
          <w:rtl/>
          <w:lang w:val="fr-FR"/>
        </w:rPr>
        <w:t xml:space="preserve">« </w:t>
      </w:r>
      <w:r w:rsidRPr="00D42D2B">
        <w:rPr>
          <w:rFonts w:ascii="Arial" w:hAnsi="Arial" w:cs="Arial"/>
          <w:sz w:val="22"/>
          <w:szCs w:val="22"/>
          <w:lang w:val="fr-FR"/>
        </w:rPr>
        <w:t xml:space="preserve">Chimères, etc. </w:t>
      </w:r>
      <w:proofErr w:type="spellStart"/>
      <w:r w:rsidRPr="00D42D2B">
        <w:rPr>
          <w:rFonts w:ascii="Arial" w:hAnsi="Arial" w:cs="Arial"/>
          <w:sz w:val="22"/>
          <w:szCs w:val="22"/>
          <w:lang w:val="fr-FR"/>
        </w:rPr>
        <w:t>nca</w:t>
      </w:r>
      <w:proofErr w:type="spellEnd"/>
      <w:r w:rsidRPr="00D42D2B">
        <w:rPr>
          <w:rFonts w:ascii="Arial" w:hAnsi="Arial" w:cs="Arial"/>
          <w:sz w:val="22"/>
          <w:szCs w:val="22"/>
          <w:lang w:val="fr-FR"/>
        </w:rPr>
        <w:t xml:space="preserve"> » – </w:t>
      </w:r>
      <w:proofErr w:type="spellStart"/>
      <w:r w:rsidRPr="00D42D2B">
        <w:rPr>
          <w:rFonts w:ascii="Arial" w:hAnsi="Arial" w:cs="Arial"/>
          <w:sz w:val="22"/>
          <w:szCs w:val="22"/>
          <w:lang w:val="fr-FR"/>
        </w:rPr>
        <w:t>Chimaeriformes</w:t>
      </w:r>
      <w:proofErr w:type="spellEnd"/>
      <w:r w:rsidRPr="00D42D2B">
        <w:rPr>
          <w:rFonts w:ascii="Arial" w:hAnsi="Arial" w:cs="Arial"/>
          <w:sz w:val="22"/>
          <w:szCs w:val="22"/>
          <w:lang w:val="fr-FR"/>
        </w:rPr>
        <w:t xml:space="preserve">, </w:t>
      </w:r>
      <w:r w:rsidRPr="00D42D2B">
        <w:rPr>
          <w:rFonts w:ascii="Arial" w:hAnsi="Arial" w:cs="Arial"/>
          <w:sz w:val="22"/>
          <w:szCs w:val="22"/>
          <w:rtl/>
          <w:lang w:val="fr-FR"/>
        </w:rPr>
        <w:t xml:space="preserve">« </w:t>
      </w:r>
      <w:r w:rsidRPr="00D42D2B">
        <w:rPr>
          <w:rFonts w:ascii="Arial" w:hAnsi="Arial" w:cs="Arial"/>
          <w:sz w:val="22"/>
          <w:szCs w:val="22"/>
          <w:lang w:val="fr-FR"/>
        </w:rPr>
        <w:t xml:space="preserve">Chimères </w:t>
      </w:r>
      <w:proofErr w:type="spellStart"/>
      <w:r w:rsidRPr="00D42D2B">
        <w:rPr>
          <w:rFonts w:ascii="Arial" w:hAnsi="Arial" w:cs="Arial"/>
          <w:sz w:val="22"/>
          <w:szCs w:val="22"/>
          <w:lang w:val="fr-FR"/>
        </w:rPr>
        <w:t>nca</w:t>
      </w:r>
      <w:proofErr w:type="spellEnd"/>
      <w:r w:rsidRPr="00D42D2B">
        <w:rPr>
          <w:rFonts w:ascii="Arial" w:hAnsi="Arial" w:cs="Arial"/>
          <w:sz w:val="22"/>
          <w:szCs w:val="22"/>
          <w:lang w:val="fr-FR"/>
        </w:rPr>
        <w:t xml:space="preserve"> » – </w:t>
      </w:r>
      <w:proofErr w:type="spellStart"/>
      <w:r w:rsidRPr="00D42D2B">
        <w:rPr>
          <w:rFonts w:ascii="Arial" w:hAnsi="Arial" w:cs="Arial"/>
          <w:i/>
          <w:iCs/>
          <w:sz w:val="22"/>
          <w:szCs w:val="22"/>
          <w:lang w:val="fr-FR"/>
        </w:rPr>
        <w:t>Hydrolagus</w:t>
      </w:r>
      <w:proofErr w:type="spellEnd"/>
      <w:r w:rsidRPr="00D42D2B">
        <w:rPr>
          <w:rFonts w:ascii="Arial" w:hAnsi="Arial" w:cs="Arial"/>
          <w:i/>
          <w:iCs/>
          <w:sz w:val="22"/>
          <w:szCs w:val="22"/>
          <w:lang w:val="fr-FR"/>
        </w:rPr>
        <w:t xml:space="preserve"> </w:t>
      </w:r>
      <w:proofErr w:type="spellStart"/>
      <w:r w:rsidRPr="00D42D2B">
        <w:rPr>
          <w:rFonts w:ascii="Arial" w:hAnsi="Arial" w:cs="Arial"/>
          <w:sz w:val="22"/>
          <w:szCs w:val="22"/>
          <w:lang w:val="fr-FR"/>
        </w:rPr>
        <w:t>spp</w:t>
      </w:r>
      <w:proofErr w:type="spellEnd"/>
      <w:r w:rsidRPr="00D42D2B">
        <w:rPr>
          <w:rFonts w:ascii="Arial" w:hAnsi="Arial" w:cs="Arial"/>
          <w:sz w:val="22"/>
          <w:szCs w:val="22"/>
          <w:lang w:val="fr-FR"/>
        </w:rPr>
        <w:t>.</w:t>
      </w:r>
      <w:r w:rsidRPr="00D42D2B">
        <w:rPr>
          <w:rFonts w:ascii="Arial" w:hAnsi="Arial" w:cs="Arial"/>
          <w:i/>
          <w:iCs/>
          <w:sz w:val="22"/>
          <w:szCs w:val="22"/>
          <w:lang w:val="fr-FR"/>
        </w:rPr>
        <w:t xml:space="preserve">, </w:t>
      </w:r>
      <w:r w:rsidRPr="00D42D2B">
        <w:rPr>
          <w:rFonts w:ascii="Arial" w:hAnsi="Arial" w:cs="Arial"/>
          <w:sz w:val="22"/>
          <w:szCs w:val="22"/>
          <w:lang w:val="fr-FR"/>
        </w:rPr>
        <w:t xml:space="preserve">ou </w:t>
      </w:r>
      <w:r w:rsidRPr="00D42D2B">
        <w:rPr>
          <w:rFonts w:ascii="Arial" w:hAnsi="Arial" w:cs="Arial"/>
          <w:sz w:val="22"/>
          <w:szCs w:val="22"/>
          <w:rtl/>
          <w:lang w:val="fr-FR"/>
        </w:rPr>
        <w:t xml:space="preserve">« </w:t>
      </w:r>
      <w:r w:rsidRPr="00D42D2B">
        <w:rPr>
          <w:rFonts w:ascii="Arial" w:hAnsi="Arial" w:cs="Arial"/>
          <w:sz w:val="22"/>
          <w:szCs w:val="22"/>
          <w:lang w:val="fr-FR"/>
        </w:rPr>
        <w:t xml:space="preserve">Chimère commune » – </w:t>
      </w:r>
      <w:proofErr w:type="spellStart"/>
      <w:r w:rsidRPr="00D42D2B">
        <w:rPr>
          <w:rFonts w:ascii="Arial" w:hAnsi="Arial" w:cs="Arial"/>
          <w:i/>
          <w:iCs/>
          <w:sz w:val="22"/>
          <w:szCs w:val="22"/>
          <w:lang w:val="fr-FR"/>
        </w:rPr>
        <w:t>Chimaera</w:t>
      </w:r>
      <w:proofErr w:type="spellEnd"/>
      <w:r w:rsidRPr="00D42D2B">
        <w:rPr>
          <w:rFonts w:ascii="Arial" w:hAnsi="Arial" w:cs="Arial"/>
          <w:i/>
          <w:iCs/>
          <w:sz w:val="22"/>
          <w:szCs w:val="22"/>
          <w:lang w:val="fr-FR"/>
        </w:rPr>
        <w:t xml:space="preserve"> </w:t>
      </w:r>
      <w:proofErr w:type="spellStart"/>
      <w:r w:rsidRPr="00D42D2B">
        <w:rPr>
          <w:rFonts w:ascii="Arial" w:hAnsi="Arial" w:cs="Arial"/>
          <w:i/>
          <w:iCs/>
          <w:sz w:val="22"/>
          <w:szCs w:val="22"/>
          <w:lang w:val="fr-FR"/>
        </w:rPr>
        <w:t>monstrosa</w:t>
      </w:r>
      <w:proofErr w:type="spellEnd"/>
      <w:r w:rsidRPr="00D42D2B">
        <w:rPr>
          <w:rFonts w:ascii="Arial" w:hAnsi="Arial" w:cs="Arial"/>
          <w:sz w:val="22"/>
          <w:szCs w:val="22"/>
          <w:lang w:val="fr-FR"/>
        </w:rPr>
        <w:t xml:space="preserve">). Le tableau 1 contient un aperçu des codes taxonomiques des espèces, des noms scientifiques et des noms communs en anglais, français et espagnol utilisés pour identifier les espèces de l’Annexe I de la CMS et/ou de l’Annexe 1 du </w:t>
      </w:r>
      <w:proofErr w:type="spellStart"/>
      <w:r w:rsidRPr="00D42D2B">
        <w:rPr>
          <w:rFonts w:ascii="Arial" w:hAnsi="Arial" w:cs="Arial"/>
          <w:sz w:val="22"/>
          <w:szCs w:val="22"/>
          <w:lang w:val="fr-FR"/>
        </w:rPr>
        <w:t>MdE</w:t>
      </w:r>
      <w:proofErr w:type="spellEnd"/>
      <w:r w:rsidRPr="00D42D2B">
        <w:rPr>
          <w:rFonts w:ascii="Arial" w:hAnsi="Arial" w:cs="Arial"/>
          <w:sz w:val="22"/>
          <w:szCs w:val="22"/>
          <w:lang w:val="fr-FR"/>
        </w:rPr>
        <w:t xml:space="preserve"> requins à la FAO</w:t>
      </w:r>
    </w:p>
    <w:p w14:paraId="53A117C4" w14:textId="77777777" w:rsidR="00016A72" w:rsidRPr="00016A72" w:rsidRDefault="00016A72" w:rsidP="00016A72">
      <w:pPr>
        <w:pStyle w:val="Caption"/>
        <w:keepNext/>
        <w:jc w:val="both"/>
        <w:rPr>
          <w:rFonts w:ascii="Arial" w:hAnsi="Arial" w:cs="Arial"/>
          <w:i w:val="0"/>
          <w:iCs w:val="0"/>
          <w:color w:val="000000"/>
          <w:sz w:val="22"/>
          <w:szCs w:val="22"/>
          <w:u w:color="000000"/>
          <w:lang w:val="fr-FR"/>
        </w:rPr>
      </w:pPr>
      <w:r w:rsidRPr="00016A72">
        <w:rPr>
          <w:rFonts w:ascii="Arial" w:hAnsi="Arial" w:cs="Arial"/>
          <w:b/>
          <w:bCs/>
          <w:i w:val="0"/>
          <w:iCs w:val="0"/>
          <w:color w:val="000000"/>
          <w:sz w:val="22"/>
          <w:szCs w:val="22"/>
          <w:u w:color="000000"/>
          <w:lang w:val="fr-FR"/>
        </w:rPr>
        <w:lastRenderedPageBreak/>
        <w:t>Tableau 1.</w:t>
      </w:r>
      <w:r w:rsidRPr="00016A72">
        <w:rPr>
          <w:rFonts w:ascii="Arial" w:hAnsi="Arial" w:cs="Arial"/>
          <w:i w:val="0"/>
          <w:iCs w:val="0"/>
          <w:color w:val="000000"/>
          <w:sz w:val="22"/>
          <w:szCs w:val="22"/>
          <w:u w:color="000000"/>
          <w:lang w:val="fr-FR"/>
        </w:rPr>
        <w:t xml:space="preserve"> Codes taxonomiques disponibles pour enregistrer les débarquements d’espèces inscrites à l’Annexe I de la CMS et à l’Annexe 1 du </w:t>
      </w:r>
      <w:proofErr w:type="spellStart"/>
      <w:r w:rsidRPr="00016A72">
        <w:rPr>
          <w:rFonts w:ascii="Arial" w:hAnsi="Arial" w:cs="Arial"/>
          <w:i w:val="0"/>
          <w:iCs w:val="0"/>
          <w:color w:val="000000"/>
          <w:sz w:val="22"/>
          <w:szCs w:val="22"/>
          <w:u w:color="000000"/>
          <w:lang w:val="fr-FR"/>
        </w:rPr>
        <w:t>MdE</w:t>
      </w:r>
      <w:proofErr w:type="spellEnd"/>
      <w:r w:rsidRPr="00016A72">
        <w:rPr>
          <w:rFonts w:ascii="Arial" w:hAnsi="Arial" w:cs="Arial"/>
          <w:i w:val="0"/>
          <w:iCs w:val="0"/>
          <w:color w:val="000000"/>
          <w:sz w:val="22"/>
          <w:szCs w:val="22"/>
          <w:u w:color="000000"/>
          <w:lang w:val="fr-FR"/>
        </w:rPr>
        <w:t xml:space="preserve"> requins auprès de la FAO. Ces codes sont ceux disponibles sur la liste ASFIS des espèces pour les besoins des statistiques des pêches de la FAO, publiée en 2021. Certains des noms fournis ici peuvent ne pas être des noms scientifiques valides à l'heure actuelle. Les codes ASFIS disponibles ont changé au fil du temps, et certains de ces codes peuvent ne pas avoir été disponibles pour les analyses à long terme.</w:t>
      </w:r>
    </w:p>
    <w:p w14:paraId="6619A127" w14:textId="77777777" w:rsidR="00016A72" w:rsidRPr="00016A72" w:rsidRDefault="00016A72" w:rsidP="00016A72">
      <w:pPr>
        <w:ind w:right="26"/>
        <w:jc w:val="both"/>
        <w:rPr>
          <w:rFonts w:ascii="Arial" w:hAnsi="Arial" w:cs="Arial"/>
          <w:bCs/>
          <w:iCs/>
          <w:sz w:val="22"/>
          <w:szCs w:val="22"/>
          <w:lang w:val="fr-FR"/>
        </w:rPr>
      </w:pPr>
    </w:p>
    <w:tbl>
      <w:tblPr>
        <w:tblStyle w:val="PlainTable21"/>
        <w:tblW w:w="5000" w:type="pct"/>
        <w:tblLook w:val="04A0" w:firstRow="1" w:lastRow="0" w:firstColumn="1" w:lastColumn="0" w:noHBand="0" w:noVBand="1"/>
      </w:tblPr>
      <w:tblGrid>
        <w:gridCol w:w="2703"/>
        <w:gridCol w:w="2231"/>
        <w:gridCol w:w="1229"/>
        <w:gridCol w:w="2225"/>
        <w:gridCol w:w="2094"/>
        <w:gridCol w:w="2094"/>
        <w:gridCol w:w="1986"/>
      </w:tblGrid>
      <w:tr w:rsidR="00016A72" w:rsidRPr="004866AB" w14:paraId="2CA09C2E" w14:textId="77777777" w:rsidTr="00D8396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28" w:type="pct"/>
            <w:hideMark/>
          </w:tcPr>
          <w:p w14:paraId="0048450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bookmarkStart w:id="4" w:name="_Hlk118370378"/>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Type de catégorie</w:t>
            </w:r>
          </w:p>
        </w:tc>
        <w:tc>
          <w:tcPr>
            <w:tcW w:w="766" w:type="pct"/>
            <w:hideMark/>
          </w:tcPr>
          <w:p w14:paraId="6F8D4B6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Code taxonomique</w:t>
            </w:r>
          </w:p>
        </w:tc>
        <w:tc>
          <w:tcPr>
            <w:tcW w:w="422" w:type="pct"/>
            <w:hideMark/>
          </w:tcPr>
          <w:p w14:paraId="1A918B4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Code 3-alpha</w:t>
            </w:r>
          </w:p>
        </w:tc>
        <w:tc>
          <w:tcPr>
            <w:tcW w:w="764" w:type="pct"/>
            <w:hideMark/>
          </w:tcPr>
          <w:p w14:paraId="5C99E0B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Nom scientifique</w:t>
            </w:r>
          </w:p>
        </w:tc>
        <w:tc>
          <w:tcPr>
            <w:tcW w:w="719" w:type="pct"/>
            <w:hideMark/>
          </w:tcPr>
          <w:p w14:paraId="164E9AD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Nom anglais</w:t>
            </w:r>
          </w:p>
        </w:tc>
        <w:tc>
          <w:tcPr>
            <w:tcW w:w="719" w:type="pct"/>
            <w:hideMark/>
          </w:tcPr>
          <w:p w14:paraId="60979D3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Nom français</w:t>
            </w:r>
          </w:p>
        </w:tc>
        <w:tc>
          <w:tcPr>
            <w:tcW w:w="682" w:type="pct"/>
            <w:hideMark/>
          </w:tcPr>
          <w:p w14:paraId="337863F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Nom espagnol</w:t>
            </w:r>
          </w:p>
        </w:tc>
      </w:tr>
      <w:tr w:rsidR="00016A72" w:rsidRPr="004866AB" w14:paraId="78B060DD"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8945E3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5EEE2A3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199XXXXXXX054</w:t>
            </w:r>
          </w:p>
        </w:tc>
        <w:tc>
          <w:tcPr>
            <w:tcW w:w="422" w:type="pct"/>
            <w:hideMark/>
          </w:tcPr>
          <w:p w14:paraId="71D70E9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SKX</w:t>
            </w:r>
          </w:p>
        </w:tc>
        <w:tc>
          <w:tcPr>
            <w:tcW w:w="764" w:type="pct"/>
            <w:hideMark/>
          </w:tcPr>
          <w:p w14:paraId="6258C6E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Elasmobranchii</w:t>
            </w:r>
            <w:proofErr w:type="spellEnd"/>
          </w:p>
        </w:tc>
        <w:tc>
          <w:tcPr>
            <w:tcW w:w="719" w:type="pct"/>
            <w:hideMark/>
          </w:tcPr>
          <w:p w14:paraId="02D3370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Sharks</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rays, skates, etc.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nei</w:t>
            </w:r>
            <w:proofErr w:type="spellEnd"/>
            <w:r w:rsidRPr="004866AB">
              <w:rPr>
                <w:rFonts w:ascii="Arial" w:eastAsia="Arial Unicode MS" w:hAnsi="Arial" w:cs="Arial"/>
                <w:color w:val="000000"/>
                <w:sz w:val="18"/>
                <w:szCs w:val="18"/>
                <w:u w:color="000000"/>
                <w:bdr w:val="nil"/>
                <w:vertAlign w:val="superscript"/>
                <w:lang w:val="fr-FR" w:eastAsia="en-GB"/>
                <w14:textOutline w14:w="0" w14:cap="flat" w14:cmpd="sng" w14:algn="ctr">
                  <w14:noFill/>
                  <w14:prstDash w14:val="solid"/>
                  <w14:bevel/>
                </w14:textOutline>
              </w:rPr>
              <w:footnoteReference w:id="3"/>
            </w:r>
          </w:p>
        </w:tc>
        <w:tc>
          <w:tcPr>
            <w:tcW w:w="719" w:type="pct"/>
            <w:hideMark/>
          </w:tcPr>
          <w:p w14:paraId="7BF1E5D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raies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etc.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0A0B906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Tiburones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rayas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etc. nep</w:t>
            </w:r>
          </w:p>
        </w:tc>
      </w:tr>
      <w:tr w:rsidR="00016A72" w:rsidRPr="004866AB" w14:paraId="4DDE5B65"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180F22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6AD5889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199XXXXXXX053</w:t>
            </w:r>
          </w:p>
        </w:tc>
        <w:tc>
          <w:tcPr>
            <w:tcW w:w="422" w:type="pct"/>
            <w:hideMark/>
          </w:tcPr>
          <w:p w14:paraId="1CE525C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SKH</w:t>
            </w:r>
          </w:p>
        </w:tc>
        <w:tc>
          <w:tcPr>
            <w:tcW w:w="764" w:type="pct"/>
            <w:hideMark/>
          </w:tcPr>
          <w:p w14:paraId="1DE7FE8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Selachimorpha</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Pleurotremata</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719" w:type="pct"/>
            <w:hideMark/>
          </w:tcPr>
          <w:p w14:paraId="681BEE0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Various sharks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1286BDB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divers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5627BF2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Escualos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diversos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866AB" w14:paraId="0836D207"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6650C0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4D8C512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108XXXXXXX</w:t>
            </w:r>
          </w:p>
        </w:tc>
        <w:tc>
          <w:tcPr>
            <w:tcW w:w="422" w:type="pct"/>
            <w:hideMark/>
          </w:tcPr>
          <w:p w14:paraId="1B12E7E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CVX</w:t>
            </w:r>
          </w:p>
        </w:tc>
        <w:tc>
          <w:tcPr>
            <w:tcW w:w="764" w:type="pct"/>
            <w:hideMark/>
          </w:tcPr>
          <w:p w14:paraId="3F56E6A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Carcharhiniformes</w:t>
            </w:r>
            <w:proofErr w:type="spellEnd"/>
          </w:p>
        </w:tc>
        <w:tc>
          <w:tcPr>
            <w:tcW w:w="719" w:type="pct"/>
            <w:hideMark/>
          </w:tcPr>
          <w:p w14:paraId="03DC545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Ground sharks</w:t>
            </w:r>
          </w:p>
        </w:tc>
        <w:tc>
          <w:tcPr>
            <w:tcW w:w="719" w:type="pct"/>
            <w:hideMark/>
          </w:tcPr>
          <w:p w14:paraId="369B564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0048E99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5DB0C6F3"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A240D8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14285BC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10802XXXXX</w:t>
            </w:r>
          </w:p>
        </w:tc>
        <w:tc>
          <w:tcPr>
            <w:tcW w:w="422" w:type="pct"/>
            <w:hideMark/>
          </w:tcPr>
          <w:p w14:paraId="6B5617D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RSK</w:t>
            </w:r>
          </w:p>
        </w:tc>
        <w:tc>
          <w:tcPr>
            <w:tcW w:w="764" w:type="pct"/>
            <w:hideMark/>
          </w:tcPr>
          <w:p w14:paraId="60DC990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Carcharhinidae</w:t>
            </w:r>
          </w:p>
        </w:tc>
        <w:tc>
          <w:tcPr>
            <w:tcW w:w="719" w:type="pct"/>
            <w:hideMark/>
          </w:tcPr>
          <w:p w14:paraId="09E83F6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Requiem sharks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2DD4DDF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5A53D8C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Cazones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picudos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tintoreras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866AB" w14:paraId="72AAC47C"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1CD44F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1ADCD9F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10802010XX</w:t>
            </w:r>
          </w:p>
        </w:tc>
        <w:tc>
          <w:tcPr>
            <w:tcW w:w="422" w:type="pct"/>
            <w:hideMark/>
          </w:tcPr>
          <w:p w14:paraId="25A348E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CWZ</w:t>
            </w:r>
          </w:p>
        </w:tc>
        <w:tc>
          <w:tcPr>
            <w:tcW w:w="764" w:type="pct"/>
            <w:hideMark/>
          </w:tcPr>
          <w:p w14:paraId="042F994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Carcharhinus</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spp</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c>
          <w:tcPr>
            <w:tcW w:w="719" w:type="pct"/>
            <w:hideMark/>
          </w:tcPr>
          <w:p w14:paraId="31184C2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Carcharhinus sharks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0C2F3F3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Carcharhinus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0B98741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Cazones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Carcharhinus nep</w:t>
            </w:r>
          </w:p>
        </w:tc>
      </w:tr>
      <w:tr w:rsidR="00016A72" w:rsidRPr="004866AB" w14:paraId="01DBCD53"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C40CE5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7D38E53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1080201017</w:t>
            </w:r>
          </w:p>
        </w:tc>
        <w:tc>
          <w:tcPr>
            <w:tcW w:w="422" w:type="pct"/>
            <w:hideMark/>
          </w:tcPr>
          <w:p w14:paraId="0ABDD09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FAL</w:t>
            </w:r>
          </w:p>
        </w:tc>
        <w:tc>
          <w:tcPr>
            <w:tcW w:w="764" w:type="pct"/>
            <w:hideMark/>
          </w:tcPr>
          <w:p w14:paraId="2EF6E1A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Carcharhinus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falciformis</w:t>
            </w:r>
            <w:proofErr w:type="spellEnd"/>
          </w:p>
        </w:tc>
        <w:tc>
          <w:tcPr>
            <w:tcW w:w="719" w:type="pct"/>
            <w:hideMark/>
          </w:tcPr>
          <w:p w14:paraId="503CA0F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Silky shark</w:t>
            </w:r>
          </w:p>
        </w:tc>
        <w:tc>
          <w:tcPr>
            <w:tcW w:w="719" w:type="pct"/>
            <w:hideMark/>
          </w:tcPr>
          <w:p w14:paraId="40F8B60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soyeux</w:t>
            </w:r>
            <w:proofErr w:type="spellEnd"/>
          </w:p>
        </w:tc>
        <w:tc>
          <w:tcPr>
            <w:tcW w:w="682" w:type="pct"/>
            <w:hideMark/>
          </w:tcPr>
          <w:p w14:paraId="206C9D5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Tiburón</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jaquetón</w:t>
            </w:r>
            <w:proofErr w:type="spellEnd"/>
          </w:p>
        </w:tc>
      </w:tr>
      <w:tr w:rsidR="00016A72" w:rsidRPr="004866AB" w14:paraId="27301B1F"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86092A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5BE74F5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1080201011</w:t>
            </w:r>
          </w:p>
        </w:tc>
        <w:tc>
          <w:tcPr>
            <w:tcW w:w="422" w:type="pct"/>
            <w:hideMark/>
          </w:tcPr>
          <w:p w14:paraId="53DC77D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OCS</w:t>
            </w:r>
          </w:p>
        </w:tc>
        <w:tc>
          <w:tcPr>
            <w:tcW w:w="764" w:type="pct"/>
            <w:hideMark/>
          </w:tcPr>
          <w:p w14:paraId="4BEDE01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Carcharhinus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longimanus</w:t>
            </w:r>
            <w:proofErr w:type="spellEnd"/>
          </w:p>
        </w:tc>
        <w:tc>
          <w:tcPr>
            <w:tcW w:w="719" w:type="pct"/>
            <w:hideMark/>
          </w:tcPr>
          <w:p w14:paraId="7FBA0D7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Oceanic whitetip shark</w:t>
            </w:r>
          </w:p>
        </w:tc>
        <w:tc>
          <w:tcPr>
            <w:tcW w:w="719" w:type="pct"/>
            <w:hideMark/>
          </w:tcPr>
          <w:p w14:paraId="1FA49DC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océanique</w:t>
            </w:r>
            <w:proofErr w:type="spellEnd"/>
          </w:p>
        </w:tc>
        <w:tc>
          <w:tcPr>
            <w:tcW w:w="682" w:type="pct"/>
            <w:hideMark/>
          </w:tcPr>
          <w:p w14:paraId="094495B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Tiburón</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oceánico</w:t>
            </w:r>
            <w:proofErr w:type="spellEnd"/>
          </w:p>
        </w:tc>
      </w:tr>
      <w:tr w:rsidR="00016A72" w:rsidRPr="004866AB" w14:paraId="01BEDDFA"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B8D29F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71908B7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1080201016</w:t>
            </w:r>
          </w:p>
        </w:tc>
        <w:tc>
          <w:tcPr>
            <w:tcW w:w="422" w:type="pct"/>
            <w:hideMark/>
          </w:tcPr>
          <w:p w14:paraId="5142B1F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DUS</w:t>
            </w:r>
          </w:p>
        </w:tc>
        <w:tc>
          <w:tcPr>
            <w:tcW w:w="764" w:type="pct"/>
            <w:hideMark/>
          </w:tcPr>
          <w:p w14:paraId="06B3107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Carcharhinus obscurus</w:t>
            </w:r>
          </w:p>
        </w:tc>
        <w:tc>
          <w:tcPr>
            <w:tcW w:w="719" w:type="pct"/>
            <w:hideMark/>
          </w:tcPr>
          <w:p w14:paraId="1E8AE7F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Dusky shark</w:t>
            </w:r>
          </w:p>
        </w:tc>
        <w:tc>
          <w:tcPr>
            <w:tcW w:w="719" w:type="pct"/>
            <w:hideMark/>
          </w:tcPr>
          <w:p w14:paraId="51F0CC0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Requin de sable</w:t>
            </w:r>
          </w:p>
        </w:tc>
        <w:tc>
          <w:tcPr>
            <w:tcW w:w="682" w:type="pct"/>
            <w:hideMark/>
          </w:tcPr>
          <w:p w14:paraId="1DD14E8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Tiburón</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arenero</w:t>
            </w:r>
            <w:proofErr w:type="spellEnd"/>
          </w:p>
        </w:tc>
      </w:tr>
      <w:tr w:rsidR="00016A72" w:rsidRPr="004866AB" w14:paraId="25DAFC10"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2566B2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1858AA6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10803XXXXX</w:t>
            </w:r>
          </w:p>
        </w:tc>
        <w:tc>
          <w:tcPr>
            <w:tcW w:w="422" w:type="pct"/>
            <w:hideMark/>
          </w:tcPr>
          <w:p w14:paraId="1C8D307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SPY</w:t>
            </w:r>
          </w:p>
        </w:tc>
        <w:tc>
          <w:tcPr>
            <w:tcW w:w="764" w:type="pct"/>
            <w:hideMark/>
          </w:tcPr>
          <w:p w14:paraId="6F892E4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Sphyrnidae</w:t>
            </w:r>
          </w:p>
        </w:tc>
        <w:tc>
          <w:tcPr>
            <w:tcW w:w="719" w:type="pct"/>
            <w:hideMark/>
          </w:tcPr>
          <w:p w14:paraId="7CC14CF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Hammerhead sharks, etc.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1EB233E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marteau</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etc.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357D600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Cornudas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cachudas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etc. nep</w:t>
            </w:r>
          </w:p>
        </w:tc>
      </w:tr>
      <w:tr w:rsidR="00016A72" w:rsidRPr="004866AB" w14:paraId="253F327C"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D04B8C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193137E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10803005XX</w:t>
            </w:r>
          </w:p>
        </w:tc>
        <w:tc>
          <w:tcPr>
            <w:tcW w:w="422" w:type="pct"/>
            <w:hideMark/>
          </w:tcPr>
          <w:p w14:paraId="103B818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SPN</w:t>
            </w:r>
          </w:p>
        </w:tc>
        <w:tc>
          <w:tcPr>
            <w:tcW w:w="764" w:type="pct"/>
            <w:hideMark/>
          </w:tcPr>
          <w:p w14:paraId="55E5BAC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Sphyrna</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spp</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c>
          <w:tcPr>
            <w:tcW w:w="719" w:type="pct"/>
            <w:hideMark/>
          </w:tcPr>
          <w:p w14:paraId="693AC20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Hammerhead sharks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0E33463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marteau</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601874A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s-ES"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s-ES" w:eastAsia="en-GB"/>
                <w14:textOutline w14:w="0" w14:cap="flat" w14:cmpd="sng" w14:algn="ctr">
                  <w14:noFill/>
                  <w14:prstDash w14:val="solid"/>
                  <w14:bevel/>
                </w14:textOutline>
              </w:rPr>
              <w:t xml:space="preserve">Cornudas, cachudas (=Peces martillo) </w:t>
            </w:r>
            <w:proofErr w:type="spellStart"/>
            <w:r w:rsidRPr="004866AB">
              <w:rPr>
                <w:rFonts w:ascii="Arial" w:eastAsia="Arial Unicode MS" w:hAnsi="Arial" w:cs="Arial"/>
                <w:color w:val="000000"/>
                <w:sz w:val="18"/>
                <w:szCs w:val="18"/>
                <w:u w:color="000000"/>
                <w:bdr w:val="nil"/>
                <w:lang w:val="es-ES" w:eastAsia="en-GB"/>
                <w14:textOutline w14:w="0" w14:cap="flat" w14:cmpd="sng" w14:algn="ctr">
                  <w14:noFill/>
                  <w14:prstDash w14:val="solid"/>
                  <w14:bevel/>
                </w14:textOutline>
              </w:rPr>
              <w:t>nep</w:t>
            </w:r>
            <w:proofErr w:type="spellEnd"/>
          </w:p>
        </w:tc>
      </w:tr>
      <w:tr w:rsidR="00016A72" w:rsidRPr="004866AB" w14:paraId="6D252EDE"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4808B6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5270A56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1080300506</w:t>
            </w:r>
          </w:p>
        </w:tc>
        <w:tc>
          <w:tcPr>
            <w:tcW w:w="422" w:type="pct"/>
            <w:hideMark/>
          </w:tcPr>
          <w:p w14:paraId="4686B9C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SPL</w:t>
            </w:r>
          </w:p>
        </w:tc>
        <w:tc>
          <w:tcPr>
            <w:tcW w:w="764" w:type="pct"/>
            <w:hideMark/>
          </w:tcPr>
          <w:p w14:paraId="39922B8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Sphyrna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lewini</w:t>
            </w:r>
            <w:proofErr w:type="spellEnd"/>
          </w:p>
        </w:tc>
        <w:tc>
          <w:tcPr>
            <w:tcW w:w="719" w:type="pct"/>
            <w:hideMark/>
          </w:tcPr>
          <w:p w14:paraId="379D069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Scalloped hammerhead</w:t>
            </w:r>
          </w:p>
        </w:tc>
        <w:tc>
          <w:tcPr>
            <w:tcW w:w="719" w:type="pct"/>
            <w:hideMark/>
          </w:tcPr>
          <w:p w14:paraId="1E13280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Requin-</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marteau</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halicorne</w:t>
            </w:r>
            <w:proofErr w:type="spellEnd"/>
          </w:p>
        </w:tc>
        <w:tc>
          <w:tcPr>
            <w:tcW w:w="682" w:type="pct"/>
            <w:hideMark/>
          </w:tcPr>
          <w:p w14:paraId="5FF24A9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Cornuda</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común</w:t>
            </w:r>
            <w:proofErr w:type="spellEnd"/>
          </w:p>
        </w:tc>
      </w:tr>
      <w:tr w:rsidR="00016A72" w:rsidRPr="004866AB" w14:paraId="74F7E76F"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683DF9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4C24FE0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1080300510</w:t>
            </w:r>
          </w:p>
        </w:tc>
        <w:tc>
          <w:tcPr>
            <w:tcW w:w="422" w:type="pct"/>
            <w:hideMark/>
          </w:tcPr>
          <w:p w14:paraId="4231C3B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SPK</w:t>
            </w:r>
          </w:p>
        </w:tc>
        <w:tc>
          <w:tcPr>
            <w:tcW w:w="764" w:type="pct"/>
            <w:hideMark/>
          </w:tcPr>
          <w:p w14:paraId="0A2DD1F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Sphyrna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mokarran</w:t>
            </w:r>
            <w:proofErr w:type="spellEnd"/>
          </w:p>
        </w:tc>
        <w:tc>
          <w:tcPr>
            <w:tcW w:w="719" w:type="pct"/>
            <w:hideMark/>
          </w:tcPr>
          <w:p w14:paraId="1ADBE69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Great hammerhead</w:t>
            </w:r>
          </w:p>
        </w:tc>
        <w:tc>
          <w:tcPr>
            <w:tcW w:w="719" w:type="pct"/>
            <w:hideMark/>
          </w:tcPr>
          <w:p w14:paraId="0128FE4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Grand requin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marteau</w:t>
            </w:r>
            <w:proofErr w:type="spellEnd"/>
          </w:p>
        </w:tc>
        <w:tc>
          <w:tcPr>
            <w:tcW w:w="682" w:type="pct"/>
            <w:hideMark/>
          </w:tcPr>
          <w:p w14:paraId="1CAEB23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Cornuda</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gigante</w:t>
            </w:r>
            <w:proofErr w:type="spellEnd"/>
          </w:p>
        </w:tc>
      </w:tr>
      <w:tr w:rsidR="00016A72" w:rsidRPr="004866AB" w14:paraId="1F0207C8"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576718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0BEEA60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1080300501</w:t>
            </w:r>
          </w:p>
        </w:tc>
        <w:tc>
          <w:tcPr>
            <w:tcW w:w="422" w:type="pct"/>
            <w:hideMark/>
          </w:tcPr>
          <w:p w14:paraId="5D6548A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SPZ</w:t>
            </w:r>
          </w:p>
        </w:tc>
        <w:tc>
          <w:tcPr>
            <w:tcW w:w="764" w:type="pct"/>
            <w:hideMark/>
          </w:tcPr>
          <w:p w14:paraId="11A0A87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Sphyrna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zygaena</w:t>
            </w:r>
            <w:proofErr w:type="spellEnd"/>
          </w:p>
        </w:tc>
        <w:tc>
          <w:tcPr>
            <w:tcW w:w="719" w:type="pct"/>
            <w:hideMark/>
          </w:tcPr>
          <w:p w14:paraId="5B6B1AB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Smooth hammerhead</w:t>
            </w:r>
          </w:p>
        </w:tc>
        <w:tc>
          <w:tcPr>
            <w:tcW w:w="719" w:type="pct"/>
            <w:hideMark/>
          </w:tcPr>
          <w:p w14:paraId="36EBED1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Requin-</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marteau</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commun</w:t>
            </w:r>
            <w:proofErr w:type="spellEnd"/>
          </w:p>
        </w:tc>
        <w:tc>
          <w:tcPr>
            <w:tcW w:w="682" w:type="pct"/>
            <w:hideMark/>
          </w:tcPr>
          <w:p w14:paraId="13F4523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Cornuda</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cruz</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Pez</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martillo</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r>
      <w:tr w:rsidR="00016A72" w:rsidRPr="004866AB" w14:paraId="5D69D1D0"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BF13F4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611636E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106XXXXXXX</w:t>
            </w:r>
          </w:p>
        </w:tc>
        <w:tc>
          <w:tcPr>
            <w:tcW w:w="422" w:type="pct"/>
            <w:hideMark/>
          </w:tcPr>
          <w:p w14:paraId="2C4606A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LMZ</w:t>
            </w:r>
          </w:p>
        </w:tc>
        <w:tc>
          <w:tcPr>
            <w:tcW w:w="764" w:type="pct"/>
            <w:hideMark/>
          </w:tcPr>
          <w:p w14:paraId="157A055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Lamniformes</w:t>
            </w:r>
            <w:proofErr w:type="spellEnd"/>
          </w:p>
        </w:tc>
        <w:tc>
          <w:tcPr>
            <w:tcW w:w="719" w:type="pct"/>
            <w:hideMark/>
          </w:tcPr>
          <w:p w14:paraId="052CB2A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Mackerel sharks</w:t>
            </w:r>
          </w:p>
        </w:tc>
        <w:tc>
          <w:tcPr>
            <w:tcW w:w="719" w:type="pct"/>
            <w:hideMark/>
          </w:tcPr>
          <w:p w14:paraId="1ECF744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17ACDB6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79D32330"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FA2F8C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Agrégation de toutes les listes</w:t>
            </w:r>
          </w:p>
        </w:tc>
        <w:tc>
          <w:tcPr>
            <w:tcW w:w="766" w:type="pct"/>
            <w:hideMark/>
          </w:tcPr>
          <w:p w14:paraId="6A2E801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10606006XX</w:t>
            </w:r>
          </w:p>
        </w:tc>
        <w:tc>
          <w:tcPr>
            <w:tcW w:w="422" w:type="pct"/>
            <w:hideMark/>
          </w:tcPr>
          <w:p w14:paraId="14F5137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THR</w:t>
            </w:r>
          </w:p>
        </w:tc>
        <w:tc>
          <w:tcPr>
            <w:tcW w:w="764" w:type="pct"/>
            <w:hideMark/>
          </w:tcPr>
          <w:p w14:paraId="18F810D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 xml:space="preserve">Alopias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spp</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c>
          <w:tcPr>
            <w:tcW w:w="719" w:type="pct"/>
            <w:hideMark/>
          </w:tcPr>
          <w:p w14:paraId="7FAB282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Thresher sharks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6430396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Renards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de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mer</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2917318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Zorros nep</w:t>
            </w:r>
          </w:p>
        </w:tc>
      </w:tr>
      <w:tr w:rsidR="00016A72" w:rsidRPr="004866AB" w14:paraId="0003A01D"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3F9D5E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12900DA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1060600602</w:t>
            </w:r>
          </w:p>
        </w:tc>
        <w:tc>
          <w:tcPr>
            <w:tcW w:w="422" w:type="pct"/>
            <w:hideMark/>
          </w:tcPr>
          <w:p w14:paraId="3B68C0D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PTH</w:t>
            </w:r>
          </w:p>
        </w:tc>
        <w:tc>
          <w:tcPr>
            <w:tcW w:w="764" w:type="pct"/>
            <w:hideMark/>
          </w:tcPr>
          <w:p w14:paraId="3CBAFE0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Alopias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pelagicus</w:t>
            </w:r>
            <w:proofErr w:type="spellEnd"/>
          </w:p>
        </w:tc>
        <w:tc>
          <w:tcPr>
            <w:tcW w:w="719" w:type="pct"/>
            <w:hideMark/>
          </w:tcPr>
          <w:p w14:paraId="6CAF368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Pelagic thresher</w:t>
            </w:r>
          </w:p>
        </w:tc>
        <w:tc>
          <w:tcPr>
            <w:tcW w:w="719" w:type="pct"/>
            <w:hideMark/>
          </w:tcPr>
          <w:p w14:paraId="18CC459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Renard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pélagique</w:t>
            </w:r>
            <w:proofErr w:type="spellEnd"/>
          </w:p>
        </w:tc>
        <w:tc>
          <w:tcPr>
            <w:tcW w:w="682" w:type="pct"/>
            <w:hideMark/>
          </w:tcPr>
          <w:p w14:paraId="6F969CA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Zorro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pelágico</w:t>
            </w:r>
            <w:proofErr w:type="spellEnd"/>
          </w:p>
        </w:tc>
      </w:tr>
      <w:tr w:rsidR="00016A72" w:rsidRPr="004866AB" w14:paraId="1452C154"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62220E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0655D3E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1060600603</w:t>
            </w:r>
          </w:p>
        </w:tc>
        <w:tc>
          <w:tcPr>
            <w:tcW w:w="422" w:type="pct"/>
            <w:hideMark/>
          </w:tcPr>
          <w:p w14:paraId="25AF283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BTH</w:t>
            </w:r>
          </w:p>
        </w:tc>
        <w:tc>
          <w:tcPr>
            <w:tcW w:w="764" w:type="pct"/>
            <w:hideMark/>
          </w:tcPr>
          <w:p w14:paraId="4BA769C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Alopias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superciliosus</w:t>
            </w:r>
            <w:proofErr w:type="spellEnd"/>
          </w:p>
        </w:tc>
        <w:tc>
          <w:tcPr>
            <w:tcW w:w="719" w:type="pct"/>
            <w:hideMark/>
          </w:tcPr>
          <w:p w14:paraId="7092405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Bigeye thresher</w:t>
            </w:r>
          </w:p>
        </w:tc>
        <w:tc>
          <w:tcPr>
            <w:tcW w:w="719" w:type="pct"/>
            <w:hideMark/>
          </w:tcPr>
          <w:p w14:paraId="35BC070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Renard à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gros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yeux</w:t>
            </w:r>
            <w:proofErr w:type="spellEnd"/>
          </w:p>
        </w:tc>
        <w:tc>
          <w:tcPr>
            <w:tcW w:w="682" w:type="pct"/>
            <w:hideMark/>
          </w:tcPr>
          <w:p w14:paraId="0965755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Zorro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ojón</w:t>
            </w:r>
            <w:proofErr w:type="spellEnd"/>
          </w:p>
        </w:tc>
      </w:tr>
      <w:tr w:rsidR="00016A72" w:rsidRPr="004866AB" w14:paraId="257F5265"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5CF74A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lastRenderedPageBreak/>
              <w:t>Spécifique à l’espèce</w:t>
            </w:r>
          </w:p>
        </w:tc>
        <w:tc>
          <w:tcPr>
            <w:tcW w:w="766" w:type="pct"/>
            <w:hideMark/>
          </w:tcPr>
          <w:p w14:paraId="42BA186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1060600601</w:t>
            </w:r>
          </w:p>
        </w:tc>
        <w:tc>
          <w:tcPr>
            <w:tcW w:w="422" w:type="pct"/>
            <w:hideMark/>
          </w:tcPr>
          <w:p w14:paraId="7847386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ALV</w:t>
            </w:r>
          </w:p>
        </w:tc>
        <w:tc>
          <w:tcPr>
            <w:tcW w:w="764" w:type="pct"/>
            <w:hideMark/>
          </w:tcPr>
          <w:p w14:paraId="5F4BB37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Alopias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vulpinus</w:t>
            </w:r>
          </w:p>
        </w:tc>
        <w:tc>
          <w:tcPr>
            <w:tcW w:w="719" w:type="pct"/>
            <w:hideMark/>
          </w:tcPr>
          <w:p w14:paraId="7630B35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Thresher</w:t>
            </w:r>
          </w:p>
        </w:tc>
        <w:tc>
          <w:tcPr>
            <w:tcW w:w="719" w:type="pct"/>
            <w:hideMark/>
          </w:tcPr>
          <w:p w14:paraId="455E26D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Renard</w:t>
            </w:r>
          </w:p>
        </w:tc>
        <w:tc>
          <w:tcPr>
            <w:tcW w:w="682" w:type="pct"/>
            <w:hideMark/>
          </w:tcPr>
          <w:p w14:paraId="4805E71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Zorro</w:t>
            </w:r>
          </w:p>
        </w:tc>
      </w:tr>
      <w:tr w:rsidR="00016A72" w:rsidRPr="004866AB" w14:paraId="2DC59C2F"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088BBE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389CF37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1060100301</w:t>
            </w:r>
          </w:p>
        </w:tc>
        <w:tc>
          <w:tcPr>
            <w:tcW w:w="422" w:type="pct"/>
            <w:hideMark/>
          </w:tcPr>
          <w:p w14:paraId="7834192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BSK</w:t>
            </w:r>
          </w:p>
        </w:tc>
        <w:tc>
          <w:tcPr>
            <w:tcW w:w="764" w:type="pct"/>
            <w:hideMark/>
          </w:tcPr>
          <w:p w14:paraId="01B6DF7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Cetorhinus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maximus</w:t>
            </w:r>
          </w:p>
        </w:tc>
        <w:tc>
          <w:tcPr>
            <w:tcW w:w="719" w:type="pct"/>
            <w:hideMark/>
          </w:tcPr>
          <w:p w14:paraId="5FA7A57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Basking shark</w:t>
            </w:r>
          </w:p>
        </w:tc>
        <w:tc>
          <w:tcPr>
            <w:tcW w:w="719" w:type="pct"/>
            <w:hideMark/>
          </w:tcPr>
          <w:p w14:paraId="3D8443F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Pèlerin</w:t>
            </w:r>
            <w:proofErr w:type="spellEnd"/>
          </w:p>
        </w:tc>
        <w:tc>
          <w:tcPr>
            <w:tcW w:w="682" w:type="pct"/>
            <w:hideMark/>
          </w:tcPr>
          <w:p w14:paraId="162F406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Peregrino</w:t>
            </w:r>
          </w:p>
        </w:tc>
      </w:tr>
      <w:tr w:rsidR="00016A72" w:rsidRPr="004866AB" w14:paraId="320D7262"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10593D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de toutes les listes/Agrégé incertain</w:t>
            </w:r>
          </w:p>
        </w:tc>
        <w:tc>
          <w:tcPr>
            <w:tcW w:w="766" w:type="pct"/>
            <w:hideMark/>
          </w:tcPr>
          <w:p w14:paraId="1E054DA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10608XXXXX</w:t>
            </w:r>
          </w:p>
        </w:tc>
        <w:tc>
          <w:tcPr>
            <w:tcW w:w="422" w:type="pct"/>
            <w:hideMark/>
          </w:tcPr>
          <w:p w14:paraId="4C80385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MSK</w:t>
            </w:r>
          </w:p>
        </w:tc>
        <w:tc>
          <w:tcPr>
            <w:tcW w:w="764" w:type="pct"/>
            <w:hideMark/>
          </w:tcPr>
          <w:p w14:paraId="6DFE181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Lamnidae</w:t>
            </w:r>
          </w:p>
        </w:tc>
        <w:tc>
          <w:tcPr>
            <w:tcW w:w="719" w:type="pct"/>
            <w:hideMark/>
          </w:tcPr>
          <w:p w14:paraId="47EE932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Mackerel </w:t>
            </w:r>
            <w:proofErr w:type="spellStart"/>
            <w:proofErr w:type="gram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sharks,porbeagles</w:t>
            </w:r>
            <w:proofErr w:type="spellEnd"/>
            <w:proofErr w:type="gram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268F272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Requins taupe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5CDD54D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Jaquetones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marrajos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866AB" w14:paraId="74807308"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8E9FA1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532CDC3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1060800701</w:t>
            </w:r>
          </w:p>
        </w:tc>
        <w:tc>
          <w:tcPr>
            <w:tcW w:w="422" w:type="pct"/>
            <w:hideMark/>
          </w:tcPr>
          <w:p w14:paraId="7B08EDD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WSH</w:t>
            </w:r>
          </w:p>
        </w:tc>
        <w:tc>
          <w:tcPr>
            <w:tcW w:w="764" w:type="pct"/>
            <w:hideMark/>
          </w:tcPr>
          <w:p w14:paraId="209A26D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Carcharodon carcharias</w:t>
            </w:r>
          </w:p>
        </w:tc>
        <w:tc>
          <w:tcPr>
            <w:tcW w:w="719" w:type="pct"/>
            <w:hideMark/>
          </w:tcPr>
          <w:p w14:paraId="54D164D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Great white shark</w:t>
            </w:r>
          </w:p>
        </w:tc>
        <w:tc>
          <w:tcPr>
            <w:tcW w:w="719" w:type="pct"/>
            <w:hideMark/>
          </w:tcPr>
          <w:p w14:paraId="0017732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Grand requin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blanc</w:t>
            </w:r>
            <w:proofErr w:type="spellEnd"/>
          </w:p>
        </w:tc>
        <w:tc>
          <w:tcPr>
            <w:tcW w:w="682" w:type="pct"/>
            <w:hideMark/>
          </w:tcPr>
          <w:p w14:paraId="1EA9D5E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Jaquetón</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blanco</w:t>
            </w:r>
            <w:proofErr w:type="spellEnd"/>
          </w:p>
        </w:tc>
      </w:tr>
      <w:tr w:rsidR="00016A72" w:rsidRPr="004866AB" w14:paraId="6CDA651E"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EC9FF8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Agrégation de toutes les listes</w:t>
            </w:r>
          </w:p>
        </w:tc>
        <w:tc>
          <w:tcPr>
            <w:tcW w:w="766" w:type="pct"/>
            <w:hideMark/>
          </w:tcPr>
          <w:p w14:paraId="265BCC9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10608002XX</w:t>
            </w:r>
          </w:p>
        </w:tc>
        <w:tc>
          <w:tcPr>
            <w:tcW w:w="422" w:type="pct"/>
            <w:hideMark/>
          </w:tcPr>
          <w:p w14:paraId="2AC540E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MAK</w:t>
            </w:r>
          </w:p>
        </w:tc>
        <w:tc>
          <w:tcPr>
            <w:tcW w:w="764" w:type="pct"/>
            <w:hideMark/>
          </w:tcPr>
          <w:p w14:paraId="6C58D68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Isurus</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spp</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c>
          <w:tcPr>
            <w:tcW w:w="719" w:type="pct"/>
            <w:hideMark/>
          </w:tcPr>
          <w:p w14:paraId="272A103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Mako sharks</w:t>
            </w:r>
          </w:p>
        </w:tc>
        <w:tc>
          <w:tcPr>
            <w:tcW w:w="719" w:type="pct"/>
            <w:hideMark/>
          </w:tcPr>
          <w:p w14:paraId="13BD09D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Taupes</w:t>
            </w:r>
            <w:proofErr w:type="spellEnd"/>
          </w:p>
        </w:tc>
        <w:tc>
          <w:tcPr>
            <w:tcW w:w="682" w:type="pct"/>
            <w:hideMark/>
          </w:tcPr>
          <w:p w14:paraId="562F3A3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Marrajos</w:t>
            </w:r>
            <w:proofErr w:type="spellEnd"/>
          </w:p>
        </w:tc>
      </w:tr>
      <w:tr w:rsidR="00016A72" w:rsidRPr="004866AB" w14:paraId="04D19B06"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1660EC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135100D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1060800201</w:t>
            </w:r>
          </w:p>
        </w:tc>
        <w:tc>
          <w:tcPr>
            <w:tcW w:w="422" w:type="pct"/>
            <w:hideMark/>
          </w:tcPr>
          <w:p w14:paraId="259931B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SMA</w:t>
            </w:r>
          </w:p>
        </w:tc>
        <w:tc>
          <w:tcPr>
            <w:tcW w:w="764" w:type="pct"/>
            <w:hideMark/>
          </w:tcPr>
          <w:p w14:paraId="0113E5A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Isurus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oxyrinchus</w:t>
            </w:r>
            <w:proofErr w:type="spellEnd"/>
          </w:p>
        </w:tc>
        <w:tc>
          <w:tcPr>
            <w:tcW w:w="719" w:type="pct"/>
            <w:hideMark/>
          </w:tcPr>
          <w:p w14:paraId="735E4B2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Shortfin mako</w:t>
            </w:r>
          </w:p>
        </w:tc>
        <w:tc>
          <w:tcPr>
            <w:tcW w:w="719" w:type="pct"/>
            <w:hideMark/>
          </w:tcPr>
          <w:p w14:paraId="0374F67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Taupe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bleue</w:t>
            </w:r>
            <w:proofErr w:type="spellEnd"/>
          </w:p>
        </w:tc>
        <w:tc>
          <w:tcPr>
            <w:tcW w:w="682" w:type="pct"/>
            <w:hideMark/>
          </w:tcPr>
          <w:p w14:paraId="391F677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Marrajo</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dientuso</w:t>
            </w:r>
            <w:proofErr w:type="spellEnd"/>
          </w:p>
        </w:tc>
      </w:tr>
      <w:tr w:rsidR="00016A72" w:rsidRPr="004866AB" w14:paraId="7B1EB99E"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834F7A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230D2CD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1060800203</w:t>
            </w:r>
          </w:p>
        </w:tc>
        <w:tc>
          <w:tcPr>
            <w:tcW w:w="422" w:type="pct"/>
            <w:hideMark/>
          </w:tcPr>
          <w:p w14:paraId="4B7DFB1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LMA</w:t>
            </w:r>
          </w:p>
        </w:tc>
        <w:tc>
          <w:tcPr>
            <w:tcW w:w="764" w:type="pct"/>
            <w:hideMark/>
          </w:tcPr>
          <w:p w14:paraId="3B156F2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Isurus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paucus</w:t>
            </w:r>
            <w:proofErr w:type="spellEnd"/>
          </w:p>
        </w:tc>
        <w:tc>
          <w:tcPr>
            <w:tcW w:w="719" w:type="pct"/>
            <w:hideMark/>
          </w:tcPr>
          <w:p w14:paraId="4056ED6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Longfin mako</w:t>
            </w:r>
          </w:p>
        </w:tc>
        <w:tc>
          <w:tcPr>
            <w:tcW w:w="719" w:type="pct"/>
            <w:hideMark/>
          </w:tcPr>
          <w:p w14:paraId="61DF9E3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Petite taupe</w:t>
            </w:r>
          </w:p>
        </w:tc>
        <w:tc>
          <w:tcPr>
            <w:tcW w:w="682" w:type="pct"/>
            <w:hideMark/>
          </w:tcPr>
          <w:p w14:paraId="5AC60E4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Carite</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de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Marrajo</w:t>
            </w:r>
            <w:proofErr w:type="spellEnd"/>
          </w:p>
        </w:tc>
      </w:tr>
      <w:tr w:rsidR="00016A72" w:rsidRPr="004866AB" w14:paraId="46CAE30E"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4C3DDF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4926C7B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1060800301</w:t>
            </w:r>
          </w:p>
        </w:tc>
        <w:tc>
          <w:tcPr>
            <w:tcW w:w="422" w:type="pct"/>
            <w:hideMark/>
          </w:tcPr>
          <w:p w14:paraId="6FC8646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POR</w:t>
            </w:r>
          </w:p>
        </w:tc>
        <w:tc>
          <w:tcPr>
            <w:tcW w:w="764" w:type="pct"/>
            <w:hideMark/>
          </w:tcPr>
          <w:p w14:paraId="75C1F5E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Lamna nasus</w:t>
            </w:r>
          </w:p>
        </w:tc>
        <w:tc>
          <w:tcPr>
            <w:tcW w:w="719" w:type="pct"/>
            <w:hideMark/>
          </w:tcPr>
          <w:p w14:paraId="2D046BD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Porbeagle</w:t>
            </w:r>
          </w:p>
        </w:tc>
        <w:tc>
          <w:tcPr>
            <w:tcW w:w="719" w:type="pct"/>
            <w:hideMark/>
          </w:tcPr>
          <w:p w14:paraId="1DA958B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Requin-taupe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commun</w:t>
            </w:r>
            <w:proofErr w:type="spellEnd"/>
          </w:p>
        </w:tc>
        <w:tc>
          <w:tcPr>
            <w:tcW w:w="682" w:type="pct"/>
            <w:hideMark/>
          </w:tcPr>
          <w:p w14:paraId="04BC4C6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Marrajo</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sardinero</w:t>
            </w:r>
            <w:proofErr w:type="spellEnd"/>
          </w:p>
        </w:tc>
      </w:tr>
      <w:tr w:rsidR="00016A72" w:rsidRPr="004866AB" w14:paraId="05909A86"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075644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6295E47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107XXXXXXX</w:t>
            </w:r>
          </w:p>
        </w:tc>
        <w:tc>
          <w:tcPr>
            <w:tcW w:w="422" w:type="pct"/>
            <w:hideMark/>
          </w:tcPr>
          <w:p w14:paraId="2B6AAB3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OCX</w:t>
            </w:r>
          </w:p>
        </w:tc>
        <w:tc>
          <w:tcPr>
            <w:tcW w:w="764" w:type="pct"/>
            <w:hideMark/>
          </w:tcPr>
          <w:p w14:paraId="3637D5E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Orectolobiformes</w:t>
            </w:r>
            <w:proofErr w:type="spellEnd"/>
          </w:p>
        </w:tc>
        <w:tc>
          <w:tcPr>
            <w:tcW w:w="719" w:type="pct"/>
            <w:hideMark/>
          </w:tcPr>
          <w:p w14:paraId="1715756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Carpet sharks</w:t>
            </w:r>
          </w:p>
        </w:tc>
        <w:tc>
          <w:tcPr>
            <w:tcW w:w="719" w:type="pct"/>
            <w:hideMark/>
          </w:tcPr>
          <w:p w14:paraId="2D45C7A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69087C2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166ABAB2"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784C7C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5BF18AA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1070500401</w:t>
            </w:r>
          </w:p>
        </w:tc>
        <w:tc>
          <w:tcPr>
            <w:tcW w:w="422" w:type="pct"/>
            <w:hideMark/>
          </w:tcPr>
          <w:p w14:paraId="5C61866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RHN</w:t>
            </w:r>
          </w:p>
        </w:tc>
        <w:tc>
          <w:tcPr>
            <w:tcW w:w="764" w:type="pct"/>
            <w:hideMark/>
          </w:tcPr>
          <w:p w14:paraId="246D234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Rhincodon typus</w:t>
            </w:r>
          </w:p>
        </w:tc>
        <w:tc>
          <w:tcPr>
            <w:tcW w:w="719" w:type="pct"/>
            <w:hideMark/>
          </w:tcPr>
          <w:p w14:paraId="09EF7E8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Whale shark</w:t>
            </w:r>
          </w:p>
        </w:tc>
        <w:tc>
          <w:tcPr>
            <w:tcW w:w="719" w:type="pct"/>
            <w:hideMark/>
          </w:tcPr>
          <w:p w14:paraId="43D53D0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Requin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baleine</w:t>
            </w:r>
            <w:proofErr w:type="spellEnd"/>
          </w:p>
        </w:tc>
        <w:tc>
          <w:tcPr>
            <w:tcW w:w="682" w:type="pct"/>
            <w:hideMark/>
          </w:tcPr>
          <w:p w14:paraId="6692524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Tiburón</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ballena</w:t>
            </w:r>
            <w:proofErr w:type="spellEnd"/>
          </w:p>
        </w:tc>
      </w:tr>
      <w:tr w:rsidR="00016A72" w:rsidRPr="004866AB" w14:paraId="189E2F2A"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788F6C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7C7058B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10901XXXXX</w:t>
            </w:r>
          </w:p>
        </w:tc>
        <w:tc>
          <w:tcPr>
            <w:tcW w:w="422" w:type="pct"/>
            <w:hideMark/>
          </w:tcPr>
          <w:p w14:paraId="7D08E45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DGX</w:t>
            </w:r>
          </w:p>
        </w:tc>
        <w:tc>
          <w:tcPr>
            <w:tcW w:w="764" w:type="pct"/>
            <w:hideMark/>
          </w:tcPr>
          <w:p w14:paraId="592D82F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Squalidae</w:t>
            </w:r>
            <w:proofErr w:type="spellEnd"/>
          </w:p>
        </w:tc>
        <w:tc>
          <w:tcPr>
            <w:tcW w:w="719" w:type="pct"/>
            <w:hideMark/>
          </w:tcPr>
          <w:p w14:paraId="420582E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Dogfish sharks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687C0E4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7A3D316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Galludos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y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tollos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866AB" w14:paraId="7DA1935B"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7842EC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750478C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109XXXXXXX</w:t>
            </w:r>
          </w:p>
        </w:tc>
        <w:tc>
          <w:tcPr>
            <w:tcW w:w="422" w:type="pct"/>
            <w:hideMark/>
          </w:tcPr>
          <w:p w14:paraId="479AC30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SHX</w:t>
            </w:r>
          </w:p>
        </w:tc>
        <w:tc>
          <w:tcPr>
            <w:tcW w:w="764" w:type="pct"/>
            <w:hideMark/>
          </w:tcPr>
          <w:p w14:paraId="173A030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Squaliformes</w:t>
            </w:r>
            <w:proofErr w:type="spellEnd"/>
          </w:p>
        </w:tc>
        <w:tc>
          <w:tcPr>
            <w:tcW w:w="719" w:type="pct"/>
            <w:hideMark/>
          </w:tcPr>
          <w:p w14:paraId="2792B83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Dogfish sharks, etc.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42B241A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Squaliformes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4B8D0FB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Squaliformes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165F5" w14:paraId="5B46F8E1"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A9F182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046D461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10901XXXXX040</w:t>
            </w:r>
          </w:p>
        </w:tc>
        <w:tc>
          <w:tcPr>
            <w:tcW w:w="422" w:type="pct"/>
            <w:hideMark/>
          </w:tcPr>
          <w:p w14:paraId="6F26984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DGH</w:t>
            </w:r>
          </w:p>
        </w:tc>
        <w:tc>
          <w:tcPr>
            <w:tcW w:w="764" w:type="pct"/>
            <w:hideMark/>
          </w:tcPr>
          <w:p w14:paraId="36ABBC6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Squalidae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Scyliorhinidae</w:t>
            </w:r>
          </w:p>
        </w:tc>
        <w:tc>
          <w:tcPr>
            <w:tcW w:w="719" w:type="pct"/>
            <w:hideMark/>
          </w:tcPr>
          <w:p w14:paraId="756847B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Dogfishes and hounds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3C94E29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Squales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et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émissoles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36C5BF4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s-ES"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s-ES_tradnl" w:eastAsia="en-GB"/>
                <w14:textOutline w14:w="0" w14:cap="flat" w14:cmpd="sng" w14:algn="ctr">
                  <w14:noFill/>
                  <w14:prstDash w14:val="solid"/>
                  <w14:bevel/>
                </w14:textOutline>
              </w:rPr>
              <w:t xml:space="preserve">Galludos, tollos y musolas </w:t>
            </w:r>
            <w:proofErr w:type="spellStart"/>
            <w:r w:rsidRPr="004866AB">
              <w:rPr>
                <w:rFonts w:ascii="Arial" w:eastAsia="Arial Unicode MS" w:hAnsi="Arial" w:cs="Arial"/>
                <w:color w:val="000000"/>
                <w:sz w:val="18"/>
                <w:szCs w:val="18"/>
                <w:u w:color="000000"/>
                <w:bdr w:val="nil"/>
                <w:lang w:val="es-ES_tradnl" w:eastAsia="en-GB"/>
                <w14:textOutline w14:w="0" w14:cap="flat" w14:cmpd="sng" w14:algn="ctr">
                  <w14:noFill/>
                  <w14:prstDash w14:val="solid"/>
                  <w14:bevel/>
                </w14:textOutline>
              </w:rPr>
              <w:t>nep</w:t>
            </w:r>
            <w:proofErr w:type="spellEnd"/>
          </w:p>
        </w:tc>
      </w:tr>
      <w:tr w:rsidR="00016A72" w:rsidRPr="004866AB" w14:paraId="5E5624FE"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CC6A88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7C3C263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10901007XX</w:t>
            </w:r>
          </w:p>
        </w:tc>
        <w:tc>
          <w:tcPr>
            <w:tcW w:w="422" w:type="pct"/>
            <w:hideMark/>
          </w:tcPr>
          <w:p w14:paraId="2A942B9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DGZ</w:t>
            </w:r>
          </w:p>
        </w:tc>
        <w:tc>
          <w:tcPr>
            <w:tcW w:w="764" w:type="pct"/>
            <w:hideMark/>
          </w:tcPr>
          <w:p w14:paraId="1159C8B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Squalus</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spp</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c>
          <w:tcPr>
            <w:tcW w:w="719" w:type="pct"/>
            <w:hideMark/>
          </w:tcPr>
          <w:p w14:paraId="3C76653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Dogfishes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2516643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Aiguillats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670FA5B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Mielgas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866AB" w14:paraId="30E115B5"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9D5FC3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113A937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1090100704</w:t>
            </w:r>
          </w:p>
        </w:tc>
        <w:tc>
          <w:tcPr>
            <w:tcW w:w="422" w:type="pct"/>
            <w:hideMark/>
          </w:tcPr>
          <w:p w14:paraId="0F37236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DGS</w:t>
            </w:r>
          </w:p>
        </w:tc>
        <w:tc>
          <w:tcPr>
            <w:tcW w:w="764" w:type="pct"/>
            <w:hideMark/>
          </w:tcPr>
          <w:p w14:paraId="5155051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Squalus</w:t>
            </w:r>
            <w:proofErr w:type="spellEnd"/>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 xml:space="preserve"> acanthias</w:t>
            </w:r>
            <w:r w:rsidRPr="004866AB">
              <w:rPr>
                <w:rFonts w:ascii="Arial" w:eastAsia="Arial Unicode MS" w:hAnsi="Arial" w:cs="Arial"/>
                <w:i/>
                <w:iCs/>
                <w:color w:val="000000"/>
                <w:sz w:val="18"/>
                <w:szCs w:val="18"/>
                <w:u w:color="000000"/>
                <w:bdr w:val="nil"/>
                <w:vertAlign w:val="superscript"/>
                <w:lang w:val="fr-FR" w:eastAsia="en-GB"/>
                <w14:textOutline w14:w="0" w14:cap="flat" w14:cmpd="sng" w14:algn="ctr">
                  <w14:noFill/>
                  <w14:prstDash w14:val="solid"/>
                  <w14:bevel/>
                </w14:textOutline>
              </w:rPr>
              <w:footnoteReference w:id="4"/>
            </w:r>
          </w:p>
        </w:tc>
        <w:tc>
          <w:tcPr>
            <w:tcW w:w="719" w:type="pct"/>
            <w:hideMark/>
          </w:tcPr>
          <w:p w14:paraId="45B1672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Picked dogfish</w:t>
            </w:r>
          </w:p>
        </w:tc>
        <w:tc>
          <w:tcPr>
            <w:tcW w:w="719" w:type="pct"/>
            <w:hideMark/>
          </w:tcPr>
          <w:p w14:paraId="41CEF93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Aiguillat</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commun</w:t>
            </w:r>
            <w:proofErr w:type="spellEnd"/>
          </w:p>
        </w:tc>
        <w:tc>
          <w:tcPr>
            <w:tcW w:w="682" w:type="pct"/>
            <w:hideMark/>
          </w:tcPr>
          <w:p w14:paraId="3C3AA53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Mielga</w:t>
            </w:r>
            <w:proofErr w:type="spellEnd"/>
          </w:p>
        </w:tc>
      </w:tr>
      <w:tr w:rsidR="00016A72" w:rsidRPr="004866AB" w14:paraId="6BBB35EC"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60A9BB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incertain/Agrégé de toutes les listes</w:t>
            </w:r>
          </w:p>
        </w:tc>
        <w:tc>
          <w:tcPr>
            <w:tcW w:w="766" w:type="pct"/>
            <w:hideMark/>
          </w:tcPr>
          <w:p w14:paraId="2004A8F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10903XXXXX</w:t>
            </w:r>
          </w:p>
        </w:tc>
        <w:tc>
          <w:tcPr>
            <w:tcW w:w="422" w:type="pct"/>
            <w:hideMark/>
          </w:tcPr>
          <w:p w14:paraId="6DD25A9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ASK</w:t>
            </w:r>
          </w:p>
        </w:tc>
        <w:tc>
          <w:tcPr>
            <w:tcW w:w="764" w:type="pct"/>
            <w:hideMark/>
          </w:tcPr>
          <w:p w14:paraId="39E9B39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Squatinidae</w:t>
            </w:r>
            <w:proofErr w:type="spellEnd"/>
          </w:p>
        </w:tc>
        <w:tc>
          <w:tcPr>
            <w:tcW w:w="719" w:type="pct"/>
            <w:hideMark/>
          </w:tcPr>
          <w:p w14:paraId="559C4B6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Angelsharks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sand devils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68057F3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Anges de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mer</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35ED4D4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Angelotes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peces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ángel</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nep</w:t>
            </w:r>
          </w:p>
        </w:tc>
      </w:tr>
      <w:tr w:rsidR="00016A72" w:rsidRPr="004866AB" w14:paraId="3A0D04D7"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8108C5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7DE54F0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1090300401</w:t>
            </w:r>
          </w:p>
        </w:tc>
        <w:tc>
          <w:tcPr>
            <w:tcW w:w="422" w:type="pct"/>
            <w:hideMark/>
          </w:tcPr>
          <w:p w14:paraId="6114D24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AGN</w:t>
            </w:r>
          </w:p>
        </w:tc>
        <w:tc>
          <w:tcPr>
            <w:tcW w:w="764" w:type="pct"/>
            <w:hideMark/>
          </w:tcPr>
          <w:p w14:paraId="76D48E0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Squatina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squatina</w:t>
            </w:r>
            <w:proofErr w:type="spellEnd"/>
          </w:p>
        </w:tc>
        <w:tc>
          <w:tcPr>
            <w:tcW w:w="719" w:type="pct"/>
            <w:hideMark/>
          </w:tcPr>
          <w:p w14:paraId="535A0D1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Angelshark</w:t>
            </w:r>
            <w:proofErr w:type="spellEnd"/>
          </w:p>
        </w:tc>
        <w:tc>
          <w:tcPr>
            <w:tcW w:w="719" w:type="pct"/>
            <w:hideMark/>
          </w:tcPr>
          <w:p w14:paraId="40B433B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Ange de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mer</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commun</w:t>
            </w:r>
            <w:proofErr w:type="spellEnd"/>
          </w:p>
        </w:tc>
        <w:tc>
          <w:tcPr>
            <w:tcW w:w="682" w:type="pct"/>
            <w:hideMark/>
          </w:tcPr>
          <w:p w14:paraId="5C300A6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Angelote</w:t>
            </w:r>
            <w:proofErr w:type="spellEnd"/>
          </w:p>
        </w:tc>
      </w:tr>
      <w:tr w:rsidR="00016A72" w:rsidRPr="004866AB" w14:paraId="69B0C52C"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07F6EA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53C46EC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110XXXXXXX</w:t>
            </w:r>
          </w:p>
        </w:tc>
        <w:tc>
          <w:tcPr>
            <w:tcW w:w="422" w:type="pct"/>
            <w:hideMark/>
          </w:tcPr>
          <w:p w14:paraId="31DBBDE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SRX</w:t>
            </w:r>
          </w:p>
        </w:tc>
        <w:tc>
          <w:tcPr>
            <w:tcW w:w="764" w:type="pct"/>
            <w:hideMark/>
          </w:tcPr>
          <w:p w14:paraId="56107A4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Rajiformes</w:t>
            </w:r>
            <w:proofErr w:type="spellEnd"/>
          </w:p>
        </w:tc>
        <w:tc>
          <w:tcPr>
            <w:tcW w:w="719" w:type="pct"/>
            <w:hideMark/>
          </w:tcPr>
          <w:p w14:paraId="512F638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Rays, stingrays, mantas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2209662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Raies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pastenagues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mantes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5DA04CD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Rayas,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pastinacas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mantas nep</w:t>
            </w:r>
          </w:p>
        </w:tc>
      </w:tr>
      <w:tr w:rsidR="00016A72" w:rsidRPr="004866AB" w14:paraId="408C9EF2"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D89067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Agrégation de toutes les listes</w:t>
            </w:r>
          </w:p>
        </w:tc>
        <w:tc>
          <w:tcPr>
            <w:tcW w:w="766" w:type="pct"/>
            <w:hideMark/>
          </w:tcPr>
          <w:p w14:paraId="4CCB03F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11008XXXXX</w:t>
            </w:r>
          </w:p>
        </w:tc>
        <w:tc>
          <w:tcPr>
            <w:tcW w:w="422" w:type="pct"/>
            <w:hideMark/>
          </w:tcPr>
          <w:p w14:paraId="2364D03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MAN</w:t>
            </w:r>
          </w:p>
        </w:tc>
        <w:tc>
          <w:tcPr>
            <w:tcW w:w="764" w:type="pct"/>
            <w:hideMark/>
          </w:tcPr>
          <w:p w14:paraId="6D937BA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Mobulinae</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w:t>
            </w:r>
            <w:r w:rsidRPr="004866AB">
              <w:rPr>
                <w:rFonts w:ascii="Arial" w:eastAsia="Arial Unicode MS" w:hAnsi="Arial" w:cs="Arial"/>
                <w:color w:val="000000"/>
                <w:sz w:val="18"/>
                <w:szCs w:val="18"/>
                <w:u w:color="000000"/>
                <w:bdr w:val="nil"/>
                <w:vertAlign w:val="superscript"/>
                <w:lang w:val="fr-FR" w:eastAsia="en-GB"/>
                <w14:textOutline w14:w="0" w14:cap="flat" w14:cmpd="sng" w14:algn="ctr">
                  <w14:noFill/>
                  <w14:prstDash w14:val="solid"/>
                  <w14:bevel/>
                </w14:textOutline>
              </w:rPr>
              <w:footnoteReference w:id="5"/>
            </w:r>
          </w:p>
        </w:tc>
        <w:tc>
          <w:tcPr>
            <w:tcW w:w="719" w:type="pct"/>
            <w:hideMark/>
          </w:tcPr>
          <w:p w14:paraId="4DFBBB0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Mantas, devil rays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4D4354C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Mantes, diables de mer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nca</w:t>
            </w:r>
            <w:proofErr w:type="spellEnd"/>
          </w:p>
        </w:tc>
        <w:tc>
          <w:tcPr>
            <w:tcW w:w="682" w:type="pct"/>
            <w:hideMark/>
          </w:tcPr>
          <w:p w14:paraId="2B17866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Mantas, diablos nep</w:t>
            </w:r>
          </w:p>
        </w:tc>
      </w:tr>
      <w:tr w:rsidR="00016A72" w:rsidRPr="004866AB" w14:paraId="572A2761"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DBA8F3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Agrégation de toutes les listes</w:t>
            </w:r>
          </w:p>
        </w:tc>
        <w:tc>
          <w:tcPr>
            <w:tcW w:w="766" w:type="pct"/>
            <w:hideMark/>
          </w:tcPr>
          <w:p w14:paraId="2915210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11008010XX</w:t>
            </w:r>
          </w:p>
        </w:tc>
        <w:tc>
          <w:tcPr>
            <w:tcW w:w="422" w:type="pct"/>
            <w:hideMark/>
          </w:tcPr>
          <w:p w14:paraId="2A9FC5C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RMV</w:t>
            </w:r>
          </w:p>
        </w:tc>
        <w:tc>
          <w:tcPr>
            <w:tcW w:w="764" w:type="pct"/>
            <w:hideMark/>
          </w:tcPr>
          <w:p w14:paraId="4E72654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Mobula</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spp</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w:t>
            </w:r>
          </w:p>
        </w:tc>
        <w:tc>
          <w:tcPr>
            <w:tcW w:w="719" w:type="pct"/>
            <w:hideMark/>
          </w:tcPr>
          <w:p w14:paraId="15A3A79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4261F79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4363651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55C4910C"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735900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2CE3239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1100801014</w:t>
            </w:r>
          </w:p>
        </w:tc>
        <w:tc>
          <w:tcPr>
            <w:tcW w:w="422" w:type="pct"/>
            <w:hideMark/>
          </w:tcPr>
          <w:p w14:paraId="20D89FB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RMA</w:t>
            </w:r>
          </w:p>
        </w:tc>
        <w:tc>
          <w:tcPr>
            <w:tcW w:w="764" w:type="pct"/>
            <w:hideMark/>
          </w:tcPr>
          <w:p w14:paraId="3174C74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alfredi</w:t>
            </w:r>
            <w:proofErr w:type="spellEnd"/>
          </w:p>
        </w:tc>
        <w:tc>
          <w:tcPr>
            <w:tcW w:w="719" w:type="pct"/>
            <w:hideMark/>
          </w:tcPr>
          <w:p w14:paraId="680D389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719" w:type="pct"/>
            <w:hideMark/>
          </w:tcPr>
          <w:p w14:paraId="5E41F91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23FDAC3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07F9B4FB"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0FD55B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lastRenderedPageBreak/>
              <w:t>Spécifique à l’espèce</w:t>
            </w:r>
          </w:p>
        </w:tc>
        <w:tc>
          <w:tcPr>
            <w:tcW w:w="766" w:type="pct"/>
            <w:hideMark/>
          </w:tcPr>
          <w:p w14:paraId="41CF58C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1100801013</w:t>
            </w:r>
          </w:p>
        </w:tc>
        <w:tc>
          <w:tcPr>
            <w:tcW w:w="422" w:type="pct"/>
            <w:hideMark/>
          </w:tcPr>
          <w:p w14:paraId="4A8E973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RMB</w:t>
            </w:r>
          </w:p>
        </w:tc>
        <w:tc>
          <w:tcPr>
            <w:tcW w:w="764" w:type="pct"/>
            <w:hideMark/>
          </w:tcPr>
          <w:p w14:paraId="5B4B5A7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birostris</w:t>
            </w:r>
            <w:proofErr w:type="spellEnd"/>
          </w:p>
        </w:tc>
        <w:tc>
          <w:tcPr>
            <w:tcW w:w="719" w:type="pct"/>
            <w:hideMark/>
          </w:tcPr>
          <w:p w14:paraId="74DB5AE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Giant manta</w:t>
            </w:r>
          </w:p>
        </w:tc>
        <w:tc>
          <w:tcPr>
            <w:tcW w:w="719" w:type="pct"/>
            <w:hideMark/>
          </w:tcPr>
          <w:p w14:paraId="1E3A520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géante</w:t>
            </w:r>
            <w:proofErr w:type="spellEnd"/>
          </w:p>
        </w:tc>
        <w:tc>
          <w:tcPr>
            <w:tcW w:w="682" w:type="pct"/>
            <w:hideMark/>
          </w:tcPr>
          <w:p w14:paraId="3E6A1D7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Manta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gigante</w:t>
            </w:r>
            <w:proofErr w:type="spellEnd"/>
          </w:p>
        </w:tc>
      </w:tr>
      <w:tr w:rsidR="00016A72" w:rsidRPr="004866AB" w14:paraId="0A4498BB"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1A0A4A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5AD864B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1100801003</w:t>
            </w:r>
          </w:p>
        </w:tc>
        <w:tc>
          <w:tcPr>
            <w:tcW w:w="422" w:type="pct"/>
            <w:hideMark/>
          </w:tcPr>
          <w:p w14:paraId="3A9DA5F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RME</w:t>
            </w:r>
          </w:p>
        </w:tc>
        <w:tc>
          <w:tcPr>
            <w:tcW w:w="764" w:type="pct"/>
            <w:hideMark/>
          </w:tcPr>
          <w:p w14:paraId="4CF4BF8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eregoodootenkee</w:t>
            </w:r>
            <w:proofErr w:type="spellEnd"/>
            <w:r w:rsidRPr="004866AB">
              <w:rPr>
                <w:rFonts w:ascii="Arial" w:eastAsia="Arial Unicode MS" w:hAnsi="Arial" w:cs="Arial"/>
                <w:i/>
                <w:iCs/>
                <w:color w:val="000000"/>
                <w:sz w:val="18"/>
                <w:szCs w:val="18"/>
                <w:u w:color="000000"/>
                <w:bdr w:val="nil"/>
                <w:vertAlign w:val="superscript"/>
                <w:lang w:val="fr-FR" w:eastAsia="en-GB"/>
                <w14:textOutline w14:w="0" w14:cap="flat" w14:cmpd="sng" w14:algn="ctr">
                  <w14:noFill/>
                  <w14:prstDash w14:val="solid"/>
                  <w14:bevel/>
                </w14:textOutline>
              </w:rPr>
              <w:footnoteReference w:id="6"/>
            </w:r>
          </w:p>
        </w:tc>
        <w:tc>
          <w:tcPr>
            <w:tcW w:w="719" w:type="pct"/>
            <w:hideMark/>
          </w:tcPr>
          <w:p w14:paraId="6463C2B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Longhorned</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mobula</w:t>
            </w:r>
            <w:proofErr w:type="spellEnd"/>
          </w:p>
        </w:tc>
        <w:tc>
          <w:tcPr>
            <w:tcW w:w="719" w:type="pct"/>
            <w:hideMark/>
          </w:tcPr>
          <w:p w14:paraId="6231637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1BC25BB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785DDC43"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4A3E1F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1E20F57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1100801004</w:t>
            </w:r>
          </w:p>
        </w:tc>
        <w:tc>
          <w:tcPr>
            <w:tcW w:w="422" w:type="pct"/>
            <w:hideMark/>
          </w:tcPr>
          <w:p w14:paraId="717567D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RMH</w:t>
            </w:r>
          </w:p>
        </w:tc>
        <w:tc>
          <w:tcPr>
            <w:tcW w:w="764" w:type="pct"/>
            <w:hideMark/>
          </w:tcPr>
          <w:p w14:paraId="401D70E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hypostoma</w:t>
            </w:r>
            <w:proofErr w:type="spellEnd"/>
          </w:p>
        </w:tc>
        <w:tc>
          <w:tcPr>
            <w:tcW w:w="719" w:type="pct"/>
            <w:hideMark/>
          </w:tcPr>
          <w:p w14:paraId="4480568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Lesser devil ray</w:t>
            </w:r>
          </w:p>
        </w:tc>
        <w:tc>
          <w:tcPr>
            <w:tcW w:w="719" w:type="pct"/>
            <w:hideMark/>
          </w:tcPr>
          <w:p w14:paraId="0A85783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diable</w:t>
            </w:r>
            <w:proofErr w:type="spellEnd"/>
          </w:p>
        </w:tc>
        <w:tc>
          <w:tcPr>
            <w:tcW w:w="682" w:type="pct"/>
            <w:hideMark/>
          </w:tcPr>
          <w:p w14:paraId="3D621F7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Manta del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Golfo</w:t>
            </w:r>
            <w:proofErr w:type="spellEnd"/>
          </w:p>
        </w:tc>
      </w:tr>
      <w:tr w:rsidR="00016A72" w:rsidRPr="004866AB" w14:paraId="051CBAE2"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3D7F3D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4EB288E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1100801005</w:t>
            </w:r>
          </w:p>
        </w:tc>
        <w:tc>
          <w:tcPr>
            <w:tcW w:w="422" w:type="pct"/>
            <w:hideMark/>
          </w:tcPr>
          <w:p w14:paraId="323ABAD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RMJ</w:t>
            </w:r>
          </w:p>
        </w:tc>
        <w:tc>
          <w:tcPr>
            <w:tcW w:w="764" w:type="pct"/>
            <w:hideMark/>
          </w:tcPr>
          <w:p w14:paraId="121DC6E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japanica</w:t>
            </w:r>
            <w:proofErr w:type="spellEnd"/>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w:t>
            </w:r>
            <w:r w:rsidRPr="004866AB">
              <w:rPr>
                <w:rFonts w:ascii="Arial" w:eastAsia="Arial Unicode MS" w:hAnsi="Arial" w:cs="Arial"/>
                <w:color w:val="000000"/>
                <w:sz w:val="18"/>
                <w:szCs w:val="18"/>
                <w:u w:color="000000"/>
                <w:bdr w:val="nil"/>
                <w:vertAlign w:val="superscript"/>
                <w:lang w:val="fr-FR" w:eastAsia="en-GB"/>
                <w14:textOutline w14:w="0" w14:cap="flat" w14:cmpd="sng" w14:algn="ctr">
                  <w14:noFill/>
                  <w14:prstDash w14:val="solid"/>
                  <w14:bevel/>
                </w14:textOutline>
              </w:rPr>
              <w:footnoteReference w:id="7"/>
            </w:r>
          </w:p>
        </w:tc>
        <w:tc>
          <w:tcPr>
            <w:tcW w:w="719" w:type="pct"/>
            <w:hideMark/>
          </w:tcPr>
          <w:p w14:paraId="1B648A1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Spinetail</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mobula</w:t>
            </w:r>
            <w:proofErr w:type="spellEnd"/>
          </w:p>
        </w:tc>
        <w:tc>
          <w:tcPr>
            <w:tcW w:w="719" w:type="pct"/>
            <w:hideMark/>
          </w:tcPr>
          <w:p w14:paraId="7B12B66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aiguillat</w:t>
            </w:r>
            <w:proofErr w:type="spellEnd"/>
          </w:p>
        </w:tc>
        <w:tc>
          <w:tcPr>
            <w:tcW w:w="682" w:type="pct"/>
            <w:hideMark/>
          </w:tcPr>
          <w:p w14:paraId="17ED492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4F93C8CE"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3A3A35C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662E370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1100801006</w:t>
            </w:r>
          </w:p>
        </w:tc>
        <w:tc>
          <w:tcPr>
            <w:tcW w:w="422" w:type="pct"/>
            <w:hideMark/>
          </w:tcPr>
          <w:p w14:paraId="1601438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RMK</w:t>
            </w:r>
          </w:p>
        </w:tc>
        <w:tc>
          <w:tcPr>
            <w:tcW w:w="764" w:type="pct"/>
            <w:hideMark/>
          </w:tcPr>
          <w:p w14:paraId="4987AEC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kuhlii</w:t>
            </w:r>
            <w:proofErr w:type="spellEnd"/>
          </w:p>
        </w:tc>
        <w:tc>
          <w:tcPr>
            <w:tcW w:w="719" w:type="pct"/>
            <w:hideMark/>
          </w:tcPr>
          <w:p w14:paraId="7548553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Shortfin Devil Ray</w:t>
            </w:r>
          </w:p>
        </w:tc>
        <w:tc>
          <w:tcPr>
            <w:tcW w:w="719" w:type="pct"/>
            <w:hideMark/>
          </w:tcPr>
          <w:p w14:paraId="72F9174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Petit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diable</w:t>
            </w:r>
            <w:proofErr w:type="spellEnd"/>
          </w:p>
        </w:tc>
        <w:tc>
          <w:tcPr>
            <w:tcW w:w="682" w:type="pct"/>
            <w:hideMark/>
          </w:tcPr>
          <w:p w14:paraId="58FF274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41EC1FBD"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38B6F2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4733658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1100801007</w:t>
            </w:r>
          </w:p>
        </w:tc>
        <w:tc>
          <w:tcPr>
            <w:tcW w:w="422" w:type="pct"/>
            <w:hideMark/>
          </w:tcPr>
          <w:p w14:paraId="19CC02A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RMM</w:t>
            </w:r>
          </w:p>
        </w:tc>
        <w:tc>
          <w:tcPr>
            <w:tcW w:w="764" w:type="pct"/>
            <w:hideMark/>
          </w:tcPr>
          <w:p w14:paraId="428F9DF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mobular</w:t>
            </w:r>
            <w:proofErr w:type="spellEnd"/>
          </w:p>
        </w:tc>
        <w:tc>
          <w:tcPr>
            <w:tcW w:w="719" w:type="pct"/>
            <w:hideMark/>
          </w:tcPr>
          <w:p w14:paraId="1AAC9F0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Devil fish</w:t>
            </w:r>
          </w:p>
        </w:tc>
        <w:tc>
          <w:tcPr>
            <w:tcW w:w="719" w:type="pct"/>
            <w:hideMark/>
          </w:tcPr>
          <w:p w14:paraId="6B5E424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1A22BE5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Manta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mobula</w:t>
            </w:r>
            <w:proofErr w:type="spellEnd"/>
          </w:p>
        </w:tc>
      </w:tr>
      <w:tr w:rsidR="00016A72" w:rsidRPr="004866AB" w14:paraId="0EC34D5E"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A8A683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4ACD7FB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1100801008</w:t>
            </w:r>
          </w:p>
        </w:tc>
        <w:tc>
          <w:tcPr>
            <w:tcW w:w="422" w:type="pct"/>
            <w:hideMark/>
          </w:tcPr>
          <w:p w14:paraId="48A978F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RMU</w:t>
            </w:r>
          </w:p>
        </w:tc>
        <w:tc>
          <w:tcPr>
            <w:tcW w:w="764" w:type="pct"/>
            <w:hideMark/>
          </w:tcPr>
          <w:p w14:paraId="2893056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munkiana</w:t>
            </w:r>
            <w:proofErr w:type="spellEnd"/>
          </w:p>
        </w:tc>
        <w:tc>
          <w:tcPr>
            <w:tcW w:w="719" w:type="pct"/>
            <w:hideMark/>
          </w:tcPr>
          <w:p w14:paraId="2B443B6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Munk’s Devil Ray</w:t>
            </w:r>
          </w:p>
        </w:tc>
        <w:tc>
          <w:tcPr>
            <w:tcW w:w="719" w:type="pct"/>
            <w:hideMark/>
          </w:tcPr>
          <w:p w14:paraId="73A7D49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08931CC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27D17C68"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57BD18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2A224C1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1100801010</w:t>
            </w:r>
          </w:p>
        </w:tc>
        <w:tc>
          <w:tcPr>
            <w:tcW w:w="422" w:type="pct"/>
            <w:hideMark/>
          </w:tcPr>
          <w:p w14:paraId="00CCCCD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RMN</w:t>
            </w:r>
          </w:p>
        </w:tc>
        <w:tc>
          <w:tcPr>
            <w:tcW w:w="764" w:type="pct"/>
            <w:hideMark/>
          </w:tcPr>
          <w:p w14:paraId="4BDA40F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rochebrunei</w:t>
            </w:r>
            <w:proofErr w:type="spellEnd"/>
            <w:r w:rsidRPr="004866AB">
              <w:rPr>
                <w:rFonts w:ascii="Arial" w:eastAsia="Arial Unicode MS" w:hAnsi="Arial" w:cs="Arial"/>
                <w:i/>
                <w:iCs/>
                <w:color w:val="000000"/>
                <w:sz w:val="18"/>
                <w:szCs w:val="18"/>
                <w:u w:color="000000"/>
                <w:bdr w:val="nil"/>
                <w:vertAlign w:val="superscript"/>
                <w:lang w:val="fr-FR" w:eastAsia="en-GB"/>
                <w14:textOutline w14:w="0" w14:cap="flat" w14:cmpd="sng" w14:algn="ctr">
                  <w14:noFill/>
                  <w14:prstDash w14:val="solid"/>
                  <w14:bevel/>
                </w14:textOutline>
              </w:rPr>
              <w:footnoteReference w:id="8"/>
            </w:r>
          </w:p>
        </w:tc>
        <w:tc>
          <w:tcPr>
            <w:tcW w:w="719" w:type="pct"/>
            <w:hideMark/>
          </w:tcPr>
          <w:p w14:paraId="0EFA67A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Lesser Guinean devil ray</w:t>
            </w:r>
          </w:p>
        </w:tc>
        <w:tc>
          <w:tcPr>
            <w:tcW w:w="719" w:type="pct"/>
            <w:hideMark/>
          </w:tcPr>
          <w:p w14:paraId="3767012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Petit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diable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de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Guinée</w:t>
            </w:r>
            <w:proofErr w:type="spellEnd"/>
          </w:p>
        </w:tc>
        <w:tc>
          <w:tcPr>
            <w:tcW w:w="682" w:type="pct"/>
            <w:hideMark/>
          </w:tcPr>
          <w:p w14:paraId="05A50C3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Diablito</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de Guinea</w:t>
            </w:r>
          </w:p>
        </w:tc>
      </w:tr>
      <w:tr w:rsidR="00016A72" w:rsidRPr="004866AB" w14:paraId="7EE7A2EE"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A9E7BF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1D07B3C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1100801011</w:t>
            </w:r>
          </w:p>
        </w:tc>
        <w:tc>
          <w:tcPr>
            <w:tcW w:w="422" w:type="pct"/>
            <w:hideMark/>
          </w:tcPr>
          <w:p w14:paraId="4B89112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RMT</w:t>
            </w:r>
          </w:p>
        </w:tc>
        <w:tc>
          <w:tcPr>
            <w:tcW w:w="764" w:type="pct"/>
            <w:hideMark/>
          </w:tcPr>
          <w:p w14:paraId="64646EB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tarapacana</w:t>
            </w:r>
            <w:proofErr w:type="spellEnd"/>
          </w:p>
        </w:tc>
        <w:tc>
          <w:tcPr>
            <w:tcW w:w="719" w:type="pct"/>
            <w:hideMark/>
          </w:tcPr>
          <w:p w14:paraId="7BF8695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Chilean devil ray</w:t>
            </w:r>
          </w:p>
        </w:tc>
        <w:tc>
          <w:tcPr>
            <w:tcW w:w="719" w:type="pct"/>
            <w:hideMark/>
          </w:tcPr>
          <w:p w14:paraId="03EE79B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6EC10B9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2C9ADF90"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762927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3B9927B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1100801012</w:t>
            </w:r>
          </w:p>
        </w:tc>
        <w:tc>
          <w:tcPr>
            <w:tcW w:w="422" w:type="pct"/>
            <w:hideMark/>
          </w:tcPr>
          <w:p w14:paraId="7D95341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RMO</w:t>
            </w:r>
          </w:p>
        </w:tc>
        <w:tc>
          <w:tcPr>
            <w:tcW w:w="764" w:type="pct"/>
            <w:hideMark/>
          </w:tcPr>
          <w:p w14:paraId="5FFCB21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Mobula</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thurstoni</w:t>
            </w:r>
            <w:proofErr w:type="spellEnd"/>
          </w:p>
        </w:tc>
        <w:tc>
          <w:tcPr>
            <w:tcW w:w="719" w:type="pct"/>
            <w:hideMark/>
          </w:tcPr>
          <w:p w14:paraId="7C4A1FA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Smoothtail</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mobula</w:t>
            </w:r>
            <w:proofErr w:type="spellEnd"/>
          </w:p>
        </w:tc>
        <w:tc>
          <w:tcPr>
            <w:tcW w:w="719" w:type="pct"/>
            <w:hideMark/>
          </w:tcPr>
          <w:p w14:paraId="42AD6C6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Mante vampire</w:t>
            </w:r>
          </w:p>
        </w:tc>
        <w:tc>
          <w:tcPr>
            <w:tcW w:w="682" w:type="pct"/>
            <w:hideMark/>
          </w:tcPr>
          <w:p w14:paraId="1224E61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0FB48C23"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C7F526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Agrégation de toutes les listes</w:t>
            </w:r>
          </w:p>
        </w:tc>
        <w:tc>
          <w:tcPr>
            <w:tcW w:w="766" w:type="pct"/>
            <w:hideMark/>
          </w:tcPr>
          <w:p w14:paraId="4B8A2BD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11002XXXXX</w:t>
            </w:r>
          </w:p>
        </w:tc>
        <w:tc>
          <w:tcPr>
            <w:tcW w:w="422" w:type="pct"/>
            <w:hideMark/>
          </w:tcPr>
          <w:p w14:paraId="0EC1985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SAW</w:t>
            </w:r>
          </w:p>
        </w:tc>
        <w:tc>
          <w:tcPr>
            <w:tcW w:w="764" w:type="pct"/>
            <w:hideMark/>
          </w:tcPr>
          <w:p w14:paraId="33FD763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Pristidae</w:t>
            </w:r>
            <w:proofErr w:type="spellEnd"/>
          </w:p>
        </w:tc>
        <w:tc>
          <w:tcPr>
            <w:tcW w:w="719" w:type="pct"/>
            <w:hideMark/>
          </w:tcPr>
          <w:p w14:paraId="1DAD734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Sawfishes</w:t>
            </w:r>
          </w:p>
        </w:tc>
        <w:tc>
          <w:tcPr>
            <w:tcW w:w="719" w:type="pct"/>
            <w:hideMark/>
          </w:tcPr>
          <w:p w14:paraId="222B327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Poissons-scies</w:t>
            </w:r>
            <w:proofErr w:type="spellEnd"/>
          </w:p>
        </w:tc>
        <w:tc>
          <w:tcPr>
            <w:tcW w:w="682" w:type="pct"/>
            <w:hideMark/>
          </w:tcPr>
          <w:p w14:paraId="6E3C05B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proofErr w:type="gram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Peces</w:t>
            </w:r>
            <w:proofErr w:type="spellEnd"/>
            <w:proofErr w:type="gram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sierra</w:t>
            </w:r>
            <w:proofErr w:type="spellEnd"/>
          </w:p>
        </w:tc>
      </w:tr>
      <w:tr w:rsidR="00016A72" w:rsidRPr="004866AB" w14:paraId="3F5767A8"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C70CCF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2E75018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1100200301</w:t>
            </w:r>
          </w:p>
        </w:tc>
        <w:tc>
          <w:tcPr>
            <w:tcW w:w="422" w:type="pct"/>
            <w:hideMark/>
          </w:tcPr>
          <w:p w14:paraId="59C9001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RPA</w:t>
            </w:r>
          </w:p>
        </w:tc>
        <w:tc>
          <w:tcPr>
            <w:tcW w:w="764" w:type="pct"/>
            <w:hideMark/>
          </w:tcPr>
          <w:p w14:paraId="0F15875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Anoxypristis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cuspidata</w:t>
            </w:r>
            <w:proofErr w:type="spellEnd"/>
          </w:p>
        </w:tc>
        <w:tc>
          <w:tcPr>
            <w:tcW w:w="719" w:type="pct"/>
            <w:hideMark/>
          </w:tcPr>
          <w:p w14:paraId="47F4E5C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Pointed sawfish</w:t>
            </w:r>
          </w:p>
        </w:tc>
        <w:tc>
          <w:tcPr>
            <w:tcW w:w="719" w:type="pct"/>
            <w:hideMark/>
          </w:tcPr>
          <w:p w14:paraId="1920A5D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1487F89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3E24B33C"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7306C7A"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37BE52F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1100200401</w:t>
            </w:r>
          </w:p>
        </w:tc>
        <w:tc>
          <w:tcPr>
            <w:tcW w:w="422" w:type="pct"/>
            <w:hideMark/>
          </w:tcPr>
          <w:p w14:paraId="1B82CFD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RPC</w:t>
            </w:r>
          </w:p>
        </w:tc>
        <w:tc>
          <w:tcPr>
            <w:tcW w:w="764" w:type="pct"/>
            <w:hideMark/>
          </w:tcPr>
          <w:p w14:paraId="046C1E5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Pristis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clavata</w:t>
            </w:r>
            <w:proofErr w:type="spellEnd"/>
          </w:p>
        </w:tc>
        <w:tc>
          <w:tcPr>
            <w:tcW w:w="719" w:type="pct"/>
            <w:hideMark/>
          </w:tcPr>
          <w:p w14:paraId="42D56C3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Dwarf Sawfish</w:t>
            </w:r>
          </w:p>
        </w:tc>
        <w:tc>
          <w:tcPr>
            <w:tcW w:w="719" w:type="pct"/>
            <w:hideMark/>
          </w:tcPr>
          <w:p w14:paraId="10A4533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0B184BE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0BB933F0"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0FCE83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2165D45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1100200403</w:t>
            </w:r>
          </w:p>
        </w:tc>
        <w:tc>
          <w:tcPr>
            <w:tcW w:w="422" w:type="pct"/>
            <w:hideMark/>
          </w:tcPr>
          <w:p w14:paraId="5A8FA3D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RPP</w:t>
            </w:r>
          </w:p>
        </w:tc>
        <w:tc>
          <w:tcPr>
            <w:tcW w:w="764" w:type="pct"/>
            <w:hideMark/>
          </w:tcPr>
          <w:p w14:paraId="538E06B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Pristis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pectinata</w:t>
            </w:r>
            <w:proofErr w:type="spellEnd"/>
          </w:p>
        </w:tc>
        <w:tc>
          <w:tcPr>
            <w:tcW w:w="719" w:type="pct"/>
            <w:hideMark/>
          </w:tcPr>
          <w:p w14:paraId="0AA5560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Smalltooth</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Sawfish</w:t>
            </w:r>
          </w:p>
        </w:tc>
        <w:tc>
          <w:tcPr>
            <w:tcW w:w="719" w:type="pct"/>
            <w:hideMark/>
          </w:tcPr>
          <w:p w14:paraId="03E139E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Poisson-</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scie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trident</w:t>
            </w:r>
          </w:p>
        </w:tc>
        <w:tc>
          <w:tcPr>
            <w:tcW w:w="682" w:type="pct"/>
            <w:hideMark/>
          </w:tcPr>
          <w:p w14:paraId="727849E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228258D1"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5B0A370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31EF0F1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1100200404</w:t>
            </w:r>
          </w:p>
        </w:tc>
        <w:tc>
          <w:tcPr>
            <w:tcW w:w="422" w:type="pct"/>
            <w:hideMark/>
          </w:tcPr>
          <w:p w14:paraId="3B23D57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RPR</w:t>
            </w:r>
          </w:p>
        </w:tc>
        <w:tc>
          <w:tcPr>
            <w:tcW w:w="764" w:type="pct"/>
            <w:hideMark/>
          </w:tcPr>
          <w:p w14:paraId="68C1928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Pristis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pristis</w:t>
            </w:r>
            <w:proofErr w:type="spellEnd"/>
          </w:p>
        </w:tc>
        <w:tc>
          <w:tcPr>
            <w:tcW w:w="719" w:type="pct"/>
            <w:hideMark/>
          </w:tcPr>
          <w:p w14:paraId="651ED30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Common sawfish</w:t>
            </w:r>
          </w:p>
        </w:tc>
        <w:tc>
          <w:tcPr>
            <w:tcW w:w="719" w:type="pct"/>
            <w:hideMark/>
          </w:tcPr>
          <w:p w14:paraId="6A9398A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Poisson-</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scie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commun</w:t>
            </w:r>
            <w:proofErr w:type="spellEnd"/>
          </w:p>
        </w:tc>
        <w:tc>
          <w:tcPr>
            <w:tcW w:w="682" w:type="pct"/>
            <w:hideMark/>
          </w:tcPr>
          <w:p w14:paraId="3B540CF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6D03CFA5"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7D9611C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p>
        </w:tc>
        <w:tc>
          <w:tcPr>
            <w:tcW w:w="766" w:type="pct"/>
            <w:hideMark/>
          </w:tcPr>
          <w:p w14:paraId="013506EB"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1100200402</w:t>
            </w:r>
          </w:p>
        </w:tc>
        <w:tc>
          <w:tcPr>
            <w:tcW w:w="422" w:type="pct"/>
            <w:hideMark/>
          </w:tcPr>
          <w:p w14:paraId="6A57102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RPM</w:t>
            </w:r>
          </w:p>
        </w:tc>
        <w:tc>
          <w:tcPr>
            <w:tcW w:w="764" w:type="pct"/>
            <w:hideMark/>
          </w:tcPr>
          <w:p w14:paraId="29139D8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Pristis</w:t>
            </w:r>
            <w:proofErr w:type="spellEnd"/>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fr-FR" w:eastAsia="en-GB"/>
                <w14:textOutline w14:w="0" w14:cap="flat" w14:cmpd="sng" w14:algn="ctr">
                  <w14:noFill/>
                  <w14:prstDash w14:val="solid"/>
                  <w14:bevel/>
                </w14:textOutline>
              </w:rPr>
              <w:t>microdon</w:t>
            </w:r>
            <w:proofErr w:type="spellEnd"/>
            <w:r w:rsidRPr="004866AB">
              <w:rPr>
                <w:rFonts w:ascii="Arial" w:eastAsia="Arial Unicode MS" w:hAnsi="Arial" w:cs="Arial"/>
                <w:i/>
                <w:iCs/>
                <w:color w:val="000000"/>
                <w:sz w:val="18"/>
                <w:szCs w:val="18"/>
                <w:u w:color="000000"/>
                <w:bdr w:val="nil"/>
                <w:vertAlign w:val="superscript"/>
                <w:lang w:val="fr-FR" w:eastAsia="en-GB"/>
                <w14:textOutline w14:w="0" w14:cap="flat" w14:cmpd="sng" w14:algn="ctr">
                  <w14:noFill/>
                  <w14:prstDash w14:val="solid"/>
                  <w14:bevel/>
                </w14:textOutline>
              </w:rPr>
              <w:footnoteReference w:id="9"/>
            </w:r>
          </w:p>
        </w:tc>
        <w:tc>
          <w:tcPr>
            <w:tcW w:w="719" w:type="pct"/>
            <w:hideMark/>
          </w:tcPr>
          <w:p w14:paraId="708E546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Largetooth</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sawfish</w:t>
            </w:r>
          </w:p>
        </w:tc>
        <w:tc>
          <w:tcPr>
            <w:tcW w:w="719" w:type="pct"/>
            <w:hideMark/>
          </w:tcPr>
          <w:p w14:paraId="1F48B48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Poisson-</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scie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grandent</w:t>
            </w:r>
            <w:proofErr w:type="spellEnd"/>
          </w:p>
        </w:tc>
        <w:tc>
          <w:tcPr>
            <w:tcW w:w="682" w:type="pct"/>
            <w:noWrap/>
            <w:hideMark/>
          </w:tcPr>
          <w:p w14:paraId="4342996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
        </w:tc>
      </w:tr>
      <w:tr w:rsidR="00016A72" w:rsidRPr="004866AB" w14:paraId="7044F182"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4641D4D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bookmarkStart w:id="5" w:name="_Hlk122349690"/>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Pas de données</w:t>
            </w:r>
            <w:bookmarkEnd w:id="5"/>
          </w:p>
        </w:tc>
        <w:tc>
          <w:tcPr>
            <w:tcW w:w="766" w:type="pct"/>
            <w:hideMark/>
          </w:tcPr>
          <w:p w14:paraId="6690201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1100200405</w:t>
            </w:r>
          </w:p>
        </w:tc>
        <w:tc>
          <w:tcPr>
            <w:tcW w:w="422" w:type="pct"/>
            <w:hideMark/>
          </w:tcPr>
          <w:p w14:paraId="422BEB3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RPZ</w:t>
            </w:r>
          </w:p>
        </w:tc>
        <w:tc>
          <w:tcPr>
            <w:tcW w:w="764" w:type="pct"/>
            <w:hideMark/>
          </w:tcPr>
          <w:p w14:paraId="29EBAD8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Pristis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zijsron</w:t>
            </w:r>
            <w:proofErr w:type="spellEnd"/>
          </w:p>
        </w:tc>
        <w:tc>
          <w:tcPr>
            <w:tcW w:w="719" w:type="pct"/>
            <w:hideMark/>
          </w:tcPr>
          <w:p w14:paraId="516C898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Longcomb</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sawfish</w:t>
            </w:r>
          </w:p>
        </w:tc>
        <w:tc>
          <w:tcPr>
            <w:tcW w:w="719" w:type="pct"/>
            <w:hideMark/>
          </w:tcPr>
          <w:p w14:paraId="4BE5D5F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4B4D51B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Guitarras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etc. nep</w:t>
            </w:r>
          </w:p>
        </w:tc>
      </w:tr>
      <w:tr w:rsidR="00016A72" w:rsidRPr="004866AB" w14:paraId="433FC732"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1FF1F71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Agrégé incertain</w:t>
            </w:r>
          </w:p>
        </w:tc>
        <w:tc>
          <w:tcPr>
            <w:tcW w:w="766" w:type="pct"/>
            <w:hideMark/>
          </w:tcPr>
          <w:p w14:paraId="20A23382"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11001XXXXX</w:t>
            </w:r>
          </w:p>
        </w:tc>
        <w:tc>
          <w:tcPr>
            <w:tcW w:w="422" w:type="pct"/>
            <w:hideMark/>
          </w:tcPr>
          <w:p w14:paraId="099ED48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GTF</w:t>
            </w:r>
          </w:p>
        </w:tc>
        <w:tc>
          <w:tcPr>
            <w:tcW w:w="764" w:type="pct"/>
            <w:hideMark/>
          </w:tcPr>
          <w:p w14:paraId="2D4AF6E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Rhinobatidae</w:t>
            </w:r>
            <w:proofErr w:type="spellEnd"/>
          </w:p>
        </w:tc>
        <w:tc>
          <w:tcPr>
            <w:tcW w:w="719" w:type="pct"/>
            <w:hideMark/>
          </w:tcPr>
          <w:p w14:paraId="2FEF1C44"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Guitarfishes, etc.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nei</w:t>
            </w:r>
            <w:proofErr w:type="spellEnd"/>
          </w:p>
        </w:tc>
        <w:tc>
          <w:tcPr>
            <w:tcW w:w="719" w:type="pct"/>
            <w:hideMark/>
          </w:tcPr>
          <w:p w14:paraId="031C2B75"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Guitares</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etc.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nca</w:t>
            </w:r>
            <w:proofErr w:type="spellEnd"/>
          </w:p>
        </w:tc>
        <w:tc>
          <w:tcPr>
            <w:tcW w:w="682" w:type="pct"/>
            <w:hideMark/>
          </w:tcPr>
          <w:p w14:paraId="6ABBD74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7AC13CC9"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00C99D5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51A4B8D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1100100401</w:t>
            </w:r>
          </w:p>
        </w:tc>
        <w:tc>
          <w:tcPr>
            <w:tcW w:w="422" w:type="pct"/>
            <w:hideMark/>
          </w:tcPr>
          <w:p w14:paraId="3754D5F8"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RCA</w:t>
            </w:r>
          </w:p>
        </w:tc>
        <w:tc>
          <w:tcPr>
            <w:tcW w:w="764" w:type="pct"/>
            <w:hideMark/>
          </w:tcPr>
          <w:p w14:paraId="4CA16EA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Rhynchobatus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australiae</w:t>
            </w:r>
            <w:proofErr w:type="spellEnd"/>
          </w:p>
        </w:tc>
        <w:tc>
          <w:tcPr>
            <w:tcW w:w="719" w:type="pct"/>
            <w:hideMark/>
          </w:tcPr>
          <w:p w14:paraId="681FA5AE"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Whitespotted</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wedgefish</w:t>
            </w:r>
            <w:proofErr w:type="spellEnd"/>
          </w:p>
        </w:tc>
        <w:tc>
          <w:tcPr>
            <w:tcW w:w="719" w:type="pct"/>
            <w:hideMark/>
          </w:tcPr>
          <w:p w14:paraId="21240551"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c>
          <w:tcPr>
            <w:tcW w:w="682" w:type="pct"/>
            <w:hideMark/>
          </w:tcPr>
          <w:p w14:paraId="7DECA6A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Pez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cuna</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manchado</w:t>
            </w:r>
            <w:proofErr w:type="spellEnd"/>
          </w:p>
        </w:tc>
      </w:tr>
      <w:tr w:rsidR="00016A72" w:rsidRPr="004866AB" w14:paraId="26193169" w14:textId="77777777" w:rsidTr="00D83960">
        <w:trPr>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6245E42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Spécifique à l’espèce</w:t>
            </w:r>
          </w:p>
        </w:tc>
        <w:tc>
          <w:tcPr>
            <w:tcW w:w="766" w:type="pct"/>
            <w:hideMark/>
          </w:tcPr>
          <w:p w14:paraId="2E4F879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1100100402</w:t>
            </w:r>
          </w:p>
        </w:tc>
        <w:tc>
          <w:tcPr>
            <w:tcW w:w="422" w:type="pct"/>
            <w:hideMark/>
          </w:tcPr>
          <w:p w14:paraId="3C124FC7"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RCD</w:t>
            </w:r>
          </w:p>
        </w:tc>
        <w:tc>
          <w:tcPr>
            <w:tcW w:w="764" w:type="pct"/>
            <w:hideMark/>
          </w:tcPr>
          <w:p w14:paraId="258B528C"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Rhynchobatus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djiddensis</w:t>
            </w:r>
            <w:proofErr w:type="spellEnd"/>
          </w:p>
        </w:tc>
        <w:tc>
          <w:tcPr>
            <w:tcW w:w="719" w:type="pct"/>
            <w:hideMark/>
          </w:tcPr>
          <w:p w14:paraId="6CEA82B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Giant guitarfish</w:t>
            </w:r>
          </w:p>
        </w:tc>
        <w:tc>
          <w:tcPr>
            <w:tcW w:w="719" w:type="pct"/>
            <w:hideMark/>
          </w:tcPr>
          <w:p w14:paraId="7BA6DAEF"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Poisson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paille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à pois</w:t>
            </w:r>
          </w:p>
        </w:tc>
        <w:tc>
          <w:tcPr>
            <w:tcW w:w="682" w:type="pct"/>
            <w:hideMark/>
          </w:tcPr>
          <w:p w14:paraId="4B2A054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t>
            </w:r>
          </w:p>
        </w:tc>
      </w:tr>
      <w:tr w:rsidR="00016A72" w:rsidRPr="004866AB" w14:paraId="1519DE9F" w14:textId="77777777" w:rsidTr="00D8396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8" w:type="pct"/>
            <w:hideMark/>
          </w:tcPr>
          <w:p w14:paraId="2F8960F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lastRenderedPageBreak/>
              <w:t>Non existant</w:t>
            </w:r>
          </w:p>
        </w:tc>
        <w:tc>
          <w:tcPr>
            <w:tcW w:w="766" w:type="pct"/>
            <w:hideMark/>
          </w:tcPr>
          <w:p w14:paraId="445992B6"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 o.</w:t>
            </w:r>
          </w:p>
        </w:tc>
        <w:tc>
          <w:tcPr>
            <w:tcW w:w="422" w:type="pct"/>
            <w:hideMark/>
          </w:tcPr>
          <w:p w14:paraId="3B5E25B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 o.</w:t>
            </w:r>
          </w:p>
        </w:tc>
        <w:tc>
          <w:tcPr>
            <w:tcW w:w="764" w:type="pct"/>
            <w:hideMark/>
          </w:tcPr>
          <w:p w14:paraId="25D8950D"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Rhynchobatus</w:t>
            </w:r>
            <w:proofErr w:type="spellEnd"/>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i/>
                <w:iCs/>
                <w:color w:val="000000"/>
                <w:sz w:val="18"/>
                <w:szCs w:val="18"/>
                <w:u w:color="000000"/>
                <w:bdr w:val="nil"/>
                <w:lang w:val="en-GB" w:eastAsia="en-GB"/>
                <w14:textOutline w14:w="0" w14:cap="flat" w14:cmpd="sng" w14:algn="ctr">
                  <w14:noFill/>
                  <w14:prstDash w14:val="solid"/>
                  <w14:bevel/>
                </w14:textOutline>
              </w:rPr>
              <w:t>laevis</w:t>
            </w:r>
            <w:proofErr w:type="spellEnd"/>
          </w:p>
        </w:tc>
        <w:tc>
          <w:tcPr>
            <w:tcW w:w="719" w:type="pct"/>
            <w:hideMark/>
          </w:tcPr>
          <w:p w14:paraId="00DACB79"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pP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Smoothnose</w:t>
            </w:r>
            <w:proofErr w:type="spellEnd"/>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 xml:space="preserve"> </w:t>
            </w:r>
            <w:proofErr w:type="spellStart"/>
            <w:r w:rsidRPr="004866AB">
              <w:rPr>
                <w:rFonts w:ascii="Arial" w:eastAsia="Arial Unicode MS" w:hAnsi="Arial" w:cs="Arial"/>
                <w:color w:val="000000"/>
                <w:sz w:val="18"/>
                <w:szCs w:val="18"/>
                <w:u w:color="000000"/>
                <w:bdr w:val="nil"/>
                <w:lang w:val="en-GB" w:eastAsia="en-GB"/>
                <w14:textOutline w14:w="0" w14:cap="flat" w14:cmpd="sng" w14:algn="ctr">
                  <w14:noFill/>
                  <w14:prstDash w14:val="solid"/>
                  <w14:bevel/>
                </w14:textOutline>
              </w:rPr>
              <w:t>Wedgefish</w:t>
            </w:r>
            <w:proofErr w:type="spellEnd"/>
          </w:p>
        </w:tc>
        <w:tc>
          <w:tcPr>
            <w:tcW w:w="719" w:type="pct"/>
            <w:hideMark/>
          </w:tcPr>
          <w:p w14:paraId="64BC99D3"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4866AB">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s. o.</w:t>
            </w:r>
          </w:p>
        </w:tc>
        <w:tc>
          <w:tcPr>
            <w:tcW w:w="682" w:type="pct"/>
            <w:noWrap/>
            <w:hideMark/>
          </w:tcPr>
          <w:p w14:paraId="32662EB0" w14:textId="77777777" w:rsidR="00016A72" w:rsidRPr="004866AB" w:rsidRDefault="00016A72" w:rsidP="00D83960">
            <w:pPr>
              <w:widowControl/>
              <w:pBdr>
                <w:top w:val="nil"/>
                <w:left w:val="nil"/>
                <w:bottom w:val="nil"/>
                <w:right w:val="nil"/>
                <w:between w:val="nil"/>
                <w:bar w:val="nil"/>
              </w:pBdr>
              <w:autoSpaceDE/>
              <w:autoSpaceDN/>
              <w:adjustRightInd/>
              <w:spacing w:line="276" w:lineRule="auto"/>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p>
        </w:tc>
      </w:tr>
      <w:bookmarkEnd w:id="4"/>
    </w:tbl>
    <w:p w14:paraId="1C7E3495" w14:textId="77777777" w:rsidR="00016A72" w:rsidRPr="00995C01" w:rsidRDefault="00016A72" w:rsidP="00016A72">
      <w:pPr>
        <w:ind w:right="26"/>
        <w:jc w:val="both"/>
        <w:rPr>
          <w:rFonts w:cs="Arial"/>
          <w:bCs/>
          <w:iCs/>
          <w:sz w:val="22"/>
          <w:szCs w:val="22"/>
          <w:lang w:val="fr-FR"/>
        </w:rPr>
        <w:sectPr w:rsidR="00016A72" w:rsidRPr="00995C01" w:rsidSect="00A32203">
          <w:headerReference w:type="even" r:id="rId25"/>
          <w:headerReference w:type="default" r:id="rId26"/>
          <w:pgSz w:w="16838" w:h="11906" w:orient="landscape" w:code="9"/>
          <w:pgMar w:top="1138" w:right="1138" w:bottom="1138" w:left="1138" w:header="706" w:footer="706" w:gutter="0"/>
          <w:cols w:space="720"/>
          <w:titlePg/>
          <w:docGrid w:linePitch="245"/>
        </w:sectPr>
      </w:pPr>
    </w:p>
    <w:p w14:paraId="382969D1" w14:textId="77777777" w:rsidR="00016A72" w:rsidRPr="00016A72" w:rsidRDefault="00016A72" w:rsidP="00016A72">
      <w:pPr>
        <w:widowControl/>
        <w:numPr>
          <w:ilvl w:val="1"/>
          <w:numId w:val="6"/>
        </w:numPr>
        <w:pBdr>
          <w:top w:val="nil"/>
          <w:left w:val="nil"/>
          <w:bottom w:val="nil"/>
          <w:right w:val="nil"/>
          <w:between w:val="nil"/>
          <w:bar w:val="nil"/>
        </w:pBdr>
        <w:autoSpaceDE/>
        <w:autoSpaceDN/>
        <w:adjustRightInd/>
        <w:jc w:val="both"/>
        <w:rPr>
          <w:rFonts w:ascii="Arial" w:hAnsi="Arial" w:cs="Arial"/>
          <w:b/>
          <w:bCs/>
          <w:sz w:val="22"/>
          <w:szCs w:val="22"/>
          <w:lang w:val="fr-FR"/>
        </w:rPr>
      </w:pPr>
      <w:r w:rsidRPr="00016A72">
        <w:rPr>
          <w:rFonts w:ascii="Arial" w:hAnsi="Arial" w:cs="Arial"/>
          <w:b/>
          <w:bCs/>
          <w:sz w:val="22"/>
          <w:szCs w:val="22"/>
          <w:lang w:val="fr-FR"/>
        </w:rPr>
        <w:lastRenderedPageBreak/>
        <w:t>Considérations relatives aux données</w:t>
      </w:r>
    </w:p>
    <w:p w14:paraId="27CD3E09" w14:textId="77777777" w:rsidR="00016A72" w:rsidRPr="00016A72" w:rsidRDefault="00016A72" w:rsidP="00016A72">
      <w:pPr>
        <w:widowControl/>
        <w:pBdr>
          <w:top w:val="nil"/>
          <w:left w:val="nil"/>
          <w:bottom w:val="nil"/>
          <w:right w:val="nil"/>
          <w:between w:val="nil"/>
          <w:bar w:val="nil"/>
        </w:pBdr>
        <w:autoSpaceDE/>
        <w:autoSpaceDN/>
        <w:adjustRightInd/>
        <w:ind w:left="360"/>
        <w:jc w:val="both"/>
        <w:rPr>
          <w:rFonts w:ascii="Arial" w:hAnsi="Arial" w:cs="Arial"/>
          <w:b/>
          <w:bCs/>
          <w:sz w:val="22"/>
          <w:szCs w:val="22"/>
          <w:lang w:val="fr-FR"/>
        </w:rPr>
      </w:pPr>
    </w:p>
    <w:p w14:paraId="07D1A136"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Certaines catégories d’espèces ont été soit exclues, soit considérées comme une catégorie </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générique et agrégée » en fonction de la zone FAO. Par exemple, les débarquements de</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Roussette » –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Squalus</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acanthias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ont été exclus des zones 41, 81 et 87 de la FAO parce que seules les populations de l’hémisphère nord ont été inscrites à l’Annexe 1 du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De même, les catégories agrégées susceptibles de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contenir</w:t>
      </w:r>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Squalus</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acanthias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(c’est-à-dire </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Squales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nca</w:t>
      </w:r>
      <w:proofErr w:type="spellEnd"/>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Squales et émissoles », </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Squaliformes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nca</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 </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Aiguillats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nca</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»)ont été considérées comme incertaines pour l’hémisphère nord, tandis qu’elles ont été considérées comme des espèces non inscrites au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pour les zones FAO de l’hémisphère sud. Les débarquements de</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Requins taupe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nca</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 ont été considérés comme une </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catégorie de débarquement générique et agrégée » pour les zones 61 et 67 de la FAO (Pacifique Nord), étant donné la présence du Requin-taupe saumon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Lamna</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ditropis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qui ne figure pas sur la liste du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Les débarquements de</w:t>
      </w:r>
      <w:r w:rsidRPr="00016A72">
        <w:rPr>
          <w:rFonts w:ascii="Arial" w:eastAsia="Arial Unicode MS" w:hAnsi="Arial" w:cs="Arial"/>
          <w:color w:val="000000"/>
          <w:sz w:val="22"/>
          <w:szCs w:val="22"/>
          <w:u w:color="000000"/>
          <w:bdr w:val="nil"/>
          <w:rt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Anges de mer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nca</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 ont été considérés comme ne contenant que des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des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espèces inscrites sur la liste du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et de la CMS dans l’Atlantique Nord-Est (zone 27 de la FAO), étant donné que </w:t>
      </w:r>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Squatina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squatina</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est la seule espèce d’ange de mer dans cette zone.</w:t>
      </w:r>
    </w:p>
    <w:p w14:paraId="1022421A"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0D4E9CBD"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Aux fins de l’analyse des espèces inscrites à l’Annexe I de la CMS, les débarquements déclarés des années précédant l’année d’inscription ont été exclus. Plus précisément, le Requin océanique n’a pas été comptabilisé parce qu’il a été inscrit à la liste en 2020, tandis que les dernières données annuelles disponibles pour ces analyses datent de 2019. De même, les débarquements d’Ange de mer et de la Guitare de mer commune de la Méditerranée n’ont été comptabilisés qu’à partir de 2017.</w:t>
      </w:r>
    </w:p>
    <w:p w14:paraId="1BDFC878"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731A53D8"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Les données de débarquement déclarées pour le Requin ange dans l’Atlantique Nord-Est (zone FAO 27) en 2018 étaient d’une ampleur qui n’a pas été jugée plausible (5 792 tonnes), et ces données ont donc été exclues des analyses [Voir la section 6.b pour une discussion détaillée].</w:t>
      </w:r>
    </w:p>
    <w:p w14:paraId="540F84C5"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72656AC8"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Aux fins de la présente étude, les débarquements des territoires d’outre-mer ont généralement été comptabilisés dans les chiffres totaux de leur métropole (par exemple, les débarquements de la Nouvelle-Calédonie ont été comptabilisés pour la France), tandis que les États </w:t>
      </w:r>
      <w:proofErr w:type="gram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non membres</w:t>
      </w:r>
      <w:proofErr w:type="gram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de l’ONU et certains territoires dont la juridiction est remise en question ont été exclus (par exemple, la Palestine, les îles Malouines). Les débarquements en provenance de Chine comprennent ceux de Hong Kong et de Taïwan. La description et l’utilisation des frontières, des noms géographiques et des données connexes figurant dans ce document n’impliquent pas nécessairement une validation, une reconnaissance ou une acceptation officielle par les Nations Unies.</w:t>
      </w:r>
    </w:p>
    <w:p w14:paraId="37BE661B" w14:textId="77777777" w:rsidR="00016A72" w:rsidRPr="00016A72" w:rsidRDefault="00016A72" w:rsidP="00016A72">
      <w:pPr>
        <w:widowControl/>
        <w:pBdr>
          <w:top w:val="nil"/>
          <w:left w:val="nil"/>
          <w:bottom w:val="nil"/>
          <w:right w:val="nil"/>
          <w:between w:val="nil"/>
          <w:bar w:val="nil"/>
        </w:pBdr>
        <w:autoSpaceDE/>
        <w:autoSpaceDN/>
        <w:adjustRightInd/>
        <w:ind w:firstLine="360"/>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1E5FDF92" w14:textId="77777777" w:rsidR="00016A72" w:rsidRPr="00016A72" w:rsidRDefault="00016A72" w:rsidP="001012C4">
      <w:pPr>
        <w:widowControl/>
        <w:pBdr>
          <w:top w:val="nil"/>
          <w:left w:val="nil"/>
          <w:bottom w:val="nil"/>
          <w:right w:val="nil"/>
          <w:between w:val="nil"/>
          <w:bar w:val="nil"/>
        </w:pBdr>
        <w:autoSpaceDE/>
        <w:autoSpaceDN/>
        <w:adjustRightInd/>
        <w:jc w:val="both"/>
        <w:outlineLvl w:val="1"/>
        <w:rPr>
          <w:rFonts w:ascii="Arial" w:hAnsi="Arial" w:cs="Arial"/>
          <w:b/>
          <w:bCs/>
          <w:sz w:val="22"/>
          <w:szCs w:val="22"/>
          <w:u w:val="single"/>
          <w:lang w:val="fr-FR"/>
        </w:rPr>
      </w:pPr>
      <w:bookmarkStart w:id="6" w:name="Section3"/>
      <w:r w:rsidRPr="00016A72">
        <w:rPr>
          <w:rFonts w:ascii="Arial" w:hAnsi="Arial" w:cs="Arial"/>
          <w:b/>
          <w:bCs/>
          <w:sz w:val="22"/>
          <w:szCs w:val="22"/>
          <w:u w:val="single"/>
          <w:lang w:val="fr-FR"/>
        </w:rPr>
        <w:t>Débarquements déclarés d’espèces de requins et de raies inscrites à l’Annexe I de la CMS</w:t>
      </w:r>
    </w:p>
    <w:p w14:paraId="5F109BA2" w14:textId="77777777" w:rsidR="00016A72" w:rsidRPr="00016A72" w:rsidRDefault="00016A72" w:rsidP="00016A72">
      <w:pPr>
        <w:widowControl/>
        <w:pBdr>
          <w:top w:val="nil"/>
          <w:left w:val="nil"/>
          <w:bottom w:val="nil"/>
          <w:right w:val="nil"/>
          <w:between w:val="nil"/>
          <w:bar w:val="nil"/>
        </w:pBdr>
        <w:autoSpaceDE/>
        <w:autoSpaceDN/>
        <w:adjustRightInd/>
        <w:ind w:left="360" w:hanging="360"/>
        <w:jc w:val="both"/>
        <w:outlineLvl w:val="1"/>
        <w:rPr>
          <w:rFonts w:ascii="Arial" w:hAnsi="Arial" w:cs="Arial"/>
          <w:b/>
          <w:bCs/>
          <w:sz w:val="22"/>
          <w:szCs w:val="22"/>
          <w:u w:val="single"/>
          <w:lang w:val="fr-FR"/>
        </w:rPr>
      </w:pPr>
    </w:p>
    <w:bookmarkEnd w:id="6"/>
    <w:p w14:paraId="1B2F8D84" w14:textId="4781C561" w:rsidR="00016A72" w:rsidRPr="00016A72" w:rsidRDefault="00016A72" w:rsidP="00016A72">
      <w:pPr>
        <w:widowControl/>
        <w:pBdr>
          <w:top w:val="nil"/>
          <w:left w:val="nil"/>
          <w:bottom w:val="nil"/>
          <w:right w:val="nil"/>
          <w:between w:val="nil"/>
          <w:bar w:val="nil"/>
        </w:pBdr>
        <w:autoSpaceDE/>
        <w:autoSpaceDN/>
        <w:adjustRightInd/>
        <w:jc w:val="both"/>
        <w:outlineLvl w:val="2"/>
        <w:rPr>
          <w:rFonts w:ascii="Arial" w:hAnsi="Arial" w:cs="Arial"/>
          <w:b/>
          <w:bCs/>
          <w:sz w:val="22"/>
          <w:szCs w:val="22"/>
          <w:lang w:val="fr-FR"/>
        </w:rPr>
      </w:pPr>
      <w:r w:rsidRPr="00016A72">
        <w:rPr>
          <w:rFonts w:ascii="Arial" w:hAnsi="Arial" w:cs="Arial"/>
          <w:b/>
          <w:bCs/>
          <w:sz w:val="22"/>
          <w:szCs w:val="22"/>
          <w:lang w:val="fr-FR"/>
        </w:rPr>
        <w:t>3.</w:t>
      </w:r>
      <w:r w:rsidR="001012C4">
        <w:rPr>
          <w:rFonts w:ascii="Arial" w:hAnsi="Arial" w:cs="Arial"/>
          <w:b/>
          <w:bCs/>
          <w:sz w:val="22"/>
          <w:szCs w:val="22"/>
          <w:lang w:val="fr-FR"/>
        </w:rPr>
        <w:t>1</w:t>
      </w:r>
      <w:r w:rsidRPr="00016A72">
        <w:rPr>
          <w:rFonts w:ascii="Arial" w:hAnsi="Arial" w:cs="Arial"/>
          <w:b/>
          <w:bCs/>
          <w:sz w:val="22"/>
          <w:szCs w:val="22"/>
          <w:lang w:val="fr-FR"/>
        </w:rPr>
        <w:tab/>
        <w:t>Contexte</w:t>
      </w:r>
    </w:p>
    <w:p w14:paraId="0A54B781" w14:textId="77777777" w:rsidR="00016A72" w:rsidRPr="00016A72" w:rsidRDefault="00016A72" w:rsidP="00016A72">
      <w:pPr>
        <w:widowControl/>
        <w:pBdr>
          <w:top w:val="nil"/>
          <w:left w:val="nil"/>
          <w:bottom w:val="nil"/>
          <w:right w:val="nil"/>
          <w:between w:val="nil"/>
          <w:bar w:val="nil"/>
        </w:pBdr>
        <w:autoSpaceDE/>
        <w:autoSpaceDN/>
        <w:adjustRightInd/>
        <w:jc w:val="both"/>
        <w:outlineLvl w:val="2"/>
        <w:rPr>
          <w:rFonts w:ascii="Arial" w:hAnsi="Arial" w:cs="Arial"/>
          <w:b/>
          <w:bCs/>
          <w:sz w:val="22"/>
          <w:szCs w:val="22"/>
          <w:lang w:val="fr-FR"/>
        </w:rPr>
      </w:pPr>
    </w:p>
    <w:p w14:paraId="6F108C54"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Les espèces inscrites à l’Annexe I de la Convention sur la conservation des espèces migratrices appartenant à la faune sauvage (CMS) doivent être strictement protégées par les Parties à la CMS et les Signataires du Mémorandum d’entente sur la conservation des requins migrateurs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Parmi les autres mesures de conservation, cette obligation comprend l’interdiction stricte de prélever des espèces figurant à l’Annexe I, avec un champ d’application très restreint pour les dérogations.</w:t>
      </w:r>
    </w:p>
    <w:p w14:paraId="68E462C2"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Vingt espèces valides de requins et de raies sont actuellement inscrites à l’Annexe I de la CMS en raison du risque élevé d’extinction à l’état sauvage dans un avenir proche. Ces espèces comprennent les cinq espèces de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poissons-scies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(famille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Pristidae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les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mobulidés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(11 espèces de raies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manta</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et de diables, dont neuf sont actuellement considérées comme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lastRenderedPageBreak/>
        <w:t>valides), le Requin océanique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Carcharhinus</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longimanus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l'Ange de mer (</w:t>
      </w:r>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Squatina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squatina</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le Requin-baleine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Rhincodon</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typus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le Requin pèlerin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Cetorhinus</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maximus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le Requin blanc (</w:t>
      </w:r>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Carcharodon carcharias</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et, pour la mer Méditerranée, la Guitare de mer commune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Rhinobatos</w:t>
      </w:r>
      <w:proofErr w:type="spellEnd"/>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016A72">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rhinobatos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w:t>
      </w:r>
    </w:p>
    <w:p w14:paraId="1CAD8A37"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En conséquence, étant donné que les prélèvements sont interdits 90 jours après l’inscription d’une espèce sur la liste, les débarquements de ces espèces jusqu’à cette date devraient être strictement interdits par les Parties à la CMS et elles devraient promouvoir et appliquer la remise à l’eau immédiate de ces espèces en cas de capture accidentelle.</w:t>
      </w:r>
    </w:p>
    <w:p w14:paraId="489C1C5F" w14:textId="77777777" w:rsidR="00016A72" w:rsidRPr="00016A72" w:rsidRDefault="00016A72" w:rsidP="00016A72">
      <w:pPr>
        <w:widowControl/>
        <w:pBdr>
          <w:top w:val="nil"/>
          <w:left w:val="nil"/>
          <w:bottom w:val="nil"/>
          <w:right w:val="nil"/>
          <w:between w:val="nil"/>
          <w:bar w:val="nil"/>
        </w:pBdr>
        <w:autoSpaceDE/>
        <w:autoSpaceDN/>
        <w:adjustRightInd/>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27F951CA" w14:textId="35D59ED0" w:rsidR="00016A72" w:rsidRPr="00016A72" w:rsidRDefault="00016A72" w:rsidP="00016A72">
      <w:pPr>
        <w:widowControl/>
        <w:pBdr>
          <w:top w:val="nil"/>
          <w:left w:val="nil"/>
          <w:bottom w:val="nil"/>
          <w:right w:val="nil"/>
          <w:between w:val="nil"/>
          <w:bar w:val="nil"/>
        </w:pBdr>
        <w:autoSpaceDE/>
        <w:autoSpaceDN/>
        <w:adjustRightInd/>
        <w:jc w:val="both"/>
        <w:outlineLvl w:val="2"/>
        <w:rPr>
          <w:rFonts w:ascii="Arial" w:hAnsi="Arial" w:cs="Arial"/>
          <w:b/>
          <w:bCs/>
          <w:sz w:val="22"/>
          <w:szCs w:val="22"/>
          <w:lang w:val="fr-FR"/>
        </w:rPr>
      </w:pPr>
      <w:r w:rsidRPr="00016A72">
        <w:rPr>
          <w:rFonts w:ascii="Arial" w:hAnsi="Arial" w:cs="Arial"/>
          <w:b/>
          <w:bCs/>
          <w:sz w:val="22"/>
          <w:szCs w:val="22"/>
          <w:lang w:val="fr-FR"/>
        </w:rPr>
        <w:t>3.</w:t>
      </w:r>
      <w:r w:rsidR="001012C4">
        <w:rPr>
          <w:rFonts w:ascii="Arial" w:hAnsi="Arial" w:cs="Arial"/>
          <w:b/>
          <w:bCs/>
          <w:sz w:val="22"/>
          <w:szCs w:val="22"/>
          <w:lang w:val="fr-FR"/>
        </w:rPr>
        <w:t>2</w:t>
      </w:r>
      <w:r w:rsidRPr="00016A72">
        <w:rPr>
          <w:rFonts w:ascii="Arial" w:hAnsi="Arial" w:cs="Arial"/>
          <w:b/>
          <w:bCs/>
          <w:sz w:val="22"/>
          <w:szCs w:val="22"/>
          <w:lang w:val="fr-FR"/>
        </w:rPr>
        <w:tab/>
        <w:t>Résultats</w:t>
      </w:r>
    </w:p>
    <w:p w14:paraId="22C36DBA" w14:textId="77777777" w:rsidR="00016A72" w:rsidRPr="00016A72" w:rsidRDefault="00016A72" w:rsidP="00016A72">
      <w:pPr>
        <w:widowControl/>
        <w:pBdr>
          <w:top w:val="nil"/>
          <w:left w:val="nil"/>
          <w:bottom w:val="nil"/>
          <w:right w:val="nil"/>
          <w:between w:val="nil"/>
          <w:bar w:val="nil"/>
        </w:pBdr>
        <w:autoSpaceDE/>
        <w:autoSpaceDN/>
        <w:adjustRightInd/>
        <w:jc w:val="both"/>
        <w:outlineLvl w:val="2"/>
        <w:rPr>
          <w:rFonts w:ascii="Arial" w:hAnsi="Arial" w:cs="Arial"/>
          <w:b/>
          <w:bCs/>
          <w:sz w:val="22"/>
          <w:szCs w:val="22"/>
          <w:lang w:val="fr-FR"/>
        </w:rPr>
      </w:pPr>
    </w:p>
    <w:p w14:paraId="3E554D04"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De 2015 à 2019, une moyenne de 7 901 tonnes de requins et de raies inscrits à l’Annexe I ont été déclarées débarquées chaque année dans le monde (à l’exclusion des débarquements déclarés de Requin océanique avant son inscription en 2020, d'Ange de mer et de Guitare de mer commune avant leur inscription en 2017, et des débarquements d'Ange de mer déclarés par la France en 2018 en raison de la forte probabilité qu’il s’agisse d’une erreur de saisie). Au total, neuf Parties à la CMS et un pays non-Partie ont contribué aux débarquements déclarés (figure 1,</w:t>
      </w:r>
      <w:r w:rsidR="00603D91">
        <w:fldChar w:fldCharType="begin"/>
      </w:r>
      <w:r w:rsidR="00603D91" w:rsidRPr="004165F5">
        <w:rPr>
          <w:lang w:val="fr-FR"/>
        </w:rPr>
        <w:instrText>HYPERLINK "https://github.com/mpozo-montoro/MOS4-Doc.10.5.1"</w:instrText>
      </w:r>
      <w:r w:rsidR="00603D91">
        <w:fldChar w:fldCharType="separate"/>
      </w:r>
      <w:r w:rsidRPr="00016A72">
        <w:rPr>
          <w:rFonts w:ascii="Arial" w:hAnsi="Arial" w:cs="Arial"/>
          <w:color w:val="0000FF"/>
          <w:sz w:val="22"/>
          <w:szCs w:val="22"/>
          <w:u w:val="single"/>
          <w:lang w:val="fr-FR"/>
        </w:rPr>
        <w:t>Informations supplémentaires 1</w:t>
      </w:r>
      <w:r w:rsidR="00603D91">
        <w:rPr>
          <w:rFonts w:ascii="Arial" w:hAnsi="Arial" w:cs="Arial"/>
          <w:color w:val="0000FF"/>
          <w:sz w:val="22"/>
          <w:szCs w:val="22"/>
          <w:u w:val="single"/>
          <w:lang w:val="fr-FR"/>
        </w:rPr>
        <w:fldChar w:fldCharType="end"/>
      </w:r>
      <w:r w:rsidRPr="00016A72">
        <w:rPr>
          <w:rFonts w:ascii="Arial" w:hAnsi="Arial" w:cs="Arial"/>
          <w:sz w:val="22"/>
          <w:szCs w:val="22"/>
          <w:lang w:val="fr-FR"/>
        </w:rPr>
        <w:t>). Malgré les nombreux débarquements d’espèces inscrites à l’Annexe I déclarés par plusieurs Parties à la CMS, lesdits débarquements ne représentent que 21 % du total. Ceci est dû à l’enregistrement substantiel des débarquements d’espèces inscrites à l’Annexe I de la CMS, déclarés par les pays non-Parties.</w:t>
      </w:r>
    </w:p>
    <w:p w14:paraId="69786120" w14:textId="77777777" w:rsidR="00016A72" w:rsidRPr="00016A72" w:rsidRDefault="00016A72" w:rsidP="00016A72">
      <w:pPr>
        <w:contextualSpacing/>
        <w:jc w:val="both"/>
        <w:rPr>
          <w:rFonts w:ascii="Arial" w:hAnsi="Arial" w:cs="Arial"/>
          <w:sz w:val="22"/>
          <w:szCs w:val="22"/>
          <w:lang w:val="fr-FR"/>
        </w:rPr>
      </w:pPr>
    </w:p>
    <w:p w14:paraId="4A32FE30"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La plus grande proportion des débarquements d’espèces inscrites à l’Annexe I concernait les Raies </w:t>
      </w:r>
      <w:proofErr w:type="spellStart"/>
      <w:r w:rsidRPr="00016A72">
        <w:rPr>
          <w:rFonts w:ascii="Arial" w:hAnsi="Arial" w:cs="Arial"/>
          <w:sz w:val="22"/>
          <w:szCs w:val="22"/>
          <w:lang w:val="fr-FR"/>
        </w:rPr>
        <w:t>mantas</w:t>
      </w:r>
      <w:proofErr w:type="spellEnd"/>
      <w:r w:rsidRPr="00016A72">
        <w:rPr>
          <w:rFonts w:ascii="Arial" w:hAnsi="Arial" w:cs="Arial"/>
          <w:sz w:val="22"/>
          <w:szCs w:val="22"/>
          <w:lang w:val="fr-FR"/>
        </w:rPr>
        <w:t xml:space="preserve"> et les Raies diables (95 % ; 7 478 tonnes/an), suivies des </w:t>
      </w:r>
      <w:proofErr w:type="spellStart"/>
      <w:r w:rsidRPr="00016A72">
        <w:rPr>
          <w:rFonts w:ascii="Arial" w:hAnsi="Arial" w:cs="Arial"/>
          <w:sz w:val="22"/>
          <w:szCs w:val="22"/>
          <w:lang w:val="fr-FR"/>
        </w:rPr>
        <w:t>Chondrichthyes</w:t>
      </w:r>
      <w:proofErr w:type="spellEnd"/>
      <w:r w:rsidRPr="00016A72">
        <w:rPr>
          <w:rFonts w:ascii="Arial" w:hAnsi="Arial" w:cs="Arial"/>
          <w:sz w:val="22"/>
          <w:szCs w:val="22"/>
          <w:lang w:val="fr-FR"/>
        </w:rPr>
        <w:t xml:space="preserve"> (3 % ; 259 tonnes/an) et des Anges de mer (2 % ; 162 tonnes/an) (figure 1). Aucun débarquement de Requin-baleine, de Requin pèlerin ou de Requin blanc n’a été signalé. De même, aucun débarquement de Guitare de mer commune n’a été signalé en Méditerranée depuis l’année où l’espèce a été inscrite.</w:t>
      </w:r>
    </w:p>
    <w:p w14:paraId="214E510E" w14:textId="77777777" w:rsidR="00016A72" w:rsidRPr="00016A72" w:rsidRDefault="00016A72" w:rsidP="00016A72">
      <w:pPr>
        <w:contextualSpacing/>
        <w:jc w:val="both"/>
        <w:rPr>
          <w:rFonts w:ascii="Arial" w:hAnsi="Arial" w:cs="Arial"/>
          <w:sz w:val="22"/>
          <w:szCs w:val="22"/>
          <w:lang w:val="fr-FR"/>
        </w:rPr>
      </w:pPr>
    </w:p>
    <w:p w14:paraId="548842DA"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Les zones FAO qui ont rapporté le plus grand nombre d’espèces inscrites à l’Annexe I sont : le Pacifique Centre-Ouest (zone FAO 71 ; 66 %), l’océan Indien oriental (zone FAO 57 ; 24 %), et l’océan Indien occidental (zone FAO 51 ; 5 %). Les autres débarquements déclarés provenaient du Pacifique Sud-Est (zone FAO 87 ; 2 %), de la Méditerranée et de la Mer Noire (zone FAO 37 ; 2 %), et de l’Atlantique Nord-Est (zone FAO 51 ; &lt;1 %). Pour de plus amples détails, veuillez consulter les</w:t>
      </w:r>
      <w:bookmarkStart w:id="7" w:name="_Hlk118740784"/>
      <w:r w:rsidRPr="00016A72">
        <w:rPr>
          <w:rFonts w:ascii="Arial" w:hAnsi="Arial" w:cs="Arial"/>
          <w:sz w:val="22"/>
          <w:szCs w:val="22"/>
          <w:lang w:val="fr-FR"/>
        </w:rPr>
        <w:t xml:space="preserve"> </w:t>
      </w:r>
      <w:r w:rsidR="00603D91">
        <w:fldChar w:fldCharType="begin"/>
      </w:r>
      <w:r w:rsidR="00603D91" w:rsidRPr="004165F5">
        <w:rPr>
          <w:lang w:val="fr-FR"/>
        </w:rPr>
        <w:instrText>HYPERLINK "https://github.com/mpozo-montoro/MOS4-Doc.10.5.1"</w:instrText>
      </w:r>
      <w:r w:rsidR="00603D91">
        <w:fldChar w:fldCharType="separate"/>
      </w:r>
      <w:r w:rsidRPr="00016A72">
        <w:rPr>
          <w:rFonts w:ascii="Arial" w:hAnsi="Arial" w:cs="Arial"/>
          <w:color w:val="0000FF"/>
          <w:sz w:val="22"/>
          <w:szCs w:val="22"/>
          <w:u w:val="single"/>
          <w:lang w:val="fr-FR"/>
        </w:rPr>
        <w:t>Informations supplémentaires 1</w:t>
      </w:r>
      <w:r w:rsidR="00603D91">
        <w:rPr>
          <w:rFonts w:ascii="Arial" w:hAnsi="Arial" w:cs="Arial"/>
          <w:color w:val="0000FF"/>
          <w:sz w:val="22"/>
          <w:szCs w:val="22"/>
          <w:u w:val="single"/>
          <w:lang w:val="fr-FR"/>
        </w:rPr>
        <w:fldChar w:fldCharType="end"/>
      </w:r>
      <w:bookmarkEnd w:id="7"/>
      <w:r w:rsidRPr="00016A72">
        <w:rPr>
          <w:rFonts w:ascii="Arial" w:hAnsi="Arial" w:cs="Arial"/>
          <w:sz w:val="22"/>
          <w:szCs w:val="22"/>
          <w:lang w:val="fr-FR"/>
        </w:rPr>
        <w:t>.</w:t>
      </w:r>
    </w:p>
    <w:p w14:paraId="0A798AF4"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b/>
          <w:bCs/>
          <w:color w:val="000000"/>
          <w:sz w:val="22"/>
          <w:szCs w:val="22"/>
          <w:u w:color="000000"/>
          <w:bdr w:val="nil"/>
          <w:lang w:val="fr-FR" w:eastAsia="en-GB"/>
          <w14:textOutline w14:w="0" w14:cap="flat" w14:cmpd="sng" w14:algn="ctr">
            <w14:noFill/>
            <w14:prstDash w14:val="solid"/>
            <w14:bevel/>
          </w14:textOutline>
        </w:rPr>
      </w:pPr>
    </w:p>
    <w:p w14:paraId="73D45960" w14:textId="77777777" w:rsidR="00016A72" w:rsidRPr="00016A72" w:rsidRDefault="00016A72" w:rsidP="00016A72">
      <w:pPr>
        <w:keepNext/>
        <w:widowControl/>
        <w:pBdr>
          <w:top w:val="nil"/>
          <w:left w:val="nil"/>
          <w:bottom w:val="nil"/>
          <w:right w:val="nil"/>
          <w:between w:val="nil"/>
          <w:bar w:val="nil"/>
        </w:pBdr>
        <w:autoSpaceDE/>
        <w:autoSpaceDN/>
        <w:adjustRightInd/>
        <w:jc w:val="center"/>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noProof/>
          <w:color w:val="000000"/>
          <w:sz w:val="22"/>
          <w:szCs w:val="22"/>
          <w:u w:color="000000"/>
          <w:bdr w:val="nil"/>
          <w:lang w:val="fr-FR" w:eastAsia="en-GB"/>
          <w14:textOutline w14:w="0" w14:cap="flat" w14:cmpd="sng" w14:algn="ctr">
            <w14:noFill/>
            <w14:prstDash w14:val="solid"/>
            <w14:bevel/>
          </w14:textOutline>
        </w:rPr>
        <w:lastRenderedPageBreak/>
        <w:drawing>
          <wp:inline distT="0" distB="0" distL="0" distR="0" wp14:anchorId="14CD48D5" wp14:editId="226FCD9A">
            <wp:extent cx="5826329" cy="2720975"/>
            <wp:effectExtent l="0" t="0" r="0" b="317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l="-7" t="1387" r="7" b="65594"/>
                    <a:stretch/>
                  </pic:blipFill>
                  <pic:spPr bwMode="auto">
                    <a:xfrm>
                      <a:off x="0" y="0"/>
                      <a:ext cx="5827367" cy="2721460"/>
                    </a:xfrm>
                    <a:prstGeom prst="rect">
                      <a:avLst/>
                    </a:prstGeom>
                    <a:ln>
                      <a:noFill/>
                    </a:ln>
                    <a:effectLst/>
                    <a:extLst>
                      <a:ext uri="{53640926-AAD7-44D8-BBD7-CCE9431645EC}">
                        <a14:shadowObscured xmlns:a14="http://schemas.microsoft.com/office/drawing/2010/main"/>
                      </a:ext>
                    </a:extLst>
                  </pic:spPr>
                </pic:pic>
              </a:graphicData>
            </a:graphic>
          </wp:inline>
        </w:drawing>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w:t>
      </w: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br/>
      </w:r>
    </w:p>
    <w:p w14:paraId="3475B48F"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pPr>
      <w:r w:rsidRPr="001012C4">
        <w:rPr>
          <w:rFonts w:ascii="Arial" w:eastAsia="Arial Unicode MS" w:hAnsi="Arial" w:cs="Arial"/>
          <w:b/>
          <w:bCs/>
          <w:color w:val="000000"/>
          <w:sz w:val="18"/>
          <w:szCs w:val="18"/>
          <w:u w:color="000000"/>
          <w:bdr w:val="nil"/>
          <w:lang w:val="fr-FR" w:eastAsia="en-GB"/>
          <w14:textOutline w14:w="0" w14:cap="flat" w14:cmpd="sng" w14:algn="ctr">
            <w14:noFill/>
            <w14:prstDash w14:val="solid"/>
            <w14:bevel/>
          </w14:textOutline>
        </w:rPr>
        <w:t>Figure 1 : Débarquements mondiaux annuels moyens d’espèces inscrites à l’Annexe I de la CMS, tels que déclarés à la FAO (2015-2019 ; tonnes de poids vif).</w:t>
      </w:r>
      <w:bookmarkStart w:id="8" w:name="_Hlk119396290"/>
      <w:r w:rsidRPr="001012C4">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Les étiquettes des nations sont codées par couleur : (</w:t>
      </w:r>
      <w:r w:rsidRPr="001012C4">
        <w:rPr>
          <w:rFonts w:ascii="Arial" w:eastAsia="Arial Unicode MS" w:hAnsi="Arial" w:cs="Arial"/>
          <w:color w:val="1F3864"/>
          <w:sz w:val="18"/>
          <w:szCs w:val="18"/>
          <w:u w:color="4472C4"/>
          <w:bdr w:val="nil"/>
          <w:lang w:val="fr-FR" w:eastAsia="en-GB"/>
          <w14:textOutline w14:w="0" w14:cap="flat" w14:cmpd="sng" w14:algn="ctr">
            <w14:noFill/>
            <w14:prstDash w14:val="solid"/>
            <w14:bevel/>
          </w14:textOutline>
        </w:rPr>
        <w:t>bleu foncé</w:t>
      </w:r>
      <w:r w:rsidRPr="001012C4">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Signataire du </w:t>
      </w:r>
      <w:proofErr w:type="spellStart"/>
      <w:r w:rsidRPr="001012C4">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MdE</w:t>
      </w:r>
      <w:proofErr w:type="spellEnd"/>
      <w:r w:rsidRPr="001012C4">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xml:space="preserve"> requins et Partie à la CMS ; (</w:t>
      </w:r>
      <w:r w:rsidRPr="001012C4">
        <w:rPr>
          <w:rFonts w:ascii="Arial" w:eastAsia="Arial Unicode MS" w:hAnsi="Arial" w:cs="Arial"/>
          <w:color w:val="007E39"/>
          <w:sz w:val="18"/>
          <w:szCs w:val="18"/>
          <w:u w:color="70AD47"/>
          <w:bdr w:val="nil"/>
          <w:lang w:val="fr-FR" w:eastAsia="en-GB"/>
          <w14:textOutline w14:w="0" w14:cap="flat" w14:cmpd="sng" w14:algn="ctr">
            <w14:noFill/>
            <w14:prstDash w14:val="solid"/>
            <w14:bevel/>
          </w14:textOutline>
        </w:rPr>
        <w:t>vert</w:t>
      </w:r>
      <w:r w:rsidRPr="001012C4">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seulement Partie à la CMS ; (</w:t>
      </w:r>
      <w:r w:rsidRPr="001012C4">
        <w:rPr>
          <w:rFonts w:ascii="Arial" w:eastAsia="Arial Unicode MS" w:hAnsi="Arial" w:cs="Arial"/>
          <w:color w:val="767171"/>
          <w:sz w:val="18"/>
          <w:szCs w:val="18"/>
          <w:u w:color="A6A6A6"/>
          <w:bdr w:val="nil"/>
          <w:lang w:val="fr-FR" w:eastAsia="en-GB"/>
          <w14:textOutline w14:w="0" w14:cap="flat" w14:cmpd="sng" w14:algn="ctr">
            <w14:noFill/>
            <w14:prstDash w14:val="solid"/>
            <w14:bevel/>
          </w14:textOutline>
        </w:rPr>
        <w:t>gris</w:t>
      </w:r>
      <w:r w:rsidRPr="001012C4">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t>) État de l’aire de répartition.</w:t>
      </w:r>
      <w:bookmarkEnd w:id="8"/>
    </w:p>
    <w:p w14:paraId="229C8F05"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b/>
          <w:bCs/>
          <w:color w:val="000000"/>
          <w:sz w:val="22"/>
          <w:szCs w:val="22"/>
          <w:u w:color="000000"/>
          <w:bdr w:val="nil"/>
          <w:lang w:val="fr-FR" w:eastAsia="en-GB"/>
          <w14:textOutline w14:w="0" w14:cap="flat" w14:cmpd="sng" w14:algn="ctr">
            <w14:noFill/>
            <w14:prstDash w14:val="solid"/>
            <w14:bevel/>
          </w14:textOutline>
        </w:rPr>
      </w:pPr>
    </w:p>
    <w:p w14:paraId="6B2767B7" w14:textId="2333A7BE" w:rsidR="00016A72" w:rsidRPr="00016A72" w:rsidRDefault="00016A72" w:rsidP="00016A72">
      <w:pPr>
        <w:widowControl/>
        <w:pBdr>
          <w:top w:val="nil"/>
          <w:left w:val="nil"/>
          <w:bottom w:val="nil"/>
          <w:right w:val="nil"/>
          <w:between w:val="nil"/>
          <w:bar w:val="nil"/>
        </w:pBdr>
        <w:autoSpaceDE/>
        <w:autoSpaceDN/>
        <w:adjustRightInd/>
        <w:jc w:val="both"/>
        <w:outlineLvl w:val="2"/>
        <w:rPr>
          <w:rFonts w:ascii="Arial" w:hAnsi="Arial" w:cs="Arial"/>
          <w:b/>
          <w:bCs/>
          <w:sz w:val="22"/>
          <w:szCs w:val="22"/>
          <w:lang w:val="fr-FR"/>
        </w:rPr>
      </w:pPr>
      <w:bookmarkStart w:id="9" w:name="Section3c"/>
      <w:bookmarkStart w:id="10" w:name="_Hlk119396323"/>
      <w:bookmarkStart w:id="11" w:name="_Hlk122367543"/>
      <w:r w:rsidRPr="00016A72">
        <w:rPr>
          <w:rFonts w:ascii="Arial" w:hAnsi="Arial" w:cs="Arial"/>
          <w:b/>
          <w:bCs/>
          <w:sz w:val="22"/>
          <w:szCs w:val="22"/>
          <w:lang w:val="fr-FR"/>
        </w:rPr>
        <w:t>3.</w:t>
      </w:r>
      <w:r w:rsidR="001012C4">
        <w:rPr>
          <w:rFonts w:ascii="Arial" w:hAnsi="Arial" w:cs="Arial"/>
          <w:b/>
          <w:bCs/>
          <w:sz w:val="22"/>
          <w:szCs w:val="22"/>
          <w:lang w:val="fr-FR"/>
        </w:rPr>
        <w:t>3</w:t>
      </w:r>
      <w:r w:rsidRPr="00016A72">
        <w:rPr>
          <w:rFonts w:ascii="Arial" w:hAnsi="Arial" w:cs="Arial"/>
          <w:b/>
          <w:bCs/>
          <w:sz w:val="22"/>
          <w:szCs w:val="22"/>
          <w:lang w:val="fr-FR"/>
        </w:rPr>
        <w:tab/>
        <w:t>Remarques et recommandations spécifiques</w:t>
      </w:r>
    </w:p>
    <w:p w14:paraId="61C2BA76" w14:textId="77777777" w:rsidR="00016A72" w:rsidRPr="00016A72" w:rsidRDefault="00016A72" w:rsidP="00016A72">
      <w:pPr>
        <w:widowControl/>
        <w:pBdr>
          <w:top w:val="nil"/>
          <w:left w:val="nil"/>
          <w:bottom w:val="nil"/>
          <w:right w:val="nil"/>
          <w:between w:val="nil"/>
          <w:bar w:val="nil"/>
        </w:pBdr>
        <w:autoSpaceDE/>
        <w:autoSpaceDN/>
        <w:adjustRightInd/>
        <w:jc w:val="both"/>
        <w:outlineLvl w:val="2"/>
        <w:rPr>
          <w:rFonts w:ascii="Arial" w:hAnsi="Arial" w:cs="Arial"/>
          <w:b/>
          <w:bCs/>
          <w:sz w:val="22"/>
          <w:szCs w:val="22"/>
          <w:lang w:val="fr-FR"/>
        </w:rPr>
      </w:pPr>
    </w:p>
    <w:bookmarkEnd w:id="9"/>
    <w:p w14:paraId="067818C3"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Le débarquement d’espèces figurant à l’Annexe I de la CMS peut saper les efforts mondiaux de conservation de ces espèces migratrices, compte tenu de leur état de conservation. Par conséquent, les Signataires de la CMS devraient accorder la priorité aux débarquements déclarés (qui devraient être proches de zéro) et coopérer pour les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surveiller.</w:t>
      </w:r>
      <w:bookmarkEnd w:id="10"/>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Les</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actions spécifiques nécessaires pour atteindre cet objectif peuvent varier d’une nation à l’autre et nécessitent des études au cas par cas. Les principales recommandations qui découlent de cette première analyse sont les suivantes :</w:t>
      </w:r>
    </w:p>
    <w:p w14:paraId="485AA6CA"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58BD64D4" w14:textId="77777777" w:rsidR="00016A72" w:rsidRPr="00016A72" w:rsidRDefault="00016A72" w:rsidP="00016A72">
      <w:pPr>
        <w:widowControl/>
        <w:numPr>
          <w:ilvl w:val="2"/>
          <w:numId w:val="9"/>
        </w:numPr>
        <w:pBdr>
          <w:top w:val="nil"/>
          <w:left w:val="nil"/>
          <w:bottom w:val="nil"/>
          <w:right w:val="nil"/>
          <w:between w:val="nil"/>
          <w:bar w:val="nil"/>
        </w:pBdr>
        <w:autoSpaceDE/>
        <w:autoSpaceDN/>
        <w:adjustRightInd/>
        <w:spacing w:after="80"/>
        <w:ind w:left="432"/>
        <w:jc w:val="both"/>
        <w:rPr>
          <w:rFonts w:ascii="Arial" w:hAnsi="Arial" w:cs="Arial"/>
          <w:sz w:val="22"/>
          <w:szCs w:val="22"/>
          <w:lang w:val="fr-FR"/>
        </w:rPr>
      </w:pPr>
      <w:r w:rsidRPr="00016A72">
        <w:rPr>
          <w:rFonts w:ascii="Arial" w:hAnsi="Arial" w:cs="Arial"/>
          <w:sz w:val="22"/>
          <w:szCs w:val="22"/>
          <w:lang w:val="fr-FR"/>
        </w:rPr>
        <w:t>Les Parties à la CMS devraient examiner leur législation nationale et promouvoir des révisions le cas échéant, pour s’assurer que les espèces inscrites à l’Annexe I ne peuvent être légalement prises ou débarquées par aucune de leurs flottes de pêche et qu'elles devraient être relâchées immédiatement en cas de capture accidentelle. Les pêches commerciales, artisanales, de subsistance et récréatives peuvent interagir avec les espèces inscrites à l’Annexe I ; il peut de ce fait être nécessaire d’évaluer la réglementation pertinente pour chaque secteur.</w:t>
      </w:r>
    </w:p>
    <w:p w14:paraId="74D203DC" w14:textId="77777777" w:rsidR="00016A72" w:rsidRPr="00016A72" w:rsidRDefault="00016A72" w:rsidP="00016A72">
      <w:pPr>
        <w:widowControl/>
        <w:numPr>
          <w:ilvl w:val="2"/>
          <w:numId w:val="9"/>
        </w:numPr>
        <w:pBdr>
          <w:top w:val="nil"/>
          <w:left w:val="nil"/>
          <w:bottom w:val="nil"/>
          <w:right w:val="nil"/>
          <w:between w:val="nil"/>
          <w:bar w:val="nil"/>
        </w:pBdr>
        <w:autoSpaceDE/>
        <w:autoSpaceDN/>
        <w:adjustRightInd/>
        <w:spacing w:after="80"/>
        <w:ind w:left="432"/>
        <w:jc w:val="both"/>
        <w:rPr>
          <w:rFonts w:ascii="Arial" w:hAnsi="Arial" w:cs="Arial"/>
          <w:sz w:val="22"/>
          <w:szCs w:val="22"/>
          <w:lang w:val="fr-FR"/>
        </w:rPr>
      </w:pPr>
      <w:r w:rsidRPr="00016A72">
        <w:rPr>
          <w:rFonts w:ascii="Arial" w:hAnsi="Arial" w:cs="Arial"/>
          <w:sz w:val="22"/>
          <w:szCs w:val="22"/>
          <w:lang w:val="fr-FR"/>
        </w:rPr>
        <w:t>Des programmes de formation et de sensibilisation devraient être mis en place pour que tous les secteurs de la pêche concernés soient conscients du statut de protection des espèces figurant à l’Annexe I de la CMS, ainsi que de l’importance de ces mesures.</w:t>
      </w:r>
    </w:p>
    <w:p w14:paraId="37EB0FE0" w14:textId="77777777" w:rsidR="00016A72" w:rsidRPr="00016A72" w:rsidRDefault="00016A72" w:rsidP="00016A72">
      <w:pPr>
        <w:widowControl/>
        <w:numPr>
          <w:ilvl w:val="2"/>
          <w:numId w:val="9"/>
        </w:numPr>
        <w:pBdr>
          <w:top w:val="nil"/>
          <w:left w:val="nil"/>
          <w:bottom w:val="nil"/>
          <w:right w:val="nil"/>
          <w:between w:val="nil"/>
          <w:bar w:val="nil"/>
        </w:pBdr>
        <w:autoSpaceDE/>
        <w:autoSpaceDN/>
        <w:adjustRightInd/>
        <w:spacing w:after="80"/>
        <w:ind w:left="432"/>
        <w:jc w:val="both"/>
        <w:rPr>
          <w:rFonts w:ascii="Arial" w:hAnsi="Arial" w:cs="Arial"/>
          <w:sz w:val="22"/>
          <w:szCs w:val="22"/>
          <w:lang w:val="fr-FR"/>
        </w:rPr>
      </w:pPr>
      <w:r w:rsidRPr="00016A72">
        <w:rPr>
          <w:rFonts w:ascii="Arial" w:hAnsi="Arial" w:cs="Arial"/>
          <w:sz w:val="22"/>
          <w:szCs w:val="22"/>
          <w:lang w:val="fr-FR"/>
        </w:rPr>
        <w:t>La mise en œuvre et la surveillance du respect des dispositions devraient être renforcés.</w:t>
      </w:r>
    </w:p>
    <w:p w14:paraId="4FCCCF14" w14:textId="77777777" w:rsidR="00016A72" w:rsidRPr="00016A72" w:rsidRDefault="00016A72" w:rsidP="00016A72">
      <w:pPr>
        <w:widowControl/>
        <w:numPr>
          <w:ilvl w:val="2"/>
          <w:numId w:val="9"/>
        </w:numPr>
        <w:pBdr>
          <w:top w:val="nil"/>
          <w:left w:val="nil"/>
          <w:bottom w:val="nil"/>
          <w:right w:val="nil"/>
          <w:between w:val="nil"/>
          <w:bar w:val="nil"/>
        </w:pBdr>
        <w:autoSpaceDE/>
        <w:autoSpaceDN/>
        <w:adjustRightInd/>
        <w:spacing w:after="80"/>
        <w:ind w:left="432"/>
        <w:jc w:val="both"/>
        <w:rPr>
          <w:rFonts w:ascii="Arial" w:hAnsi="Arial" w:cs="Arial"/>
          <w:sz w:val="22"/>
          <w:szCs w:val="22"/>
          <w:lang w:val="fr-FR"/>
        </w:rPr>
      </w:pPr>
      <w:r w:rsidRPr="00016A72">
        <w:rPr>
          <w:rFonts w:ascii="Arial" w:hAnsi="Arial" w:cs="Arial"/>
          <w:sz w:val="22"/>
          <w:szCs w:val="22"/>
          <w:lang w:val="fr-FR"/>
        </w:rPr>
        <w:t>Une formation aux techniques de manipulation pour la libération en toute sécurité des espèces inscrites à l’Annexe I est requise.</w:t>
      </w:r>
    </w:p>
    <w:p w14:paraId="7F310FC6" w14:textId="77777777" w:rsidR="00016A72" w:rsidRPr="00016A72" w:rsidRDefault="00016A72" w:rsidP="00016A72">
      <w:pPr>
        <w:widowControl/>
        <w:numPr>
          <w:ilvl w:val="2"/>
          <w:numId w:val="9"/>
        </w:numPr>
        <w:pBdr>
          <w:top w:val="nil"/>
          <w:left w:val="nil"/>
          <w:bottom w:val="nil"/>
          <w:right w:val="nil"/>
          <w:between w:val="nil"/>
          <w:bar w:val="nil"/>
        </w:pBdr>
        <w:autoSpaceDE/>
        <w:autoSpaceDN/>
        <w:adjustRightInd/>
        <w:spacing w:after="80"/>
        <w:ind w:left="432"/>
        <w:jc w:val="both"/>
        <w:rPr>
          <w:rFonts w:ascii="Arial" w:hAnsi="Arial" w:cs="Arial"/>
          <w:sz w:val="22"/>
          <w:szCs w:val="22"/>
          <w:lang w:val="fr-FR"/>
        </w:rPr>
      </w:pPr>
      <w:r w:rsidRPr="00016A72">
        <w:rPr>
          <w:rFonts w:ascii="Arial" w:hAnsi="Arial" w:cs="Arial"/>
          <w:sz w:val="22"/>
          <w:szCs w:val="22"/>
          <w:lang w:val="fr-FR"/>
        </w:rPr>
        <w:t>Les pêcheries nationales ayant des interactions significatives avec les espèces inscrites à l’Annexe I devraient être identifiées et les options de modification des pratiques de pêche pour réduire les prises accidentelles, telles que les modifications des engins, les fermetures spatio-temporelles et les changements dans les déploiements de pêche, devraient être identifiées et encouragées. Les espèces inscrites à l’Annexe I remises à l’eau et leur état (remise à l’eau d’individus vivants ou morts) devraient être inscrites dans les registres nationaux (même s’ils ne sont pas signalés à la FAO). Les lacunes de la recherche sur la survie après la remise à l’eau devraient être identifiées et comblées.</w:t>
      </w:r>
    </w:p>
    <w:p w14:paraId="18371325" w14:textId="77777777" w:rsidR="00016A72" w:rsidRPr="00016A72" w:rsidRDefault="00016A72" w:rsidP="00016A72">
      <w:pPr>
        <w:widowControl/>
        <w:numPr>
          <w:ilvl w:val="2"/>
          <w:numId w:val="10"/>
        </w:numPr>
        <w:pBdr>
          <w:top w:val="nil"/>
          <w:left w:val="nil"/>
          <w:bottom w:val="nil"/>
          <w:right w:val="nil"/>
          <w:between w:val="nil"/>
          <w:bar w:val="nil"/>
        </w:pBdr>
        <w:autoSpaceDE/>
        <w:autoSpaceDN/>
        <w:adjustRightInd/>
        <w:jc w:val="both"/>
        <w:rPr>
          <w:rFonts w:ascii="Arial" w:hAnsi="Arial" w:cs="Arial"/>
          <w:sz w:val="22"/>
          <w:szCs w:val="22"/>
          <w:lang w:val="fr-FR"/>
        </w:rPr>
      </w:pPr>
      <w:r w:rsidRPr="00016A72">
        <w:rPr>
          <w:rFonts w:ascii="Arial" w:hAnsi="Arial" w:cs="Arial"/>
          <w:sz w:val="22"/>
          <w:szCs w:val="22"/>
          <w:lang w:val="fr-FR"/>
        </w:rPr>
        <w:lastRenderedPageBreak/>
        <w:t xml:space="preserve">Les Signataires du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et les Parties à la CMS qui se conforment déjà à la protection des espèces inscrites à l’Annexe I de la CMS devraient donner la priorité aux efforts de collaboration avec les non-Parties pour réduire, voire éliminer, les débarquements d’espèces inscrites à l’Annexe I de la CMS.</w:t>
      </w:r>
    </w:p>
    <w:bookmarkEnd w:id="11"/>
    <w:p w14:paraId="13E641CB" w14:textId="77777777" w:rsidR="00016A72" w:rsidRPr="00016A72" w:rsidRDefault="00016A72" w:rsidP="00016A72">
      <w:pPr>
        <w:ind w:left="2340"/>
        <w:contextualSpacing/>
        <w:jc w:val="both"/>
        <w:rPr>
          <w:rFonts w:ascii="Arial" w:hAnsi="Arial" w:cs="Arial"/>
          <w:sz w:val="22"/>
          <w:szCs w:val="22"/>
          <w:lang w:val="fr-FR"/>
        </w:rPr>
      </w:pPr>
    </w:p>
    <w:p w14:paraId="0376C9F0" w14:textId="77777777" w:rsidR="00016A72" w:rsidRPr="00016A72" w:rsidRDefault="00016A72" w:rsidP="001012C4">
      <w:pPr>
        <w:widowControl/>
        <w:numPr>
          <w:ilvl w:val="0"/>
          <w:numId w:val="21"/>
        </w:numPr>
        <w:pBdr>
          <w:top w:val="nil"/>
          <w:left w:val="nil"/>
          <w:bottom w:val="nil"/>
          <w:right w:val="nil"/>
          <w:between w:val="nil"/>
          <w:bar w:val="nil"/>
        </w:pBdr>
        <w:autoSpaceDE/>
        <w:autoSpaceDN/>
        <w:adjustRightInd/>
        <w:jc w:val="both"/>
        <w:outlineLvl w:val="1"/>
        <w:rPr>
          <w:rFonts w:ascii="Arial" w:hAnsi="Arial" w:cs="Arial"/>
          <w:b/>
          <w:bCs/>
          <w:sz w:val="22"/>
          <w:szCs w:val="22"/>
          <w:u w:val="single"/>
          <w:lang w:val="fr-FR"/>
        </w:rPr>
      </w:pPr>
      <w:bookmarkStart w:id="12" w:name="Section4"/>
      <w:r w:rsidRPr="00016A72">
        <w:rPr>
          <w:rFonts w:ascii="Arial" w:hAnsi="Arial" w:cs="Arial"/>
          <w:b/>
          <w:bCs/>
          <w:sz w:val="22"/>
          <w:szCs w:val="22"/>
          <w:u w:val="single"/>
          <w:lang w:val="fr-FR"/>
        </w:rPr>
        <w:t xml:space="preserve">Débarquements déclarés d’espèces inscrites à l’Annexe 1 du </w:t>
      </w:r>
      <w:proofErr w:type="spellStart"/>
      <w:r w:rsidRPr="00016A72">
        <w:rPr>
          <w:rFonts w:ascii="Arial" w:hAnsi="Arial" w:cs="Arial"/>
          <w:b/>
          <w:bCs/>
          <w:sz w:val="22"/>
          <w:szCs w:val="22"/>
          <w:u w:val="single"/>
          <w:lang w:val="fr-FR"/>
        </w:rPr>
        <w:t>MdE</w:t>
      </w:r>
      <w:proofErr w:type="spellEnd"/>
      <w:r w:rsidRPr="00016A72">
        <w:rPr>
          <w:rFonts w:ascii="Arial" w:hAnsi="Arial" w:cs="Arial"/>
          <w:b/>
          <w:bCs/>
          <w:sz w:val="22"/>
          <w:szCs w:val="22"/>
          <w:u w:val="single"/>
          <w:lang w:val="fr-FR"/>
        </w:rPr>
        <w:t xml:space="preserve"> requins</w:t>
      </w:r>
    </w:p>
    <w:p w14:paraId="7F2DB0B5" w14:textId="77777777" w:rsidR="00016A72" w:rsidRPr="00016A72" w:rsidRDefault="00016A72" w:rsidP="00016A72">
      <w:pPr>
        <w:widowControl/>
        <w:pBdr>
          <w:top w:val="nil"/>
          <w:left w:val="nil"/>
          <w:bottom w:val="nil"/>
          <w:right w:val="nil"/>
          <w:between w:val="nil"/>
          <w:bar w:val="nil"/>
        </w:pBdr>
        <w:autoSpaceDE/>
        <w:autoSpaceDN/>
        <w:adjustRightInd/>
        <w:ind w:left="360"/>
        <w:jc w:val="both"/>
        <w:outlineLvl w:val="1"/>
        <w:rPr>
          <w:rFonts w:ascii="Arial" w:hAnsi="Arial" w:cs="Arial"/>
          <w:b/>
          <w:bCs/>
          <w:sz w:val="22"/>
          <w:szCs w:val="22"/>
          <w:u w:val="single"/>
          <w:lang w:val="fr-FR"/>
        </w:rPr>
      </w:pPr>
    </w:p>
    <w:bookmarkEnd w:id="12"/>
    <w:p w14:paraId="16E11C9F" w14:textId="5DF458B5" w:rsidR="00016A72" w:rsidRPr="00016A72" w:rsidRDefault="00016A72" w:rsidP="00016A72">
      <w:pPr>
        <w:keepNext/>
        <w:keepLines/>
        <w:outlineLvl w:val="2"/>
        <w:rPr>
          <w:rFonts w:ascii="Arial" w:hAnsi="Arial" w:cs="Arial"/>
          <w:b/>
          <w:bCs/>
          <w:sz w:val="22"/>
          <w:szCs w:val="22"/>
          <w:lang w:val="fr-FR"/>
        </w:rPr>
      </w:pPr>
      <w:r w:rsidRPr="00016A72">
        <w:rPr>
          <w:rFonts w:ascii="Arial" w:hAnsi="Arial" w:cs="Arial"/>
          <w:b/>
          <w:bCs/>
          <w:sz w:val="22"/>
          <w:szCs w:val="22"/>
          <w:lang w:val="fr-FR"/>
        </w:rPr>
        <w:t>4.</w:t>
      </w:r>
      <w:r w:rsidR="001012C4">
        <w:rPr>
          <w:rFonts w:ascii="Arial" w:hAnsi="Arial" w:cs="Arial"/>
          <w:b/>
          <w:bCs/>
          <w:sz w:val="22"/>
          <w:szCs w:val="22"/>
          <w:lang w:val="fr-FR"/>
        </w:rPr>
        <w:t>1</w:t>
      </w:r>
      <w:r w:rsidRPr="00016A72">
        <w:rPr>
          <w:rFonts w:ascii="Arial" w:hAnsi="Arial" w:cs="Arial"/>
          <w:b/>
          <w:bCs/>
          <w:sz w:val="22"/>
          <w:szCs w:val="22"/>
          <w:lang w:val="fr-FR"/>
        </w:rPr>
        <w:tab/>
        <w:t>Contexte</w:t>
      </w:r>
    </w:p>
    <w:p w14:paraId="5513C5D2" w14:textId="77777777" w:rsidR="00016A72" w:rsidRPr="00016A72" w:rsidRDefault="00016A72" w:rsidP="00016A72">
      <w:pPr>
        <w:keepNext/>
        <w:keepLines/>
        <w:outlineLvl w:val="2"/>
        <w:rPr>
          <w:rFonts w:ascii="Arial" w:hAnsi="Arial" w:cs="Arial"/>
          <w:b/>
          <w:bCs/>
          <w:sz w:val="22"/>
          <w:szCs w:val="22"/>
          <w:lang w:val="fr-FR"/>
        </w:rPr>
      </w:pPr>
    </w:p>
    <w:p w14:paraId="7298DCC2"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Les espèces inscrites à l’Annexe 1 du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doivent être gérées de manière durable par la conservation et la gestion fondées sur les meilleures données scientifiques disponibles, en suivant les mesures décrites dans le Plan de conservation du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w:t>
      </w:r>
    </w:p>
    <w:p w14:paraId="6D59E5A6"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2CCC1627"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Il y a actuellement 35 espèces valides de requins et de raies migrateurs inscrites à l’Annexe 1 du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en raison du besoin de collaboration internationale pour améliorer leur état de conservation. Toutes les espèces inscrites à l’Annexe I de la CMS y figurent. Les espèces inscrites à l’Annexe II de la CMS qui sont également incluses dans le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sont les suivantes : le Poisson lune à taches blanches (</w:t>
      </w:r>
      <w:proofErr w:type="spellStart"/>
      <w:r w:rsidRPr="00016A72">
        <w:rPr>
          <w:rFonts w:ascii="Arial" w:hAnsi="Arial" w:cs="Arial"/>
          <w:i/>
          <w:iCs/>
          <w:sz w:val="22"/>
          <w:szCs w:val="22"/>
          <w:lang w:val="fr-FR"/>
        </w:rPr>
        <w:t>Rhynchobatus</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australiae</w:t>
      </w:r>
      <w:proofErr w:type="spellEnd"/>
      <w:r w:rsidRPr="00016A72">
        <w:rPr>
          <w:rFonts w:ascii="Arial" w:hAnsi="Arial" w:cs="Arial"/>
          <w:sz w:val="22"/>
          <w:szCs w:val="22"/>
          <w:lang w:val="fr-FR"/>
        </w:rPr>
        <w:t>), la Grande raie-guitare (</w:t>
      </w:r>
      <w:proofErr w:type="spellStart"/>
      <w:r w:rsidRPr="00016A72">
        <w:rPr>
          <w:rFonts w:ascii="Arial" w:hAnsi="Arial" w:cs="Arial"/>
          <w:i/>
          <w:iCs/>
          <w:sz w:val="22"/>
          <w:szCs w:val="22"/>
          <w:lang w:val="fr-FR"/>
        </w:rPr>
        <w:t>Rhynchobatus</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djiddensis</w:t>
      </w:r>
      <w:proofErr w:type="spellEnd"/>
      <w:r w:rsidRPr="00016A72">
        <w:rPr>
          <w:rFonts w:ascii="Arial" w:hAnsi="Arial" w:cs="Arial"/>
          <w:sz w:val="22"/>
          <w:szCs w:val="22"/>
          <w:lang w:val="fr-FR"/>
        </w:rPr>
        <w:t>), les trois espèces de requins Renards (</w:t>
      </w:r>
      <w:r w:rsidRPr="00016A72">
        <w:rPr>
          <w:rFonts w:ascii="Arial" w:hAnsi="Arial" w:cs="Arial"/>
          <w:i/>
          <w:iCs/>
          <w:sz w:val="22"/>
          <w:szCs w:val="22"/>
          <w:lang w:val="fr-FR"/>
        </w:rPr>
        <w:t xml:space="preserve">Alopias </w:t>
      </w:r>
      <w:proofErr w:type="spellStart"/>
      <w:r w:rsidRPr="00016A72">
        <w:rPr>
          <w:rFonts w:ascii="Arial" w:hAnsi="Arial" w:cs="Arial"/>
          <w:i/>
          <w:iCs/>
          <w:sz w:val="22"/>
          <w:szCs w:val="22"/>
          <w:lang w:val="fr-FR"/>
        </w:rPr>
        <w:t>pelagicus</w:t>
      </w:r>
      <w:proofErr w:type="spellEnd"/>
      <w:r w:rsidRPr="00016A72">
        <w:rPr>
          <w:rFonts w:ascii="Arial" w:hAnsi="Arial" w:cs="Arial"/>
          <w:i/>
          <w:iCs/>
          <w:sz w:val="22"/>
          <w:szCs w:val="22"/>
          <w:lang w:val="fr-FR"/>
        </w:rPr>
        <w:t xml:space="preserve">, A. </w:t>
      </w:r>
      <w:proofErr w:type="spellStart"/>
      <w:r w:rsidRPr="00016A72">
        <w:rPr>
          <w:rFonts w:ascii="Arial" w:hAnsi="Arial" w:cs="Arial"/>
          <w:i/>
          <w:iCs/>
          <w:sz w:val="22"/>
          <w:szCs w:val="22"/>
          <w:lang w:val="fr-FR"/>
        </w:rPr>
        <w:t>vulpinus</w:t>
      </w:r>
      <w:proofErr w:type="spellEnd"/>
      <w:r w:rsidRPr="00016A72">
        <w:rPr>
          <w:rFonts w:ascii="Arial" w:hAnsi="Arial" w:cs="Arial"/>
          <w:i/>
          <w:iCs/>
          <w:sz w:val="22"/>
          <w:szCs w:val="22"/>
          <w:lang w:val="fr-FR"/>
        </w:rPr>
        <w:t xml:space="preserve">, A. </w:t>
      </w:r>
      <w:proofErr w:type="spellStart"/>
      <w:r w:rsidRPr="00016A72">
        <w:rPr>
          <w:rFonts w:ascii="Arial" w:hAnsi="Arial" w:cs="Arial"/>
          <w:i/>
          <w:iCs/>
          <w:sz w:val="22"/>
          <w:szCs w:val="22"/>
          <w:lang w:val="fr-FR"/>
        </w:rPr>
        <w:t>superciliosus</w:t>
      </w:r>
      <w:proofErr w:type="spellEnd"/>
      <w:r w:rsidRPr="00016A72">
        <w:rPr>
          <w:rFonts w:ascii="Arial" w:hAnsi="Arial" w:cs="Arial"/>
          <w:sz w:val="22"/>
          <w:szCs w:val="22"/>
          <w:lang w:val="fr-FR"/>
        </w:rPr>
        <w:t xml:space="preserve">), les deux espèces de Requins </w:t>
      </w:r>
      <w:proofErr w:type="spellStart"/>
      <w:r w:rsidRPr="00016A72">
        <w:rPr>
          <w:rFonts w:ascii="Arial" w:hAnsi="Arial" w:cs="Arial"/>
          <w:sz w:val="22"/>
          <w:szCs w:val="22"/>
          <w:lang w:val="fr-FR"/>
        </w:rPr>
        <w:t>mako</w:t>
      </w:r>
      <w:proofErr w:type="spellEnd"/>
      <w:r w:rsidRPr="00016A72">
        <w:rPr>
          <w:rFonts w:ascii="Arial" w:hAnsi="Arial" w:cs="Arial"/>
          <w:sz w:val="22"/>
          <w:szCs w:val="22"/>
          <w:lang w:val="fr-FR"/>
        </w:rPr>
        <w:t xml:space="preserve"> (</w:t>
      </w:r>
      <w:proofErr w:type="spellStart"/>
      <w:r w:rsidRPr="00016A72">
        <w:rPr>
          <w:rFonts w:ascii="Arial" w:hAnsi="Arial" w:cs="Arial"/>
          <w:i/>
          <w:iCs/>
          <w:sz w:val="22"/>
          <w:szCs w:val="22"/>
          <w:lang w:val="fr-FR"/>
        </w:rPr>
        <w:t>Isurus</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oxyrinchus</w:t>
      </w:r>
      <w:proofErr w:type="spellEnd"/>
      <w:r w:rsidRPr="00016A72">
        <w:rPr>
          <w:rFonts w:ascii="Arial" w:hAnsi="Arial" w:cs="Arial"/>
          <w:sz w:val="22"/>
          <w:szCs w:val="22"/>
          <w:lang w:val="fr-FR"/>
        </w:rPr>
        <w:t xml:space="preserve"> et </w:t>
      </w:r>
      <w:r w:rsidRPr="00016A72">
        <w:rPr>
          <w:rFonts w:ascii="Arial" w:hAnsi="Arial" w:cs="Arial"/>
          <w:i/>
          <w:iCs/>
          <w:sz w:val="22"/>
          <w:szCs w:val="22"/>
          <w:lang w:val="fr-FR"/>
        </w:rPr>
        <w:t xml:space="preserve">I. </w:t>
      </w:r>
      <w:proofErr w:type="spellStart"/>
      <w:r w:rsidRPr="00016A72">
        <w:rPr>
          <w:rFonts w:ascii="Arial" w:hAnsi="Arial" w:cs="Arial"/>
          <w:i/>
          <w:iCs/>
          <w:sz w:val="22"/>
          <w:szCs w:val="22"/>
          <w:lang w:val="fr-FR"/>
        </w:rPr>
        <w:t>paucus</w:t>
      </w:r>
      <w:proofErr w:type="spellEnd"/>
      <w:r w:rsidRPr="00016A72">
        <w:rPr>
          <w:rFonts w:ascii="Arial" w:hAnsi="Arial" w:cs="Arial"/>
          <w:sz w:val="22"/>
          <w:szCs w:val="22"/>
          <w:lang w:val="fr-FR"/>
        </w:rPr>
        <w:t>), le Requin-taupe commun (</w:t>
      </w:r>
      <w:proofErr w:type="spellStart"/>
      <w:r w:rsidRPr="00016A72">
        <w:rPr>
          <w:rFonts w:ascii="Arial" w:hAnsi="Arial" w:cs="Arial"/>
          <w:i/>
          <w:iCs/>
          <w:sz w:val="22"/>
          <w:szCs w:val="22"/>
          <w:lang w:val="fr-FR"/>
        </w:rPr>
        <w:t>Lamna</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nasus</w:t>
      </w:r>
      <w:proofErr w:type="spellEnd"/>
      <w:r w:rsidRPr="00016A72">
        <w:rPr>
          <w:rFonts w:ascii="Arial" w:hAnsi="Arial" w:cs="Arial"/>
          <w:sz w:val="22"/>
          <w:szCs w:val="22"/>
          <w:lang w:val="fr-FR"/>
        </w:rPr>
        <w:t>), le Requin soyeux (</w:t>
      </w:r>
      <w:proofErr w:type="spellStart"/>
      <w:r w:rsidRPr="00016A72">
        <w:rPr>
          <w:rFonts w:ascii="Arial" w:hAnsi="Arial" w:cs="Arial"/>
          <w:i/>
          <w:iCs/>
          <w:sz w:val="22"/>
          <w:szCs w:val="22"/>
          <w:lang w:val="fr-FR"/>
        </w:rPr>
        <w:t>Carcharhinus</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falciformis</w:t>
      </w:r>
      <w:proofErr w:type="spellEnd"/>
      <w:r w:rsidRPr="00016A72">
        <w:rPr>
          <w:rFonts w:ascii="Arial" w:hAnsi="Arial" w:cs="Arial"/>
          <w:sz w:val="22"/>
          <w:szCs w:val="22"/>
          <w:lang w:val="fr-FR"/>
        </w:rPr>
        <w:t>), Requin sombre (</w:t>
      </w:r>
      <w:proofErr w:type="spellStart"/>
      <w:r w:rsidRPr="00016A72">
        <w:rPr>
          <w:rFonts w:ascii="Arial" w:hAnsi="Arial" w:cs="Arial"/>
          <w:i/>
          <w:iCs/>
          <w:sz w:val="22"/>
          <w:szCs w:val="22"/>
          <w:lang w:val="fr-FR"/>
        </w:rPr>
        <w:t>Carcharhinus</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obscurus</w:t>
      </w:r>
      <w:proofErr w:type="spellEnd"/>
      <w:r w:rsidRPr="00016A72">
        <w:rPr>
          <w:rFonts w:ascii="Arial" w:hAnsi="Arial" w:cs="Arial"/>
          <w:sz w:val="22"/>
          <w:szCs w:val="22"/>
          <w:lang w:val="fr-FR"/>
        </w:rPr>
        <w:t>), le Requin océanique (</w:t>
      </w:r>
      <w:proofErr w:type="spellStart"/>
      <w:r w:rsidRPr="00016A72">
        <w:rPr>
          <w:rFonts w:ascii="Arial" w:hAnsi="Arial" w:cs="Arial"/>
          <w:i/>
          <w:iCs/>
          <w:sz w:val="22"/>
          <w:szCs w:val="22"/>
          <w:lang w:val="fr-FR"/>
        </w:rPr>
        <w:t>Carcharhinus</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longimanus</w:t>
      </w:r>
      <w:proofErr w:type="spellEnd"/>
      <w:r w:rsidRPr="00016A72">
        <w:rPr>
          <w:rFonts w:ascii="Arial" w:hAnsi="Arial" w:cs="Arial"/>
          <w:sz w:val="22"/>
          <w:szCs w:val="22"/>
          <w:lang w:val="fr-FR"/>
        </w:rPr>
        <w:t>), l'Aiguillat commun (</w:t>
      </w:r>
      <w:proofErr w:type="spellStart"/>
      <w:r w:rsidRPr="00016A72">
        <w:rPr>
          <w:rFonts w:ascii="Arial" w:hAnsi="Arial" w:cs="Arial"/>
          <w:i/>
          <w:iCs/>
          <w:sz w:val="22"/>
          <w:szCs w:val="22"/>
          <w:lang w:val="fr-FR"/>
        </w:rPr>
        <w:t>Squalus</w:t>
      </w:r>
      <w:proofErr w:type="spellEnd"/>
      <w:r w:rsidRPr="00016A72">
        <w:rPr>
          <w:rFonts w:ascii="Arial" w:hAnsi="Arial" w:cs="Arial"/>
          <w:i/>
          <w:iCs/>
          <w:sz w:val="22"/>
          <w:szCs w:val="22"/>
          <w:lang w:val="fr-FR"/>
        </w:rPr>
        <w:t xml:space="preserve"> acanthias</w:t>
      </w:r>
      <w:r w:rsidRPr="00016A72">
        <w:rPr>
          <w:rFonts w:ascii="Arial" w:hAnsi="Arial" w:cs="Arial"/>
          <w:sz w:val="22"/>
          <w:szCs w:val="22"/>
          <w:lang w:val="fr-FR"/>
        </w:rPr>
        <w:t>, Hémisphère nord), l'Ange de mer (</w:t>
      </w:r>
      <w:r w:rsidRPr="00016A72">
        <w:rPr>
          <w:rFonts w:ascii="Arial" w:hAnsi="Arial" w:cs="Arial"/>
          <w:i/>
          <w:iCs/>
          <w:sz w:val="22"/>
          <w:szCs w:val="22"/>
          <w:lang w:val="fr-FR"/>
        </w:rPr>
        <w:t xml:space="preserve">Squatina </w:t>
      </w:r>
      <w:proofErr w:type="spellStart"/>
      <w:r w:rsidRPr="00016A72">
        <w:rPr>
          <w:rFonts w:ascii="Arial" w:hAnsi="Arial" w:cs="Arial"/>
          <w:i/>
          <w:iCs/>
          <w:sz w:val="22"/>
          <w:szCs w:val="22"/>
          <w:lang w:val="fr-FR"/>
        </w:rPr>
        <w:t>squatina</w:t>
      </w:r>
      <w:proofErr w:type="spellEnd"/>
      <w:r w:rsidRPr="00016A72">
        <w:rPr>
          <w:rFonts w:ascii="Arial" w:hAnsi="Arial" w:cs="Arial"/>
          <w:sz w:val="22"/>
          <w:szCs w:val="22"/>
          <w:lang w:val="fr-FR"/>
        </w:rPr>
        <w:t>), et trois espèces de Requins-marteaux (</w:t>
      </w:r>
      <w:proofErr w:type="spellStart"/>
      <w:r w:rsidRPr="00016A72">
        <w:rPr>
          <w:rFonts w:ascii="Arial" w:hAnsi="Arial" w:cs="Arial"/>
          <w:i/>
          <w:iCs/>
          <w:sz w:val="22"/>
          <w:szCs w:val="22"/>
          <w:lang w:val="fr-FR"/>
        </w:rPr>
        <w:t>Sphyrna</w:t>
      </w:r>
      <w:proofErr w:type="spellEnd"/>
      <w:r w:rsidRPr="00016A72">
        <w:rPr>
          <w:rFonts w:ascii="Arial" w:hAnsi="Arial" w:cs="Arial"/>
          <w:i/>
          <w:iCs/>
          <w:sz w:val="22"/>
          <w:szCs w:val="22"/>
          <w:lang w:val="fr-FR"/>
        </w:rPr>
        <w:t xml:space="preserve"> </w:t>
      </w:r>
      <w:proofErr w:type="spellStart"/>
      <w:r w:rsidRPr="00016A72">
        <w:rPr>
          <w:rFonts w:ascii="Arial" w:hAnsi="Arial" w:cs="Arial"/>
          <w:i/>
          <w:iCs/>
          <w:sz w:val="22"/>
          <w:szCs w:val="22"/>
          <w:lang w:val="fr-FR"/>
        </w:rPr>
        <w:t>lewini</w:t>
      </w:r>
      <w:proofErr w:type="spellEnd"/>
      <w:r w:rsidRPr="00016A72">
        <w:rPr>
          <w:rFonts w:ascii="Arial" w:hAnsi="Arial" w:cs="Arial"/>
          <w:i/>
          <w:iCs/>
          <w:sz w:val="22"/>
          <w:szCs w:val="22"/>
          <w:lang w:val="fr-FR"/>
        </w:rPr>
        <w:t xml:space="preserve">, S. </w:t>
      </w:r>
      <w:proofErr w:type="spellStart"/>
      <w:r w:rsidRPr="00016A72">
        <w:rPr>
          <w:rFonts w:ascii="Arial" w:hAnsi="Arial" w:cs="Arial"/>
          <w:i/>
          <w:iCs/>
          <w:sz w:val="22"/>
          <w:szCs w:val="22"/>
          <w:lang w:val="fr-FR"/>
        </w:rPr>
        <w:t>mokarran</w:t>
      </w:r>
      <w:proofErr w:type="spellEnd"/>
      <w:r w:rsidRPr="00016A72">
        <w:rPr>
          <w:rFonts w:ascii="Arial" w:hAnsi="Arial" w:cs="Arial"/>
          <w:i/>
          <w:iCs/>
          <w:sz w:val="22"/>
          <w:szCs w:val="22"/>
          <w:lang w:val="fr-FR"/>
        </w:rPr>
        <w:t xml:space="preserve">, </w:t>
      </w:r>
      <w:r w:rsidRPr="00016A72">
        <w:rPr>
          <w:rFonts w:ascii="Arial" w:hAnsi="Arial" w:cs="Arial"/>
          <w:sz w:val="22"/>
          <w:szCs w:val="22"/>
          <w:lang w:val="fr-FR"/>
        </w:rPr>
        <w:t xml:space="preserve">et </w:t>
      </w:r>
      <w:r w:rsidRPr="00016A72">
        <w:rPr>
          <w:rFonts w:ascii="Arial" w:hAnsi="Arial" w:cs="Arial"/>
          <w:i/>
          <w:iCs/>
          <w:sz w:val="22"/>
          <w:szCs w:val="22"/>
          <w:lang w:val="fr-FR"/>
        </w:rPr>
        <w:t xml:space="preserve">S. </w:t>
      </w:r>
      <w:proofErr w:type="spellStart"/>
      <w:r w:rsidRPr="00016A72">
        <w:rPr>
          <w:rFonts w:ascii="Arial" w:hAnsi="Arial" w:cs="Arial"/>
          <w:i/>
          <w:iCs/>
          <w:sz w:val="22"/>
          <w:szCs w:val="22"/>
          <w:lang w:val="fr-FR"/>
        </w:rPr>
        <w:t>zygaena</w:t>
      </w:r>
      <w:proofErr w:type="spellEnd"/>
      <w:r w:rsidRPr="00016A72">
        <w:rPr>
          <w:rFonts w:ascii="Arial" w:hAnsi="Arial" w:cs="Arial"/>
          <w:sz w:val="22"/>
          <w:szCs w:val="22"/>
          <w:lang w:val="fr-FR"/>
        </w:rPr>
        <w:t>).</w:t>
      </w:r>
    </w:p>
    <w:p w14:paraId="2C7AB1F5" w14:textId="77777777" w:rsidR="00016A72" w:rsidRPr="00016A72" w:rsidRDefault="00016A72" w:rsidP="00016A72">
      <w:pPr>
        <w:contextualSpacing/>
        <w:jc w:val="both"/>
        <w:rPr>
          <w:rFonts w:ascii="Arial" w:hAnsi="Arial" w:cs="Arial"/>
          <w:sz w:val="22"/>
          <w:szCs w:val="22"/>
          <w:lang w:val="fr-FR"/>
        </w:rPr>
      </w:pPr>
    </w:p>
    <w:p w14:paraId="7A09CB08"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Le Comité consultatif élabore également des méthodes permettant de classer par ordre de priorité les espèces devant faire l’objet de recherches scientifiques plus approfondies dans le cadre d'études menées en collaboration et coordonnées au niveau régional par zone FAO. Cette priorisation régionale peut être éclairée par l’état de conservation de l’espèce, les données disponibles sur la population, la vulnérabilité aux pêcheries et à la destruction de l’habitat, les mesures de conservation en cours et l’importance régionale. Pour de plus amples informations, veuillez consulter le document </w:t>
      </w:r>
      <w:r w:rsidR="00603D91">
        <w:fldChar w:fldCharType="begin"/>
      </w:r>
      <w:r w:rsidR="00603D91" w:rsidRPr="004165F5">
        <w:rPr>
          <w:lang w:val="fr-FR"/>
        </w:rPr>
        <w:instrText>HYPERLINK "https://www.cms.int/sharks/fr/node/23724"</w:instrText>
      </w:r>
      <w:r w:rsidR="00603D91">
        <w:fldChar w:fldCharType="separate"/>
      </w:r>
      <w:r w:rsidRPr="00016A72">
        <w:rPr>
          <w:rFonts w:ascii="Arial" w:hAnsi="Arial" w:cs="Arial"/>
          <w:color w:val="0000FF"/>
          <w:sz w:val="22"/>
          <w:szCs w:val="22"/>
          <w:u w:val="single"/>
          <w:lang w:val="fr-FR"/>
        </w:rPr>
        <w:t>CMS/</w:t>
      </w:r>
      <w:proofErr w:type="spellStart"/>
      <w:r w:rsidRPr="00016A72">
        <w:rPr>
          <w:rFonts w:ascii="Arial" w:hAnsi="Arial" w:cs="Arial"/>
          <w:color w:val="0000FF"/>
          <w:sz w:val="22"/>
          <w:szCs w:val="22"/>
          <w:u w:val="single"/>
          <w:lang w:val="fr-FR"/>
        </w:rPr>
        <w:t>Sharks</w:t>
      </w:r>
      <w:proofErr w:type="spellEnd"/>
      <w:r w:rsidRPr="00016A72">
        <w:rPr>
          <w:rFonts w:ascii="Arial" w:hAnsi="Arial" w:cs="Arial"/>
          <w:color w:val="0000FF"/>
          <w:sz w:val="22"/>
          <w:szCs w:val="22"/>
          <w:u w:val="single"/>
          <w:lang w:val="fr-FR"/>
        </w:rPr>
        <w:t>/MOS4/Doc.10.5</w:t>
      </w:r>
      <w:r w:rsidR="00603D91">
        <w:rPr>
          <w:rFonts w:ascii="Arial" w:hAnsi="Arial" w:cs="Arial"/>
          <w:color w:val="0000FF"/>
          <w:sz w:val="22"/>
          <w:szCs w:val="22"/>
          <w:u w:val="single"/>
          <w:lang w:val="fr-FR"/>
        </w:rPr>
        <w:fldChar w:fldCharType="end"/>
      </w:r>
      <w:r w:rsidRPr="00016A72">
        <w:rPr>
          <w:rFonts w:ascii="Arial" w:hAnsi="Arial" w:cs="Arial"/>
          <w:sz w:val="22"/>
          <w:szCs w:val="22"/>
          <w:lang w:val="fr-FR"/>
        </w:rPr>
        <w:t>.</w:t>
      </w:r>
    </w:p>
    <w:p w14:paraId="64BEF999" w14:textId="77777777" w:rsidR="00016A72" w:rsidRPr="00016A72" w:rsidRDefault="00016A72" w:rsidP="00016A72">
      <w:pPr>
        <w:contextualSpacing/>
        <w:jc w:val="both"/>
        <w:rPr>
          <w:rFonts w:ascii="Arial" w:hAnsi="Arial" w:cs="Arial"/>
          <w:sz w:val="22"/>
          <w:szCs w:val="22"/>
          <w:lang w:val="fr-FR"/>
        </w:rPr>
      </w:pPr>
    </w:p>
    <w:p w14:paraId="0D7A60FD"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Les flottes de pêche lointaine de plusieurs nations débarquent des espèces de requins et de raies capturées dans des zones FAO situées en dehors de leurs frontières nationales </w:t>
      </w:r>
      <w:r w:rsidRPr="00016A72">
        <w:rPr>
          <w:rFonts w:ascii="Arial" w:hAnsi="Arial" w:cs="Arial"/>
          <w:sz w:val="22"/>
          <w:szCs w:val="22"/>
          <w:lang w:val="fr-FR"/>
        </w:rPr>
        <w:fldChar w:fldCharType="begin" w:fldLock="1"/>
      </w:r>
      <w:r w:rsidRPr="00016A72">
        <w:rPr>
          <w:rFonts w:ascii="Arial" w:hAnsi="Arial" w:cs="Arial"/>
          <w:sz w:val="22"/>
          <w:szCs w:val="22"/>
          <w:lang w:val="fr-FR"/>
        </w:rPr>
        <w:instrText>ADDIN CSL_CITATION {"citationItems":[{"id":"ITEM-1","itemData":{"DOI":"10.1126/sciadv.aat2504","ISSN":"23752548","PMID":"29881780","abstract":"While the ecological impacts of fishing the waters beyond national jurisdiction (the “high seas”) have been widely studied, the economic rationale is more difficult to ascertain because of scarce data on the costs and revenues of the fleets that fish there. Newly compiled satellite data and machine learning now allow us to track individual fishing vessels on the high seas in near real time. These technological advances help us quantify high-seas fishing effort, costs, and benefits, and assess whether, where, and when high-seas fishing makes economic sense. We characterize the global high-seas fishing fleet and report the economic benefits of fishing the high seas globally, nationally, and at the scale of individual fleets. Our results suggest that fishing at the current scale is enabled by large government subsidies, without which as much as 54% of the present high-seas fishing grounds would be unprofitable at current fishing rates. The patterns of fishing profitability vary widely between countries, types of fishing, and distance to port. Deep-sea bottom trawling often produces net economic benefits only thanks to subsidies, and much fishing by the world’s largest fishing fleets would largely be unprofitable without subsidies and low labor costs. These results support recent calls for subsidy and fishery management reforms on the high seas.","author":[{"dropping-particle":"","family":"Sala","given":"Enric","non-dropping-particle":"","parse-names":false,"suffix":""},{"dropping-particle":"","family":"Mayorga","given":"Juan","non-dropping-particle":"","parse-names":false,"suffix":""},{"dropping-particle":"","family":"Costello","given":"Christopher","non-dropping-particle":"","parse-names":false,"suffix":""},{"dropping-particle":"","family":"Kroodsma","given":"David","non-dropping-particle":"","parse-names":false,"suffix":""},{"dropping-particle":"","family":"Palomares","given":"Maria L.D.","non-dropping-particle":"","parse-names":false,"suffix":""},{"dropping-particle":"","family":"Pauly","given":"Daniel","non-dropping-particle":"","parse-names":false,"suffix":""},{"dropping-particle":"","family":"Rashid Sumaila","given":"U.","non-dropping-particle":"","parse-names":false,"suffix":""},{"dropping-particle":"","family":"Zeller","given":"Dirk","non-dropping-particle":"","parse-names":false,"suffix":""}],"container-title":"Science Advances","id":"ITEM-1","issue":"6","issued":{"date-parts":[["2018","6","6"]]},"publisher":"American Association for the Advancement of Science","title":"The economics of fishing the high seas","type":"article-journal","volume":"4"},"uris":["http://www.mendeley.com/documents/?uuid=d6cbf046-2cd8-39c9-9da0-d9390d32383a"]}],"mendeley":{"formattedCitation":"(Sala et al. 2018)","plainTextFormattedCitation":"(Sala et al. 2018)","previouslyFormattedCitation":"(Sala et al. 2018)"},"properties":{"noteIndex":0},"schema":"https://github.com/citation-style-language/schema/raw/master/csl-citation.json"}</w:instrText>
      </w:r>
      <w:r w:rsidRPr="00016A72">
        <w:rPr>
          <w:rFonts w:ascii="Arial" w:hAnsi="Arial" w:cs="Arial"/>
          <w:sz w:val="22"/>
          <w:szCs w:val="22"/>
          <w:lang w:val="fr-FR"/>
        </w:rPr>
        <w:fldChar w:fldCharType="separate"/>
      </w:r>
      <w:r w:rsidRPr="00016A72">
        <w:rPr>
          <w:rFonts w:ascii="Arial" w:hAnsi="Arial" w:cs="Arial"/>
          <w:sz w:val="22"/>
          <w:szCs w:val="22"/>
          <w:lang w:val="fr-FR"/>
        </w:rPr>
        <w:t>(Sala et al. 2018)</w:t>
      </w:r>
      <w:r w:rsidRPr="00016A72">
        <w:rPr>
          <w:rFonts w:ascii="Arial" w:hAnsi="Arial" w:cs="Arial"/>
          <w:sz w:val="22"/>
          <w:szCs w:val="22"/>
          <w:lang w:val="fr-FR"/>
        </w:rPr>
        <w:fldChar w:fldCharType="end"/>
      </w:r>
      <w:r w:rsidRPr="00016A72">
        <w:rPr>
          <w:rFonts w:ascii="Arial" w:hAnsi="Arial" w:cs="Arial"/>
          <w:sz w:val="22"/>
          <w:szCs w:val="22"/>
          <w:lang w:val="fr-FR"/>
        </w:rPr>
        <w:t>. Il est donc justifié d’identifier les Signataires et les États de l’aire de répartition exploitant les requins et les raies inscrits qui ont été identifiés comme des priorités de recherche régionales et de travailler en collaboration plutôt que de laisser cette responsabilité aux seules nations ayant juridiction dans la zone.</w:t>
      </w:r>
    </w:p>
    <w:p w14:paraId="2AE78DCC"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10379451" w14:textId="01FBED40" w:rsidR="00016A72" w:rsidRPr="00016A72" w:rsidRDefault="00016A72" w:rsidP="00016A72">
      <w:pPr>
        <w:keepNext/>
        <w:keepLines/>
        <w:outlineLvl w:val="2"/>
        <w:rPr>
          <w:rFonts w:ascii="Arial" w:hAnsi="Arial" w:cs="Arial"/>
          <w:b/>
          <w:bCs/>
          <w:sz w:val="22"/>
          <w:szCs w:val="22"/>
          <w:lang w:val="fr-FR"/>
        </w:rPr>
      </w:pPr>
      <w:r w:rsidRPr="00016A72">
        <w:rPr>
          <w:rFonts w:ascii="Arial" w:hAnsi="Arial" w:cs="Arial"/>
          <w:b/>
          <w:bCs/>
          <w:sz w:val="22"/>
          <w:szCs w:val="22"/>
          <w:lang w:val="fr-FR"/>
        </w:rPr>
        <w:t>4.</w:t>
      </w:r>
      <w:r w:rsidR="001012C4">
        <w:rPr>
          <w:rFonts w:ascii="Arial" w:hAnsi="Arial" w:cs="Arial"/>
          <w:b/>
          <w:bCs/>
          <w:sz w:val="22"/>
          <w:szCs w:val="22"/>
          <w:lang w:val="fr-FR"/>
        </w:rPr>
        <w:t>2</w:t>
      </w:r>
      <w:r w:rsidRPr="00016A72">
        <w:rPr>
          <w:rFonts w:ascii="Arial" w:hAnsi="Arial" w:cs="Arial"/>
          <w:b/>
          <w:bCs/>
          <w:sz w:val="22"/>
          <w:szCs w:val="22"/>
          <w:lang w:val="fr-FR"/>
        </w:rPr>
        <w:tab/>
        <w:t>Résultats</w:t>
      </w:r>
    </w:p>
    <w:p w14:paraId="3F41ACA9" w14:textId="77777777" w:rsidR="00016A72" w:rsidRPr="00016A72" w:rsidRDefault="00016A72" w:rsidP="00016A72">
      <w:pPr>
        <w:keepNext/>
        <w:keepLines/>
        <w:outlineLvl w:val="2"/>
        <w:rPr>
          <w:rFonts w:ascii="Arial" w:hAnsi="Arial" w:cs="Arial"/>
          <w:b/>
          <w:bCs/>
          <w:sz w:val="22"/>
          <w:szCs w:val="22"/>
          <w:lang w:val="fr-FR"/>
        </w:rPr>
      </w:pPr>
    </w:p>
    <w:p w14:paraId="5589A2F0"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De 2015 à 2019, une moyenne de 48 632 tonnes/an d’espèces inscrites au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(7 % de tous les débarquements de requins et de raies) ont été déclarées comme débarquées au niveau mondial. Au total, 35 Signataires et 37 États de l’aire de répartition ont déclaré des débarquements d’espèces figurant à l’Annexe 1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Les signataires représentaient 4 %, tandis que les États de l’aire de répartition ont rapporté les 3 % restants.</w:t>
      </w:r>
    </w:p>
    <w:p w14:paraId="1C3CBF56" w14:textId="77777777" w:rsidR="00016A72" w:rsidRPr="00016A72" w:rsidRDefault="00016A72" w:rsidP="00016A72">
      <w:pPr>
        <w:contextualSpacing/>
        <w:jc w:val="both"/>
        <w:rPr>
          <w:rFonts w:ascii="Arial" w:hAnsi="Arial" w:cs="Arial"/>
          <w:sz w:val="22"/>
          <w:szCs w:val="22"/>
          <w:lang w:val="fr-FR"/>
        </w:rPr>
      </w:pPr>
    </w:p>
    <w:p w14:paraId="6184FA2A"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Les espèces de requins inscrites au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les plus couramment débarquées sont les suivantes : le Requin-taupe bleu (25 % ; 12 093 tonnes/an), l’Aiguillat commun (20 % ; 9 825 tonnes/an), la Raie Manta et les Diables (14 % ; 6 900 tonnes/an), le Requin soyeux (12 % ; 5 988 tonnes/an), les Requins-renards déclarés par catégorie de genre (10 % ; 4 722 tonnes/an), le Requin-renard pélagique (9 % ; 4 292 tonnes/an), le </w:t>
      </w:r>
      <w:proofErr w:type="spellStart"/>
      <w:r w:rsidRPr="00016A72">
        <w:rPr>
          <w:rFonts w:ascii="Arial" w:hAnsi="Arial" w:cs="Arial"/>
          <w:sz w:val="22"/>
          <w:szCs w:val="22"/>
          <w:lang w:val="fr-FR"/>
        </w:rPr>
        <w:t>Rhynchobatus</w:t>
      </w:r>
      <w:proofErr w:type="spellEnd"/>
      <w:r w:rsidRPr="00016A72">
        <w:rPr>
          <w:rFonts w:ascii="Arial" w:hAnsi="Arial" w:cs="Arial"/>
          <w:sz w:val="22"/>
          <w:szCs w:val="22"/>
          <w:lang w:val="fr-FR"/>
        </w:rPr>
        <w:t xml:space="preserve"> </w:t>
      </w:r>
      <w:proofErr w:type="spellStart"/>
      <w:r w:rsidRPr="00016A72">
        <w:rPr>
          <w:rFonts w:ascii="Arial" w:hAnsi="Arial" w:cs="Arial"/>
          <w:sz w:val="22"/>
          <w:szCs w:val="22"/>
          <w:lang w:val="fr-FR"/>
        </w:rPr>
        <w:t>australiae</w:t>
      </w:r>
      <w:proofErr w:type="spellEnd"/>
      <w:r w:rsidRPr="00016A72">
        <w:rPr>
          <w:rFonts w:ascii="Arial" w:hAnsi="Arial" w:cs="Arial"/>
          <w:sz w:val="22"/>
          <w:szCs w:val="22"/>
          <w:lang w:val="fr-FR"/>
        </w:rPr>
        <w:t xml:space="preserve"> (3 % ; 1 505 tonnes/an) et la vaste catégorie des Requins-taupes (1 %). Le pourcentage restant (16 %) </w:t>
      </w:r>
      <w:r w:rsidRPr="00016A72">
        <w:rPr>
          <w:rFonts w:ascii="Arial" w:hAnsi="Arial" w:cs="Arial"/>
          <w:sz w:val="22"/>
          <w:szCs w:val="22"/>
          <w:lang w:val="fr-FR"/>
        </w:rPr>
        <w:lastRenderedPageBreak/>
        <w:t>comprend d’autres espèces allant de 0,022 tonnes/an de raie Manta (</w:t>
      </w:r>
      <w:proofErr w:type="spellStart"/>
      <w:r w:rsidRPr="00016A72">
        <w:rPr>
          <w:rFonts w:ascii="Arial" w:hAnsi="Arial" w:cs="Arial"/>
          <w:i/>
          <w:iCs/>
          <w:sz w:val="22"/>
          <w:szCs w:val="22"/>
          <w:lang w:val="fr-FR"/>
        </w:rPr>
        <w:t>Mobula</w:t>
      </w:r>
      <w:proofErr w:type="spellEnd"/>
      <w:r w:rsidRPr="00016A72">
        <w:rPr>
          <w:rFonts w:ascii="Arial" w:hAnsi="Arial" w:cs="Arial"/>
          <w:i/>
          <w:iCs/>
          <w:sz w:val="22"/>
          <w:szCs w:val="22"/>
          <w:lang w:val="fr-FR"/>
        </w:rPr>
        <w:t xml:space="preserve"> mobular)</w:t>
      </w:r>
      <w:r w:rsidRPr="00016A72">
        <w:rPr>
          <w:rFonts w:ascii="Arial" w:hAnsi="Arial" w:cs="Arial"/>
          <w:sz w:val="22"/>
          <w:szCs w:val="22"/>
          <w:lang w:val="fr-FR"/>
        </w:rPr>
        <w:t xml:space="preserve"> à 335 tonnes/an de Requin océanique. Aucune donnée de débarquement n’a été rapportée pour le requin sombre, le </w:t>
      </w:r>
      <w:proofErr w:type="spellStart"/>
      <w:r w:rsidRPr="00016A72">
        <w:rPr>
          <w:rFonts w:ascii="Arial" w:hAnsi="Arial" w:cs="Arial"/>
          <w:sz w:val="22"/>
          <w:szCs w:val="22"/>
          <w:lang w:val="fr-FR"/>
        </w:rPr>
        <w:t>Rhynchobatus</w:t>
      </w:r>
      <w:proofErr w:type="spellEnd"/>
      <w:r w:rsidRPr="00016A72">
        <w:rPr>
          <w:rFonts w:ascii="Arial" w:hAnsi="Arial" w:cs="Arial"/>
          <w:sz w:val="22"/>
          <w:szCs w:val="22"/>
          <w:lang w:val="fr-FR"/>
        </w:rPr>
        <w:t xml:space="preserve"> </w:t>
      </w:r>
      <w:proofErr w:type="spellStart"/>
      <w:r w:rsidRPr="00016A72">
        <w:rPr>
          <w:rFonts w:ascii="Arial" w:hAnsi="Arial" w:cs="Arial"/>
          <w:sz w:val="22"/>
          <w:szCs w:val="22"/>
          <w:lang w:val="fr-FR"/>
        </w:rPr>
        <w:t>laevis</w:t>
      </w:r>
      <w:proofErr w:type="spellEnd"/>
      <w:r w:rsidRPr="00016A72">
        <w:rPr>
          <w:rFonts w:ascii="Arial" w:hAnsi="Arial" w:cs="Arial"/>
          <w:sz w:val="22"/>
          <w:szCs w:val="22"/>
          <w:lang w:val="fr-FR"/>
        </w:rPr>
        <w:t xml:space="preserve">, le Requin blanc, le Requin pèlerin, le Requin-baleine, ni pour les débarquements spécifiques de certaines espèces de </w:t>
      </w:r>
      <w:proofErr w:type="spellStart"/>
      <w:r w:rsidRPr="00016A72">
        <w:rPr>
          <w:rFonts w:ascii="Arial" w:hAnsi="Arial" w:cs="Arial"/>
          <w:sz w:val="22"/>
          <w:szCs w:val="22"/>
          <w:lang w:val="fr-FR"/>
        </w:rPr>
        <w:t>mobulidés</w:t>
      </w:r>
      <w:proofErr w:type="spellEnd"/>
      <w:r w:rsidRPr="00016A72">
        <w:rPr>
          <w:rFonts w:ascii="Arial" w:hAnsi="Arial" w:cs="Arial"/>
          <w:sz w:val="22"/>
          <w:szCs w:val="22"/>
          <w:lang w:val="fr-FR"/>
        </w:rPr>
        <w:t xml:space="preserve"> et de </w:t>
      </w:r>
      <w:proofErr w:type="spellStart"/>
      <w:r w:rsidRPr="00016A72">
        <w:rPr>
          <w:rFonts w:ascii="Arial" w:hAnsi="Arial" w:cs="Arial"/>
          <w:sz w:val="22"/>
          <w:szCs w:val="22"/>
          <w:lang w:val="fr-FR"/>
        </w:rPr>
        <w:t>poissons-scies</w:t>
      </w:r>
      <w:proofErr w:type="spellEnd"/>
      <w:r w:rsidRPr="00016A72">
        <w:rPr>
          <w:rFonts w:ascii="Arial" w:hAnsi="Arial" w:cs="Arial"/>
          <w:sz w:val="22"/>
          <w:szCs w:val="22"/>
          <w:lang w:val="fr-FR"/>
        </w:rPr>
        <w:t xml:space="preserve">. </w:t>
      </w:r>
    </w:p>
    <w:p w14:paraId="457E18BD" w14:textId="77777777" w:rsidR="00016A72" w:rsidRPr="00016A72" w:rsidRDefault="00016A72" w:rsidP="00016A72">
      <w:pPr>
        <w:contextualSpacing/>
        <w:jc w:val="both"/>
        <w:rPr>
          <w:rFonts w:ascii="Arial" w:hAnsi="Arial" w:cs="Arial"/>
          <w:sz w:val="22"/>
          <w:szCs w:val="22"/>
          <w:lang w:val="fr-FR"/>
        </w:rPr>
      </w:pPr>
    </w:p>
    <w:p w14:paraId="1187F1B1"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Les zones FAO présentant la plus forte proportion de débarquements déclarés sont l’Atlantique Nord-Ouest (zone FAO 21 ; 20 %), le Pacifique Centre-Ouest (zone FAO 71 ; 19 %), l’océan Indien oriental (zone FAO 57 ; 16 %), le Pacifique Sud-Est (zone FAO 87 ; 14 %) et l’océan Indien occidental (zone FAO 51 ; 11 %). Les zones qui représentaient &lt;1 % des débarquements mondiaux déclarés étaient la Méditerranée et la mer Noire (zone FAO 37), l’Atlantique Centre-Ouest (zone FAO 31), le Pacifique Nord-Ouest (zone FAO 61) et les zones entourant l’Antarctique.</w:t>
      </w:r>
    </w:p>
    <w:p w14:paraId="274FBD6A"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39224222" w14:textId="77777777" w:rsidR="00016A72" w:rsidRPr="00016A72" w:rsidRDefault="00016A72" w:rsidP="00016A72">
      <w:pPr>
        <w:contextualSpacing/>
        <w:jc w:val="both"/>
        <w:rPr>
          <w:rFonts w:ascii="Arial" w:hAnsi="Arial" w:cs="Arial"/>
          <w:sz w:val="22"/>
          <w:szCs w:val="22"/>
          <w:lang w:val="fr-FR"/>
        </w:rPr>
      </w:pPr>
      <w:r w:rsidRPr="00016A72">
        <w:rPr>
          <w:rFonts w:ascii="Arial" w:hAnsi="Arial" w:cs="Arial"/>
          <w:sz w:val="22"/>
          <w:szCs w:val="22"/>
          <w:lang w:val="fr-FR"/>
        </w:rPr>
        <w:t xml:space="preserve">Les débarquements d’espèces figurant à l’Annexe 1 du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dans la plupart des zones FAO ont souvent été signalés par des Signataires et des États de l’aire de répartition sans eaux nationales dans la région. La mer Méditerranée et la mer Noire (zone FAO 37), le Pacifique Nord-Ouest (zone FAO 61) et le Pacifique Nord-Est (zone FAO 67) sont les seules zones FAO où les débarquements déclarés proviennent exclusivement de pays ayant des territoires dans la région. Dans près de la moitié des zones FAO, le nombre le plus élevé de débarquements d’espèces de requins inscrites à l’Annexe 1 du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sur les requins provenait de Signataires n’ayant pas d’eaux nationales dans la zone (zones 21, 31, 41, 47, 81 et 87). Cela peut être dû en partie au fait que les signataires de l’UE déclarent une plus faible proportion de leurs débarquements dans des catégories de débarquements génériques et agrégées, ce qui permet une identification plus précise des débarquements par espèce (pour de plus amples informations, voir la </w:t>
      </w:r>
      <w:r w:rsidR="00603D91">
        <w:fldChar w:fldCharType="begin"/>
      </w:r>
      <w:r w:rsidR="00603D91" w:rsidRPr="004165F5">
        <w:rPr>
          <w:lang w:val="fr-FR"/>
        </w:rPr>
        <w:instrText>HYPERLINK \l "Section5"</w:instrText>
      </w:r>
      <w:r w:rsidR="00603D91">
        <w:fldChar w:fldCharType="separate"/>
      </w:r>
      <w:r w:rsidRPr="00016A72">
        <w:rPr>
          <w:rFonts w:ascii="Arial" w:hAnsi="Arial" w:cs="Arial"/>
          <w:color w:val="0000FF"/>
          <w:sz w:val="22"/>
          <w:szCs w:val="22"/>
          <w:u w:val="single"/>
          <w:lang w:val="fr-FR"/>
        </w:rPr>
        <w:t>Section 5</w:t>
      </w:r>
      <w:r w:rsidR="00603D91">
        <w:rPr>
          <w:rFonts w:ascii="Arial" w:hAnsi="Arial" w:cs="Arial"/>
          <w:color w:val="0000FF"/>
          <w:sz w:val="22"/>
          <w:szCs w:val="22"/>
          <w:u w:val="single"/>
          <w:lang w:val="fr-FR"/>
        </w:rPr>
        <w:fldChar w:fldCharType="end"/>
      </w:r>
      <w:r w:rsidRPr="00016A72">
        <w:rPr>
          <w:rFonts w:ascii="Arial" w:hAnsi="Arial" w:cs="Arial"/>
          <w:sz w:val="22"/>
          <w:szCs w:val="22"/>
          <w:lang w:val="fr-FR"/>
        </w:rPr>
        <w:t>).</w:t>
      </w:r>
    </w:p>
    <w:p w14:paraId="724FD5C9" w14:textId="77777777" w:rsidR="00016A72" w:rsidRPr="00016A72" w:rsidRDefault="00016A72" w:rsidP="00016A72">
      <w:pPr>
        <w:contextualSpacing/>
        <w:jc w:val="both"/>
        <w:rPr>
          <w:rFonts w:ascii="Arial" w:hAnsi="Arial" w:cs="Arial"/>
          <w:sz w:val="22"/>
          <w:szCs w:val="22"/>
          <w:lang w:val="fr-FR"/>
        </w:rPr>
      </w:pPr>
    </w:p>
    <w:p w14:paraId="7BC96C23"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La composition en espèces des débarquements déclarés dans chaque zone FAO varie considérablement, certaines zones ayant une espèce dominante et d’autres une plus grande diversité d’espèces inscrites. La répartition et l’ampleur de débarquement par les Signataires et des États de l’aire de répartition des espèces inscrites sur la liste du </w:t>
      </w:r>
      <w:proofErr w:type="spellStart"/>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016A72">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dans les différentes zones FAO sont résumées dans la Figure 2 et présentées en détail dans </w:t>
      </w:r>
      <w:r w:rsidR="00603D91">
        <w:fldChar w:fldCharType="begin"/>
      </w:r>
      <w:r w:rsidR="00603D91" w:rsidRPr="004165F5">
        <w:rPr>
          <w:lang w:val="fr-FR"/>
        </w:rPr>
        <w:instrText>HYPERLINK "https://github.com/mpozo-montoro/MOS4-Doc.10.5.1"</w:instrText>
      </w:r>
      <w:r w:rsidR="00603D91">
        <w:fldChar w:fldCharType="separate"/>
      </w:r>
      <w:r w:rsidRPr="00016A72">
        <w:rPr>
          <w:rFonts w:ascii="Arial" w:eastAsia="Arial Unicode MS" w:hAnsi="Arial" w:cs="Arial"/>
          <w:color w:val="0000FF"/>
          <w:sz w:val="22"/>
          <w:szCs w:val="22"/>
          <w:u w:val="single" w:color="000000"/>
          <w:bdr w:val="nil"/>
          <w:lang w:val="fr-FR" w:eastAsia="en-GB"/>
          <w14:textOutline w14:w="0" w14:cap="flat" w14:cmpd="sng" w14:algn="ctr">
            <w14:noFill/>
            <w14:prstDash w14:val="solid"/>
            <w14:bevel/>
          </w14:textOutline>
        </w:rPr>
        <w:t>Informations supplémentaires 2</w:t>
      </w:r>
      <w:r w:rsidR="00603D91">
        <w:rPr>
          <w:rFonts w:ascii="Arial" w:eastAsia="Arial Unicode MS" w:hAnsi="Arial" w:cs="Arial"/>
          <w:color w:val="0000FF"/>
          <w:sz w:val="22"/>
          <w:szCs w:val="22"/>
          <w:u w:val="single" w:color="000000"/>
          <w:bdr w:val="nil"/>
          <w:lang w:val="fr-FR" w:eastAsia="en-GB"/>
          <w14:textOutline w14:w="0" w14:cap="flat" w14:cmpd="sng" w14:algn="ctr">
            <w14:noFill/>
            <w14:prstDash w14:val="solid"/>
            <w14:bevel/>
          </w14:textOutline>
        </w:rPr>
        <w:fldChar w:fldCharType="end"/>
      </w:r>
      <w:r w:rsidRPr="00016A72">
        <w:rPr>
          <w:rFonts w:ascii="Arial" w:eastAsia="Arial Unicode MS" w:hAnsi="Arial" w:cs="Arial"/>
          <w:color w:val="000000"/>
          <w:sz w:val="22"/>
          <w:szCs w:val="22"/>
          <w:u w:val="single" w:color="000000"/>
          <w:bdr w:val="nil"/>
          <w:lang w:val="fr-FR" w:eastAsia="en-GB"/>
          <w14:textOutline w14:w="0" w14:cap="flat" w14:cmpd="sng" w14:algn="ctr">
            <w14:noFill/>
            <w14:prstDash w14:val="solid"/>
            <w14:bevel/>
          </w14:textOutline>
        </w:rPr>
        <w:t>.</w:t>
      </w:r>
    </w:p>
    <w:p w14:paraId="79467F1C" w14:textId="77777777" w:rsidR="00016A72" w:rsidRPr="00016A72"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208753E1" w14:textId="0FB6DF4C" w:rsidR="00016A72" w:rsidRPr="00016A72" w:rsidRDefault="00016A72" w:rsidP="00016A72">
      <w:pPr>
        <w:keepNext/>
        <w:keepLines/>
        <w:outlineLvl w:val="2"/>
        <w:rPr>
          <w:rFonts w:ascii="Arial" w:hAnsi="Arial" w:cs="Arial"/>
          <w:b/>
          <w:bCs/>
          <w:sz w:val="22"/>
          <w:szCs w:val="22"/>
          <w:lang w:val="fr-FR"/>
        </w:rPr>
      </w:pPr>
      <w:bookmarkStart w:id="13" w:name="Section4c"/>
      <w:r w:rsidRPr="00016A72">
        <w:rPr>
          <w:rFonts w:ascii="Arial" w:hAnsi="Arial" w:cs="Arial"/>
          <w:b/>
          <w:bCs/>
          <w:sz w:val="22"/>
          <w:szCs w:val="22"/>
          <w:lang w:val="fr-FR"/>
        </w:rPr>
        <w:t>4.</w:t>
      </w:r>
      <w:r w:rsidR="001012C4">
        <w:rPr>
          <w:rFonts w:ascii="Arial" w:hAnsi="Arial" w:cs="Arial"/>
          <w:b/>
          <w:bCs/>
          <w:sz w:val="22"/>
          <w:szCs w:val="22"/>
          <w:lang w:val="fr-FR"/>
        </w:rPr>
        <w:t>3</w:t>
      </w:r>
      <w:r w:rsidRPr="00016A72">
        <w:rPr>
          <w:rFonts w:ascii="Arial" w:hAnsi="Arial" w:cs="Arial"/>
          <w:b/>
          <w:bCs/>
          <w:sz w:val="22"/>
          <w:szCs w:val="22"/>
          <w:lang w:val="fr-FR"/>
        </w:rPr>
        <w:tab/>
      </w:r>
      <w:bookmarkEnd w:id="13"/>
      <w:r w:rsidRPr="00016A72">
        <w:rPr>
          <w:rFonts w:ascii="Arial" w:hAnsi="Arial" w:cs="Arial"/>
          <w:b/>
          <w:bCs/>
          <w:sz w:val="22"/>
          <w:szCs w:val="22"/>
          <w:lang w:val="fr-FR"/>
        </w:rPr>
        <w:t>Remarques et recommandations spécifiques</w:t>
      </w:r>
    </w:p>
    <w:p w14:paraId="02A99836" w14:textId="77777777" w:rsidR="00016A72" w:rsidRPr="00016A72" w:rsidRDefault="00016A72" w:rsidP="00016A72">
      <w:pPr>
        <w:rPr>
          <w:rFonts w:ascii="Arial" w:hAnsi="Arial" w:cs="Arial"/>
          <w:sz w:val="22"/>
          <w:szCs w:val="22"/>
          <w:lang w:val="fr-FR"/>
        </w:rPr>
      </w:pPr>
    </w:p>
    <w:p w14:paraId="3F410F4E" w14:textId="77777777" w:rsidR="00016A72" w:rsidRPr="00016A72" w:rsidRDefault="00016A72" w:rsidP="00016A72">
      <w:pPr>
        <w:spacing w:after="80"/>
        <w:contextualSpacing/>
        <w:jc w:val="both"/>
        <w:rPr>
          <w:rFonts w:ascii="Arial" w:hAnsi="Arial" w:cs="Arial"/>
          <w:sz w:val="22"/>
          <w:szCs w:val="22"/>
          <w:lang w:val="fr-FR"/>
        </w:rPr>
      </w:pPr>
      <w:r w:rsidRPr="00016A72">
        <w:rPr>
          <w:rFonts w:ascii="Arial" w:hAnsi="Arial" w:cs="Arial"/>
          <w:sz w:val="22"/>
          <w:szCs w:val="22"/>
          <w:lang w:val="fr-FR"/>
        </w:rPr>
        <w:t xml:space="preserve">Les débarquements d’espèces inscrites dans le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ne sont pas répartis uniformément entre les nations ayant des eaux nationales dans chaque zone FAO. En effet, les flottes de pêche lointaine des nations étrangères peuvent souvent déclarer la plus grande quantité de débarquements. Par conséquent, les signataires débarquant des espèces inscrites au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d’une zone donnée de la FAO devraient collaborer pour aborder les priorités de recherche régionales identifiées, même s’ils n’ont pas d’eaux nationales dans cette région. Les recommandations d'étapes suivantes, compte tenu des résultats de l’analyse, sont les suivantes :</w:t>
      </w:r>
    </w:p>
    <w:p w14:paraId="3DF50C50" w14:textId="77777777" w:rsidR="00016A72" w:rsidRPr="00016A72" w:rsidRDefault="00016A72" w:rsidP="00016A72">
      <w:pPr>
        <w:widowControl/>
        <w:numPr>
          <w:ilvl w:val="2"/>
          <w:numId w:val="8"/>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016A72">
        <w:rPr>
          <w:rFonts w:ascii="Arial" w:hAnsi="Arial" w:cs="Arial"/>
          <w:sz w:val="22"/>
          <w:szCs w:val="22"/>
          <w:lang w:val="fr-FR"/>
        </w:rPr>
        <w:t xml:space="preserve">Envisager d'inclure tous les Signataires ayant des flottes de pêche lointaine dans une zone FAO telle qu’identifiée dans </w:t>
      </w:r>
      <w:r w:rsidR="00603D91">
        <w:fldChar w:fldCharType="begin"/>
      </w:r>
      <w:r w:rsidR="00603D91" w:rsidRPr="004165F5">
        <w:rPr>
          <w:lang w:val="fr-FR"/>
        </w:rPr>
        <w:instrText>HYPE</w:instrText>
      </w:r>
      <w:r w:rsidR="00603D91" w:rsidRPr="004165F5">
        <w:rPr>
          <w:lang w:val="fr-FR"/>
        </w:rPr>
        <w:instrText>RLINK "https://github.com/mpozo-montoro/MOS4-Doc.10.5.1"</w:instrText>
      </w:r>
      <w:r w:rsidR="00603D91">
        <w:fldChar w:fldCharType="separate"/>
      </w:r>
      <w:r w:rsidRPr="00016A72">
        <w:rPr>
          <w:rFonts w:ascii="Arial" w:hAnsi="Arial" w:cs="Arial"/>
          <w:color w:val="0000FF"/>
          <w:sz w:val="22"/>
          <w:szCs w:val="22"/>
          <w:u w:val="single"/>
          <w:lang w:val="fr-FR"/>
        </w:rPr>
        <w:t>Informations supplémentaires 2</w:t>
      </w:r>
      <w:r w:rsidR="00603D91">
        <w:rPr>
          <w:rFonts w:ascii="Arial" w:hAnsi="Arial" w:cs="Arial"/>
          <w:color w:val="0000FF"/>
          <w:sz w:val="22"/>
          <w:szCs w:val="22"/>
          <w:u w:val="single"/>
          <w:lang w:val="fr-FR"/>
        </w:rPr>
        <w:fldChar w:fldCharType="end"/>
      </w:r>
      <w:r w:rsidRPr="00016A72">
        <w:rPr>
          <w:rFonts w:ascii="Arial" w:hAnsi="Arial" w:cs="Arial"/>
          <w:sz w:val="22"/>
          <w:szCs w:val="22"/>
          <w:lang w:val="fr-FR"/>
        </w:rPr>
        <w:t xml:space="preserve"> lors de la conception et de la mise en œuvre de plans de recherche coordonnés au niveau régional pour aborder les priorités de recherche régionales.</w:t>
      </w:r>
    </w:p>
    <w:p w14:paraId="7CE635E5" w14:textId="77777777" w:rsidR="00016A72" w:rsidRPr="00016A72" w:rsidRDefault="00016A72" w:rsidP="00016A72">
      <w:pPr>
        <w:widowControl/>
        <w:numPr>
          <w:ilvl w:val="2"/>
          <w:numId w:val="8"/>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016A72">
        <w:rPr>
          <w:rFonts w:ascii="Arial" w:hAnsi="Arial" w:cs="Arial"/>
          <w:sz w:val="22"/>
          <w:szCs w:val="22"/>
          <w:lang w:val="fr-FR"/>
        </w:rPr>
        <w:t xml:space="preserve">Les Signataires ayant les plus grandes quantités de débarquements dans chaque zone FAO pour une espèce donnée, comme indiqué dans </w:t>
      </w:r>
      <w:r w:rsidR="00603D91">
        <w:fldChar w:fldCharType="begin"/>
      </w:r>
      <w:r w:rsidR="00603D91" w:rsidRPr="004165F5">
        <w:rPr>
          <w:lang w:val="fr-FR"/>
        </w:rPr>
        <w:instrText>HYPERLINK "https://github.com/mpozo-montoro/MOS4-Doc.10.5.1"</w:instrText>
      </w:r>
      <w:r w:rsidR="00603D91">
        <w:fldChar w:fldCharType="separate"/>
      </w:r>
      <w:r w:rsidRPr="00016A72">
        <w:rPr>
          <w:rFonts w:ascii="Arial" w:hAnsi="Arial" w:cs="Arial"/>
          <w:color w:val="0000FF"/>
          <w:sz w:val="22"/>
          <w:szCs w:val="22"/>
          <w:u w:val="single"/>
          <w:lang w:val="fr-FR"/>
        </w:rPr>
        <w:t>Informations supplémentaires 2</w:t>
      </w:r>
      <w:r w:rsidR="00603D91">
        <w:rPr>
          <w:rFonts w:ascii="Arial" w:hAnsi="Arial" w:cs="Arial"/>
          <w:color w:val="0000FF"/>
          <w:sz w:val="22"/>
          <w:szCs w:val="22"/>
          <w:u w:val="single"/>
          <w:lang w:val="fr-FR"/>
        </w:rPr>
        <w:fldChar w:fldCharType="end"/>
      </w:r>
      <w:r w:rsidRPr="00016A72">
        <w:rPr>
          <w:rFonts w:ascii="Arial" w:hAnsi="Arial" w:cs="Arial"/>
          <w:sz w:val="22"/>
          <w:szCs w:val="22"/>
          <w:lang w:val="fr-FR"/>
        </w:rPr>
        <w:t>, devraient devenir des acteurs clés pour améliorer les connaissances si l’espèce est identifiée comme une priorité de recherche régionale étant donné le haut degré d’interaction de leurs pêcheries pertinentes pour améliorer la compréhension de leur biologie et de l’état de leur population.</w:t>
      </w:r>
    </w:p>
    <w:p w14:paraId="26AE946B" w14:textId="77777777" w:rsidR="00016A72" w:rsidRPr="00016A72" w:rsidRDefault="00016A72" w:rsidP="00016A72">
      <w:pPr>
        <w:widowControl/>
        <w:numPr>
          <w:ilvl w:val="2"/>
          <w:numId w:val="8"/>
        </w:numPr>
        <w:pBdr>
          <w:top w:val="nil"/>
          <w:left w:val="nil"/>
          <w:bottom w:val="nil"/>
          <w:right w:val="nil"/>
          <w:between w:val="nil"/>
          <w:bar w:val="nil"/>
        </w:pBdr>
        <w:autoSpaceDE/>
        <w:autoSpaceDN/>
        <w:adjustRightInd/>
        <w:jc w:val="both"/>
        <w:rPr>
          <w:rFonts w:ascii="Arial" w:hAnsi="Arial" w:cs="Arial"/>
          <w:sz w:val="22"/>
          <w:szCs w:val="22"/>
          <w:lang w:val="fr-FR"/>
        </w:rPr>
      </w:pPr>
      <w:r w:rsidRPr="00016A72">
        <w:rPr>
          <w:rFonts w:ascii="Arial" w:hAnsi="Arial" w:cs="Arial"/>
          <w:sz w:val="22"/>
          <w:szCs w:val="22"/>
          <w:lang w:val="fr-FR"/>
        </w:rPr>
        <w:lastRenderedPageBreak/>
        <w:t>Les non-signataires déclarent une proportion importante des débarquements officiels dans certaines zones FAO. Les efforts de collaboration en matière de gestion des pêches, de conservation et de recherche scientifique devraient être encouragés à travers des accords bilatéraux et régionaux, des actions concertées et les Organisations régionales de gestion des pêches (ORGP) et Organismes régionaux de pêche (ORP) concernés.</w:t>
      </w:r>
    </w:p>
    <w:p w14:paraId="12809B06" w14:textId="77777777" w:rsidR="00016A72" w:rsidRPr="00016A72" w:rsidRDefault="00016A72" w:rsidP="00016A72">
      <w:pPr>
        <w:widowControl/>
        <w:pBdr>
          <w:top w:val="nil"/>
          <w:left w:val="nil"/>
          <w:bottom w:val="nil"/>
          <w:right w:val="nil"/>
          <w:between w:val="nil"/>
          <w:bar w:val="nil"/>
        </w:pBdr>
        <w:autoSpaceDE/>
        <w:autoSpaceDN/>
        <w:adjustRightInd/>
        <w:ind w:left="426"/>
        <w:jc w:val="both"/>
        <w:rPr>
          <w:rFonts w:ascii="Arial" w:hAnsi="Arial" w:cs="Arial"/>
          <w:sz w:val="22"/>
          <w:szCs w:val="22"/>
          <w:lang w:val="fr-FR"/>
        </w:rPr>
      </w:pPr>
    </w:p>
    <w:p w14:paraId="6AC7F9F6" w14:textId="77777777" w:rsidR="00016A72" w:rsidRPr="00016A72" w:rsidRDefault="00016A72" w:rsidP="00016A72">
      <w:pPr>
        <w:ind w:right="26"/>
        <w:jc w:val="both"/>
        <w:rPr>
          <w:rFonts w:ascii="Arial" w:hAnsi="Arial" w:cs="Arial"/>
          <w:sz w:val="22"/>
          <w:szCs w:val="22"/>
          <w:lang w:val="fr-FR"/>
        </w:rPr>
      </w:pPr>
      <w:r w:rsidRPr="00016A72">
        <w:rPr>
          <w:rFonts w:ascii="Arial" w:hAnsi="Arial" w:cs="Arial"/>
          <w:sz w:val="22"/>
          <w:szCs w:val="22"/>
          <w:lang w:val="fr-FR"/>
        </w:rPr>
        <w:t xml:space="preserve">Les Signataires devraient encourager les États de l’aire de répartition </w:t>
      </w:r>
      <w:proofErr w:type="gramStart"/>
      <w:r w:rsidRPr="00016A72">
        <w:rPr>
          <w:rFonts w:ascii="Arial" w:hAnsi="Arial" w:cs="Arial"/>
          <w:sz w:val="22"/>
          <w:szCs w:val="22"/>
          <w:lang w:val="fr-FR"/>
        </w:rPr>
        <w:t>non signataires</w:t>
      </w:r>
      <w:proofErr w:type="gramEnd"/>
      <w:r w:rsidRPr="00016A72">
        <w:rPr>
          <w:rFonts w:ascii="Arial" w:hAnsi="Arial" w:cs="Arial"/>
          <w:sz w:val="22"/>
          <w:szCs w:val="22"/>
          <w:lang w:val="fr-FR"/>
        </w:rPr>
        <w:t xml:space="preserve"> concernés à adhérer au </w:t>
      </w:r>
      <w:proofErr w:type="spellStart"/>
      <w:r w:rsidRPr="00016A72">
        <w:rPr>
          <w:rFonts w:ascii="Arial" w:hAnsi="Arial" w:cs="Arial"/>
          <w:sz w:val="22"/>
          <w:szCs w:val="22"/>
          <w:lang w:val="fr-FR"/>
        </w:rPr>
        <w:t>MdE</w:t>
      </w:r>
      <w:proofErr w:type="spellEnd"/>
      <w:r w:rsidRPr="00016A72">
        <w:rPr>
          <w:rFonts w:ascii="Arial" w:hAnsi="Arial" w:cs="Arial"/>
          <w:sz w:val="22"/>
          <w:szCs w:val="22"/>
          <w:lang w:val="fr-FR"/>
        </w:rPr>
        <w:t xml:space="preserve"> requins, pour une meilleure coordination des plans de recherche et des actions de conservation et la durabilité des pêcheries concernées.</w:t>
      </w:r>
    </w:p>
    <w:p w14:paraId="13A4C143" w14:textId="77777777" w:rsidR="00016A72" w:rsidRDefault="00016A72" w:rsidP="00D42D2B">
      <w:pPr>
        <w:jc w:val="both"/>
        <w:rPr>
          <w:rFonts w:ascii="Arial" w:hAnsi="Arial" w:cs="Arial"/>
          <w:bCs/>
          <w:sz w:val="22"/>
          <w:szCs w:val="22"/>
          <w:lang w:val="fr-FR"/>
        </w:rPr>
        <w:sectPr w:rsidR="00016A72" w:rsidSect="00016A72">
          <w:headerReference w:type="first" r:id="rId29"/>
          <w:pgSz w:w="11906" w:h="16838" w:code="9"/>
          <w:pgMar w:top="1440" w:right="1440" w:bottom="1440" w:left="1440" w:header="720" w:footer="720" w:gutter="0"/>
          <w:cols w:space="720"/>
          <w:titlePg/>
          <w:docGrid w:linePitch="360"/>
        </w:sectPr>
      </w:pPr>
    </w:p>
    <w:p w14:paraId="686DD45B" w14:textId="77777777" w:rsidR="00016A72" w:rsidRPr="00016A72" w:rsidRDefault="00016A72" w:rsidP="00016A72">
      <w:pPr>
        <w:widowControl/>
        <w:pBdr>
          <w:top w:val="nil"/>
          <w:left w:val="nil"/>
          <w:bottom w:val="nil"/>
          <w:right w:val="nil"/>
          <w:between w:val="nil"/>
          <w:bar w:val="nil"/>
        </w:pBdr>
        <w:autoSpaceDE/>
        <w:autoSpaceDN/>
        <w:adjustRightInd/>
        <w:spacing w:after="160" w:line="276" w:lineRule="auto"/>
        <w:jc w:val="both"/>
        <w:rPr>
          <w:rFonts w:ascii="Arial" w:eastAsia="Arial Unicode MS" w:hAnsi="Arial" w:cs="Arial"/>
          <w:color w:val="000000"/>
          <w:sz w:val="18"/>
          <w:szCs w:val="18"/>
          <w:u w:color="000000"/>
          <w:bdr w:val="nil"/>
          <w:lang w:val="fr-FR" w:eastAsia="en-GB"/>
          <w14:textOutline w14:w="0" w14:cap="flat" w14:cmpd="sng" w14:algn="ctr">
            <w14:noFill/>
            <w14:prstDash w14:val="solid"/>
            <w14:bevel/>
          </w14:textOutline>
        </w:rPr>
        <w:sectPr w:rsidR="00016A72" w:rsidRPr="00016A72" w:rsidSect="001012C4">
          <w:footerReference w:type="default" r:id="rId30"/>
          <w:pgSz w:w="15840" w:h="12240" w:orient="landscape"/>
          <w:pgMar w:top="1440" w:right="1440" w:bottom="142" w:left="1440" w:header="426" w:footer="0" w:gutter="0"/>
          <w:cols w:space="720"/>
          <w:docGrid w:linePitch="245"/>
        </w:sectPr>
      </w:pPr>
      <w:r w:rsidRPr="00016A72">
        <w:rPr>
          <w:rFonts w:ascii="Arial" w:eastAsia="Arial Unicode MS" w:hAnsi="Arial" w:cs="Arial"/>
          <w:b/>
          <w:bCs/>
          <w:noProof/>
          <w:color w:val="000000"/>
          <w:sz w:val="18"/>
          <w:szCs w:val="18"/>
          <w:u w:color="000000"/>
          <w:bdr w:val="nil"/>
          <w:lang w:val="fr-FR" w:eastAsia="en-GB"/>
          <w14:textOutline w14:w="0" w14:cap="flat" w14:cmpd="sng" w14:algn="ctr">
            <w14:noFill/>
            <w14:prstDash w14:val="solid"/>
            <w14:bevel/>
          </w14:textOutline>
        </w:rPr>
        <w:lastRenderedPageBreak/>
        <mc:AlternateContent>
          <mc:Choice Requires="wps">
            <w:drawing>
              <wp:anchor distT="45720" distB="45720" distL="114300" distR="114300" simplePos="0" relativeHeight="251673600" behindDoc="1" locked="0" layoutInCell="1" allowOverlap="1" wp14:anchorId="587882C5" wp14:editId="223DA5FF">
                <wp:simplePos x="0" y="0"/>
                <wp:positionH relativeFrom="column">
                  <wp:posOffset>-425450</wp:posOffset>
                </wp:positionH>
                <wp:positionV relativeFrom="paragraph">
                  <wp:posOffset>5556250</wp:posOffset>
                </wp:positionV>
                <wp:extent cx="9042400" cy="927100"/>
                <wp:effectExtent l="0" t="0" r="635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927100"/>
                        </a:xfrm>
                        <a:prstGeom prst="rect">
                          <a:avLst/>
                        </a:prstGeom>
                        <a:solidFill>
                          <a:srgbClr val="FFFFFF"/>
                        </a:solidFill>
                        <a:ln w="9525">
                          <a:noFill/>
                          <a:miter lim="800000"/>
                          <a:headEnd/>
                          <a:tailEnd/>
                        </a:ln>
                      </wps:spPr>
                      <wps:txbx>
                        <w:txbxContent>
                          <w:p w14:paraId="7AABB356" w14:textId="77777777" w:rsidR="00016A72" w:rsidRPr="00016A72" w:rsidRDefault="00016A72" w:rsidP="00016A72">
                            <w:pPr>
                              <w:jc w:val="both"/>
                              <w:rPr>
                                <w:rFonts w:ascii="Arial" w:hAnsi="Arial" w:cs="Arial"/>
                                <w:sz w:val="16"/>
                                <w:szCs w:val="16"/>
                                <w:lang w:val="fr-FR"/>
                              </w:rPr>
                            </w:pPr>
                            <w:r w:rsidRPr="00016A72">
                              <w:rPr>
                                <w:rFonts w:ascii="Arial" w:hAnsi="Arial" w:cs="Arial"/>
                                <w:b/>
                                <w:bCs/>
                                <w:sz w:val="16"/>
                                <w:szCs w:val="16"/>
                                <w:lang w:val="fr-FR"/>
                              </w:rPr>
                              <w:t>Figure 2 : Débarquements mondiaux annuels moyens d’espèces inscrites à l’Annexe I de la CMS, tels que déclarés à la FAO (2015-2019 ; tonnes de poids vif).</w:t>
                            </w:r>
                            <w:r w:rsidRPr="00016A72">
                              <w:rPr>
                                <w:rFonts w:ascii="Arial" w:hAnsi="Arial" w:cs="Arial"/>
                                <w:sz w:val="16"/>
                                <w:szCs w:val="16"/>
                                <w:lang w:val="fr-FR"/>
                              </w:rPr>
                              <w:t xml:space="preserve"> L’ampleur totale des débarquements déclarés pour chaque zone FAO est indiquée par l’intensité de la couleur (légende en haut à gauche). Les graphiques pour chaque zone FAO représentent les trois nations ayant le plus grand nombre de débarquements déclarés et le total pour les autres nations. Les débarquements de chaque espèce sont représentés par une couleur différente (voir légende en bas). Le statut d'adhésion à la CMS et au MdE requins de chaque nation est représenté par un carré de couleur sur l’axe des abscisses de chaque graphique (voir légende en haut à droite).Les États membres de l’UE sont tous mis en évidence (en bleu) en tant que Signataire du Mémorandum d’entente et Partie à la CMS, que le pays ait ou non signé le MdE requins.Consulter le document </w:t>
                            </w:r>
                            <w:hyperlink r:id="rId31" w:history="1">
                              <w:r w:rsidRPr="00016A72">
                                <w:rPr>
                                  <w:rStyle w:val="Hyperlink"/>
                                  <w:rFonts w:ascii="Arial" w:hAnsi="Arial" w:cs="Arial"/>
                                  <w:sz w:val="16"/>
                                  <w:szCs w:val="16"/>
                                  <w:lang w:val="fr-FR"/>
                                </w:rPr>
                                <w:t>Informations supplémentaires 2</w:t>
                              </w:r>
                            </w:hyperlink>
                            <w:r w:rsidRPr="00016A72">
                              <w:rPr>
                                <w:rFonts w:ascii="Arial" w:hAnsi="Arial" w:cs="Arial"/>
                                <w:sz w:val="16"/>
                                <w:szCs w:val="16"/>
                                <w:lang w:val="fr-FR"/>
                              </w:rPr>
                              <w:t>pour voir les nations déclarantes et les espèces débarquées dans chaque zone FAO.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882C5" id="_x0000_t202" coordsize="21600,21600" o:spt="202" path="m,l,21600r21600,l21600,xe">
                <v:stroke joinstyle="miter"/>
                <v:path gradientshapeok="t" o:connecttype="rect"/>
              </v:shapetype>
              <v:shape id="Text Box 2" o:spid="_x0000_s1026" type="#_x0000_t202" style="position:absolute;left:0;text-align:left;margin-left:-33.5pt;margin-top:437.5pt;width:712pt;height:7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" stroked="f">
                <v:textbox>
                  <w:txbxContent>
                    <w:p w14:paraId="7AABB356" w14:textId="77777777" w:rsidR="00016A72" w:rsidRPr="00016A72" w:rsidRDefault="00016A72" w:rsidP="00016A72">
                      <w:pPr>
                        <w:jc w:val="both"/>
                        <w:rPr>
                          <w:rFonts w:ascii="Arial" w:hAnsi="Arial" w:cs="Arial"/>
                          <w:sz w:val="16"/>
                          <w:szCs w:val="16"/>
                          <w:lang w:val="fr-FR"/>
                        </w:rPr>
                      </w:pPr>
                      <w:r w:rsidRPr="00016A72">
                        <w:rPr>
                          <w:rFonts w:ascii="Arial" w:hAnsi="Arial" w:cs="Arial"/>
                          <w:b/>
                          <w:bCs/>
                          <w:sz w:val="16"/>
                          <w:szCs w:val="16"/>
                          <w:lang w:val="fr-FR"/>
                        </w:rPr>
                        <w:t>Figure 2 : Débarquements mondiaux annuels moyens d’espèces inscrites à l’Annexe I de la CMS, tels que déclarés à la FAO (2015-2019 ; tonnes de poids vif).</w:t>
                      </w:r>
                      <w:r w:rsidRPr="00016A72">
                        <w:rPr>
                          <w:rFonts w:ascii="Arial" w:hAnsi="Arial" w:cs="Arial"/>
                          <w:sz w:val="16"/>
                          <w:szCs w:val="16"/>
                          <w:lang w:val="fr-FR"/>
                        </w:rPr>
                        <w:t xml:space="preserve"> L’ampleur totale des débarquements déclarés pour chaque zone FAO est indiquée par l’intensité de la couleur (légende en haut à gauche). Les graphiques pour chaque zone FAO représentent les trois nations ayant le plus grand nombre de débarquements déclarés et le total pour les autres nations. Les débarquements de chaque espèce sont représentés par une couleur différente (voir légende en bas). Le statut d'adhésion à la CMS et au MdE requins de chaque nation est représenté par un carré de couleur sur l’axe des abscisses de chaque graphique (voir légende en haut à droite).Les États membres de l’UE sont tous mis en évidence (en bleu) en tant que Signataire du Mémorandum d’entente et Partie à la CMS, que le pays ait ou non signé le MdE requins.Consulter le document </w:t>
                      </w:r>
                      <w:hyperlink r:id="rId32" w:history="1">
                        <w:r w:rsidRPr="00016A72">
                          <w:rPr>
                            <w:rStyle w:val="Hyperlink"/>
                            <w:rFonts w:ascii="Arial" w:hAnsi="Arial" w:cs="Arial"/>
                            <w:sz w:val="16"/>
                            <w:szCs w:val="16"/>
                            <w:lang w:val="fr-FR"/>
                          </w:rPr>
                          <w:t>Informations supplémentaires 2</w:t>
                        </w:r>
                      </w:hyperlink>
                      <w:r w:rsidRPr="00016A72">
                        <w:rPr>
                          <w:rFonts w:ascii="Arial" w:hAnsi="Arial" w:cs="Arial"/>
                          <w:sz w:val="16"/>
                          <w:szCs w:val="16"/>
                          <w:lang w:val="fr-FR"/>
                        </w:rPr>
                        <w:t>pour voir les nations déclarantes et les espèces débarquées dans chaque zone FAO.</w:t>
                      </w:r>
                    </w:p>
                  </w:txbxContent>
                </v:textbox>
              </v:shape>
            </w:pict>
          </mc:Fallback>
        </mc:AlternateContent>
      </w:r>
      <w:r w:rsidRPr="00016A72">
        <w:rPr>
          <w:rFonts w:ascii="Arial" w:eastAsia="Arial Unicode MS" w:hAnsi="Arial" w:cs="Arial"/>
          <w:noProof/>
          <w:color w:val="000000"/>
          <w:sz w:val="18"/>
          <w:szCs w:val="18"/>
          <w:u w:color="000000"/>
          <w:bdr w:val="nil"/>
          <w:lang w:val="fr-FR" w:eastAsia="en-GB"/>
          <w14:textOutline w14:w="0" w14:cap="flat" w14:cmpd="sng" w14:algn="ctr">
            <w14:noFill/>
            <w14:prstDash w14:val="solid"/>
            <w14:bevel/>
          </w14:textOutline>
        </w:rPr>
        <w:drawing>
          <wp:anchor distT="0" distB="0" distL="114300" distR="114300" simplePos="0" relativeHeight="251674624" behindDoc="0" locked="0" layoutInCell="1" allowOverlap="1" wp14:anchorId="3215E6BA" wp14:editId="0D41452A">
            <wp:simplePos x="0" y="0"/>
            <wp:positionH relativeFrom="column">
              <wp:posOffset>17929</wp:posOffset>
            </wp:positionH>
            <wp:positionV relativeFrom="paragraph">
              <wp:posOffset>-385482</wp:posOffset>
            </wp:positionV>
            <wp:extent cx="8202706" cy="5879776"/>
            <wp:effectExtent l="0" t="0" r="8255" b="6985"/>
            <wp:wrapNone/>
            <wp:docPr id="3" name="officeArt object" descr="Diagram, 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officeArt object" descr="Diagram, map&#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l="703" r="743"/>
                    <a:stretch/>
                  </pic:blipFill>
                  <pic:spPr bwMode="auto">
                    <a:xfrm>
                      <a:off x="0" y="0"/>
                      <a:ext cx="8203158" cy="5880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1509BB" w14:textId="77777777" w:rsidR="00016A72" w:rsidRPr="001012C4" w:rsidRDefault="00016A72" w:rsidP="00016A72">
      <w:pPr>
        <w:widowControl/>
        <w:numPr>
          <w:ilvl w:val="0"/>
          <w:numId w:val="12"/>
        </w:numPr>
        <w:pBdr>
          <w:top w:val="nil"/>
          <w:left w:val="nil"/>
          <w:bottom w:val="nil"/>
          <w:right w:val="nil"/>
          <w:between w:val="nil"/>
          <w:bar w:val="nil"/>
        </w:pBdr>
        <w:autoSpaceDE/>
        <w:autoSpaceDN/>
        <w:adjustRightInd/>
        <w:jc w:val="both"/>
        <w:outlineLvl w:val="1"/>
        <w:rPr>
          <w:rFonts w:ascii="Arial" w:hAnsi="Arial" w:cs="Arial"/>
          <w:b/>
          <w:bCs/>
          <w:sz w:val="22"/>
          <w:szCs w:val="22"/>
          <w:u w:val="single"/>
          <w:lang w:val="fr-FR"/>
        </w:rPr>
      </w:pPr>
      <w:bookmarkStart w:id="14" w:name="Section5"/>
      <w:r w:rsidRPr="001012C4">
        <w:rPr>
          <w:rFonts w:ascii="Arial" w:hAnsi="Arial" w:cs="Arial"/>
          <w:b/>
          <w:bCs/>
          <w:sz w:val="22"/>
          <w:szCs w:val="22"/>
          <w:u w:val="single"/>
          <w:lang w:val="fr-FR"/>
        </w:rPr>
        <w:lastRenderedPageBreak/>
        <w:t xml:space="preserve">Débarquements de requins et de raies déclarés en employant des codes d’espèces génériques et agrégés qui peuvent ou non se rapporter à des espèces figurant à l’Annexe 1 du </w:t>
      </w:r>
      <w:proofErr w:type="spellStart"/>
      <w:r w:rsidRPr="001012C4">
        <w:rPr>
          <w:rFonts w:ascii="Arial" w:hAnsi="Arial" w:cs="Arial"/>
          <w:b/>
          <w:bCs/>
          <w:sz w:val="22"/>
          <w:szCs w:val="22"/>
          <w:u w:val="single"/>
          <w:lang w:val="fr-FR"/>
        </w:rPr>
        <w:t>MdE</w:t>
      </w:r>
      <w:proofErr w:type="spellEnd"/>
      <w:r w:rsidRPr="001012C4">
        <w:rPr>
          <w:rFonts w:ascii="Arial" w:hAnsi="Arial" w:cs="Arial"/>
          <w:b/>
          <w:bCs/>
          <w:sz w:val="22"/>
          <w:szCs w:val="22"/>
          <w:u w:val="single"/>
          <w:lang w:val="fr-FR"/>
        </w:rPr>
        <w:t xml:space="preserve"> requins.</w:t>
      </w:r>
    </w:p>
    <w:p w14:paraId="6823266B" w14:textId="77777777" w:rsidR="00016A72" w:rsidRPr="001012C4" w:rsidRDefault="00016A72" w:rsidP="00016A72">
      <w:pPr>
        <w:widowControl/>
        <w:pBdr>
          <w:top w:val="nil"/>
          <w:left w:val="nil"/>
          <w:bottom w:val="nil"/>
          <w:right w:val="nil"/>
          <w:between w:val="nil"/>
          <w:bar w:val="nil"/>
        </w:pBdr>
        <w:autoSpaceDE/>
        <w:autoSpaceDN/>
        <w:adjustRightInd/>
        <w:ind w:left="360"/>
        <w:jc w:val="both"/>
        <w:outlineLvl w:val="1"/>
        <w:rPr>
          <w:rFonts w:ascii="Arial" w:hAnsi="Arial" w:cs="Arial"/>
          <w:b/>
          <w:bCs/>
          <w:sz w:val="22"/>
          <w:szCs w:val="22"/>
          <w:u w:val="single"/>
          <w:lang w:val="fr-FR"/>
        </w:rPr>
      </w:pPr>
    </w:p>
    <w:bookmarkEnd w:id="14"/>
    <w:p w14:paraId="2785CEC2" w14:textId="5BB76317" w:rsidR="00016A72" w:rsidRPr="001012C4" w:rsidRDefault="00016A72" w:rsidP="00016A72">
      <w:pPr>
        <w:keepNext/>
        <w:keepLines/>
        <w:outlineLvl w:val="2"/>
        <w:rPr>
          <w:rFonts w:ascii="Arial" w:hAnsi="Arial" w:cs="Arial"/>
          <w:b/>
          <w:bCs/>
          <w:sz w:val="22"/>
          <w:szCs w:val="22"/>
          <w:lang w:val="fr-FR"/>
        </w:rPr>
      </w:pPr>
      <w:r w:rsidRPr="001012C4">
        <w:rPr>
          <w:rFonts w:ascii="Arial" w:hAnsi="Arial" w:cs="Arial"/>
          <w:b/>
          <w:bCs/>
          <w:sz w:val="22"/>
          <w:szCs w:val="22"/>
          <w:lang w:val="fr-FR"/>
        </w:rPr>
        <w:t>5.</w:t>
      </w:r>
      <w:r w:rsidR="001012C4">
        <w:rPr>
          <w:rFonts w:ascii="Arial" w:hAnsi="Arial" w:cs="Arial"/>
          <w:b/>
          <w:bCs/>
          <w:sz w:val="22"/>
          <w:szCs w:val="22"/>
          <w:lang w:val="fr-FR"/>
        </w:rPr>
        <w:t>1</w:t>
      </w:r>
      <w:r w:rsidRPr="001012C4">
        <w:rPr>
          <w:rFonts w:ascii="Arial" w:hAnsi="Arial" w:cs="Arial"/>
          <w:b/>
          <w:bCs/>
          <w:sz w:val="22"/>
          <w:szCs w:val="22"/>
          <w:lang w:val="fr-FR"/>
        </w:rPr>
        <w:tab/>
        <w:t>Contexte</w:t>
      </w:r>
    </w:p>
    <w:p w14:paraId="5359B3EE" w14:textId="77777777" w:rsidR="00016A72" w:rsidRPr="001012C4" w:rsidRDefault="00016A72" w:rsidP="00016A72">
      <w:pPr>
        <w:keepNext/>
        <w:keepLines/>
        <w:outlineLvl w:val="2"/>
        <w:rPr>
          <w:rFonts w:ascii="Arial" w:hAnsi="Arial" w:cs="Arial"/>
          <w:b/>
          <w:bCs/>
          <w:sz w:val="22"/>
          <w:szCs w:val="22"/>
          <w:lang w:val="fr-FR"/>
        </w:rPr>
      </w:pPr>
    </w:p>
    <w:p w14:paraId="335887EE"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bookmarkStart w:id="15" w:name="_Hlk118021990"/>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Les débarquements déclarés à la FAO sont classés dans des catégories d’espèces standardisées reconnues par la </w:t>
      </w:r>
      <w:r w:rsidR="00603D91">
        <w:fldChar w:fldCharType="begin"/>
      </w:r>
      <w:r w:rsidR="00603D91" w:rsidRPr="004165F5">
        <w:rPr>
          <w:lang w:val="fr-FR"/>
        </w:rPr>
        <w:instrText>HYPERLINK "https://www.fao.org/fishery/fr/collection/asfis/en"</w:instrText>
      </w:r>
      <w:r w:rsidR="00603D91">
        <w:fldChar w:fldCharType="separate"/>
      </w:r>
      <w:r w:rsidRPr="001012C4">
        <w:rPr>
          <w:rFonts w:ascii="Arial" w:eastAsia="Arial Unicode MS" w:hAnsi="Arial" w:cs="Arial"/>
          <w:color w:val="0000FF"/>
          <w:sz w:val="22"/>
          <w:szCs w:val="22"/>
          <w:u w:val="single" w:color="000000"/>
          <w:bdr w:val="nil"/>
          <w:lang w:val="fr-FR" w:eastAsia="en-GB"/>
          <w14:textOutline w14:w="0" w14:cap="flat" w14:cmpd="sng" w14:algn="ctr">
            <w14:noFill/>
            <w14:prstDash w14:val="solid"/>
            <w14:bevel/>
          </w14:textOutline>
        </w:rPr>
        <w:t>liste ASFIS des espèces pour les besoins des statistiques des pêches</w:t>
      </w:r>
      <w:r w:rsidR="00603D91">
        <w:rPr>
          <w:rFonts w:ascii="Arial" w:eastAsia="Arial Unicode MS" w:hAnsi="Arial" w:cs="Arial"/>
          <w:color w:val="0000FF"/>
          <w:sz w:val="22"/>
          <w:szCs w:val="22"/>
          <w:u w:val="single" w:color="000000"/>
          <w:bdr w:val="nil"/>
          <w:lang w:val="fr-FR" w:eastAsia="en-GB"/>
          <w14:textOutline w14:w="0" w14:cap="flat" w14:cmpd="sng" w14:algn="ctr">
            <w14:noFill/>
            <w14:prstDash w14:val="solid"/>
            <w14:bevel/>
          </w14:textOutline>
        </w:rPr>
        <w:fldChar w:fldCharType="end"/>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Au moment de la préparation de ce document, la liste ASFIS 13 060 catégories taxonomiques pertinentes pour les secteurs de la pêche et de l’aquaculture dans le monde (publication des données 2021).</w:t>
      </w:r>
    </w:p>
    <w:p w14:paraId="66638076"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bookmarkEnd w:id="15"/>
    <w:p w14:paraId="12442841"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Il y avait 59 catégories qui pouvaient être utilisées pour identifier les débarquements d’espèces de requins et de raies inscrites à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Ces catégories d’espèces peuvent concerner l’espèce (par exemple, « Requin soyeux »), le genre (par exemple, « </w:t>
      </w:r>
      <w:proofErr w:type="spellStart"/>
      <w:r w:rsidRPr="001012C4">
        <w:rPr>
          <w:rFonts w:ascii="Arial" w:hAnsi="Arial" w:cs="Arial"/>
          <w:sz w:val="22"/>
          <w:szCs w:val="22"/>
          <w:lang w:val="fr-FR"/>
        </w:rPr>
        <w:t>Requins</w:t>
      </w:r>
      <w:r w:rsidRPr="001012C4">
        <w:rPr>
          <w:rFonts w:ascii="Arial" w:hAnsi="Arial" w:cs="Arial"/>
          <w:i/>
          <w:iCs/>
          <w:sz w:val="22"/>
          <w:szCs w:val="22"/>
          <w:lang w:val="fr-FR"/>
        </w:rPr>
        <w:t>Carcharhinus</w:t>
      </w:r>
      <w:proofErr w:type="spellEnd"/>
      <w:r w:rsidRPr="001012C4">
        <w:rPr>
          <w:rFonts w:ascii="Arial" w:hAnsi="Arial" w:cs="Arial"/>
          <w:sz w:val="22"/>
          <w:szCs w:val="22"/>
          <w:lang w:val="fr-FR"/>
        </w:rPr>
        <w:t xml:space="preserve">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ou la famille (par exemple, « Requins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mais aussi des niveaux taxonomiques plus élevés tels que les ordres (par exemple, « Raies, pastenagues, mantes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les </w:t>
      </w:r>
      <w:proofErr w:type="spellStart"/>
      <w:r w:rsidRPr="001012C4">
        <w:rPr>
          <w:rFonts w:ascii="Arial" w:hAnsi="Arial" w:cs="Arial"/>
          <w:sz w:val="22"/>
          <w:szCs w:val="22"/>
          <w:lang w:val="fr-FR"/>
        </w:rPr>
        <w:t>super-ordres</w:t>
      </w:r>
      <w:proofErr w:type="spellEnd"/>
      <w:r w:rsidRPr="001012C4">
        <w:rPr>
          <w:rFonts w:ascii="Arial" w:hAnsi="Arial" w:cs="Arial"/>
          <w:sz w:val="22"/>
          <w:szCs w:val="22"/>
          <w:lang w:val="fr-FR"/>
        </w:rPr>
        <w:t xml:space="preserve"> (par exemple, « Requins divers </w:t>
      </w:r>
      <w:proofErr w:type="spellStart"/>
      <w:r w:rsidRPr="001012C4">
        <w:rPr>
          <w:rFonts w:ascii="Arial" w:hAnsi="Arial" w:cs="Arial"/>
          <w:sz w:val="22"/>
          <w:szCs w:val="22"/>
          <w:lang w:val="fr-FR"/>
        </w:rPr>
        <w:t>nei</w:t>
      </w:r>
      <w:proofErr w:type="spellEnd"/>
      <w:r w:rsidRPr="001012C4">
        <w:rPr>
          <w:rFonts w:ascii="Arial" w:hAnsi="Arial" w:cs="Arial"/>
          <w:sz w:val="22"/>
          <w:szCs w:val="22"/>
          <w:lang w:val="fr-FR"/>
        </w:rPr>
        <w:t xml:space="preserve"> »), les sous-classes (par exemple, « Requins, raies, etc.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ou même les classes (par exemple, « Poissons cartilagineux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qui comprend les requins, les raies et les chimères). </w:t>
      </w:r>
    </w:p>
    <w:p w14:paraId="5BC902FA" w14:textId="77777777" w:rsidR="00016A72" w:rsidRPr="001012C4" w:rsidRDefault="00016A72" w:rsidP="00016A72">
      <w:pPr>
        <w:contextualSpacing/>
        <w:jc w:val="both"/>
        <w:rPr>
          <w:rFonts w:ascii="Arial" w:hAnsi="Arial" w:cs="Arial"/>
          <w:sz w:val="22"/>
          <w:szCs w:val="22"/>
          <w:lang w:val="fr-FR"/>
        </w:rPr>
      </w:pPr>
    </w:p>
    <w:p w14:paraId="498427F5"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Idéalement, les débarquements de chaque espèce devraient être identifiés au niveau de l’espèce, ou du genre si la distinction entre des espèces proches est difficile (par exemple, l’espèce </w:t>
      </w:r>
      <w:proofErr w:type="spellStart"/>
      <w:r w:rsidRPr="001012C4">
        <w:rPr>
          <w:rFonts w:ascii="Arial" w:hAnsi="Arial" w:cs="Arial"/>
          <w:i/>
          <w:iCs/>
          <w:sz w:val="22"/>
          <w:szCs w:val="22"/>
          <w:lang w:val="fr-FR"/>
        </w:rPr>
        <w:t>Mobula</w:t>
      </w:r>
      <w:proofErr w:type="spellEnd"/>
      <w:r w:rsidRPr="001012C4">
        <w:rPr>
          <w:rFonts w:ascii="Arial" w:hAnsi="Arial" w:cs="Arial"/>
          <w:sz w:val="22"/>
          <w:szCs w:val="22"/>
          <w:lang w:val="fr-FR"/>
        </w:rPr>
        <w:t>). Ce système de déclaration par espèce garantit une résolution suffisante des débarquements pour rendre plus précises les évaluations des débarquements, et pour informer les évaluations des stocks, la gestion des pêches et la conservation.</w:t>
      </w:r>
    </w:p>
    <w:p w14:paraId="6DFDB47F" w14:textId="77777777" w:rsidR="00016A72" w:rsidRPr="001012C4" w:rsidRDefault="00016A72" w:rsidP="00016A72">
      <w:pPr>
        <w:contextualSpacing/>
        <w:jc w:val="both"/>
        <w:rPr>
          <w:rFonts w:ascii="Arial" w:hAnsi="Arial" w:cs="Arial"/>
          <w:sz w:val="22"/>
          <w:szCs w:val="22"/>
          <w:lang w:val="fr-FR"/>
        </w:rPr>
      </w:pPr>
    </w:p>
    <w:p w14:paraId="39026BD1"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En raison de problèmes tels que le manque d’exigences en matière de déclaration ou de formation des pêcheurs et des observateurs des pêches, les débarquements sont également déclarés sous des catégories plus larges </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{"citationItems":[{"id":"ITEM-1","itemData":{"DOI":"10.1016/j.marpol.2019.02.041","ISSN":"0308597X","abstract":"One in four fishes of the subclass Elasmobranchii (sharks and rays) is estimated to be threatened with extinction, according to the IUCN Red List. Their primary threat is overfishing, but data deficiency makes stock assessment difficult. Over 50% of shark and ray species are listed as Data Deficient, in part because the taxonomic resolution of existing catch statistics is too low to identify species-level trends of abundance. Less than 25% of the shark catch reported to the FAO is identified below the genus level; the other 75% is lumped into categories such as “sharks”, “rays”, or “elasmobranchs nei”, (not elsewhere included). This study evaluates the taxonomic resolution of domestic elasmobranch landings in the Mediterranean and Black Seas, where over half of shark and ray species are threatened with extinction, but data deficiency and ambiguity consistently limit conservation action. A Taxonomic Resolution Index (TRI) was calculated for the landings of 24 countries over 65 years (1950–2014) to evaluate the quality of catch reporting over time. The TRI revealed that less than a quarter of commercial elasmobranch taxa are represented in Mediterranean and Black Seas landings data, and reporting quality has hardly improved. Conservation and management policy exists for effective fisheries data collection in the Mediterranean and Black Seas, but lacks implementation.","author":[{"dropping-particle":"","family":"Cashion","given":"Madeline S.","non-dropping-particle":"","parse-names":false,"suffix":""},{"dropping-particle":"","family":"Bailly","given":"Nicolas","non-dropping-particle":"","parse-names":false,"suffix":""},{"dropping-particle":"","family":"Pauly","given":"Daniel","non-dropping-particle":"","parse-names":false,"suffix":""}],"container-title":"Marine Policy","id":"ITEM-1","issued":{"date-parts":[["2019","7","1"]]},"page":"1-9","publisher":"Pergamon","title":"Official catch data underrepresent shark and ray taxa caught in Mediterranean and Black Sea fisheries","type":"article-journal","volume":"105"},"uris":["http://www.mendeley.com/documents/?uuid=7b734666-437b-32bf-a907-bb3d2dcff326"]}],"mendeley":{"formattedCitation":"(Cashion et al. 2019)","plainTextFormattedCitation":"(Cashion et al. 2019)","previouslyFormattedCitation":"(Cashion et al. 2019)"},"properties":{"noteIndex":0},"schema":"https://github.com/citation-style-language/schema/raw/master/csl-citation.json"}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(Cashion et al. 2019)</w:t>
      </w:r>
      <w:r w:rsidRPr="001012C4">
        <w:rPr>
          <w:rFonts w:ascii="Arial" w:hAnsi="Arial" w:cs="Arial"/>
          <w:sz w:val="22"/>
          <w:szCs w:val="22"/>
          <w:lang w:val="fr-FR"/>
        </w:rPr>
        <w:fldChar w:fldCharType="end"/>
      </w:r>
      <w:r w:rsidRPr="001012C4">
        <w:rPr>
          <w:rFonts w:ascii="Arial" w:hAnsi="Arial" w:cs="Arial"/>
          <w:sz w:val="22"/>
          <w:szCs w:val="22"/>
          <w:lang w:val="fr-FR"/>
        </w:rPr>
        <w:t xml:space="preserve">. Ces situations sont particulièrement problématiques pour les espèces inscrites lorsque les catégories englobent d’autres espèces qui ne sont pas protégées, car il n'est plus possible de savoir avec certitude si les débarquements déclarés dans des catégories plus larges sont constitués d’espèces inscrites et quelle est leur proportion relative. Par exemple, les débarquements déclarés dans la catégorie « Requins marteau, etc.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peuvent inclure n’importe laquelle des trois espèces de Requins-marteaux figurant à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et/ou n’importe laquelle des autres espèces existantes. Il est dès lors indispensable de déterminer pour quelles espèces et à quels endroits des efforts supplémentaires doivent être déployés pour améliorer la résolution des débarquements déclarés.</w:t>
      </w:r>
    </w:p>
    <w:p w14:paraId="2CEEF82F"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b/>
          <w:bCs/>
          <w:color w:val="000000"/>
          <w:sz w:val="22"/>
          <w:szCs w:val="22"/>
          <w:u w:color="000000"/>
          <w:bdr w:val="nil"/>
          <w:lang w:val="fr-FR" w:eastAsia="en-GB"/>
          <w14:textOutline w14:w="0" w14:cap="flat" w14:cmpd="sng" w14:algn="ctr">
            <w14:noFill/>
            <w14:prstDash w14:val="solid"/>
            <w14:bevel/>
          </w14:textOutline>
        </w:rPr>
      </w:pPr>
    </w:p>
    <w:p w14:paraId="66B3F2F2" w14:textId="256152A2" w:rsidR="00016A72" w:rsidRPr="001012C4" w:rsidRDefault="00016A72" w:rsidP="00016A72">
      <w:pPr>
        <w:keepNext/>
        <w:keepLines/>
        <w:outlineLvl w:val="2"/>
        <w:rPr>
          <w:rFonts w:ascii="Arial" w:hAnsi="Arial" w:cs="Arial"/>
          <w:b/>
          <w:bCs/>
          <w:sz w:val="22"/>
          <w:szCs w:val="22"/>
          <w:lang w:val="fr-FR"/>
        </w:rPr>
      </w:pPr>
      <w:r w:rsidRPr="001012C4">
        <w:rPr>
          <w:rFonts w:ascii="Arial" w:hAnsi="Arial" w:cs="Arial"/>
          <w:b/>
          <w:bCs/>
          <w:sz w:val="22"/>
          <w:szCs w:val="22"/>
          <w:lang w:val="fr-FR"/>
        </w:rPr>
        <w:t>5.</w:t>
      </w:r>
      <w:r w:rsidR="001012C4">
        <w:rPr>
          <w:rFonts w:ascii="Arial" w:hAnsi="Arial" w:cs="Arial"/>
          <w:b/>
          <w:bCs/>
          <w:sz w:val="22"/>
          <w:szCs w:val="22"/>
          <w:lang w:val="fr-FR"/>
        </w:rPr>
        <w:t>2</w:t>
      </w:r>
      <w:r w:rsidRPr="001012C4">
        <w:rPr>
          <w:rFonts w:ascii="Arial" w:hAnsi="Arial" w:cs="Arial"/>
          <w:b/>
          <w:bCs/>
          <w:sz w:val="22"/>
          <w:szCs w:val="22"/>
          <w:lang w:val="fr-FR"/>
        </w:rPr>
        <w:tab/>
        <w:t>Résultats</w:t>
      </w:r>
    </w:p>
    <w:p w14:paraId="207C1FE2" w14:textId="77777777" w:rsidR="00016A72" w:rsidRPr="001012C4" w:rsidRDefault="00016A72" w:rsidP="00016A72">
      <w:pPr>
        <w:keepNext/>
        <w:keepLines/>
        <w:outlineLvl w:val="2"/>
        <w:rPr>
          <w:rFonts w:ascii="Arial" w:hAnsi="Arial" w:cs="Arial"/>
          <w:b/>
          <w:bCs/>
          <w:sz w:val="22"/>
          <w:szCs w:val="22"/>
          <w:lang w:val="fr-FR"/>
        </w:rPr>
      </w:pPr>
    </w:p>
    <w:p w14:paraId="54DFDF24"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De 2015 à 2019, 399 642 tonnes/an du total des débarquements annuels déclarés de requins et de raies se situaient à un niveau taxonomique qui ne permet pas de déterminer s’ils comprennent des espèces inscrites au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soit de 57 % (les signataires du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représentant 11 % de ces débarquements génériques et agrégés, tandis que les non-Parties ont déclaré les 46 % restants).</w:t>
      </w:r>
    </w:p>
    <w:p w14:paraId="2B805134"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Les grandes catégories taxonomiques d’espèces les plus courantes qui ont entravé l’identification spécifique des espèces inscrites à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sont : les « Requins, Raies, etc.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(54 % ; 214 213 tonnes/an), les « Raies, pastenagues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(35 % ; 140 315 tonnes/an), les « Requins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(6 % ; 23 317 tonnes/an), les « Requins marteau, etc.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(2 % ; 8 331 tonnes/an) et les « Squales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(2 % ; 7 962 tonnes/an). Les autres catégories contribuant à moins de 1 % chacune </w:t>
      </w:r>
      <w:proofErr w:type="gramStart"/>
      <w:r w:rsidRPr="001012C4">
        <w:rPr>
          <w:rFonts w:ascii="Arial" w:hAnsi="Arial" w:cs="Arial"/>
          <w:sz w:val="22"/>
          <w:szCs w:val="22"/>
          <w:lang w:val="fr-FR"/>
        </w:rPr>
        <w:t>sont</w:t>
      </w:r>
      <w:proofErr w:type="gramEnd"/>
      <w:r w:rsidRPr="001012C4">
        <w:rPr>
          <w:rFonts w:ascii="Arial" w:hAnsi="Arial" w:cs="Arial"/>
          <w:sz w:val="22"/>
          <w:szCs w:val="22"/>
          <w:lang w:val="fr-FR"/>
        </w:rPr>
        <w:t xml:space="preserve"> : les « Guitares, etc.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(3 221 tonnes/an), les « Requins divers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(1 719 tonnes/an), les « Anges de mer de l’Atlantique, Anges de mer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(345 tonnes/an), les « Squales et émissoles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(213 tonnes/an), les « Aiguillats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(4 tonnes/an), les « Requins </w:t>
      </w:r>
      <w:proofErr w:type="spellStart"/>
      <w:r w:rsidRPr="001012C4">
        <w:rPr>
          <w:rFonts w:ascii="Arial" w:hAnsi="Arial" w:cs="Arial"/>
          <w:sz w:val="22"/>
          <w:szCs w:val="22"/>
          <w:lang w:val="fr-FR"/>
        </w:rPr>
        <w:t>Carcharhinus</w:t>
      </w:r>
      <w:proofErr w:type="spellEnd"/>
      <w:r w:rsidRPr="001012C4">
        <w:rPr>
          <w:rFonts w:ascii="Arial" w:hAnsi="Arial" w:cs="Arial"/>
          <w:sz w:val="22"/>
          <w:szCs w:val="22"/>
          <w:lang w:val="fr-FR"/>
        </w:rPr>
        <w:t xml:space="preserve">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(2 tonnes/an), les « Requins marteau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(0,66 tonnes/an) et les « </w:t>
      </w:r>
      <w:proofErr w:type="spellStart"/>
      <w:r w:rsidRPr="001012C4">
        <w:rPr>
          <w:rFonts w:ascii="Arial" w:hAnsi="Arial" w:cs="Arial"/>
          <w:sz w:val="22"/>
          <w:szCs w:val="22"/>
          <w:lang w:val="fr-FR"/>
        </w:rPr>
        <w:t>Squaliformes</w:t>
      </w:r>
      <w:proofErr w:type="spellEnd"/>
      <w:r w:rsidRPr="001012C4">
        <w:rPr>
          <w:rFonts w:ascii="Arial" w:hAnsi="Arial" w:cs="Arial"/>
          <w:sz w:val="22"/>
          <w:szCs w:val="22"/>
          <w:lang w:val="fr-FR"/>
        </w:rPr>
        <w:t xml:space="preserve"> </w:t>
      </w:r>
      <w:proofErr w:type="spellStart"/>
      <w:r w:rsidRPr="001012C4">
        <w:rPr>
          <w:rFonts w:ascii="Arial" w:hAnsi="Arial" w:cs="Arial"/>
          <w:sz w:val="22"/>
          <w:szCs w:val="22"/>
          <w:lang w:val="fr-FR"/>
        </w:rPr>
        <w:t>nca</w:t>
      </w:r>
      <w:proofErr w:type="spellEnd"/>
      <w:r w:rsidRPr="001012C4">
        <w:rPr>
          <w:rFonts w:ascii="Arial" w:hAnsi="Arial" w:cs="Arial"/>
          <w:sz w:val="22"/>
          <w:szCs w:val="22"/>
          <w:lang w:val="fr-FR"/>
        </w:rPr>
        <w:t xml:space="preserve"> » (0,03 tonnes/an). Il est intéressant de noter que certaines des dernières catégories mentionnées et moins utilisées ont été utilisées par peu de nations, contrairement aux premières catégories mentionnées, les plus utilisées, qui ont été rapportées par 91 nations.</w:t>
      </w:r>
    </w:p>
    <w:p w14:paraId="74B80BA8" w14:textId="77777777" w:rsidR="00016A72" w:rsidRPr="001012C4" w:rsidRDefault="00016A72" w:rsidP="00016A72">
      <w:pPr>
        <w:contextualSpacing/>
        <w:jc w:val="both"/>
        <w:rPr>
          <w:rFonts w:ascii="Arial" w:hAnsi="Arial" w:cs="Arial"/>
          <w:sz w:val="22"/>
          <w:szCs w:val="22"/>
          <w:lang w:val="fr-FR"/>
        </w:rPr>
      </w:pPr>
    </w:p>
    <w:p w14:paraId="53A42F14"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La contribution de chaque zone FAO au rapport total des débarquements génériques et agrégés varie de 16 % à 0,09 %. Les zones dans lesquelles les quantités les plus élevées de débarquements génériques et agrégés ont été déclarées sont l’océan Indien occidental (zone FAO 51 ; 16 %), le Pacifique Centre-Ouest (zone FAO 71 ; 16 %), l’océan Indien oriental (zone FAO 57 ; 13 %), le Pacifique Centre-Est (zone FAO 77 ; 12 %) et l’Atlantique Centre-Est (zone FAO 34 ; 11 %). Les zones contribuant pour moins de 1 % à la quantité globale de débarquements génériques et agrégés sont les zones FAO 81, 27, 21, et l’Océan Austral. Cependant, la proportion de débarquements génériques et agrégés au sein de chaque zone varie considérablement, de la totalité à la quasi-totalité des débarquements appartenant à ces catégories agrégées et non spécifiques dans le Pacifique Nord-Ouest (zone FAO 61), le Pacifique Nord-Est (zone FAO 67), le Pacifique Centre-Est (zone FAO 77) et l’océan Indien oriental (zone FAO 51), à seulement 1 % dans l’Atlantique Nord-Est (zone FAO 27) et l’Atlantique Nord-Ouest (zone FAO 21). De même, la proportion de débarquements génériques et agrégés variait considérablement entre les nations d’une même zone. Pour de plus amples informations, voir la figure 3 et </w:t>
      </w:r>
      <w:r w:rsidR="00603D91">
        <w:fldChar w:fldCharType="begin"/>
      </w:r>
      <w:r w:rsidR="00603D91" w:rsidRPr="004165F5">
        <w:rPr>
          <w:lang w:val="fr-FR"/>
        </w:rPr>
        <w:instrText>HYPERLINK "https://github.com/mpozo-montoro/MOS4-Doc.10.5.1"</w:instrText>
      </w:r>
      <w:r w:rsidR="00603D91">
        <w:fldChar w:fldCharType="separate"/>
      </w:r>
      <w:r w:rsidRPr="001012C4">
        <w:rPr>
          <w:rFonts w:ascii="Arial" w:hAnsi="Arial" w:cs="Arial"/>
          <w:color w:val="0000FF"/>
          <w:sz w:val="22"/>
          <w:szCs w:val="22"/>
          <w:u w:val="single"/>
          <w:lang w:val="fr-FR"/>
        </w:rPr>
        <w:t>Informations supplémentaires 3</w:t>
      </w:r>
      <w:r w:rsidR="00603D91">
        <w:rPr>
          <w:rFonts w:ascii="Arial" w:hAnsi="Arial" w:cs="Arial"/>
          <w:color w:val="0000FF"/>
          <w:sz w:val="22"/>
          <w:szCs w:val="22"/>
          <w:u w:val="single"/>
          <w:lang w:val="fr-FR"/>
        </w:rPr>
        <w:fldChar w:fldCharType="end"/>
      </w:r>
      <w:r w:rsidRPr="001012C4">
        <w:rPr>
          <w:rFonts w:ascii="Arial" w:hAnsi="Arial" w:cs="Arial"/>
          <w:sz w:val="22"/>
          <w:szCs w:val="22"/>
          <w:lang w:val="fr-FR"/>
        </w:rPr>
        <w:t>.</w:t>
      </w:r>
    </w:p>
    <w:p w14:paraId="5CAF06A1" w14:textId="77777777" w:rsidR="00016A72" w:rsidRPr="001012C4" w:rsidRDefault="00016A72" w:rsidP="00016A72">
      <w:pPr>
        <w:contextualSpacing/>
        <w:jc w:val="both"/>
        <w:rPr>
          <w:rFonts w:ascii="Arial" w:hAnsi="Arial" w:cs="Arial"/>
          <w:sz w:val="22"/>
          <w:szCs w:val="22"/>
          <w:lang w:val="fr-FR"/>
        </w:rPr>
      </w:pPr>
    </w:p>
    <w:p w14:paraId="419E2BB3" w14:textId="6F312558" w:rsidR="00016A72" w:rsidRPr="001012C4" w:rsidRDefault="00016A72" w:rsidP="00016A72">
      <w:pPr>
        <w:keepNext/>
        <w:keepLines/>
        <w:outlineLvl w:val="2"/>
        <w:rPr>
          <w:rFonts w:ascii="Arial" w:hAnsi="Arial" w:cs="Arial"/>
          <w:b/>
          <w:bCs/>
          <w:sz w:val="22"/>
          <w:szCs w:val="22"/>
          <w:lang w:val="fr-FR"/>
        </w:rPr>
      </w:pPr>
      <w:bookmarkStart w:id="16" w:name="Section5c"/>
      <w:bookmarkStart w:id="17" w:name="_Hlk122367479"/>
      <w:r w:rsidRPr="001012C4">
        <w:rPr>
          <w:rFonts w:ascii="Arial" w:hAnsi="Arial" w:cs="Arial"/>
          <w:b/>
          <w:bCs/>
          <w:sz w:val="22"/>
          <w:szCs w:val="22"/>
          <w:lang w:val="fr-FR"/>
        </w:rPr>
        <w:t>5.</w:t>
      </w:r>
      <w:r w:rsidR="001012C4">
        <w:rPr>
          <w:rFonts w:ascii="Arial" w:hAnsi="Arial" w:cs="Arial"/>
          <w:b/>
          <w:bCs/>
          <w:sz w:val="22"/>
          <w:szCs w:val="22"/>
          <w:lang w:val="fr-FR"/>
        </w:rPr>
        <w:t>3</w:t>
      </w:r>
      <w:r w:rsidRPr="001012C4">
        <w:rPr>
          <w:rFonts w:ascii="Arial" w:hAnsi="Arial" w:cs="Arial"/>
          <w:b/>
          <w:bCs/>
          <w:sz w:val="22"/>
          <w:szCs w:val="22"/>
          <w:lang w:val="fr-FR"/>
        </w:rPr>
        <w:tab/>
      </w:r>
      <w:bookmarkEnd w:id="16"/>
      <w:r w:rsidRPr="001012C4">
        <w:rPr>
          <w:rFonts w:ascii="Arial" w:hAnsi="Arial" w:cs="Arial"/>
          <w:b/>
          <w:bCs/>
          <w:sz w:val="22"/>
          <w:szCs w:val="22"/>
          <w:lang w:val="fr-FR"/>
        </w:rPr>
        <w:t>Remarques et recommandations spécifiques</w:t>
      </w:r>
    </w:p>
    <w:p w14:paraId="6BFF4A5E" w14:textId="77777777" w:rsidR="00016A72" w:rsidRPr="001012C4" w:rsidRDefault="00016A72" w:rsidP="00016A72">
      <w:pPr>
        <w:keepNext/>
        <w:keepLines/>
        <w:outlineLvl w:val="2"/>
        <w:rPr>
          <w:rFonts w:ascii="Arial" w:hAnsi="Arial" w:cs="Arial"/>
          <w:b/>
          <w:bCs/>
          <w:sz w:val="22"/>
          <w:szCs w:val="22"/>
          <w:lang w:val="fr-FR"/>
        </w:rPr>
      </w:pPr>
    </w:p>
    <w:p w14:paraId="3BD4D7E8" w14:textId="77777777" w:rsidR="00016A72" w:rsidRPr="001012C4" w:rsidRDefault="00016A72" w:rsidP="00016A72">
      <w:pPr>
        <w:widowControl/>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 xml:space="preserve">L’absence d’informations spécifiques aux espèces dans les débarquements déclarés peut réduire considérablement la précision de l’évaluation des tendances et de l’état des populations, ce qui peut compromettre les efforts de gestion des pêches et les actions de conservation. Par conséquent, les signataires devraient donner la priorité à l’amélioration de la résolution taxonomique des débarquements déclarés. Les recommandations visant à améliorer la déclaration par espèce des débarquements d’espèces inscrites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sont les suivantes :</w:t>
      </w:r>
    </w:p>
    <w:p w14:paraId="6F6BBE83" w14:textId="77777777" w:rsidR="00016A72" w:rsidRPr="001012C4" w:rsidRDefault="00016A72" w:rsidP="00016A72">
      <w:pPr>
        <w:widowControl/>
        <w:numPr>
          <w:ilvl w:val="2"/>
          <w:numId w:val="11"/>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Les Signataires devraient évaluer leurs systèmes nationaux de collecte et de déclaration des données et s’assurer que tous les débarquements sont déclarés au niveau de l’espèce (ou du genre lorsque cela est plus approprié).</w:t>
      </w:r>
    </w:p>
    <w:p w14:paraId="1378A2A0" w14:textId="77777777" w:rsidR="00016A72" w:rsidRPr="001012C4" w:rsidRDefault="00016A72" w:rsidP="00016A72">
      <w:pPr>
        <w:widowControl/>
        <w:numPr>
          <w:ilvl w:val="2"/>
          <w:numId w:val="11"/>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 xml:space="preserve">Les Signataires devraient fournir une formation, si nécessaire, pour permettre aux pêcheurs, au personnel portuaire et aux observateurs d’identifier de manière cohérente les espèces inscrites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au niveau de l’espèce dans le temps.</w:t>
      </w:r>
    </w:p>
    <w:p w14:paraId="1603917F" w14:textId="77777777" w:rsidR="00016A72" w:rsidRPr="001012C4" w:rsidRDefault="00016A72" w:rsidP="00016A72">
      <w:pPr>
        <w:widowControl/>
        <w:numPr>
          <w:ilvl w:val="2"/>
          <w:numId w:val="11"/>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Les Signataires devraient renforcer les procédures de surveillance des sites de débarquement afin de garantir le respect des dispositions et d’améliorer la surveillance, la sensibilisation et la répression si nécessaire.</w:t>
      </w:r>
    </w:p>
    <w:p w14:paraId="21F15F8C" w14:textId="77777777" w:rsidR="00016A72" w:rsidRPr="001012C4" w:rsidRDefault="00016A72" w:rsidP="00016A72">
      <w:pPr>
        <w:widowControl/>
        <w:numPr>
          <w:ilvl w:val="2"/>
          <w:numId w:val="11"/>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 xml:space="preserve">Les efforts de collaboration visant à améliorer la résolution taxonomique des débarquements de requins et de raies devraient être encouragés entre les Signataires et les autres États de l’aire de répartition </w:t>
      </w:r>
      <w:proofErr w:type="gramStart"/>
      <w:r w:rsidRPr="001012C4">
        <w:rPr>
          <w:rFonts w:ascii="Arial" w:hAnsi="Arial" w:cs="Arial"/>
          <w:sz w:val="22"/>
          <w:szCs w:val="22"/>
          <w:lang w:val="fr-FR"/>
        </w:rPr>
        <w:t>non signataires</w:t>
      </w:r>
      <w:proofErr w:type="gramEnd"/>
      <w:r w:rsidRPr="001012C4">
        <w:rPr>
          <w:rFonts w:ascii="Arial" w:hAnsi="Arial" w:cs="Arial"/>
          <w:sz w:val="22"/>
          <w:szCs w:val="22"/>
          <w:lang w:val="fr-FR"/>
        </w:rPr>
        <w:t xml:space="preserve"> concernés pour lesquels une forte proportion des débarquements est déclarée sous des catégories agrégées et génériques. L’expertise technique et la capacité des Signataires rapportant des proportions plus élevées de débarquements au niveau spécifique des espèces (y compris le financement des programmes d’observation des pêches et la formation) sont essentielles pour améliorer les rapports à l'échelle mondiale.</w:t>
      </w:r>
    </w:p>
    <w:p w14:paraId="43EB505B" w14:textId="77777777" w:rsidR="00016A72" w:rsidRPr="001012C4" w:rsidRDefault="00016A72" w:rsidP="00016A72">
      <w:pPr>
        <w:widowControl/>
        <w:numPr>
          <w:ilvl w:val="2"/>
          <w:numId w:val="11"/>
        </w:numPr>
        <w:pBdr>
          <w:top w:val="nil"/>
          <w:left w:val="nil"/>
          <w:bottom w:val="nil"/>
          <w:right w:val="nil"/>
          <w:between w:val="nil"/>
          <w:bar w:val="nil"/>
        </w:pBdr>
        <w:autoSpaceDE/>
        <w:autoSpaceDN/>
        <w:adjustRightInd/>
        <w:jc w:val="both"/>
        <w:rPr>
          <w:rFonts w:ascii="Arial" w:hAnsi="Arial" w:cs="Arial"/>
          <w:sz w:val="22"/>
          <w:szCs w:val="22"/>
          <w:lang w:val="fr-FR"/>
        </w:rPr>
      </w:pPr>
      <w:r w:rsidRPr="001012C4">
        <w:rPr>
          <w:rFonts w:ascii="Arial" w:hAnsi="Arial" w:cs="Arial"/>
          <w:sz w:val="22"/>
          <w:szCs w:val="22"/>
          <w:lang w:val="fr-FR"/>
        </w:rPr>
        <w:t>Si possible, lorsque des améliorations sont apportées aux rapports, reconstituer les débarquements historiques (captures), afin de réduire les perturbations des séries chronologiques.</w:t>
      </w:r>
    </w:p>
    <w:bookmarkEnd w:id="17"/>
    <w:p w14:paraId="35768C60" w14:textId="77777777" w:rsidR="00016A72" w:rsidRPr="001012C4" w:rsidRDefault="00016A72" w:rsidP="00016A72">
      <w:pPr>
        <w:ind w:right="26"/>
        <w:jc w:val="both"/>
        <w:rPr>
          <w:rFonts w:ascii="Arial" w:hAnsi="Arial" w:cs="Arial"/>
          <w:bCs/>
          <w:iCs/>
          <w:sz w:val="22"/>
          <w:szCs w:val="22"/>
          <w:lang w:val="fr-FR"/>
        </w:rPr>
        <w:sectPr w:rsidR="00016A72" w:rsidRPr="001012C4" w:rsidSect="009454AA">
          <w:pgSz w:w="11906" w:h="16838" w:code="9"/>
          <w:pgMar w:top="1138" w:right="1138" w:bottom="1138" w:left="1138" w:header="706" w:footer="706" w:gutter="0"/>
          <w:cols w:space="720"/>
          <w:titlePg/>
          <w:docGrid w:linePitch="245"/>
        </w:sectPr>
      </w:pPr>
    </w:p>
    <w:p w14:paraId="1FF40622" w14:textId="77777777" w:rsidR="00016A72" w:rsidRPr="001012C4" w:rsidRDefault="00016A72" w:rsidP="00016A72">
      <w:pPr>
        <w:pStyle w:val="ListParagraph"/>
        <w:keepNext/>
        <w:spacing w:line="276" w:lineRule="auto"/>
        <w:ind w:left="0"/>
        <w:jc w:val="center"/>
        <w:rPr>
          <w:rFonts w:ascii="Arial" w:hAnsi="Arial" w:cs="Arial"/>
          <w:b/>
          <w:bCs/>
          <w:sz w:val="18"/>
          <w:szCs w:val="18"/>
          <w:lang w:val="fr-FR"/>
        </w:rPr>
      </w:pPr>
      <w:r w:rsidRPr="001012C4">
        <w:rPr>
          <w:rFonts w:ascii="Arial" w:hAnsi="Arial" w:cs="Arial"/>
          <w:b/>
          <w:bCs/>
          <w:noProof/>
          <w:sz w:val="18"/>
          <w:szCs w:val="18"/>
          <w:lang w:val="fr-FR"/>
        </w:rPr>
        <w:lastRenderedPageBreak/>
        <mc:AlternateContent>
          <mc:Choice Requires="wps">
            <w:drawing>
              <wp:anchor distT="45720" distB="45720" distL="114300" distR="114300" simplePos="0" relativeHeight="251676672" behindDoc="1" locked="0" layoutInCell="1" allowOverlap="1" wp14:anchorId="31425649" wp14:editId="7BE70477">
                <wp:simplePos x="0" y="0"/>
                <wp:positionH relativeFrom="column">
                  <wp:posOffset>-314325</wp:posOffset>
                </wp:positionH>
                <wp:positionV relativeFrom="paragraph">
                  <wp:posOffset>5248276</wp:posOffset>
                </wp:positionV>
                <wp:extent cx="8734425" cy="9525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4425" cy="952500"/>
                        </a:xfrm>
                        <a:prstGeom prst="rect">
                          <a:avLst/>
                        </a:prstGeom>
                        <a:solidFill>
                          <a:srgbClr val="FFFFFF"/>
                        </a:solidFill>
                        <a:ln w="9525">
                          <a:noFill/>
                          <a:miter lim="800000"/>
                          <a:headEnd/>
                          <a:tailEnd/>
                        </a:ln>
                      </wps:spPr>
                      <wps:txbx>
                        <w:txbxContent>
                          <w:p w14:paraId="21A7B643" w14:textId="77777777" w:rsidR="00016A72" w:rsidRPr="001012C4" w:rsidRDefault="00016A72" w:rsidP="00016A72">
                            <w:pPr>
                              <w:jc w:val="both"/>
                              <w:rPr>
                                <w:rFonts w:ascii="Arial" w:hAnsi="Arial" w:cs="Arial"/>
                                <w:sz w:val="16"/>
                                <w:szCs w:val="16"/>
                                <w:lang w:val="fr-FR"/>
                              </w:rPr>
                            </w:pPr>
                            <w:r w:rsidRPr="001012C4">
                              <w:rPr>
                                <w:rFonts w:ascii="Arial" w:hAnsi="Arial" w:cs="Arial"/>
                                <w:b/>
                                <w:bCs/>
                                <w:sz w:val="16"/>
                                <w:szCs w:val="16"/>
                                <w:lang w:val="fr-FR"/>
                              </w:rPr>
                              <w:t>Figure 3. Débarquements moyens annuels mondiaux de toutes les espèces d’élasmobranches, tels que déclarés à la FAO (2015-2019 ; tonnes de poids vif).</w:t>
                            </w:r>
                            <w:r w:rsidRPr="001012C4">
                              <w:rPr>
                                <w:rFonts w:ascii="Arial" w:hAnsi="Arial" w:cs="Arial"/>
                                <w:sz w:val="16"/>
                                <w:szCs w:val="16"/>
                                <w:lang w:val="fr-FR"/>
                              </w:rPr>
                              <w:t xml:space="preserve"> L’ampleur totale des débarquements déclarés pour chaque zone FAO est indiquée par l’intensité de la couleur (légende en haut à gauche). Les graphiques pour chaque zone FAO représentent les trois premières nations ayant le plus grand nombre de débarquements déclarés et le total pour les autres nations. Les pourcentages de débarquements pour les catégories </w:t>
                            </w:r>
                            <w:r w:rsidRPr="001012C4">
                              <w:rPr>
                                <w:rFonts w:ascii="Arial" w:hAnsi="Arial" w:cs="Arial"/>
                                <w:sz w:val="16"/>
                                <w:szCs w:val="16"/>
                                <w:lang w:val="fr-FR"/>
                              </w:rPr>
                              <w:t xml:space="preserve">MdE requins, non-MdE requins, et Incertain sont représentés avec des couleurs différentes (légende en bas). Statut de l’adhésion de chaque nation concernant la CMS et le MdE requins est représenté par un carré de couleur sous sa barre (légende en haut à droite). Les États membres de l’UE sont tous mis en évidence (en bleu) en tant que Signataires du MdE et Parties à la CMS, que le pays ait ou non signé le MdE requins. Le pourcentage bleu de chaque parcelle représente la fraction totale des débarquements dont l'inscription au MdE requins est incertaine dans la zone FAO. Consultez </w:t>
                            </w:r>
                            <w:r w:rsidR="00603D91">
                              <w:fldChar w:fldCharType="begin"/>
                            </w:r>
                            <w:r w:rsidR="00603D91" w:rsidRPr="004165F5">
                              <w:rPr>
                                <w:lang w:val="fr-FR"/>
                              </w:rPr>
                              <w:instrText>HYPERLINK "https://github.com/mpozo-montoro/MOS4-Doc.10.5.1"</w:instrText>
                            </w:r>
                            <w:r w:rsidR="00603D91">
                              <w:fldChar w:fldCharType="separate"/>
                            </w:r>
                            <w:r w:rsidRPr="001012C4">
                              <w:rPr>
                                <w:rStyle w:val="Hyperlink"/>
                                <w:rFonts w:ascii="Arial" w:hAnsi="Arial" w:cs="Arial"/>
                                <w:sz w:val="16"/>
                                <w:szCs w:val="16"/>
                                <w:lang w:val="fr-FR"/>
                              </w:rPr>
                              <w:t>Informations supplémentaires 3</w:t>
                            </w:r>
                            <w:r w:rsidR="00603D91">
                              <w:rPr>
                                <w:rStyle w:val="Hyperlink"/>
                                <w:rFonts w:ascii="Arial" w:hAnsi="Arial" w:cs="Arial"/>
                                <w:sz w:val="16"/>
                                <w:szCs w:val="16"/>
                                <w:lang w:val="fr-FR"/>
                              </w:rPr>
                              <w:fldChar w:fldCharType="end"/>
                            </w:r>
                            <w:r w:rsidRPr="001012C4">
                              <w:rPr>
                                <w:rFonts w:ascii="Arial" w:hAnsi="Arial" w:cs="Arial"/>
                                <w:sz w:val="16"/>
                                <w:szCs w:val="16"/>
                                <w:lang w:val="fr-FR"/>
                              </w:rPr>
                              <w:t xml:space="preserve"> pour découvrir les nations et les catégories déclarantes dans chaque zone de pêche de la FAO.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25649" id="_x0000_s1027" type="#_x0000_t202" style="position:absolute;left:0;text-align:left;margin-left:-24.75pt;margin-top:413.25pt;width:687.75pt;height: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" stroked="f">
                <v:textbox>
                  <w:txbxContent>
                    <w:p w14:paraId="21A7B643" w14:textId="77777777" w:rsidR="00016A72" w:rsidRPr="001012C4" w:rsidRDefault="00016A72" w:rsidP="00016A72">
                      <w:pPr>
                        <w:jc w:val="both"/>
                        <w:rPr>
                          <w:rFonts w:ascii="Arial" w:hAnsi="Arial" w:cs="Arial"/>
                          <w:sz w:val="16"/>
                          <w:szCs w:val="16"/>
                          <w:lang w:val="fr-FR"/>
                        </w:rPr>
                      </w:pPr>
                      <w:r w:rsidRPr="001012C4">
                        <w:rPr>
                          <w:rFonts w:ascii="Arial" w:hAnsi="Arial" w:cs="Arial"/>
                          <w:b/>
                          <w:bCs/>
                          <w:sz w:val="16"/>
                          <w:szCs w:val="16"/>
                          <w:lang w:val="fr-FR"/>
                        </w:rPr>
                        <w:t>Figure 3. Débarquements moyens annuels mondiaux de toutes les espèces d’élasmobranches, tels que déclarés à la FAO (2015-2019 ; tonnes de poids vif).</w:t>
                      </w:r>
                      <w:r w:rsidRPr="001012C4">
                        <w:rPr>
                          <w:rFonts w:ascii="Arial" w:hAnsi="Arial" w:cs="Arial"/>
                          <w:sz w:val="16"/>
                          <w:szCs w:val="16"/>
                          <w:lang w:val="fr-FR"/>
                        </w:rPr>
                        <w:t xml:space="preserve"> L’ampleur totale des débarquements déclarés pour chaque zone FAO est indiquée par l’intensité de la couleur (légende en haut à gauche). Les graphiques pour chaque zone FAO représentent les trois premières nations ayant le plus grand nombre de débarquements déclarés et le total pour les autres nations. Les pourcentages de débarquements pour les catégories </w:t>
                      </w:r>
                      <w:r w:rsidRPr="001012C4">
                        <w:rPr>
                          <w:rFonts w:ascii="Arial" w:hAnsi="Arial" w:cs="Arial"/>
                          <w:sz w:val="16"/>
                          <w:szCs w:val="16"/>
                          <w:lang w:val="fr-FR"/>
                        </w:rPr>
                        <w:t xml:space="preserve">MdE requins, non-MdE requins, et Incertain sont représentés avec des couleurs différentes (légende en bas). Statut de l’adhésion de chaque nation concernant la CMS et le MdE requins est représenté par un carré de couleur sous sa barre (légende en haut à droite). Les États membres de l’UE sont tous mis en évidence (en bleu) en tant que Signataires du MdE et Parties à la CMS, que le pays ait ou non signé le MdE requins. Le pourcentage bleu de chaque parcelle représente la fraction totale des débarquements dont l'inscription au MdE requins est incertaine dans la zone FAO. Consultez </w:t>
                      </w:r>
                      <w:r w:rsidR="00603D91">
                        <w:fldChar w:fldCharType="begin"/>
                      </w:r>
                      <w:r w:rsidR="00603D91" w:rsidRPr="004165F5">
                        <w:rPr>
                          <w:lang w:val="fr-FR"/>
                        </w:rPr>
                        <w:instrText>HYPERLINK "https://github.com/mpozo-montoro/MOS4-Doc.10.5.1"</w:instrText>
                      </w:r>
                      <w:r w:rsidR="00603D91">
                        <w:fldChar w:fldCharType="separate"/>
                      </w:r>
                      <w:r w:rsidRPr="001012C4">
                        <w:rPr>
                          <w:rStyle w:val="Hyperlink"/>
                          <w:rFonts w:ascii="Arial" w:hAnsi="Arial" w:cs="Arial"/>
                          <w:sz w:val="16"/>
                          <w:szCs w:val="16"/>
                          <w:lang w:val="fr-FR"/>
                        </w:rPr>
                        <w:t>Informations supplémentaires 3</w:t>
                      </w:r>
                      <w:r w:rsidR="00603D91">
                        <w:rPr>
                          <w:rStyle w:val="Hyperlink"/>
                          <w:rFonts w:ascii="Arial" w:hAnsi="Arial" w:cs="Arial"/>
                          <w:sz w:val="16"/>
                          <w:szCs w:val="16"/>
                          <w:lang w:val="fr-FR"/>
                        </w:rPr>
                        <w:fldChar w:fldCharType="end"/>
                      </w:r>
                      <w:r w:rsidRPr="001012C4">
                        <w:rPr>
                          <w:rFonts w:ascii="Arial" w:hAnsi="Arial" w:cs="Arial"/>
                          <w:sz w:val="16"/>
                          <w:szCs w:val="16"/>
                          <w:lang w:val="fr-FR"/>
                        </w:rPr>
                        <w:t xml:space="preserve"> pour découvrir les nations et les catégories déclarantes dans chaque zone de pêche de la FAO.</w:t>
                      </w:r>
                    </w:p>
                  </w:txbxContent>
                </v:textbox>
              </v:shape>
            </w:pict>
          </mc:Fallback>
        </mc:AlternateContent>
      </w:r>
      <w:r w:rsidRPr="001012C4">
        <w:rPr>
          <w:rFonts w:ascii="Arial" w:hAnsi="Arial" w:cs="Arial"/>
          <w:i/>
          <w:iCs/>
          <w:noProof/>
          <w:sz w:val="18"/>
          <w:szCs w:val="18"/>
          <w:lang w:val="fr-FR"/>
        </w:rPr>
        <w:drawing>
          <wp:anchor distT="0" distB="0" distL="114300" distR="114300" simplePos="0" relativeHeight="251677696" behindDoc="1" locked="0" layoutInCell="1" allowOverlap="1" wp14:anchorId="47E78A47" wp14:editId="18B0B43D">
            <wp:simplePos x="0" y="0"/>
            <wp:positionH relativeFrom="column">
              <wp:posOffset>63943</wp:posOffset>
            </wp:positionH>
            <wp:positionV relativeFrom="paragraph">
              <wp:posOffset>-286990</wp:posOffset>
            </wp:positionV>
            <wp:extent cx="8103235" cy="5580380"/>
            <wp:effectExtent l="0" t="0" r="0" b="1270"/>
            <wp:wrapNone/>
            <wp:docPr id="1073741829" name="officeArt object"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Diagram, engineering drawing&#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t="-167" b="1659"/>
                    <a:stretch/>
                  </pic:blipFill>
                  <pic:spPr bwMode="auto">
                    <a:xfrm>
                      <a:off x="0" y="0"/>
                      <a:ext cx="8103235" cy="5580380"/>
                    </a:xfrm>
                    <a:prstGeom prst="rect">
                      <a:avLst/>
                    </a:prstGeom>
                    <a:ln>
                      <a:noFill/>
                    </a:ln>
                    <a:effectLst/>
                    <a:extLst>
                      <a:ext uri="{53640926-AAD7-44D8-BBD7-CCE9431645EC}">
                        <a14:shadowObscured xmlns:a14="http://schemas.microsoft.com/office/drawing/2010/main"/>
                      </a:ext>
                    </a:extLst>
                  </pic:spPr>
                </pic:pic>
              </a:graphicData>
            </a:graphic>
          </wp:anchor>
        </w:drawing>
      </w:r>
      <w:r w:rsidRPr="001012C4">
        <w:rPr>
          <w:rFonts w:ascii="Arial" w:hAnsi="Arial" w:cs="Arial"/>
          <w:b/>
          <w:bCs/>
          <w:sz w:val="18"/>
          <w:szCs w:val="18"/>
          <w:lang w:val="fr-FR"/>
        </w:rPr>
        <w:t xml:space="preserve"> </w:t>
      </w:r>
    </w:p>
    <w:p w14:paraId="6F9C1639" w14:textId="77777777" w:rsidR="00016A72" w:rsidRPr="001012C4" w:rsidRDefault="00016A72" w:rsidP="00016A72">
      <w:pPr>
        <w:pStyle w:val="ListParagraph"/>
        <w:keepNext/>
        <w:spacing w:line="276" w:lineRule="auto"/>
        <w:ind w:left="0"/>
        <w:jc w:val="both"/>
        <w:rPr>
          <w:rFonts w:ascii="Arial" w:hAnsi="Arial" w:cs="Arial"/>
          <w:sz w:val="18"/>
          <w:szCs w:val="18"/>
          <w:lang w:val="fr-FR"/>
        </w:rPr>
        <w:sectPr w:rsidR="00016A72" w:rsidRPr="001012C4" w:rsidSect="008E0C02">
          <w:headerReference w:type="first" r:id="rId35"/>
          <w:pgSz w:w="15840" w:h="12240" w:orient="landscape"/>
          <w:pgMar w:top="1440" w:right="1440" w:bottom="1440" w:left="1440" w:header="706" w:footer="706" w:gutter="0"/>
          <w:cols w:space="720"/>
          <w:titlePg/>
          <w:docGrid w:linePitch="245"/>
        </w:sectPr>
      </w:pPr>
    </w:p>
    <w:p w14:paraId="520D7AAC" w14:textId="77777777" w:rsidR="00016A72" w:rsidRPr="001012C4" w:rsidRDefault="00016A72" w:rsidP="00016A72">
      <w:pPr>
        <w:widowControl/>
        <w:numPr>
          <w:ilvl w:val="0"/>
          <w:numId w:val="15"/>
        </w:numPr>
        <w:pBdr>
          <w:top w:val="nil"/>
          <w:left w:val="nil"/>
          <w:bottom w:val="nil"/>
          <w:right w:val="nil"/>
          <w:between w:val="nil"/>
          <w:bar w:val="nil"/>
        </w:pBdr>
        <w:autoSpaceDE/>
        <w:autoSpaceDN/>
        <w:adjustRightInd/>
        <w:jc w:val="both"/>
        <w:outlineLvl w:val="1"/>
        <w:rPr>
          <w:rFonts w:ascii="Arial" w:hAnsi="Arial" w:cs="Arial"/>
          <w:b/>
          <w:bCs/>
          <w:sz w:val="22"/>
          <w:szCs w:val="22"/>
          <w:u w:val="single"/>
          <w:lang w:val="fr-FR"/>
        </w:rPr>
      </w:pPr>
      <w:bookmarkStart w:id="18" w:name="Section6"/>
      <w:r w:rsidRPr="001012C4">
        <w:rPr>
          <w:rFonts w:ascii="Arial" w:hAnsi="Arial" w:cs="Arial"/>
          <w:noProof/>
          <w:sz w:val="22"/>
          <w:szCs w:val="22"/>
          <w:lang w:val="fr-FR"/>
        </w:rPr>
        <w:lastRenderedPageBreak/>
        <w:drawing>
          <wp:anchor distT="0" distB="0" distL="114300" distR="114300" simplePos="0" relativeHeight="251678720" behindDoc="0" locked="0" layoutInCell="1" allowOverlap="1" wp14:anchorId="4DFF57F5" wp14:editId="57DE3D00">
            <wp:simplePos x="0" y="0"/>
            <wp:positionH relativeFrom="column">
              <wp:posOffset>63500</wp:posOffset>
            </wp:positionH>
            <wp:positionV relativeFrom="paragraph">
              <wp:posOffset>-45999400</wp:posOffset>
            </wp:positionV>
            <wp:extent cx="8098790" cy="5880100"/>
            <wp:effectExtent l="0" t="0" r="0" b="6350"/>
            <wp:wrapNone/>
            <wp:docPr id="1073741828" name="officeArt object" descr="Diagram, 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officeArt object" descr="Diagram, map&#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791" t="-384" r="1103" b="-201"/>
                    <a:stretch/>
                  </pic:blipFill>
                  <pic:spPr bwMode="auto">
                    <a:xfrm>
                      <a:off x="0" y="0"/>
                      <a:ext cx="8098790" cy="5880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1012C4">
        <w:rPr>
          <w:rFonts w:ascii="Arial" w:hAnsi="Arial" w:cs="Arial"/>
          <w:b/>
          <w:bCs/>
          <w:sz w:val="22"/>
          <w:szCs w:val="22"/>
          <w:u w:val="single"/>
          <w:lang w:val="fr-FR"/>
        </w:rPr>
        <w:t>Limites des données : lacunes et qualité des données</w:t>
      </w:r>
    </w:p>
    <w:p w14:paraId="6A27FCF6" w14:textId="77777777" w:rsidR="00016A72" w:rsidRPr="001012C4" w:rsidRDefault="00016A72" w:rsidP="00016A72">
      <w:pPr>
        <w:widowControl/>
        <w:pBdr>
          <w:top w:val="nil"/>
          <w:left w:val="nil"/>
          <w:bottom w:val="nil"/>
          <w:right w:val="nil"/>
          <w:between w:val="nil"/>
          <w:bar w:val="nil"/>
        </w:pBdr>
        <w:autoSpaceDE/>
        <w:autoSpaceDN/>
        <w:adjustRightInd/>
        <w:ind w:left="360"/>
        <w:jc w:val="both"/>
        <w:outlineLvl w:val="1"/>
        <w:rPr>
          <w:rFonts w:ascii="Arial" w:hAnsi="Arial" w:cs="Arial"/>
          <w:b/>
          <w:bCs/>
          <w:sz w:val="22"/>
          <w:szCs w:val="22"/>
          <w:u w:val="single"/>
          <w:lang w:val="fr-FR"/>
        </w:rPr>
      </w:pPr>
    </w:p>
    <w:bookmarkEnd w:id="18"/>
    <w:p w14:paraId="1B205976" w14:textId="417EB525"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r w:rsidRPr="001012C4">
        <w:rPr>
          <w:rFonts w:ascii="Arial" w:hAnsi="Arial" w:cs="Arial"/>
          <w:b/>
          <w:bCs/>
          <w:sz w:val="22"/>
          <w:szCs w:val="22"/>
          <w:lang w:val="fr-FR"/>
        </w:rPr>
        <w:t>6.</w:t>
      </w:r>
      <w:r w:rsidR="001012C4">
        <w:rPr>
          <w:rFonts w:ascii="Arial" w:hAnsi="Arial" w:cs="Arial"/>
          <w:b/>
          <w:bCs/>
          <w:sz w:val="22"/>
          <w:szCs w:val="22"/>
          <w:lang w:val="fr-FR"/>
        </w:rPr>
        <w:t>1</w:t>
      </w:r>
      <w:r w:rsidRPr="001012C4">
        <w:rPr>
          <w:rFonts w:ascii="Arial" w:hAnsi="Arial" w:cs="Arial"/>
          <w:b/>
          <w:bCs/>
          <w:sz w:val="22"/>
          <w:szCs w:val="22"/>
          <w:lang w:val="fr-FR"/>
        </w:rPr>
        <w:tab/>
        <w:t>Contexte</w:t>
      </w:r>
    </w:p>
    <w:p w14:paraId="4314D384"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11034C04"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Les données de débarquement recueillies par la FAO sont une vaste ressource permettant de fournir des informations sur les niveaux d’exploitation des espèces inscrites à la CMS et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à l'échelle mondiale </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(Garibaldi 2012)</w:t>
      </w:r>
      <w:r w:rsidRPr="001012C4">
        <w:rPr>
          <w:rFonts w:ascii="Arial" w:hAnsi="Arial" w:cs="Arial"/>
          <w:sz w:val="22"/>
          <w:szCs w:val="22"/>
          <w:lang w:val="fr-FR"/>
        </w:rPr>
        <w:fldChar w:fldCharType="end"/>
      </w:r>
      <w:r w:rsidRPr="001012C4">
        <w:rPr>
          <w:rFonts w:ascii="Arial" w:hAnsi="Arial" w:cs="Arial"/>
          <w:sz w:val="22"/>
          <w:szCs w:val="22"/>
          <w:lang w:val="fr-FR"/>
        </w:rPr>
        <w:t xml:space="preserve">. Une telle approche est cruciale pour identifier les problèmes de conservation urgents afin de coordonner et de surveiller les mesures de conservation au niveau mondial, étant donné que la pêche est généralement considérée comme la principale menace pour les espèces de requins et de raies inscrites à la CMS et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{"citationItems":[{"id":"ITEM-1","itemData":{"DOI":"10.1016/j.cub.2021.08.062","ISSN":"09609822","abstract":"Article Overfishing drives over one-third of all sharks and rays toward a global extinction crisis Graphical Abstract Highlights d More than one-third of chondrichthyan fish species are threatened by overfishing d Disproportionate threat in tropics risk loss of ecosystem functions and services d Three species not seen in &gt;80 years are Critically Endangered (Possibly Extinct) d The depletion of these species has been driven by continuing demand for human food","author":[{"dropping-particle":"","family":"Dulvy","given":"Nicholas K.","non-dropping-particle":"","parse-names":false,"suffix":""},{"dropping-particle":"","family":"Pacoureau","given":"Nathan","non-dropping-particle":"","parse-names":false,"suffix":""},{"dropping-particle":"","family":"Rigby","given":"Cassandra L.","non-dropping-particle":"","parse-names":false,"suffix":""},{"dropping-particle":"","family":"Pollom","given":"Riley A.","non-dropping-particle":"","parse-names":false,"suffix":""},{"dropping-particle":"","family":"Jabado","given":"Rima W.","non-dropping-particle":"","parse-names":false,"suffix":""},{"dropping-particle":"","family":"Ebert","given":"David A.","non-dropping-particle":"","parse-names":false,"suffix":""},{"dropping-particle":"","family":"Finucci","given":"Brittany","non-dropping-particle":"","parse-names":false,"suffix":""},{"dropping-particle":"","family":"Pollock","given":"Caroline M.","non-dropping-particle":"","parse-names":false,"suffix":""},{"dropping-particle":"","family":"Cheok","given":"Jessica","non-dropping-particle":"","parse-names":false,"suffix":""},{"dropping-particle":"","family":"Derrick","given":"Danielle H.","non-dropping-particle":"","parse-names":false,"suffix":""},{"dropping-particle":"","family":"Herman","given":"Katelyn B.","non-dropping-particle":"","parse-names":false,"suffix":""},{"dropping-particle":"","family":"Sherman","given":"C. Samantha","non-dropping-particle":"","parse-names":false,"suffix":""},{"dropping-particle":"","family":"VanderWright","given":"Wade J.","non-dropping-particle":"","parse-names":false,"suffix":""},{"dropping-particle":"","family":"Lawson","given":"Julia M.","non-dropping-particle":"","parse-names":false,"suffix":""},{"dropping-particle":"","family":"Walls","given":"Rachel H.L.","non-dropping-particle":"","parse-names":false,"suffix":""},{"dropping-particle":"","family":"Carlson","given":"John K.","non-dropping-particle":"","parse-names":false,"suffix":""},{"dropping-particle":"","family":"Charvet","given":"Patricia","non-dropping-particle":"","parse-names":false,"suffix":""},{"dropping-particle":"","family":"Bineesh","given":"Kinattumkara K.","non-dropping-particle":"","parse-names":false,"suffix":""},{"dropping-particle":"","family":"Fernando","given":"Daniel","non-dropping-particle":"","parse-names":false,"suffix":""},{"dropping-particle":"","family":"Ralph","given":"Gina M.","non-dropping-particle":"","parse-names":false,"suffix":""},{"dropping-particle":"","family":"Matsushiba","given":"Jay H.","non-dropping-particle":"","parse-names":false,"suffix":""},{"dropping-particle":"","family":"Hilton-Taylor","given":"Craig","non-dropping-particle":"","parse-names":false,"suffix":""},{"dropping-particle":"V.","family":"Fordham","given":"Sonja","non-dropping-particle":"","parse-names":false,"suffix":""},{"dropping-particle":"","family":"Simpfendorfer","given":"Colin A.","non-dropping-particle":"","parse-names":false,"suffix":""}],"container-title":"Current Biology","id":"ITEM-1","issued":{"date-parts":[["2021","9","6"]]},"publisher":"Cell Press","title":"Overfishing drives over one-third of all sharks and rays toward a global extinction crisis","type":"article-journal"},"uris":["http://www.mendeley.com/documents/?uuid=4212e61c-cb56-3614-a9b0-26d5df870ac0"]}],"mendeley":{"formattedCitation":"(Dulvy et al. 2021)","plainTextFormattedCitation":"(Dulvy et al. 2021)","previouslyFormattedCitation":"(Dulvy et al. 2021)"},"properties":{"noteIndex":0},"schema":"https://github.com/citation-style-language/schema/raw/master/csl-citation.json"}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(Dulvy et al. 2021)</w:t>
      </w:r>
      <w:r w:rsidRPr="001012C4">
        <w:rPr>
          <w:rFonts w:ascii="Arial" w:hAnsi="Arial" w:cs="Arial"/>
          <w:sz w:val="22"/>
          <w:szCs w:val="22"/>
          <w:lang w:val="fr-FR"/>
        </w:rPr>
        <w:fldChar w:fldCharType="end"/>
      </w:r>
      <w:r w:rsidRPr="001012C4">
        <w:rPr>
          <w:rFonts w:ascii="Arial" w:hAnsi="Arial" w:cs="Arial"/>
          <w:sz w:val="22"/>
          <w:szCs w:val="22"/>
          <w:lang w:val="fr-FR"/>
        </w:rPr>
        <w:t>.</w:t>
      </w:r>
    </w:p>
    <w:p w14:paraId="4687FFDB" w14:textId="77777777" w:rsidR="00016A72" w:rsidRPr="001012C4" w:rsidRDefault="00016A72" w:rsidP="00016A72">
      <w:pPr>
        <w:contextualSpacing/>
        <w:jc w:val="both"/>
        <w:rPr>
          <w:rFonts w:ascii="Arial" w:hAnsi="Arial" w:cs="Arial"/>
          <w:sz w:val="22"/>
          <w:szCs w:val="22"/>
          <w:lang w:val="fr-FR"/>
        </w:rPr>
      </w:pPr>
    </w:p>
    <w:p w14:paraId="6A6F5C8F"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La précision et la valeur des résultats des analyses des données de débarquement de la FAO dépendent fortement de l’exhaustivité et de la qualité des données soumises par les nations </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(Garibaldi 2012)</w:t>
      </w:r>
      <w:r w:rsidRPr="001012C4">
        <w:rPr>
          <w:rFonts w:ascii="Arial" w:hAnsi="Arial" w:cs="Arial"/>
          <w:sz w:val="22"/>
          <w:szCs w:val="22"/>
          <w:lang w:val="fr-FR"/>
        </w:rPr>
        <w:fldChar w:fldCharType="end"/>
      </w:r>
      <w:r w:rsidRPr="001012C4">
        <w:rPr>
          <w:rFonts w:ascii="Arial" w:hAnsi="Arial" w:cs="Arial"/>
          <w:sz w:val="22"/>
          <w:szCs w:val="22"/>
          <w:lang w:val="fr-FR"/>
        </w:rPr>
        <w:t>. Idéalement, tous les signataires devraient déclarer tous leurs débarquements commerciaux (y compris les flottes de pêche lointaine), artisanaux et récréatifs concernant les espèces de requins et de raies inscrites, à la plus haute résolution taxonomique possible (c’est-à-dire par espèce, ou par genre pour les taxons présentant des problèmes taxonomiques).</w:t>
      </w:r>
    </w:p>
    <w:p w14:paraId="4D3EB849" w14:textId="77777777" w:rsidR="00016A72" w:rsidRPr="001012C4" w:rsidRDefault="00016A72" w:rsidP="00016A72">
      <w:pPr>
        <w:contextualSpacing/>
        <w:jc w:val="both"/>
        <w:rPr>
          <w:rFonts w:ascii="Arial" w:hAnsi="Arial" w:cs="Arial"/>
          <w:sz w:val="22"/>
          <w:szCs w:val="22"/>
          <w:lang w:val="fr-FR"/>
        </w:rPr>
      </w:pPr>
    </w:p>
    <w:p w14:paraId="7A30964B"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 xml:space="preserve">Malheureusement, plusieurs problèmes concernant l’exhaustivité et la qualité des données sont connus pour affecter les données rapportées à la FAO. L’objectif ici était de mettre en évidence les problèmes identifiés dans nos analyses concernant la déclaration à la FAO des espèces inscrites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afin d’améliorer les données disponibles pour le suivi des tendances des débarquements déclarés de ces espèces.</w:t>
      </w:r>
    </w:p>
    <w:p w14:paraId="3502A9EB" w14:textId="77777777" w:rsidR="00016A72" w:rsidRPr="001012C4" w:rsidRDefault="00016A72" w:rsidP="00016A72">
      <w:pPr>
        <w:contextualSpacing/>
        <w:jc w:val="both"/>
        <w:rPr>
          <w:rFonts w:ascii="Arial" w:hAnsi="Arial" w:cs="Arial"/>
          <w:sz w:val="22"/>
          <w:szCs w:val="22"/>
          <w:lang w:val="fr-FR"/>
        </w:rPr>
      </w:pPr>
    </w:p>
    <w:p w14:paraId="423D5AC9" w14:textId="02FF4811"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r w:rsidRPr="001012C4">
        <w:rPr>
          <w:rFonts w:ascii="Arial" w:hAnsi="Arial" w:cs="Arial"/>
          <w:b/>
          <w:bCs/>
          <w:sz w:val="22"/>
          <w:szCs w:val="22"/>
          <w:lang w:val="fr-FR"/>
        </w:rPr>
        <w:t>6.</w:t>
      </w:r>
      <w:r w:rsidR="001012C4">
        <w:rPr>
          <w:rFonts w:ascii="Arial" w:hAnsi="Arial" w:cs="Arial"/>
          <w:b/>
          <w:bCs/>
          <w:sz w:val="22"/>
          <w:szCs w:val="22"/>
          <w:lang w:val="fr-FR"/>
        </w:rPr>
        <w:t>2</w:t>
      </w:r>
      <w:r w:rsidRPr="001012C4">
        <w:rPr>
          <w:rFonts w:ascii="Arial" w:hAnsi="Arial" w:cs="Arial"/>
          <w:b/>
          <w:bCs/>
          <w:sz w:val="22"/>
          <w:szCs w:val="22"/>
          <w:lang w:val="fr-FR"/>
        </w:rPr>
        <w:tab/>
        <w:t>Résultats</w:t>
      </w:r>
    </w:p>
    <w:p w14:paraId="46D0B69F"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4FFAD74A"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Au cours de nos analyses, nous avons identifié plusieurs cas où il y avait des lacunes dans les données au niveau national. Au cours de la période de 2015 à 2019, huit Signataires (Finlande, Jordanie, Lettonie, Lituanie, Monaco, Pologne, Somalie et Soudan) n’ont pas déclaré de débarquements de requins et de raies à la FAO malgré des preuves que des débarquements d’espèces de requins et de raies inscrites peuvent avoir lieu dans certains d’entre eux</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begin" w:fldLock="1"/>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instrText>ADDIN CSL_CITATION {"citationItems":[{"id":"ITEM-1","itemData":{"DOI":"10.3354/esr00873","ISSN":"16134796","abstract":"All sawfishes have undergone severe declines in numbers and ranges due to anthropogenic activities. Consequently, all species have been listed as Endangered or Critically Endangered by the IUCN. The aim of this study was to identify the species of sawfish that occur in the Sudanese Red Sea and to assess their current status. Encounter data from landing sites and markets (2000-2016) and bottom trawling along the southern coast (2015-2016) were compiled. In addition, data from rostra were obtained from private collections and museums (collected from 1969 to 2014). Only the green sawfish Pristis zijsron was identified based on 26 rostra of neonates, juveniles, and adults as well as 6 carcasses (1 juvenile, 5 adults). Based on necropsies of 5 adult females and 11 live neonates, parturition occurred from October to late April. The smallest female that had developing follicles was 350 cm total length (TL). The number of embryos per brood was 6; however, fishers reported broods of 2, 8, and 12. Size at birth ranged from 60 to 80 cm TL. Current nursery areas are Marsa Ashat, Marsa Trinkitat (Srinikitat), and Agig Bay along the southern coast, and Dungonab and Oseif bays along the northern coast. These areas should be targeted for protection (e.g. marine reserves, time-area closures) if conserving the remaining green sawfish in the region is a priority.","author":[{"dropping-particle":"","family":"Elhassan","given":"Igbal S.","non-dropping-particle":"","parse-names":false,"suffix":""}],"container-title":"Endangered Species Research","id":"ITEM-1","issued":{"date-parts":[["2018","5","17"]]},"page":"41-47","publisher":"Inter-Research","title":"Occurrence of the green sawfish Pristis zijsron in the Sudanese Red Sea with observations on reproduction","type":"article-journal","volume":"36"},"uris":["http://www.mendeley.com/documents/?uuid=c2dea759-7e75-3f89-a3ff-91feea1f950e"]},{"id":"ITEM-2","itemData":{"DOI":"10.18289/OEF.2015.001","author":[{"dropping-particle":"","family":"Glaser","given":"Sarah","non-dropping-particle":"","parse-names":false,"suffix":""},{"dropping-particle":"","family":"Roberts","given":"Paige","non-dropping-particle":"","parse-names":false,"suffix":""},{"dropping-particle":"","family":"Mazurek","given":"Robert","non-dropping-particle":"","parse-names":false,"suffix":""},{"dropping-particle":"","family":"Hurlburt","given":"Kaija","non-dropping-particle":"","parse-names":false,"suffix":""},{"dropping-particle":"","family":"Kane-Hartnet","given":"Liza","non-dropping-particle":"","parse-names":false,"suffix":""}],"id":"ITEM-2","issued":{"date-parts":[["2015"]]},"publisher-place":"Denver, CO","title":"Securing Somali Fisheries","type":"report"},"uris":["http://www.mendeley.com/documents/?uuid=8cd78db9-5d61-34e8-8c29-7269c9d5b031"]},{"id":"ITEM-3","itemData":{"abstract":"Scattered information on marine fisheries was gathered to evaluate the status of Jordan's marine fishery during the last three decades. In addition, assessment of some commercially valuable species was conducted during July 1999 until June 2000 in Jordan's Gulf of Aqaba. Fish landing size, composition, gears and efforts expanded by Jordanian fishermen were compared and analyzed. Variation in the landing size was observed accompanied with gradual decline of commercial fish production. The Jordanian fishermen employ artisanal methods using different fishing gears that differ according to species kind and density. Fluctuation in total landing of marine fish could be attributed to the strict security measures and the depletion of bottom soft communities due to rapid urban development in coastal areas of the Gulf of Aqaba. The majority of the commercial catch comprised of the following fish families; Scombridae, Carangidae, Triakidae, Scaridae, Mullidae, Caesionidae, Siganidae, Mugilidae, and Serranidae. Fish species of Scombridae represented about 60% of the total catch. Fish imports were substantially increased in the last decade. Local marine fish production does not exceed more than 1 % of the total fishery consumption of Jordan. At the same time, Fresh fish in relation to the total consumption was extremely low (0.04%). Similarly, the per capita consumption is considerably low (3.4 kg/head) in comparison to the world's average (13 kg/head). These figures are continuously changing according to the undulation in fish production and imports which are strongly affected by the political and economic conditions in the country. The marine fishery resource would continue to decrease in the future if the past and present restrictions are to continue. Deep-water fishery and mariculture have good potential to reduce the exploitation rate of Jordan fishery resources in the Gulf of Aqaba. Measures to mange these resources are discussed in the context of the present study.","author":[{"dropping-particle":"","family":"Al-Zibdah, M. Khalaf, M. Odat","given":"N.","non-dropping-particle":"","parse-names":false,"suffix":""}],"container-title":"Pure Sciences","id":"ITEM-3","issue":"1","issued":{"date-parts":[["2006"]]},"page":"127-142","title":"The Fishery Status in Jordan’ s Gulf of Aqaba, Red Sea","type":"article-journal","volume":"33"},"uris":["http://www.mendeley.com/documents/?uuid=6c0a6441-8f21-3d50-aee6-a008f3effc7b"]}],"mendeley":{"formattedCitation":"(Al-Zibdah, M. Khalaf, M. Odat 2006; Glaser et al. 2015; Elhassan 2018)","plainTextFormattedCitation":"(Al-Zibdah, M. Khalaf, M. Odat 2006; Glaser et al. 2015; Elhassan 2018)","previouslyFormattedCitation":"(Al-Zibdah, M. Khalaf, M. Odat 2006; Glaser et al. 2015; Elhassan 2018)"},"properties":{"noteIndex":0},"schema":"https://github.com/citation-style-language/schema/raw/master/csl-citation.json"}</w:instrTex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separate"/>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(Al-Zibdah et al. 2006 ; Glaser et al. 2015 ; Elhassan 2018)</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end"/>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Cependant, le nombre de nations qui ne font pas rapport à la FAO était plus faible pour les Signataires que pour les États de l’aire de répartition (17 nations : Bahamas, Bosnie-Herzégovine, Cambodge, Corée du Nord, Dominique, Haïti, Honduras, Irak, Israël, Jamaïque, Koweït, Myanmar, Niue, Saint-Kitts-et-Nevis, Serbie, Timor-Leste et Viêt Nam).</w:t>
      </w:r>
    </w:p>
    <w:p w14:paraId="65221071"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66DDA1BB"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Au niveau mondial, aucune donnée de débarquement spécifique à une espèce n'a été déclarée (2015-2019) pour le requin sombre, le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Rhynchobatus</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laevis</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le Requin blanc, le Requin pèlerin, le Requin baleine, n’importe quel Poisson-scie, et sept espèces de Raies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manta</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et Diables de mer. Pourtant, il existe des preuves montrant que certaines de ces espèces sont débarquées dans plusieurs zones mais ne sont pas signalées</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begin" w:fldLock="1"/>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instrText>ADDIN CSL_CITATION {"citationItems":[{"id":"ITEM-1","itemData":{"DOI":"10.22392/actaquatr.812389","ISSN":"2651-5474","abstract":"The high of catching intensity or overfishing of dusky whaler shark, Carcharhinus obscurus (Lesueur, 1818), has threatened its sustainability. Even though fisheries and biological aspects of C. obscurus are important as a basic assessment for making regulation of shark fisheries management. However, those studies never been reported in Indonesia. The aim of this study is to identify the number of catches and biological aspects of C. obscurus. This study was conducted from January to March 2018 at Fishery Port Technical Implementation Unit (FP-TIU) Muncar, Banyuwangi, Indonesia. 54 C. obscurus individuals were obtained using random sampling survey method. Here, we found that the number of C. obscurus landed in 2018 was higher compared to 2014 and 2017. The shark length ranged from 172 to 394 cm. Percentages of male and female adults of C. obscurus were 22.22 and 46.30%, respectively. Whilst in the juveniles were 20.37% males and 11.11% females. The maturity rate based on clasper length, male landed sharks was 82.61% classified within full calcification and 17.39% non-full calcification level. The sex ratio of C. obscurus sharks that are landed was 1:1.34 (M: F).","author":[{"dropping-particle":"","family":"Irsan","given":"Ahmad","non-dropping-particle":"","parse-names":false,"suffix":""},{"dropping-particle":"","family":"Wijayanti","given":"Fahma","non-dropping-particle":"","parse-names":false,"suffix":""},{"dropping-particle":"","family":"Assuyuti","given":"Yayan Mardiansyah","non-dropping-particle":"","parse-names":false,"suffix":""},{"dropping-particle":"","family":"Yuneri","given":"Ranny","non-dropping-particle":"","parse-names":false,"suffix":""}],"container-title":"Acta Aquatica Turcica","id":"ITEM-1","issue":"4","issued":{"date-parts":[["2021","12","1"]]},"page":"463-473","publisher":"Suleyman Demirel Universitesi Egirdir Su Urunleri Fakultesi Dergisi","title":"Fisheries and Biological Aspect of Dusky Whaler Shark (Carcharhinus obscurus, Lesueur 1818) in Muncar Fishing Port, Banyuwangi, Indonesia","type":"article-journal","volume":"17"},"uris":["http://www.mendeley.com/documents/?uuid=a9836545-9995-3f93-9398-afbec305f786"]},{"id":"ITEM-2","itemData":{"DOI":"10.19233/ASHN.2018.10","ISSN":"1408533X","abstract":"Between January 2016 and April 2018, 3 juvenile great white sharks, Carcharodon carcharias (Linnaeus, 1758), were incidentally captured in the coastal waters of the Turkish Aegean Sea. Journeys of young-of-the-year (YOY) and juvenile specimens can increase the risk of their encountering fishing gears if the specimens head for regions where the fishery of the great whites is not banned. An understanding of the geographic range and knowledge of the vertical distribution of the YOY and juvenile great whites are therefore necessary to implement a management plan for great white populations in Turkish waters and to reduce the incidental fishing mortality of this vulnerable top predator.","author":[{"dropping-particle":"","family":"Kabasakal","given":"Hakan","non-dropping-particle":"","parse-names":false,"suffix":""},{"dropping-particle":"","family":"Bayri","given":"Erdi","non-dropping-particle":"","parse-names":false,"suffix":""},{"dropping-particle":"","family":"Ataç","given":"Eylül","non-dropping-particle":"","parse-names":false,"suffix":""}],"container-title":"Annales, Series Historia Naturalis","id":"ITEM-2","issue":"2","issued":{"date-parts":[["2018"]]},"page":"93-98","publisher":"Historical Society of Southern Primorska of Koper","title":"Recent records of the great white shark, carcharodon carcharias (Linnaeus, 1758) (chondrichthyes: Lamnidae), in Turkish waters (eastern mediterranean)","type":"article-journal","volume":"28"},"uris":["http://www.mendeley.com/documents/?uuid=a7cd49e0-e643-35e2-b6e4-24ae88da8307"]},{"id":"ITEM-3","itemData":{"DOI":"10.2984/72.4.6","ISSN":"15346188","abstract":"In the eastern Pacific Ocean, whale sharks (Rhincodon typus) have mostly been studied off the Galápagos Islands, Ecuador, and Baja California, Mexico. Recently, satellite telemetry data revealed connectivity between whale sharks off the Galápagos Islands and Peru. Historic and some recent observations have reported rare occurrences of whale sharks in waters off northern Peru. However, no current detailed information on the occurrence of whale sharks in Peruvian waters has been published. In this study we compiled 27 records of whale sharks along the Peruvian coast as a first step to better understand their use of Peruvian waters. Northern Peru was identified as the main area of occurrence for whale sharks, and reports were more frequent during the austral summer (January to March) and spring (October to December). Moreover, presence of neonatal whale sharks reported in this study, in addition to that of previously satellite-tracked presumably pregnant females, suggests use of northern Peruvian waters as a pupping ground. Interactions occurred only with net fisheries and were evident in most (89%) of the records, but further studies should evaluate the extent of fisheries-shark interactions. As whale shark population numbers decline, effective conservation measures will require understanding of whale shark occurrences, and waters of northern Peru may play an important role in the species' biology and ecology. Systematic research is recommended to improve our understanding of habitat use of individuals present in Peruvian waters.","author":[{"dropping-particle":"","family":"Pajuelo","given":"Mariela","non-dropping-particle":"","parse-names":false,"suffix":""},{"dropping-particle":"","family":"Alfaro-Shigueto","given":"Joanna","non-dropping-particle":"","parse-names":false,"suffix":""},{"dropping-particle":"","family":"Romero","given":"Miguel","non-dropping-particle":"","parse-names":false,"suffix":""},{"dropping-particle":"","family":"Pásara-Polack","given":"Andrea","non-dropping-particle":"","parse-names":false,"suffix":""},{"dropping-particle":"","family":"Solano","given":"Amado","non-dropping-particle":"","parse-names":false,"suffix":""},{"dropping-particle":"","family":"Vela","given":"German","non-dropping-particle":"","parse-names":false,"suffix":""},{"dropping-particle":"","family":"Sarmiento","given":"David","non-dropping-particle":"","parse-names":false,"suffix":""},{"dropping-particle":"","family":"Mangel","given":"Jeffrey C.","non-dropping-particle":"","parse-names":false,"suffix":""}],"container-title":"Pacific Science","id":"ITEM-3","issue":"4","issued":{"date-parts":[["2018","10","1"]]},"page":"463-473","publisher":"University of Hawai'i Press","title":"Occurrence and Bycatch of Juvenile and Neonate Whale Sharks (Rhincodon typus) in Peruvian Waters","type":"article-journal","volume":"72"},"uris":["http://www.mendeley.com/documents/?uuid=429cd9b5-e18d-3952-a73a-2445e2727788"]},{"id":"ITEM-4","itemData":{"DOI":"10.5339/qproc.2016.iwsc4.55","ISSN":"2226-9649","abstract":"Background The whale shark conservation programme along the East Godavari River Estuarine Ecosystem (EGREE) region, of Andhra Pradesh, east-coast of India, was started in June 2012 under the direction of the Government of India, the United Nations Development Programme, the Global Environment Facility and the Government of Andhra Pradesh Godavari Project. It was started for the conservation and management of globally threatened species protected under the Indian Wildlife (Protection) Act of 1972, and employing cross sectoral mechanisms among various stakeholders, namely enforcement departments (state and central governments), production sectors (industries), fishermen and the public. Approach Questionnaire surveys are conducted to learn the present status of whale sharks along the Andhra Pradesh Coast, and literature surveys are done to understand the past and present whale shark distribution along the east coast of India. Major fish landing centres are monitored to record whale sharks landings, including seasonality, size and sex ratio. Massive awareness programmes and campaigns are conducted to improve the knowledge levels of various stakeholders. A whale shark conservation action plan is being prepared for the Andhra Pradesh coast by cross sectoral mechanisms. Results Fishery experts, researchers and local fishermen opined that until late 2007, the whale shark was a rare visitor to the EGREE region, but the number of sharks has increased in recent years. According to fishermen, whale sharks are seen at a depth of 20–40 m and sometimes come close to shore where they become entangled in shore seine nets. The fishermen revealed that whale sharks are seen mostly solitary or in small groups of 3 to 5 individuals, but sometimes over 200–300 individuals will aggregate in the open sea near the EGREE Region. As per the available literature, the total number of whale sharks killed as bycatch was 20 along the Andhra Pradesh coast between 1889 and 1998 (110 years). But surveys by the EGREE Foundation that between June 2013 and January 2016, 79 individual whale sharks were killed. The whale shark landings happened in all months except during the fishing ban from 16th April to 15th June. In September of 2014, 22 whale sharks were brought to the landing center. Of these 22 sharks, four were alive after being caught in a shore-seine fishing net. Both questionnaire and field surveys revealed that coastal and marine areas of the EGREE region have become a hot spot for…","author":[{"dropping-particle":"","family":"Sathiyaselvam","given":"P.","non-dropping-particle":"","parse-names":false,"suffix":""},{"dropping-particle":"","family":"Prashanthi","given":"P.","non-dropping-particle":"","parse-names":false,"suffix":""},{"dropping-particle":"","family":"Kathula","given":"Tarun","non-dropping-particle":"","parse-names":false,"suffix":""},{"dropping-particle":"","family":"Kumar","given":"M. Ravi","non-dropping-particle":"","parse-names":false,"suffix":""},{"dropping-particle":"","family":"Kalghatgi","given":"Ramesh G.","non-dropping-particle":"","parse-names":false,"suffix":""},{"dropping-particle":"","family":"Mishra","given":"S.B.L.","non-dropping-particle":"","parse-names":false,"suffix":""}],"container-title":"QScience Proceedings, The 4th International Whale Shark Conference","id":"ITEM-4","issue":"2","issued":{"date-parts":[["2019","5","15"]]},"page":"55","publisher":"Hamad bin Khalifa University Press (HBKU Press)","title":"Increasing numbers of whale sharks along the Andhra Pradesh coast, India – the conservation and management initiatives taken by EGREE Foundation","type":"paper-conference","volume":"2016"},"uris":["http://www.mendeley.com/documents/?uuid=2cdb85f0-68c2-3b86-8497-286c20698276"]},{"id":"ITEM-5","itemData":{"DOI":"10.21077/ijf.2020.67.4.95636-02","ISSN":"09706011","abstract":"Large sized batoids particularly wedgefishes are highly vulnerable to fishing and yet very few studies have been published on their biology. The reproductive biology and feeding habit of Rhynchobatus laevis (Bloch and Schneider, 1801) collected off the north-west coast of India, Arabian Sea, northern Indian Ocean is presented. A total of 328 individuals, in the size range from 44.0 to 290 cm total length (TL), 300 to 94000 g total weight (TW) were used for the study. The length-weight relationships were significantly different between the sexes (p&lt;0.001). Co-efficients ‘a’ and ‘b’ of the length-weight relationship were estimated as 0.009412 and 2.830218 (r2=0.979) for females and 0.004032 and 3.031303 (r2=0.974) for males, respectively. The length at maturity (Lm) for females and males was estimated to be 190 and 140 cm TL, respectively. Number of embryos ranged from 4 to 10 and the size at birth was estimated to range between 44 and 50 cm TL. Overall sex ratio favoured females (Female:Male = 1.73:1). There was no significant correlation between maternal TL and number of embryos produced. Dietary analysis of stomach contents (%IRI) revealed that R. laevis fed primarily on teleosts (83.4%) and crustaceans (15.1%). This study provides the detailed biological observation on size, sex composition, length at maturity (Lm), length-weight relationship and diet of R. laevis from northern Indian Ocean which can be used as essential inputs to formulate effective management plans and conservation strategies for this species in the region.","author":[{"dropping-particle":"","family":"Purushottama","given":"G. B.","non-dropping-particle":"","parse-names":false,"suffix":""},{"dropping-particle":"","family":"Raje","given":"S. G.","non-dropping-particle":"","parse-names":false,"suffix":""},{"dropping-particle":"","family":"Thakurdas","given":"","non-dropping-particle":"","parse-names":false,"suffix":""},{"dropping-particle":"V.","family":"Akhilesh","given":"K.","non-dropping-particle":"","parse-names":false,"suffix":""},{"dropping-particle":"","family":"Joe Kizhakudan","given":"Shoba","non-dropping-particle":"","parse-names":false,"suffix":""},{"dropping-particle":"","family":"Zacharia","given":"P. U.","non-dropping-particle":"","parse-names":false,"suffix":""}],"container-title":"Indian Journal of Fisheries","id":"ITEM-5","issue":"4","issued":{"date-parts":[["2020"]]},"page":"13-23","publisher":"Indian Council of Agricultural Research","title":"Reproductive biology and diet composition of rhynchobatus Laevis (Bloch and schneider, 1801) (rhinopristiformes:Rhinidae) from the northern Indian ocean","type":"article-journal","volume":"67"},"uris":["http://www.mendeley.com/documents/?uuid=e4dff568-5996-303b-8821-fbc6a2530433"]},{"id":"ITEM-6","itemData":{"DOI":"10.17895/ices.advice.4827","author":[{"dropping-particle":"","family":"ICES","given":"","non-dropping-particle":"","parse-names":false,"suffix":""}],"container-title":"Report of the ICES Advisory Committee","id":"ITEM-6","issue":"bsk.27.nea","issued":{"date-parts":[["2019"]]},"title":"Basking shark (Cetorhinus maximus) in subareas 1–10, 12, and 14 (Northeast Atlantic and adjacent waters).","type":"report","volume":"ICES Advic"},"uris":["http://www.mendeley.com/documents/?uuid=599d297e-9126-36e4-b1b6-b9fbd60a78d7"]},{"id":"ITEM-7","itemData":{"DOI":"10.1007/s10592-018-1108-1","ISSN":"15729737","abstract":"The shark and ray (Elasmobranchii) trade is a commercially valuable industry that has negative consequences for wild populations. An estimated 100 million sharks are caught each year to supply the demand for cultural cuisines, traditions and practices, including shark fin soup and Traditional Chinese Medicine. Despite the establishment of frameworks and regulations by international trade and conservation bodies as well as national legislations, elasmobranch populations continue to decline. While their conservation becomes an ever more pressing concern, a major obstacle that hampers regulation is the mislabelling and/or misidentification of dried products or carcasses that have had fins removed. Here we use DNA barcoding to identify the species of origin for a variety of shark and ray products readily available to consumers in Singapore, a major importer of these goods. We amplified a fragment of the cytochrome c oxidase subunit I gene from shark fin, cartilage and meat, as well as ray gill plates and meat for DNA sequencing. Our analysis of 207 DNA barcodes yielded 28 positively identified elasmobranch species, eight of which are listed under Appendix II of the Convention on International Trade in Endangered Species of Wild Fauna and Flora, and 12 are listed as Endangered or Vulnerable by the International Union for the Conservation of Nature. This information will be useful to regulatory bodies in controlling trade and establishing new or revisiting previous conservation status listings.","author":[{"dropping-particle":"","family":"Wainwright","given":"Benjamin J.","non-dropping-particle":"","parse-names":false,"suffix":""},{"dropping-particle":"","family":"Ip","given":"Yin Cheong Aden","non-dropping-particle":"","parse-names":false,"suffix":""},{"dropping-particle":"","family":"Neo","given":"Mei Lin","non-dropping-particle":"","parse-names":false,"suffix":""},{"dropping-particle":"","family":"Chang","given":"Jia Jin Marc","non-dropping-particle":"","parse-names":false,"suffix":""},{"dropping-particle":"","family":"Gan","given":"Chester Zhikai","non-dropping-particle":"","parse-names":false,"suffix":""},{"dropping-particle":"","family":"Clark-Shen","given":"Naomi","non-dropping-particle":"","parse-names":false,"suffix":""},{"dropping-particle":"","family":"Huang","given":"Danwei","non-dropping-particle":"","parse-names":false,"suffix":""},{"dropping-particle":"","family":"Rao","given":"Madhu","non-dropping-particle":"","parse-names":false,"suffix":""}],"container-title":"Conservation Genetics","id":"ITEM-7","issue":"6","issued":{"date-parts":[["2018","12","1"]]},"page":"1393-1399","publisher":"Springer Netherlands","title":"DNA barcoding of traded shark fins, meat and mobulid gill plates in Singapore uncovers numerous threatened species","type":"article-journal","volume":"19"},"uris":["http://www.mendeley.com/documents/?uuid=79af95f0-f290-3412-8a26-9576c1252ac3"]},{"id":"ITEM-8","itemData":{"DOI":"10.1016/bs.amb.2017.09.003","ISSN":"21625875","PMID":"29056145","abstract":"For over 100 years, sharks have been encountered, as either directed catch or incidental catch, in commercial fisheries throughout the Northeast Pacific Ocean. A long-standing directed fishery for North Pacific Spiny Dogfish (Squalus suckleyi) has occurred and dominated shark landings and discards. Other fisheries, mainly for shark livers, have historically targeted species including Bluntnose Sixgill Shark (Hexanchus griseus) and Tope Shark (Galeorhinus galeus). While incidental catches of numerous species have occurred historically, only recently have these encounters been reliably enumerated in commercial and recreational fisheries. In this chapter we present shark catch statistics (directed and incidental) for commercial and recreational fisheries from Canadian waters (off British Columbia), southern US waters (off California, Oregon, and Washington), and northern US waters (off Alaska). In total, 17 species of sharks have collectively been encountered in these waters. Fishery encounters present conservation challenges for shark management, namely, the need for accurate catch statistics, stock delineation, life history parameter estimates, and improved assessments methods for population status and trends. Improvements in management and conservation of shark populations will only come with the further development of sound science-based fishery management practices for both targeted and incidental shark fisheries.","author":[{"dropping-particle":"","family":"King","given":"Jackie","non-dropping-particle":"","parse-names":false,"suffix":""},{"dropping-particle":"","family":"McFarlane","given":"Gordon A.","non-dropping-particle":"","parse-names":false,"suffix":""},{"dropping-particle":"","family":"Gertseva","given":"Vladlena","non-dropping-particle":"","parse-names":false,"suffix":""},{"dropping-particle":"","family":"Gasper","given":"Jason","non-dropping-particle":"","parse-names":false,"suffix":""},{"dropping-particle":"","family":"Matson","given":"Sean","non-dropping-particle":"","parse-names":false,"suffix":""},{"dropping-particle":"","family":"Tribuzio","given":"Cindy A.","non-dropping-particle":"","parse-names":false,"suffix":""}],"container-title":"Advances in Marine Biology","id":"ITEM-8","issued":{"date-parts":[["2017","1","1"]]},"page":"9-44","publisher":"Academic Press","title":"Shark Interactions With Directed and Incidental Fisheries in the Northeast Pacific Ocean: Historic and Current Encounters, and Challenges for Shark Conservation","type":"chapter","volume":"78"},"uris":["http://www.mendeley.com/documents/?uuid=fa3b731e-eb38-30b4-9a24-027f9b932456"]}],"mendeley":{"formattedCitation":"(King et al. 2017; Kabasakal et al. 2018; Pajuelo et al. 2018; Wainwright et al. 2018; ICES 2019; Sathiyaselvam et al. 2019; Purushottama et al. 2020; Irsan et al. 2021)","plainTextFormattedCitation":"(King et al. 2017; Kabasakal et al. 2018; Pajuelo et al. 2018; Wainwright et al. 2018; ICES 2019; Sathiyaselvam et al. 2019; Purushottama et al. 2020; Irsan et al. 2021)","previouslyFormattedCitation":"(King et al. 2017; Kabasakal et al. 2018; Pajuelo et al. 2018; Wainwright et al. 2018; ICES 2019; Sathiyaselvam et al. 2019; Purushottama et al. 2020; Irsan et al. 2021)"},"properties":{"noteIndex":0},"schema":"https://github.com/citation-style-language/schema/raw/master/csl-citation.json"}</w:instrTex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separate"/>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(King et al. 2017 ; Kabasakal et al. 2018 ; Pajuelo et al. 2018 ; Wainwright et al. 2018 ; Comité International pour l’Exploration de la Mer (CIEM) 2019 ; Sathiyaselvam et al. 2019 ; Purushottama et al. 2020 ; Irsan et al. 2021)</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end"/>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.Pour le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Rhynchobatus</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laevis</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il n’y avait pas de catégorie taxonomique au niveau de l’espèce pour déclarer les données de débarquement à la FAO. Des approches standardisées sur la manière dont les nations devraient déclarer les débarquements d’espèces protégées et interdites pourraient être utilement développées, car ces données peuvent simplement être omises des soumissions de données nationales.</w:t>
      </w:r>
    </w:p>
    <w:p w14:paraId="5F92653D"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0E42BAFE"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D’autre part, certaines des catégories reconnues par la liste ASFIS des espèces pour déclarer les débarquements à la FAO peuvent perpétuer des erreurs dans la taxonomie des espèces. Par exemple, le Petit diable de guinée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Mobula</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rochebrunei</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et le Poisson-scie à dents larges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Pristis</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microdon</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ne sont plus considérés comme des espèces valides et sont maintenant considérés respectivement comme des synonymes du Diable géant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Mobula</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hypostoma</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et du Poisson-scie commun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Pristis</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pristis</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Néanmoins, aucune donnée n’a été rapportée dans ces catégories dépassées. Dans d’autres cas, des catégories taxonomiques inexactes ont été utilisées pendant la </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lastRenderedPageBreak/>
        <w:t>période d'étude. Par exemple, les débarquements de Manta Aiguillat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Mobula</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japanica</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devraient être analysés comme des Mantes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Mobula</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mobular</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selon les récentes modifications de la taxonomie </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begin" w:fldLock="1"/>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instrText>ADDIN CSL_CITATION {"citationItems":[{"id":"ITEM-1","itemData":{"DOI":"10.1093/zoolinnean/zlx018","ISSN":"10963642","abstract":"DNA sequence data from mitochondrial genomes and c. 1000 nuclear exons were analysed for a complete taxon sampling of manta and devilrays (Mobulidae) to estimate a current molecular phylogeny for the family. The resulting inferences were combined with morphological information to adopt an integrated approach to resolving the taxonomic arrangement of the family. The members of the genus Manta were found to consistently nest within the Mobula species and consequently the genus Manta is placed into the synonymy of Mobula. Mobula eregoodootenkee, M. japanica and M. rochebrunei were each found to be junior synonyms of M. kuhlii, M. mobular and M. hypostoma, respectively. The mitochondrial and nuclear tree topologies were in agreement except for the placement of M. tarapacana which was basal to all other mobulids in the nuclear exon analysis, but as the sister group to the M. alfredi– M. birostris–M. mobular clade in the mitochondrial genome analysis. Results from this study are used to a revise the taxonomy for the family Mobulidae. A single genus is now recognized (where there were previously two) and eight nominal species (where there were previously 11).","author":[{"dropping-particle":"","family":"White","given":"William T.","non-dropping-particle":"","parse-names":false,"suffix":""},{"dropping-particle":"","family":"Corrigan","given":"Shannon","non-dropping-particle":"","parse-names":false,"suffix":""},{"dropping-particle":"","family":"Yang","given":"Lei","non-dropping-particle":"","parse-names":false,"suffix":""},{"dropping-particle":"","family":"Henderson","given":"Aaron C.","non-dropping-particle":"","parse-names":false,"suffix":""},{"dropping-particle":"","family":"Bazinet","given":"Adam L.","non-dropping-particle":"","parse-names":false,"suffix":""},{"dropping-particle":"","family":"Swofford","given":"David L.","non-dropping-particle":"","parse-names":false,"suffix":""},{"dropping-particle":"","family":"Naylor","given":"Gavin J.P.","non-dropping-particle":"","parse-names":false,"suffix":""}],"container-title":"Zoological Journal of the Linnean Society","id":"ITEM-1","issue":"1","issued":{"date-parts":[["2018","1","1"]]},"page":"50-75","publisher":"Oxford Academic","title":"Phylogeny of the manta and devilrays (Chondrichthyes: Mobulidae), with an updated taxonomic arrangement for the family","type":"article-journal","volume":"182"},"uris":["http://www.mendeley.com/documents/?uuid=7d7d7532-bf63-3bef-a561-2f97528111f0"]}],"mendeley":{"formattedCitation":"(White et al. 2018)","plainTextFormattedCitation":"(White et al. 2018)","previouslyFormattedCitation":"(Biton-Porsmoguer et al. 2018)"},"properties":{"noteIndex":0},"schema":"https://github.com/citation-style-language/schema/raw/master/csl-citation.json"}</w:instrTex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separate"/>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(White et al. 2018)</w:t>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fldChar w:fldCharType="end"/>
      </w: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En outre, le nom scientifique des Mantes, diables de mer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nca</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Mobulinae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et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de</w:t>
      </w:r>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Mobula</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eregoodootenkee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devrait être corrigé en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Mobulidae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et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Mobula</w:t>
      </w:r>
      <w:proofErr w:type="spellEnd"/>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 xml:space="preserve"> </w:t>
      </w:r>
      <w:proofErr w:type="spellStart"/>
      <w:r w:rsidRPr="001012C4">
        <w:rPr>
          <w:rFonts w:ascii="Arial" w:eastAsia="Arial Unicode MS" w:hAnsi="Arial" w:cs="Arial"/>
          <w:i/>
          <w:iCs/>
          <w:color w:val="000000"/>
          <w:sz w:val="22"/>
          <w:szCs w:val="22"/>
          <w:u w:color="000000"/>
          <w:bdr w:val="nil"/>
          <w:lang w:val="fr-FR" w:eastAsia="en-GB"/>
          <w14:textOutline w14:w="0" w14:cap="flat" w14:cmpd="sng" w14:algn="ctr">
            <w14:noFill/>
            <w14:prstDash w14:val="solid"/>
            <w14:bevel/>
          </w14:textOutline>
        </w:rPr>
        <w:t>eregoodoo</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respectivement.</w:t>
      </w:r>
    </w:p>
    <w:p w14:paraId="310C4FFB"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40652261"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Bien que la FAO évalue les données soumises par les pays, consulte les nations lorsque les données sont douteuses et remplace les données soumises par celles validées par les ORP, si elles sont disponibles, des erreurs de saisie ont encore été identifiées dans notre analyse. Par exemple, entre 2015 et 2019, 5 792 tonnes d’Anges de mer ont été signalées dans l’Atlantique Nord-Est (zone FAO 27). Étant donné l’ampleur de cette valeur par rapport au statut « en danger critique d’extinction » de l’espèce dans la région</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{"citationItems":[{"id":"ITEM-1","itemData":{"DOI":"10.1111/JFB.14613","ISSN":"1095-8649","PMID":"33174197","abstract":"Angel sharks (Squatina spp.) are distributed in warm temperate to tropical waters around the world. Many species occur in shelf seas and exhibit seasonal inshore–offshore migrations, moving inshore to give birth. Consequently, there can be high spatial overlap of angel shark populations with fisheries and other human activities. Their dorso-ventrally flattened body shape, large size (most species attain &gt;100 cm total length, LT) and demersal nature means that they may be taken in a variety of demersal fishing gears from birth. Available data indicate that angel sharks typically have a biennial reproductive cycle, with litter sizes generally &lt;20 and the young born at c. 20–30 cm. The biological characteristics of angel sharks render them susceptible to overexploitation, as exemplified by the decline of Squatina squatina from many parts of its former range in the north-east Atlantic and Mediterranean Sea. Currently, half of the 22 recognized extant species of angel shark are classed as Threatened on the International Union for Conservation of Nature (IUCN) Red List (with a further three classified as Data Deficient). Given the biological vulnerability of angel sharks, and that many species are data-limited, the current paper provides a review of available biological information and fisheries data pertaining to this family.","author":[{"dropping-particle":"","family":"Ellis","given":"Jim R.","non-dropping-particle":"","parse-names":false,"suffix":""},{"dropping-particle":"","family":"Barker","given":"Joanna","non-dropping-particle":"","parse-names":false,"suffix":""},{"dropping-particle":"","family":"McCully Phillips","given":"Sophy R.","non-dropping-particle":"","parse-names":false,"suffix":""},{"dropping-particle":"","family":"Meyers","given":"Eva K.M.","non-dropping-particle":"","parse-names":false,"suffix":""},{"dropping-particle":"","family":"Heupel","given":"Michelle","non-dropping-particle":"","parse-names":false,"suffix":""}],"container-title":"Journal of Fish Biology","id":"ITEM-1","issue":"3","issued":{"date-parts":[["2021","3","1"]]},"page":"592-621","publisher":"John Wiley &amp; Sons, Ltd","title":"Angel sharks (Squatinidae): A review of biological knowledge and exploitation","type":"article-journal","volume":"98"},"uris":["http://www.mendeley.com/documents/?uuid=5cdf8aec-2085-37d1-84c8-2ca7634e4e64"]}],"mendeley":{"formattedCitation":"(Ellis et al. 2021)","plainTextFormattedCitation":"(Ellis et al. 2021)","previouslyFormattedCitation":"(Ellis et al. 2021)"},"properties":{"noteIndex":0},"schema":"https://github.com/citation-style-language/schema/raw/master/csl-citation.json"}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(Ellis et al. 2021)</w:t>
      </w:r>
      <w:r w:rsidRPr="001012C4">
        <w:rPr>
          <w:rFonts w:ascii="Arial" w:hAnsi="Arial" w:cs="Arial"/>
          <w:sz w:val="22"/>
          <w:szCs w:val="22"/>
          <w:lang w:val="fr-FR"/>
        </w:rPr>
        <w:fldChar w:fldCharType="end"/>
      </w:r>
      <w:r w:rsidRPr="001012C4">
        <w:rPr>
          <w:rFonts w:ascii="Arial" w:hAnsi="Arial" w:cs="Arial"/>
          <w:sz w:val="22"/>
          <w:szCs w:val="22"/>
          <w:lang w:val="fr-FR"/>
        </w:rPr>
        <w:t xml:space="preserve"> et le fait que cette quantité était aberrante dans la série chronologique (un total de 1 tonne a été signalé dans la série chronologique lorsque cet enregistrement a été exclu), cette quantité semble être une erreur de saisie. Ce problème peut être la conséquence d’une erreur typographique lors de la saisie de la quantité de captures en 2018 ou du code d’identification 3-alpha de l’espèce (c’est-à-dire que la valeur peut être correcte, mais devrait se référer à une espèce avec un code d’identification 3-alpha similaire). Des incohérences similaires peuvent miner la précision des analyses de la pêche, apportant des biais potentiellement dangereux pour la planification de la conservation, si elles passent inaperçues.</w:t>
      </w:r>
    </w:p>
    <w:p w14:paraId="02E4C70C" w14:textId="77777777" w:rsidR="00016A72" w:rsidRPr="001012C4" w:rsidRDefault="00016A72" w:rsidP="00016A72">
      <w:pPr>
        <w:contextualSpacing/>
        <w:jc w:val="both"/>
        <w:rPr>
          <w:rFonts w:ascii="Arial" w:hAnsi="Arial" w:cs="Arial"/>
          <w:sz w:val="22"/>
          <w:szCs w:val="22"/>
          <w:lang w:val="fr-FR"/>
        </w:rPr>
      </w:pPr>
    </w:p>
    <w:p w14:paraId="1DB4C8BD" w14:textId="77777777" w:rsidR="00016A72" w:rsidRPr="001012C4" w:rsidRDefault="00016A72" w:rsidP="00016A72">
      <w:pPr>
        <w:contextualSpacing/>
        <w:jc w:val="both"/>
        <w:rPr>
          <w:rFonts w:ascii="Arial" w:hAnsi="Arial" w:cs="Arial"/>
          <w:sz w:val="22"/>
          <w:szCs w:val="22"/>
          <w:lang w:val="fr-FR"/>
        </w:rPr>
      </w:pPr>
      <w:r w:rsidRPr="001012C4">
        <w:rPr>
          <w:rFonts w:ascii="Arial" w:hAnsi="Arial" w:cs="Arial"/>
          <w:sz w:val="22"/>
          <w:szCs w:val="22"/>
          <w:lang w:val="fr-FR"/>
        </w:rPr>
        <w:t>La sous-déclaration et la surestimation des données de débarquement peuvent également compromettre la qualité des données. Par exemple, la sous-déclaration des débarquements de poissons est un problème très répandu qui peut varier dans le temps ainsi qu’entre les régions et les nations, en fonction des réglementations internationales, des procédures nationales de collecte de données, de la disponibilité des ressources pour la formation, le suivi et l’application, et de l’ampleur de toute pêche illégale, non déclarée et non réglementée (INN)</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trend","type":"article-journal","volume":"36"},"uris":["http://www.mendeley.com/documents/?uuid=8b79dbd6-4f5d-3add-b211-0c19da7c970e"]},{"id":"ITEM-2","itemData":{"DOI":"10.1038/ncomms10244","ISSN":"2041-1723","PMID":"26784963","abstract":"Fisheries data assembled by the Food and Agriculture Organization (FAO) suggest that global marine fisheries catches increased to 86 million tonnes in 1996, then slightly declined. Here, using a decade-long multinational ‘catch reconstruction’ project covering the Exclusive Economic Zones of the world’s maritime countries and the High Seas from 1950 to 2010, and accounting for all fisheries, we identify catch trajectories differing considerably from the national data submitted to the FAO. We suggest that catch actually peaked at 130 million tonnes, and has been declining much more strongly since. This decline in reconstructed catches reflects declines in industrial catches and to a smaller extent declining discards, despite industrial fishing having expanded from industrialized countries to the waters of developing countries. The differing trajectories documented here suggest a need for improved monitoring of all fisheries, including often neglected small-scale fisheries, and illegal and other problematic fisheries, as well as discarded bycatch. Officially reported fisheries statistics suggest that global catches have stabilized since their peak in the mid-1990s. Here, the authors supplement these reported data with best-estimate values of missing data from the literature, and find that global catches have steadily declined over this time period.","author":[{"dropping-particle":"","family":"Pauly","given":"Daniel","non-dropping-particle":"","parse-names":false,"suffix":""},{"dropping-particle":"","family":"Zeller","given":"Dirk","non-dropping-particle":"","parse-names":false,"suffix":""}],"container-title":"Nature Communications 2016 7:1","id":"ITEM-2","issue":"1","issued":{"date-parts":[["2016","1","19"]]},"page":"1-9","publisher":"Nature Publishing Group","title":"Catch reconstructions reveal that global marine fisheries catches are higher than reported and declining","type":"article-journal","volume":"7"},"uris":["http://www.mendeley.com/documents/?uuid=ff92d7ec-9cdf-34a6-a3da-e266e0bc6748"]},{"id":"ITEM-3","itemData":{"DOI":"10.1038/s41467-022-28916-2","ISSN":"2041-1723","abstract":"Labor abuse on fishing vessels and illegal, unreported and unregulated (IUU) fishing violate human rights, jeopardize food security, and deprive governments of revenues. We applied a multi-method approach, combining new empirical data with satellite information on fishing activities and vessel characteristics to map risks of labor abuse and IUU fishing, understand their relationships, and identify major drivers. Port risks were globally pervasive and often coupled, with 57% of assessed ports associated with labor abuse or IUU fishing. For trips ending in assessed ports, 82% were linked to labor abuse or IUU fishing risks. At-sea risk areas were primarily driven by fishing vessel flags linked to poor control of corruption by the flag state, high ownership by countries other than the flag state, and Chinese-flagged vessels. Transshipment risk&amp;nbsp;areas were related to the gear type of fishing vessels engaged in&amp;nbsp;potential transshipment and carrier vessel flags. Measures at port offer promise for mitigating risks, through the Port State Measures Agreement for IUU fishing, and ensuring sufficient vessel time at port to detect and respond to labor abuse. Our results highlight the need for coordinated action across actors to avoid risk displacement and make progress towards eliminating these socially, environmentally and economically unsustainable practices. Taking action to reduce risks of labor abuse and illegal, unreported, and unregulated (IUU) fishing in the fishing sector is hindered by a lack of spatially explicit data and an understanding of different drivers of risks. Here the authors combine expert assessments with satellite information to map and quantify risks of labor abuse and IUU fishing at port, at sea and associated with transshipment globally.","author":[{"dropping-particle":"","family":"Selig","given":"Elizabeth R.","non-dropping-particle":"","parse-names":false,"suffix":""},{"dropping-particle":"","family":"Nakayama","given":"Shinnosuke","non-dropping-particle":"","parse-names":false,"suffix":""},{"dropping-particle":"","family":"Wabnitz","given":"Colette C. C.","non-dropping-particle":"","parse-names":false,"suffix":""},{"dropping-particle":"","family":"Österblom","given":"Henrik","non-dropping-particle":"","parse-names":false,"suffix":""},{"dropping-particle":"","family":"Spijkers","given":"Jessica","non-dropping-particle":"","parse-names":false,"suffix":""},{"dropping-particle":"","family":"Miller","given":"Nathan A.","non-dropping-particle":"","parse-names":false,"suffix":""},{"dropping-particle":"","family":"Bebbington","given":"Jan","non-dropping-particle":"","parse-names":false,"suffix":""},{"dropping-particle":"","family":"Decker Sparks","given":"Jessica L.","non-dropping-particle":"","parse-names":false,"suffix":""}],"container-title":"Nature Communications 2022 13:1","id":"ITEM-3","issue":"1","issued":{"date-parts":[["2022","4","5"]]},"page":"1-11","publisher":"Nature Publishing Group","title":"Revealing global risks of labor abuse and illegal, unreported, and unregulated fishing","type":"article-journal","volume":"13"},"uris":["http://www.mendeley.com/documents/?uuid=07e821e8-6bd2-3fae-a4b3-c1b5911c52e8"]}],"mendeley":{"formattedCitation":"(Garibaldi 2012; Pauly and Zeller 2016; Selig et al. 2022)","plainTextFormattedCitation":"(Garibaldi 2012; Pauly and Zeller 2016; Selig et al. 2022)","previouslyFormattedCitation":"(Garibaldi 2012; Pauly and Zeller 2016; Selig et al. 2022)"},"properties":{"noteIndex":0},"schema":"https://github.com/citation-style-language/schema/raw/master/csl-citation.json"}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(Garibaldi 2012 ; Pauly et Zeller 2016 ; Selig et al. 2022)</w:t>
      </w:r>
      <w:r w:rsidRPr="001012C4">
        <w:rPr>
          <w:rFonts w:ascii="Arial" w:hAnsi="Arial" w:cs="Arial"/>
          <w:sz w:val="22"/>
          <w:szCs w:val="22"/>
          <w:lang w:val="fr-FR"/>
        </w:rPr>
        <w:fldChar w:fldCharType="end"/>
      </w:r>
      <w:r w:rsidRPr="001012C4">
        <w:rPr>
          <w:rFonts w:ascii="Arial" w:hAnsi="Arial" w:cs="Arial"/>
          <w:sz w:val="22"/>
          <w:szCs w:val="22"/>
          <w:lang w:val="fr-FR"/>
        </w:rPr>
        <w:t xml:space="preserve">. Il n’entre pas dans le cadre de cette étude de déterminer le degré potentiel de sous-déclaration des espèces de requins et de raies inscrites à la CMS et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 cependant, il faut s’attendre à ce que le niveau de sous-déclaration soit assez élevé dans certaines zones</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{"citationItems":[{"id":"ITEM-1","itemData":{"DOI":"10.1038/ncomms10244","ISSN":"2041-1723","PMID":"26784963","abstract":"Fisheries data assembled by the Food and Agriculture Organization (FAO) suggest that global marine fisheries catches increased to 86 million tonnes in 1996, then slightly declined. Here, using a decade-long multinational ‘catch reconstruction’ project covering the Exclusive Economic Zones of the world’s maritime countries and the High Seas from 1950 to 2010, and accounting for all fisheries, we identify catch trajectories differing considerably from the national data submitted to the FAO. We suggest that catch actually peaked at 130 million tonnes, and has been declining much more strongly since. This decline in reconstructed catches reflects declines in industrial catches and to a smaller extent declining discards, despite industrial fishing having expanded from industrialized countries to the waters of developing countries. The differing trajectories documented here suggest a need for improved monitoring of all fisheries, including often neglected small-scale fisheries, and illegal and other problematic fisheries, as well as discarded bycatch. Officially reported fisheries statistics suggest that global catches have stabilized since their peak in the mid-1990s. Here, the authors supplement these reported data with best-estimate values of missing data from the literature, and find that global catches have steadily declined over this time period.","author":[{"dropping-particle":"","family":"Pauly","given":"Daniel","non-dropping-particle":"","parse-names":false,"suffix":""},{"dropping-particle":"","family":"Zeller","given":"Dirk","non-dropping-particle":"","parse-names":false,"suffix":""}],"container-title":"Nature Communications 2016 7:1","id":"ITEM-1","issue":"1","issued":{"date-parts":[["2016","1","19"]]},"page":"1-9","publisher":"Nature Publishing Group","title":"Catch reconstructions reveal that global marine fisheries catches are higher than reported and declining","type":"article-journal","volume":"7"},"uris":["http://www.mendeley.com/documents/?uuid=ff92d7ec-9cdf-34a6-a3da-e266e0bc6748"]},{"id":"ITEM-2","itemData":{"DOI":"10.1038/s41467-022-28916-2","ISSN":"2041-1723","abstract":"Labor abuse on fishing vessels and illegal, unreported and unregulated (IUU) fishing violate human rights, jeopardize food security, and deprive governments of revenues. We applied a multi-method approach, combining new empirical data with satellite information on fishing activities and vessel characteristics to map risks of labor abuse and IUU fishing, understand their relationships, and identify major drivers. Port risks were globally pervasive and often coupled, with 57% of assessed ports associated with labor abuse or IUU fishing. For trips ending in assessed ports, 82% were linked to labor abuse or IUU fishing risks. At-sea risk areas were primarily driven by fishing vessel flags linked to poor control of corruption by the flag state, high ownership by countries other than the flag state, and Chinese-flagged vessels. Transshipment risk&amp;nbsp;areas were related to the gear type of fishing vessels engaged in&amp;nbsp;potential transshipment and carrier vessel flags. Measures at port offer promise for mitigating risks, through the Port State Measures Agreement for IUU fishing, and ensuring sufficient vessel time at port to detect and respond to labor abuse. Our results highlight the need for coordinated action across actors to avoid risk displacement and make progress towards eliminating these socially, environmentally and economically unsustainable practices. Taking action to reduce risks of labor abuse and illegal, unreported, and unregulated (IUU) fishing in the fishing sector is hindered by a lack of spatially explicit data and an understanding of different drivers of risks. Here the authors combine expert assessments with satellite information to map and quantify risks of labor abuse and IUU fishing at port, at sea and associated with transshipment globally.","author":[{"dropping-particle":"","family":"Selig","given":"Elizabeth R.","non-dropping-particle":"","parse-names":false,"suffix":""},{"dropping-particle":"","family":"Nakayama","given":"Shinnosuke","non-dropping-particle":"","parse-names":false,"suffix":""},{"dropping-particle":"","family":"Wabnitz","given":"Colette C. C.","non-dropping-particle":"","parse-names":false,"suffix":""},{"dropping-particle":"","family":"Österblom","given":"Henrik","non-dropping-particle":"","parse-names":false,"suffix":""},{"dropping-particle":"","family":"Spijkers","given":"Jessica","non-dropping-particle":"","parse-names":false,"suffix":""},{"dropping-particle":"","family":"Miller","given":"Nathan A.","non-dropping-particle":"","parse-names":false,"suffix":""},{"dropping-particle":"","family":"Bebbington","given":"Jan","non-dropping-particle":"","parse-names":false,"suffix":""},{"dropping-particle":"","family":"Decker Sparks","given":"Jessica L.","non-dropping-particle":"","parse-names":false,"suffix":""}],"container-title":"Nature Communications 2022 13:1","id":"ITEM-2","issue":"1","issued":{"date-parts":[["2022","4","5"]]},"page":"1-11","publisher":"Nature Publishing Group","title":"Revealing global risks of labor abuse and illegal, unreported, and unregulated fishing","type":"article-journal","volume":"13"},"uris":["http://www.mendeley.com/documents/?uuid=07e821e8-6bd2-3fae-a4b3-c1b5911c52e8"]},{"id":"ITEM-3","itemData":{"DOI":"10.1111/j.1461-0248.2006.00968.x","ISSN":"1461023X","PMID":"16972875","abstract":"Despite growing concerns about overexploitation of sharks, lack of accurate, species-specific harvest data often hampers quantitative stock assessment. In such cases, trade studies can provide insights into exploitation unavailable from traditional monitoring. We applied Bayesian statistical methods to trade data in combination with genetic identification to estimate by species, the annual number of globally traded shark fins, the most commercially valuable product from a group of species often unrecorded in harvest statistics. Our results provide the first fishery-independent estimate of the scale of shark catches worldwide and indicate that shark biomass in the fin trade is three to four times higher than shark catch figures reported in the only global data base. Comparison of our estimates to approximated stock assessment reference points for one of the most commonly traded species, blue shark, suggests that current trade volumes in numbers of sharks are close to or possibly exceeding the maximum sustainable yield levels. © 2006 Blackwell Publishing Ltd/CNRS.","author":[{"dropping-particle":"","family":"Clarke","given":"Shelley C.","non-dropping-particle":"","parse-names":false,"suffix":""},{"dropping-particle":"","family":"McAllister","given":"Murdoch K.","non-dropping-particle":"","parse-names":false,"suffix":""},{"dropping-particle":"","family":"Milner-Gulland","given":"E. J.","non-dropping-particle":"","parse-names":false,"suffix":""},{"dropping-particle":"","family":"Kirkwood","given":"G. P.","non-dropping-particle":"","parse-names":false,"suffix":""},{"dropping-particle":"","family":"Michielsens","given":"Catherine G.J.","non-dropping-particle":"","parse-names":false,"suffix":""},{"dropping-particle":"","family":"Agnew","given":"David J.","non-dropping-particle":"","parse-names":false,"suffix":""},{"dropping-particle":"","family":"Pikitch","given":"Ellen K.","non-dropping-particle":"","parse-names":false,"suffix":""},{"dropping-particle":"","family":"Nakano","given":"Hideki","non-dropping-particle":"","parse-names":false,"suffix":""},{"dropping-particle":"","family":"Shivji","given":"Mahmood S.","non-dropping-particle":"","parse-names":false,"suffix":""}],"container-title":"Ecology Letters","id":"ITEM-3","issue":"10","issued":{"date-parts":[["2006","10"]]},"page":"1115-1126","title":"Global estimates of shark catches using trade records from commercial markets","type":"article-journal","volume":"9"},"uris":["http://www.mendeley.com/documents/?uuid=8f30df8b-677b-388a-a69e-17a088082f0a"]}],"mendeley":{"formattedCitation":"(Clarke et al. 2006; Pauly and Zeller 2016; Selig et al. 2022)","plainTextFormattedCitation":"(Clarke et al. 2006; Pauly and Zeller 2016; Selig et al. 2022)","previouslyFormattedCitation":"(Clarke et al. 2006; Pauly and Zeller 2016; Selig et al. 2022)"},"properties":{"noteIndex":0},"schema":"https://github.com/citation-style-language/schema/raw/master/csl-citation.json"}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(Clarke et al. 2006 ; Pauly et Zeller 2016 ; Selig et al. 2022)</w:t>
      </w:r>
      <w:r w:rsidRPr="001012C4">
        <w:rPr>
          <w:rFonts w:ascii="Arial" w:hAnsi="Arial" w:cs="Arial"/>
          <w:sz w:val="22"/>
          <w:szCs w:val="22"/>
          <w:lang w:val="fr-FR"/>
        </w:rPr>
        <w:fldChar w:fldCharType="end"/>
      </w:r>
      <w:r w:rsidRPr="001012C4">
        <w:rPr>
          <w:rFonts w:ascii="Arial" w:hAnsi="Arial" w:cs="Arial"/>
          <w:sz w:val="22"/>
          <w:szCs w:val="22"/>
          <w:lang w:val="fr-FR"/>
        </w:rPr>
        <w:t>. De même, les problèmes d’estimation des données totales lorsque les nations ne font pas de déclaration pour une année donnée ou lors de la collecte de données d’échantillons peut fausser les chiffres des débarquements</w:t>
      </w:r>
      <w:r w:rsidRPr="001012C4">
        <w:rPr>
          <w:rFonts w:ascii="Arial" w:hAnsi="Arial" w:cs="Arial"/>
          <w:sz w:val="22"/>
          <w:szCs w:val="22"/>
          <w:lang w:val="fr-FR"/>
        </w:rPr>
        <w:fldChar w:fldCharType="begin" w:fldLock="1"/>
      </w:r>
      <w:r w:rsidRPr="001012C4">
        <w:rPr>
          <w:rFonts w:ascii="Arial" w:hAnsi="Arial" w:cs="Arial"/>
          <w:sz w:val="22"/>
          <w:szCs w:val="22"/>
          <w:lang w:val="fr-FR"/>
        </w:rPr>
        <w:instrText>ADDIN CSL_CITATION {"citationItems":[{"id":"ITEM-1","itemData":{"DOI":"10.1016/j.marpol.2011.10.024","ISSN":"0308597X","abstract":"With data series extending for 60 years, including catch data for almost 1850 species items, and reflecting geo-political, historical and natural events, the FAO capture database provides a service to the community interested in fishery information. Over 600 articles from refereed journals cited the database in the last 15 years. Species included grew significantly in the last decade and an analysis of annual reporting showed more timely data submissions, although the number of non-reporting countries remained stable throughout the years. An evaluation of data quality found over half developing countries reporting inadequately but also one-fourth of reports by developed countries were not satisfactory. This article also provides meta information on historical developments, data sources and coverage, and advice on what should be kept in mind when using the database for trend studies. © 2011 Elsevier Ltd.","author":[{"dropping-particle":"","family":"Garibaldi","given":"Luca","non-dropping-particle":"","parse-names":false,"suffix":""}],"container-title":"Marine Policy","id":"ITEM-1","issue":"3","issued":{"date-parts":[["2012","5","1"]]},"page":"760-768","publisher":"Pergamon","title":"The FAO global capture production database: A six-decade effort to catch the trend","type":"article-journal","volume":"36"},"uris":["http://www.mendeley.com/documents/?uuid=8b79dbd6-4f5d-3add-b211-0c19da7c970e"]}],"mendeley":{"formattedCitation":"(Garibaldi 2012)","plainTextFormattedCitation":"(Garibaldi 2012)","previouslyFormattedCitation":"(Garibaldi 2012)"},"properties":{"noteIndex":0},"schema":"https://github.com/citation-style-language/schema/raw/master/csl-citation.json"}</w:instrText>
      </w:r>
      <w:r w:rsidRPr="001012C4">
        <w:rPr>
          <w:rFonts w:ascii="Arial" w:hAnsi="Arial" w:cs="Arial"/>
          <w:sz w:val="22"/>
          <w:szCs w:val="22"/>
          <w:lang w:val="fr-FR"/>
        </w:rPr>
        <w:fldChar w:fldCharType="separate"/>
      </w:r>
      <w:r w:rsidRPr="001012C4">
        <w:rPr>
          <w:rFonts w:ascii="Arial" w:hAnsi="Arial" w:cs="Arial"/>
          <w:sz w:val="22"/>
          <w:szCs w:val="22"/>
          <w:lang w:val="fr-FR"/>
        </w:rPr>
        <w:t>(Garibaldi 2012)</w:t>
      </w:r>
      <w:r w:rsidRPr="001012C4">
        <w:rPr>
          <w:rFonts w:ascii="Arial" w:hAnsi="Arial" w:cs="Arial"/>
          <w:sz w:val="22"/>
          <w:szCs w:val="22"/>
          <w:lang w:val="fr-FR"/>
        </w:rPr>
        <w:fldChar w:fldCharType="end"/>
      </w:r>
      <w:r w:rsidRPr="001012C4">
        <w:rPr>
          <w:rFonts w:ascii="Arial" w:hAnsi="Arial" w:cs="Arial"/>
          <w:sz w:val="22"/>
          <w:szCs w:val="22"/>
          <w:lang w:val="fr-FR"/>
        </w:rPr>
        <w:t>.</w:t>
      </w:r>
    </w:p>
    <w:p w14:paraId="3B85C90A" w14:textId="77777777" w:rsidR="00016A72" w:rsidRPr="001012C4" w:rsidRDefault="00016A72" w:rsidP="00016A72">
      <w:pPr>
        <w:contextualSpacing/>
        <w:jc w:val="both"/>
        <w:rPr>
          <w:rFonts w:ascii="Arial" w:hAnsi="Arial" w:cs="Arial"/>
          <w:sz w:val="22"/>
          <w:szCs w:val="22"/>
          <w:lang w:val="fr-FR"/>
        </w:rPr>
      </w:pPr>
    </w:p>
    <w:p w14:paraId="167E4EF7" w14:textId="3DBECB3A"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bookmarkStart w:id="19" w:name="Section6c"/>
      <w:r w:rsidRPr="001012C4">
        <w:rPr>
          <w:rFonts w:ascii="Arial" w:hAnsi="Arial" w:cs="Arial"/>
          <w:b/>
          <w:bCs/>
          <w:sz w:val="22"/>
          <w:szCs w:val="22"/>
          <w:lang w:val="fr-FR"/>
        </w:rPr>
        <w:t>6.</w:t>
      </w:r>
      <w:r w:rsidR="001012C4">
        <w:rPr>
          <w:rFonts w:ascii="Arial" w:hAnsi="Arial" w:cs="Arial"/>
          <w:b/>
          <w:bCs/>
          <w:sz w:val="22"/>
          <w:szCs w:val="22"/>
          <w:lang w:val="fr-FR"/>
        </w:rPr>
        <w:t>3</w:t>
      </w:r>
      <w:r w:rsidRPr="001012C4">
        <w:rPr>
          <w:rFonts w:ascii="Arial" w:hAnsi="Arial" w:cs="Arial"/>
          <w:b/>
          <w:bCs/>
          <w:sz w:val="22"/>
          <w:szCs w:val="22"/>
          <w:lang w:val="fr-FR"/>
        </w:rPr>
        <w:tab/>
        <w:t>Remarques et recommandations spécifiques</w:t>
      </w:r>
    </w:p>
    <w:p w14:paraId="06A81467"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79236F82"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bookmarkStart w:id="20" w:name="_Hlk122367436"/>
      <w:bookmarkEnd w:id="19"/>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L’exhaustivité et l’exactitude des données déclarées ont un impact critique sur les résultats et les conclusions tirées des analyses des données de débarquement (qu’il s’agisse de la FAO ou d’autres sources de données collationnées de débarquement). Tous les Signataires devraient s’efforcer de déclarer leurs débarquements nationaux d’espèces inscrites à l’Annexe 1 du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de manière aussi précise et cohérente que possible. Les recommandations pour améliorer la communication des données sur les espèces inscrites au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à la FAO (et autres organismes pertinents) sont les suivantes :</w:t>
      </w:r>
    </w:p>
    <w:p w14:paraId="5F79C1FD"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5D13F92D" w14:textId="77777777" w:rsidR="00016A72" w:rsidRPr="001012C4" w:rsidRDefault="00016A72" w:rsidP="00016A72">
      <w:pPr>
        <w:widowControl/>
        <w:numPr>
          <w:ilvl w:val="2"/>
          <w:numId w:val="13"/>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Les Signataires qui ne communiquent pas de données sur les débarquements à la FAO sont fortement encouragés à le faire, ainsi qu'à informer les organismes concernés s’il existe des problèmes spécifiques qui limitent ou empêchent cette communication.</w:t>
      </w:r>
    </w:p>
    <w:p w14:paraId="624B0D43" w14:textId="77777777" w:rsidR="00016A72" w:rsidRPr="001012C4" w:rsidRDefault="00016A72" w:rsidP="00016A72">
      <w:pPr>
        <w:widowControl/>
        <w:numPr>
          <w:ilvl w:val="2"/>
          <w:numId w:val="13"/>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 xml:space="preserve">Les Signataires devraient déclarer leurs débarquements de toutes les espèces inscrites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Les systèmes nationaux de déclaration devraient être évalués et renforcés pour faciliter l’enregistrement des débarquements, notamment en ce qui concerne les pêches opérant dans des zones reculées, les pêches artisanales et de subsistance, et les pêches récréatives.</w:t>
      </w:r>
    </w:p>
    <w:p w14:paraId="74489BFA" w14:textId="77777777" w:rsidR="00016A72" w:rsidRPr="001012C4" w:rsidRDefault="00016A72" w:rsidP="00016A72">
      <w:pPr>
        <w:widowControl/>
        <w:numPr>
          <w:ilvl w:val="2"/>
          <w:numId w:val="13"/>
        </w:numPr>
        <w:pBdr>
          <w:top w:val="nil"/>
          <w:left w:val="nil"/>
          <w:bottom w:val="nil"/>
          <w:right w:val="nil"/>
          <w:between w:val="nil"/>
          <w:bar w:val="nil"/>
        </w:pBdr>
        <w:autoSpaceDE/>
        <w:autoSpaceDN/>
        <w:adjustRightInd/>
        <w:spacing w:after="80"/>
        <w:jc w:val="both"/>
        <w:rPr>
          <w:rFonts w:ascii="Arial" w:hAnsi="Arial" w:cs="Arial"/>
          <w:sz w:val="22"/>
          <w:szCs w:val="22"/>
          <w:lang w:val="fr-FR"/>
        </w:rPr>
      </w:pPr>
      <w:bookmarkStart w:id="21" w:name="_Hlk118024782"/>
      <w:r w:rsidRPr="001012C4">
        <w:rPr>
          <w:rFonts w:ascii="Arial" w:hAnsi="Arial" w:cs="Arial"/>
          <w:sz w:val="22"/>
          <w:szCs w:val="22"/>
          <w:lang w:val="fr-FR"/>
        </w:rPr>
        <w:t xml:space="preserve">Étant donné l’absence totale de débarquements rapportés par espèce pour 17 des 35 espèces inscrites à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à l'échelle mondiale, notamment certaines pour lesquelles des débarquements occasionnels sont suspectés, les Signataires devraient veiller à la déclaration appropriée des données de débarquement de toutes les espèces inscrites au niveau de l’espèce (ou du genre, selon ce qui convient).</w:t>
      </w:r>
      <w:bookmarkEnd w:id="21"/>
    </w:p>
    <w:p w14:paraId="2094C174" w14:textId="77777777" w:rsidR="00016A72" w:rsidRPr="001012C4" w:rsidRDefault="00016A72" w:rsidP="00016A72">
      <w:pPr>
        <w:widowControl/>
        <w:numPr>
          <w:ilvl w:val="2"/>
          <w:numId w:val="13"/>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lastRenderedPageBreak/>
        <w:t xml:space="preserve">Il n’y a actuellement aucun code ASFIS pour le </w:t>
      </w:r>
      <w:proofErr w:type="spellStart"/>
      <w:r w:rsidRPr="001012C4">
        <w:rPr>
          <w:rFonts w:ascii="Arial" w:hAnsi="Arial" w:cs="Arial"/>
          <w:sz w:val="22"/>
          <w:szCs w:val="22"/>
          <w:lang w:val="fr-FR"/>
        </w:rPr>
        <w:t>Rhynchobatus</w:t>
      </w:r>
      <w:proofErr w:type="spellEnd"/>
      <w:r w:rsidRPr="001012C4">
        <w:rPr>
          <w:rFonts w:ascii="Arial" w:hAnsi="Arial" w:cs="Arial"/>
          <w:sz w:val="22"/>
          <w:szCs w:val="22"/>
          <w:lang w:val="fr-FR"/>
        </w:rPr>
        <w:t xml:space="preserve"> </w:t>
      </w:r>
      <w:proofErr w:type="spellStart"/>
      <w:r w:rsidRPr="001012C4">
        <w:rPr>
          <w:rFonts w:ascii="Arial" w:hAnsi="Arial" w:cs="Arial"/>
          <w:sz w:val="22"/>
          <w:szCs w:val="22"/>
          <w:lang w:val="fr-FR"/>
        </w:rPr>
        <w:t>laevis</w:t>
      </w:r>
      <w:proofErr w:type="spellEnd"/>
      <w:r w:rsidRPr="001012C4">
        <w:rPr>
          <w:rFonts w:ascii="Arial" w:hAnsi="Arial" w:cs="Arial"/>
          <w:sz w:val="22"/>
          <w:szCs w:val="22"/>
          <w:lang w:val="fr-FR"/>
        </w:rPr>
        <w:t xml:space="preserve">. En l’absence d'un tel code, les nations devraient faire rapport au niveau taxonomique le plus approprié. La FAO pourrait utilement considérer l'utilité de l’introduction des codes ASFIS pour toutes les espèces de requins et de raies inscrites à la CMS et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w:t>
      </w:r>
    </w:p>
    <w:p w14:paraId="05CE4DE5" w14:textId="77777777" w:rsidR="00016A72" w:rsidRPr="001012C4" w:rsidRDefault="00016A72" w:rsidP="00016A72">
      <w:pPr>
        <w:widowControl/>
        <w:numPr>
          <w:ilvl w:val="2"/>
          <w:numId w:val="13"/>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Il existe actuellement certaines catégories ASFIS qui peuvent perpétuer des problèmes taxonomiques dans la déclaration des données de débarquement (</w:t>
      </w:r>
      <w:proofErr w:type="spellStart"/>
      <w:r w:rsidRPr="001012C4">
        <w:rPr>
          <w:rFonts w:ascii="Arial" w:hAnsi="Arial" w:cs="Arial"/>
          <w:i/>
          <w:iCs/>
          <w:sz w:val="22"/>
          <w:szCs w:val="22"/>
          <w:lang w:val="fr-FR"/>
        </w:rPr>
        <w:t>Mobula</w:t>
      </w:r>
      <w:proofErr w:type="spellEnd"/>
      <w:r w:rsidRPr="001012C4">
        <w:rPr>
          <w:rFonts w:ascii="Arial" w:hAnsi="Arial" w:cs="Arial"/>
          <w:i/>
          <w:iCs/>
          <w:sz w:val="22"/>
          <w:szCs w:val="22"/>
          <w:lang w:val="fr-FR"/>
        </w:rPr>
        <w:t xml:space="preserve"> </w:t>
      </w:r>
      <w:proofErr w:type="spellStart"/>
      <w:r w:rsidRPr="001012C4">
        <w:rPr>
          <w:rFonts w:ascii="Arial" w:hAnsi="Arial" w:cs="Arial"/>
          <w:i/>
          <w:iCs/>
          <w:sz w:val="22"/>
          <w:szCs w:val="22"/>
          <w:lang w:val="fr-FR"/>
        </w:rPr>
        <w:t>japanica</w:t>
      </w:r>
      <w:proofErr w:type="spellEnd"/>
      <w:r w:rsidRPr="001012C4">
        <w:rPr>
          <w:rFonts w:ascii="Arial" w:hAnsi="Arial" w:cs="Arial"/>
          <w:i/>
          <w:iCs/>
          <w:sz w:val="22"/>
          <w:szCs w:val="22"/>
          <w:lang w:val="fr-FR"/>
        </w:rPr>
        <w:t xml:space="preserve">, M. </w:t>
      </w:r>
      <w:proofErr w:type="spellStart"/>
      <w:r w:rsidRPr="001012C4">
        <w:rPr>
          <w:rFonts w:ascii="Arial" w:hAnsi="Arial" w:cs="Arial"/>
          <w:i/>
          <w:iCs/>
          <w:sz w:val="22"/>
          <w:szCs w:val="22"/>
          <w:lang w:val="fr-FR"/>
        </w:rPr>
        <w:t>rochebrunei</w:t>
      </w:r>
      <w:proofErr w:type="spellEnd"/>
      <w:r w:rsidRPr="001012C4">
        <w:rPr>
          <w:rFonts w:ascii="Arial" w:hAnsi="Arial" w:cs="Arial"/>
          <w:i/>
          <w:iCs/>
          <w:sz w:val="22"/>
          <w:szCs w:val="22"/>
          <w:lang w:val="fr-FR"/>
        </w:rPr>
        <w:t xml:space="preserve">, M. </w:t>
      </w:r>
      <w:proofErr w:type="spellStart"/>
      <w:r w:rsidRPr="001012C4">
        <w:rPr>
          <w:rFonts w:ascii="Arial" w:hAnsi="Arial" w:cs="Arial"/>
          <w:i/>
          <w:iCs/>
          <w:sz w:val="22"/>
          <w:szCs w:val="22"/>
          <w:lang w:val="fr-FR"/>
        </w:rPr>
        <w:t>eregoodootenkee</w:t>
      </w:r>
      <w:proofErr w:type="spellEnd"/>
      <w:r w:rsidRPr="001012C4">
        <w:rPr>
          <w:rFonts w:ascii="Arial" w:hAnsi="Arial" w:cs="Arial"/>
          <w:i/>
          <w:iCs/>
          <w:sz w:val="22"/>
          <w:szCs w:val="22"/>
          <w:lang w:val="fr-FR"/>
        </w:rPr>
        <w:t xml:space="preserve"> </w:t>
      </w:r>
      <w:r w:rsidRPr="001012C4">
        <w:rPr>
          <w:rFonts w:ascii="Arial" w:hAnsi="Arial" w:cs="Arial"/>
          <w:sz w:val="22"/>
          <w:szCs w:val="22"/>
          <w:lang w:val="fr-FR"/>
        </w:rPr>
        <w:t>et</w:t>
      </w:r>
      <w:r w:rsidRPr="001012C4">
        <w:rPr>
          <w:rFonts w:ascii="Arial" w:hAnsi="Arial" w:cs="Arial"/>
          <w:i/>
          <w:iCs/>
          <w:sz w:val="22"/>
          <w:szCs w:val="22"/>
          <w:lang w:val="fr-FR"/>
        </w:rPr>
        <w:t xml:space="preserve"> </w:t>
      </w:r>
      <w:proofErr w:type="spellStart"/>
      <w:r w:rsidRPr="001012C4">
        <w:rPr>
          <w:rFonts w:ascii="Arial" w:hAnsi="Arial" w:cs="Arial"/>
          <w:i/>
          <w:iCs/>
          <w:sz w:val="22"/>
          <w:szCs w:val="22"/>
          <w:lang w:val="fr-FR"/>
        </w:rPr>
        <w:t>Pristis</w:t>
      </w:r>
      <w:proofErr w:type="spellEnd"/>
      <w:r w:rsidRPr="001012C4">
        <w:rPr>
          <w:rFonts w:ascii="Arial" w:hAnsi="Arial" w:cs="Arial"/>
          <w:i/>
          <w:iCs/>
          <w:sz w:val="22"/>
          <w:szCs w:val="22"/>
          <w:lang w:val="fr-FR"/>
        </w:rPr>
        <w:t xml:space="preserve"> </w:t>
      </w:r>
      <w:proofErr w:type="spellStart"/>
      <w:r w:rsidRPr="001012C4">
        <w:rPr>
          <w:rFonts w:ascii="Arial" w:hAnsi="Arial" w:cs="Arial"/>
          <w:i/>
          <w:iCs/>
          <w:sz w:val="22"/>
          <w:szCs w:val="22"/>
          <w:lang w:val="fr-FR"/>
        </w:rPr>
        <w:t>microdon</w:t>
      </w:r>
      <w:proofErr w:type="spellEnd"/>
      <w:r w:rsidRPr="001012C4">
        <w:rPr>
          <w:rFonts w:ascii="Arial" w:hAnsi="Arial" w:cs="Arial"/>
          <w:sz w:val="22"/>
          <w:szCs w:val="22"/>
          <w:lang w:val="fr-FR"/>
        </w:rPr>
        <w:t>). La FAO pourrait étudier comment gérer ces catégories de déclaration et, le cas échéant, mettre à jour les débarquements précédemment déclarés en fonction de la taxonomie la plus récente. Les Signataires ne devraient pas déclarer leurs débarquements en utilisant des catégories d’espèces dépassées (tout en notant qu’il y a eu des cas où certains changements taxonomiques récents ont été annulés par la suite).</w:t>
      </w:r>
    </w:p>
    <w:p w14:paraId="568EF9FF" w14:textId="77777777" w:rsidR="00016A72" w:rsidRPr="001012C4" w:rsidRDefault="00016A72" w:rsidP="00016A72">
      <w:pPr>
        <w:widowControl/>
        <w:numPr>
          <w:ilvl w:val="2"/>
          <w:numId w:val="14"/>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Les Signataires sont encouragés à répondre en temps utile aux consultations de la FAO concernant les données communiquées afin de faciliter la correction des données et la clarification des points de données douteux.</w:t>
      </w:r>
    </w:p>
    <w:p w14:paraId="46198121" w14:textId="77777777" w:rsidR="00016A72" w:rsidRPr="001012C4" w:rsidRDefault="00016A72" w:rsidP="00016A72">
      <w:pPr>
        <w:widowControl/>
        <w:numPr>
          <w:ilvl w:val="2"/>
          <w:numId w:val="14"/>
        </w:numPr>
        <w:pBdr>
          <w:top w:val="nil"/>
          <w:left w:val="nil"/>
          <w:bottom w:val="nil"/>
          <w:right w:val="nil"/>
          <w:between w:val="nil"/>
          <w:bar w:val="nil"/>
        </w:pBdr>
        <w:autoSpaceDE/>
        <w:autoSpaceDN/>
        <w:adjustRightInd/>
        <w:spacing w:after="80"/>
        <w:jc w:val="both"/>
        <w:rPr>
          <w:rFonts w:ascii="Arial" w:hAnsi="Arial" w:cs="Arial"/>
          <w:sz w:val="22"/>
          <w:szCs w:val="22"/>
          <w:lang w:val="fr-FR"/>
        </w:rPr>
      </w:pPr>
      <w:r w:rsidRPr="001012C4">
        <w:rPr>
          <w:rFonts w:ascii="Arial" w:hAnsi="Arial" w:cs="Arial"/>
          <w:sz w:val="22"/>
          <w:szCs w:val="22"/>
          <w:lang w:val="fr-FR"/>
        </w:rPr>
        <w:t>Les Signataires sont encouragés à revoir et à entreprendre un contrôle plus détaillé de la qualité de leurs signalements de débarquements nationaux avant que les données ne soient soumises à la FAO ou à tout autre organisme de pêche.</w:t>
      </w:r>
    </w:p>
    <w:p w14:paraId="5B7BB27E" w14:textId="77777777" w:rsidR="00016A72" w:rsidRPr="001012C4" w:rsidRDefault="00016A72" w:rsidP="00016A72">
      <w:pPr>
        <w:widowControl/>
        <w:numPr>
          <w:ilvl w:val="2"/>
          <w:numId w:val="14"/>
        </w:numPr>
        <w:pBdr>
          <w:top w:val="nil"/>
          <w:left w:val="nil"/>
          <w:bottom w:val="nil"/>
          <w:right w:val="nil"/>
          <w:between w:val="nil"/>
          <w:bar w:val="nil"/>
        </w:pBdr>
        <w:autoSpaceDE/>
        <w:autoSpaceDN/>
        <w:adjustRightInd/>
        <w:jc w:val="both"/>
        <w:rPr>
          <w:rFonts w:ascii="Arial" w:hAnsi="Arial" w:cs="Arial"/>
          <w:sz w:val="22"/>
          <w:szCs w:val="22"/>
          <w:lang w:val="fr-FR"/>
        </w:rPr>
      </w:pPr>
      <w:r w:rsidRPr="001012C4">
        <w:rPr>
          <w:rFonts w:ascii="Arial" w:hAnsi="Arial" w:cs="Arial"/>
          <w:sz w:val="22"/>
          <w:szCs w:val="22"/>
          <w:lang w:val="fr-FR"/>
        </w:rPr>
        <w:t xml:space="preserve">Les États de l’aire de répartition </w:t>
      </w:r>
      <w:proofErr w:type="gramStart"/>
      <w:r w:rsidRPr="001012C4">
        <w:rPr>
          <w:rFonts w:ascii="Arial" w:hAnsi="Arial" w:cs="Arial"/>
          <w:sz w:val="22"/>
          <w:szCs w:val="22"/>
          <w:lang w:val="fr-FR"/>
        </w:rPr>
        <w:t>non signataires</w:t>
      </w:r>
      <w:proofErr w:type="gramEnd"/>
      <w:r w:rsidRPr="001012C4">
        <w:rPr>
          <w:rFonts w:ascii="Arial" w:hAnsi="Arial" w:cs="Arial"/>
          <w:sz w:val="22"/>
          <w:szCs w:val="22"/>
          <w:lang w:val="fr-FR"/>
        </w:rPr>
        <w:t xml:space="preserve"> devraient être encouragés à commencer à communiquer des données à la FAO pour les espèces pertinentes de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à un niveau taxonomique approprié.</w:t>
      </w:r>
    </w:p>
    <w:bookmarkEnd w:id="20"/>
    <w:p w14:paraId="337B6E01" w14:textId="77777777" w:rsidR="00016A72" w:rsidRPr="001012C4" w:rsidRDefault="00016A72" w:rsidP="00016A72">
      <w:pPr>
        <w:widowControl/>
        <w:pBdr>
          <w:top w:val="nil"/>
          <w:left w:val="nil"/>
          <w:bottom w:val="nil"/>
          <w:right w:val="nil"/>
          <w:between w:val="nil"/>
          <w:bar w:val="nil"/>
        </w:pBdr>
        <w:autoSpaceDE/>
        <w:autoSpaceDN/>
        <w:adjustRightInd/>
        <w:ind w:left="426"/>
        <w:jc w:val="both"/>
        <w:rPr>
          <w:rFonts w:ascii="Arial" w:hAnsi="Arial" w:cs="Arial"/>
          <w:sz w:val="22"/>
          <w:szCs w:val="22"/>
          <w:lang w:val="fr-FR"/>
        </w:rPr>
      </w:pPr>
    </w:p>
    <w:p w14:paraId="2137FB3A" w14:textId="77777777" w:rsidR="00016A72" w:rsidRPr="001012C4" w:rsidRDefault="00016A72" w:rsidP="00016A72">
      <w:pPr>
        <w:widowControl/>
        <w:numPr>
          <w:ilvl w:val="0"/>
          <w:numId w:val="15"/>
        </w:numPr>
        <w:pBdr>
          <w:top w:val="nil"/>
          <w:left w:val="nil"/>
          <w:bottom w:val="nil"/>
          <w:right w:val="nil"/>
          <w:between w:val="nil"/>
          <w:bar w:val="nil"/>
        </w:pBdr>
        <w:autoSpaceDE/>
        <w:autoSpaceDN/>
        <w:adjustRightInd/>
        <w:jc w:val="both"/>
        <w:outlineLvl w:val="1"/>
        <w:rPr>
          <w:rFonts w:ascii="Arial" w:hAnsi="Arial" w:cs="Arial"/>
          <w:b/>
          <w:bCs/>
          <w:sz w:val="22"/>
          <w:szCs w:val="22"/>
          <w:u w:val="single"/>
          <w:lang w:val="fr-FR"/>
        </w:rPr>
      </w:pPr>
      <w:r w:rsidRPr="001012C4">
        <w:rPr>
          <w:rFonts w:ascii="Arial" w:hAnsi="Arial" w:cs="Arial"/>
          <w:b/>
          <w:bCs/>
          <w:sz w:val="22"/>
          <w:szCs w:val="22"/>
          <w:u w:val="single"/>
          <w:lang w:val="fr-FR"/>
        </w:rPr>
        <w:t>Considérations finales</w:t>
      </w:r>
    </w:p>
    <w:p w14:paraId="7BAD91E5" w14:textId="77777777" w:rsidR="00016A72" w:rsidRPr="001012C4" w:rsidRDefault="00016A72" w:rsidP="001012C4">
      <w:pPr>
        <w:widowControl/>
        <w:pBdr>
          <w:top w:val="nil"/>
          <w:left w:val="nil"/>
          <w:bottom w:val="nil"/>
          <w:right w:val="nil"/>
          <w:between w:val="nil"/>
          <w:bar w:val="nil"/>
        </w:pBdr>
        <w:autoSpaceDE/>
        <w:autoSpaceDN/>
        <w:adjustRightInd/>
        <w:jc w:val="both"/>
        <w:outlineLvl w:val="1"/>
        <w:rPr>
          <w:rFonts w:ascii="Arial" w:hAnsi="Arial" w:cs="Arial"/>
          <w:b/>
          <w:bCs/>
          <w:sz w:val="22"/>
          <w:szCs w:val="22"/>
          <w:u w:val="single"/>
          <w:lang w:val="fr-FR"/>
        </w:rPr>
      </w:pPr>
    </w:p>
    <w:p w14:paraId="4CC2F660"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Le type d’analyse effectué dans cette étude fournit des informations précieuses pour informer les futurs programmes de travail et les activités de conservation des Signataires du </w:t>
      </w:r>
      <w:proofErr w:type="spellStart"/>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MdE</w:t>
      </w:r>
      <w:proofErr w:type="spellEnd"/>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 xml:space="preserve"> requins. Des mesures supplémentaires impliquant des analyses approfondies des débarquements de la FAO au fil des ans par rapport à la législation nationale existante des signataires seraient un outil puissant pour déterminer l’efficacité des mesures de conservation et identifier les efforts supplémentaires.</w:t>
      </w:r>
    </w:p>
    <w:p w14:paraId="6E72A833"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3FAB98E0"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Pourtant, dans de nombreuses régions du monde, les statistiques nationales sur les débarquements de requins et de raies peuvent être incomplètes ou indisponibles, notamment s'il y a peu de suivi des débarquements dans les zones reculées et/ou par la pêche artisanale et de subsistance. Il est également probable qu’il y ait une mortalité et une rétention des espèces de requins et de raies inscrites dans les pêches récréatives. Les nations devraient réfléchir à la manière de développer des programmes efficaces pour collecter ces données sur les débarquements (et les prises).</w:t>
      </w:r>
    </w:p>
    <w:p w14:paraId="35149607"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71CC5D69"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b/>
          <w:bCs/>
          <w:color w:val="000000"/>
          <w:sz w:val="22"/>
          <w:szCs w:val="22"/>
          <w:u w:color="000000"/>
          <w:bdr w:val="nil"/>
          <w:lang w:val="fr-FR" w:eastAsia="en-GB"/>
          <w14:textOutline w14:w="0" w14:cap="flat" w14:cmpd="sng" w14:algn="ctr">
            <w14:noFill/>
            <w14:prstDash w14:val="solid"/>
            <w14:bevel/>
          </w14:textOutline>
        </w:rPr>
      </w:pPr>
      <w:r w:rsidRPr="001012C4">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t>En outre, les statistiques de production de capture de la FAO se rapportent aux données de débarquement déclarées et peuvent donc ne pas tenir compte des spécimens capturés accidentellement et remis à l’eau (rejetés), qui peuvent subir des niveaux variables de mortalité à bord du navire ou après la remise à l’eau. Par conséquent, la recherche à l’échelle régionale et mondiale concernant la quantité totale d’espèces de requins et de raies qui sont capturées avec identification du sort des spécimens est essentielle pour compléter la feuille de route de la conservation des requins et des raies et informer les prochaines étapes.</w:t>
      </w:r>
    </w:p>
    <w:p w14:paraId="4828814D"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p>
    <w:p w14:paraId="54F54010" w14:textId="6E2E7834" w:rsidR="001012C4" w:rsidRDefault="001012C4" w:rsidP="00016A72">
      <w:pPr>
        <w:widowControl/>
        <w:pBdr>
          <w:top w:val="nil"/>
          <w:left w:val="nil"/>
          <w:bottom w:val="nil"/>
          <w:right w:val="nil"/>
          <w:between w:val="nil"/>
          <w:bar w:val="nil"/>
        </w:pBdr>
        <w:autoSpaceDE/>
        <w:autoSpaceDN/>
        <w:adjustRightInd/>
        <w:jc w:val="both"/>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pPr>
      <w:r>
        <w:rPr>
          <w:rFonts w:ascii="Arial" w:eastAsia="Arial Unicode MS" w:hAnsi="Arial" w:cs="Arial"/>
          <w:color w:val="000000"/>
          <w:sz w:val="22"/>
          <w:szCs w:val="22"/>
          <w:u w:color="000000"/>
          <w:bdr w:val="nil"/>
          <w:lang w:val="fr-FR" w:eastAsia="en-GB"/>
          <w14:textOutline w14:w="0" w14:cap="flat" w14:cmpd="sng" w14:algn="ctr">
            <w14:noFill/>
            <w14:prstDash w14:val="solid"/>
            <w14:bevel/>
          </w14:textOutline>
        </w:rPr>
        <w:br w:type="page"/>
      </w:r>
    </w:p>
    <w:p w14:paraId="5FA77E87" w14:textId="77777777" w:rsidR="00016A72" w:rsidRPr="001012C4" w:rsidRDefault="00016A72" w:rsidP="001012C4">
      <w:pPr>
        <w:widowControl/>
        <w:pBdr>
          <w:top w:val="nil"/>
          <w:left w:val="nil"/>
          <w:bottom w:val="nil"/>
          <w:right w:val="nil"/>
          <w:between w:val="nil"/>
          <w:bar w:val="nil"/>
        </w:pBdr>
        <w:autoSpaceDE/>
        <w:autoSpaceDN/>
        <w:adjustRightInd/>
        <w:jc w:val="both"/>
        <w:outlineLvl w:val="1"/>
        <w:rPr>
          <w:rFonts w:ascii="Arial" w:hAnsi="Arial" w:cs="Arial"/>
          <w:b/>
          <w:bCs/>
          <w:sz w:val="22"/>
          <w:szCs w:val="22"/>
          <w:u w:val="single"/>
        </w:rPr>
      </w:pPr>
      <w:proofErr w:type="spellStart"/>
      <w:r w:rsidRPr="001012C4">
        <w:rPr>
          <w:rFonts w:ascii="Arial" w:hAnsi="Arial" w:cs="Arial"/>
          <w:b/>
          <w:bCs/>
          <w:sz w:val="22"/>
          <w:szCs w:val="22"/>
          <w:u w:val="single"/>
        </w:rPr>
        <w:lastRenderedPageBreak/>
        <w:t>Références</w:t>
      </w:r>
      <w:proofErr w:type="spellEnd"/>
    </w:p>
    <w:p w14:paraId="37ADDD48" w14:textId="77777777" w:rsidR="00016A72" w:rsidRPr="001012C4" w:rsidRDefault="00016A72" w:rsidP="00016A72">
      <w:pPr>
        <w:widowControl/>
        <w:pBdr>
          <w:top w:val="nil"/>
          <w:left w:val="nil"/>
          <w:bottom w:val="nil"/>
          <w:right w:val="nil"/>
          <w:between w:val="nil"/>
          <w:bar w:val="nil"/>
        </w:pBdr>
        <w:autoSpaceDE/>
        <w:autoSpaceDN/>
        <w:adjustRightInd/>
        <w:ind w:left="360" w:hanging="360"/>
        <w:jc w:val="both"/>
        <w:outlineLvl w:val="1"/>
        <w:rPr>
          <w:rFonts w:ascii="Arial" w:hAnsi="Arial" w:cs="Arial"/>
          <w:b/>
          <w:bCs/>
          <w:sz w:val="22"/>
          <w:szCs w:val="22"/>
          <w:u w:val="single"/>
        </w:rPr>
      </w:pPr>
    </w:p>
    <w:p w14:paraId="240EDDA3"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Al-</w:t>
      </w:r>
      <w:proofErr w:type="spellStart"/>
      <w:r w:rsidRPr="001012C4">
        <w:rPr>
          <w:rFonts w:ascii="Arial" w:hAnsi="Arial" w:cs="Arial"/>
          <w:szCs w:val="20"/>
        </w:rPr>
        <w:t>Zibdah</w:t>
      </w:r>
      <w:proofErr w:type="spellEnd"/>
      <w:r w:rsidRPr="001012C4">
        <w:rPr>
          <w:rFonts w:ascii="Arial" w:hAnsi="Arial" w:cs="Arial"/>
          <w:szCs w:val="20"/>
        </w:rPr>
        <w:t xml:space="preserve">, M. Khalaf, M. </w:t>
      </w:r>
      <w:proofErr w:type="spellStart"/>
      <w:r w:rsidRPr="001012C4">
        <w:rPr>
          <w:rFonts w:ascii="Arial" w:hAnsi="Arial" w:cs="Arial"/>
          <w:szCs w:val="20"/>
        </w:rPr>
        <w:t>Odat</w:t>
      </w:r>
      <w:proofErr w:type="spellEnd"/>
      <w:r w:rsidRPr="001012C4">
        <w:rPr>
          <w:rFonts w:ascii="Arial" w:hAnsi="Arial" w:cs="Arial"/>
          <w:szCs w:val="20"/>
        </w:rPr>
        <w:t xml:space="preserve"> N (2006) The Fishery Status in Jordan' s Gulf of Aqaba, Red Sea. Pure Sci 33:127-142</w:t>
      </w:r>
    </w:p>
    <w:p w14:paraId="69597ED1"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Cashion MS, Bailly N, Pauly D (2019) Official catch data underrepresent shark and ray taxa caught in Mediterranean and Black Sea fisheries. Mar Policy 105:1-9. https://doi.org/10.1016/j.marpol.2019.02.041</w:t>
      </w:r>
    </w:p>
    <w:p w14:paraId="29631881"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Clarke SC, McAllister MK, Milner-Gulland EJ, et al (2006) Global estimates of shark catches using trade records from commercial markets. </w:t>
      </w:r>
      <w:proofErr w:type="spellStart"/>
      <w:r w:rsidRPr="001012C4">
        <w:rPr>
          <w:rFonts w:ascii="Arial" w:hAnsi="Arial" w:cs="Arial"/>
          <w:szCs w:val="20"/>
        </w:rPr>
        <w:t>Ecol</w:t>
      </w:r>
      <w:proofErr w:type="spellEnd"/>
      <w:r w:rsidRPr="001012C4">
        <w:rPr>
          <w:rFonts w:ascii="Arial" w:hAnsi="Arial" w:cs="Arial"/>
          <w:szCs w:val="20"/>
        </w:rPr>
        <w:t xml:space="preserve"> Lett 9:1115-1126. https://doi.org/10.1111/j.1461-0248.2006.00968.x</w:t>
      </w:r>
    </w:p>
    <w:p w14:paraId="59AFDB03"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proofErr w:type="spellStart"/>
      <w:r w:rsidRPr="001012C4">
        <w:rPr>
          <w:rFonts w:ascii="Arial" w:hAnsi="Arial" w:cs="Arial"/>
          <w:szCs w:val="20"/>
        </w:rPr>
        <w:t>Dulvy</w:t>
      </w:r>
      <w:proofErr w:type="spellEnd"/>
      <w:r w:rsidRPr="001012C4">
        <w:rPr>
          <w:rFonts w:ascii="Arial" w:hAnsi="Arial" w:cs="Arial"/>
          <w:szCs w:val="20"/>
        </w:rPr>
        <w:t xml:space="preserve"> NK, </w:t>
      </w:r>
      <w:proofErr w:type="spellStart"/>
      <w:r w:rsidRPr="001012C4">
        <w:rPr>
          <w:rFonts w:ascii="Arial" w:hAnsi="Arial" w:cs="Arial"/>
          <w:szCs w:val="20"/>
        </w:rPr>
        <w:t>Pacoureau</w:t>
      </w:r>
      <w:proofErr w:type="spellEnd"/>
      <w:r w:rsidRPr="001012C4">
        <w:rPr>
          <w:rFonts w:ascii="Arial" w:hAnsi="Arial" w:cs="Arial"/>
          <w:szCs w:val="20"/>
        </w:rPr>
        <w:t xml:space="preserve"> N, Rigby CL, et al (2021) Overfishing drives over one-third of all sharks and rays toward a global extinction crisis. </w:t>
      </w:r>
      <w:proofErr w:type="spellStart"/>
      <w:r w:rsidRPr="001012C4">
        <w:rPr>
          <w:rFonts w:ascii="Arial" w:hAnsi="Arial" w:cs="Arial"/>
          <w:szCs w:val="20"/>
        </w:rPr>
        <w:t>Curr</w:t>
      </w:r>
      <w:proofErr w:type="spellEnd"/>
      <w:r w:rsidRPr="001012C4">
        <w:rPr>
          <w:rFonts w:ascii="Arial" w:hAnsi="Arial" w:cs="Arial"/>
          <w:szCs w:val="20"/>
        </w:rPr>
        <w:t xml:space="preserve"> Biol. https://doi.org/10.1016/j.cub.2021.08.062</w:t>
      </w:r>
    </w:p>
    <w:p w14:paraId="4A71ED3D"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Elhassan IS (2018) Occurrence of the green sawfish </w:t>
      </w:r>
      <w:proofErr w:type="spellStart"/>
      <w:r w:rsidRPr="001012C4">
        <w:rPr>
          <w:rFonts w:ascii="Arial" w:hAnsi="Arial" w:cs="Arial"/>
          <w:szCs w:val="20"/>
        </w:rPr>
        <w:t>Pristis</w:t>
      </w:r>
      <w:proofErr w:type="spellEnd"/>
      <w:r w:rsidRPr="001012C4">
        <w:rPr>
          <w:rFonts w:ascii="Arial" w:hAnsi="Arial" w:cs="Arial"/>
          <w:szCs w:val="20"/>
        </w:rPr>
        <w:t xml:space="preserve"> </w:t>
      </w:r>
      <w:proofErr w:type="spellStart"/>
      <w:r w:rsidRPr="001012C4">
        <w:rPr>
          <w:rFonts w:ascii="Arial" w:hAnsi="Arial" w:cs="Arial"/>
          <w:szCs w:val="20"/>
        </w:rPr>
        <w:t>zijsron</w:t>
      </w:r>
      <w:proofErr w:type="spellEnd"/>
      <w:r w:rsidRPr="001012C4">
        <w:rPr>
          <w:rFonts w:ascii="Arial" w:hAnsi="Arial" w:cs="Arial"/>
          <w:szCs w:val="20"/>
        </w:rPr>
        <w:t xml:space="preserve"> in the Sudanese Red Sea with observations on reproduction. Endanger Species Res 36:41–47. https://doi.org/10.3354/esr00873</w:t>
      </w:r>
    </w:p>
    <w:p w14:paraId="0FA70D43"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Ellis JR, Barker J, McCully Phillips SR, et al (2021) Angel sharks (</w:t>
      </w:r>
      <w:proofErr w:type="spellStart"/>
      <w:r w:rsidRPr="001012C4">
        <w:rPr>
          <w:rFonts w:ascii="Arial" w:hAnsi="Arial" w:cs="Arial"/>
          <w:szCs w:val="20"/>
        </w:rPr>
        <w:t>Squatinidae</w:t>
      </w:r>
      <w:proofErr w:type="spellEnd"/>
      <w:r w:rsidRPr="001012C4">
        <w:rPr>
          <w:rFonts w:ascii="Arial" w:hAnsi="Arial" w:cs="Arial"/>
          <w:szCs w:val="20"/>
        </w:rPr>
        <w:t>): A review of biological knowledge and exploitation. J Fish Biol 98:592–621. https://doi.org/10.1111/JFB.14613</w:t>
      </w:r>
    </w:p>
    <w:p w14:paraId="16B47D7D"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Garibaldi L (2012) The FAO global capture production database: A six-decade effort to catch the trend. Mar Policy 36:760–768. https://doi.org/10.1016/j.marpol.2011.10.024</w:t>
      </w:r>
    </w:p>
    <w:p w14:paraId="253ED617"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Glaser S, Roberts P, Mazurek R, et al (2015) Securing Somali Fisheries. Denver, CO</w:t>
      </w:r>
    </w:p>
    <w:p w14:paraId="76A7F43D"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ICES (2019) Basking shark (</w:t>
      </w:r>
      <w:proofErr w:type="spellStart"/>
      <w:r w:rsidRPr="001012C4">
        <w:rPr>
          <w:rFonts w:ascii="Arial" w:hAnsi="Arial" w:cs="Arial"/>
          <w:szCs w:val="20"/>
        </w:rPr>
        <w:t>Cetorhinus</w:t>
      </w:r>
      <w:proofErr w:type="spellEnd"/>
      <w:r w:rsidRPr="001012C4">
        <w:rPr>
          <w:rFonts w:ascii="Arial" w:hAnsi="Arial" w:cs="Arial"/>
          <w:szCs w:val="20"/>
        </w:rPr>
        <w:t xml:space="preserve"> maximus) in subareas 1–10, 12, and 14 (Northeast Atlantic and adjacent waters).</w:t>
      </w:r>
    </w:p>
    <w:p w14:paraId="2451B7BB"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proofErr w:type="spellStart"/>
      <w:r w:rsidRPr="001012C4">
        <w:rPr>
          <w:rFonts w:ascii="Arial" w:hAnsi="Arial" w:cs="Arial"/>
          <w:szCs w:val="20"/>
        </w:rPr>
        <w:t>Irsan</w:t>
      </w:r>
      <w:proofErr w:type="spellEnd"/>
      <w:r w:rsidRPr="001012C4">
        <w:rPr>
          <w:rFonts w:ascii="Arial" w:hAnsi="Arial" w:cs="Arial"/>
          <w:szCs w:val="20"/>
        </w:rPr>
        <w:t xml:space="preserve"> A, </w:t>
      </w:r>
      <w:proofErr w:type="spellStart"/>
      <w:r w:rsidRPr="001012C4">
        <w:rPr>
          <w:rFonts w:ascii="Arial" w:hAnsi="Arial" w:cs="Arial"/>
          <w:szCs w:val="20"/>
        </w:rPr>
        <w:t>Wijayanti</w:t>
      </w:r>
      <w:proofErr w:type="spellEnd"/>
      <w:r w:rsidRPr="001012C4">
        <w:rPr>
          <w:rFonts w:ascii="Arial" w:hAnsi="Arial" w:cs="Arial"/>
          <w:szCs w:val="20"/>
        </w:rPr>
        <w:t xml:space="preserve"> F, </w:t>
      </w:r>
      <w:proofErr w:type="spellStart"/>
      <w:r w:rsidRPr="001012C4">
        <w:rPr>
          <w:rFonts w:ascii="Arial" w:hAnsi="Arial" w:cs="Arial"/>
          <w:szCs w:val="20"/>
        </w:rPr>
        <w:t>Assuyuti</w:t>
      </w:r>
      <w:proofErr w:type="spellEnd"/>
      <w:r w:rsidRPr="001012C4">
        <w:rPr>
          <w:rFonts w:ascii="Arial" w:hAnsi="Arial" w:cs="Arial"/>
          <w:szCs w:val="20"/>
        </w:rPr>
        <w:t xml:space="preserve"> YM, </w:t>
      </w:r>
      <w:proofErr w:type="spellStart"/>
      <w:r w:rsidRPr="001012C4">
        <w:rPr>
          <w:rFonts w:ascii="Arial" w:hAnsi="Arial" w:cs="Arial"/>
          <w:szCs w:val="20"/>
        </w:rPr>
        <w:t>Yuneri</w:t>
      </w:r>
      <w:proofErr w:type="spellEnd"/>
      <w:r w:rsidRPr="001012C4">
        <w:rPr>
          <w:rFonts w:ascii="Arial" w:hAnsi="Arial" w:cs="Arial"/>
          <w:szCs w:val="20"/>
        </w:rPr>
        <w:t xml:space="preserve"> R (2021) Fisheries and Biological Aspect of Dusky Whaler Shark (Carcharhinus obscurus, Lesueur 1818) in </w:t>
      </w:r>
      <w:proofErr w:type="spellStart"/>
      <w:r w:rsidRPr="001012C4">
        <w:rPr>
          <w:rFonts w:ascii="Arial" w:hAnsi="Arial" w:cs="Arial"/>
          <w:szCs w:val="20"/>
        </w:rPr>
        <w:t>Muncar</w:t>
      </w:r>
      <w:proofErr w:type="spellEnd"/>
      <w:r w:rsidRPr="001012C4">
        <w:rPr>
          <w:rFonts w:ascii="Arial" w:hAnsi="Arial" w:cs="Arial"/>
          <w:szCs w:val="20"/>
        </w:rPr>
        <w:t xml:space="preserve"> Fishing Port, </w:t>
      </w:r>
      <w:proofErr w:type="spellStart"/>
      <w:r w:rsidRPr="001012C4">
        <w:rPr>
          <w:rFonts w:ascii="Arial" w:hAnsi="Arial" w:cs="Arial"/>
          <w:szCs w:val="20"/>
        </w:rPr>
        <w:t>Banyuwangi</w:t>
      </w:r>
      <w:proofErr w:type="spellEnd"/>
      <w:r w:rsidRPr="001012C4">
        <w:rPr>
          <w:rFonts w:ascii="Arial" w:hAnsi="Arial" w:cs="Arial"/>
          <w:szCs w:val="20"/>
        </w:rPr>
        <w:t xml:space="preserve">, Indonesia. Acta </w:t>
      </w:r>
      <w:proofErr w:type="spellStart"/>
      <w:r w:rsidRPr="001012C4">
        <w:rPr>
          <w:rFonts w:ascii="Arial" w:hAnsi="Arial" w:cs="Arial"/>
          <w:szCs w:val="20"/>
        </w:rPr>
        <w:t>Aquat</w:t>
      </w:r>
      <w:proofErr w:type="spellEnd"/>
      <w:r w:rsidRPr="001012C4">
        <w:rPr>
          <w:rFonts w:ascii="Arial" w:hAnsi="Arial" w:cs="Arial"/>
          <w:szCs w:val="20"/>
        </w:rPr>
        <w:t xml:space="preserve"> </w:t>
      </w:r>
      <w:proofErr w:type="spellStart"/>
      <w:r w:rsidRPr="001012C4">
        <w:rPr>
          <w:rFonts w:ascii="Arial" w:hAnsi="Arial" w:cs="Arial"/>
          <w:szCs w:val="20"/>
        </w:rPr>
        <w:t>Turc</w:t>
      </w:r>
      <w:proofErr w:type="spellEnd"/>
      <w:r w:rsidRPr="001012C4">
        <w:rPr>
          <w:rFonts w:ascii="Arial" w:hAnsi="Arial" w:cs="Arial"/>
          <w:szCs w:val="20"/>
        </w:rPr>
        <w:t xml:space="preserve"> 17:463–473. https://doi.org/10.22392/actaquatr.812389</w:t>
      </w:r>
    </w:p>
    <w:p w14:paraId="6E02463D"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proofErr w:type="spellStart"/>
      <w:r w:rsidRPr="001012C4">
        <w:rPr>
          <w:rFonts w:ascii="Arial" w:hAnsi="Arial" w:cs="Arial"/>
          <w:szCs w:val="20"/>
        </w:rPr>
        <w:t>Kabasakal</w:t>
      </w:r>
      <w:proofErr w:type="spellEnd"/>
      <w:r w:rsidRPr="001012C4">
        <w:rPr>
          <w:rFonts w:ascii="Arial" w:hAnsi="Arial" w:cs="Arial"/>
          <w:szCs w:val="20"/>
        </w:rPr>
        <w:t xml:space="preserve"> H, </w:t>
      </w:r>
      <w:proofErr w:type="spellStart"/>
      <w:r w:rsidRPr="001012C4">
        <w:rPr>
          <w:rFonts w:ascii="Arial" w:hAnsi="Arial" w:cs="Arial"/>
          <w:szCs w:val="20"/>
        </w:rPr>
        <w:t>Bayri</w:t>
      </w:r>
      <w:proofErr w:type="spellEnd"/>
      <w:r w:rsidRPr="001012C4">
        <w:rPr>
          <w:rFonts w:ascii="Arial" w:hAnsi="Arial" w:cs="Arial"/>
          <w:szCs w:val="20"/>
        </w:rPr>
        <w:t xml:space="preserve"> E, Ataç E (2018) Recent records of the great white shark, Carcharodon carcharias (Linnaeus, 1758) (</w:t>
      </w:r>
      <w:proofErr w:type="spellStart"/>
      <w:r w:rsidRPr="001012C4">
        <w:rPr>
          <w:rFonts w:ascii="Arial" w:hAnsi="Arial" w:cs="Arial"/>
          <w:szCs w:val="20"/>
        </w:rPr>
        <w:t>chondrichthyes</w:t>
      </w:r>
      <w:proofErr w:type="spellEnd"/>
      <w:r w:rsidRPr="001012C4">
        <w:rPr>
          <w:rFonts w:ascii="Arial" w:hAnsi="Arial" w:cs="Arial"/>
          <w:szCs w:val="20"/>
        </w:rPr>
        <w:t xml:space="preserve">: Lamnidae), in Turkish waters (eastern </w:t>
      </w:r>
      <w:proofErr w:type="spellStart"/>
      <w:r w:rsidRPr="001012C4">
        <w:rPr>
          <w:rFonts w:ascii="Arial" w:hAnsi="Arial" w:cs="Arial"/>
          <w:szCs w:val="20"/>
        </w:rPr>
        <w:t>mediterranean</w:t>
      </w:r>
      <w:proofErr w:type="spellEnd"/>
      <w:r w:rsidRPr="001012C4">
        <w:rPr>
          <w:rFonts w:ascii="Arial" w:hAnsi="Arial" w:cs="Arial"/>
          <w:szCs w:val="20"/>
        </w:rPr>
        <w:t>). Ann Ser Hist Nat 28:93–98. https://doi.org/10.19233/ASHN.2018.10</w:t>
      </w:r>
    </w:p>
    <w:p w14:paraId="684D9309"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King J, McFarlane GA, </w:t>
      </w:r>
      <w:proofErr w:type="spellStart"/>
      <w:r w:rsidRPr="001012C4">
        <w:rPr>
          <w:rFonts w:ascii="Arial" w:hAnsi="Arial" w:cs="Arial"/>
          <w:szCs w:val="20"/>
        </w:rPr>
        <w:t>Gertseva</w:t>
      </w:r>
      <w:proofErr w:type="spellEnd"/>
      <w:r w:rsidRPr="001012C4">
        <w:rPr>
          <w:rFonts w:ascii="Arial" w:hAnsi="Arial" w:cs="Arial"/>
          <w:szCs w:val="20"/>
        </w:rPr>
        <w:t xml:space="preserve"> V, et al (2017) Shark Interactions </w:t>
      </w:r>
      <w:proofErr w:type="gramStart"/>
      <w:r w:rsidRPr="001012C4">
        <w:rPr>
          <w:rFonts w:ascii="Arial" w:hAnsi="Arial" w:cs="Arial"/>
          <w:szCs w:val="20"/>
        </w:rPr>
        <w:t>With</w:t>
      </w:r>
      <w:proofErr w:type="gramEnd"/>
      <w:r w:rsidRPr="001012C4">
        <w:rPr>
          <w:rFonts w:ascii="Arial" w:hAnsi="Arial" w:cs="Arial"/>
          <w:szCs w:val="20"/>
        </w:rPr>
        <w:t xml:space="preserve"> Directed and Incidental Fisheries in the Northeast Pacific Ocean: Historic and Current Encounters, and Challenges for Shark Conservation. In: Advances in Marine Biology. Academic Press, pp 9–44</w:t>
      </w:r>
    </w:p>
    <w:p w14:paraId="030EAA4C"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Pajuelo M, Alfaro-</w:t>
      </w:r>
      <w:proofErr w:type="spellStart"/>
      <w:r w:rsidRPr="001012C4">
        <w:rPr>
          <w:rFonts w:ascii="Arial" w:hAnsi="Arial" w:cs="Arial"/>
          <w:szCs w:val="20"/>
        </w:rPr>
        <w:t>Shigueto</w:t>
      </w:r>
      <w:proofErr w:type="spellEnd"/>
      <w:r w:rsidRPr="001012C4">
        <w:rPr>
          <w:rFonts w:ascii="Arial" w:hAnsi="Arial" w:cs="Arial"/>
          <w:szCs w:val="20"/>
        </w:rPr>
        <w:t xml:space="preserve"> J, Romero M, et al (2018) Occurrence and Bycatch of Juvenile and Neonate Whale Sharks (Rhincodon typus) in Peruvian Waters. Pacific Sci 72:463–473. https://doi.org/10.2984/72.4.6</w:t>
      </w:r>
    </w:p>
    <w:p w14:paraId="64A7D9E8"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Pauly D, Zeller D (2016) Catch reconstructions reveal that global marine fisheries catches are higher than reported and declining. Nat </w:t>
      </w:r>
      <w:proofErr w:type="spellStart"/>
      <w:r w:rsidRPr="001012C4">
        <w:rPr>
          <w:rFonts w:ascii="Arial" w:hAnsi="Arial" w:cs="Arial"/>
          <w:szCs w:val="20"/>
        </w:rPr>
        <w:t>Commun</w:t>
      </w:r>
      <w:proofErr w:type="spellEnd"/>
      <w:r w:rsidRPr="001012C4">
        <w:rPr>
          <w:rFonts w:ascii="Arial" w:hAnsi="Arial" w:cs="Arial"/>
          <w:szCs w:val="20"/>
        </w:rPr>
        <w:t xml:space="preserve"> 2016 71 7:1–9. https://doi.org/10.1038/ncomms10244</w:t>
      </w:r>
    </w:p>
    <w:p w14:paraId="165F913F"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Purushottama GB, Raje SG, </w:t>
      </w:r>
      <w:proofErr w:type="spellStart"/>
      <w:r w:rsidRPr="001012C4">
        <w:rPr>
          <w:rFonts w:ascii="Arial" w:hAnsi="Arial" w:cs="Arial"/>
          <w:szCs w:val="20"/>
        </w:rPr>
        <w:t>Thakurdas</w:t>
      </w:r>
      <w:proofErr w:type="spellEnd"/>
      <w:r w:rsidRPr="001012C4">
        <w:rPr>
          <w:rFonts w:ascii="Arial" w:hAnsi="Arial" w:cs="Arial"/>
          <w:szCs w:val="20"/>
        </w:rPr>
        <w:t xml:space="preserve">, et al (2020) Reproductive biology and diet composition of </w:t>
      </w:r>
      <w:proofErr w:type="spellStart"/>
      <w:r w:rsidRPr="001012C4">
        <w:rPr>
          <w:rFonts w:ascii="Arial" w:hAnsi="Arial" w:cs="Arial"/>
          <w:szCs w:val="20"/>
        </w:rPr>
        <w:t>Rhynchobatus</w:t>
      </w:r>
      <w:proofErr w:type="spellEnd"/>
      <w:r w:rsidRPr="001012C4">
        <w:rPr>
          <w:rFonts w:ascii="Arial" w:hAnsi="Arial" w:cs="Arial"/>
          <w:szCs w:val="20"/>
        </w:rPr>
        <w:t xml:space="preserve"> </w:t>
      </w:r>
      <w:proofErr w:type="spellStart"/>
      <w:r w:rsidRPr="001012C4">
        <w:rPr>
          <w:rFonts w:ascii="Arial" w:hAnsi="Arial" w:cs="Arial"/>
          <w:szCs w:val="20"/>
        </w:rPr>
        <w:t>laevis</w:t>
      </w:r>
      <w:proofErr w:type="spellEnd"/>
      <w:r w:rsidRPr="001012C4">
        <w:rPr>
          <w:rFonts w:ascii="Arial" w:hAnsi="Arial" w:cs="Arial"/>
          <w:szCs w:val="20"/>
        </w:rPr>
        <w:t xml:space="preserve"> (Bloch and schneider, 1801) (</w:t>
      </w:r>
      <w:proofErr w:type="spellStart"/>
      <w:proofErr w:type="gramStart"/>
      <w:r w:rsidRPr="001012C4">
        <w:rPr>
          <w:rFonts w:ascii="Arial" w:hAnsi="Arial" w:cs="Arial"/>
          <w:szCs w:val="20"/>
        </w:rPr>
        <w:t>rhinopristiformes:Rhinidae</w:t>
      </w:r>
      <w:proofErr w:type="spellEnd"/>
      <w:proofErr w:type="gramEnd"/>
      <w:r w:rsidRPr="001012C4">
        <w:rPr>
          <w:rFonts w:ascii="Arial" w:hAnsi="Arial" w:cs="Arial"/>
          <w:szCs w:val="20"/>
        </w:rPr>
        <w:t>) from the northern Indian ocean. Indian J Fish 67:13–23. https://doi.org/10.21077/ijf.2020.67.4.95636-02</w:t>
      </w:r>
    </w:p>
    <w:p w14:paraId="6B53E0F2"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Sala E, Mayorga J, Costello C, et al (2018) The economics of fishing the high seas. Sci Adv </w:t>
      </w:r>
      <w:proofErr w:type="gramStart"/>
      <w:r w:rsidRPr="001012C4">
        <w:rPr>
          <w:rFonts w:ascii="Arial" w:hAnsi="Arial" w:cs="Arial"/>
          <w:szCs w:val="20"/>
        </w:rPr>
        <w:t>4:.</w:t>
      </w:r>
      <w:proofErr w:type="gramEnd"/>
      <w:r w:rsidRPr="001012C4">
        <w:rPr>
          <w:rFonts w:ascii="Arial" w:hAnsi="Arial" w:cs="Arial"/>
          <w:szCs w:val="20"/>
        </w:rPr>
        <w:t xml:space="preserve"> https://doi.org/10.1126/sciadv.aat2504</w:t>
      </w:r>
    </w:p>
    <w:p w14:paraId="0BE99390"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Sathiyaselvam P, Prashanthi P, </w:t>
      </w:r>
      <w:proofErr w:type="spellStart"/>
      <w:r w:rsidRPr="001012C4">
        <w:rPr>
          <w:rFonts w:ascii="Arial" w:hAnsi="Arial" w:cs="Arial"/>
          <w:szCs w:val="20"/>
        </w:rPr>
        <w:t>Kathula</w:t>
      </w:r>
      <w:proofErr w:type="spellEnd"/>
      <w:r w:rsidRPr="001012C4">
        <w:rPr>
          <w:rFonts w:ascii="Arial" w:hAnsi="Arial" w:cs="Arial"/>
          <w:szCs w:val="20"/>
        </w:rPr>
        <w:t xml:space="preserve"> T, et al (2019) Increasing numbers of whale sharks along the Andhra Pradesh coast, India – the conservation and management initiatives taken by EGREE Foundation. In: </w:t>
      </w:r>
      <w:proofErr w:type="spellStart"/>
      <w:r w:rsidRPr="001012C4">
        <w:rPr>
          <w:rFonts w:ascii="Arial" w:hAnsi="Arial" w:cs="Arial"/>
          <w:szCs w:val="20"/>
        </w:rPr>
        <w:t>QScience</w:t>
      </w:r>
      <w:proofErr w:type="spellEnd"/>
      <w:r w:rsidRPr="001012C4">
        <w:rPr>
          <w:rFonts w:ascii="Arial" w:hAnsi="Arial" w:cs="Arial"/>
          <w:szCs w:val="20"/>
        </w:rPr>
        <w:t xml:space="preserve"> Proceedings, The 4th International Whale Shark Conference. Hamad bin Khalifa University Press (HBKU Press), p 55</w:t>
      </w:r>
    </w:p>
    <w:p w14:paraId="1ACEA14E"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Selig ER, Nakayama S, Wabnitz CCC, et al (2022) Revealing global risks of labor abuse and illegal, unreported, and unregulated fishing. Nat </w:t>
      </w:r>
      <w:proofErr w:type="spellStart"/>
      <w:r w:rsidRPr="001012C4">
        <w:rPr>
          <w:rFonts w:ascii="Arial" w:hAnsi="Arial" w:cs="Arial"/>
          <w:szCs w:val="20"/>
        </w:rPr>
        <w:t>Commun</w:t>
      </w:r>
      <w:proofErr w:type="spellEnd"/>
      <w:r w:rsidRPr="001012C4">
        <w:rPr>
          <w:rFonts w:ascii="Arial" w:hAnsi="Arial" w:cs="Arial"/>
          <w:szCs w:val="20"/>
        </w:rPr>
        <w:t xml:space="preserve"> 2022 131 13:1–11. https://doi.org/10.1038/s41467-022-28916-2</w:t>
      </w:r>
    </w:p>
    <w:p w14:paraId="040EE456" w14:textId="77777777" w:rsidR="00016A72" w:rsidRPr="001012C4" w:rsidRDefault="00016A72" w:rsidP="00016A72">
      <w:pPr>
        <w:widowControl/>
        <w:pBdr>
          <w:top w:val="nil"/>
          <w:left w:val="nil"/>
          <w:bottom w:val="nil"/>
          <w:right w:val="nil"/>
          <w:between w:val="nil"/>
          <w:bar w:val="nil"/>
        </w:pBdr>
        <w:autoSpaceDE/>
        <w:autoSpaceDN/>
        <w:adjustRightInd/>
        <w:spacing w:after="80"/>
        <w:ind w:left="540" w:hanging="540"/>
        <w:jc w:val="both"/>
        <w:outlineLvl w:val="1"/>
        <w:rPr>
          <w:rFonts w:ascii="Arial" w:hAnsi="Arial" w:cs="Arial"/>
          <w:szCs w:val="20"/>
        </w:rPr>
      </w:pPr>
      <w:r w:rsidRPr="001012C4">
        <w:rPr>
          <w:rFonts w:ascii="Arial" w:hAnsi="Arial" w:cs="Arial"/>
          <w:szCs w:val="20"/>
        </w:rPr>
        <w:t xml:space="preserve">Wainwright BJ, Ip YCA, Neo ML, et al (2018) DNA barcoding of traded shark fins, meat and </w:t>
      </w:r>
      <w:proofErr w:type="spellStart"/>
      <w:r w:rsidRPr="001012C4">
        <w:rPr>
          <w:rFonts w:ascii="Arial" w:hAnsi="Arial" w:cs="Arial"/>
          <w:szCs w:val="20"/>
        </w:rPr>
        <w:t>mobulid</w:t>
      </w:r>
      <w:proofErr w:type="spellEnd"/>
      <w:r w:rsidRPr="001012C4">
        <w:rPr>
          <w:rFonts w:ascii="Arial" w:hAnsi="Arial" w:cs="Arial"/>
          <w:szCs w:val="20"/>
        </w:rPr>
        <w:t xml:space="preserve"> gill plates in Singapore uncovers numerous threatened species. </w:t>
      </w:r>
      <w:proofErr w:type="spellStart"/>
      <w:r w:rsidRPr="001012C4">
        <w:rPr>
          <w:rFonts w:ascii="Arial" w:hAnsi="Arial" w:cs="Arial"/>
          <w:szCs w:val="20"/>
        </w:rPr>
        <w:t>Conserv</w:t>
      </w:r>
      <w:proofErr w:type="spellEnd"/>
      <w:r w:rsidRPr="001012C4">
        <w:rPr>
          <w:rFonts w:ascii="Arial" w:hAnsi="Arial" w:cs="Arial"/>
          <w:szCs w:val="20"/>
        </w:rPr>
        <w:t xml:space="preserve"> Genet 19:1393–1399. https://doi.org/10.1007/s10592-018-1108-1</w:t>
      </w:r>
    </w:p>
    <w:p w14:paraId="4A5A7728" w14:textId="77777777" w:rsidR="00016A72" w:rsidRPr="001012C4" w:rsidRDefault="00016A72" w:rsidP="00016A72">
      <w:pPr>
        <w:spacing w:after="80"/>
        <w:ind w:left="540" w:right="26" w:hanging="540"/>
        <w:jc w:val="both"/>
        <w:rPr>
          <w:rFonts w:ascii="Arial" w:hAnsi="Arial" w:cs="Arial"/>
          <w:szCs w:val="20"/>
        </w:rPr>
      </w:pPr>
      <w:r w:rsidRPr="001012C4">
        <w:rPr>
          <w:rFonts w:ascii="Arial" w:hAnsi="Arial" w:cs="Arial"/>
          <w:szCs w:val="20"/>
        </w:rPr>
        <w:t xml:space="preserve">White WT, Corrigan S, Yang L, et al (2018) Phylogeny of the manta and </w:t>
      </w:r>
      <w:proofErr w:type="spellStart"/>
      <w:r w:rsidRPr="001012C4">
        <w:rPr>
          <w:rFonts w:ascii="Arial" w:hAnsi="Arial" w:cs="Arial"/>
          <w:szCs w:val="20"/>
        </w:rPr>
        <w:t>devilrays</w:t>
      </w:r>
      <w:proofErr w:type="spellEnd"/>
      <w:r w:rsidRPr="001012C4">
        <w:rPr>
          <w:rFonts w:ascii="Arial" w:hAnsi="Arial" w:cs="Arial"/>
          <w:szCs w:val="20"/>
        </w:rPr>
        <w:t xml:space="preserve"> (Chondrichthyes: </w:t>
      </w:r>
      <w:proofErr w:type="spellStart"/>
      <w:r w:rsidRPr="001012C4">
        <w:rPr>
          <w:rFonts w:ascii="Arial" w:hAnsi="Arial" w:cs="Arial"/>
          <w:szCs w:val="20"/>
        </w:rPr>
        <w:t>Mobulidae</w:t>
      </w:r>
      <w:proofErr w:type="spellEnd"/>
      <w:r w:rsidRPr="001012C4">
        <w:rPr>
          <w:rFonts w:ascii="Arial" w:hAnsi="Arial" w:cs="Arial"/>
          <w:szCs w:val="20"/>
        </w:rPr>
        <w:t xml:space="preserve">), with an updated taxonomic arrangement for the family. </w:t>
      </w:r>
      <w:proofErr w:type="spellStart"/>
      <w:r w:rsidRPr="001012C4">
        <w:rPr>
          <w:rFonts w:ascii="Arial" w:hAnsi="Arial" w:cs="Arial"/>
          <w:szCs w:val="20"/>
        </w:rPr>
        <w:t>Zool</w:t>
      </w:r>
      <w:proofErr w:type="spellEnd"/>
      <w:r w:rsidRPr="001012C4">
        <w:rPr>
          <w:rFonts w:ascii="Arial" w:hAnsi="Arial" w:cs="Arial"/>
          <w:szCs w:val="20"/>
        </w:rPr>
        <w:t xml:space="preserve"> J Linn Soc 182:50–75.</w:t>
      </w:r>
      <w:hyperlink r:id="rId37" w:history="1">
        <w:r w:rsidRPr="001012C4">
          <w:rPr>
            <w:rStyle w:val="Hyperlink"/>
            <w:rFonts w:ascii="Arial" w:hAnsi="Arial" w:cs="Arial"/>
            <w:szCs w:val="20"/>
          </w:rPr>
          <w:t>https://doi.org/10.1093/</w:t>
        </w:r>
        <w:proofErr w:type="spellStart"/>
        <w:r w:rsidRPr="001012C4">
          <w:rPr>
            <w:rStyle w:val="Hyperlink"/>
            <w:rFonts w:ascii="Arial" w:hAnsi="Arial" w:cs="Arial"/>
            <w:szCs w:val="20"/>
          </w:rPr>
          <w:t>zoolinnean</w:t>
        </w:r>
        <w:proofErr w:type="spellEnd"/>
        <w:r w:rsidRPr="001012C4">
          <w:rPr>
            <w:rStyle w:val="Hyperlink"/>
            <w:rFonts w:ascii="Arial" w:hAnsi="Arial" w:cs="Arial"/>
            <w:szCs w:val="20"/>
          </w:rPr>
          <w:t>/zlx018</w:t>
        </w:r>
      </w:hyperlink>
      <w:r w:rsidRPr="001012C4">
        <w:rPr>
          <w:rFonts w:ascii="Arial" w:hAnsi="Arial" w:cs="Arial"/>
          <w:szCs w:val="20"/>
        </w:rPr>
        <w:t>.</w:t>
      </w:r>
    </w:p>
    <w:p w14:paraId="0B9A110D" w14:textId="77777777" w:rsidR="00016A72" w:rsidRPr="00995C01" w:rsidRDefault="00016A72" w:rsidP="00016A72">
      <w:pPr>
        <w:spacing w:after="80"/>
        <w:ind w:left="540" w:right="26" w:hanging="540"/>
        <w:jc w:val="both"/>
        <w:rPr>
          <w:szCs w:val="20"/>
        </w:rPr>
      </w:pPr>
    </w:p>
    <w:p w14:paraId="308CD932" w14:textId="77777777" w:rsidR="00016A72" w:rsidRPr="00995C01" w:rsidRDefault="00016A72" w:rsidP="00016A72">
      <w:pPr>
        <w:spacing w:after="80"/>
        <w:ind w:left="540" w:right="26" w:hanging="540"/>
        <w:jc w:val="both"/>
        <w:rPr>
          <w:rFonts w:cs="Arial"/>
          <w:bCs/>
          <w:iCs/>
          <w:szCs w:val="20"/>
        </w:rPr>
        <w:sectPr w:rsidR="00016A72" w:rsidRPr="00995C01" w:rsidSect="009454AA">
          <w:headerReference w:type="first" r:id="rId38"/>
          <w:pgSz w:w="11906" w:h="16838" w:code="9"/>
          <w:pgMar w:top="1138" w:right="1138" w:bottom="1138" w:left="1138" w:header="706" w:footer="706" w:gutter="0"/>
          <w:cols w:space="720"/>
          <w:titlePg/>
          <w:docGrid w:linePitch="245"/>
        </w:sectPr>
      </w:pPr>
    </w:p>
    <w:p w14:paraId="267512DB" w14:textId="77777777" w:rsidR="00016A72" w:rsidRPr="001012C4" w:rsidRDefault="00016A72" w:rsidP="00016A72">
      <w:pPr>
        <w:widowControl/>
        <w:pBdr>
          <w:top w:val="nil"/>
          <w:left w:val="nil"/>
          <w:bottom w:val="nil"/>
          <w:right w:val="nil"/>
          <w:between w:val="nil"/>
          <w:bar w:val="nil"/>
        </w:pBdr>
        <w:autoSpaceDE/>
        <w:autoSpaceDN/>
        <w:adjustRightInd/>
        <w:spacing w:after="160" w:line="276" w:lineRule="auto"/>
        <w:jc w:val="right"/>
        <w:rPr>
          <w:rFonts w:ascii="Arial" w:hAnsi="Arial" w:cs="Arial"/>
          <w:b/>
          <w:bCs/>
          <w:sz w:val="22"/>
          <w:szCs w:val="22"/>
        </w:rPr>
      </w:pPr>
      <w:r w:rsidRPr="001012C4">
        <w:rPr>
          <w:rFonts w:ascii="Arial" w:hAnsi="Arial" w:cs="Arial"/>
          <w:b/>
          <w:bCs/>
          <w:sz w:val="22"/>
          <w:szCs w:val="22"/>
        </w:rPr>
        <w:lastRenderedPageBreak/>
        <w:t>ANNEXE 2</w:t>
      </w:r>
    </w:p>
    <w:p w14:paraId="74611E2B" w14:textId="77777777" w:rsidR="00016A72" w:rsidRPr="001012C4" w:rsidRDefault="00016A72" w:rsidP="00016A72">
      <w:pPr>
        <w:widowControl/>
        <w:pBdr>
          <w:top w:val="nil"/>
          <w:left w:val="nil"/>
          <w:bottom w:val="nil"/>
          <w:right w:val="nil"/>
          <w:between w:val="nil"/>
          <w:bar w:val="nil"/>
        </w:pBdr>
        <w:autoSpaceDE/>
        <w:autoSpaceDN/>
        <w:adjustRightInd/>
        <w:spacing w:after="160" w:line="276" w:lineRule="auto"/>
        <w:jc w:val="both"/>
        <w:rPr>
          <w:rFonts w:ascii="Arial" w:hAnsi="Arial" w:cs="Arial"/>
          <w:b/>
          <w:bCs/>
          <w:sz w:val="22"/>
          <w:szCs w:val="22"/>
        </w:rPr>
      </w:pPr>
    </w:p>
    <w:p w14:paraId="4CCF43D1" w14:textId="77777777" w:rsidR="00016A72" w:rsidRPr="001012C4" w:rsidRDefault="00016A72" w:rsidP="00016A72">
      <w:pPr>
        <w:widowControl/>
        <w:pBdr>
          <w:top w:val="nil"/>
          <w:left w:val="nil"/>
          <w:bottom w:val="nil"/>
          <w:right w:val="nil"/>
          <w:between w:val="nil"/>
          <w:bar w:val="nil"/>
        </w:pBdr>
        <w:autoSpaceDE/>
        <w:autoSpaceDN/>
        <w:adjustRightInd/>
        <w:jc w:val="center"/>
        <w:rPr>
          <w:rFonts w:ascii="Arial" w:hAnsi="Arial" w:cs="Arial"/>
          <w:b/>
          <w:bCs/>
          <w:sz w:val="22"/>
          <w:szCs w:val="22"/>
          <w:lang w:val="fr-FR"/>
        </w:rPr>
      </w:pPr>
      <w:r w:rsidRPr="001012C4">
        <w:rPr>
          <w:rFonts w:ascii="Arial" w:hAnsi="Arial" w:cs="Arial"/>
          <w:b/>
          <w:bCs/>
          <w:sz w:val="22"/>
          <w:szCs w:val="22"/>
          <w:lang w:val="fr-FR"/>
        </w:rPr>
        <w:t>RECOMMANDATIONS AUX SIGNATAIRES</w:t>
      </w:r>
    </w:p>
    <w:p w14:paraId="46698DDB" w14:textId="77777777" w:rsidR="00016A72" w:rsidRPr="001012C4" w:rsidRDefault="00016A72" w:rsidP="00016A72">
      <w:pPr>
        <w:widowControl/>
        <w:pBdr>
          <w:top w:val="nil"/>
          <w:left w:val="nil"/>
          <w:bottom w:val="nil"/>
          <w:right w:val="nil"/>
          <w:between w:val="nil"/>
          <w:bar w:val="nil"/>
        </w:pBdr>
        <w:autoSpaceDE/>
        <w:autoSpaceDN/>
        <w:adjustRightInd/>
        <w:jc w:val="center"/>
        <w:rPr>
          <w:rFonts w:ascii="Arial" w:hAnsi="Arial" w:cs="Arial"/>
          <w:b/>
          <w:bCs/>
          <w:sz w:val="22"/>
          <w:szCs w:val="22"/>
          <w:lang w:val="fr-FR"/>
        </w:rPr>
      </w:pPr>
      <w:r w:rsidRPr="001012C4">
        <w:rPr>
          <w:rFonts w:ascii="Arial" w:hAnsi="Arial" w:cs="Arial"/>
          <w:b/>
          <w:bCs/>
          <w:sz w:val="22"/>
          <w:szCs w:val="22"/>
          <w:lang w:val="fr-FR"/>
        </w:rPr>
        <w:t>POUR AMÉLIORER LA COMMUNICATION DES DONNÉES RELATIVES AUX DÉBARQUEMENTS</w:t>
      </w:r>
    </w:p>
    <w:p w14:paraId="5A73D7BC" w14:textId="77777777" w:rsidR="00016A72" w:rsidRPr="001012C4" w:rsidRDefault="00016A72" w:rsidP="00016A72">
      <w:pPr>
        <w:widowControl/>
        <w:pBdr>
          <w:top w:val="nil"/>
          <w:left w:val="nil"/>
          <w:bottom w:val="nil"/>
          <w:right w:val="nil"/>
          <w:between w:val="nil"/>
          <w:bar w:val="nil"/>
        </w:pBdr>
        <w:autoSpaceDE/>
        <w:autoSpaceDN/>
        <w:adjustRightInd/>
        <w:jc w:val="center"/>
        <w:rPr>
          <w:rFonts w:ascii="Arial" w:hAnsi="Arial" w:cs="Arial"/>
          <w:b/>
          <w:bCs/>
          <w:sz w:val="22"/>
          <w:szCs w:val="22"/>
          <w:lang w:val="fr-FR"/>
        </w:rPr>
      </w:pPr>
      <w:r w:rsidRPr="001012C4">
        <w:rPr>
          <w:rFonts w:ascii="Arial" w:hAnsi="Arial" w:cs="Arial"/>
          <w:b/>
          <w:bCs/>
          <w:sz w:val="22"/>
          <w:szCs w:val="22"/>
          <w:lang w:val="fr-FR"/>
        </w:rPr>
        <w:t>POUR LES ESPÈCES INSCRITES À L’ANNEXE 1 DU MÉMORANDUM D’ACCORD SUR LA CONSERVATION DES REQUINS MIGRATEURS</w:t>
      </w:r>
    </w:p>
    <w:p w14:paraId="29282496"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04104771"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7F916F52"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r w:rsidRPr="001012C4">
        <w:rPr>
          <w:rFonts w:ascii="Arial" w:hAnsi="Arial" w:cs="Arial"/>
          <w:sz w:val="22"/>
          <w:szCs w:val="22"/>
          <w:lang w:val="fr-FR"/>
        </w:rPr>
        <w:t>Pour exploiter efficacement les données de la FAO afin de suivre les tendances mondiales des débarquements déclarés d’espèces inscrites, il faut améliorer la qualité des données en ce qui concerne 1) la résolution taxonomique, 2) l’exhaustivité des données et 3) le contrôle de la qualité.</w:t>
      </w:r>
    </w:p>
    <w:p w14:paraId="0968A29D"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0E332466" w14:textId="77777777" w:rsidR="00016A72" w:rsidRPr="001012C4" w:rsidRDefault="00016A72" w:rsidP="00016A72">
      <w:pPr>
        <w:widowControl/>
        <w:numPr>
          <w:ilvl w:val="0"/>
          <w:numId w:val="16"/>
        </w:numPr>
        <w:pBdr>
          <w:top w:val="nil"/>
          <w:left w:val="nil"/>
          <w:bottom w:val="nil"/>
          <w:right w:val="nil"/>
          <w:between w:val="nil"/>
          <w:bar w:val="nil"/>
        </w:pBdr>
        <w:autoSpaceDE/>
        <w:autoSpaceDN/>
        <w:adjustRightInd/>
        <w:ind w:left="540" w:hanging="567"/>
        <w:contextualSpacing/>
        <w:jc w:val="both"/>
        <w:rPr>
          <w:rFonts w:ascii="Arial" w:hAnsi="Arial" w:cs="Arial"/>
          <w:b/>
          <w:bCs/>
          <w:sz w:val="22"/>
          <w:szCs w:val="22"/>
          <w:lang w:val="fr-FR"/>
        </w:rPr>
      </w:pPr>
      <w:r w:rsidRPr="001012C4">
        <w:rPr>
          <w:rFonts w:ascii="Arial" w:hAnsi="Arial" w:cs="Arial"/>
          <w:b/>
          <w:bCs/>
          <w:sz w:val="22"/>
          <w:szCs w:val="22"/>
          <w:lang w:val="fr-FR"/>
        </w:rPr>
        <w:t>Résolution taxonomique :</w:t>
      </w:r>
    </w:p>
    <w:p w14:paraId="5B081BD8" w14:textId="77777777" w:rsidR="00016A72" w:rsidRPr="001012C4" w:rsidRDefault="00016A72" w:rsidP="00016A72">
      <w:pPr>
        <w:widowControl/>
        <w:pBdr>
          <w:top w:val="nil"/>
          <w:left w:val="nil"/>
          <w:bottom w:val="nil"/>
          <w:right w:val="nil"/>
          <w:between w:val="nil"/>
          <w:bar w:val="nil"/>
        </w:pBdr>
        <w:autoSpaceDE/>
        <w:autoSpaceDN/>
        <w:adjustRightInd/>
        <w:ind w:left="567"/>
        <w:contextualSpacing/>
        <w:jc w:val="both"/>
        <w:rPr>
          <w:rFonts w:ascii="Arial" w:hAnsi="Arial" w:cs="Arial"/>
          <w:b/>
          <w:bCs/>
          <w:sz w:val="22"/>
          <w:szCs w:val="22"/>
          <w:lang w:val="fr-FR"/>
        </w:rPr>
      </w:pPr>
    </w:p>
    <w:p w14:paraId="61210F8C"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r w:rsidRPr="001012C4">
        <w:rPr>
          <w:rFonts w:ascii="Arial" w:hAnsi="Arial" w:cs="Arial"/>
          <w:sz w:val="22"/>
          <w:szCs w:val="22"/>
          <w:lang w:val="fr-FR"/>
        </w:rPr>
        <w:t xml:space="preserve">Certaines régions présentent un niveau d’incertitude assez élevé dans les débarquements déclarés, qui peuvent inclure des espèces inscrites à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w:t>
      </w:r>
    </w:p>
    <w:p w14:paraId="4C5E6525"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5C5B1CDF" w14:textId="77777777" w:rsidR="00016A72" w:rsidRPr="001012C4" w:rsidRDefault="00016A72" w:rsidP="00016A72">
      <w:pPr>
        <w:widowControl/>
        <w:numPr>
          <w:ilvl w:val="1"/>
          <w:numId w:val="17"/>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Signataires devraient évaluer leurs systèmes nationaux de collecte et de déclaration des données et s’assurer que tous les débarquements sont déclarés au niveau de l’espèce (ou du genre lorsque cela est plus approprié) ;</w:t>
      </w:r>
    </w:p>
    <w:p w14:paraId="2E6F8E73"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08B899CA" w14:textId="77777777" w:rsidR="00016A72" w:rsidRPr="001012C4" w:rsidRDefault="00016A72" w:rsidP="00016A72">
      <w:pPr>
        <w:widowControl/>
        <w:numPr>
          <w:ilvl w:val="1"/>
          <w:numId w:val="17"/>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 xml:space="preserve">Les Signataires devraient fournir une formation, si nécessaire, pour permettre aux pêcheurs, au personnel portuaire et aux observateurs d’identifier de manière cohérente les espèces inscrites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au niveau de l’espèce dans le temps ;</w:t>
      </w:r>
    </w:p>
    <w:p w14:paraId="2CF07CDA"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20F27FF4" w14:textId="77777777" w:rsidR="00016A72" w:rsidRPr="001012C4" w:rsidRDefault="00016A72" w:rsidP="00016A72">
      <w:pPr>
        <w:widowControl/>
        <w:numPr>
          <w:ilvl w:val="1"/>
          <w:numId w:val="17"/>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Signataires devraient renforcer les procédures de surveillance des sites de débarquement afin de garantir le respect des dispositions, et d’améliorer la surveillance, la sensibilisation et la répression si nécessaire ;</w:t>
      </w:r>
    </w:p>
    <w:p w14:paraId="1223756E"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755CC2DE" w14:textId="77777777" w:rsidR="00016A72" w:rsidRPr="001012C4" w:rsidRDefault="00016A72" w:rsidP="00016A72">
      <w:pPr>
        <w:widowControl/>
        <w:numPr>
          <w:ilvl w:val="1"/>
          <w:numId w:val="17"/>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 xml:space="preserve">Les efforts de collaboration visant à améliorer la résolution taxonomique des débarquements de requins et de raies devraient être encouragés entre les Signataires et les autres États de l’aire de répartition </w:t>
      </w:r>
      <w:proofErr w:type="gramStart"/>
      <w:r w:rsidRPr="001012C4">
        <w:rPr>
          <w:rFonts w:ascii="Arial" w:hAnsi="Arial" w:cs="Arial"/>
          <w:sz w:val="22"/>
          <w:szCs w:val="22"/>
          <w:lang w:val="fr-FR"/>
        </w:rPr>
        <w:t>non signataires</w:t>
      </w:r>
      <w:proofErr w:type="gramEnd"/>
      <w:r w:rsidRPr="001012C4">
        <w:rPr>
          <w:rFonts w:ascii="Arial" w:hAnsi="Arial" w:cs="Arial"/>
          <w:sz w:val="22"/>
          <w:szCs w:val="22"/>
          <w:lang w:val="fr-FR"/>
        </w:rPr>
        <w:t xml:space="preserve"> concernés pour lesquels une forte proportion des débarquements est déclarée sous des catégories agrégées et génériques. L’expertise technique et la capacité des Signataires rapportant des proportions plus élevées de débarquements au niveau spécifique des espèces (y compris le financement des programmes d’observation des pêches et la formation) sont essentielles pour améliorer les rapports mondiaux ;</w:t>
      </w:r>
    </w:p>
    <w:p w14:paraId="02ACAA8D"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351785EA" w14:textId="77777777" w:rsidR="00016A72" w:rsidRPr="001012C4" w:rsidRDefault="00016A72" w:rsidP="00016A72">
      <w:pPr>
        <w:widowControl/>
        <w:numPr>
          <w:ilvl w:val="1"/>
          <w:numId w:val="17"/>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 xml:space="preserve">Il convient d’examiner l'utilité de l’adoption des codes ASFIS par la FAO pour toutes les espèces inscrites au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Plus précisément, il n’existe actuellement aucun code ASFIS pour le </w:t>
      </w:r>
      <w:proofErr w:type="spellStart"/>
      <w:r w:rsidRPr="001012C4">
        <w:rPr>
          <w:rFonts w:ascii="Arial" w:hAnsi="Arial" w:cs="Arial"/>
          <w:sz w:val="22"/>
          <w:szCs w:val="22"/>
          <w:lang w:val="fr-FR"/>
        </w:rPr>
        <w:t>Rhynchobatus</w:t>
      </w:r>
      <w:proofErr w:type="spellEnd"/>
      <w:r w:rsidRPr="001012C4">
        <w:rPr>
          <w:rFonts w:ascii="Arial" w:hAnsi="Arial" w:cs="Arial"/>
          <w:sz w:val="22"/>
          <w:szCs w:val="22"/>
          <w:lang w:val="fr-FR"/>
        </w:rPr>
        <w:t xml:space="preserve"> </w:t>
      </w:r>
      <w:proofErr w:type="spellStart"/>
      <w:r w:rsidRPr="001012C4">
        <w:rPr>
          <w:rFonts w:ascii="Arial" w:hAnsi="Arial" w:cs="Arial"/>
          <w:sz w:val="22"/>
          <w:szCs w:val="22"/>
          <w:lang w:val="fr-FR"/>
        </w:rPr>
        <w:t>laevis</w:t>
      </w:r>
      <w:proofErr w:type="spellEnd"/>
      <w:r w:rsidRPr="001012C4">
        <w:rPr>
          <w:rFonts w:ascii="Arial" w:hAnsi="Arial" w:cs="Arial"/>
          <w:sz w:val="22"/>
          <w:szCs w:val="22"/>
          <w:lang w:val="fr-FR"/>
        </w:rPr>
        <w:t xml:space="preserve"> ;</w:t>
      </w:r>
    </w:p>
    <w:p w14:paraId="62793FAB"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608C75E9" w14:textId="77777777" w:rsidR="00016A72" w:rsidRPr="001012C4" w:rsidRDefault="00016A72" w:rsidP="00016A72">
      <w:pPr>
        <w:widowControl/>
        <w:numPr>
          <w:ilvl w:val="1"/>
          <w:numId w:val="17"/>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Si possible, lorsque des améliorations sont apportées aux rapports, reconstituer les débarquements historiques (captures) afin de réduire les perturbations des séries chronologiques.</w:t>
      </w:r>
    </w:p>
    <w:p w14:paraId="07944FFA"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5FCCE59D" w14:textId="77777777" w:rsidR="00016A72" w:rsidRPr="001012C4" w:rsidRDefault="00016A72" w:rsidP="00016A72">
      <w:pPr>
        <w:pStyle w:val="ListParagraph"/>
        <w:widowControl/>
        <w:numPr>
          <w:ilvl w:val="0"/>
          <w:numId w:val="16"/>
        </w:numPr>
        <w:pBdr>
          <w:top w:val="nil"/>
          <w:left w:val="nil"/>
          <w:bottom w:val="nil"/>
          <w:right w:val="nil"/>
          <w:between w:val="nil"/>
          <w:bar w:val="nil"/>
        </w:pBdr>
        <w:autoSpaceDE/>
        <w:autoSpaceDN/>
        <w:adjustRightInd/>
        <w:ind w:left="540" w:hanging="540"/>
        <w:jc w:val="both"/>
        <w:rPr>
          <w:rFonts w:ascii="Arial" w:hAnsi="Arial" w:cs="Arial"/>
          <w:b/>
          <w:bCs/>
          <w:sz w:val="22"/>
          <w:szCs w:val="22"/>
          <w:lang w:val="fr-FR"/>
        </w:rPr>
      </w:pPr>
      <w:r w:rsidRPr="001012C4">
        <w:rPr>
          <w:rFonts w:ascii="Arial" w:hAnsi="Arial" w:cs="Arial"/>
          <w:b/>
          <w:bCs/>
          <w:sz w:val="22"/>
          <w:szCs w:val="22"/>
          <w:lang w:val="fr-FR"/>
        </w:rPr>
        <w:t>Exhaustivité des données :</w:t>
      </w:r>
    </w:p>
    <w:p w14:paraId="52918FED" w14:textId="77777777" w:rsidR="00016A72" w:rsidRPr="001012C4" w:rsidRDefault="00016A72" w:rsidP="00016A72">
      <w:pPr>
        <w:pStyle w:val="ListParagraph"/>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354B5369"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r w:rsidRPr="001012C4">
        <w:rPr>
          <w:rFonts w:ascii="Arial" w:hAnsi="Arial" w:cs="Arial"/>
          <w:sz w:val="22"/>
          <w:szCs w:val="22"/>
          <w:lang w:val="fr-FR"/>
        </w:rPr>
        <w:t>Les données communiquées à la FAO ont été jugées incomplètes en raison de données manquantes ou incohérentes pour plusieurs espèces et nations, et il est nécessaire de normaliser davantage la communication des données.</w:t>
      </w:r>
    </w:p>
    <w:p w14:paraId="25CBB498"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12DBEFB5" w14:textId="77777777" w:rsidR="00016A72" w:rsidRPr="001012C4" w:rsidRDefault="00016A72" w:rsidP="00016A72">
      <w:pPr>
        <w:widowControl/>
        <w:numPr>
          <w:ilvl w:val="0"/>
          <w:numId w:val="18"/>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 xml:space="preserve">Les signataires sont encouragés à comparer les données nationales de débarquement avec celles qui ont été rassemblées par la FAO (et d’autres bases de données régionales) </w:t>
      </w:r>
      <w:r w:rsidRPr="001012C4">
        <w:rPr>
          <w:rFonts w:ascii="Arial" w:hAnsi="Arial" w:cs="Arial"/>
          <w:sz w:val="22"/>
          <w:szCs w:val="22"/>
          <w:lang w:val="fr-FR"/>
        </w:rPr>
        <w:lastRenderedPageBreak/>
        <w:t>et à réviser et harmoniser les sources en vue de fournir des données spatiales et temporelles plus précises ;</w:t>
      </w:r>
    </w:p>
    <w:p w14:paraId="1A87A6FB"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611DB5CF" w14:textId="77777777" w:rsidR="00016A72" w:rsidRPr="001012C4" w:rsidRDefault="00016A72" w:rsidP="00016A72">
      <w:pPr>
        <w:widowControl/>
        <w:numPr>
          <w:ilvl w:val="0"/>
          <w:numId w:val="18"/>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Signataires qui ne communiquent pas actuellement leurs données à la FAO sont encouragés à soumettre leurs données, et à informer les organismes concernés si des problèmes spécifiques limitent ou empêchent cette communication ;</w:t>
      </w:r>
    </w:p>
    <w:p w14:paraId="4BD4C31B"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3C4DB4C8" w14:textId="77777777" w:rsidR="00016A72" w:rsidRPr="001012C4" w:rsidRDefault="00016A72" w:rsidP="00016A72">
      <w:pPr>
        <w:widowControl/>
        <w:numPr>
          <w:ilvl w:val="0"/>
          <w:numId w:val="18"/>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 xml:space="preserve">Les Signataires sont encouragés à déclarer à la FAO les débarquements de toutes les espèces figurant à l’Annexe I. Plus précisément, étant donné l’absence totale de débarquements déclarés par espèce pour 17 des 35 espèces inscrites à l’Annexe 1 du </w:t>
      </w:r>
      <w:proofErr w:type="spellStart"/>
      <w:r w:rsidRPr="001012C4">
        <w:rPr>
          <w:rFonts w:ascii="Arial" w:hAnsi="Arial" w:cs="Arial"/>
          <w:sz w:val="22"/>
          <w:szCs w:val="22"/>
          <w:lang w:val="fr-FR"/>
        </w:rPr>
        <w:t>MdE</w:t>
      </w:r>
      <w:proofErr w:type="spellEnd"/>
      <w:r w:rsidRPr="001012C4">
        <w:rPr>
          <w:rFonts w:ascii="Arial" w:hAnsi="Arial" w:cs="Arial"/>
          <w:sz w:val="22"/>
          <w:szCs w:val="22"/>
          <w:lang w:val="fr-FR"/>
        </w:rPr>
        <w:t xml:space="preserve"> requins au niveau mondial, y compris certaines pour lesquelles on soupçonne des débarquements occasionnels ;</w:t>
      </w:r>
    </w:p>
    <w:p w14:paraId="0C1D2B8F" w14:textId="77777777" w:rsidR="00016A72" w:rsidRPr="001012C4" w:rsidRDefault="00016A72" w:rsidP="00016A72">
      <w:pPr>
        <w:widowControl/>
        <w:pBdr>
          <w:top w:val="nil"/>
          <w:left w:val="nil"/>
          <w:bottom w:val="nil"/>
          <w:right w:val="nil"/>
          <w:between w:val="nil"/>
          <w:bar w:val="nil"/>
        </w:pBdr>
        <w:autoSpaceDE/>
        <w:autoSpaceDN/>
        <w:adjustRightInd/>
        <w:ind w:left="1134"/>
        <w:contextualSpacing/>
        <w:jc w:val="both"/>
        <w:rPr>
          <w:rFonts w:ascii="Arial" w:hAnsi="Arial" w:cs="Arial"/>
          <w:sz w:val="22"/>
          <w:szCs w:val="22"/>
          <w:lang w:val="fr-FR"/>
        </w:rPr>
      </w:pPr>
    </w:p>
    <w:p w14:paraId="561CCAB0" w14:textId="77777777" w:rsidR="00016A72" w:rsidRPr="001012C4" w:rsidRDefault="00016A72" w:rsidP="00016A72">
      <w:pPr>
        <w:widowControl/>
        <w:numPr>
          <w:ilvl w:val="0"/>
          <w:numId w:val="18"/>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systèmes nationaux de déclaration doivent être évalués et renforcés pour faciliter l’enregistrement des débarquements, notamment en ce qui concerne les pêches opérant dans des zones reculées, les pêches artisanales et de subsistance, et les pêches récréatives ;</w:t>
      </w:r>
    </w:p>
    <w:p w14:paraId="2998B58E"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6279C67A" w14:textId="77777777" w:rsidR="00016A72" w:rsidRPr="001012C4" w:rsidRDefault="00016A72" w:rsidP="00016A72">
      <w:pPr>
        <w:widowControl/>
        <w:numPr>
          <w:ilvl w:val="0"/>
          <w:numId w:val="18"/>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 xml:space="preserve">Les États de l’aire de répartition </w:t>
      </w:r>
      <w:proofErr w:type="gramStart"/>
      <w:r w:rsidRPr="001012C4">
        <w:rPr>
          <w:rFonts w:ascii="Arial" w:hAnsi="Arial" w:cs="Arial"/>
          <w:sz w:val="22"/>
          <w:szCs w:val="22"/>
          <w:lang w:val="fr-FR"/>
        </w:rPr>
        <w:t>non signataires</w:t>
      </w:r>
      <w:proofErr w:type="gramEnd"/>
      <w:r w:rsidRPr="001012C4">
        <w:rPr>
          <w:rFonts w:ascii="Arial" w:hAnsi="Arial" w:cs="Arial"/>
          <w:sz w:val="22"/>
          <w:szCs w:val="22"/>
          <w:lang w:val="fr-FR"/>
        </w:rPr>
        <w:t xml:space="preserve"> concernés doivent être encouragés à commencer à communiquer des données à la FAO pour toutes les espèces figurant à l’Annexe I.</w:t>
      </w:r>
    </w:p>
    <w:p w14:paraId="74C01181"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076C843E" w14:textId="77777777" w:rsidR="00016A72" w:rsidRPr="001012C4" w:rsidRDefault="00016A72" w:rsidP="00016A72">
      <w:pPr>
        <w:pStyle w:val="ListParagraph"/>
        <w:widowControl/>
        <w:numPr>
          <w:ilvl w:val="0"/>
          <w:numId w:val="16"/>
        </w:numPr>
        <w:pBdr>
          <w:top w:val="nil"/>
          <w:left w:val="nil"/>
          <w:bottom w:val="nil"/>
          <w:right w:val="nil"/>
          <w:between w:val="nil"/>
          <w:bar w:val="nil"/>
        </w:pBdr>
        <w:autoSpaceDE/>
        <w:autoSpaceDN/>
        <w:adjustRightInd/>
        <w:ind w:left="540" w:hanging="540"/>
        <w:jc w:val="both"/>
        <w:rPr>
          <w:rFonts w:ascii="Arial" w:hAnsi="Arial" w:cs="Arial"/>
          <w:b/>
          <w:bCs/>
          <w:sz w:val="22"/>
          <w:szCs w:val="22"/>
          <w:lang w:val="fr-FR"/>
        </w:rPr>
      </w:pPr>
      <w:r w:rsidRPr="001012C4">
        <w:rPr>
          <w:rFonts w:ascii="Arial" w:hAnsi="Arial" w:cs="Arial"/>
          <w:b/>
          <w:bCs/>
          <w:sz w:val="22"/>
          <w:szCs w:val="22"/>
          <w:lang w:val="fr-FR"/>
        </w:rPr>
        <w:t>Contrôle de la qualité :</w:t>
      </w:r>
    </w:p>
    <w:p w14:paraId="6919F418" w14:textId="77777777" w:rsidR="00016A72" w:rsidRPr="001012C4" w:rsidRDefault="00016A72" w:rsidP="00016A72">
      <w:pPr>
        <w:pStyle w:val="ListParagraph"/>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23B6380E"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r w:rsidRPr="001012C4">
        <w:rPr>
          <w:rFonts w:ascii="Arial" w:hAnsi="Arial" w:cs="Arial"/>
          <w:sz w:val="22"/>
          <w:szCs w:val="22"/>
          <w:lang w:val="fr-FR"/>
        </w:rPr>
        <w:t>Des erreurs potentielles de saisie ont également été identifiées, ce qui indique qu’un contrôle plus robuste de la qualité des données de débarquement est nécessaire avant la soumission des données.</w:t>
      </w:r>
    </w:p>
    <w:p w14:paraId="209123D1"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7B17BB46" w14:textId="77777777" w:rsidR="00016A72" w:rsidRPr="001012C4" w:rsidRDefault="00016A72" w:rsidP="00016A72">
      <w:pPr>
        <w:widowControl/>
        <w:numPr>
          <w:ilvl w:val="0"/>
          <w:numId w:val="19"/>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Signataires sont encouragés à examiner et à entreprendre un contrôle plus détaillé de la qualité des données nationales de débarquement, notamment celles qui sont rapportées à la FAO (et autres bases de données régionales) ;</w:t>
      </w:r>
    </w:p>
    <w:p w14:paraId="58786F07" w14:textId="77777777" w:rsidR="00016A72" w:rsidRPr="001012C4" w:rsidRDefault="00016A72" w:rsidP="00016A72">
      <w:pPr>
        <w:widowControl/>
        <w:pBdr>
          <w:top w:val="nil"/>
          <w:left w:val="nil"/>
          <w:bottom w:val="nil"/>
          <w:right w:val="nil"/>
          <w:between w:val="nil"/>
          <w:bar w:val="nil"/>
        </w:pBdr>
        <w:autoSpaceDE/>
        <w:autoSpaceDN/>
        <w:adjustRightInd/>
        <w:ind w:left="900" w:hanging="360"/>
        <w:contextualSpacing/>
        <w:jc w:val="both"/>
        <w:rPr>
          <w:rFonts w:ascii="Arial" w:hAnsi="Arial" w:cs="Arial"/>
          <w:sz w:val="22"/>
          <w:szCs w:val="22"/>
          <w:lang w:val="fr-FR"/>
        </w:rPr>
      </w:pPr>
    </w:p>
    <w:p w14:paraId="1F485076" w14:textId="77777777" w:rsidR="00016A72" w:rsidRPr="001012C4" w:rsidRDefault="00016A72" w:rsidP="00016A72">
      <w:pPr>
        <w:widowControl/>
        <w:numPr>
          <w:ilvl w:val="0"/>
          <w:numId w:val="19"/>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Signataires sont encouragés à répondre en temps utile aux consultations de la FAO concernant les données communiquées afin de faciliter la correction des données et la clarification des points de données douteux ;</w:t>
      </w:r>
    </w:p>
    <w:p w14:paraId="34438E71" w14:textId="77777777" w:rsidR="00016A72" w:rsidRPr="001012C4" w:rsidRDefault="00016A72" w:rsidP="00016A72">
      <w:pPr>
        <w:pStyle w:val="ListParagraph"/>
        <w:rPr>
          <w:rFonts w:ascii="Arial" w:hAnsi="Arial" w:cs="Arial"/>
          <w:sz w:val="22"/>
          <w:szCs w:val="22"/>
          <w:lang w:val="fr-FR"/>
        </w:rPr>
      </w:pPr>
    </w:p>
    <w:p w14:paraId="1EBC5B25" w14:textId="77777777" w:rsidR="00016A72" w:rsidRPr="001012C4" w:rsidRDefault="00016A72" w:rsidP="00016A72">
      <w:pPr>
        <w:widowControl/>
        <w:numPr>
          <w:ilvl w:val="0"/>
          <w:numId w:val="19"/>
        </w:numPr>
        <w:pBdr>
          <w:top w:val="nil"/>
          <w:left w:val="nil"/>
          <w:bottom w:val="nil"/>
          <w:right w:val="nil"/>
          <w:between w:val="nil"/>
          <w:bar w:val="nil"/>
        </w:pBdr>
        <w:autoSpaceDE/>
        <w:autoSpaceDN/>
        <w:adjustRightInd/>
        <w:ind w:left="900"/>
        <w:contextualSpacing/>
        <w:jc w:val="both"/>
        <w:rPr>
          <w:rFonts w:ascii="Arial" w:hAnsi="Arial" w:cs="Arial"/>
          <w:sz w:val="22"/>
          <w:szCs w:val="22"/>
          <w:lang w:val="fr-FR"/>
        </w:rPr>
      </w:pPr>
      <w:r w:rsidRPr="001012C4">
        <w:rPr>
          <w:rFonts w:ascii="Arial" w:hAnsi="Arial" w:cs="Arial"/>
          <w:sz w:val="22"/>
          <w:szCs w:val="22"/>
          <w:lang w:val="fr-FR"/>
        </w:rPr>
        <w:t>Les catégories de soumission des données sur les débarquements d’espèces devraient être réexaminées pour éviter de perpétuer les erreurs taxonomiques. Les Signataires ne devraient pas déclarer leurs débarquements en utilisant des catégories d’espèces dépassées et devraient envisager de corriger les débarquements précédemment déclarés en fonction de la taxonomie la plus récente. Plus précisément, les catégories ASFIS actuelles qui peuvent perpétuer les problèmes taxonomiques sont les suivantes :</w:t>
      </w:r>
      <w:proofErr w:type="spellStart"/>
      <w:r w:rsidRPr="001012C4">
        <w:rPr>
          <w:rFonts w:ascii="Arial" w:hAnsi="Arial" w:cs="Arial"/>
          <w:i/>
          <w:iCs/>
          <w:sz w:val="22"/>
          <w:szCs w:val="22"/>
          <w:lang w:val="fr-FR"/>
        </w:rPr>
        <w:t>Mobula</w:t>
      </w:r>
      <w:proofErr w:type="spellEnd"/>
      <w:r w:rsidRPr="001012C4">
        <w:rPr>
          <w:rFonts w:ascii="Arial" w:hAnsi="Arial" w:cs="Arial"/>
          <w:i/>
          <w:iCs/>
          <w:sz w:val="22"/>
          <w:szCs w:val="22"/>
          <w:lang w:val="fr-FR"/>
        </w:rPr>
        <w:t xml:space="preserve"> </w:t>
      </w:r>
      <w:proofErr w:type="spellStart"/>
      <w:r w:rsidRPr="001012C4">
        <w:rPr>
          <w:rFonts w:ascii="Arial" w:hAnsi="Arial" w:cs="Arial"/>
          <w:i/>
          <w:iCs/>
          <w:sz w:val="22"/>
          <w:szCs w:val="22"/>
          <w:lang w:val="fr-FR"/>
        </w:rPr>
        <w:t>japanica</w:t>
      </w:r>
      <w:proofErr w:type="spellEnd"/>
      <w:r w:rsidRPr="001012C4">
        <w:rPr>
          <w:rFonts w:ascii="Arial" w:hAnsi="Arial" w:cs="Arial"/>
          <w:sz w:val="22"/>
          <w:szCs w:val="22"/>
          <w:lang w:val="fr-FR"/>
        </w:rPr>
        <w:t xml:space="preserve">, </w:t>
      </w:r>
      <w:r w:rsidRPr="001012C4">
        <w:rPr>
          <w:rFonts w:ascii="Arial" w:hAnsi="Arial" w:cs="Arial"/>
          <w:i/>
          <w:iCs/>
          <w:sz w:val="22"/>
          <w:szCs w:val="22"/>
          <w:lang w:val="fr-FR"/>
        </w:rPr>
        <w:t xml:space="preserve">M. </w:t>
      </w:r>
      <w:proofErr w:type="spellStart"/>
      <w:r w:rsidRPr="001012C4">
        <w:rPr>
          <w:rFonts w:ascii="Arial" w:hAnsi="Arial" w:cs="Arial"/>
          <w:i/>
          <w:iCs/>
          <w:sz w:val="22"/>
          <w:szCs w:val="22"/>
          <w:lang w:val="fr-FR"/>
        </w:rPr>
        <w:t>rochebrunei</w:t>
      </w:r>
      <w:proofErr w:type="spellEnd"/>
      <w:r w:rsidRPr="001012C4">
        <w:rPr>
          <w:rFonts w:ascii="Arial" w:hAnsi="Arial" w:cs="Arial"/>
          <w:sz w:val="22"/>
          <w:szCs w:val="22"/>
          <w:lang w:val="fr-FR"/>
        </w:rPr>
        <w:t xml:space="preserve">, </w:t>
      </w:r>
      <w:r w:rsidRPr="001012C4">
        <w:rPr>
          <w:rFonts w:ascii="Arial" w:hAnsi="Arial" w:cs="Arial"/>
          <w:i/>
          <w:iCs/>
          <w:sz w:val="22"/>
          <w:szCs w:val="22"/>
          <w:lang w:val="fr-FR"/>
        </w:rPr>
        <w:t xml:space="preserve">M. </w:t>
      </w:r>
      <w:proofErr w:type="spellStart"/>
      <w:r w:rsidRPr="001012C4">
        <w:rPr>
          <w:rFonts w:ascii="Arial" w:hAnsi="Arial" w:cs="Arial"/>
          <w:i/>
          <w:iCs/>
          <w:sz w:val="22"/>
          <w:szCs w:val="22"/>
          <w:lang w:val="fr-FR"/>
        </w:rPr>
        <w:t>eregoodootenkee</w:t>
      </w:r>
      <w:proofErr w:type="spellEnd"/>
      <w:r w:rsidRPr="001012C4">
        <w:rPr>
          <w:rFonts w:ascii="Arial" w:hAnsi="Arial" w:cs="Arial"/>
          <w:sz w:val="22"/>
          <w:szCs w:val="22"/>
          <w:lang w:val="fr-FR"/>
        </w:rPr>
        <w:t xml:space="preserve">, et </w:t>
      </w:r>
      <w:proofErr w:type="spellStart"/>
      <w:r w:rsidRPr="001012C4">
        <w:rPr>
          <w:rFonts w:ascii="Arial" w:hAnsi="Arial" w:cs="Arial"/>
          <w:i/>
          <w:iCs/>
          <w:sz w:val="22"/>
          <w:szCs w:val="22"/>
          <w:lang w:val="fr-FR"/>
        </w:rPr>
        <w:t>Pristis</w:t>
      </w:r>
      <w:proofErr w:type="spellEnd"/>
      <w:r w:rsidRPr="001012C4">
        <w:rPr>
          <w:rFonts w:ascii="Arial" w:hAnsi="Arial" w:cs="Arial"/>
          <w:i/>
          <w:iCs/>
          <w:sz w:val="22"/>
          <w:szCs w:val="22"/>
          <w:lang w:val="fr-FR"/>
        </w:rPr>
        <w:t xml:space="preserve"> </w:t>
      </w:r>
      <w:proofErr w:type="spellStart"/>
      <w:r w:rsidRPr="001012C4">
        <w:rPr>
          <w:rFonts w:ascii="Arial" w:hAnsi="Arial" w:cs="Arial"/>
          <w:i/>
          <w:iCs/>
          <w:sz w:val="22"/>
          <w:szCs w:val="22"/>
          <w:lang w:val="fr-FR"/>
        </w:rPr>
        <w:t>microdon</w:t>
      </w:r>
      <w:proofErr w:type="spellEnd"/>
      <w:r w:rsidRPr="001012C4">
        <w:rPr>
          <w:rFonts w:ascii="Arial" w:hAnsi="Arial" w:cs="Arial"/>
          <w:b/>
          <w:bCs/>
          <w:sz w:val="22"/>
          <w:szCs w:val="22"/>
          <w:lang w:val="fr-FR"/>
        </w:rPr>
        <w:t>.</w:t>
      </w:r>
    </w:p>
    <w:p w14:paraId="3B0168F8" w14:textId="77777777" w:rsidR="00016A72" w:rsidRPr="00995C01" w:rsidRDefault="00016A72" w:rsidP="00016A72">
      <w:pPr>
        <w:ind w:right="26"/>
        <w:jc w:val="both"/>
        <w:rPr>
          <w:rFonts w:cs="Arial"/>
          <w:b/>
          <w:bCs/>
          <w:sz w:val="22"/>
          <w:szCs w:val="22"/>
          <w:lang w:val="fr-FR"/>
        </w:rPr>
      </w:pPr>
    </w:p>
    <w:p w14:paraId="4024B35B" w14:textId="77777777" w:rsidR="00016A72" w:rsidRPr="00995C01" w:rsidRDefault="00016A72" w:rsidP="00016A72">
      <w:pPr>
        <w:ind w:right="26"/>
        <w:jc w:val="both"/>
        <w:rPr>
          <w:rFonts w:cs="Arial"/>
          <w:bCs/>
          <w:iCs/>
          <w:szCs w:val="20"/>
          <w:lang w:val="fr-FR"/>
        </w:rPr>
        <w:sectPr w:rsidR="00016A72" w:rsidRPr="00995C01" w:rsidSect="009454AA">
          <w:headerReference w:type="first" r:id="rId39"/>
          <w:pgSz w:w="11906" w:h="16838" w:code="9"/>
          <w:pgMar w:top="1138" w:right="1138" w:bottom="1138" w:left="1138" w:header="706" w:footer="706" w:gutter="0"/>
          <w:cols w:space="720"/>
          <w:titlePg/>
          <w:docGrid w:linePitch="245"/>
        </w:sectPr>
      </w:pPr>
    </w:p>
    <w:p w14:paraId="5B018BEA" w14:textId="77777777" w:rsidR="00016A72" w:rsidRPr="00995C01" w:rsidRDefault="00016A72" w:rsidP="00016A72">
      <w:pPr>
        <w:widowControl/>
        <w:pBdr>
          <w:top w:val="nil"/>
          <w:left w:val="nil"/>
          <w:bottom w:val="nil"/>
          <w:right w:val="nil"/>
          <w:between w:val="nil"/>
          <w:bar w:val="nil"/>
        </w:pBdr>
        <w:autoSpaceDE/>
        <w:autoSpaceDN/>
        <w:adjustRightInd/>
        <w:jc w:val="right"/>
        <w:outlineLvl w:val="0"/>
        <w:rPr>
          <w:rFonts w:cs="Arial"/>
          <w:b/>
          <w:bCs/>
          <w:sz w:val="22"/>
          <w:szCs w:val="22"/>
          <w:lang w:val="fr-FR"/>
        </w:rPr>
      </w:pPr>
    </w:p>
    <w:p w14:paraId="65617263" w14:textId="77777777" w:rsidR="00016A72" w:rsidRPr="001012C4" w:rsidRDefault="00016A72" w:rsidP="00016A72">
      <w:pPr>
        <w:widowControl/>
        <w:pBdr>
          <w:top w:val="nil"/>
          <w:left w:val="nil"/>
          <w:bottom w:val="nil"/>
          <w:right w:val="nil"/>
          <w:between w:val="nil"/>
          <w:bar w:val="nil"/>
        </w:pBdr>
        <w:autoSpaceDE/>
        <w:autoSpaceDN/>
        <w:adjustRightInd/>
        <w:jc w:val="right"/>
        <w:outlineLvl w:val="0"/>
        <w:rPr>
          <w:rFonts w:ascii="Arial" w:hAnsi="Arial" w:cs="Arial"/>
          <w:b/>
          <w:bCs/>
          <w:sz w:val="22"/>
          <w:szCs w:val="22"/>
          <w:lang w:val="fr-FR"/>
        </w:rPr>
      </w:pPr>
      <w:r w:rsidRPr="001012C4">
        <w:rPr>
          <w:rFonts w:ascii="Arial" w:hAnsi="Arial" w:cs="Arial"/>
          <w:b/>
          <w:bCs/>
          <w:sz w:val="22"/>
          <w:szCs w:val="22"/>
          <w:lang w:val="fr-FR"/>
        </w:rPr>
        <w:t>ANNEXE 3</w:t>
      </w:r>
    </w:p>
    <w:p w14:paraId="666E2CC2"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2BB804CA"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4D9C8BF4" w14:textId="77777777" w:rsidR="00016A72" w:rsidRPr="001012C4" w:rsidRDefault="00016A72" w:rsidP="00016A72">
      <w:pPr>
        <w:keepNext/>
        <w:keepLines/>
        <w:jc w:val="center"/>
        <w:outlineLvl w:val="0"/>
        <w:rPr>
          <w:rFonts w:ascii="Arial" w:eastAsia="MS Gothic" w:hAnsi="Arial" w:cs="Arial"/>
          <w:b/>
          <w:bCs/>
          <w:sz w:val="22"/>
          <w:szCs w:val="22"/>
          <w:lang w:val="fr-FR"/>
        </w:rPr>
      </w:pPr>
      <w:r w:rsidRPr="001012C4">
        <w:rPr>
          <w:rFonts w:ascii="Arial" w:eastAsia="MS Gothic" w:hAnsi="Arial" w:cs="Arial"/>
          <w:b/>
          <w:bCs/>
          <w:sz w:val="22"/>
          <w:szCs w:val="22"/>
          <w:lang w:val="fr-FR"/>
        </w:rPr>
        <w:t>PROJETS DE DÉCISIONS DE LA RÉUNION</w:t>
      </w:r>
    </w:p>
    <w:p w14:paraId="09B1EFED" w14:textId="77777777" w:rsidR="00016A72" w:rsidRPr="001012C4" w:rsidRDefault="00016A72" w:rsidP="00016A72">
      <w:pPr>
        <w:widowControl/>
        <w:pBdr>
          <w:top w:val="nil"/>
          <w:left w:val="nil"/>
          <w:bottom w:val="nil"/>
          <w:right w:val="nil"/>
          <w:between w:val="nil"/>
          <w:bar w:val="nil"/>
        </w:pBdr>
        <w:autoSpaceDE/>
        <w:autoSpaceDN/>
        <w:adjustRightInd/>
        <w:jc w:val="center"/>
        <w:rPr>
          <w:rFonts w:ascii="Arial" w:hAnsi="Arial" w:cs="Arial"/>
          <w:b/>
          <w:bCs/>
          <w:sz w:val="22"/>
          <w:szCs w:val="22"/>
          <w:lang w:val="fr-FR"/>
        </w:rPr>
      </w:pPr>
    </w:p>
    <w:p w14:paraId="0A4E1A3D" w14:textId="77777777" w:rsidR="00016A72" w:rsidRPr="001012C4" w:rsidRDefault="00016A72" w:rsidP="00016A72">
      <w:pPr>
        <w:widowControl/>
        <w:pBdr>
          <w:top w:val="nil"/>
          <w:left w:val="nil"/>
          <w:bottom w:val="nil"/>
          <w:right w:val="nil"/>
          <w:between w:val="nil"/>
          <w:bar w:val="nil"/>
        </w:pBdr>
        <w:autoSpaceDE/>
        <w:autoSpaceDN/>
        <w:adjustRightInd/>
        <w:jc w:val="center"/>
        <w:rPr>
          <w:rFonts w:ascii="Arial" w:hAnsi="Arial" w:cs="Arial"/>
          <w:b/>
          <w:bCs/>
          <w:sz w:val="22"/>
          <w:szCs w:val="22"/>
          <w:lang w:val="fr-FR"/>
        </w:rPr>
      </w:pPr>
    </w:p>
    <w:p w14:paraId="7151400B"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p>
    <w:p w14:paraId="5512D470"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b/>
          <w:bCs/>
          <w:sz w:val="22"/>
          <w:szCs w:val="22"/>
          <w:lang w:val="fr-FR"/>
        </w:rPr>
      </w:pPr>
      <w:r w:rsidRPr="001012C4">
        <w:rPr>
          <w:rFonts w:ascii="Arial" w:hAnsi="Arial" w:cs="Arial"/>
          <w:sz w:val="22"/>
          <w:szCs w:val="22"/>
          <w:lang w:val="fr-FR"/>
        </w:rPr>
        <w:t>Les Signataires</w:t>
      </w:r>
    </w:p>
    <w:p w14:paraId="4E6CC300" w14:textId="77777777" w:rsidR="00016A72" w:rsidRPr="001012C4" w:rsidRDefault="00016A72" w:rsidP="00016A72">
      <w:pPr>
        <w:widowControl/>
        <w:pBdr>
          <w:top w:val="nil"/>
          <w:left w:val="nil"/>
          <w:bottom w:val="nil"/>
          <w:right w:val="nil"/>
          <w:between w:val="nil"/>
          <w:bar w:val="nil"/>
        </w:pBdr>
        <w:autoSpaceDE/>
        <w:autoSpaceDN/>
        <w:adjustRightInd/>
        <w:jc w:val="both"/>
        <w:rPr>
          <w:rFonts w:ascii="Arial" w:hAnsi="Arial" w:cs="Arial"/>
          <w:sz w:val="22"/>
          <w:szCs w:val="22"/>
          <w:lang w:val="fr-FR"/>
        </w:rPr>
      </w:pPr>
    </w:p>
    <w:p w14:paraId="3D81A992" w14:textId="77777777" w:rsidR="00016A72" w:rsidRPr="001012C4" w:rsidRDefault="00016A72" w:rsidP="00016A72">
      <w:pPr>
        <w:widowControl/>
        <w:numPr>
          <w:ilvl w:val="0"/>
          <w:numId w:val="20"/>
        </w:numPr>
        <w:pBdr>
          <w:top w:val="nil"/>
          <w:left w:val="nil"/>
          <w:bottom w:val="nil"/>
          <w:right w:val="nil"/>
          <w:between w:val="nil"/>
          <w:bar w:val="nil"/>
        </w:pBdr>
        <w:autoSpaceDE/>
        <w:autoSpaceDN/>
        <w:adjustRightInd/>
        <w:ind w:left="630" w:hanging="630"/>
        <w:contextualSpacing/>
        <w:jc w:val="both"/>
        <w:rPr>
          <w:rFonts w:ascii="Arial" w:hAnsi="Arial" w:cs="Arial"/>
          <w:sz w:val="22"/>
          <w:szCs w:val="22"/>
          <w:lang w:val="fr-FR"/>
        </w:rPr>
      </w:pPr>
      <w:proofErr w:type="gramStart"/>
      <w:r w:rsidRPr="001012C4">
        <w:rPr>
          <w:rFonts w:ascii="Arial" w:hAnsi="Arial" w:cs="Arial"/>
          <w:sz w:val="22"/>
          <w:szCs w:val="22"/>
          <w:lang w:val="fr-FR"/>
        </w:rPr>
        <w:t>On</w:t>
      </w:r>
      <w:proofErr w:type="gramEnd"/>
      <w:r w:rsidRPr="001012C4">
        <w:rPr>
          <w:rFonts w:ascii="Arial" w:hAnsi="Arial" w:cs="Arial"/>
          <w:sz w:val="22"/>
          <w:szCs w:val="22"/>
          <w:lang w:val="fr-FR"/>
        </w:rPr>
        <w:t xml:space="preserve"> accueilli favorablement le résultat de l’étude entreprise comme indiqué dans le document </w:t>
      </w:r>
      <w:hyperlink r:id="rId40" w:history="1">
        <w:r w:rsidRPr="001012C4">
          <w:rPr>
            <w:rFonts w:ascii="Arial" w:hAnsi="Arial" w:cs="Arial"/>
            <w:color w:val="0000FF"/>
            <w:sz w:val="22"/>
            <w:szCs w:val="22"/>
            <w:u w:val="single"/>
            <w:lang w:val="fr-FR"/>
          </w:rPr>
          <w:t>CMS/</w:t>
        </w:r>
        <w:proofErr w:type="spellStart"/>
        <w:r w:rsidRPr="001012C4">
          <w:rPr>
            <w:rFonts w:ascii="Arial" w:hAnsi="Arial" w:cs="Arial"/>
            <w:color w:val="0000FF"/>
            <w:sz w:val="22"/>
            <w:szCs w:val="22"/>
            <w:u w:val="single"/>
            <w:lang w:val="fr-FR"/>
          </w:rPr>
          <w:t>Sharks</w:t>
        </w:r>
        <w:proofErr w:type="spellEnd"/>
        <w:r w:rsidRPr="001012C4">
          <w:rPr>
            <w:rFonts w:ascii="Arial" w:hAnsi="Arial" w:cs="Arial"/>
            <w:color w:val="0000FF"/>
            <w:sz w:val="22"/>
            <w:szCs w:val="22"/>
            <w:u w:val="single"/>
            <w:lang w:val="fr-FR"/>
          </w:rPr>
          <w:t>/MOS4/Doc.10.6</w:t>
        </w:r>
      </w:hyperlink>
      <w:r w:rsidRPr="001012C4">
        <w:rPr>
          <w:rFonts w:ascii="Arial" w:hAnsi="Arial" w:cs="Arial"/>
          <w:sz w:val="22"/>
          <w:szCs w:val="22"/>
          <w:lang w:val="fr-FR"/>
        </w:rPr>
        <w:t>.</w:t>
      </w:r>
    </w:p>
    <w:p w14:paraId="32532653" w14:textId="77777777" w:rsidR="00016A72" w:rsidRPr="001012C4" w:rsidRDefault="00016A72" w:rsidP="00016A72">
      <w:pPr>
        <w:widowControl/>
        <w:pBdr>
          <w:top w:val="nil"/>
          <w:left w:val="nil"/>
          <w:bottom w:val="nil"/>
          <w:right w:val="nil"/>
          <w:between w:val="nil"/>
          <w:bar w:val="nil"/>
        </w:pBdr>
        <w:autoSpaceDE/>
        <w:autoSpaceDN/>
        <w:adjustRightInd/>
        <w:ind w:left="630" w:hanging="630"/>
        <w:contextualSpacing/>
        <w:jc w:val="both"/>
        <w:rPr>
          <w:rFonts w:ascii="Arial" w:hAnsi="Arial" w:cs="Arial"/>
          <w:sz w:val="22"/>
          <w:szCs w:val="22"/>
          <w:lang w:val="fr-FR"/>
        </w:rPr>
      </w:pPr>
    </w:p>
    <w:p w14:paraId="3AF2014A" w14:textId="77777777" w:rsidR="00016A72" w:rsidRPr="001012C4" w:rsidRDefault="00016A72" w:rsidP="00016A72">
      <w:pPr>
        <w:widowControl/>
        <w:numPr>
          <w:ilvl w:val="0"/>
          <w:numId w:val="20"/>
        </w:numPr>
        <w:pBdr>
          <w:top w:val="nil"/>
          <w:left w:val="nil"/>
          <w:bottom w:val="nil"/>
          <w:right w:val="nil"/>
          <w:between w:val="nil"/>
          <w:bar w:val="nil"/>
        </w:pBdr>
        <w:autoSpaceDE/>
        <w:autoSpaceDN/>
        <w:adjustRightInd/>
        <w:ind w:left="630" w:hanging="630"/>
        <w:contextualSpacing/>
        <w:jc w:val="both"/>
        <w:rPr>
          <w:rFonts w:ascii="Arial" w:hAnsi="Arial" w:cs="Arial"/>
          <w:sz w:val="22"/>
          <w:szCs w:val="22"/>
          <w:lang w:val="fr-FR"/>
        </w:rPr>
      </w:pPr>
      <w:r w:rsidRPr="001012C4">
        <w:rPr>
          <w:rFonts w:ascii="Arial" w:hAnsi="Arial" w:cs="Arial"/>
          <w:sz w:val="22"/>
          <w:szCs w:val="22"/>
          <w:lang w:val="fr-FR"/>
        </w:rPr>
        <w:t xml:space="preserve">Ont convenu de mettre en œuvre les « </w:t>
      </w:r>
      <w:r w:rsidRPr="001012C4">
        <w:rPr>
          <w:rFonts w:ascii="Arial" w:hAnsi="Arial" w:cs="Arial"/>
          <w:i/>
          <w:iCs/>
          <w:sz w:val="22"/>
          <w:szCs w:val="22"/>
          <w:lang w:val="fr-FR"/>
        </w:rPr>
        <w:t xml:space="preserve">recommandations aux signataires pour améliorer la communication des données de débarquement des espèces énumérées à l’Annexe 1 du </w:t>
      </w:r>
      <w:proofErr w:type="spellStart"/>
      <w:r w:rsidRPr="001012C4">
        <w:rPr>
          <w:rFonts w:ascii="Arial" w:hAnsi="Arial" w:cs="Arial"/>
          <w:i/>
          <w:iCs/>
          <w:sz w:val="22"/>
          <w:szCs w:val="22"/>
          <w:lang w:val="fr-FR"/>
        </w:rPr>
        <w:t>MdE</w:t>
      </w:r>
      <w:proofErr w:type="spellEnd"/>
      <w:r w:rsidRPr="001012C4">
        <w:rPr>
          <w:rFonts w:ascii="Arial" w:hAnsi="Arial" w:cs="Arial"/>
          <w:i/>
          <w:iCs/>
          <w:sz w:val="22"/>
          <w:szCs w:val="22"/>
          <w:lang w:val="fr-FR"/>
        </w:rPr>
        <w:t xml:space="preserve"> requins</w:t>
      </w:r>
      <w:r w:rsidRPr="001012C4">
        <w:rPr>
          <w:rFonts w:ascii="Arial" w:hAnsi="Arial" w:cs="Arial"/>
          <w:sz w:val="22"/>
          <w:szCs w:val="22"/>
          <w:lang w:val="fr-FR"/>
        </w:rPr>
        <w:t xml:space="preserve"> » finales tel qu’adoptées et tel que fournies dans le document « </w:t>
      </w:r>
      <w:proofErr w:type="spellStart"/>
      <w:r w:rsidRPr="001012C4">
        <w:rPr>
          <w:rFonts w:ascii="Arial" w:hAnsi="Arial" w:cs="Arial"/>
          <w:sz w:val="22"/>
          <w:szCs w:val="22"/>
          <w:lang w:val="fr-FR"/>
        </w:rPr>
        <w:t>Outcome</w:t>
      </w:r>
      <w:proofErr w:type="spellEnd"/>
      <w:r w:rsidRPr="001012C4">
        <w:rPr>
          <w:rFonts w:ascii="Arial" w:hAnsi="Arial" w:cs="Arial"/>
          <w:sz w:val="22"/>
          <w:szCs w:val="22"/>
          <w:lang w:val="fr-FR"/>
        </w:rPr>
        <w:t xml:space="preserve"> 4.x » de cette réunion.</w:t>
      </w:r>
    </w:p>
    <w:p w14:paraId="71284421" w14:textId="77777777" w:rsidR="00016A72" w:rsidRPr="001012C4" w:rsidRDefault="00016A72" w:rsidP="00016A72">
      <w:pPr>
        <w:pStyle w:val="ListParagraph"/>
        <w:rPr>
          <w:rFonts w:ascii="Arial" w:hAnsi="Arial" w:cs="Arial"/>
          <w:sz w:val="22"/>
          <w:szCs w:val="22"/>
          <w:lang w:val="fr-FR"/>
        </w:rPr>
      </w:pPr>
    </w:p>
    <w:p w14:paraId="30CA946F" w14:textId="77777777" w:rsidR="00016A72" w:rsidRPr="001012C4" w:rsidRDefault="00016A72" w:rsidP="00016A72">
      <w:pPr>
        <w:widowControl/>
        <w:numPr>
          <w:ilvl w:val="0"/>
          <w:numId w:val="20"/>
        </w:numPr>
        <w:pBdr>
          <w:top w:val="nil"/>
          <w:left w:val="nil"/>
          <w:bottom w:val="nil"/>
          <w:right w:val="nil"/>
          <w:between w:val="nil"/>
          <w:bar w:val="nil"/>
        </w:pBdr>
        <w:autoSpaceDE/>
        <w:autoSpaceDN/>
        <w:adjustRightInd/>
        <w:ind w:left="630" w:hanging="630"/>
        <w:contextualSpacing/>
        <w:jc w:val="both"/>
        <w:rPr>
          <w:rFonts w:ascii="Arial" w:hAnsi="Arial" w:cs="Arial"/>
          <w:sz w:val="22"/>
          <w:szCs w:val="22"/>
          <w:lang w:val="fr-FR"/>
        </w:rPr>
      </w:pPr>
      <w:r w:rsidRPr="001012C4">
        <w:rPr>
          <w:rFonts w:ascii="Arial" w:hAnsi="Arial" w:cs="Arial"/>
          <w:sz w:val="22"/>
          <w:szCs w:val="22"/>
          <w:lang w:val="fr-FR"/>
        </w:rPr>
        <w:t>Ont demandé au Comité consultatif, en collaboration avec les partenaires coopérants et le Groupe de travail sur la conservation, de mettre à jour l’analyse des données sur les débarquements, d’entreprendre des analyses supplémentaires et d’élaborer des lignes directrices sur la façon dont les nations peuvent évaluer leurs données nationales sur les débarquements afin d’améliorer le contrôle de la qualité des données soumises.</w:t>
      </w:r>
      <w:r w:rsidRPr="001012C4">
        <w:rPr>
          <w:rFonts w:ascii="Arial" w:hAnsi="Arial" w:cs="Arial"/>
          <w:sz w:val="22"/>
          <w:szCs w:val="22"/>
          <w:lang w:val="fr-FR" w:eastAsia="en-GB"/>
        </w:rPr>
        <w:t xml:space="preserve"> </w:t>
      </w:r>
      <w:r w:rsidRPr="001012C4">
        <w:rPr>
          <w:rFonts w:ascii="Arial" w:hAnsi="Arial" w:cs="Arial"/>
          <w:sz w:val="22"/>
          <w:szCs w:val="22"/>
          <w:lang w:val="fr-FR"/>
        </w:rPr>
        <w:t>Ces activités ont été incluses dans le Programme de travail (2023-2025).</w:t>
      </w:r>
    </w:p>
    <w:p w14:paraId="66AD3645" w14:textId="77777777" w:rsidR="00016A72" w:rsidRPr="00995C01" w:rsidRDefault="00016A72" w:rsidP="00016A72">
      <w:pPr>
        <w:pStyle w:val="ListParagraph"/>
        <w:rPr>
          <w:rFonts w:cs="Arial"/>
          <w:sz w:val="22"/>
          <w:szCs w:val="22"/>
          <w:lang w:val="fr-FR"/>
        </w:rPr>
      </w:pPr>
    </w:p>
    <w:p w14:paraId="1E07EE01" w14:textId="77777777" w:rsidR="00016A72" w:rsidRPr="00995C01" w:rsidRDefault="00016A72" w:rsidP="00016A72">
      <w:pPr>
        <w:widowControl/>
        <w:pBdr>
          <w:top w:val="nil"/>
          <w:left w:val="nil"/>
          <w:bottom w:val="nil"/>
          <w:right w:val="nil"/>
          <w:between w:val="nil"/>
          <w:bar w:val="nil"/>
        </w:pBdr>
        <w:autoSpaceDE/>
        <w:autoSpaceDN/>
        <w:adjustRightInd/>
        <w:ind w:left="630"/>
        <w:contextualSpacing/>
        <w:jc w:val="both"/>
        <w:rPr>
          <w:rFonts w:cs="Arial"/>
          <w:sz w:val="22"/>
          <w:szCs w:val="22"/>
          <w:lang w:val="fr-FR"/>
        </w:rPr>
        <w:sectPr w:rsidR="00016A72" w:rsidRPr="00995C01" w:rsidSect="009454AA">
          <w:headerReference w:type="first" r:id="rId41"/>
          <w:pgSz w:w="11906" w:h="16838" w:code="9"/>
          <w:pgMar w:top="1138" w:right="1138" w:bottom="1138" w:left="1138" w:header="706" w:footer="706" w:gutter="0"/>
          <w:cols w:space="720"/>
          <w:titlePg/>
          <w:docGrid w:linePitch="245"/>
        </w:sectPr>
      </w:pPr>
    </w:p>
    <w:p w14:paraId="5228EE81" w14:textId="77777777" w:rsidR="00016A72" w:rsidRPr="001012C4" w:rsidRDefault="00016A72" w:rsidP="00016A72">
      <w:pPr>
        <w:widowControl/>
        <w:pBdr>
          <w:top w:val="nil"/>
          <w:left w:val="nil"/>
          <w:bottom w:val="nil"/>
          <w:right w:val="nil"/>
          <w:between w:val="nil"/>
          <w:bar w:val="nil"/>
        </w:pBdr>
        <w:autoSpaceDE/>
        <w:autoSpaceDN/>
        <w:adjustRightInd/>
        <w:spacing w:after="160" w:line="276" w:lineRule="auto"/>
        <w:jc w:val="right"/>
        <w:outlineLvl w:val="0"/>
        <w:rPr>
          <w:rFonts w:ascii="Arial" w:hAnsi="Arial" w:cs="Arial"/>
          <w:b/>
          <w:bCs/>
          <w:sz w:val="22"/>
          <w:szCs w:val="22"/>
          <w:lang w:val="fr-FR"/>
        </w:rPr>
      </w:pPr>
      <w:r w:rsidRPr="001012C4">
        <w:rPr>
          <w:rFonts w:ascii="Arial" w:hAnsi="Arial" w:cs="Arial"/>
          <w:b/>
          <w:bCs/>
          <w:sz w:val="22"/>
          <w:szCs w:val="22"/>
          <w:lang w:val="fr-FR"/>
        </w:rPr>
        <w:lastRenderedPageBreak/>
        <w:t>ANNEXE 4</w:t>
      </w:r>
    </w:p>
    <w:p w14:paraId="07529F76" w14:textId="77777777" w:rsidR="00016A72" w:rsidRPr="001012C4" w:rsidRDefault="00016A72" w:rsidP="00016A72">
      <w:pPr>
        <w:widowControl/>
        <w:pBdr>
          <w:top w:val="nil"/>
          <w:left w:val="nil"/>
          <w:bottom w:val="nil"/>
          <w:right w:val="nil"/>
          <w:between w:val="nil"/>
          <w:bar w:val="nil"/>
        </w:pBdr>
        <w:autoSpaceDE/>
        <w:autoSpaceDN/>
        <w:adjustRightInd/>
        <w:spacing w:line="276" w:lineRule="auto"/>
        <w:jc w:val="both"/>
        <w:rPr>
          <w:rFonts w:ascii="Arial" w:hAnsi="Arial" w:cs="Arial"/>
          <w:b/>
          <w:bCs/>
          <w:sz w:val="22"/>
          <w:szCs w:val="22"/>
          <w:lang w:val="fr-FR"/>
        </w:rPr>
      </w:pPr>
    </w:p>
    <w:p w14:paraId="07BC281E" w14:textId="77777777" w:rsidR="00016A72" w:rsidRPr="001012C4" w:rsidRDefault="00016A72" w:rsidP="00016A72">
      <w:pPr>
        <w:keepNext/>
        <w:keepLines/>
        <w:spacing w:line="276" w:lineRule="auto"/>
        <w:jc w:val="center"/>
        <w:outlineLvl w:val="0"/>
        <w:rPr>
          <w:rFonts w:ascii="Arial" w:eastAsia="MS Gothic" w:hAnsi="Arial" w:cs="Arial"/>
          <w:b/>
          <w:bCs/>
          <w:sz w:val="22"/>
          <w:szCs w:val="22"/>
          <w:lang w:val="fr-FR"/>
        </w:rPr>
      </w:pPr>
      <w:r w:rsidRPr="001012C4">
        <w:rPr>
          <w:rFonts w:ascii="Arial" w:eastAsia="MS Gothic" w:hAnsi="Arial" w:cs="Arial"/>
          <w:b/>
          <w:bCs/>
          <w:sz w:val="22"/>
          <w:szCs w:val="22"/>
          <w:lang w:val="fr-FR"/>
        </w:rPr>
        <w:t>PROJET D’ACTIVITÉS POUR INCLUSION DANS LE PROGRAMME DE TRAVAIL 2023-2025</w:t>
      </w:r>
    </w:p>
    <w:p w14:paraId="585BCDDB" w14:textId="77777777" w:rsidR="00016A72" w:rsidRPr="001012C4" w:rsidRDefault="00016A72" w:rsidP="00016A72">
      <w:pPr>
        <w:widowControl/>
        <w:pBdr>
          <w:top w:val="nil"/>
          <w:left w:val="nil"/>
          <w:bottom w:val="nil"/>
          <w:right w:val="nil"/>
          <w:between w:val="nil"/>
          <w:bar w:val="nil"/>
        </w:pBdr>
        <w:autoSpaceDE/>
        <w:autoSpaceDN/>
        <w:adjustRightInd/>
        <w:spacing w:line="276" w:lineRule="auto"/>
        <w:jc w:val="center"/>
        <w:rPr>
          <w:rFonts w:ascii="Arial" w:hAnsi="Arial" w:cs="Arial"/>
          <w:b/>
          <w:bCs/>
          <w:sz w:val="22"/>
          <w:szCs w:val="22"/>
          <w:lang w:val="fr-FR"/>
        </w:rPr>
      </w:pPr>
    </w:p>
    <w:tbl>
      <w:tblPr>
        <w:tblW w:w="138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4110"/>
        <w:gridCol w:w="1311"/>
        <w:gridCol w:w="1151"/>
        <w:gridCol w:w="1060"/>
        <w:gridCol w:w="1543"/>
        <w:gridCol w:w="1934"/>
        <w:gridCol w:w="1723"/>
        <w:gridCol w:w="436"/>
      </w:tblGrid>
      <w:tr w:rsidR="00016A72" w:rsidRPr="004165F5" w14:paraId="455241CF" w14:textId="77777777" w:rsidTr="00D83960">
        <w:trPr>
          <w:trHeight w:val="716"/>
        </w:trPr>
        <w:tc>
          <w:tcPr>
            <w:tcW w:w="614" w:type="dxa"/>
            <w:tcBorders>
              <w:top w:val="single" w:sz="6" w:space="0" w:color="7F7F7F"/>
              <w:left w:val="nil"/>
              <w:bottom w:val="single" w:sz="6" w:space="0" w:color="7F7F7F"/>
              <w:right w:val="nil"/>
            </w:tcBorders>
            <w:shd w:val="clear" w:color="auto" w:fill="auto"/>
            <w:vAlign w:val="center"/>
            <w:hideMark/>
          </w:tcPr>
          <w:p w14:paraId="54F524EC"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Nº </w:t>
            </w:r>
          </w:p>
        </w:tc>
        <w:tc>
          <w:tcPr>
            <w:tcW w:w="4213" w:type="dxa"/>
            <w:tcBorders>
              <w:top w:val="single" w:sz="6" w:space="0" w:color="7F7F7F"/>
              <w:left w:val="nil"/>
              <w:bottom w:val="single" w:sz="6" w:space="0" w:color="7F7F7F"/>
              <w:right w:val="nil"/>
            </w:tcBorders>
            <w:shd w:val="clear" w:color="auto" w:fill="auto"/>
            <w:vAlign w:val="center"/>
            <w:hideMark/>
          </w:tcPr>
          <w:p w14:paraId="5B964DD2"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color w:val="000000"/>
                <w:sz w:val="18"/>
                <w:szCs w:val="18"/>
                <w:lang w:val="fr-FR" w:eastAsia="en-GB"/>
              </w:rPr>
              <w:t>Activités </w:t>
            </w:r>
          </w:p>
        </w:tc>
        <w:tc>
          <w:tcPr>
            <w:tcW w:w="1341" w:type="dxa"/>
            <w:tcBorders>
              <w:top w:val="single" w:sz="6" w:space="0" w:color="7F7F7F"/>
              <w:left w:val="nil"/>
              <w:bottom w:val="single" w:sz="6" w:space="0" w:color="7F7F7F"/>
              <w:right w:val="nil"/>
            </w:tcBorders>
            <w:shd w:val="clear" w:color="auto" w:fill="auto"/>
            <w:vAlign w:val="center"/>
            <w:hideMark/>
          </w:tcPr>
          <w:p w14:paraId="30345432"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Mandat</w:t>
            </w:r>
            <w:r w:rsidRPr="00900C10">
              <w:rPr>
                <w:rFonts w:ascii="Arial" w:hAnsi="Arial" w:cs="Arial"/>
                <w:b/>
                <w:bCs/>
                <w:sz w:val="18"/>
                <w:szCs w:val="18"/>
                <w:vertAlign w:val="superscript"/>
                <w:lang w:val="fr-FR" w:eastAsia="en-GB"/>
              </w:rPr>
              <w:footnoteReference w:id="10"/>
            </w:r>
            <w:r w:rsidRPr="00900C10">
              <w:rPr>
                <w:rFonts w:ascii="Arial" w:hAnsi="Arial" w:cs="Arial"/>
                <w:b/>
                <w:bCs/>
                <w:sz w:val="18"/>
                <w:szCs w:val="18"/>
                <w:lang w:val="fr-FR" w:eastAsia="en-GB"/>
              </w:rPr>
              <w:t> </w:t>
            </w:r>
          </w:p>
        </w:tc>
        <w:tc>
          <w:tcPr>
            <w:tcW w:w="1057" w:type="dxa"/>
            <w:tcBorders>
              <w:top w:val="single" w:sz="6" w:space="0" w:color="7F7F7F"/>
              <w:left w:val="nil"/>
              <w:bottom w:val="single" w:sz="6" w:space="0" w:color="7F7F7F"/>
              <w:right w:val="nil"/>
            </w:tcBorders>
            <w:shd w:val="clear" w:color="auto" w:fill="auto"/>
            <w:vAlign w:val="center"/>
            <w:hideMark/>
          </w:tcPr>
          <w:p w14:paraId="628ED303"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Priorité </w:t>
            </w:r>
          </w:p>
          <w:p w14:paraId="1C41F38F"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classement</w:t>
            </w:r>
            <w:r w:rsidRPr="00900C10">
              <w:rPr>
                <w:rFonts w:ascii="Arial" w:hAnsi="Arial" w:cs="Arial"/>
                <w:b/>
                <w:bCs/>
                <w:sz w:val="18"/>
                <w:szCs w:val="18"/>
                <w:vertAlign w:val="superscript"/>
                <w:lang w:val="fr-FR" w:eastAsia="en-GB"/>
              </w:rPr>
              <w:footnoteReference w:id="11"/>
            </w:r>
            <w:r w:rsidRPr="00900C10">
              <w:rPr>
                <w:rFonts w:ascii="Arial" w:hAnsi="Arial" w:cs="Arial"/>
                <w:b/>
                <w:bCs/>
                <w:sz w:val="18"/>
                <w:szCs w:val="18"/>
                <w:lang w:val="fr-FR" w:eastAsia="en-GB"/>
              </w:rPr>
              <w:t> </w:t>
            </w:r>
          </w:p>
        </w:tc>
        <w:tc>
          <w:tcPr>
            <w:tcW w:w="879" w:type="dxa"/>
            <w:tcBorders>
              <w:top w:val="single" w:sz="6" w:space="0" w:color="7F7F7F"/>
              <w:left w:val="nil"/>
              <w:bottom w:val="single" w:sz="6" w:space="0" w:color="7F7F7F"/>
              <w:right w:val="nil"/>
            </w:tcBorders>
            <w:shd w:val="clear" w:color="auto" w:fill="auto"/>
            <w:vAlign w:val="center"/>
            <w:hideMark/>
          </w:tcPr>
          <w:p w14:paraId="292963C8"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Calendrier</w:t>
            </w:r>
            <w:r w:rsidRPr="00900C10">
              <w:rPr>
                <w:rFonts w:ascii="Arial" w:hAnsi="Arial" w:cs="Arial"/>
                <w:b/>
                <w:bCs/>
                <w:sz w:val="18"/>
                <w:szCs w:val="18"/>
                <w:vertAlign w:val="superscript"/>
                <w:lang w:val="fr-FR" w:eastAsia="en-GB"/>
              </w:rPr>
              <w:footnoteReference w:id="12"/>
            </w:r>
            <w:r w:rsidRPr="00900C10">
              <w:rPr>
                <w:rFonts w:ascii="Arial" w:hAnsi="Arial" w:cs="Arial"/>
                <w:b/>
                <w:bCs/>
                <w:sz w:val="18"/>
                <w:szCs w:val="18"/>
                <w:lang w:val="fr-FR" w:eastAsia="en-GB"/>
              </w:rPr>
              <w:t> </w:t>
            </w:r>
          </w:p>
        </w:tc>
        <w:tc>
          <w:tcPr>
            <w:tcW w:w="1561" w:type="dxa"/>
            <w:tcBorders>
              <w:top w:val="single" w:sz="6" w:space="0" w:color="7F7F7F"/>
              <w:left w:val="nil"/>
              <w:bottom w:val="single" w:sz="6" w:space="0" w:color="7F7F7F"/>
              <w:right w:val="nil"/>
            </w:tcBorders>
            <w:shd w:val="clear" w:color="auto" w:fill="auto"/>
            <w:vAlign w:val="center"/>
            <w:hideMark/>
          </w:tcPr>
          <w:p w14:paraId="33E5B74A"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Entité responsable</w:t>
            </w:r>
            <w:r w:rsidRPr="00900C10">
              <w:rPr>
                <w:rFonts w:ascii="Arial" w:hAnsi="Arial" w:cs="Arial"/>
                <w:b/>
                <w:bCs/>
                <w:sz w:val="18"/>
                <w:szCs w:val="18"/>
                <w:vertAlign w:val="superscript"/>
                <w:lang w:val="fr-FR" w:eastAsia="en-GB"/>
              </w:rPr>
              <w:footnoteReference w:id="13"/>
            </w:r>
            <w:r w:rsidRPr="00900C10">
              <w:rPr>
                <w:rFonts w:ascii="Arial" w:hAnsi="Arial" w:cs="Arial"/>
                <w:b/>
                <w:bCs/>
                <w:sz w:val="18"/>
                <w:szCs w:val="18"/>
                <w:lang w:val="fr-FR" w:eastAsia="en-GB"/>
              </w:rPr>
              <w:t> </w:t>
            </w:r>
          </w:p>
        </w:tc>
        <w:tc>
          <w:tcPr>
            <w:tcW w:w="1975" w:type="dxa"/>
            <w:tcBorders>
              <w:top w:val="single" w:sz="6" w:space="0" w:color="7F7F7F"/>
              <w:left w:val="nil"/>
              <w:bottom w:val="single" w:sz="6" w:space="0" w:color="7F7F7F"/>
              <w:right w:val="nil"/>
            </w:tcBorders>
            <w:shd w:val="clear" w:color="auto" w:fill="auto"/>
            <w:vAlign w:val="center"/>
            <w:hideMark/>
          </w:tcPr>
          <w:p w14:paraId="0EB55E3D"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Besoins de financement pour la mise en œuvre</w:t>
            </w:r>
          </w:p>
        </w:tc>
        <w:tc>
          <w:tcPr>
            <w:tcW w:w="2224" w:type="dxa"/>
            <w:gridSpan w:val="2"/>
            <w:tcBorders>
              <w:top w:val="single" w:sz="6" w:space="0" w:color="7F7F7F"/>
              <w:left w:val="nil"/>
              <w:bottom w:val="single" w:sz="6" w:space="0" w:color="7F7F7F"/>
              <w:right w:val="nil"/>
            </w:tcBorders>
            <w:shd w:val="clear" w:color="auto" w:fill="auto"/>
            <w:vAlign w:val="center"/>
            <w:hideMark/>
          </w:tcPr>
          <w:p w14:paraId="5EED0128"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Personnel du Secrétariat requis pour la mise en œuvre (jours ouvrables)</w:t>
            </w:r>
          </w:p>
        </w:tc>
      </w:tr>
      <w:tr w:rsidR="00016A72" w:rsidRPr="004165F5" w14:paraId="23514151" w14:textId="77777777" w:rsidTr="00D83960">
        <w:trPr>
          <w:gridAfter w:val="1"/>
          <w:wAfter w:w="454" w:type="dxa"/>
          <w:trHeight w:val="274"/>
        </w:trPr>
        <w:tc>
          <w:tcPr>
            <w:tcW w:w="13410" w:type="dxa"/>
            <w:gridSpan w:val="8"/>
            <w:tcBorders>
              <w:top w:val="single" w:sz="6" w:space="0" w:color="7F7F7F"/>
              <w:left w:val="nil"/>
              <w:bottom w:val="single" w:sz="6" w:space="0" w:color="7F7F7F"/>
              <w:right w:val="nil"/>
            </w:tcBorders>
            <w:shd w:val="clear" w:color="auto" w:fill="auto"/>
            <w:hideMark/>
          </w:tcPr>
          <w:p w14:paraId="7FB379B6" w14:textId="77777777" w:rsidR="00016A72" w:rsidRPr="00900C10" w:rsidRDefault="00016A72" w:rsidP="00D83960">
            <w:pPr>
              <w:widowControl/>
              <w:autoSpaceDE/>
              <w:autoSpaceDN/>
              <w:adjustRightInd/>
              <w:textAlignment w:val="baseline"/>
              <w:rPr>
                <w:rFonts w:ascii="Arial" w:hAnsi="Arial" w:cs="Arial"/>
                <w:b/>
                <w:bCs/>
                <w:sz w:val="18"/>
                <w:szCs w:val="18"/>
                <w:lang w:val="fr-FR" w:eastAsia="en-GB"/>
              </w:rPr>
            </w:pPr>
            <w:r w:rsidRPr="00900C10">
              <w:rPr>
                <w:rFonts w:ascii="Arial" w:hAnsi="Arial" w:cs="Arial"/>
                <w:b/>
                <w:bCs/>
                <w:sz w:val="18"/>
                <w:szCs w:val="18"/>
                <w:lang w:val="fr-FR" w:eastAsia="en-GB"/>
              </w:rPr>
              <w:t>Conservation de l’espèce/Conservation de l’habitat  </w:t>
            </w:r>
          </w:p>
        </w:tc>
      </w:tr>
      <w:tr w:rsidR="00016A72" w:rsidRPr="004165F5" w14:paraId="5B99A161" w14:textId="77777777" w:rsidTr="00D83960">
        <w:trPr>
          <w:gridAfter w:val="1"/>
          <w:wAfter w:w="454" w:type="dxa"/>
          <w:trHeight w:val="274"/>
        </w:trPr>
        <w:tc>
          <w:tcPr>
            <w:tcW w:w="13410" w:type="dxa"/>
            <w:gridSpan w:val="8"/>
            <w:tcBorders>
              <w:top w:val="nil"/>
              <w:left w:val="nil"/>
              <w:bottom w:val="nil"/>
              <w:right w:val="nil"/>
            </w:tcBorders>
            <w:shd w:val="clear" w:color="auto" w:fill="auto"/>
            <w:hideMark/>
          </w:tcPr>
          <w:p w14:paraId="7F438030" w14:textId="77777777" w:rsidR="00016A72" w:rsidRPr="00900C10" w:rsidRDefault="00016A72" w:rsidP="00D83960">
            <w:pPr>
              <w:spacing w:line="276" w:lineRule="auto"/>
              <w:ind w:right="252"/>
              <w:rPr>
                <w:rFonts w:ascii="Arial" w:hAnsi="Arial" w:cs="Arial"/>
                <w:b/>
                <w:bCs/>
                <w:sz w:val="18"/>
                <w:szCs w:val="18"/>
                <w:lang w:val="fr-FR"/>
              </w:rPr>
            </w:pPr>
            <w:r w:rsidRPr="00900C10">
              <w:rPr>
                <w:rFonts w:ascii="Arial" w:hAnsi="Arial" w:cs="Arial"/>
                <w:b/>
                <w:bCs/>
                <w:sz w:val="18"/>
                <w:szCs w:val="18"/>
                <w:lang w:val="fr-FR" w:eastAsia="en-GB"/>
              </w:rPr>
              <w:t xml:space="preserve">X. </w:t>
            </w:r>
            <w:r w:rsidRPr="00900C10">
              <w:rPr>
                <w:rFonts w:ascii="Arial" w:hAnsi="Arial" w:cs="Arial"/>
                <w:b/>
                <w:bCs/>
                <w:sz w:val="18"/>
                <w:szCs w:val="18"/>
                <w:lang w:val="fr-FR"/>
              </w:rPr>
              <w:t xml:space="preserve">Amélioration de la communication des données relatives aux débarquements des espèces figurant à l’Annexe 1 </w:t>
            </w:r>
            <w:proofErr w:type="spellStart"/>
            <w:r w:rsidRPr="00900C10">
              <w:rPr>
                <w:rFonts w:ascii="Arial" w:hAnsi="Arial" w:cs="Arial"/>
                <w:b/>
                <w:bCs/>
                <w:sz w:val="18"/>
                <w:szCs w:val="18"/>
                <w:lang w:val="fr-FR"/>
              </w:rPr>
              <w:t>MdE</w:t>
            </w:r>
            <w:proofErr w:type="spellEnd"/>
            <w:r w:rsidRPr="00900C10">
              <w:rPr>
                <w:rFonts w:ascii="Arial" w:hAnsi="Arial" w:cs="Arial"/>
                <w:b/>
                <w:bCs/>
                <w:sz w:val="18"/>
                <w:szCs w:val="18"/>
                <w:lang w:val="fr-FR"/>
              </w:rPr>
              <w:t xml:space="preserve"> requins</w:t>
            </w:r>
          </w:p>
        </w:tc>
      </w:tr>
      <w:tr w:rsidR="00016A72" w:rsidRPr="004165F5" w14:paraId="1D9EBE8C" w14:textId="77777777" w:rsidTr="00D83960">
        <w:trPr>
          <w:trHeight w:val="411"/>
        </w:trPr>
        <w:tc>
          <w:tcPr>
            <w:tcW w:w="614" w:type="dxa"/>
            <w:tcBorders>
              <w:top w:val="single" w:sz="6" w:space="0" w:color="7F7F7F"/>
              <w:left w:val="nil"/>
              <w:bottom w:val="single" w:sz="6" w:space="0" w:color="7F7F7F"/>
              <w:right w:val="nil"/>
            </w:tcBorders>
            <w:shd w:val="clear" w:color="auto" w:fill="auto"/>
            <w:hideMark/>
          </w:tcPr>
          <w:p w14:paraId="2FD0EE77" w14:textId="77777777" w:rsidR="00016A72" w:rsidRPr="00900C10" w:rsidRDefault="00016A72" w:rsidP="00D83960">
            <w:pPr>
              <w:widowControl/>
              <w:autoSpaceDE/>
              <w:autoSpaceDN/>
              <w:adjustRightInd/>
              <w:textAlignment w:val="baseline"/>
              <w:rPr>
                <w:rFonts w:ascii="Arial" w:hAnsi="Arial" w:cs="Arial"/>
                <w:b/>
                <w:bCs/>
                <w:sz w:val="18"/>
                <w:szCs w:val="18"/>
                <w:lang w:val="en-GB" w:eastAsia="en-GB"/>
              </w:rPr>
            </w:pPr>
            <w:r w:rsidRPr="00900C10">
              <w:rPr>
                <w:rFonts w:ascii="Arial" w:hAnsi="Arial" w:cs="Arial"/>
                <w:b/>
                <w:bCs/>
                <w:sz w:val="18"/>
                <w:szCs w:val="18"/>
                <w:lang w:val="en-GB" w:eastAsia="en-GB"/>
              </w:rPr>
              <w:t>x.1 </w:t>
            </w:r>
          </w:p>
        </w:tc>
        <w:tc>
          <w:tcPr>
            <w:tcW w:w="4213" w:type="dxa"/>
            <w:tcBorders>
              <w:top w:val="single" w:sz="6" w:space="0" w:color="7F7F7F"/>
              <w:left w:val="nil"/>
              <w:bottom w:val="single" w:sz="6" w:space="0" w:color="7F7F7F"/>
              <w:right w:val="nil"/>
            </w:tcBorders>
            <w:shd w:val="clear" w:color="auto" w:fill="auto"/>
            <w:hideMark/>
          </w:tcPr>
          <w:p w14:paraId="7D59181A"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 xml:space="preserve">Mettre à jour les analyses fournies dans le document </w:t>
            </w:r>
            <w:r w:rsidR="00603D91">
              <w:fldChar w:fldCharType="begin"/>
            </w:r>
            <w:r w:rsidR="00603D91" w:rsidRPr="004165F5">
              <w:rPr>
                <w:lang w:val="fr-FR"/>
              </w:rPr>
              <w:instrText>HYPERLINK "https://www.cms.int/sharks/fr/node/23725"</w:instrText>
            </w:r>
            <w:r w:rsidR="00603D91">
              <w:fldChar w:fldCharType="separate"/>
            </w:r>
            <w:r w:rsidRPr="00900C10">
              <w:rPr>
                <w:rFonts w:ascii="Arial" w:hAnsi="Arial" w:cs="Arial"/>
                <w:color w:val="0000FF"/>
                <w:sz w:val="18"/>
                <w:szCs w:val="18"/>
                <w:u w:val="single"/>
                <w:lang w:val="fr-FR" w:eastAsia="en-GB"/>
              </w:rPr>
              <w:t>CMS/</w:t>
            </w:r>
            <w:proofErr w:type="spellStart"/>
            <w:r w:rsidRPr="00900C10">
              <w:rPr>
                <w:rFonts w:ascii="Arial" w:hAnsi="Arial" w:cs="Arial"/>
                <w:color w:val="0000FF"/>
                <w:sz w:val="18"/>
                <w:szCs w:val="18"/>
                <w:u w:val="single"/>
                <w:lang w:val="fr-FR" w:eastAsia="en-GB"/>
              </w:rPr>
              <w:t>Sharks</w:t>
            </w:r>
            <w:proofErr w:type="spellEnd"/>
            <w:r w:rsidRPr="00900C10">
              <w:rPr>
                <w:rFonts w:ascii="Arial" w:hAnsi="Arial" w:cs="Arial"/>
                <w:color w:val="0000FF"/>
                <w:sz w:val="18"/>
                <w:szCs w:val="18"/>
                <w:u w:val="single"/>
                <w:lang w:val="fr-FR" w:eastAsia="en-GB"/>
              </w:rPr>
              <w:t>/MOS4/Doc.10.6</w:t>
            </w:r>
            <w:r w:rsidR="00603D91">
              <w:rPr>
                <w:rFonts w:ascii="Arial" w:hAnsi="Arial" w:cs="Arial"/>
                <w:color w:val="0000FF"/>
                <w:sz w:val="18"/>
                <w:szCs w:val="18"/>
                <w:u w:val="single"/>
                <w:lang w:val="fr-FR" w:eastAsia="en-GB"/>
              </w:rPr>
              <w:fldChar w:fldCharType="end"/>
            </w:r>
            <w:r w:rsidRPr="00900C10">
              <w:rPr>
                <w:rFonts w:ascii="Arial" w:hAnsi="Arial" w:cs="Arial"/>
                <w:sz w:val="18"/>
                <w:szCs w:val="18"/>
                <w:lang w:val="fr-FR" w:eastAsia="en-GB"/>
              </w:rPr>
              <w:t xml:space="preserve"> pour inclure les données les plus récentes et publier les résultats dans une revue scientifique examinée par des pairs en collaboration avec des spécialistes de la FAO (et d’autres spécialistes concernés). </w:t>
            </w:r>
          </w:p>
        </w:tc>
        <w:tc>
          <w:tcPr>
            <w:tcW w:w="1341" w:type="dxa"/>
            <w:tcBorders>
              <w:top w:val="single" w:sz="6" w:space="0" w:color="7F7F7F"/>
              <w:left w:val="nil"/>
              <w:bottom w:val="single" w:sz="6" w:space="0" w:color="7F7F7F"/>
              <w:right w:val="nil"/>
            </w:tcBorders>
            <w:shd w:val="clear" w:color="auto" w:fill="auto"/>
            <w:hideMark/>
          </w:tcPr>
          <w:p w14:paraId="5DFEAB95"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Décisions de la MOS4 </w:t>
            </w:r>
          </w:p>
        </w:tc>
        <w:tc>
          <w:tcPr>
            <w:tcW w:w="1057" w:type="dxa"/>
            <w:tcBorders>
              <w:top w:val="single" w:sz="6" w:space="0" w:color="7F7F7F"/>
              <w:left w:val="nil"/>
              <w:bottom w:val="single" w:sz="6" w:space="0" w:color="7F7F7F"/>
              <w:right w:val="nil"/>
            </w:tcBorders>
            <w:shd w:val="clear" w:color="auto" w:fill="auto"/>
            <w:hideMark/>
          </w:tcPr>
          <w:p w14:paraId="0E096300"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à déterminer </w:t>
            </w:r>
          </w:p>
        </w:tc>
        <w:tc>
          <w:tcPr>
            <w:tcW w:w="879" w:type="dxa"/>
            <w:tcBorders>
              <w:top w:val="single" w:sz="6" w:space="0" w:color="7F7F7F"/>
              <w:left w:val="nil"/>
              <w:bottom w:val="single" w:sz="6" w:space="0" w:color="7F7F7F"/>
              <w:right w:val="nil"/>
            </w:tcBorders>
            <w:shd w:val="clear" w:color="auto" w:fill="auto"/>
            <w:hideMark/>
          </w:tcPr>
          <w:p w14:paraId="1927B1BF" w14:textId="77777777" w:rsidR="00016A72" w:rsidRPr="00900C10" w:rsidRDefault="00016A72" w:rsidP="00D83960">
            <w:pPr>
              <w:widowControl/>
              <w:autoSpaceDE/>
              <w:autoSpaceDN/>
              <w:adjustRightInd/>
              <w:jc w:val="center"/>
              <w:textAlignment w:val="baseline"/>
              <w:rPr>
                <w:rFonts w:ascii="Arial" w:hAnsi="Arial" w:cs="Arial"/>
                <w:sz w:val="18"/>
                <w:szCs w:val="18"/>
                <w:lang w:val="en-GB" w:eastAsia="en-GB"/>
              </w:rPr>
            </w:pPr>
            <w:r w:rsidRPr="00900C10">
              <w:rPr>
                <w:rFonts w:ascii="Arial" w:hAnsi="Arial" w:cs="Arial"/>
                <w:sz w:val="18"/>
                <w:szCs w:val="18"/>
                <w:lang w:val="en-GB" w:eastAsia="en-GB"/>
              </w:rPr>
              <w:t>2023 </w:t>
            </w:r>
          </w:p>
        </w:tc>
        <w:tc>
          <w:tcPr>
            <w:tcW w:w="1561" w:type="dxa"/>
            <w:tcBorders>
              <w:top w:val="single" w:sz="6" w:space="0" w:color="7F7F7F"/>
              <w:left w:val="nil"/>
              <w:bottom w:val="single" w:sz="6" w:space="0" w:color="7F7F7F"/>
              <w:right w:val="nil"/>
            </w:tcBorders>
            <w:shd w:val="clear" w:color="auto" w:fill="auto"/>
          </w:tcPr>
          <w:p w14:paraId="22DAAF73"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CC</w:t>
            </w:r>
          </w:p>
          <w:p w14:paraId="3A89980F" w14:textId="77777777" w:rsidR="00016A72" w:rsidRPr="00900C10" w:rsidRDefault="00016A72" w:rsidP="00D83960">
            <w:pPr>
              <w:widowControl/>
              <w:autoSpaceDE/>
              <w:autoSpaceDN/>
              <w:adjustRightInd/>
              <w:jc w:val="center"/>
              <w:textAlignment w:val="baseline"/>
              <w:rPr>
                <w:rFonts w:ascii="Arial" w:hAnsi="Arial" w:cs="Arial"/>
                <w:sz w:val="18"/>
                <w:szCs w:val="18"/>
                <w:lang w:val="en-GB" w:eastAsia="en-GB"/>
              </w:rPr>
            </w:pPr>
            <w:r w:rsidRPr="00900C10">
              <w:rPr>
                <w:rFonts w:ascii="Arial" w:hAnsi="Arial" w:cs="Arial"/>
                <w:sz w:val="18"/>
                <w:szCs w:val="18"/>
                <w:lang w:val="en-GB" w:eastAsia="en-GB"/>
              </w:rPr>
              <w:t>Coop</w:t>
            </w:r>
          </w:p>
          <w:p w14:paraId="4B9B43A7"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GTC</w:t>
            </w:r>
          </w:p>
        </w:tc>
        <w:tc>
          <w:tcPr>
            <w:tcW w:w="1975" w:type="dxa"/>
            <w:tcBorders>
              <w:top w:val="single" w:sz="6" w:space="0" w:color="7F7F7F"/>
              <w:left w:val="nil"/>
              <w:bottom w:val="single" w:sz="6" w:space="0" w:color="7F7F7F"/>
              <w:right w:val="nil"/>
            </w:tcBorders>
            <w:shd w:val="clear" w:color="auto" w:fill="auto"/>
          </w:tcPr>
          <w:p w14:paraId="1E7F2D18"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16 000 euros</w:t>
            </w:r>
          </w:p>
          <w:p w14:paraId="0FF1B9E1"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(honoraires de consultation et frais de publication en libre accès)</w:t>
            </w:r>
          </w:p>
        </w:tc>
        <w:tc>
          <w:tcPr>
            <w:tcW w:w="2224" w:type="dxa"/>
            <w:gridSpan w:val="2"/>
            <w:tcBorders>
              <w:top w:val="single" w:sz="6" w:space="0" w:color="7F7F7F"/>
              <w:left w:val="nil"/>
              <w:bottom w:val="single" w:sz="6" w:space="0" w:color="7F7F7F"/>
              <w:right w:val="nil"/>
            </w:tcBorders>
            <w:shd w:val="clear" w:color="auto" w:fill="auto"/>
          </w:tcPr>
          <w:p w14:paraId="47749D24"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Personnel P : 5</w:t>
            </w:r>
          </w:p>
          <w:p w14:paraId="5FBD54F4"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Personnel G : 0,5</w:t>
            </w:r>
          </w:p>
          <w:p w14:paraId="7D70FD89"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p>
          <w:p w14:paraId="72BB7C5C"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(recrutement et encadrement du consultant, gestion de l’accord avec le donateur)</w:t>
            </w:r>
          </w:p>
        </w:tc>
      </w:tr>
      <w:tr w:rsidR="00016A72" w:rsidRPr="004165F5" w14:paraId="0042F147" w14:textId="77777777" w:rsidTr="00D83960">
        <w:trPr>
          <w:trHeight w:val="411"/>
        </w:trPr>
        <w:tc>
          <w:tcPr>
            <w:tcW w:w="614" w:type="dxa"/>
            <w:tcBorders>
              <w:top w:val="nil"/>
              <w:left w:val="nil"/>
              <w:bottom w:val="nil"/>
              <w:right w:val="nil"/>
            </w:tcBorders>
            <w:shd w:val="clear" w:color="auto" w:fill="auto"/>
            <w:hideMark/>
          </w:tcPr>
          <w:p w14:paraId="6E00D4B4" w14:textId="77777777" w:rsidR="00016A72" w:rsidRPr="00900C10" w:rsidRDefault="00016A72" w:rsidP="00D83960">
            <w:pPr>
              <w:widowControl/>
              <w:autoSpaceDE/>
              <w:autoSpaceDN/>
              <w:adjustRightInd/>
              <w:textAlignment w:val="baseline"/>
              <w:rPr>
                <w:rFonts w:ascii="Arial" w:hAnsi="Arial" w:cs="Arial"/>
                <w:b/>
                <w:bCs/>
                <w:sz w:val="18"/>
                <w:szCs w:val="18"/>
                <w:lang w:val="en-GB" w:eastAsia="en-GB"/>
              </w:rPr>
            </w:pPr>
            <w:r w:rsidRPr="00900C10">
              <w:rPr>
                <w:rFonts w:ascii="Arial" w:hAnsi="Arial" w:cs="Arial"/>
                <w:b/>
                <w:bCs/>
                <w:sz w:val="18"/>
                <w:szCs w:val="18"/>
                <w:lang w:val="en-GB" w:eastAsia="en-GB"/>
              </w:rPr>
              <w:t>x.2 </w:t>
            </w:r>
          </w:p>
        </w:tc>
        <w:tc>
          <w:tcPr>
            <w:tcW w:w="4213" w:type="dxa"/>
            <w:tcBorders>
              <w:top w:val="nil"/>
              <w:left w:val="nil"/>
              <w:bottom w:val="nil"/>
              <w:right w:val="nil"/>
            </w:tcBorders>
            <w:shd w:val="clear" w:color="auto" w:fill="auto"/>
            <w:hideMark/>
          </w:tcPr>
          <w:p w14:paraId="30ECE10C"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Entreprendre des analyses de ces données de débarquement des requins inscrits à l’Annexe 1, telles que rapportées aux ORGP pertinentes (par exemple, la CICTA), y compris la comparaison avec les données comparables détenues par la FAO en collaboration avec des spécialistes, notamment lors des réunions des groupes de travail des ORGP.</w:t>
            </w:r>
          </w:p>
        </w:tc>
        <w:tc>
          <w:tcPr>
            <w:tcW w:w="1341" w:type="dxa"/>
            <w:tcBorders>
              <w:top w:val="nil"/>
              <w:left w:val="nil"/>
              <w:bottom w:val="nil"/>
              <w:right w:val="nil"/>
            </w:tcBorders>
            <w:shd w:val="clear" w:color="auto" w:fill="auto"/>
            <w:hideMark/>
          </w:tcPr>
          <w:p w14:paraId="0A825351"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Décisions de la MOS4 </w:t>
            </w:r>
          </w:p>
        </w:tc>
        <w:tc>
          <w:tcPr>
            <w:tcW w:w="1057" w:type="dxa"/>
            <w:tcBorders>
              <w:top w:val="nil"/>
              <w:left w:val="nil"/>
              <w:bottom w:val="nil"/>
              <w:right w:val="nil"/>
            </w:tcBorders>
            <w:shd w:val="clear" w:color="auto" w:fill="auto"/>
            <w:hideMark/>
          </w:tcPr>
          <w:p w14:paraId="44C3089E"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à déterminer </w:t>
            </w:r>
          </w:p>
        </w:tc>
        <w:tc>
          <w:tcPr>
            <w:tcW w:w="879" w:type="dxa"/>
            <w:tcBorders>
              <w:top w:val="nil"/>
              <w:left w:val="nil"/>
              <w:bottom w:val="nil"/>
              <w:right w:val="nil"/>
            </w:tcBorders>
            <w:shd w:val="clear" w:color="auto" w:fill="auto"/>
            <w:hideMark/>
          </w:tcPr>
          <w:p w14:paraId="092E661A" w14:textId="77777777" w:rsidR="00016A72" w:rsidRPr="00900C10" w:rsidRDefault="00016A72" w:rsidP="00D83960">
            <w:pPr>
              <w:widowControl/>
              <w:autoSpaceDE/>
              <w:autoSpaceDN/>
              <w:adjustRightInd/>
              <w:jc w:val="center"/>
              <w:textAlignment w:val="baseline"/>
              <w:rPr>
                <w:rFonts w:ascii="Arial" w:hAnsi="Arial" w:cs="Arial"/>
                <w:sz w:val="18"/>
                <w:szCs w:val="18"/>
                <w:lang w:val="en-GB" w:eastAsia="en-GB"/>
              </w:rPr>
            </w:pPr>
            <w:r w:rsidRPr="00900C10">
              <w:rPr>
                <w:rFonts w:ascii="Arial" w:hAnsi="Arial" w:cs="Arial"/>
                <w:sz w:val="18"/>
                <w:szCs w:val="18"/>
                <w:lang w:val="en-GB" w:eastAsia="en-GB"/>
              </w:rPr>
              <w:t>2023-2025</w:t>
            </w:r>
          </w:p>
        </w:tc>
        <w:tc>
          <w:tcPr>
            <w:tcW w:w="1561" w:type="dxa"/>
            <w:tcBorders>
              <w:top w:val="nil"/>
              <w:left w:val="nil"/>
              <w:bottom w:val="nil"/>
              <w:right w:val="nil"/>
            </w:tcBorders>
            <w:shd w:val="clear" w:color="auto" w:fill="auto"/>
          </w:tcPr>
          <w:p w14:paraId="540F989C"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CC</w:t>
            </w:r>
          </w:p>
          <w:p w14:paraId="755E761B" w14:textId="77777777" w:rsidR="00016A72" w:rsidRPr="00900C10" w:rsidRDefault="00016A72" w:rsidP="00D83960">
            <w:pPr>
              <w:widowControl/>
              <w:autoSpaceDE/>
              <w:autoSpaceDN/>
              <w:adjustRightInd/>
              <w:jc w:val="center"/>
              <w:textAlignment w:val="baseline"/>
              <w:rPr>
                <w:rFonts w:ascii="Arial" w:hAnsi="Arial" w:cs="Arial"/>
                <w:sz w:val="18"/>
                <w:szCs w:val="18"/>
                <w:lang w:val="en-GB" w:eastAsia="en-GB"/>
              </w:rPr>
            </w:pPr>
            <w:r w:rsidRPr="00900C10">
              <w:rPr>
                <w:rFonts w:ascii="Arial" w:hAnsi="Arial" w:cs="Arial"/>
                <w:sz w:val="18"/>
                <w:szCs w:val="18"/>
                <w:lang w:val="en-GB" w:eastAsia="en-GB"/>
              </w:rPr>
              <w:t>Coop</w:t>
            </w:r>
          </w:p>
          <w:p w14:paraId="43E5D70E"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GTC</w:t>
            </w:r>
          </w:p>
        </w:tc>
        <w:tc>
          <w:tcPr>
            <w:tcW w:w="1975" w:type="dxa"/>
            <w:tcBorders>
              <w:top w:val="nil"/>
              <w:left w:val="nil"/>
              <w:bottom w:val="nil"/>
              <w:right w:val="nil"/>
            </w:tcBorders>
            <w:shd w:val="clear" w:color="auto" w:fill="auto"/>
          </w:tcPr>
          <w:p w14:paraId="637807A1"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10 000 euros (aide aux déplacements pour présenter les documents de travail lors des réunions des groupes de travail des ORGP concernés ; 3 missions)</w:t>
            </w:r>
          </w:p>
        </w:tc>
        <w:tc>
          <w:tcPr>
            <w:tcW w:w="2224" w:type="dxa"/>
            <w:gridSpan w:val="2"/>
            <w:tcBorders>
              <w:top w:val="nil"/>
              <w:left w:val="nil"/>
              <w:bottom w:val="nil"/>
              <w:right w:val="nil"/>
            </w:tcBorders>
            <w:shd w:val="clear" w:color="auto" w:fill="auto"/>
          </w:tcPr>
          <w:p w14:paraId="0EC999A3"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Personnel P : 0,5</w:t>
            </w:r>
          </w:p>
          <w:p w14:paraId="6717B623"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Personnel G : 1</w:t>
            </w:r>
          </w:p>
          <w:p w14:paraId="13B35833"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p>
          <w:p w14:paraId="624B5D30"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(gestion des voyages)</w:t>
            </w:r>
          </w:p>
        </w:tc>
      </w:tr>
      <w:tr w:rsidR="00016A72" w:rsidRPr="004165F5" w14:paraId="71BBFA7F" w14:textId="77777777" w:rsidTr="00D83960">
        <w:trPr>
          <w:trHeight w:val="411"/>
        </w:trPr>
        <w:tc>
          <w:tcPr>
            <w:tcW w:w="614" w:type="dxa"/>
            <w:tcBorders>
              <w:top w:val="single" w:sz="6" w:space="0" w:color="7F7F7F"/>
              <w:left w:val="nil"/>
              <w:bottom w:val="single" w:sz="6" w:space="0" w:color="7F7F7F"/>
              <w:right w:val="nil"/>
            </w:tcBorders>
            <w:shd w:val="clear" w:color="auto" w:fill="auto"/>
            <w:hideMark/>
          </w:tcPr>
          <w:p w14:paraId="232EE76B" w14:textId="77777777" w:rsidR="00016A72" w:rsidRPr="00900C10" w:rsidRDefault="00016A72" w:rsidP="00D83960">
            <w:pPr>
              <w:widowControl/>
              <w:autoSpaceDE/>
              <w:autoSpaceDN/>
              <w:adjustRightInd/>
              <w:textAlignment w:val="baseline"/>
              <w:rPr>
                <w:rFonts w:ascii="Arial" w:hAnsi="Arial" w:cs="Arial"/>
                <w:b/>
                <w:bCs/>
                <w:sz w:val="18"/>
                <w:szCs w:val="18"/>
                <w:lang w:val="en-GB" w:eastAsia="en-GB"/>
              </w:rPr>
            </w:pPr>
            <w:r w:rsidRPr="00900C10">
              <w:rPr>
                <w:rFonts w:ascii="Arial" w:hAnsi="Arial" w:cs="Arial"/>
                <w:b/>
                <w:bCs/>
                <w:sz w:val="18"/>
                <w:szCs w:val="18"/>
                <w:lang w:val="en-GB" w:eastAsia="en-GB"/>
              </w:rPr>
              <w:t>x.3 </w:t>
            </w:r>
          </w:p>
        </w:tc>
        <w:tc>
          <w:tcPr>
            <w:tcW w:w="4213" w:type="dxa"/>
            <w:tcBorders>
              <w:top w:val="single" w:sz="6" w:space="0" w:color="7F7F7F"/>
              <w:left w:val="nil"/>
              <w:bottom w:val="single" w:sz="6" w:space="0" w:color="7F7F7F"/>
              <w:right w:val="nil"/>
            </w:tcBorders>
            <w:shd w:val="clear" w:color="auto" w:fill="auto"/>
            <w:hideMark/>
          </w:tcPr>
          <w:p w14:paraId="5970B74F"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Identifier les types d’erreurs, ou d’erreurs potentielles, qui ont été observées dans les analyses des données de débarquement, et élaborer des lignes directrices sur la manière dont les nations pourraient utilement évaluer leurs données nationales de débarquement afin d’améliorer le contrôle de la qualité des données soumises.</w:t>
            </w:r>
          </w:p>
        </w:tc>
        <w:tc>
          <w:tcPr>
            <w:tcW w:w="1341" w:type="dxa"/>
            <w:tcBorders>
              <w:top w:val="single" w:sz="6" w:space="0" w:color="7F7F7F"/>
              <w:left w:val="nil"/>
              <w:bottom w:val="single" w:sz="6" w:space="0" w:color="7F7F7F"/>
              <w:right w:val="nil"/>
            </w:tcBorders>
            <w:shd w:val="clear" w:color="auto" w:fill="auto"/>
            <w:hideMark/>
          </w:tcPr>
          <w:p w14:paraId="543525D8"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Décisions de la MOS4 </w:t>
            </w:r>
          </w:p>
        </w:tc>
        <w:tc>
          <w:tcPr>
            <w:tcW w:w="1057" w:type="dxa"/>
            <w:tcBorders>
              <w:top w:val="single" w:sz="6" w:space="0" w:color="7F7F7F"/>
              <w:left w:val="nil"/>
              <w:bottom w:val="single" w:sz="6" w:space="0" w:color="7F7F7F"/>
              <w:right w:val="nil"/>
            </w:tcBorders>
            <w:shd w:val="clear" w:color="auto" w:fill="auto"/>
            <w:hideMark/>
          </w:tcPr>
          <w:p w14:paraId="15F9A8A3"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à déterminer </w:t>
            </w:r>
          </w:p>
        </w:tc>
        <w:tc>
          <w:tcPr>
            <w:tcW w:w="879" w:type="dxa"/>
            <w:tcBorders>
              <w:top w:val="single" w:sz="6" w:space="0" w:color="7F7F7F"/>
              <w:left w:val="nil"/>
              <w:bottom w:val="single" w:sz="6" w:space="0" w:color="7F7F7F"/>
              <w:right w:val="nil"/>
            </w:tcBorders>
            <w:shd w:val="clear" w:color="auto" w:fill="auto"/>
            <w:hideMark/>
          </w:tcPr>
          <w:p w14:paraId="25C72E89" w14:textId="77777777" w:rsidR="00016A72" w:rsidRPr="00900C10" w:rsidRDefault="00016A72" w:rsidP="00D83960">
            <w:pPr>
              <w:widowControl/>
              <w:autoSpaceDE/>
              <w:autoSpaceDN/>
              <w:adjustRightInd/>
              <w:jc w:val="center"/>
              <w:textAlignment w:val="baseline"/>
              <w:rPr>
                <w:rFonts w:ascii="Arial" w:hAnsi="Arial" w:cs="Arial"/>
                <w:sz w:val="18"/>
                <w:szCs w:val="18"/>
                <w:lang w:val="en-GB" w:eastAsia="en-GB"/>
              </w:rPr>
            </w:pPr>
            <w:r w:rsidRPr="00900C10">
              <w:rPr>
                <w:rFonts w:ascii="Arial" w:hAnsi="Arial" w:cs="Arial"/>
                <w:sz w:val="18"/>
                <w:szCs w:val="18"/>
                <w:lang w:val="en-GB" w:eastAsia="en-GB"/>
              </w:rPr>
              <w:t>2023-2025 </w:t>
            </w:r>
          </w:p>
        </w:tc>
        <w:tc>
          <w:tcPr>
            <w:tcW w:w="1561" w:type="dxa"/>
            <w:tcBorders>
              <w:top w:val="single" w:sz="6" w:space="0" w:color="7F7F7F"/>
              <w:left w:val="nil"/>
              <w:bottom w:val="single" w:sz="6" w:space="0" w:color="7F7F7F"/>
              <w:right w:val="nil"/>
            </w:tcBorders>
            <w:shd w:val="clear" w:color="auto" w:fill="auto"/>
          </w:tcPr>
          <w:p w14:paraId="655115E2"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CC</w:t>
            </w:r>
          </w:p>
          <w:p w14:paraId="72C17051" w14:textId="77777777" w:rsidR="00016A72" w:rsidRPr="00900C10" w:rsidRDefault="00016A72" w:rsidP="00D83960">
            <w:pPr>
              <w:widowControl/>
              <w:autoSpaceDE/>
              <w:autoSpaceDN/>
              <w:adjustRightInd/>
              <w:jc w:val="center"/>
              <w:textAlignment w:val="baseline"/>
              <w:rPr>
                <w:rFonts w:ascii="Arial" w:hAnsi="Arial" w:cs="Arial"/>
                <w:sz w:val="18"/>
                <w:szCs w:val="18"/>
                <w:lang w:val="en-GB" w:eastAsia="en-GB"/>
              </w:rPr>
            </w:pPr>
            <w:r w:rsidRPr="00900C10">
              <w:rPr>
                <w:rFonts w:ascii="Arial" w:hAnsi="Arial" w:cs="Arial"/>
                <w:sz w:val="18"/>
                <w:szCs w:val="18"/>
                <w:lang w:val="en-GB" w:eastAsia="en-GB"/>
              </w:rPr>
              <w:t>Coop</w:t>
            </w:r>
          </w:p>
          <w:p w14:paraId="01FEBEE1"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r w:rsidRPr="00900C10">
              <w:rPr>
                <w:rFonts w:ascii="Arial" w:hAnsi="Arial" w:cs="Arial"/>
                <w:sz w:val="18"/>
                <w:szCs w:val="18"/>
                <w:lang w:val="fr-FR" w:eastAsia="en-GB"/>
              </w:rPr>
              <w:t>GTC</w:t>
            </w:r>
          </w:p>
          <w:p w14:paraId="24ED5D23" w14:textId="77777777" w:rsidR="00016A72" w:rsidRPr="00900C10" w:rsidRDefault="00016A72" w:rsidP="00D83960">
            <w:pPr>
              <w:widowControl/>
              <w:autoSpaceDE/>
              <w:autoSpaceDN/>
              <w:adjustRightInd/>
              <w:jc w:val="center"/>
              <w:textAlignment w:val="baseline"/>
              <w:rPr>
                <w:rFonts w:ascii="Arial" w:hAnsi="Arial" w:cs="Arial"/>
                <w:sz w:val="18"/>
                <w:szCs w:val="18"/>
                <w:lang w:val="fr-FR" w:eastAsia="en-GB"/>
              </w:rPr>
            </w:pPr>
          </w:p>
        </w:tc>
        <w:tc>
          <w:tcPr>
            <w:tcW w:w="1975" w:type="dxa"/>
            <w:tcBorders>
              <w:top w:val="single" w:sz="6" w:space="0" w:color="7F7F7F"/>
              <w:left w:val="nil"/>
              <w:bottom w:val="single" w:sz="6" w:space="0" w:color="7F7F7F"/>
              <w:right w:val="nil"/>
            </w:tcBorders>
            <w:shd w:val="clear" w:color="auto" w:fill="auto"/>
          </w:tcPr>
          <w:p w14:paraId="411ABF50"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10 000 euros (frais de déplacement d’un expert supplémentaire et atelier de deux jours consécutif à l’AC4)</w:t>
            </w:r>
          </w:p>
        </w:tc>
        <w:tc>
          <w:tcPr>
            <w:tcW w:w="2224" w:type="dxa"/>
            <w:gridSpan w:val="2"/>
            <w:tcBorders>
              <w:top w:val="single" w:sz="6" w:space="0" w:color="7F7F7F"/>
              <w:left w:val="nil"/>
              <w:bottom w:val="single" w:sz="6" w:space="0" w:color="7F7F7F"/>
              <w:right w:val="nil"/>
            </w:tcBorders>
            <w:shd w:val="clear" w:color="auto" w:fill="auto"/>
          </w:tcPr>
          <w:p w14:paraId="3A2A485D"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Personnel P : 3</w:t>
            </w:r>
          </w:p>
          <w:p w14:paraId="0326EBA2"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Personnel G : 0,5</w:t>
            </w:r>
          </w:p>
          <w:p w14:paraId="072A6326"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p>
          <w:p w14:paraId="002A4C41" w14:textId="77777777" w:rsidR="00016A72" w:rsidRPr="00900C10" w:rsidRDefault="00016A72" w:rsidP="00D83960">
            <w:pPr>
              <w:widowControl/>
              <w:autoSpaceDE/>
              <w:autoSpaceDN/>
              <w:adjustRightInd/>
              <w:textAlignment w:val="baseline"/>
              <w:rPr>
                <w:rFonts w:ascii="Arial" w:hAnsi="Arial" w:cs="Arial"/>
                <w:sz w:val="18"/>
                <w:szCs w:val="18"/>
                <w:lang w:val="fr-FR" w:eastAsia="en-GB"/>
              </w:rPr>
            </w:pPr>
            <w:r w:rsidRPr="00900C10">
              <w:rPr>
                <w:rFonts w:ascii="Arial" w:hAnsi="Arial" w:cs="Arial"/>
                <w:sz w:val="18"/>
                <w:szCs w:val="18"/>
                <w:lang w:val="fr-FR" w:eastAsia="en-GB"/>
              </w:rPr>
              <w:t>(gestion de la logistique des voyages et des réunions, y compris les achats, selon les besoins, participation)</w:t>
            </w:r>
          </w:p>
        </w:tc>
      </w:tr>
    </w:tbl>
    <w:p w14:paraId="5385C11E" w14:textId="77777777" w:rsidR="00016A72" w:rsidRPr="001012C4" w:rsidRDefault="00016A72" w:rsidP="00016A72">
      <w:pPr>
        <w:widowControl/>
        <w:pBdr>
          <w:top w:val="nil"/>
          <w:left w:val="nil"/>
          <w:bottom w:val="nil"/>
          <w:right w:val="nil"/>
          <w:between w:val="nil"/>
          <w:bar w:val="nil"/>
        </w:pBdr>
        <w:autoSpaceDE/>
        <w:autoSpaceDN/>
        <w:adjustRightInd/>
        <w:spacing w:after="160" w:line="276" w:lineRule="auto"/>
        <w:jc w:val="both"/>
        <w:rPr>
          <w:rFonts w:ascii="Arial" w:hAnsi="Arial" w:cs="Arial"/>
          <w:b/>
          <w:bCs/>
          <w:sz w:val="22"/>
          <w:szCs w:val="22"/>
          <w:lang w:val="fr-FR"/>
        </w:rPr>
      </w:pPr>
    </w:p>
    <w:p w14:paraId="66D88F7E" w14:textId="77777777" w:rsidR="00D42D2B" w:rsidRPr="001012C4" w:rsidRDefault="00D42D2B" w:rsidP="00D42D2B">
      <w:pPr>
        <w:jc w:val="both"/>
        <w:rPr>
          <w:rFonts w:ascii="Arial" w:hAnsi="Arial" w:cs="Arial"/>
          <w:bCs/>
          <w:sz w:val="22"/>
          <w:szCs w:val="22"/>
          <w:lang w:val="fr-FR"/>
        </w:rPr>
      </w:pPr>
    </w:p>
    <w:sectPr w:rsidR="00D42D2B" w:rsidRPr="001012C4" w:rsidSect="00154461">
      <w:headerReference w:type="first" r:id="rId42"/>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F7E7B" w14:textId="77777777" w:rsidR="00964545" w:rsidRDefault="00DA06A7">
      <w:r>
        <w:separator/>
      </w:r>
    </w:p>
  </w:endnote>
  <w:endnote w:type="continuationSeparator" w:id="0">
    <w:p w14:paraId="19BBB3D2" w14:textId="77777777" w:rsidR="00964545" w:rsidRDefault="00DA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773013181"/>
      <w:docPartObj>
        <w:docPartGallery w:val="Page Numbers (Bottom of Page)"/>
        <w:docPartUnique/>
      </w:docPartObj>
    </w:sdtPr>
    <w:sdtEndPr>
      <w:rPr>
        <w:noProof/>
      </w:rPr>
    </w:sdtEndPr>
    <w:sdtContent>
      <w:p w14:paraId="05F5B37D" w14:textId="77777777" w:rsidR="00E42B63" w:rsidRPr="00627A42" w:rsidRDefault="00627A42" w:rsidP="00627A42">
        <w:pPr>
          <w:pStyle w:val="Footer"/>
          <w:jc w:val="center"/>
          <w:rPr>
            <w:rFonts w:ascii="Arial" w:hAnsi="Arial" w:cs="Arial"/>
            <w:sz w:val="18"/>
            <w:szCs w:val="18"/>
          </w:rPr>
        </w:pPr>
        <w:r w:rsidRPr="00627A42">
          <w:rPr>
            <w:rFonts w:ascii="Arial" w:hAnsi="Arial" w:cs="Arial"/>
            <w:sz w:val="18"/>
            <w:szCs w:val="18"/>
          </w:rPr>
          <w:fldChar w:fldCharType="begin"/>
        </w:r>
        <w:r w:rsidRPr="00627A42">
          <w:rPr>
            <w:rFonts w:ascii="Arial" w:hAnsi="Arial" w:cs="Arial"/>
            <w:sz w:val="18"/>
            <w:szCs w:val="18"/>
          </w:rPr>
          <w:instrText xml:space="preserve"> PAGE   \* MERGEFORMAT </w:instrText>
        </w:r>
        <w:r w:rsidRPr="00627A42">
          <w:rPr>
            <w:rFonts w:ascii="Arial" w:hAnsi="Arial" w:cs="Arial"/>
            <w:sz w:val="18"/>
            <w:szCs w:val="18"/>
          </w:rPr>
          <w:fldChar w:fldCharType="separate"/>
        </w:r>
        <w:r>
          <w:rPr>
            <w:rFonts w:ascii="Arial" w:hAnsi="Arial" w:cs="Arial"/>
            <w:noProof/>
            <w:sz w:val="18"/>
            <w:szCs w:val="18"/>
          </w:rPr>
          <w:t>2</w:t>
        </w:r>
        <w:r w:rsidRPr="00627A42">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227908763"/>
      <w:docPartObj>
        <w:docPartGallery w:val="Page Numbers (Bottom of Page)"/>
        <w:docPartUnique/>
      </w:docPartObj>
    </w:sdtPr>
    <w:sdtEndPr>
      <w:rPr>
        <w:noProof/>
      </w:rPr>
    </w:sdtEndPr>
    <w:sdtContent>
      <w:p w14:paraId="3D57F5A8" w14:textId="77777777" w:rsidR="00627A42" w:rsidRPr="00627A42" w:rsidRDefault="00627A42" w:rsidP="00627A42">
        <w:pPr>
          <w:pStyle w:val="Footer"/>
          <w:jc w:val="center"/>
          <w:rPr>
            <w:rFonts w:ascii="Arial" w:hAnsi="Arial" w:cs="Arial"/>
            <w:sz w:val="18"/>
            <w:szCs w:val="18"/>
          </w:rPr>
        </w:pPr>
        <w:r w:rsidRPr="00627A42">
          <w:rPr>
            <w:rFonts w:ascii="Arial" w:hAnsi="Arial" w:cs="Arial"/>
            <w:sz w:val="18"/>
            <w:szCs w:val="18"/>
          </w:rPr>
          <w:fldChar w:fldCharType="begin"/>
        </w:r>
        <w:r w:rsidRPr="00627A42">
          <w:rPr>
            <w:rFonts w:ascii="Arial" w:hAnsi="Arial" w:cs="Arial"/>
            <w:sz w:val="18"/>
            <w:szCs w:val="18"/>
          </w:rPr>
          <w:instrText xml:space="preserve"> PAGE   \* MERGEFORMAT </w:instrText>
        </w:r>
        <w:r w:rsidRPr="00627A42">
          <w:rPr>
            <w:rFonts w:ascii="Arial" w:hAnsi="Arial" w:cs="Arial"/>
            <w:sz w:val="18"/>
            <w:szCs w:val="18"/>
          </w:rPr>
          <w:fldChar w:fldCharType="separate"/>
        </w:r>
        <w:r>
          <w:rPr>
            <w:rFonts w:ascii="Arial" w:hAnsi="Arial" w:cs="Arial"/>
            <w:noProof/>
            <w:sz w:val="18"/>
            <w:szCs w:val="18"/>
          </w:rPr>
          <w:t>3</w:t>
        </w:r>
        <w:r w:rsidRPr="00627A42">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718094934"/>
      <w:docPartObj>
        <w:docPartGallery w:val="Page Numbers (Bottom of Page)"/>
        <w:docPartUnique/>
      </w:docPartObj>
    </w:sdtPr>
    <w:sdtEndPr>
      <w:rPr>
        <w:noProof/>
      </w:rPr>
    </w:sdtEndPr>
    <w:sdtContent>
      <w:p w14:paraId="7AA8A51F" w14:textId="77777777" w:rsidR="00D42D2B" w:rsidRPr="004866AB" w:rsidRDefault="00D42D2B">
        <w:pPr>
          <w:pStyle w:val="Footer"/>
          <w:jc w:val="center"/>
          <w:rPr>
            <w:rFonts w:ascii="Arial" w:hAnsi="Arial" w:cs="Arial"/>
            <w:sz w:val="18"/>
            <w:szCs w:val="18"/>
            <w:lang w:val="fr-FR"/>
          </w:rPr>
        </w:pPr>
        <w:r w:rsidRPr="004866AB">
          <w:rPr>
            <w:rFonts w:ascii="Arial" w:hAnsi="Arial" w:cs="Arial"/>
            <w:sz w:val="18"/>
            <w:szCs w:val="18"/>
            <w:lang w:val="fr-FR"/>
          </w:rPr>
          <w:fldChar w:fldCharType="begin"/>
        </w:r>
        <w:r w:rsidRPr="004866AB">
          <w:rPr>
            <w:rFonts w:ascii="Arial" w:hAnsi="Arial" w:cs="Arial"/>
            <w:sz w:val="18"/>
            <w:szCs w:val="18"/>
            <w:lang w:val="fr-FR"/>
          </w:rPr>
          <w:instrText xml:space="preserve"> PAGE   \* MERGEFORMAT </w:instrText>
        </w:r>
        <w:r w:rsidRPr="004866AB">
          <w:rPr>
            <w:rFonts w:ascii="Arial" w:hAnsi="Arial" w:cs="Arial"/>
            <w:sz w:val="18"/>
            <w:szCs w:val="18"/>
            <w:lang w:val="fr-FR"/>
          </w:rPr>
          <w:fldChar w:fldCharType="separate"/>
        </w:r>
        <w:r w:rsidRPr="004866AB">
          <w:rPr>
            <w:rFonts w:ascii="Arial" w:hAnsi="Arial" w:cs="Arial"/>
            <w:sz w:val="18"/>
            <w:szCs w:val="18"/>
            <w:lang w:val="fr-FR"/>
          </w:rPr>
          <w:t>2</w:t>
        </w:r>
        <w:r w:rsidRPr="004866AB">
          <w:rPr>
            <w:rFonts w:ascii="Arial" w:hAnsi="Arial" w:cs="Arial"/>
            <w:sz w:val="18"/>
            <w:szCs w:val="18"/>
            <w:lang w:val="fr-F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290735"/>
      <w:docPartObj>
        <w:docPartGallery w:val="Page Numbers (Bottom of Page)"/>
        <w:docPartUnique/>
      </w:docPartObj>
    </w:sdtPr>
    <w:sdtEndPr>
      <w:rPr>
        <w:noProof/>
      </w:rPr>
    </w:sdtEndPr>
    <w:sdtContent>
      <w:p w14:paraId="6EAE542C" w14:textId="77777777" w:rsidR="001012C4" w:rsidRDefault="001012C4">
        <w:pPr>
          <w:pStyle w:val="Footer"/>
          <w:jc w:val="center"/>
        </w:pPr>
      </w:p>
      <w:p w14:paraId="6A524795" w14:textId="77777777" w:rsidR="001012C4" w:rsidRDefault="001012C4">
        <w:pPr>
          <w:pStyle w:val="Footer"/>
          <w:jc w:val="center"/>
        </w:pPr>
      </w:p>
      <w:p w14:paraId="4218D142" w14:textId="77777777" w:rsidR="001012C4" w:rsidRDefault="001012C4">
        <w:pPr>
          <w:pStyle w:val="Footer"/>
          <w:jc w:val="center"/>
        </w:pPr>
      </w:p>
      <w:p w14:paraId="05015BA0" w14:textId="77777777" w:rsidR="001012C4" w:rsidRDefault="001012C4">
        <w:pPr>
          <w:pStyle w:val="Footer"/>
          <w:jc w:val="center"/>
        </w:pPr>
      </w:p>
      <w:p w14:paraId="196E3522" w14:textId="242D9D89" w:rsidR="001012C4" w:rsidRDefault="001012C4">
        <w:pPr>
          <w:pStyle w:val="Footer"/>
          <w:jc w:val="center"/>
        </w:pPr>
        <w:r w:rsidRPr="001012C4">
          <w:rPr>
            <w:rFonts w:ascii="Arial" w:hAnsi="Arial" w:cs="Arial"/>
            <w:sz w:val="18"/>
            <w:szCs w:val="18"/>
          </w:rPr>
          <w:fldChar w:fldCharType="begin"/>
        </w:r>
        <w:r w:rsidRPr="001012C4">
          <w:rPr>
            <w:rFonts w:ascii="Arial" w:hAnsi="Arial" w:cs="Arial"/>
            <w:sz w:val="18"/>
            <w:szCs w:val="18"/>
          </w:rPr>
          <w:instrText xml:space="preserve"> PAGE   \* MERGEFORMAT </w:instrText>
        </w:r>
        <w:r w:rsidRPr="001012C4">
          <w:rPr>
            <w:rFonts w:ascii="Arial" w:hAnsi="Arial" w:cs="Arial"/>
            <w:sz w:val="18"/>
            <w:szCs w:val="18"/>
          </w:rPr>
          <w:fldChar w:fldCharType="separate"/>
        </w:r>
        <w:r w:rsidRPr="001012C4">
          <w:rPr>
            <w:rFonts w:ascii="Arial" w:hAnsi="Arial" w:cs="Arial"/>
            <w:noProof/>
            <w:sz w:val="18"/>
            <w:szCs w:val="18"/>
          </w:rPr>
          <w:t>2</w:t>
        </w:r>
        <w:r w:rsidRPr="001012C4">
          <w:rPr>
            <w:rFonts w:ascii="Arial" w:hAnsi="Arial" w:cs="Arial"/>
            <w:noProof/>
            <w:sz w:val="18"/>
            <w:szCs w:val="18"/>
          </w:rPr>
          <w:fldChar w:fldCharType="end"/>
        </w:r>
      </w:p>
    </w:sdtContent>
  </w:sdt>
  <w:p w14:paraId="736EA48D" w14:textId="77777777" w:rsidR="001012C4" w:rsidRDefault="001012C4">
    <w:pPr>
      <w:pStyle w:val="Footer"/>
      <w:jc w:val="cen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6001F" w14:textId="77777777" w:rsidR="00964545" w:rsidRDefault="00DA06A7">
      <w:r>
        <w:separator/>
      </w:r>
    </w:p>
  </w:footnote>
  <w:footnote w:type="continuationSeparator" w:id="0">
    <w:p w14:paraId="1FE63556" w14:textId="77777777" w:rsidR="00964545" w:rsidRDefault="00DA06A7">
      <w:r>
        <w:continuationSeparator/>
      </w:r>
    </w:p>
  </w:footnote>
  <w:footnote w:id="1">
    <w:p w14:paraId="0399890A" w14:textId="77777777" w:rsidR="004866AB" w:rsidRPr="004866AB" w:rsidRDefault="004866AB" w:rsidP="004866AB">
      <w:pPr>
        <w:jc w:val="both"/>
        <w:rPr>
          <w:rFonts w:ascii="Arial" w:hAnsi="Arial" w:cs="Arial"/>
          <w:sz w:val="16"/>
          <w:szCs w:val="16"/>
          <w:lang w:val="fr-FR"/>
        </w:rPr>
      </w:pPr>
      <w:r w:rsidRPr="004866AB">
        <w:rPr>
          <w:rStyle w:val="FootnoteReference"/>
          <w:rFonts w:ascii="Arial" w:hAnsi="Arial" w:cs="Arial"/>
          <w:sz w:val="16"/>
          <w:szCs w:val="16"/>
          <w:lang w:val="fr-FR"/>
        </w:rPr>
        <w:footnoteRef/>
      </w:r>
      <w:r w:rsidRPr="004866AB">
        <w:rPr>
          <w:rFonts w:ascii="Arial" w:hAnsi="Arial" w:cs="Arial"/>
          <w:sz w:val="16"/>
          <w:szCs w:val="16"/>
          <w:lang w:val="fr-FR"/>
        </w:rPr>
        <w:t xml:space="preserve"> Captures nominales (également appelées débarquements nominaux) : poids débarqué converti en poids vif, souvent à l’aide d’un facteur de conversion. La capture nominale est souvent désignée comme l’équivalent en poids vif du poids débarqué ou abrégé en poids vif, et dans certaines publications nationales, elle est également désignée comme les débarquements sur une base ronde, une base fraîche, une base entière ou les débarquements sur une base ex-eau. Il convient d’être prudent lorsque l’on se réfère à la capture nominale comme étant la capture, car dans de nombreuses situations, la capture comprend des éléments rejetés qui ne sont pas débarqués (voir le diagramme du concept de capture). Souvent, lors du traitement ultérieur des données, des facteurs de conversion sont appliqués aux produits individuels (c’est-à-dire le poids au débarquement) qui expriment le poids d’une manière plus homogène. Une fois vérifiée, la capture nominale est aussi, dans de nombreux cas, la déclaration définitive de ce qui a été capturé et la quantité qui est appliquée aux quotas ou déclarée par un pays. (source : </w:t>
      </w:r>
      <w:r w:rsidR="00603D91">
        <w:fldChar w:fldCharType="begin"/>
      </w:r>
      <w:r w:rsidR="00603D91" w:rsidRPr="004165F5">
        <w:rPr>
          <w:lang w:val="fr-FR"/>
        </w:rPr>
        <w:instrText>HYPERLINK "https://www.fao.org/cwp-on-fishery-statistics/handbook/capture-fisheries-statistics/catch-and-landings"</w:instrText>
      </w:r>
      <w:r w:rsidR="00603D91">
        <w:fldChar w:fldCharType="separate"/>
      </w:r>
      <w:r w:rsidRPr="004866AB">
        <w:rPr>
          <w:rStyle w:val="Hyperlink"/>
          <w:rFonts w:ascii="Arial" w:hAnsi="Arial" w:cs="Arial"/>
          <w:sz w:val="16"/>
          <w:szCs w:val="16"/>
          <w:lang w:val="fr-FR"/>
        </w:rPr>
        <w:t>https://www.fao.org/cwp-on-fishery-statistics/handbook/capture-fisheries-statistics/catch-and-landings</w:t>
      </w:r>
      <w:r w:rsidR="00603D91">
        <w:rPr>
          <w:rStyle w:val="Hyperlink"/>
          <w:rFonts w:ascii="Arial" w:hAnsi="Arial" w:cs="Arial"/>
          <w:sz w:val="16"/>
          <w:szCs w:val="16"/>
          <w:lang w:val="fr-FR"/>
        </w:rPr>
        <w:fldChar w:fldCharType="end"/>
      </w:r>
      <w:r w:rsidRPr="004866AB">
        <w:rPr>
          <w:rFonts w:ascii="Arial" w:hAnsi="Arial" w:cs="Arial"/>
          <w:sz w:val="16"/>
          <w:szCs w:val="16"/>
          <w:lang w:val="fr-FR"/>
        </w:rPr>
        <w:t>)</w:t>
      </w:r>
    </w:p>
  </w:footnote>
  <w:footnote w:id="2">
    <w:p w14:paraId="5102C50D" w14:textId="77777777" w:rsidR="00D42D2B" w:rsidRPr="00A32203" w:rsidRDefault="00D42D2B" w:rsidP="00D42D2B">
      <w:pPr>
        <w:pStyle w:val="FootnoteText"/>
        <w:rPr>
          <w:sz w:val="16"/>
          <w:szCs w:val="16"/>
          <w:lang w:val="fr-FR"/>
        </w:rPr>
      </w:pPr>
      <w:r>
        <w:rPr>
          <w:rStyle w:val="FootnoteReference"/>
          <w:sz w:val="16"/>
          <w:szCs w:val="16"/>
          <w:lang w:val="fr-FR"/>
        </w:rPr>
        <w:footnoteRef/>
      </w:r>
      <w:r>
        <w:rPr>
          <w:rFonts w:ascii="Arial" w:hAnsi="Arial" w:cs="Arial"/>
          <w:sz w:val="16"/>
          <w:szCs w:val="16"/>
          <w:lang w:val="fr-FR"/>
        </w:rPr>
        <w:t>Notant les dérogations autorisées en vertu de l’article III, paragraphe 5, de la CMS</w:t>
      </w:r>
    </w:p>
  </w:footnote>
  <w:footnote w:id="3">
    <w:p w14:paraId="30B40229" w14:textId="77777777" w:rsidR="00016A72" w:rsidRPr="00620032" w:rsidRDefault="00016A72" w:rsidP="00016A72">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Le terme « </w:t>
      </w:r>
      <w:proofErr w:type="spellStart"/>
      <w:r>
        <w:rPr>
          <w:rFonts w:ascii="Arial" w:hAnsi="Arial" w:cs="Arial"/>
          <w:sz w:val="16"/>
          <w:szCs w:val="16"/>
          <w:lang w:val="fr-FR"/>
        </w:rPr>
        <w:t>nca</w:t>
      </w:r>
      <w:proofErr w:type="spellEnd"/>
      <w:r>
        <w:rPr>
          <w:rFonts w:ascii="Arial" w:hAnsi="Arial" w:cs="Arial"/>
          <w:sz w:val="16"/>
          <w:szCs w:val="16"/>
          <w:lang w:val="fr-FR"/>
        </w:rPr>
        <w:t xml:space="preserve"> » est un terme de la FAO signifiant « non classé ailleurs » ; lorsqu'il n’est pas possible d’identifier l’espèce et que plus d’une espèce est incluse dans le même groupe. </w:t>
      </w:r>
    </w:p>
  </w:footnote>
  <w:footnote w:id="4">
    <w:p w14:paraId="04C3A40F" w14:textId="77777777" w:rsidR="00016A72" w:rsidRPr="00620032" w:rsidRDefault="00016A72" w:rsidP="00016A72">
      <w:pPr>
        <w:pStyle w:val="FootnoteText"/>
        <w:jc w:val="both"/>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r>
        <w:rPr>
          <w:rFonts w:ascii="Arial" w:hAnsi="Arial" w:cs="Arial"/>
          <w:color w:val="auto"/>
          <w:sz w:val="16"/>
          <w:szCs w:val="16"/>
          <w:bdr w:val="none" w:sz="0" w:space="0" w:color="auto"/>
          <w:lang w:val="fr-FR" w:eastAsia="en-US"/>
        </w:rPr>
        <w:t xml:space="preserve">Tandis que les débarquements nominaux de </w:t>
      </w:r>
      <w:proofErr w:type="spellStart"/>
      <w:r>
        <w:rPr>
          <w:rFonts w:ascii="Arial" w:hAnsi="Arial" w:cs="Arial"/>
          <w:i/>
          <w:iCs/>
          <w:color w:val="auto"/>
          <w:sz w:val="16"/>
          <w:szCs w:val="16"/>
          <w:bdr w:val="none" w:sz="0" w:space="0" w:color="auto"/>
          <w:lang w:val="fr-FR" w:eastAsia="en-US"/>
        </w:rPr>
        <w:t>Squalus</w:t>
      </w:r>
      <w:proofErr w:type="spellEnd"/>
      <w:r>
        <w:rPr>
          <w:rFonts w:ascii="Arial" w:hAnsi="Arial" w:cs="Arial"/>
          <w:i/>
          <w:iCs/>
          <w:color w:val="auto"/>
          <w:sz w:val="16"/>
          <w:szCs w:val="16"/>
          <w:bdr w:val="none" w:sz="0" w:space="0" w:color="auto"/>
          <w:lang w:val="fr-FR" w:eastAsia="en-US"/>
        </w:rPr>
        <w:t xml:space="preserve"> acanthias</w:t>
      </w:r>
      <w:r>
        <w:rPr>
          <w:rFonts w:ascii="Arial" w:hAnsi="Arial" w:cs="Arial"/>
          <w:color w:val="auto"/>
          <w:sz w:val="16"/>
          <w:szCs w:val="16"/>
          <w:bdr w:val="none" w:sz="0" w:space="0" w:color="auto"/>
          <w:lang w:val="fr-FR" w:eastAsia="en-US"/>
        </w:rPr>
        <w:t xml:space="preserve"> dans les zones FAO 61, 67 et 77 ont été inclus dans la présente étude, ceux-ci sont maintenant considérés comme représentant une espèce différente, </w:t>
      </w:r>
      <w:proofErr w:type="spellStart"/>
      <w:r>
        <w:rPr>
          <w:rFonts w:ascii="Arial" w:hAnsi="Arial" w:cs="Arial"/>
          <w:i/>
          <w:iCs/>
          <w:color w:val="auto"/>
          <w:sz w:val="16"/>
          <w:szCs w:val="16"/>
          <w:bdr w:val="none" w:sz="0" w:space="0" w:color="auto"/>
          <w:lang w:val="fr-FR" w:eastAsia="en-US"/>
        </w:rPr>
        <w:t>Squalus</w:t>
      </w:r>
      <w:proofErr w:type="spellEnd"/>
      <w:r>
        <w:rPr>
          <w:rFonts w:ascii="Arial" w:hAnsi="Arial" w:cs="Arial"/>
          <w:i/>
          <w:iCs/>
          <w:color w:val="auto"/>
          <w:sz w:val="16"/>
          <w:szCs w:val="16"/>
          <w:bdr w:val="none" w:sz="0" w:space="0" w:color="auto"/>
          <w:lang w:val="fr-FR" w:eastAsia="en-US"/>
        </w:rPr>
        <w:t xml:space="preserve"> </w:t>
      </w:r>
      <w:proofErr w:type="spellStart"/>
      <w:r>
        <w:rPr>
          <w:rFonts w:ascii="Arial" w:hAnsi="Arial" w:cs="Arial"/>
          <w:i/>
          <w:iCs/>
          <w:color w:val="auto"/>
          <w:sz w:val="16"/>
          <w:szCs w:val="16"/>
          <w:bdr w:val="none" w:sz="0" w:space="0" w:color="auto"/>
          <w:lang w:val="fr-FR" w:eastAsia="en-US"/>
        </w:rPr>
        <w:t>suckleyi</w:t>
      </w:r>
      <w:proofErr w:type="spellEnd"/>
      <w:r>
        <w:rPr>
          <w:rFonts w:ascii="Arial" w:hAnsi="Arial" w:cs="Arial"/>
          <w:i/>
          <w:iCs/>
          <w:color w:val="auto"/>
          <w:sz w:val="16"/>
          <w:szCs w:val="16"/>
          <w:bdr w:val="none" w:sz="0" w:space="0" w:color="auto"/>
          <w:lang w:val="fr-FR" w:eastAsia="en-US"/>
        </w:rPr>
        <w:t>.</w:t>
      </w:r>
    </w:p>
  </w:footnote>
  <w:footnote w:id="5">
    <w:p w14:paraId="607979A9" w14:textId="77777777" w:rsidR="00016A72" w:rsidRPr="00620032" w:rsidRDefault="00016A72" w:rsidP="00016A72">
      <w:pPr>
        <w:pStyle w:val="FootnoteText"/>
        <w:jc w:val="both"/>
        <w:rPr>
          <w:rFonts w:ascii="Arial" w:hAnsi="Arial" w:cs="Arial"/>
          <w:i/>
          <w:iCs/>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Inscrite sur la liste ASFIS des espèces comme </w:t>
      </w:r>
      <w:proofErr w:type="spellStart"/>
      <w:r>
        <w:rPr>
          <w:rFonts w:ascii="Arial" w:hAnsi="Arial" w:cs="Arial"/>
          <w:sz w:val="16"/>
          <w:szCs w:val="16"/>
          <w:lang w:val="fr-FR"/>
        </w:rPr>
        <w:t>Mobilinae</w:t>
      </w:r>
      <w:proofErr w:type="spellEnd"/>
      <w:r>
        <w:rPr>
          <w:rFonts w:ascii="Arial" w:hAnsi="Arial" w:cs="Arial"/>
          <w:sz w:val="16"/>
          <w:szCs w:val="16"/>
          <w:lang w:val="fr-FR"/>
        </w:rPr>
        <w:t xml:space="preserve"> au lieu de </w:t>
      </w:r>
      <w:proofErr w:type="spellStart"/>
      <w:r>
        <w:rPr>
          <w:rFonts w:ascii="Arial" w:hAnsi="Arial" w:cs="Arial"/>
          <w:sz w:val="16"/>
          <w:szCs w:val="16"/>
          <w:lang w:val="fr-FR"/>
        </w:rPr>
        <w:t>Mobulidae</w:t>
      </w:r>
      <w:proofErr w:type="spellEnd"/>
      <w:r>
        <w:rPr>
          <w:rFonts w:ascii="Arial" w:hAnsi="Arial" w:cs="Arial"/>
          <w:sz w:val="16"/>
          <w:szCs w:val="16"/>
          <w:lang w:val="fr-FR"/>
        </w:rPr>
        <w:t>.</w:t>
      </w:r>
    </w:p>
  </w:footnote>
  <w:footnote w:id="6">
    <w:p w14:paraId="2F3D3AA9" w14:textId="77777777" w:rsidR="00016A72" w:rsidRPr="00620032" w:rsidRDefault="00016A72" w:rsidP="00016A72">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Inscrite la liste ASFIS des espèces comme </w:t>
      </w:r>
      <w:proofErr w:type="spellStart"/>
      <w:r>
        <w:rPr>
          <w:rFonts w:ascii="Arial" w:hAnsi="Arial" w:cs="Arial"/>
          <w:i/>
          <w:iCs/>
          <w:sz w:val="16"/>
          <w:szCs w:val="16"/>
          <w:lang w:val="fr-FR"/>
        </w:rPr>
        <w:t>Mobula</w:t>
      </w:r>
      <w:proofErr w:type="spellEnd"/>
      <w:r>
        <w:rPr>
          <w:rFonts w:ascii="Arial" w:hAnsi="Arial" w:cs="Arial"/>
          <w:i/>
          <w:iCs/>
          <w:sz w:val="16"/>
          <w:szCs w:val="16"/>
          <w:lang w:val="fr-FR"/>
        </w:rPr>
        <w:t xml:space="preserve"> </w:t>
      </w:r>
      <w:proofErr w:type="spellStart"/>
      <w:r>
        <w:rPr>
          <w:rFonts w:ascii="Arial" w:hAnsi="Arial" w:cs="Arial"/>
          <w:i/>
          <w:iCs/>
          <w:sz w:val="16"/>
          <w:szCs w:val="16"/>
          <w:lang w:val="fr-FR"/>
        </w:rPr>
        <w:t>eregoodootenkee</w:t>
      </w:r>
      <w:proofErr w:type="spellEnd"/>
      <w:r>
        <w:rPr>
          <w:rFonts w:ascii="Arial" w:hAnsi="Arial" w:cs="Arial"/>
          <w:i/>
          <w:iCs/>
          <w:sz w:val="16"/>
          <w:szCs w:val="16"/>
          <w:lang w:val="fr-FR"/>
        </w:rPr>
        <w:t xml:space="preserve"> </w:t>
      </w:r>
      <w:r>
        <w:rPr>
          <w:rFonts w:ascii="Arial" w:hAnsi="Arial" w:cs="Arial"/>
          <w:sz w:val="16"/>
          <w:szCs w:val="16"/>
          <w:lang w:val="fr-FR"/>
        </w:rPr>
        <w:t xml:space="preserve">au lieu de </w:t>
      </w:r>
      <w:proofErr w:type="spellStart"/>
      <w:r>
        <w:rPr>
          <w:rFonts w:ascii="Arial" w:hAnsi="Arial" w:cs="Arial"/>
          <w:i/>
          <w:iCs/>
          <w:sz w:val="16"/>
          <w:szCs w:val="16"/>
          <w:lang w:val="fr-FR"/>
        </w:rPr>
        <w:t>Mobula</w:t>
      </w:r>
      <w:proofErr w:type="spellEnd"/>
      <w:r>
        <w:rPr>
          <w:rFonts w:ascii="Arial" w:hAnsi="Arial" w:cs="Arial"/>
          <w:i/>
          <w:iCs/>
          <w:sz w:val="16"/>
          <w:szCs w:val="16"/>
          <w:lang w:val="fr-FR"/>
        </w:rPr>
        <w:t xml:space="preserve"> </w:t>
      </w:r>
      <w:proofErr w:type="spellStart"/>
      <w:r>
        <w:rPr>
          <w:rFonts w:ascii="Arial" w:hAnsi="Arial" w:cs="Arial"/>
          <w:i/>
          <w:iCs/>
          <w:sz w:val="16"/>
          <w:szCs w:val="16"/>
          <w:lang w:val="fr-FR"/>
        </w:rPr>
        <w:t>eregoodoo</w:t>
      </w:r>
      <w:proofErr w:type="spellEnd"/>
      <w:r>
        <w:rPr>
          <w:rFonts w:ascii="Arial" w:hAnsi="Arial" w:cs="Arial"/>
          <w:sz w:val="16"/>
          <w:szCs w:val="16"/>
          <w:lang w:val="fr-FR"/>
        </w:rPr>
        <w:t>.</w:t>
      </w:r>
    </w:p>
  </w:footnote>
  <w:footnote w:id="7">
    <w:p w14:paraId="5B003F4F" w14:textId="77777777" w:rsidR="00016A72" w:rsidRPr="00620032" w:rsidRDefault="00016A72" w:rsidP="00016A72">
      <w:pPr>
        <w:pStyle w:val="FootnoteText"/>
        <w:rPr>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Inscrite sur la liste ASFIS des espèces, mais pas considérée comme une espèce valide et qui devrait maintenant être agrégée avec </w:t>
      </w:r>
      <w:proofErr w:type="spellStart"/>
      <w:r>
        <w:rPr>
          <w:rFonts w:ascii="Arial" w:hAnsi="Arial" w:cs="Arial"/>
          <w:i/>
          <w:iCs/>
          <w:sz w:val="16"/>
          <w:szCs w:val="16"/>
          <w:lang w:val="fr-FR"/>
        </w:rPr>
        <w:t>Mobula</w:t>
      </w:r>
      <w:proofErr w:type="spellEnd"/>
      <w:r>
        <w:rPr>
          <w:rFonts w:ascii="Arial" w:hAnsi="Arial" w:cs="Arial"/>
          <w:i/>
          <w:iCs/>
          <w:sz w:val="16"/>
          <w:szCs w:val="16"/>
          <w:lang w:val="fr-FR"/>
        </w:rPr>
        <w:t xml:space="preserve"> mobular</w:t>
      </w:r>
      <w:r>
        <w:rPr>
          <w:rFonts w:ascii="Arial" w:hAnsi="Arial" w:cs="Arial"/>
          <w:sz w:val="16"/>
          <w:szCs w:val="16"/>
          <w:lang w:val="fr-FR"/>
        </w:rPr>
        <w:t>.</w:t>
      </w:r>
    </w:p>
  </w:footnote>
  <w:footnote w:id="8">
    <w:p w14:paraId="33899257" w14:textId="77777777" w:rsidR="00016A72" w:rsidRPr="00620032" w:rsidRDefault="00016A72" w:rsidP="00016A72">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Inscrite sur la liste ASFIS des espèces, mais pas considérée comme une espèce valide et qui devrait maintenant être agrégée avec </w:t>
      </w:r>
      <w:proofErr w:type="spellStart"/>
      <w:r>
        <w:rPr>
          <w:rFonts w:ascii="Arial" w:hAnsi="Arial" w:cs="Arial"/>
          <w:i/>
          <w:iCs/>
          <w:sz w:val="16"/>
          <w:szCs w:val="16"/>
          <w:lang w:val="fr-FR"/>
        </w:rPr>
        <w:t>Mobula</w:t>
      </w:r>
      <w:proofErr w:type="spellEnd"/>
      <w:r>
        <w:rPr>
          <w:rFonts w:ascii="Arial" w:hAnsi="Arial" w:cs="Arial"/>
          <w:i/>
          <w:iCs/>
          <w:sz w:val="16"/>
          <w:szCs w:val="16"/>
          <w:lang w:val="fr-FR"/>
        </w:rPr>
        <w:t xml:space="preserve"> </w:t>
      </w:r>
      <w:proofErr w:type="spellStart"/>
      <w:r>
        <w:rPr>
          <w:rFonts w:ascii="Arial" w:hAnsi="Arial" w:cs="Arial"/>
          <w:i/>
          <w:iCs/>
          <w:sz w:val="16"/>
          <w:szCs w:val="16"/>
          <w:lang w:val="fr-FR"/>
        </w:rPr>
        <w:t>hypostoma</w:t>
      </w:r>
      <w:proofErr w:type="spellEnd"/>
      <w:r>
        <w:rPr>
          <w:rFonts w:ascii="Arial" w:hAnsi="Arial" w:cs="Arial"/>
          <w:sz w:val="16"/>
          <w:szCs w:val="16"/>
          <w:lang w:val="fr-FR"/>
        </w:rPr>
        <w:t>.</w:t>
      </w:r>
    </w:p>
  </w:footnote>
  <w:footnote w:id="9">
    <w:p w14:paraId="3FBFE8E0" w14:textId="77777777" w:rsidR="00016A72" w:rsidRPr="001D549F" w:rsidRDefault="00016A72" w:rsidP="00016A72">
      <w:pPr>
        <w:pStyle w:val="FootnoteText"/>
        <w:rPr>
          <w:rFonts w:ascii="Arial" w:hAnsi="Arial" w:cs="Arial"/>
          <w:sz w:val="18"/>
          <w:szCs w:val="18"/>
          <w:lang w:val="fr-FR"/>
        </w:rPr>
      </w:pPr>
      <w:r>
        <w:rPr>
          <w:rStyle w:val="FootnoteReference"/>
          <w:rFonts w:ascii="Arial" w:hAnsi="Arial" w:cs="Arial"/>
          <w:sz w:val="16"/>
          <w:szCs w:val="16"/>
          <w:lang w:val="fr-FR"/>
        </w:rPr>
        <w:footnoteRef/>
      </w:r>
      <w:r>
        <w:rPr>
          <w:rFonts w:ascii="Arial" w:hAnsi="Arial" w:cs="Arial"/>
          <w:sz w:val="16"/>
          <w:szCs w:val="16"/>
          <w:lang w:val="fr-FR"/>
        </w:rPr>
        <w:t xml:space="preserve"> Inscrite sur la liste ASFIS des espèces, mais pas considérée comme une espèce valide, qui devrait maintenant être agrégée avec </w:t>
      </w:r>
      <w:proofErr w:type="spellStart"/>
      <w:r>
        <w:rPr>
          <w:rFonts w:ascii="Arial" w:hAnsi="Arial" w:cs="Arial"/>
          <w:i/>
          <w:iCs/>
          <w:sz w:val="16"/>
          <w:szCs w:val="16"/>
          <w:lang w:val="fr-FR"/>
        </w:rPr>
        <w:t>Pristis</w:t>
      </w:r>
      <w:proofErr w:type="spellEnd"/>
      <w:r>
        <w:rPr>
          <w:rFonts w:ascii="Arial" w:hAnsi="Arial" w:cs="Arial"/>
          <w:i/>
          <w:iCs/>
          <w:sz w:val="16"/>
          <w:szCs w:val="16"/>
          <w:lang w:val="fr-FR"/>
        </w:rPr>
        <w:t xml:space="preserve"> </w:t>
      </w:r>
      <w:proofErr w:type="spellStart"/>
      <w:r>
        <w:rPr>
          <w:rFonts w:ascii="Arial" w:hAnsi="Arial" w:cs="Arial"/>
          <w:i/>
          <w:iCs/>
          <w:sz w:val="16"/>
          <w:szCs w:val="16"/>
          <w:lang w:val="fr-FR"/>
        </w:rPr>
        <w:t>pristis</w:t>
      </w:r>
      <w:proofErr w:type="spellEnd"/>
      <w:r>
        <w:rPr>
          <w:rFonts w:ascii="Arial" w:hAnsi="Arial" w:cs="Arial"/>
          <w:sz w:val="16"/>
          <w:szCs w:val="16"/>
          <w:lang w:val="fr-FR"/>
        </w:rPr>
        <w:t>.</w:t>
      </w:r>
    </w:p>
  </w:footnote>
  <w:footnote w:id="10">
    <w:p w14:paraId="56DC5BC3" w14:textId="77777777" w:rsidR="00016A72" w:rsidRPr="002C7D6A" w:rsidRDefault="00016A72" w:rsidP="00016A72">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Plan de Conservation (PC), Mandat du Comité consultatif (M CC), Mandat du Secrétariat (M SEC)</w:t>
      </w:r>
    </w:p>
  </w:footnote>
  <w:footnote w:id="11">
    <w:p w14:paraId="5EB9232D" w14:textId="77777777" w:rsidR="00016A72" w:rsidRPr="002C7D6A" w:rsidRDefault="00016A72" w:rsidP="00016A72">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Activités principales du Secrétariat et priorités suggérées (élevée, moyenne)</w:t>
      </w:r>
    </w:p>
  </w:footnote>
  <w:footnote w:id="12">
    <w:p w14:paraId="7F875F4B" w14:textId="77777777" w:rsidR="00016A72" w:rsidRPr="002C7D6A" w:rsidRDefault="00016A72" w:rsidP="00016A72">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r>
        <w:rPr>
          <w:rFonts w:ascii="Arial" w:hAnsi="Arial" w:cs="Arial"/>
          <w:sz w:val="16"/>
          <w:szCs w:val="16"/>
          <w:lang w:val="fr-FR"/>
        </w:rPr>
        <w:footnoteRef/>
      </w:r>
      <w:r>
        <w:rPr>
          <w:rFonts w:ascii="Arial" w:hAnsi="Arial" w:cs="Arial"/>
          <w:sz w:val="16"/>
          <w:szCs w:val="16"/>
          <w:lang w:val="fr-FR"/>
        </w:rPr>
        <w:t xml:space="preserve"> Année(s) au cours de laquelle/desquelles l’activité devrait être mise en œuvre</w:t>
      </w:r>
    </w:p>
  </w:footnote>
  <w:footnote w:id="13">
    <w:p w14:paraId="075FBA4F" w14:textId="77777777" w:rsidR="00016A72" w:rsidRPr="00EA39D3" w:rsidRDefault="00016A72" w:rsidP="00016A72">
      <w:pPr>
        <w:pStyle w:val="FootnoteText"/>
        <w:rPr>
          <w:lang w:val="fr-FR"/>
        </w:rPr>
      </w:pPr>
      <w:r>
        <w:rPr>
          <w:rStyle w:val="FootnoteReference"/>
          <w:rFonts w:ascii="Arial" w:hAnsi="Arial" w:cs="Arial"/>
          <w:sz w:val="16"/>
          <w:szCs w:val="16"/>
          <w:lang w:val="fr-FR"/>
        </w:rPr>
        <w:footnoteRef/>
      </w:r>
      <w:r>
        <w:rPr>
          <w:rFonts w:ascii="Arial" w:hAnsi="Arial" w:cs="Arial"/>
          <w:sz w:val="16"/>
          <w:szCs w:val="16"/>
          <w:lang w:val="fr-FR"/>
        </w:rPr>
        <w:t xml:space="preserve"> Signataires (SIG), Comité consultatif (CC), Secrétariat (SEC), Groupe de travail sur la conservation (GTC), Consultants, Partenaires coopérants (</w:t>
      </w:r>
      <w:proofErr w:type="spellStart"/>
      <w:r>
        <w:rPr>
          <w:rFonts w:ascii="Arial" w:hAnsi="Arial" w:cs="Arial"/>
          <w:sz w:val="16"/>
          <w:szCs w:val="16"/>
          <w:lang w:val="fr-FR"/>
        </w:rPr>
        <w:t>CooP</w:t>
      </w:r>
      <w:proofErr w:type="spellEnd"/>
      <w:r>
        <w:rPr>
          <w:rFonts w:ascii="Arial" w:hAnsi="Arial" w:cs="Arial"/>
          <w:sz w:val="16"/>
          <w:szCs w:val="16"/>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E199" w14:textId="63FB8DBD" w:rsidR="00E42B63" w:rsidRPr="00627A42" w:rsidRDefault="00627A42" w:rsidP="00F71199">
    <w:pPr>
      <w:pBdr>
        <w:bottom w:val="single" w:sz="4" w:space="1" w:color="auto"/>
      </w:pBdr>
      <w:ind w:left="-36" w:right="-108"/>
      <w:jc w:val="both"/>
      <w:rPr>
        <w:rFonts w:ascii="Arial" w:hAnsi="Arial" w:cs="Arial"/>
        <w:i/>
        <w:sz w:val="18"/>
        <w:szCs w:val="18"/>
      </w:rPr>
    </w:pPr>
    <w:r>
      <w:rPr>
        <w:rFonts w:ascii="Arial" w:hAnsi="Arial" w:cs="Arial"/>
        <w:i/>
        <w:sz w:val="18"/>
        <w:szCs w:val="18"/>
      </w:rPr>
      <w:t>CMS/Sharks/MOS</w:t>
    </w:r>
    <w:r w:rsidR="00CE7534">
      <w:rPr>
        <w:rFonts w:ascii="Arial" w:hAnsi="Arial" w:cs="Arial"/>
        <w:i/>
        <w:sz w:val="18"/>
        <w:szCs w:val="18"/>
      </w:rPr>
      <w:t>4</w:t>
    </w:r>
    <w:r>
      <w:rPr>
        <w:rFonts w:ascii="Arial" w:hAnsi="Arial" w:cs="Arial"/>
        <w:i/>
        <w:sz w:val="18"/>
        <w:szCs w:val="18"/>
      </w:rPr>
      <w:t>/Doc.</w:t>
    </w:r>
    <w:r w:rsidR="00D42D2B">
      <w:rPr>
        <w:rFonts w:ascii="Arial" w:hAnsi="Arial" w:cs="Arial"/>
        <w:i/>
        <w:sz w:val="18"/>
        <w:szCs w:val="18"/>
      </w:rPr>
      <w:t>10.6</w:t>
    </w:r>
  </w:p>
  <w:p w14:paraId="0A439A74" w14:textId="77777777" w:rsidR="00E42B63" w:rsidRDefault="00603D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A99E" w14:textId="77777777" w:rsidR="00016A72" w:rsidRPr="009E2F56" w:rsidRDefault="00016A72" w:rsidP="002C7D6A">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CMS/Sharks/MOS4/Doc.10.6/Annex 1</w:t>
    </w:r>
  </w:p>
  <w:p w14:paraId="4689E56B" w14:textId="77777777" w:rsidR="00016A72" w:rsidRPr="00995C01" w:rsidRDefault="00016A72" w:rsidP="00B67B59">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6DB8" w14:textId="6A7A29D1" w:rsidR="00016A72" w:rsidRPr="009E2F56" w:rsidRDefault="00016A72" w:rsidP="009818C5">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w:t>
    </w:r>
    <w:r w:rsidR="001012C4">
      <w:rPr>
        <w:rFonts w:ascii="Arial" w:hAnsi="Arial" w:cs="Arial"/>
        <w:i/>
        <w:color w:val="auto"/>
        <w:sz w:val="18"/>
        <w:szCs w:val="18"/>
      </w:rPr>
      <w:t>e</w:t>
    </w:r>
    <w:proofErr w:type="spellEnd"/>
    <w:r>
      <w:rPr>
        <w:rFonts w:ascii="Arial" w:hAnsi="Arial" w:cs="Arial"/>
        <w:i/>
        <w:color w:val="auto"/>
        <w:sz w:val="18"/>
        <w:szCs w:val="18"/>
      </w:rPr>
      <w:t xml:space="preserve"> 2</w:t>
    </w:r>
  </w:p>
  <w:p w14:paraId="5D94FE57" w14:textId="77777777" w:rsidR="00016A72" w:rsidRPr="00995C01" w:rsidRDefault="00016A72" w:rsidP="00B67B59">
    <w:pPr>
      <w:pStyle w:val="Head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ACFE" w14:textId="698E1B0F" w:rsidR="00016A72" w:rsidRPr="009E2F56" w:rsidRDefault="00016A72" w:rsidP="009818C5">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w:t>
    </w:r>
    <w:r w:rsidR="001012C4">
      <w:rPr>
        <w:rFonts w:ascii="Arial" w:hAnsi="Arial" w:cs="Arial"/>
        <w:i/>
        <w:color w:val="auto"/>
        <w:sz w:val="18"/>
        <w:szCs w:val="18"/>
      </w:rPr>
      <w:t>e</w:t>
    </w:r>
    <w:proofErr w:type="spellEnd"/>
    <w:r>
      <w:rPr>
        <w:rFonts w:ascii="Arial" w:hAnsi="Arial" w:cs="Arial"/>
        <w:i/>
        <w:color w:val="auto"/>
        <w:sz w:val="18"/>
        <w:szCs w:val="18"/>
      </w:rPr>
      <w:t xml:space="preserve"> 3</w:t>
    </w:r>
  </w:p>
  <w:p w14:paraId="368D5C26" w14:textId="77777777" w:rsidR="00016A72" w:rsidRPr="00995C01" w:rsidRDefault="00016A72" w:rsidP="00B67B59">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1820" w14:textId="15EABE2A" w:rsidR="000057DF" w:rsidRPr="009E2F56" w:rsidRDefault="00900C10" w:rsidP="002C7D6A">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w:t>
    </w:r>
    <w:r w:rsidR="001012C4">
      <w:rPr>
        <w:rFonts w:ascii="Arial" w:hAnsi="Arial" w:cs="Arial"/>
        <w:i/>
        <w:color w:val="auto"/>
        <w:sz w:val="18"/>
        <w:szCs w:val="18"/>
      </w:rPr>
      <w:t>e</w:t>
    </w:r>
    <w:proofErr w:type="spellEnd"/>
    <w:r>
      <w:rPr>
        <w:rFonts w:ascii="Arial" w:hAnsi="Arial" w:cs="Arial"/>
        <w:i/>
        <w:color w:val="auto"/>
        <w:sz w:val="18"/>
        <w:szCs w:val="18"/>
      </w:rPr>
      <w:t xml:space="preserve"> 4</w:t>
    </w:r>
  </w:p>
  <w:p w14:paraId="53598301" w14:textId="77777777" w:rsidR="000057DF" w:rsidRPr="00995C01" w:rsidRDefault="00603D91">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DD86" w14:textId="56B00E73" w:rsidR="00627A42" w:rsidRPr="00627A42" w:rsidRDefault="00627A42" w:rsidP="00CC76F2">
    <w:pPr>
      <w:pBdr>
        <w:bottom w:val="single" w:sz="4" w:space="1" w:color="auto"/>
      </w:pBdr>
      <w:ind w:left="-36" w:right="-33"/>
      <w:jc w:val="right"/>
      <w:rPr>
        <w:rFonts w:ascii="Arial" w:hAnsi="Arial" w:cs="Arial"/>
        <w:i/>
        <w:sz w:val="18"/>
        <w:szCs w:val="18"/>
      </w:rPr>
    </w:pPr>
    <w:r>
      <w:rPr>
        <w:rFonts w:ascii="Arial" w:hAnsi="Arial" w:cs="Arial"/>
        <w:i/>
        <w:sz w:val="18"/>
        <w:szCs w:val="18"/>
      </w:rPr>
      <w:t>CMS/Sharks/MOS</w:t>
    </w:r>
    <w:r w:rsidR="00CE7534">
      <w:rPr>
        <w:rFonts w:ascii="Arial" w:hAnsi="Arial" w:cs="Arial"/>
        <w:i/>
        <w:sz w:val="18"/>
        <w:szCs w:val="18"/>
      </w:rPr>
      <w:t>4</w:t>
    </w:r>
    <w:r>
      <w:rPr>
        <w:rFonts w:ascii="Arial" w:hAnsi="Arial" w:cs="Arial"/>
        <w:i/>
        <w:sz w:val="18"/>
        <w:szCs w:val="18"/>
      </w:rPr>
      <w:t>/Doc.</w:t>
    </w:r>
    <w:r w:rsidR="00D42D2B">
      <w:rPr>
        <w:rFonts w:ascii="Arial" w:hAnsi="Arial" w:cs="Arial"/>
        <w:i/>
        <w:sz w:val="18"/>
        <w:szCs w:val="18"/>
      </w:rPr>
      <w:t>10.6</w:t>
    </w:r>
  </w:p>
  <w:p w14:paraId="479B4D53" w14:textId="77777777" w:rsidR="00627A42" w:rsidRDefault="00627A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543A" w14:textId="6559146B" w:rsidR="00016A72" w:rsidRPr="00627A42" w:rsidRDefault="00016A72" w:rsidP="00F71199">
    <w:pPr>
      <w:pBdr>
        <w:bottom w:val="single" w:sz="4" w:space="1" w:color="auto"/>
      </w:pBdr>
      <w:ind w:left="-36" w:right="-108"/>
      <w:jc w:val="both"/>
      <w:rPr>
        <w:rFonts w:ascii="Arial" w:hAnsi="Arial" w:cs="Arial"/>
        <w:i/>
        <w:sz w:val="18"/>
        <w:szCs w:val="18"/>
      </w:rPr>
    </w:pPr>
    <w:r>
      <w:rPr>
        <w:rFonts w:ascii="Arial" w:hAnsi="Arial" w:cs="Arial"/>
        <w:i/>
        <w:sz w:val="18"/>
        <w:szCs w:val="18"/>
      </w:rPr>
      <w:t>CMS/Sharks/MOS4/Doc.10.6/</w:t>
    </w:r>
    <w:proofErr w:type="spellStart"/>
    <w:r>
      <w:rPr>
        <w:rFonts w:ascii="Arial" w:hAnsi="Arial" w:cs="Arial"/>
        <w:i/>
        <w:sz w:val="18"/>
        <w:szCs w:val="18"/>
      </w:rPr>
      <w:t>Annexe</w:t>
    </w:r>
    <w:proofErr w:type="spellEnd"/>
    <w:r>
      <w:rPr>
        <w:rFonts w:ascii="Arial" w:hAnsi="Arial" w:cs="Arial"/>
        <w:i/>
        <w:sz w:val="18"/>
        <w:szCs w:val="18"/>
      </w:rPr>
      <w:t xml:space="preserve"> 1</w:t>
    </w:r>
  </w:p>
  <w:p w14:paraId="5F0F2AB5" w14:textId="77777777" w:rsidR="00016A72" w:rsidRDefault="00016A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58B0" w14:textId="015700C0" w:rsidR="00D42D2B" w:rsidRPr="009E2F56" w:rsidRDefault="00D42D2B"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w:t>
    </w:r>
    <w:r w:rsidR="00016A72">
      <w:rPr>
        <w:rFonts w:ascii="Arial" w:hAnsi="Arial" w:cs="Arial"/>
        <w:i/>
        <w:color w:val="auto"/>
        <w:sz w:val="18"/>
        <w:szCs w:val="18"/>
      </w:rPr>
      <w:t>e</w:t>
    </w:r>
    <w:proofErr w:type="spellEnd"/>
    <w:r>
      <w:rPr>
        <w:rFonts w:ascii="Arial" w:hAnsi="Arial" w:cs="Arial"/>
        <w:i/>
        <w:color w:val="auto"/>
        <w:sz w:val="18"/>
        <w:szCs w:val="18"/>
      </w:rPr>
      <w:t xml:space="preserve"> 1</w:t>
    </w:r>
  </w:p>
  <w:p w14:paraId="42AD5764" w14:textId="77777777" w:rsidR="00D42D2B" w:rsidRPr="00995C01" w:rsidRDefault="00D42D2B" w:rsidP="00D87D1E">
    <w:pPr>
      <w:pStyle w:val="Header"/>
      <w:rPr>
        <w:lang w:val="en-US"/>
      </w:rPr>
    </w:pPr>
  </w:p>
  <w:p w14:paraId="0EFE701F" w14:textId="77777777" w:rsidR="00D42D2B" w:rsidRPr="00995C01" w:rsidRDefault="00D42D2B" w:rsidP="00F9613E">
    <w:pPr>
      <w:pStyle w:val="Header"/>
      <w:tabs>
        <w:tab w:val="left" w:pos="2712"/>
      </w:tabs>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5C2B" w14:textId="1D1E4EB7" w:rsidR="00D42D2B" w:rsidRPr="009E2F56" w:rsidRDefault="00D42D2B" w:rsidP="00D42D2B">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Annexe</w:t>
    </w:r>
    <w:proofErr w:type="spellEnd"/>
    <w:r>
      <w:rPr>
        <w:rFonts w:ascii="Arial" w:hAnsi="Arial" w:cs="Arial"/>
        <w:i/>
        <w:color w:val="auto"/>
        <w:sz w:val="18"/>
        <w:szCs w:val="18"/>
      </w:rPr>
      <w:t xml:space="preserve"> 1</w:t>
    </w:r>
  </w:p>
  <w:p w14:paraId="05D3A69B" w14:textId="77777777" w:rsidR="00D42D2B" w:rsidRPr="00995C01" w:rsidRDefault="00D42D2B" w:rsidP="00B67B59">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A7FA" w14:textId="257129A2" w:rsidR="00016A72" w:rsidRPr="009E2F56" w:rsidRDefault="00016A72" w:rsidP="009E2F56">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Annexe</w:t>
    </w:r>
    <w:proofErr w:type="spellEnd"/>
    <w:r>
      <w:rPr>
        <w:rFonts w:ascii="Arial" w:hAnsi="Arial" w:cs="Arial"/>
        <w:i/>
        <w:color w:val="auto"/>
        <w:sz w:val="18"/>
        <w:szCs w:val="18"/>
      </w:rPr>
      <w:t xml:space="preserve"> 1</w:t>
    </w:r>
  </w:p>
  <w:p w14:paraId="3119EA0D" w14:textId="77777777" w:rsidR="00016A72" w:rsidRPr="00995C01" w:rsidRDefault="00016A72">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6C0C" w14:textId="77777777" w:rsidR="00016A72" w:rsidRPr="009E2F56" w:rsidRDefault="00016A72" w:rsidP="00D87D1E">
    <w:pPr>
      <w:pStyle w:val="Heading1"/>
      <w:keepNext w:val="0"/>
      <w:pBdr>
        <w:bottom w:val="single" w:sz="4" w:space="1" w:color="auto"/>
      </w:pBdr>
      <w:spacing w:before="0"/>
      <w:jc w:val="right"/>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Annexe</w:t>
    </w:r>
    <w:proofErr w:type="spellEnd"/>
    <w:r>
      <w:rPr>
        <w:rFonts w:ascii="Arial" w:hAnsi="Arial" w:cs="Arial"/>
        <w:i/>
        <w:color w:val="auto"/>
        <w:sz w:val="18"/>
        <w:szCs w:val="18"/>
      </w:rPr>
      <w:t xml:space="preserve"> 1</w:t>
    </w:r>
  </w:p>
  <w:p w14:paraId="7A87EBB6" w14:textId="77777777" w:rsidR="00016A72" w:rsidRPr="00995C01" w:rsidRDefault="00016A72" w:rsidP="00D87D1E">
    <w:pPr>
      <w:pStyle w:val="Header"/>
      <w:rPr>
        <w:lang w:val="en-US"/>
      </w:rPr>
    </w:pPr>
  </w:p>
  <w:p w14:paraId="4B6A9FC6" w14:textId="77777777" w:rsidR="00016A72" w:rsidRPr="00995C01" w:rsidRDefault="00016A72" w:rsidP="00F9613E">
    <w:pPr>
      <w:pStyle w:val="Header"/>
      <w:tabs>
        <w:tab w:val="left" w:pos="2712"/>
      </w:tabs>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8FA93" w14:textId="7FCB9F7E" w:rsidR="00D42D2B" w:rsidRPr="00627A42" w:rsidRDefault="00D42D2B" w:rsidP="00D42D2B">
    <w:pPr>
      <w:pBdr>
        <w:bottom w:val="single" w:sz="4" w:space="1" w:color="auto"/>
      </w:pBdr>
      <w:ind w:left="-36" w:right="-33"/>
      <w:jc w:val="right"/>
      <w:rPr>
        <w:rFonts w:ascii="Arial" w:hAnsi="Arial" w:cs="Arial"/>
        <w:i/>
        <w:sz w:val="18"/>
        <w:szCs w:val="18"/>
      </w:rPr>
    </w:pPr>
    <w:r>
      <w:rPr>
        <w:rFonts w:ascii="Arial" w:hAnsi="Arial" w:cs="Arial"/>
        <w:i/>
        <w:sz w:val="18"/>
        <w:szCs w:val="18"/>
      </w:rPr>
      <w:t>CMS/Sharks/MOS4/Doc.10.6/</w:t>
    </w:r>
    <w:proofErr w:type="spellStart"/>
    <w:r>
      <w:rPr>
        <w:rFonts w:ascii="Arial" w:hAnsi="Arial" w:cs="Arial"/>
        <w:i/>
        <w:sz w:val="18"/>
        <w:szCs w:val="18"/>
      </w:rPr>
      <w:t>Annexe</w:t>
    </w:r>
    <w:proofErr w:type="spellEnd"/>
    <w:r>
      <w:rPr>
        <w:rFonts w:ascii="Arial" w:hAnsi="Arial" w:cs="Arial"/>
        <w:i/>
        <w:sz w:val="18"/>
        <w:szCs w:val="18"/>
      </w:rPr>
      <w:t xml:space="preserve"> 1</w:t>
    </w:r>
  </w:p>
  <w:p w14:paraId="599E5855" w14:textId="77777777" w:rsidR="00D42D2B" w:rsidRDefault="00D42D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71187" w14:textId="0957716E" w:rsidR="00016A72" w:rsidRPr="009E2F56" w:rsidRDefault="00016A72" w:rsidP="002C7D6A">
    <w:pPr>
      <w:pStyle w:val="Heading1"/>
      <w:keepNext w:val="0"/>
      <w:pBdr>
        <w:bottom w:val="single" w:sz="4" w:space="1" w:color="auto"/>
      </w:pBdr>
      <w:spacing w:before="0"/>
      <w:rPr>
        <w:rFonts w:ascii="Arial" w:hAnsi="Arial" w:cs="Arial"/>
        <w:b/>
        <w:i/>
        <w:color w:val="auto"/>
        <w:sz w:val="18"/>
        <w:szCs w:val="18"/>
      </w:rPr>
    </w:pPr>
    <w:r>
      <w:rPr>
        <w:rFonts w:ascii="Arial" w:hAnsi="Arial" w:cs="Arial"/>
        <w:i/>
        <w:color w:val="auto"/>
        <w:sz w:val="18"/>
        <w:szCs w:val="18"/>
      </w:rPr>
      <w:t>CMS/Sharks/MOS4/Doc.10.6/</w:t>
    </w:r>
    <w:proofErr w:type="spellStart"/>
    <w:r>
      <w:rPr>
        <w:rFonts w:ascii="Arial" w:hAnsi="Arial" w:cs="Arial"/>
        <w:i/>
        <w:color w:val="auto"/>
        <w:sz w:val="18"/>
        <w:szCs w:val="18"/>
      </w:rPr>
      <w:t>Annex</w:t>
    </w:r>
    <w:r w:rsidR="001012C4">
      <w:rPr>
        <w:rFonts w:ascii="Arial" w:hAnsi="Arial" w:cs="Arial"/>
        <w:i/>
        <w:color w:val="auto"/>
        <w:sz w:val="18"/>
        <w:szCs w:val="18"/>
      </w:rPr>
      <w:t>e</w:t>
    </w:r>
    <w:proofErr w:type="spellEnd"/>
    <w:r>
      <w:rPr>
        <w:rFonts w:ascii="Arial" w:hAnsi="Arial" w:cs="Arial"/>
        <w:i/>
        <w:color w:val="auto"/>
        <w:sz w:val="18"/>
        <w:szCs w:val="18"/>
      </w:rPr>
      <w:t xml:space="preserve"> 1</w:t>
    </w:r>
  </w:p>
  <w:p w14:paraId="6CC82A6D" w14:textId="77777777" w:rsidR="00016A72" w:rsidRPr="00995C01" w:rsidRDefault="00016A72" w:rsidP="00B67B5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C88"/>
    <w:multiLevelType w:val="hybridMultilevel"/>
    <w:tmpl w:val="6B7606DA"/>
    <w:styleLink w:val="ImportedStyle1"/>
    <w:lvl w:ilvl="0" w:tplc="49FA48B2">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96019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D80AF8">
      <w:start w:val="1"/>
      <w:numFmt w:val="lowerLetter"/>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02D2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F08AD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7AB7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C16882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440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84E28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2306AF1"/>
    <w:multiLevelType w:val="hybridMultilevel"/>
    <w:tmpl w:val="BCD01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23C55"/>
    <w:multiLevelType w:val="hybridMultilevel"/>
    <w:tmpl w:val="54B2A74E"/>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65F780E"/>
    <w:multiLevelType w:val="hybridMultilevel"/>
    <w:tmpl w:val="7BEA55F4"/>
    <w:lvl w:ilvl="0" w:tplc="DC344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E70FA"/>
    <w:multiLevelType w:val="hybridMultilevel"/>
    <w:tmpl w:val="E68665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8C03AC6"/>
    <w:multiLevelType w:val="hybridMultilevel"/>
    <w:tmpl w:val="D4984194"/>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E6FB7"/>
    <w:multiLevelType w:val="hybridMultilevel"/>
    <w:tmpl w:val="623C1510"/>
    <w:lvl w:ilvl="0" w:tplc="5E1A7CFE">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0363D1"/>
    <w:multiLevelType w:val="multilevel"/>
    <w:tmpl w:val="000AEF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74005"/>
    <w:multiLevelType w:val="hybridMultilevel"/>
    <w:tmpl w:val="EE96ADD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EA51FF7"/>
    <w:multiLevelType w:val="hybridMultilevel"/>
    <w:tmpl w:val="E790FD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60882"/>
    <w:multiLevelType w:val="multilevel"/>
    <w:tmpl w:val="948644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573478F"/>
    <w:multiLevelType w:val="multilevel"/>
    <w:tmpl w:val="E58CB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0070F2"/>
    <w:multiLevelType w:val="hybridMultilevel"/>
    <w:tmpl w:val="6B7606DA"/>
    <w:numStyleLink w:val="ImportedStyle1"/>
  </w:abstractNum>
  <w:abstractNum w:abstractNumId="13" w15:restartNumberingAfterBreak="0">
    <w:nsid w:val="5455131B"/>
    <w:multiLevelType w:val="multilevel"/>
    <w:tmpl w:val="94ECCC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3B4D6C"/>
    <w:multiLevelType w:val="hybridMultilevel"/>
    <w:tmpl w:val="D6DAF64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5" w15:restartNumberingAfterBreak="0">
    <w:nsid w:val="5BCE2E26"/>
    <w:multiLevelType w:val="hybridMultilevel"/>
    <w:tmpl w:val="8E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EC5E10"/>
    <w:multiLevelType w:val="hybridMultilevel"/>
    <w:tmpl w:val="58FC498A"/>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D4304FF"/>
    <w:multiLevelType w:val="hybridMultilevel"/>
    <w:tmpl w:val="53C4ECDC"/>
    <w:lvl w:ilvl="0" w:tplc="4E8000EC">
      <w:start w:val="1"/>
      <w:numFmt w:val="lowerLetter"/>
      <w:lvlText w:val="%1)"/>
      <w:lvlJc w:val="left"/>
      <w:pPr>
        <w:ind w:left="780" w:hanging="360"/>
      </w:pPr>
      <w:rPr>
        <w:rFonts w:hint="default"/>
        <w:lang w:val="fr-F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6F9F03CD"/>
    <w:multiLevelType w:val="hybridMultilevel"/>
    <w:tmpl w:val="C5503BA6"/>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DD76439"/>
    <w:multiLevelType w:val="hybridMultilevel"/>
    <w:tmpl w:val="BCFC936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F5F2DB9"/>
    <w:multiLevelType w:val="hybridMultilevel"/>
    <w:tmpl w:val="7116F004"/>
    <w:lvl w:ilvl="0" w:tplc="FFFFFFFF">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0AE2C2">
      <w:start w:val="1"/>
      <w:numFmt w:val="bullet"/>
      <w:lvlText w:val=""/>
      <w:lvlJc w:val="left"/>
      <w:pPr>
        <w:ind w:left="426" w:hanging="360"/>
      </w:pPr>
      <w:rPr>
        <w:rFonts w:ascii="Symbol" w:hAnsi="Symbol" w:hint="default"/>
      </w:rPr>
    </w:lvl>
    <w:lvl w:ilvl="3" w:tplc="FFFFFFFF">
      <w:start w:val="1"/>
      <w:numFmt w:val="bullet"/>
      <w:lvlText w:val="·"/>
      <w:lvlJc w:val="left"/>
      <w:pPr>
        <w:ind w:left="45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4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5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5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781217683">
    <w:abstractNumId w:val="1"/>
  </w:num>
  <w:num w:numId="2" w16cid:durableId="694425000">
    <w:abstractNumId w:val="17"/>
  </w:num>
  <w:num w:numId="3" w16cid:durableId="2268432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8405969">
    <w:abstractNumId w:val="0"/>
  </w:num>
  <w:num w:numId="5" w16cid:durableId="1981181587">
    <w:abstractNumId w:val="12"/>
    <w:lvlOverride w:ilvl="0">
      <w:lvl w:ilvl="0" w:tplc="9D2631F4">
        <w:start w:val="1"/>
        <w:numFmt w:val="decimal"/>
        <w:lvlText w:val="%1."/>
        <w:lvlJc w:val="left"/>
        <w:pPr>
          <w:ind w:left="720" w:hanging="72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6" w16cid:durableId="191766007">
    <w:abstractNumId w:val="11"/>
  </w:num>
  <w:num w:numId="7" w16cid:durableId="1031413745">
    <w:abstractNumId w:val="14"/>
  </w:num>
  <w:num w:numId="8" w16cid:durableId="155266840">
    <w:abstractNumId w:val="18"/>
  </w:num>
  <w:num w:numId="9" w16cid:durableId="1616525514">
    <w:abstractNumId w:val="20"/>
  </w:num>
  <w:num w:numId="10" w16cid:durableId="1521579472">
    <w:abstractNumId w:val="16"/>
  </w:num>
  <w:num w:numId="11" w16cid:durableId="1922451190">
    <w:abstractNumId w:val="8"/>
  </w:num>
  <w:num w:numId="12" w16cid:durableId="2828239">
    <w:abstractNumId w:val="10"/>
  </w:num>
  <w:num w:numId="13" w16cid:durableId="1990164111">
    <w:abstractNumId w:val="19"/>
  </w:num>
  <w:num w:numId="14" w16cid:durableId="435947834">
    <w:abstractNumId w:val="2"/>
  </w:num>
  <w:num w:numId="15" w16cid:durableId="566496129">
    <w:abstractNumId w:val="7"/>
  </w:num>
  <w:num w:numId="16" w16cid:durableId="2092893928">
    <w:abstractNumId w:val="15"/>
  </w:num>
  <w:num w:numId="17" w16cid:durableId="762848016">
    <w:abstractNumId w:val="5"/>
  </w:num>
  <w:num w:numId="18" w16cid:durableId="1603881941">
    <w:abstractNumId w:val="9"/>
  </w:num>
  <w:num w:numId="19" w16cid:durableId="1904876054">
    <w:abstractNumId w:val="6"/>
  </w:num>
  <w:num w:numId="20" w16cid:durableId="1892033737">
    <w:abstractNumId w:val="3"/>
  </w:num>
  <w:num w:numId="21" w16cid:durableId="19140077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C0NDQxMjM0sTQxNzdX0lEKTi0uzszPAykwqQUAcMOPYiwAAAA="/>
  </w:docVars>
  <w:rsids>
    <w:rsidRoot w:val="00B25614"/>
    <w:rsid w:val="00016A72"/>
    <w:rsid w:val="000E249B"/>
    <w:rsid w:val="000F4E00"/>
    <w:rsid w:val="001012C4"/>
    <w:rsid w:val="001050B4"/>
    <w:rsid w:val="001B6B92"/>
    <w:rsid w:val="001C7504"/>
    <w:rsid w:val="002620DE"/>
    <w:rsid w:val="003403BD"/>
    <w:rsid w:val="003853A2"/>
    <w:rsid w:val="003C6B55"/>
    <w:rsid w:val="004165F5"/>
    <w:rsid w:val="00451B4C"/>
    <w:rsid w:val="0047009E"/>
    <w:rsid w:val="0048633E"/>
    <w:rsid w:val="004866AB"/>
    <w:rsid w:val="00490565"/>
    <w:rsid w:val="0049063C"/>
    <w:rsid w:val="004B1BDD"/>
    <w:rsid w:val="004F27E0"/>
    <w:rsid w:val="00536C33"/>
    <w:rsid w:val="00540C05"/>
    <w:rsid w:val="00603D91"/>
    <w:rsid w:val="0061372A"/>
    <w:rsid w:val="00627A42"/>
    <w:rsid w:val="00633185"/>
    <w:rsid w:val="007B4024"/>
    <w:rsid w:val="007E577C"/>
    <w:rsid w:val="00900C10"/>
    <w:rsid w:val="00901D65"/>
    <w:rsid w:val="00964545"/>
    <w:rsid w:val="009A4757"/>
    <w:rsid w:val="009B083A"/>
    <w:rsid w:val="009F3112"/>
    <w:rsid w:val="00A25B8F"/>
    <w:rsid w:val="00B134E7"/>
    <w:rsid w:val="00B25614"/>
    <w:rsid w:val="00CC6F9A"/>
    <w:rsid w:val="00CC76F2"/>
    <w:rsid w:val="00CE7534"/>
    <w:rsid w:val="00D42D2B"/>
    <w:rsid w:val="00DA06A7"/>
    <w:rsid w:val="00DD3534"/>
    <w:rsid w:val="00E72512"/>
    <w:rsid w:val="00FD4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7571E3E"/>
  <w15:chartTrackingRefBased/>
  <w15:docId w15:val="{1103D5E8-93CE-40A8-B852-C13B19C1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14"/>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D42D2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42D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uiPriority w:val="9"/>
    <w:qFormat/>
    <w:rsid w:val="00B25614"/>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Cambria" w:hAnsi="Cambr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25614"/>
    <w:rPr>
      <w:color w:val="0000FF"/>
      <w:u w:val="single"/>
    </w:rPr>
  </w:style>
  <w:style w:type="character" w:styleId="CommentReference">
    <w:name w:val="annotation reference"/>
    <w:uiPriority w:val="99"/>
    <w:semiHidden/>
    <w:unhideWhenUsed/>
    <w:rsid w:val="00B25614"/>
    <w:rPr>
      <w:sz w:val="16"/>
      <w:szCs w:val="16"/>
    </w:rPr>
  </w:style>
  <w:style w:type="paragraph" w:styleId="CommentText">
    <w:name w:val="annotation text"/>
    <w:basedOn w:val="Normal"/>
    <w:link w:val="CommentTextChar"/>
    <w:uiPriority w:val="99"/>
    <w:semiHidden/>
    <w:unhideWhenUsed/>
    <w:rsid w:val="00B25614"/>
    <w:rPr>
      <w:szCs w:val="20"/>
    </w:rPr>
  </w:style>
  <w:style w:type="character" w:customStyle="1" w:styleId="CommentTextChar">
    <w:name w:val="Comment Text Char"/>
    <w:basedOn w:val="DefaultParagraphFont"/>
    <w:link w:val="CommentText"/>
    <w:uiPriority w:val="99"/>
    <w:semiHidden/>
    <w:rsid w:val="00B25614"/>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25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614"/>
    <w:rPr>
      <w:rFonts w:ascii="Segoe UI" w:eastAsia="Times New Roman" w:hAnsi="Segoe UI" w:cs="Segoe UI"/>
      <w:sz w:val="18"/>
      <w:szCs w:val="18"/>
    </w:rPr>
  </w:style>
  <w:style w:type="paragraph" w:styleId="ListParagraph">
    <w:name w:val="List Paragraph"/>
    <w:basedOn w:val="Normal"/>
    <w:link w:val="ListParagraphChar"/>
    <w:uiPriority w:val="34"/>
    <w:qFormat/>
    <w:rsid w:val="00B25614"/>
    <w:pPr>
      <w:ind w:left="720"/>
      <w:contextualSpacing/>
    </w:pPr>
  </w:style>
  <w:style w:type="character" w:customStyle="1" w:styleId="Heading9Char">
    <w:name w:val="Heading 9 Char"/>
    <w:basedOn w:val="DefaultParagraphFont"/>
    <w:link w:val="Heading9"/>
    <w:uiPriority w:val="9"/>
    <w:rsid w:val="00B25614"/>
    <w:rPr>
      <w:rFonts w:ascii="Cambria" w:eastAsia="Times New Roman" w:hAnsi="Cambria" w:cs="Times New Roman"/>
      <w:sz w:val="20"/>
      <w:szCs w:val="20"/>
    </w:rPr>
  </w:style>
  <w:style w:type="character" w:styleId="PageNumber">
    <w:name w:val="page number"/>
    <w:basedOn w:val="DefaultParagraphFont"/>
    <w:rsid w:val="007E577C"/>
  </w:style>
  <w:style w:type="paragraph" w:styleId="Header">
    <w:name w:val="header"/>
    <w:basedOn w:val="Normal"/>
    <w:link w:val="HeaderChar"/>
    <w:uiPriority w:val="99"/>
    <w:rsid w:val="007E577C"/>
    <w:pPr>
      <w:tabs>
        <w:tab w:val="center" w:pos="4153"/>
        <w:tab w:val="right" w:pos="8306"/>
      </w:tabs>
    </w:pPr>
    <w:rPr>
      <w:szCs w:val="20"/>
      <w:lang w:val="en-GB"/>
    </w:rPr>
  </w:style>
  <w:style w:type="character" w:customStyle="1" w:styleId="HeaderChar">
    <w:name w:val="Header Char"/>
    <w:basedOn w:val="DefaultParagraphFont"/>
    <w:link w:val="Header"/>
    <w:uiPriority w:val="99"/>
    <w:rsid w:val="007E577C"/>
    <w:rPr>
      <w:rFonts w:ascii="Times New Roman" w:eastAsia="Times New Roman" w:hAnsi="Times New Roman" w:cs="Times New Roman"/>
      <w:sz w:val="20"/>
      <w:szCs w:val="20"/>
      <w:lang w:val="en-GB"/>
    </w:rPr>
  </w:style>
  <w:style w:type="paragraph" w:styleId="Footer">
    <w:name w:val="footer"/>
    <w:basedOn w:val="Normal"/>
    <w:link w:val="FooterChar"/>
    <w:uiPriority w:val="99"/>
    <w:rsid w:val="007E577C"/>
    <w:pPr>
      <w:tabs>
        <w:tab w:val="center" w:pos="4320"/>
        <w:tab w:val="right" w:pos="8640"/>
      </w:tabs>
    </w:pPr>
  </w:style>
  <w:style w:type="character" w:customStyle="1" w:styleId="FooterChar">
    <w:name w:val="Footer Char"/>
    <w:basedOn w:val="DefaultParagraphFont"/>
    <w:link w:val="Footer"/>
    <w:uiPriority w:val="99"/>
    <w:rsid w:val="007E577C"/>
    <w:rPr>
      <w:rFonts w:ascii="Times New Roman" w:eastAsia="Times New Roman" w:hAnsi="Times New Roman" w:cs="Times New Roman"/>
      <w:sz w:val="20"/>
      <w:szCs w:val="24"/>
    </w:rPr>
  </w:style>
  <w:style w:type="character" w:customStyle="1" w:styleId="Heading1Char">
    <w:name w:val="Heading 1 Char"/>
    <w:basedOn w:val="DefaultParagraphFont"/>
    <w:link w:val="Heading1"/>
    <w:uiPriority w:val="9"/>
    <w:rsid w:val="00D42D2B"/>
    <w:rPr>
      <w:rFonts w:asciiTheme="majorHAnsi" w:eastAsiaTheme="majorEastAsia" w:hAnsiTheme="majorHAnsi" w:cstheme="majorBidi"/>
      <w:color w:val="2E74B5" w:themeColor="accent1" w:themeShade="BF"/>
      <w:sz w:val="32"/>
      <w:szCs w:val="32"/>
    </w:rPr>
  </w:style>
  <w:style w:type="numbering" w:customStyle="1" w:styleId="ImportedStyle1">
    <w:name w:val="Imported Style 1"/>
    <w:rsid w:val="00D42D2B"/>
    <w:pPr>
      <w:numPr>
        <w:numId w:val="4"/>
      </w:numPr>
    </w:pPr>
  </w:style>
  <w:style w:type="character" w:customStyle="1" w:styleId="ListParagraphChar">
    <w:name w:val="List Paragraph Char"/>
    <w:basedOn w:val="DefaultParagraphFont"/>
    <w:link w:val="ListParagraph"/>
    <w:uiPriority w:val="34"/>
    <w:rsid w:val="00D42D2B"/>
    <w:rPr>
      <w:rFonts w:ascii="Times New Roman" w:eastAsia="Times New Roman" w:hAnsi="Times New Roman" w:cs="Times New Roman"/>
      <w:sz w:val="20"/>
      <w:szCs w:val="24"/>
    </w:rPr>
  </w:style>
  <w:style w:type="character" w:customStyle="1" w:styleId="Heading2Char">
    <w:name w:val="Heading 2 Char"/>
    <w:basedOn w:val="DefaultParagraphFont"/>
    <w:link w:val="Heading2"/>
    <w:uiPriority w:val="9"/>
    <w:semiHidden/>
    <w:rsid w:val="00D42D2B"/>
    <w:rPr>
      <w:rFonts w:asciiTheme="majorHAnsi" w:eastAsiaTheme="majorEastAsia" w:hAnsiTheme="majorHAnsi" w:cstheme="majorBidi"/>
      <w:color w:val="2E74B5" w:themeColor="accent1" w:themeShade="BF"/>
      <w:sz w:val="26"/>
      <w:szCs w:val="26"/>
    </w:rPr>
  </w:style>
  <w:style w:type="paragraph" w:customStyle="1" w:styleId="Body">
    <w:name w:val="Body"/>
    <w:rsid w:val="00D42D2B"/>
    <w:pPr>
      <w:pBdr>
        <w:top w:val="nil"/>
        <w:left w:val="nil"/>
        <w:bottom w:val="nil"/>
        <w:right w:val="nil"/>
        <w:between w:val="nil"/>
        <w:bar w:val="nil"/>
      </w:pBdr>
      <w:spacing w:line="360" w:lineRule="auto"/>
    </w:pPr>
    <w:rPr>
      <w:rFonts w:ascii="Times New Roman" w:eastAsia="Arial Unicode MS" w:hAnsi="Times New Roman" w:cs="Arial Unicode MS"/>
      <w:color w:val="000000"/>
      <w:sz w:val="24"/>
      <w:szCs w:val="24"/>
      <w:u w:color="000000"/>
      <w:bdr w:val="nil"/>
      <w:lang w:val="en-GB" w:eastAsia="en-GB"/>
      <w14:textOutline w14:w="0" w14:cap="flat" w14:cmpd="sng" w14:algn="ctr">
        <w14:noFill/>
        <w14:prstDash w14:val="solid"/>
        <w14:bevel/>
      </w14:textOutline>
    </w:rPr>
  </w:style>
  <w:style w:type="paragraph" w:styleId="FootnoteText">
    <w:name w:val="footnote text"/>
    <w:link w:val="FootnoteTextChar"/>
    <w:rsid w:val="00D42D2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GB"/>
    </w:rPr>
  </w:style>
  <w:style w:type="character" w:customStyle="1" w:styleId="FootnoteTextChar">
    <w:name w:val="Footnote Text Char"/>
    <w:basedOn w:val="DefaultParagraphFont"/>
    <w:link w:val="FootnoteText"/>
    <w:rsid w:val="00D42D2B"/>
    <w:rPr>
      <w:rFonts w:ascii="Times New Roman" w:eastAsia="Times New Roman" w:hAnsi="Times New Roman" w:cs="Times New Roman"/>
      <w:color w:val="000000"/>
      <w:sz w:val="20"/>
      <w:szCs w:val="20"/>
      <w:u w:color="000000"/>
      <w:bdr w:val="nil"/>
      <w:lang w:eastAsia="en-GB"/>
    </w:rPr>
  </w:style>
  <w:style w:type="character" w:styleId="FootnoteReference">
    <w:name w:val="footnote reference"/>
    <w:basedOn w:val="DefaultParagraphFont"/>
    <w:uiPriority w:val="99"/>
    <w:semiHidden/>
    <w:unhideWhenUsed/>
    <w:rsid w:val="00D42D2B"/>
    <w:rPr>
      <w:vertAlign w:val="superscript"/>
    </w:rPr>
  </w:style>
  <w:style w:type="paragraph" w:customStyle="1" w:styleId="Style1">
    <w:name w:val="Style1"/>
    <w:basedOn w:val="ListParagraph"/>
    <w:link w:val="Style1Char"/>
    <w:qFormat/>
    <w:rsid w:val="00D42D2B"/>
    <w:pPr>
      <w:widowControl/>
      <w:pBdr>
        <w:top w:val="nil"/>
        <w:left w:val="nil"/>
        <w:bottom w:val="nil"/>
        <w:right w:val="nil"/>
        <w:between w:val="nil"/>
        <w:bar w:val="nil"/>
      </w:pBdr>
      <w:autoSpaceDE/>
      <w:autoSpaceDN/>
      <w:adjustRightInd/>
      <w:spacing w:after="160" w:line="276" w:lineRule="auto"/>
      <w:ind w:left="360" w:hanging="360"/>
      <w:contextualSpacing w:val="0"/>
      <w:jc w:val="both"/>
      <w:outlineLvl w:val="1"/>
    </w:pPr>
    <w:rPr>
      <w:rFonts w:ascii="Arial" w:hAnsi="Arial" w:cs="Arial"/>
      <w:b/>
      <w:bCs/>
      <w:u w:val="single"/>
    </w:rPr>
  </w:style>
  <w:style w:type="character" w:customStyle="1" w:styleId="Style1Char">
    <w:name w:val="Style1 Char"/>
    <w:basedOn w:val="ListParagraphChar"/>
    <w:link w:val="Style1"/>
    <w:rsid w:val="00D42D2B"/>
    <w:rPr>
      <w:rFonts w:ascii="Arial" w:eastAsia="Times New Roman" w:hAnsi="Arial" w:cs="Arial"/>
      <w:b/>
      <w:bCs/>
      <w:sz w:val="20"/>
      <w:szCs w:val="24"/>
      <w:u w:val="single"/>
    </w:rPr>
  </w:style>
  <w:style w:type="paragraph" w:styleId="Caption">
    <w:name w:val="caption"/>
    <w:next w:val="Body"/>
    <w:rsid w:val="00016A72"/>
    <w:pPr>
      <w:pBdr>
        <w:top w:val="nil"/>
        <w:left w:val="nil"/>
        <w:bottom w:val="nil"/>
        <w:right w:val="nil"/>
        <w:between w:val="nil"/>
        <w:bar w:val="nil"/>
      </w:pBdr>
      <w:spacing w:after="0" w:line="240" w:lineRule="auto"/>
    </w:pPr>
    <w:rPr>
      <w:rFonts w:ascii="Times New Roman" w:eastAsia="Arial Unicode MS" w:hAnsi="Times New Roman" w:cs="Arial Unicode MS"/>
      <w:i/>
      <w:iCs/>
      <w:color w:val="44546A"/>
      <w:sz w:val="18"/>
      <w:szCs w:val="18"/>
      <w:u w:color="44546A"/>
      <w:bdr w:val="nil"/>
      <w:lang w:eastAsia="en-GB"/>
      <w14:textOutline w14:w="0" w14:cap="flat" w14:cmpd="sng" w14:algn="ctr">
        <w14:noFill/>
        <w14:prstDash w14:val="solid"/>
        <w14:bevel/>
      </w14:textOutline>
    </w:rPr>
  </w:style>
  <w:style w:type="table" w:customStyle="1" w:styleId="PlainTable21">
    <w:name w:val="Plain Table 21"/>
    <w:basedOn w:val="TableNormal"/>
    <w:next w:val="PlainTable2"/>
    <w:uiPriority w:val="42"/>
    <w:rsid w:val="00016A72"/>
    <w:pPr>
      <w:spacing w:after="0" w:line="240" w:lineRule="auto"/>
    </w:pPr>
    <w:rPr>
      <w:rFonts w:ascii="Trebuchet MS" w:hAnsi="Trebuchet MS" w:cs="Times New Roman"/>
      <w:sz w:val="28"/>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16A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25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30635">
      <w:bodyDiv w:val="1"/>
      <w:marLeft w:val="0"/>
      <w:marRight w:val="0"/>
      <w:marTop w:val="0"/>
      <w:marBottom w:val="0"/>
      <w:divBdr>
        <w:top w:val="none" w:sz="0" w:space="0" w:color="auto"/>
        <w:left w:val="none" w:sz="0" w:space="0" w:color="auto"/>
        <w:bottom w:val="none" w:sz="0" w:space="0" w:color="auto"/>
        <w:right w:val="none" w:sz="0" w:space="0" w:color="auto"/>
      </w:divBdr>
    </w:div>
    <w:div w:id="175859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sharks/fr/document/capacity-building-programme" TargetMode="External"/><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image" Target="media/image7.jpeg"/><Relationship Id="rId42"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cms.int/sharks/fr/node/23723" TargetMode="External"/><Relationship Id="rId29" Type="http://schemas.openxmlformats.org/officeDocument/2006/relationships/header" Target="head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s.int/sharks/sites/default/files/document/cms_sharks-mos3_outcome3.9_pow_f.pdf" TargetMode="External"/><Relationship Id="rId24" Type="http://schemas.openxmlformats.org/officeDocument/2006/relationships/footer" Target="footer3.xml"/><Relationship Id="rId32" Type="http://schemas.openxmlformats.org/officeDocument/2006/relationships/hyperlink" Target="https://github.com/mpozo-montoro/MOS4-Doc.10.5.1" TargetMode="External"/><Relationship Id="rId37" Type="http://schemas.openxmlformats.org/officeDocument/2006/relationships/hyperlink" Target="https://doi.org/10.1093/zoolinnean/zlx018" TargetMode="External"/><Relationship Id="rId40" Type="http://schemas.openxmlformats.org/officeDocument/2006/relationships/hyperlink" Target="https://www.cms.int/sharks/fr/node/23725"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5.svg"/><Relationship Id="rId36"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github" TargetMode="External"/><Relationship Id="rId31" Type="http://schemas.openxmlformats.org/officeDocument/2006/relationships/hyperlink" Target="https://github.com/mpozo-montoro/MOS4-Doc.10.5.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1Hae1uOx-3kSru6_vrHqsT6bJxf8Un4uj"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header" Target="header9.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ms.int/sharks/fr/document/terms-reference-intersessional-working-group-conservation-measures"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6.jpeg"/><Relationship Id="rId38"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B0AF8-C381-42BA-B563-D106F483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20477</Words>
  <Characters>116722</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Meyers</dc:creator>
  <cp:keywords/>
  <dc:description/>
  <cp:lastModifiedBy>Catherine Brueckner</cp:lastModifiedBy>
  <cp:revision>2</cp:revision>
  <cp:lastPrinted>2023-01-12T11:59:00Z</cp:lastPrinted>
  <dcterms:created xsi:type="dcterms:W3CDTF">2023-01-12T12:00:00Z</dcterms:created>
  <dcterms:modified xsi:type="dcterms:W3CDTF">2023-01-12T12:00:00Z</dcterms:modified>
</cp:coreProperties>
</file>