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DA3952">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470CA7" w:rsidRDefault="00470CA7" w:rsidP="00BF42FC">
      <w:pPr>
        <w:jc w:val="right"/>
        <w:rPr>
          <w:b/>
          <w:sz w:val="22"/>
          <w:szCs w:val="22"/>
          <w:lang w:val="en-GB"/>
        </w:rPr>
      </w:pPr>
    </w:p>
    <w:p w:rsidR="00BF42FC" w:rsidRPr="003E24AC" w:rsidRDefault="00BF42FC" w:rsidP="00BF42FC">
      <w:pPr>
        <w:jc w:val="right"/>
        <w:rPr>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(arising from ScC-SC</w:t>
      </w:r>
      <w:r w:rsidR="00E93AEE">
        <w:rPr>
          <w:rFonts w:cs="Arial"/>
          <w:b w:val="0"/>
          <w:sz w:val="22"/>
          <w:szCs w:val="22"/>
          <w:lang w:val="en-GB"/>
        </w:rPr>
        <w:t>4</w:t>
      </w:r>
      <w:r>
        <w:rPr>
          <w:rFonts w:cs="Arial"/>
          <w:b w:val="0"/>
          <w:sz w:val="22"/>
          <w:szCs w:val="22"/>
          <w:lang w:val="en-GB"/>
        </w:rPr>
        <w:t xml:space="preserve">) </w:t>
      </w:r>
    </w:p>
    <w:p w:rsidR="00BF42FC" w:rsidRPr="00BF42FC" w:rsidRDefault="00BF42FC" w:rsidP="00BF42FC">
      <w:pPr>
        <w:rPr>
          <w:lang w:val="en-GB"/>
        </w:rPr>
      </w:pPr>
    </w:p>
    <w:p w:rsidR="00B53617" w:rsidRDefault="00B53617" w:rsidP="009C1152">
      <w:pPr>
        <w:pStyle w:val="Heading2"/>
        <w:keepNext w:val="0"/>
        <w:ind w:left="-90" w:right="-367"/>
        <w:jc w:val="center"/>
        <w:rPr>
          <w:rFonts w:cs="Arial"/>
          <w:sz w:val="22"/>
          <w:szCs w:val="22"/>
          <w:lang w:val="en-GB"/>
        </w:rPr>
      </w:pPr>
      <w:r w:rsidRPr="00B53617">
        <w:rPr>
          <w:rFonts w:cs="Arial"/>
          <w:sz w:val="22"/>
          <w:szCs w:val="22"/>
          <w:lang w:val="en-GB"/>
        </w:rPr>
        <w:t>AFRICAN CARNIVORES INITIATIVE</w:t>
      </w:r>
    </w:p>
    <w:p w:rsidR="000F1354" w:rsidRPr="00E90844" w:rsidRDefault="003E24AC" w:rsidP="009C1152">
      <w:pPr>
        <w:pStyle w:val="Heading2"/>
        <w:keepNext w:val="0"/>
        <w:ind w:left="-90" w:right="-367"/>
        <w:jc w:val="center"/>
        <w:rPr>
          <w:rFonts w:cs="Arial"/>
          <w:sz w:val="22"/>
          <w:szCs w:val="22"/>
        </w:rPr>
      </w:pPr>
      <w:r w:rsidRPr="00E90844">
        <w:rPr>
          <w:rFonts w:cs="Arial"/>
          <w:sz w:val="22"/>
          <w:szCs w:val="22"/>
        </w:rPr>
        <w:t>UNEP/CMS/COP1</w:t>
      </w:r>
      <w:r w:rsidR="00E93AEE" w:rsidRPr="00E90844">
        <w:rPr>
          <w:rFonts w:cs="Arial"/>
          <w:sz w:val="22"/>
          <w:szCs w:val="22"/>
        </w:rPr>
        <w:t>3</w:t>
      </w:r>
      <w:r w:rsidRPr="00E90844">
        <w:rPr>
          <w:rFonts w:cs="Arial"/>
          <w:sz w:val="22"/>
          <w:szCs w:val="22"/>
        </w:rPr>
        <w:t>/</w:t>
      </w:r>
      <w:r w:rsidR="00E56FB6" w:rsidRPr="00E90844">
        <w:rPr>
          <w:rFonts w:cs="Arial"/>
          <w:sz w:val="22"/>
          <w:szCs w:val="22"/>
        </w:rPr>
        <w:t>Doc.</w:t>
      </w:r>
      <w:r w:rsidR="005B2DE1">
        <w:rPr>
          <w:rFonts w:cs="Arial"/>
          <w:sz w:val="22"/>
          <w:szCs w:val="22"/>
        </w:rPr>
        <w:t>26</w:t>
      </w:r>
      <w:r w:rsidR="00B53617">
        <w:rPr>
          <w:rFonts w:cs="Arial"/>
          <w:sz w:val="22"/>
          <w:szCs w:val="22"/>
        </w:rPr>
        <w:t>.3.1</w:t>
      </w:r>
    </w:p>
    <w:p w:rsidR="00470CA7" w:rsidRPr="00E90844" w:rsidRDefault="00470CA7" w:rsidP="00470CA7"/>
    <w:p w:rsidR="00470CA7" w:rsidRPr="00470CA7" w:rsidRDefault="00470CA7" w:rsidP="00470CA7">
      <w:pPr>
        <w:jc w:val="center"/>
        <w:rPr>
          <w:b/>
          <w:sz w:val="22"/>
          <w:szCs w:val="22"/>
        </w:rPr>
      </w:pPr>
      <w:r w:rsidRPr="00E90844">
        <w:rPr>
          <w:b/>
          <w:sz w:val="22"/>
          <w:szCs w:val="22"/>
        </w:rPr>
        <w:t xml:space="preserve">ScC-SC4 Agenda Item </w:t>
      </w:r>
      <w:r w:rsidR="00DA3952">
        <w:rPr>
          <w:b/>
          <w:sz w:val="22"/>
          <w:szCs w:val="22"/>
        </w:rPr>
        <w:t>1</w:t>
      </w:r>
      <w:r w:rsidR="005B2DE1">
        <w:rPr>
          <w:b/>
          <w:sz w:val="22"/>
          <w:szCs w:val="22"/>
        </w:rPr>
        <w:t>0</w:t>
      </w:r>
      <w:r w:rsidR="00B53617">
        <w:rPr>
          <w:b/>
          <w:sz w:val="22"/>
          <w:szCs w:val="22"/>
        </w:rPr>
        <w:t>.3.1</w:t>
      </w:r>
    </w:p>
    <w:p w:rsidR="00BF42FC" w:rsidRPr="00FE4814" w:rsidRDefault="00BF42FC" w:rsidP="00BF42FC">
      <w:pPr>
        <w:jc w:val="center"/>
        <w:rPr>
          <w:b/>
          <w:sz w:val="22"/>
          <w:szCs w:val="22"/>
        </w:rPr>
      </w:pPr>
    </w:p>
    <w:p w:rsidR="00DF4423" w:rsidRPr="00FE4814" w:rsidRDefault="00DF4423" w:rsidP="000F1354">
      <w:pPr>
        <w:tabs>
          <w:tab w:val="left" w:pos="1020"/>
        </w:tabs>
        <w:rPr>
          <w:rFonts w:cs="Arial"/>
          <w:sz w:val="22"/>
          <w:szCs w:val="22"/>
        </w:rPr>
      </w:pPr>
    </w:p>
    <w:p w:rsidR="000742A7" w:rsidRPr="00A75A6A" w:rsidRDefault="000742A7" w:rsidP="000742A7">
      <w:pPr>
        <w:tabs>
          <w:tab w:val="left" w:pos="1020"/>
        </w:tabs>
        <w:rPr>
          <w:rFonts w:cs="Arial"/>
          <w:b/>
          <w:sz w:val="22"/>
          <w:szCs w:val="22"/>
        </w:rPr>
      </w:pPr>
    </w:p>
    <w:p w:rsidR="000742A7" w:rsidRPr="00DF4423" w:rsidRDefault="000742A7" w:rsidP="000742A7">
      <w:pPr>
        <w:tabs>
          <w:tab w:val="left" w:pos="1020"/>
        </w:tabs>
        <w:rPr>
          <w:rFonts w:cs="Arial"/>
          <w:b/>
          <w:sz w:val="22"/>
          <w:szCs w:val="22"/>
        </w:rPr>
      </w:pPr>
      <w:r w:rsidRPr="00DF4423">
        <w:rPr>
          <w:rFonts w:cs="Arial"/>
          <w:b/>
          <w:sz w:val="22"/>
          <w:szCs w:val="22"/>
        </w:rPr>
        <w:t>RECOMMENDATIONS TO COP1</w:t>
      </w:r>
      <w:r>
        <w:rPr>
          <w:rFonts w:cs="Arial"/>
          <w:b/>
          <w:sz w:val="22"/>
          <w:szCs w:val="22"/>
        </w:rPr>
        <w:t>3</w:t>
      </w:r>
    </w:p>
    <w:p w:rsidR="008A56DD" w:rsidRDefault="008A56DD" w:rsidP="000F1354">
      <w:pPr>
        <w:tabs>
          <w:tab w:val="left" w:pos="1020"/>
        </w:tabs>
        <w:rPr>
          <w:rFonts w:cs="Arial"/>
          <w:sz w:val="22"/>
          <w:szCs w:val="22"/>
        </w:rPr>
      </w:pPr>
    </w:p>
    <w:p w:rsidR="000742A7" w:rsidRPr="008A56DD" w:rsidRDefault="008041C2" w:rsidP="000F1354">
      <w:pPr>
        <w:tabs>
          <w:tab w:val="left" w:pos="1020"/>
        </w:tabs>
        <w:rPr>
          <w:rFonts w:cs="Arial"/>
          <w:sz w:val="22"/>
          <w:szCs w:val="22"/>
        </w:rPr>
      </w:pPr>
      <w:r>
        <w:rPr>
          <w:rFonts w:cs="Arial"/>
          <w:sz w:val="22"/>
          <w:szCs w:val="22"/>
        </w:rPr>
        <w:t>Recommended for adoption</w:t>
      </w:r>
      <w:r w:rsidR="008A56DD" w:rsidRPr="008A56DD">
        <w:rPr>
          <w:rFonts w:cs="Arial"/>
          <w:sz w:val="22"/>
          <w:szCs w:val="22"/>
        </w:rPr>
        <w:t xml:space="preserve"> with the </w:t>
      </w:r>
      <w:r>
        <w:rPr>
          <w:rFonts w:cs="Arial"/>
          <w:sz w:val="22"/>
          <w:szCs w:val="22"/>
        </w:rPr>
        <w:t xml:space="preserve">proposed </w:t>
      </w:r>
      <w:r w:rsidR="008A56DD" w:rsidRPr="008A56DD">
        <w:rPr>
          <w:rFonts w:cs="Arial"/>
          <w:sz w:val="22"/>
          <w:szCs w:val="22"/>
        </w:rPr>
        <w:t>amendments set out below.</w:t>
      </w:r>
    </w:p>
    <w:p w:rsidR="000742A7" w:rsidRDefault="000742A7" w:rsidP="000F1354">
      <w:pPr>
        <w:tabs>
          <w:tab w:val="left" w:pos="1020"/>
        </w:tabs>
        <w:rPr>
          <w:rFonts w:cs="Arial"/>
          <w:sz w:val="22"/>
          <w:szCs w:val="22"/>
        </w:rPr>
      </w:pPr>
    </w:p>
    <w:p w:rsidR="006356C5" w:rsidRDefault="006356C5" w:rsidP="00DF4423">
      <w:pPr>
        <w:tabs>
          <w:tab w:val="left" w:pos="1020"/>
        </w:tabs>
        <w:rPr>
          <w:rFonts w:cs="Arial"/>
          <w:b/>
          <w:sz w:val="22"/>
          <w:szCs w:val="22"/>
        </w:rPr>
      </w:pPr>
    </w:p>
    <w:p w:rsidR="00DF4423" w:rsidRDefault="00DF4423" w:rsidP="00DF4423">
      <w:pPr>
        <w:tabs>
          <w:tab w:val="left" w:pos="1020"/>
        </w:tabs>
        <w:rPr>
          <w:rFonts w:cs="Arial"/>
          <w:b/>
          <w:sz w:val="22"/>
          <w:szCs w:val="22"/>
        </w:rPr>
      </w:pPr>
      <w:r w:rsidRPr="00DF4423">
        <w:rPr>
          <w:rFonts w:cs="Arial"/>
          <w:b/>
          <w:sz w:val="22"/>
          <w:szCs w:val="22"/>
        </w:rPr>
        <w:t>GENERAL COMMENTS ON THE DOCUMENT</w:t>
      </w:r>
    </w:p>
    <w:p w:rsidR="008A56DD" w:rsidRPr="00A75A6A" w:rsidRDefault="008A56DD" w:rsidP="008A56DD">
      <w:pPr>
        <w:tabs>
          <w:tab w:val="left" w:pos="1020"/>
        </w:tabs>
        <w:rPr>
          <w:rFonts w:cs="Arial"/>
          <w:sz w:val="22"/>
          <w:szCs w:val="22"/>
        </w:rPr>
      </w:pPr>
    </w:p>
    <w:p w:rsidR="008A56DD" w:rsidRPr="008A56DD" w:rsidRDefault="008A56DD" w:rsidP="00A75A6A">
      <w:pPr>
        <w:tabs>
          <w:tab w:val="left" w:pos="1020"/>
        </w:tabs>
        <w:jc w:val="both"/>
        <w:rPr>
          <w:rFonts w:cs="Arial"/>
          <w:sz w:val="22"/>
          <w:szCs w:val="22"/>
        </w:rPr>
      </w:pPr>
      <w:r w:rsidRPr="008A56DD">
        <w:rPr>
          <w:rFonts w:cs="Arial"/>
          <w:sz w:val="22"/>
          <w:szCs w:val="22"/>
        </w:rPr>
        <w:t xml:space="preserve">The Working Group expressed strong support for the Initiative. In order to avoid duplication and pool resources, the </w:t>
      </w:r>
      <w:proofErr w:type="spellStart"/>
      <w:r w:rsidRPr="008A56DD">
        <w:rPr>
          <w:rFonts w:cs="Arial"/>
          <w:sz w:val="22"/>
          <w:szCs w:val="22"/>
        </w:rPr>
        <w:t>Programme</w:t>
      </w:r>
      <w:proofErr w:type="spellEnd"/>
      <w:r w:rsidRPr="008A56DD">
        <w:rPr>
          <w:rFonts w:cs="Arial"/>
          <w:sz w:val="22"/>
          <w:szCs w:val="22"/>
        </w:rPr>
        <w:t xml:space="preserve"> of Work to be developed by the Secretariats of CMS and CITES should ensure the complementary role of both Conventions and clearly allocate responsibilities. The success of the Initiative would also be dependent on benefits arising from the conservation activities for local communities living with the carnivores. </w:t>
      </w:r>
    </w:p>
    <w:p w:rsidR="006356C5" w:rsidRPr="006356C5" w:rsidRDefault="006356C5" w:rsidP="006356C5">
      <w:pPr>
        <w:tabs>
          <w:tab w:val="left" w:pos="1020"/>
        </w:tabs>
        <w:rPr>
          <w:rFonts w:cs="Arial"/>
          <w:sz w:val="22"/>
          <w:szCs w:val="22"/>
        </w:rPr>
      </w:pPr>
    </w:p>
    <w:p w:rsidR="00DF4423" w:rsidRPr="00A75A6A" w:rsidRDefault="00DF4423" w:rsidP="00DF4423">
      <w:pPr>
        <w:tabs>
          <w:tab w:val="left" w:pos="1020"/>
        </w:tabs>
        <w:rPr>
          <w:rFonts w:cs="Arial"/>
          <w:b/>
          <w:sz w:val="22"/>
          <w:szCs w:val="22"/>
        </w:rPr>
      </w:pPr>
    </w:p>
    <w:p w:rsidR="008F20D3" w:rsidRPr="008F20D3" w:rsidRDefault="006356C5" w:rsidP="008F20D3">
      <w:pPr>
        <w:tabs>
          <w:tab w:val="left" w:pos="1020"/>
        </w:tabs>
        <w:rPr>
          <w:rFonts w:cs="Arial"/>
          <w:b/>
          <w:sz w:val="22"/>
          <w:szCs w:val="22"/>
        </w:rPr>
      </w:pPr>
      <w:r>
        <w:rPr>
          <w:rFonts w:cs="Arial"/>
          <w:b/>
          <w:sz w:val="22"/>
          <w:szCs w:val="22"/>
        </w:rPr>
        <w:t>COMMENTS ON SPECIFIC SECTIONS</w:t>
      </w:r>
      <w:r w:rsidR="008F20D3">
        <w:rPr>
          <w:rFonts w:cs="Arial"/>
          <w:b/>
          <w:sz w:val="22"/>
          <w:szCs w:val="22"/>
        </w:rPr>
        <w:t xml:space="preserve">/ </w:t>
      </w:r>
      <w:r w:rsidR="00DF4423" w:rsidRPr="00DF4423">
        <w:rPr>
          <w:rFonts w:cs="Arial"/>
          <w:b/>
          <w:sz w:val="22"/>
          <w:szCs w:val="22"/>
        </w:rPr>
        <w:t>INCLUDING POSSI</w:t>
      </w:r>
      <w:r w:rsidR="008F20D3">
        <w:rPr>
          <w:rFonts w:cs="Arial"/>
          <w:b/>
          <w:sz w:val="22"/>
          <w:szCs w:val="22"/>
        </w:rPr>
        <w:t>BLE PROPOSALS FOR TEXT REVISION</w:t>
      </w:r>
    </w:p>
    <w:p w:rsidR="00010BD4" w:rsidRPr="00010BD4" w:rsidRDefault="00010BD4" w:rsidP="00010BD4">
      <w:pPr>
        <w:tabs>
          <w:tab w:val="left" w:pos="1020"/>
        </w:tabs>
        <w:rPr>
          <w:rFonts w:cs="Arial"/>
          <w:sz w:val="22"/>
          <w:szCs w:val="22"/>
        </w:rPr>
      </w:pPr>
    </w:p>
    <w:p w:rsidR="008F20D3" w:rsidRPr="00010BD4" w:rsidRDefault="00010BD4" w:rsidP="00A75A6A">
      <w:pPr>
        <w:tabs>
          <w:tab w:val="left" w:pos="1020"/>
        </w:tabs>
        <w:jc w:val="both"/>
        <w:rPr>
          <w:rFonts w:cs="Arial"/>
          <w:sz w:val="22"/>
          <w:szCs w:val="22"/>
        </w:rPr>
      </w:pPr>
      <w:r w:rsidRPr="00010BD4">
        <w:rPr>
          <w:rFonts w:cs="Arial"/>
          <w:sz w:val="22"/>
          <w:szCs w:val="22"/>
        </w:rPr>
        <w:t xml:space="preserve">Draft Resolution </w:t>
      </w:r>
      <w:r w:rsidRPr="00010BD4">
        <w:rPr>
          <w:rFonts w:cs="Arial"/>
          <w:bCs/>
          <w:i/>
          <w:sz w:val="22"/>
          <w:szCs w:val="22"/>
        </w:rPr>
        <w:t>Joint CITES-CMS African Carnivores Initiative</w:t>
      </w:r>
    </w:p>
    <w:p w:rsidR="00010BD4" w:rsidRDefault="00010BD4" w:rsidP="00A75A6A">
      <w:pPr>
        <w:tabs>
          <w:tab w:val="left" w:pos="1020"/>
        </w:tabs>
        <w:jc w:val="both"/>
        <w:rPr>
          <w:rFonts w:cs="Arial"/>
          <w:sz w:val="22"/>
          <w:szCs w:val="22"/>
        </w:rPr>
      </w:pPr>
    </w:p>
    <w:p w:rsidR="008F20D3" w:rsidRPr="00010BD4" w:rsidRDefault="008F20D3" w:rsidP="00A75A6A">
      <w:pPr>
        <w:tabs>
          <w:tab w:val="left" w:pos="1020"/>
        </w:tabs>
        <w:jc w:val="both"/>
        <w:rPr>
          <w:rFonts w:cs="Arial"/>
          <w:sz w:val="22"/>
          <w:szCs w:val="22"/>
        </w:rPr>
      </w:pPr>
      <w:r w:rsidRPr="00010BD4">
        <w:rPr>
          <w:rFonts w:cs="Arial"/>
          <w:sz w:val="22"/>
          <w:szCs w:val="22"/>
        </w:rPr>
        <w:t>P</w:t>
      </w:r>
      <w:r w:rsidR="00AE45FB" w:rsidRPr="00010BD4">
        <w:rPr>
          <w:rFonts w:cs="Arial"/>
          <w:sz w:val="22"/>
          <w:szCs w:val="22"/>
        </w:rPr>
        <w:t>age</w:t>
      </w:r>
      <w:r w:rsidRPr="00010BD4">
        <w:rPr>
          <w:rFonts w:cs="Arial"/>
          <w:sz w:val="22"/>
          <w:szCs w:val="22"/>
        </w:rPr>
        <w:t xml:space="preserve"> </w:t>
      </w:r>
      <w:r w:rsidR="00010BD4">
        <w:rPr>
          <w:rFonts w:cs="Arial"/>
          <w:sz w:val="22"/>
          <w:szCs w:val="22"/>
        </w:rPr>
        <w:t>16</w:t>
      </w:r>
      <w:r w:rsidRPr="00010BD4">
        <w:rPr>
          <w:rFonts w:cs="Arial"/>
          <w:sz w:val="22"/>
          <w:szCs w:val="22"/>
        </w:rPr>
        <w:t xml:space="preserve">, </w:t>
      </w:r>
      <w:r w:rsidR="00AE45FB" w:rsidRPr="00010BD4">
        <w:rPr>
          <w:rFonts w:cs="Arial"/>
          <w:sz w:val="22"/>
          <w:szCs w:val="22"/>
        </w:rPr>
        <w:t>p</w:t>
      </w:r>
      <w:r w:rsidRPr="00010BD4">
        <w:rPr>
          <w:rFonts w:cs="Arial"/>
          <w:sz w:val="22"/>
          <w:szCs w:val="22"/>
        </w:rPr>
        <w:t xml:space="preserve">ara. </w:t>
      </w:r>
      <w:r w:rsidR="00010BD4" w:rsidRPr="00010BD4">
        <w:rPr>
          <w:rFonts w:cs="Arial"/>
          <w:sz w:val="22"/>
          <w:szCs w:val="22"/>
        </w:rPr>
        <w:t>OP 1:</w:t>
      </w:r>
    </w:p>
    <w:p w:rsidR="00010BD4" w:rsidRPr="00010BD4" w:rsidRDefault="00B315BF" w:rsidP="00A75A6A">
      <w:pPr>
        <w:tabs>
          <w:tab w:val="left" w:pos="1020"/>
        </w:tabs>
        <w:jc w:val="both"/>
        <w:rPr>
          <w:rFonts w:cs="Arial"/>
          <w:sz w:val="22"/>
          <w:szCs w:val="22"/>
        </w:rPr>
      </w:pPr>
      <w:r>
        <w:rPr>
          <w:rFonts w:cs="Arial"/>
          <w:i/>
          <w:iCs/>
          <w:sz w:val="22"/>
          <w:szCs w:val="22"/>
        </w:rPr>
        <w:t>“</w:t>
      </w:r>
      <w:r w:rsidR="00010BD4" w:rsidRPr="00010BD4">
        <w:rPr>
          <w:rFonts w:cs="Arial"/>
          <w:i/>
          <w:iCs/>
          <w:sz w:val="22"/>
          <w:szCs w:val="22"/>
        </w:rPr>
        <w:t xml:space="preserve">Recognizes </w:t>
      </w:r>
      <w:r w:rsidR="00010BD4" w:rsidRPr="00010BD4">
        <w:rPr>
          <w:rFonts w:cs="Arial"/>
          <w:sz w:val="22"/>
          <w:szCs w:val="22"/>
        </w:rPr>
        <w:t xml:space="preserve">the Joint CITES-CMS African Carnivores Initiative as a framework to build more coherence in the work that CMS and CITES, in cooperation with IUCN, </w:t>
      </w:r>
      <w:r w:rsidR="00010BD4" w:rsidRPr="00010BD4">
        <w:rPr>
          <w:rFonts w:cs="Arial"/>
          <w:sz w:val="22"/>
          <w:szCs w:val="22"/>
          <w:u w:val="single"/>
        </w:rPr>
        <w:t>CMS partner organizations and other stakeholder</w:t>
      </w:r>
      <w:r>
        <w:rPr>
          <w:rFonts w:cs="Arial"/>
          <w:sz w:val="22"/>
          <w:szCs w:val="22"/>
          <w:u w:val="single"/>
        </w:rPr>
        <w:t>s</w:t>
      </w:r>
      <w:r w:rsidR="00010BD4" w:rsidRPr="00010BD4">
        <w:rPr>
          <w:rFonts w:cs="Arial"/>
          <w:sz w:val="22"/>
          <w:szCs w:val="22"/>
          <w:u w:val="single"/>
        </w:rPr>
        <w:t xml:space="preserve"> as appropriate</w:t>
      </w:r>
      <w:r w:rsidR="00010BD4" w:rsidRPr="00010BD4">
        <w:rPr>
          <w:rFonts w:cs="Arial"/>
          <w:sz w:val="22"/>
          <w:szCs w:val="22"/>
        </w:rPr>
        <w:t>, are devoting to the African Wild Dog (</w:t>
      </w:r>
      <w:r w:rsidR="00010BD4" w:rsidRPr="00010BD4">
        <w:rPr>
          <w:rFonts w:cs="Arial"/>
          <w:i/>
          <w:iCs/>
          <w:sz w:val="22"/>
          <w:szCs w:val="22"/>
        </w:rPr>
        <w:t xml:space="preserve">Lycaon </w:t>
      </w:r>
      <w:proofErr w:type="spellStart"/>
      <w:r w:rsidR="00010BD4" w:rsidRPr="00010BD4">
        <w:rPr>
          <w:rFonts w:cs="Arial"/>
          <w:i/>
          <w:iCs/>
          <w:sz w:val="22"/>
          <w:szCs w:val="22"/>
        </w:rPr>
        <w:t>pictus</w:t>
      </w:r>
      <w:proofErr w:type="spellEnd"/>
      <w:r w:rsidR="00010BD4" w:rsidRPr="00010BD4">
        <w:rPr>
          <w:rFonts w:cs="Arial"/>
          <w:sz w:val="22"/>
          <w:szCs w:val="22"/>
        </w:rPr>
        <w:t>), Cheetah (</w:t>
      </w:r>
      <w:r w:rsidR="00010BD4" w:rsidRPr="00010BD4">
        <w:rPr>
          <w:rFonts w:cs="Arial"/>
          <w:i/>
          <w:iCs/>
          <w:sz w:val="22"/>
          <w:szCs w:val="22"/>
        </w:rPr>
        <w:t xml:space="preserve">Acinonyx </w:t>
      </w:r>
      <w:proofErr w:type="spellStart"/>
      <w:r w:rsidR="00010BD4" w:rsidRPr="00010BD4">
        <w:rPr>
          <w:rFonts w:cs="Arial"/>
          <w:i/>
          <w:iCs/>
          <w:sz w:val="22"/>
          <w:szCs w:val="22"/>
        </w:rPr>
        <w:t>jubatus</w:t>
      </w:r>
      <w:proofErr w:type="spellEnd"/>
      <w:r w:rsidR="00010BD4" w:rsidRPr="00010BD4">
        <w:rPr>
          <w:rFonts w:cs="Arial"/>
          <w:sz w:val="22"/>
          <w:szCs w:val="22"/>
        </w:rPr>
        <w:t>), Leopard (</w:t>
      </w:r>
      <w:r w:rsidR="00010BD4" w:rsidRPr="00010BD4">
        <w:rPr>
          <w:rFonts w:cs="Arial"/>
          <w:i/>
          <w:iCs/>
          <w:sz w:val="22"/>
          <w:szCs w:val="22"/>
        </w:rPr>
        <w:t xml:space="preserve">Panthera </w:t>
      </w:r>
      <w:proofErr w:type="spellStart"/>
      <w:r w:rsidR="00010BD4" w:rsidRPr="00010BD4">
        <w:rPr>
          <w:rFonts w:cs="Arial"/>
          <w:i/>
          <w:iCs/>
          <w:sz w:val="22"/>
          <w:szCs w:val="22"/>
        </w:rPr>
        <w:t>pardus</w:t>
      </w:r>
      <w:proofErr w:type="spellEnd"/>
      <w:r w:rsidR="00010BD4" w:rsidRPr="00010BD4">
        <w:rPr>
          <w:rFonts w:cs="Arial"/>
          <w:sz w:val="22"/>
          <w:szCs w:val="22"/>
        </w:rPr>
        <w:t>) and Lion (</w:t>
      </w:r>
      <w:r w:rsidR="00010BD4" w:rsidRPr="00010BD4">
        <w:rPr>
          <w:rFonts w:cs="Arial"/>
          <w:i/>
          <w:iCs/>
          <w:sz w:val="22"/>
          <w:szCs w:val="22"/>
        </w:rPr>
        <w:t xml:space="preserve">Panthera </w:t>
      </w:r>
      <w:proofErr w:type="spellStart"/>
      <w:r w:rsidR="00010BD4" w:rsidRPr="00010BD4">
        <w:rPr>
          <w:rFonts w:cs="Arial"/>
          <w:i/>
          <w:iCs/>
          <w:sz w:val="22"/>
          <w:szCs w:val="22"/>
        </w:rPr>
        <w:t>leo</w:t>
      </w:r>
      <w:proofErr w:type="spellEnd"/>
      <w:r w:rsidR="00010BD4" w:rsidRPr="00010BD4">
        <w:rPr>
          <w:rFonts w:cs="Arial"/>
          <w:sz w:val="22"/>
          <w:szCs w:val="22"/>
        </w:rPr>
        <w:t>);</w:t>
      </w:r>
      <w:r>
        <w:rPr>
          <w:rFonts w:cs="Arial"/>
          <w:sz w:val="22"/>
          <w:szCs w:val="22"/>
        </w:rPr>
        <w:t>”</w:t>
      </w:r>
    </w:p>
    <w:p w:rsidR="008F20D3" w:rsidRDefault="008F20D3" w:rsidP="00A75A6A">
      <w:pPr>
        <w:tabs>
          <w:tab w:val="left" w:pos="1020"/>
        </w:tabs>
        <w:jc w:val="both"/>
        <w:rPr>
          <w:rFonts w:cs="Arial"/>
          <w:sz w:val="22"/>
          <w:szCs w:val="22"/>
        </w:rPr>
      </w:pPr>
    </w:p>
    <w:p w:rsidR="00010BD4" w:rsidRPr="00010BD4" w:rsidRDefault="008F20D3" w:rsidP="00A75A6A">
      <w:pPr>
        <w:tabs>
          <w:tab w:val="left" w:pos="1020"/>
        </w:tabs>
        <w:jc w:val="both"/>
        <w:rPr>
          <w:rFonts w:cs="Arial"/>
          <w:sz w:val="22"/>
          <w:szCs w:val="22"/>
        </w:rPr>
      </w:pPr>
      <w:r w:rsidRPr="00010BD4">
        <w:rPr>
          <w:rFonts w:cs="Arial"/>
          <w:sz w:val="22"/>
          <w:szCs w:val="22"/>
        </w:rPr>
        <w:t>P</w:t>
      </w:r>
      <w:r w:rsidR="00AE45FB" w:rsidRPr="00010BD4">
        <w:rPr>
          <w:rFonts w:cs="Arial"/>
          <w:sz w:val="22"/>
          <w:szCs w:val="22"/>
        </w:rPr>
        <w:t>age</w:t>
      </w:r>
      <w:r w:rsidRPr="00010BD4">
        <w:rPr>
          <w:rFonts w:cs="Arial"/>
          <w:sz w:val="22"/>
          <w:szCs w:val="22"/>
        </w:rPr>
        <w:t xml:space="preserve"> </w:t>
      </w:r>
      <w:r w:rsidR="00010BD4" w:rsidRPr="00010BD4">
        <w:rPr>
          <w:rFonts w:cs="Arial"/>
          <w:sz w:val="22"/>
          <w:szCs w:val="22"/>
        </w:rPr>
        <w:t>17</w:t>
      </w:r>
      <w:r w:rsidRPr="00010BD4">
        <w:rPr>
          <w:rFonts w:cs="Arial"/>
          <w:sz w:val="22"/>
          <w:szCs w:val="22"/>
        </w:rPr>
        <w:t xml:space="preserve">, </w:t>
      </w:r>
      <w:r w:rsidR="00AE45FB" w:rsidRPr="00010BD4">
        <w:rPr>
          <w:rFonts w:cs="Arial"/>
          <w:sz w:val="22"/>
          <w:szCs w:val="22"/>
        </w:rPr>
        <w:t>p</w:t>
      </w:r>
      <w:r w:rsidRPr="00010BD4">
        <w:rPr>
          <w:rFonts w:cs="Arial"/>
          <w:sz w:val="22"/>
          <w:szCs w:val="22"/>
        </w:rPr>
        <w:t xml:space="preserve">ara. </w:t>
      </w:r>
      <w:r w:rsidR="00010BD4" w:rsidRPr="00010BD4">
        <w:rPr>
          <w:rFonts w:cs="Arial"/>
          <w:sz w:val="22"/>
          <w:szCs w:val="22"/>
        </w:rPr>
        <w:t xml:space="preserve">OP 4 (a): </w:t>
      </w:r>
    </w:p>
    <w:p w:rsidR="00010BD4" w:rsidRPr="00010BD4" w:rsidRDefault="00010BD4" w:rsidP="00A75A6A">
      <w:pPr>
        <w:tabs>
          <w:tab w:val="left" w:pos="1020"/>
        </w:tabs>
        <w:jc w:val="both"/>
        <w:rPr>
          <w:rFonts w:cs="Arial"/>
          <w:sz w:val="22"/>
          <w:szCs w:val="22"/>
        </w:rPr>
      </w:pPr>
      <w:r w:rsidRPr="00010BD4">
        <w:rPr>
          <w:rFonts w:cs="Arial"/>
          <w:sz w:val="22"/>
          <w:szCs w:val="22"/>
        </w:rPr>
        <w:t xml:space="preserve">“developing and implementing conservation strategies for each of the four African carnivore species, </w:t>
      </w:r>
      <w:r w:rsidRPr="00010BD4">
        <w:rPr>
          <w:rFonts w:cs="Arial"/>
          <w:sz w:val="22"/>
          <w:szCs w:val="22"/>
          <w:u w:val="single"/>
        </w:rPr>
        <w:t>which address all threats to their survival</w:t>
      </w:r>
      <w:r w:rsidRPr="00010BD4">
        <w:rPr>
          <w:rFonts w:cs="Arial"/>
          <w:sz w:val="22"/>
          <w:szCs w:val="22"/>
        </w:rPr>
        <w:t>;”</w:t>
      </w:r>
    </w:p>
    <w:p w:rsidR="008F20D3" w:rsidRPr="00010BD4" w:rsidRDefault="008F20D3" w:rsidP="00A75A6A">
      <w:pPr>
        <w:tabs>
          <w:tab w:val="left" w:pos="1020"/>
        </w:tabs>
        <w:jc w:val="both"/>
        <w:rPr>
          <w:rFonts w:cs="Arial"/>
          <w:sz w:val="22"/>
          <w:szCs w:val="22"/>
        </w:rPr>
      </w:pPr>
    </w:p>
    <w:p w:rsidR="00010BD4" w:rsidRPr="00010BD4" w:rsidRDefault="008F20D3" w:rsidP="00A75A6A">
      <w:pPr>
        <w:tabs>
          <w:tab w:val="left" w:pos="1020"/>
        </w:tabs>
        <w:jc w:val="both"/>
        <w:rPr>
          <w:rFonts w:cs="Arial"/>
          <w:sz w:val="22"/>
          <w:szCs w:val="22"/>
        </w:rPr>
      </w:pPr>
      <w:r w:rsidRPr="00010BD4">
        <w:rPr>
          <w:rFonts w:cs="Arial"/>
          <w:sz w:val="22"/>
          <w:szCs w:val="22"/>
        </w:rPr>
        <w:t xml:space="preserve">Page </w:t>
      </w:r>
      <w:r w:rsidR="00010BD4" w:rsidRPr="00010BD4">
        <w:rPr>
          <w:rFonts w:cs="Arial"/>
          <w:sz w:val="22"/>
          <w:szCs w:val="22"/>
        </w:rPr>
        <w:t>17</w:t>
      </w:r>
      <w:r w:rsidRPr="00010BD4">
        <w:rPr>
          <w:rFonts w:cs="Arial"/>
          <w:sz w:val="22"/>
          <w:szCs w:val="22"/>
        </w:rPr>
        <w:t xml:space="preserve">, </w:t>
      </w:r>
      <w:r w:rsidR="00AE45FB" w:rsidRPr="00010BD4">
        <w:rPr>
          <w:rFonts w:cs="Arial"/>
          <w:sz w:val="22"/>
          <w:szCs w:val="22"/>
        </w:rPr>
        <w:t>p</w:t>
      </w:r>
      <w:r w:rsidRPr="00010BD4">
        <w:rPr>
          <w:rFonts w:cs="Arial"/>
          <w:sz w:val="22"/>
          <w:szCs w:val="22"/>
        </w:rPr>
        <w:t xml:space="preserve">ara. </w:t>
      </w:r>
      <w:r w:rsidR="00010BD4" w:rsidRPr="00010BD4">
        <w:rPr>
          <w:rFonts w:cs="Arial"/>
          <w:sz w:val="22"/>
          <w:szCs w:val="22"/>
        </w:rPr>
        <w:t xml:space="preserve">OP 4: </w:t>
      </w:r>
    </w:p>
    <w:p w:rsidR="00010BD4" w:rsidRPr="00010BD4" w:rsidRDefault="00010BD4" w:rsidP="00A75A6A">
      <w:pPr>
        <w:tabs>
          <w:tab w:val="left" w:pos="1020"/>
        </w:tabs>
        <w:jc w:val="both"/>
        <w:rPr>
          <w:rFonts w:cs="Arial"/>
          <w:sz w:val="22"/>
          <w:szCs w:val="22"/>
        </w:rPr>
      </w:pPr>
      <w:r w:rsidRPr="00010BD4">
        <w:rPr>
          <w:rFonts w:cs="Arial"/>
          <w:sz w:val="22"/>
          <w:szCs w:val="22"/>
        </w:rPr>
        <w:t>Insert paragraph (h): “</w:t>
      </w:r>
      <w:r w:rsidRPr="00010BD4">
        <w:rPr>
          <w:rFonts w:cs="Arial"/>
          <w:sz w:val="22"/>
          <w:szCs w:val="22"/>
          <w:u w:val="single"/>
        </w:rPr>
        <w:t xml:space="preserve">taking steps to eliminate the poisoning of </w:t>
      </w:r>
      <w:r w:rsidR="00D953A6">
        <w:rPr>
          <w:rFonts w:cs="Arial"/>
          <w:sz w:val="22"/>
          <w:szCs w:val="22"/>
          <w:u w:val="single"/>
        </w:rPr>
        <w:t>African</w:t>
      </w:r>
      <w:r w:rsidR="00D953A6" w:rsidRPr="00010BD4">
        <w:rPr>
          <w:rFonts w:cs="Arial"/>
          <w:sz w:val="22"/>
          <w:szCs w:val="22"/>
          <w:u w:val="single"/>
        </w:rPr>
        <w:t xml:space="preserve"> </w:t>
      </w:r>
      <w:r w:rsidRPr="00010BD4">
        <w:rPr>
          <w:rFonts w:cs="Arial"/>
          <w:sz w:val="22"/>
          <w:szCs w:val="22"/>
          <w:u w:val="single"/>
        </w:rPr>
        <w:t>carnivores</w:t>
      </w:r>
      <w:r w:rsidRPr="00010BD4">
        <w:rPr>
          <w:rFonts w:cs="Arial"/>
          <w:sz w:val="22"/>
          <w:szCs w:val="22"/>
        </w:rPr>
        <w:t>;”</w:t>
      </w:r>
    </w:p>
    <w:p w:rsidR="008F20D3" w:rsidRDefault="008F20D3" w:rsidP="00A75A6A">
      <w:pPr>
        <w:pStyle w:val="ListParagraph"/>
        <w:tabs>
          <w:tab w:val="left" w:pos="1020"/>
        </w:tabs>
        <w:ind w:left="420"/>
        <w:jc w:val="both"/>
        <w:rPr>
          <w:rFonts w:cs="Arial"/>
          <w:sz w:val="22"/>
          <w:szCs w:val="22"/>
        </w:rPr>
      </w:pPr>
    </w:p>
    <w:p w:rsidR="00A75A6A" w:rsidRDefault="00A75A6A" w:rsidP="00010BD4">
      <w:pPr>
        <w:pStyle w:val="ListParagraph"/>
        <w:tabs>
          <w:tab w:val="left" w:pos="1020"/>
        </w:tabs>
        <w:ind w:left="420"/>
        <w:rPr>
          <w:rFonts w:cs="Arial"/>
          <w:sz w:val="22"/>
          <w:szCs w:val="22"/>
        </w:rPr>
      </w:pPr>
      <w:r>
        <w:rPr>
          <w:rFonts w:cs="Arial"/>
          <w:sz w:val="22"/>
          <w:szCs w:val="22"/>
        </w:rPr>
        <w:br w:type="page"/>
      </w:r>
    </w:p>
    <w:p w:rsidR="00010BD4" w:rsidRDefault="00010BD4" w:rsidP="00010BD4">
      <w:pPr>
        <w:pStyle w:val="ListParagraph"/>
        <w:tabs>
          <w:tab w:val="left" w:pos="1020"/>
        </w:tabs>
        <w:ind w:left="420"/>
        <w:rPr>
          <w:rFonts w:cs="Arial"/>
          <w:sz w:val="22"/>
          <w:szCs w:val="22"/>
        </w:rPr>
      </w:pPr>
    </w:p>
    <w:p w:rsidR="00010BD4" w:rsidRPr="00010BD4" w:rsidRDefault="00010BD4" w:rsidP="00010BD4">
      <w:pPr>
        <w:tabs>
          <w:tab w:val="left" w:pos="1020"/>
        </w:tabs>
        <w:rPr>
          <w:rFonts w:cs="Arial"/>
          <w:sz w:val="22"/>
          <w:szCs w:val="22"/>
        </w:rPr>
      </w:pPr>
      <w:r>
        <w:rPr>
          <w:rFonts w:cs="Arial"/>
          <w:sz w:val="22"/>
          <w:szCs w:val="22"/>
        </w:rPr>
        <w:t xml:space="preserve">Draft Decision </w:t>
      </w:r>
      <w:r w:rsidRPr="00010BD4">
        <w:rPr>
          <w:rFonts w:cs="Arial"/>
          <w:bCs/>
          <w:i/>
          <w:sz w:val="22"/>
          <w:szCs w:val="22"/>
        </w:rPr>
        <w:t>Joint CITES-CMS African Carnivores Initiative</w:t>
      </w:r>
    </w:p>
    <w:p w:rsidR="00010BD4" w:rsidRDefault="00010BD4" w:rsidP="00010BD4">
      <w:pPr>
        <w:tabs>
          <w:tab w:val="left" w:pos="1020"/>
        </w:tabs>
        <w:rPr>
          <w:rFonts w:cs="Arial"/>
          <w:sz w:val="22"/>
          <w:szCs w:val="22"/>
        </w:rPr>
      </w:pPr>
    </w:p>
    <w:p w:rsidR="00010BD4" w:rsidRDefault="00010BD4" w:rsidP="00010BD4">
      <w:pPr>
        <w:tabs>
          <w:tab w:val="left" w:pos="1020"/>
        </w:tabs>
        <w:rPr>
          <w:rFonts w:cs="Arial"/>
          <w:sz w:val="22"/>
          <w:szCs w:val="22"/>
        </w:rPr>
      </w:pPr>
      <w:r>
        <w:rPr>
          <w:rFonts w:cs="Arial"/>
          <w:sz w:val="22"/>
          <w:szCs w:val="22"/>
        </w:rPr>
        <w:t xml:space="preserve">Page 18, para. </w:t>
      </w:r>
      <w:r w:rsidRPr="00010BD4">
        <w:rPr>
          <w:rFonts w:cs="Arial"/>
          <w:sz w:val="22"/>
          <w:szCs w:val="22"/>
        </w:rPr>
        <w:t xml:space="preserve">13.AA (b) </w:t>
      </w:r>
    </w:p>
    <w:p w:rsidR="00010BD4" w:rsidRPr="00010BD4" w:rsidRDefault="00010BD4" w:rsidP="00A75A6A">
      <w:pPr>
        <w:tabs>
          <w:tab w:val="left" w:pos="1020"/>
        </w:tabs>
        <w:jc w:val="both"/>
        <w:rPr>
          <w:rFonts w:cs="Arial"/>
          <w:sz w:val="22"/>
          <w:szCs w:val="22"/>
        </w:rPr>
      </w:pPr>
      <w:r>
        <w:rPr>
          <w:rFonts w:cs="Arial"/>
          <w:sz w:val="22"/>
          <w:szCs w:val="22"/>
        </w:rPr>
        <w:t>“</w:t>
      </w:r>
      <w:r w:rsidRPr="00010BD4">
        <w:rPr>
          <w:rFonts w:cs="Arial"/>
          <w:sz w:val="22"/>
          <w:szCs w:val="22"/>
        </w:rPr>
        <w:t xml:space="preserve">in close cooperation with the Secretariat of CITES and IUCN, develop a draft Joint </w:t>
      </w:r>
      <w:proofErr w:type="spellStart"/>
      <w:r w:rsidRPr="00010BD4">
        <w:rPr>
          <w:rFonts w:cs="Arial"/>
          <w:sz w:val="22"/>
          <w:szCs w:val="22"/>
        </w:rPr>
        <w:t>Programme</w:t>
      </w:r>
      <w:proofErr w:type="spellEnd"/>
      <w:r w:rsidRPr="00010BD4">
        <w:rPr>
          <w:rFonts w:cs="Arial"/>
          <w:sz w:val="22"/>
          <w:szCs w:val="22"/>
        </w:rPr>
        <w:t xml:space="preserve"> of Work (POW) for the African Carnivores Initiative, taking into account the decisions adopted by CMS COP13 on the African Wild Dog, Cheetah, Leopard and Lion, the outcomes of the 18th meeting of the Conference of the Parties to CITES, as well as the recommendations emanating from the First Meeting of Range States to the Joint CITES-CMS African Carnivores Initiative (ACI1) </w:t>
      </w:r>
      <w:r w:rsidR="003B1376" w:rsidRPr="003B1376">
        <w:rPr>
          <w:rFonts w:cs="Arial"/>
          <w:sz w:val="22"/>
          <w:szCs w:val="22"/>
          <w:u w:val="single"/>
        </w:rPr>
        <w:t>and taking into consideration all threats to African Carnivores that threaten their survival</w:t>
      </w:r>
      <w:r w:rsidRPr="00010BD4">
        <w:rPr>
          <w:rFonts w:cs="Arial"/>
          <w:sz w:val="22"/>
          <w:szCs w:val="22"/>
        </w:rPr>
        <w:t>;</w:t>
      </w:r>
      <w:r>
        <w:rPr>
          <w:rFonts w:cs="Arial"/>
          <w:sz w:val="22"/>
          <w:szCs w:val="22"/>
        </w:rPr>
        <w:t>”</w:t>
      </w:r>
    </w:p>
    <w:p w:rsidR="00035936" w:rsidRDefault="00035936" w:rsidP="00A75A6A">
      <w:pPr>
        <w:tabs>
          <w:tab w:val="left" w:pos="1020"/>
        </w:tabs>
        <w:jc w:val="both"/>
        <w:rPr>
          <w:rFonts w:cs="Arial"/>
          <w:sz w:val="22"/>
          <w:szCs w:val="22"/>
        </w:rPr>
      </w:pPr>
    </w:p>
    <w:p w:rsidR="00010BD4" w:rsidRPr="00010BD4" w:rsidRDefault="00010BD4" w:rsidP="00A75A6A">
      <w:pPr>
        <w:tabs>
          <w:tab w:val="left" w:pos="1020"/>
        </w:tabs>
        <w:jc w:val="both"/>
        <w:rPr>
          <w:rFonts w:cs="Arial"/>
          <w:sz w:val="22"/>
          <w:szCs w:val="22"/>
        </w:rPr>
      </w:pPr>
      <w:r w:rsidRPr="00010BD4">
        <w:rPr>
          <w:rFonts w:cs="Arial"/>
          <w:sz w:val="22"/>
          <w:szCs w:val="22"/>
        </w:rPr>
        <w:t xml:space="preserve">Draft Decision </w:t>
      </w:r>
      <w:r w:rsidRPr="00010BD4">
        <w:rPr>
          <w:rFonts w:cs="Arial"/>
          <w:bCs/>
          <w:sz w:val="22"/>
          <w:szCs w:val="22"/>
        </w:rPr>
        <w:t xml:space="preserve">Conservation and Management of </w:t>
      </w:r>
      <w:r>
        <w:rPr>
          <w:rFonts w:cs="Arial"/>
          <w:bCs/>
          <w:sz w:val="22"/>
          <w:szCs w:val="22"/>
        </w:rPr>
        <w:t>t</w:t>
      </w:r>
      <w:r w:rsidRPr="00010BD4">
        <w:rPr>
          <w:rFonts w:cs="Arial"/>
          <w:bCs/>
          <w:sz w:val="22"/>
          <w:szCs w:val="22"/>
        </w:rPr>
        <w:t>he Cheetah (</w:t>
      </w:r>
      <w:r w:rsidRPr="00010BD4">
        <w:rPr>
          <w:rFonts w:cs="Arial"/>
          <w:bCs/>
          <w:i/>
          <w:iCs/>
          <w:sz w:val="22"/>
          <w:szCs w:val="22"/>
        </w:rPr>
        <w:t xml:space="preserve">Acinonyx </w:t>
      </w:r>
      <w:proofErr w:type="spellStart"/>
      <w:r w:rsidRPr="00010BD4">
        <w:rPr>
          <w:rFonts w:cs="Arial"/>
          <w:bCs/>
          <w:i/>
          <w:iCs/>
          <w:sz w:val="22"/>
          <w:szCs w:val="22"/>
        </w:rPr>
        <w:t>jubatus</w:t>
      </w:r>
      <w:proofErr w:type="spellEnd"/>
      <w:r w:rsidRPr="00010BD4">
        <w:rPr>
          <w:rFonts w:cs="Arial"/>
          <w:bCs/>
          <w:sz w:val="22"/>
          <w:szCs w:val="22"/>
        </w:rPr>
        <w:t xml:space="preserve">) </w:t>
      </w:r>
      <w:r>
        <w:rPr>
          <w:rFonts w:cs="Arial"/>
          <w:bCs/>
          <w:sz w:val="22"/>
          <w:szCs w:val="22"/>
        </w:rPr>
        <w:t>a</w:t>
      </w:r>
      <w:r w:rsidRPr="00010BD4">
        <w:rPr>
          <w:rFonts w:cs="Arial"/>
          <w:bCs/>
          <w:sz w:val="22"/>
          <w:szCs w:val="22"/>
        </w:rPr>
        <w:t>nd African Wild Dog (</w:t>
      </w:r>
      <w:r w:rsidRPr="00010BD4">
        <w:rPr>
          <w:rFonts w:cs="Arial"/>
          <w:bCs/>
          <w:i/>
          <w:iCs/>
          <w:sz w:val="22"/>
          <w:szCs w:val="22"/>
        </w:rPr>
        <w:t xml:space="preserve">Lycaon </w:t>
      </w:r>
      <w:proofErr w:type="spellStart"/>
      <w:r w:rsidRPr="00010BD4">
        <w:rPr>
          <w:rFonts w:cs="Arial"/>
          <w:bCs/>
          <w:i/>
          <w:iCs/>
          <w:sz w:val="22"/>
          <w:szCs w:val="22"/>
        </w:rPr>
        <w:t>pictus</w:t>
      </w:r>
      <w:proofErr w:type="spellEnd"/>
      <w:r w:rsidRPr="00010BD4">
        <w:rPr>
          <w:rFonts w:cs="Arial"/>
          <w:bCs/>
          <w:sz w:val="22"/>
          <w:szCs w:val="22"/>
        </w:rPr>
        <w:t>)</w:t>
      </w:r>
    </w:p>
    <w:p w:rsidR="00010BD4" w:rsidRDefault="00010BD4" w:rsidP="00A75A6A">
      <w:pPr>
        <w:tabs>
          <w:tab w:val="left" w:pos="1020"/>
        </w:tabs>
        <w:jc w:val="both"/>
        <w:rPr>
          <w:rFonts w:cs="Arial"/>
          <w:sz w:val="22"/>
          <w:szCs w:val="22"/>
        </w:rPr>
      </w:pPr>
    </w:p>
    <w:p w:rsidR="00035936" w:rsidRPr="00034F41" w:rsidRDefault="00010BD4" w:rsidP="00A75A6A">
      <w:pPr>
        <w:tabs>
          <w:tab w:val="left" w:pos="1020"/>
        </w:tabs>
        <w:jc w:val="both"/>
        <w:rPr>
          <w:rFonts w:cs="Arial"/>
          <w:sz w:val="22"/>
          <w:szCs w:val="22"/>
          <w:lang w:val="pt-BR"/>
        </w:rPr>
      </w:pPr>
      <w:r w:rsidRPr="00034F41">
        <w:rPr>
          <w:rFonts w:cs="Arial"/>
          <w:sz w:val="22"/>
          <w:szCs w:val="22"/>
          <w:lang w:val="pt-BR"/>
        </w:rPr>
        <w:t>Page 20, para. 13.AA (a) (ii)</w:t>
      </w:r>
    </w:p>
    <w:p w:rsidR="00010BD4" w:rsidRPr="00010BD4" w:rsidRDefault="00035936" w:rsidP="00A75A6A">
      <w:pPr>
        <w:tabs>
          <w:tab w:val="left" w:pos="1020"/>
        </w:tabs>
        <w:jc w:val="both"/>
        <w:rPr>
          <w:rFonts w:cs="Arial"/>
          <w:sz w:val="22"/>
          <w:szCs w:val="22"/>
        </w:rPr>
      </w:pPr>
      <w:r>
        <w:rPr>
          <w:rFonts w:cs="Arial"/>
          <w:sz w:val="22"/>
          <w:szCs w:val="22"/>
        </w:rPr>
        <w:t>“</w:t>
      </w:r>
      <w:r w:rsidR="00010BD4" w:rsidRPr="00010BD4">
        <w:rPr>
          <w:rFonts w:cs="Arial"/>
          <w:sz w:val="22"/>
          <w:szCs w:val="22"/>
        </w:rPr>
        <w:t xml:space="preserve">develop and implement strategies to reinforce international cooperation on the management of Cheetahs and African Wild Dogs </w:t>
      </w:r>
      <w:r w:rsidR="00010BD4" w:rsidRPr="00010BD4">
        <w:rPr>
          <w:rFonts w:cs="Arial"/>
          <w:sz w:val="22"/>
          <w:szCs w:val="22"/>
          <w:u w:val="single"/>
        </w:rPr>
        <w:t>that address all threats to their survival, including illegal take and ensure</w:t>
      </w:r>
      <w:r w:rsidR="00010BD4" w:rsidRPr="00010BD4">
        <w:rPr>
          <w:rFonts w:cs="Arial"/>
          <w:sz w:val="22"/>
          <w:szCs w:val="22"/>
        </w:rPr>
        <w:t xml:space="preserve"> effective information exchange between Range</w:t>
      </w:r>
      <w:r w:rsidR="00D953A6">
        <w:rPr>
          <w:rFonts w:cs="Arial"/>
          <w:sz w:val="22"/>
          <w:szCs w:val="22"/>
        </w:rPr>
        <w:t xml:space="preserve"> States, </w:t>
      </w:r>
      <w:r w:rsidR="00D953A6" w:rsidRPr="00E37C0E">
        <w:rPr>
          <w:rFonts w:cs="Arial"/>
          <w:sz w:val="22"/>
          <w:szCs w:val="22"/>
          <w:u w:val="single"/>
        </w:rPr>
        <w:t>transit and destination count</w:t>
      </w:r>
      <w:r w:rsidR="001E2BA5">
        <w:rPr>
          <w:rFonts w:cs="Arial"/>
          <w:sz w:val="22"/>
          <w:szCs w:val="22"/>
          <w:u w:val="single"/>
        </w:rPr>
        <w:t>r</w:t>
      </w:r>
      <w:r w:rsidR="00D953A6" w:rsidRPr="00E37C0E">
        <w:rPr>
          <w:rFonts w:cs="Arial"/>
          <w:sz w:val="22"/>
          <w:szCs w:val="22"/>
          <w:u w:val="single"/>
        </w:rPr>
        <w:t>ies,</w:t>
      </w:r>
      <w:r w:rsidR="00010BD4" w:rsidRPr="00010BD4">
        <w:rPr>
          <w:rFonts w:cs="Arial"/>
          <w:sz w:val="22"/>
          <w:szCs w:val="22"/>
        </w:rPr>
        <w:t xml:space="preserve"> </w:t>
      </w:r>
      <w:r w:rsidR="00010BD4" w:rsidRPr="00010BD4">
        <w:rPr>
          <w:rFonts w:cs="Arial"/>
          <w:sz w:val="22"/>
          <w:szCs w:val="22"/>
          <w:u w:val="single"/>
        </w:rPr>
        <w:t xml:space="preserve">and discuss with the Secretariat of CITES to include this in the </w:t>
      </w:r>
      <w:proofErr w:type="spellStart"/>
      <w:r w:rsidR="00010BD4" w:rsidRPr="00010BD4">
        <w:rPr>
          <w:rFonts w:cs="Arial"/>
          <w:sz w:val="22"/>
          <w:szCs w:val="22"/>
          <w:u w:val="single"/>
        </w:rPr>
        <w:t>Programme</w:t>
      </w:r>
      <w:proofErr w:type="spellEnd"/>
      <w:r w:rsidR="00010BD4" w:rsidRPr="00010BD4">
        <w:rPr>
          <w:rFonts w:cs="Arial"/>
          <w:sz w:val="22"/>
          <w:szCs w:val="22"/>
          <w:u w:val="single"/>
        </w:rPr>
        <w:t xml:space="preserve"> of Work of the African Carnivores Initiative and the Terms of Reference of the CITES Big Cats Task Force</w:t>
      </w:r>
      <w:r w:rsidR="00010BD4" w:rsidRPr="00010BD4">
        <w:rPr>
          <w:rFonts w:cs="Arial"/>
          <w:sz w:val="22"/>
          <w:szCs w:val="22"/>
        </w:rPr>
        <w:t>;</w:t>
      </w:r>
      <w:r>
        <w:rPr>
          <w:rFonts w:cs="Arial"/>
          <w:sz w:val="22"/>
          <w:szCs w:val="22"/>
        </w:rPr>
        <w:t>”</w:t>
      </w:r>
    </w:p>
    <w:p w:rsidR="00010BD4" w:rsidRPr="00010BD4" w:rsidRDefault="00010BD4" w:rsidP="00A75A6A">
      <w:pPr>
        <w:tabs>
          <w:tab w:val="left" w:pos="1020"/>
        </w:tabs>
        <w:jc w:val="both"/>
        <w:rPr>
          <w:rFonts w:cs="Arial"/>
          <w:sz w:val="22"/>
          <w:szCs w:val="22"/>
        </w:rPr>
      </w:pPr>
    </w:p>
    <w:p w:rsidR="00035936" w:rsidRPr="00034F41" w:rsidRDefault="00010BD4" w:rsidP="00A75A6A">
      <w:pPr>
        <w:tabs>
          <w:tab w:val="left" w:pos="1020"/>
        </w:tabs>
        <w:jc w:val="both"/>
        <w:rPr>
          <w:rFonts w:cs="Arial"/>
          <w:sz w:val="22"/>
          <w:szCs w:val="22"/>
          <w:lang w:val="pt-BR"/>
        </w:rPr>
      </w:pPr>
      <w:r w:rsidRPr="00034F41">
        <w:rPr>
          <w:rFonts w:cs="Arial"/>
          <w:sz w:val="22"/>
          <w:szCs w:val="22"/>
          <w:lang w:val="pt-BR"/>
        </w:rPr>
        <w:t xml:space="preserve">Page 20, para. 13.AA (a) (iii) </w:t>
      </w:r>
    </w:p>
    <w:p w:rsidR="00010BD4" w:rsidRPr="00010BD4" w:rsidRDefault="00035936" w:rsidP="00A75A6A">
      <w:pPr>
        <w:tabs>
          <w:tab w:val="left" w:pos="1020"/>
        </w:tabs>
        <w:jc w:val="both"/>
        <w:rPr>
          <w:rFonts w:cs="Arial"/>
          <w:sz w:val="22"/>
          <w:szCs w:val="22"/>
        </w:rPr>
      </w:pPr>
      <w:r>
        <w:rPr>
          <w:rFonts w:cs="Arial"/>
          <w:sz w:val="22"/>
          <w:szCs w:val="22"/>
        </w:rPr>
        <w:t>“</w:t>
      </w:r>
      <w:r w:rsidR="00010BD4" w:rsidRPr="00010BD4">
        <w:rPr>
          <w:rFonts w:cs="Arial"/>
          <w:sz w:val="22"/>
          <w:szCs w:val="22"/>
        </w:rPr>
        <w:t xml:space="preserve">support capacity building and skill transfer as relevant to Cheetah and African Wild Dog conservation and management, with an emphasis on developing the capacity of the local wildlife </w:t>
      </w:r>
      <w:r w:rsidR="00010BD4" w:rsidRPr="00010BD4">
        <w:rPr>
          <w:rFonts w:cs="Arial"/>
          <w:sz w:val="22"/>
          <w:szCs w:val="22"/>
          <w:u w:val="single"/>
        </w:rPr>
        <w:t>and enforcement</w:t>
      </w:r>
      <w:r w:rsidR="00010BD4" w:rsidRPr="00010BD4">
        <w:rPr>
          <w:rFonts w:cs="Arial"/>
          <w:sz w:val="22"/>
          <w:szCs w:val="22"/>
        </w:rPr>
        <w:t xml:space="preserve"> authorities in this regard;</w:t>
      </w:r>
      <w:r>
        <w:rPr>
          <w:rFonts w:cs="Arial"/>
          <w:sz w:val="22"/>
          <w:szCs w:val="22"/>
        </w:rPr>
        <w:t>”</w:t>
      </w:r>
    </w:p>
    <w:p w:rsidR="00010BD4" w:rsidRDefault="00010BD4" w:rsidP="00A75A6A">
      <w:pPr>
        <w:tabs>
          <w:tab w:val="left" w:pos="1020"/>
        </w:tabs>
        <w:jc w:val="both"/>
        <w:rPr>
          <w:rFonts w:cs="Arial"/>
          <w:sz w:val="22"/>
          <w:szCs w:val="22"/>
        </w:rPr>
      </w:pPr>
    </w:p>
    <w:p w:rsidR="00035936" w:rsidRPr="00034F41" w:rsidRDefault="00010BD4" w:rsidP="00A75A6A">
      <w:pPr>
        <w:tabs>
          <w:tab w:val="left" w:pos="1020"/>
        </w:tabs>
        <w:jc w:val="both"/>
        <w:rPr>
          <w:rFonts w:cs="Arial"/>
          <w:sz w:val="22"/>
          <w:szCs w:val="22"/>
          <w:lang w:val="pt-BR"/>
        </w:rPr>
      </w:pPr>
      <w:r w:rsidRPr="00034F41">
        <w:rPr>
          <w:rFonts w:cs="Arial"/>
          <w:sz w:val="22"/>
          <w:szCs w:val="22"/>
          <w:lang w:val="pt-BR"/>
        </w:rPr>
        <w:t xml:space="preserve">Page 20, para. 13.AA (a) (iv) </w:t>
      </w:r>
    </w:p>
    <w:p w:rsidR="00010BD4" w:rsidRPr="00010BD4" w:rsidRDefault="00035936" w:rsidP="00A75A6A">
      <w:pPr>
        <w:tabs>
          <w:tab w:val="left" w:pos="1020"/>
        </w:tabs>
        <w:jc w:val="both"/>
        <w:rPr>
          <w:rFonts w:cs="Arial"/>
          <w:sz w:val="22"/>
          <w:szCs w:val="22"/>
        </w:rPr>
      </w:pPr>
      <w:r>
        <w:rPr>
          <w:rFonts w:cs="Arial"/>
          <w:sz w:val="22"/>
          <w:szCs w:val="22"/>
        </w:rPr>
        <w:t>“</w:t>
      </w:r>
      <w:r w:rsidR="00010BD4" w:rsidRPr="00010BD4">
        <w:rPr>
          <w:rFonts w:cs="Arial"/>
          <w:sz w:val="22"/>
          <w:szCs w:val="22"/>
        </w:rPr>
        <w:t xml:space="preserve">support the development of relevant databases, which include information on populations across their range, sightings, livestock depredation, killing and illegal trade, within Cheetah and African Wild Dog Range States, </w:t>
      </w:r>
      <w:r w:rsidR="00010BD4" w:rsidRPr="00010BD4">
        <w:rPr>
          <w:rFonts w:cs="Arial"/>
          <w:sz w:val="22"/>
          <w:szCs w:val="22"/>
          <w:u w:val="single"/>
        </w:rPr>
        <w:t>transit and destination countries</w:t>
      </w:r>
      <w:r w:rsidR="00010BD4" w:rsidRPr="00010BD4">
        <w:rPr>
          <w:rFonts w:cs="Arial"/>
          <w:sz w:val="22"/>
          <w:szCs w:val="22"/>
        </w:rPr>
        <w:t>, taking due consideration of existing inventories collated by the relevant IUCN/Specialist Groups and the Zoological Society of London/Wildlife Conservation Society, and other organizations;</w:t>
      </w:r>
      <w:r>
        <w:rPr>
          <w:rFonts w:cs="Arial"/>
          <w:sz w:val="22"/>
          <w:szCs w:val="22"/>
        </w:rPr>
        <w:t>”</w:t>
      </w:r>
    </w:p>
    <w:p w:rsidR="00010BD4" w:rsidRDefault="00010BD4" w:rsidP="00A75A6A">
      <w:pPr>
        <w:tabs>
          <w:tab w:val="left" w:pos="1020"/>
        </w:tabs>
        <w:jc w:val="both"/>
        <w:rPr>
          <w:rFonts w:cs="Arial"/>
          <w:sz w:val="22"/>
          <w:szCs w:val="22"/>
        </w:rPr>
      </w:pPr>
    </w:p>
    <w:p w:rsidR="00010BD4" w:rsidRDefault="00010BD4" w:rsidP="00A75A6A">
      <w:pPr>
        <w:tabs>
          <w:tab w:val="left" w:pos="1020"/>
        </w:tabs>
        <w:jc w:val="both"/>
        <w:rPr>
          <w:rFonts w:cs="Arial"/>
          <w:sz w:val="22"/>
          <w:szCs w:val="22"/>
        </w:rPr>
      </w:pPr>
      <w:r>
        <w:rPr>
          <w:rFonts w:cs="Arial"/>
          <w:sz w:val="22"/>
          <w:szCs w:val="22"/>
        </w:rPr>
        <w:t xml:space="preserve">Page 20, para. </w:t>
      </w:r>
      <w:r w:rsidRPr="00010BD4">
        <w:rPr>
          <w:rFonts w:cs="Arial"/>
          <w:sz w:val="22"/>
          <w:szCs w:val="22"/>
        </w:rPr>
        <w:t xml:space="preserve">13.AA (b) </w:t>
      </w:r>
    </w:p>
    <w:p w:rsidR="00010BD4" w:rsidRPr="00010BD4" w:rsidRDefault="00035936" w:rsidP="00A75A6A">
      <w:pPr>
        <w:tabs>
          <w:tab w:val="left" w:pos="1020"/>
        </w:tabs>
        <w:jc w:val="both"/>
        <w:rPr>
          <w:rFonts w:cs="Arial"/>
          <w:sz w:val="22"/>
          <w:szCs w:val="22"/>
        </w:rPr>
      </w:pPr>
      <w:r>
        <w:rPr>
          <w:rFonts w:cs="Arial"/>
          <w:sz w:val="22"/>
          <w:szCs w:val="22"/>
        </w:rPr>
        <w:t>“</w:t>
      </w:r>
      <w:r w:rsidR="00010BD4" w:rsidRPr="00010BD4">
        <w:rPr>
          <w:rFonts w:cs="Arial"/>
          <w:sz w:val="22"/>
          <w:szCs w:val="22"/>
        </w:rPr>
        <w:t xml:space="preserve">encourage those Cheetah and African Wild Dog Range States, </w:t>
      </w:r>
      <w:r w:rsidR="00010BD4" w:rsidRPr="00010BD4">
        <w:rPr>
          <w:rFonts w:cs="Arial"/>
          <w:sz w:val="22"/>
          <w:szCs w:val="22"/>
          <w:u w:val="single"/>
        </w:rPr>
        <w:t>transit and destination countries</w:t>
      </w:r>
      <w:r w:rsidR="00010BD4" w:rsidRPr="00010BD4">
        <w:rPr>
          <w:rFonts w:cs="Arial"/>
          <w:sz w:val="22"/>
          <w:szCs w:val="22"/>
        </w:rPr>
        <w:t xml:space="preserve"> that are not yet Parties to the Convention to become Parties to the Convention;</w:t>
      </w:r>
      <w:r>
        <w:rPr>
          <w:rFonts w:cs="Arial"/>
          <w:sz w:val="22"/>
          <w:szCs w:val="22"/>
        </w:rPr>
        <w:t>”</w:t>
      </w:r>
    </w:p>
    <w:p w:rsidR="00010BD4" w:rsidRDefault="00010BD4" w:rsidP="00A75A6A">
      <w:pPr>
        <w:tabs>
          <w:tab w:val="left" w:pos="1020"/>
        </w:tabs>
        <w:jc w:val="both"/>
        <w:rPr>
          <w:rFonts w:cs="Arial"/>
          <w:sz w:val="22"/>
          <w:szCs w:val="22"/>
          <w:u w:val="single"/>
        </w:rPr>
      </w:pPr>
    </w:p>
    <w:p w:rsidR="008A56DD" w:rsidRDefault="00010BD4" w:rsidP="00A75A6A">
      <w:pPr>
        <w:tabs>
          <w:tab w:val="left" w:pos="1020"/>
        </w:tabs>
        <w:jc w:val="both"/>
        <w:rPr>
          <w:rFonts w:cs="Arial"/>
          <w:sz w:val="22"/>
          <w:szCs w:val="22"/>
        </w:rPr>
      </w:pPr>
      <w:proofErr w:type="gramStart"/>
      <w:r>
        <w:rPr>
          <w:rFonts w:cs="Arial"/>
          <w:sz w:val="22"/>
          <w:szCs w:val="22"/>
        </w:rPr>
        <w:t>Page 20,</w:t>
      </w:r>
      <w:proofErr w:type="gramEnd"/>
      <w:r>
        <w:rPr>
          <w:rFonts w:cs="Arial"/>
          <w:sz w:val="22"/>
          <w:szCs w:val="22"/>
        </w:rPr>
        <w:t xml:space="preserve"> </w:t>
      </w:r>
      <w:r w:rsidR="008A56DD">
        <w:rPr>
          <w:rFonts w:cs="Arial"/>
          <w:sz w:val="22"/>
          <w:szCs w:val="22"/>
        </w:rPr>
        <w:t xml:space="preserve">add para. </w:t>
      </w:r>
    </w:p>
    <w:p w:rsidR="00010BD4" w:rsidRPr="00010BD4" w:rsidRDefault="008A56DD" w:rsidP="00A75A6A">
      <w:pPr>
        <w:tabs>
          <w:tab w:val="left" w:pos="1020"/>
        </w:tabs>
        <w:jc w:val="both"/>
        <w:rPr>
          <w:rFonts w:cs="Arial"/>
          <w:sz w:val="22"/>
          <w:szCs w:val="22"/>
          <w:u w:val="single"/>
        </w:rPr>
      </w:pPr>
      <w:r>
        <w:rPr>
          <w:rFonts w:cs="Arial"/>
          <w:sz w:val="22"/>
          <w:szCs w:val="22"/>
        </w:rPr>
        <w:t>“</w:t>
      </w:r>
      <w:r w:rsidR="00010BD4" w:rsidRPr="00010BD4">
        <w:rPr>
          <w:rFonts w:cs="Arial"/>
          <w:sz w:val="22"/>
          <w:szCs w:val="22"/>
          <w:u w:val="single"/>
        </w:rPr>
        <w:t>13.AA (c) Report to the CMS Standing Committee, as required.</w:t>
      </w:r>
      <w:r>
        <w:rPr>
          <w:rFonts w:cs="Arial"/>
          <w:sz w:val="22"/>
          <w:szCs w:val="22"/>
          <w:u w:val="single"/>
        </w:rPr>
        <w:t>”</w:t>
      </w:r>
    </w:p>
    <w:p w:rsidR="00010BD4" w:rsidRPr="00010BD4" w:rsidRDefault="00010BD4" w:rsidP="00A75A6A">
      <w:pPr>
        <w:tabs>
          <w:tab w:val="left" w:pos="1020"/>
        </w:tabs>
        <w:jc w:val="both"/>
        <w:rPr>
          <w:rFonts w:cs="Arial"/>
          <w:sz w:val="22"/>
          <w:szCs w:val="22"/>
        </w:rPr>
      </w:pPr>
    </w:p>
    <w:p w:rsidR="00035936" w:rsidRDefault="00010BD4" w:rsidP="00A75A6A">
      <w:pPr>
        <w:tabs>
          <w:tab w:val="left" w:pos="1020"/>
        </w:tabs>
        <w:jc w:val="both"/>
        <w:rPr>
          <w:rFonts w:cs="Arial"/>
          <w:sz w:val="22"/>
          <w:szCs w:val="22"/>
        </w:rPr>
      </w:pPr>
      <w:r>
        <w:rPr>
          <w:rFonts w:cs="Arial"/>
          <w:sz w:val="22"/>
          <w:szCs w:val="22"/>
        </w:rPr>
        <w:t>Page 2</w:t>
      </w:r>
      <w:r w:rsidR="00035936">
        <w:rPr>
          <w:rFonts w:cs="Arial"/>
          <w:sz w:val="22"/>
          <w:szCs w:val="22"/>
        </w:rPr>
        <w:t>1</w:t>
      </w:r>
      <w:r>
        <w:rPr>
          <w:rFonts w:cs="Arial"/>
          <w:sz w:val="22"/>
          <w:szCs w:val="22"/>
        </w:rPr>
        <w:t xml:space="preserve">, para. </w:t>
      </w:r>
      <w:r w:rsidRPr="00010BD4">
        <w:rPr>
          <w:rFonts w:cs="Arial"/>
          <w:sz w:val="22"/>
          <w:szCs w:val="22"/>
        </w:rPr>
        <w:t xml:space="preserve">13.BB (f) </w:t>
      </w:r>
    </w:p>
    <w:p w:rsidR="00FD28D5" w:rsidRDefault="00035936" w:rsidP="00A75A6A">
      <w:pPr>
        <w:tabs>
          <w:tab w:val="left" w:pos="1020"/>
        </w:tabs>
        <w:jc w:val="both"/>
        <w:rPr>
          <w:rFonts w:cs="Arial"/>
          <w:sz w:val="22"/>
          <w:szCs w:val="22"/>
        </w:rPr>
      </w:pPr>
      <w:r>
        <w:rPr>
          <w:rFonts w:cs="Arial"/>
          <w:sz w:val="22"/>
          <w:szCs w:val="22"/>
        </w:rPr>
        <w:t>“</w:t>
      </w:r>
      <w:r w:rsidR="00010BD4" w:rsidRPr="00010BD4">
        <w:rPr>
          <w:rFonts w:cs="Arial"/>
          <w:sz w:val="22"/>
          <w:szCs w:val="22"/>
        </w:rPr>
        <w:t xml:space="preserve">ensure that legislation that protects Cheetahs and African Wild Dogs is in place </w:t>
      </w:r>
    </w:p>
    <w:p w:rsidR="00010BD4" w:rsidRDefault="00010BD4" w:rsidP="00A75A6A">
      <w:pPr>
        <w:tabs>
          <w:tab w:val="left" w:pos="1020"/>
        </w:tabs>
        <w:jc w:val="both"/>
        <w:rPr>
          <w:rFonts w:cs="Arial"/>
          <w:sz w:val="22"/>
          <w:szCs w:val="22"/>
        </w:rPr>
      </w:pPr>
      <w:r w:rsidRPr="00010BD4">
        <w:rPr>
          <w:rFonts w:cs="Arial"/>
          <w:sz w:val="22"/>
          <w:szCs w:val="22"/>
          <w:u w:val="single"/>
        </w:rPr>
        <w:t xml:space="preserve">and </w:t>
      </w:r>
      <w:r w:rsidR="00FD28D5">
        <w:rPr>
          <w:rFonts w:cs="Arial"/>
          <w:sz w:val="22"/>
          <w:szCs w:val="22"/>
          <w:u w:val="single"/>
        </w:rPr>
        <w:t xml:space="preserve">effectively </w:t>
      </w:r>
      <w:r w:rsidRPr="00010BD4">
        <w:rPr>
          <w:rFonts w:cs="Arial"/>
          <w:sz w:val="22"/>
          <w:szCs w:val="22"/>
          <w:u w:val="single"/>
        </w:rPr>
        <w:t>enforced</w:t>
      </w:r>
      <w:r w:rsidRPr="00010BD4">
        <w:rPr>
          <w:rFonts w:cs="Arial"/>
          <w:sz w:val="22"/>
          <w:szCs w:val="22"/>
        </w:rPr>
        <w:t xml:space="preserve"> and that penalties for transgression are sufficiently high to act as a deterrent;</w:t>
      </w:r>
    </w:p>
    <w:p w:rsidR="001E2BA5" w:rsidRDefault="001E2BA5" w:rsidP="00A75A6A">
      <w:pPr>
        <w:tabs>
          <w:tab w:val="left" w:pos="1020"/>
        </w:tabs>
        <w:jc w:val="both"/>
        <w:rPr>
          <w:rFonts w:cs="Arial"/>
          <w:sz w:val="22"/>
          <w:szCs w:val="22"/>
        </w:rPr>
      </w:pPr>
    </w:p>
    <w:p w:rsidR="00010BD4" w:rsidRPr="00010BD4" w:rsidRDefault="001E2BA5" w:rsidP="00A75A6A">
      <w:pPr>
        <w:tabs>
          <w:tab w:val="left" w:pos="1020"/>
        </w:tabs>
        <w:jc w:val="both"/>
        <w:rPr>
          <w:rFonts w:cs="Arial"/>
          <w:sz w:val="22"/>
          <w:szCs w:val="22"/>
        </w:rPr>
      </w:pPr>
      <w:r>
        <w:rPr>
          <w:rFonts w:cs="Arial"/>
          <w:sz w:val="22"/>
          <w:szCs w:val="22"/>
        </w:rPr>
        <w:t xml:space="preserve">Page 21, </w:t>
      </w:r>
      <w:r w:rsidR="00010BD4" w:rsidRPr="00010BD4">
        <w:rPr>
          <w:rFonts w:cs="Arial"/>
          <w:sz w:val="22"/>
          <w:szCs w:val="22"/>
        </w:rPr>
        <w:t xml:space="preserve">13.BB (j) investigate opportunities to ensure that Cheetah and African Wild Dog conservation are integrated into relevant educational curricula at national and subnational levels, including schools, universities and professional training colleges </w:t>
      </w:r>
      <w:r w:rsidR="00010BD4" w:rsidRPr="00010BD4">
        <w:rPr>
          <w:rFonts w:cs="Arial"/>
          <w:sz w:val="22"/>
          <w:szCs w:val="22"/>
          <w:u w:val="single"/>
        </w:rPr>
        <w:t>and other public outreach efforts</w:t>
      </w:r>
      <w:r w:rsidR="00010BD4" w:rsidRPr="00010BD4">
        <w:rPr>
          <w:rFonts w:cs="Arial"/>
          <w:sz w:val="22"/>
          <w:szCs w:val="22"/>
        </w:rPr>
        <w:t>;</w:t>
      </w:r>
      <w:r w:rsidR="00035936">
        <w:rPr>
          <w:rFonts w:cs="Arial"/>
          <w:sz w:val="22"/>
          <w:szCs w:val="22"/>
        </w:rPr>
        <w:t>”</w:t>
      </w:r>
    </w:p>
    <w:p w:rsidR="00010BD4" w:rsidRDefault="00010BD4" w:rsidP="00010BD4">
      <w:pPr>
        <w:tabs>
          <w:tab w:val="left" w:pos="1020"/>
        </w:tabs>
        <w:rPr>
          <w:rFonts w:cs="Arial"/>
          <w:sz w:val="22"/>
          <w:szCs w:val="22"/>
        </w:rPr>
      </w:pPr>
    </w:p>
    <w:p w:rsidR="00EF0138" w:rsidRDefault="00EF0138" w:rsidP="00010BD4">
      <w:pPr>
        <w:tabs>
          <w:tab w:val="left" w:pos="1020"/>
        </w:tabs>
        <w:rPr>
          <w:rFonts w:cs="Arial"/>
          <w:b/>
          <w:sz w:val="22"/>
          <w:szCs w:val="22"/>
        </w:rPr>
      </w:pPr>
      <w:r>
        <w:rPr>
          <w:rFonts w:cs="Arial"/>
          <w:b/>
          <w:sz w:val="22"/>
          <w:szCs w:val="22"/>
        </w:rPr>
        <w:t xml:space="preserve">13.BB </w:t>
      </w:r>
      <w:r w:rsidR="003B1753">
        <w:rPr>
          <w:rFonts w:cs="Arial"/>
          <w:b/>
          <w:sz w:val="22"/>
          <w:szCs w:val="22"/>
        </w:rPr>
        <w:t>(</w:t>
      </w:r>
      <w:r>
        <w:rPr>
          <w:rFonts w:cs="Arial"/>
          <w:b/>
          <w:sz w:val="22"/>
          <w:szCs w:val="22"/>
        </w:rPr>
        <w:t>l)</w:t>
      </w:r>
    </w:p>
    <w:p w:rsidR="00EF0138" w:rsidRPr="00EF0138" w:rsidRDefault="00EF0138" w:rsidP="00010BD4">
      <w:pPr>
        <w:tabs>
          <w:tab w:val="left" w:pos="1020"/>
        </w:tabs>
        <w:rPr>
          <w:rFonts w:cs="Arial"/>
          <w:b/>
          <w:sz w:val="22"/>
          <w:szCs w:val="22"/>
        </w:rPr>
      </w:pPr>
      <w:r>
        <w:rPr>
          <w:rFonts w:cs="Arial"/>
          <w:b/>
          <w:sz w:val="22"/>
          <w:szCs w:val="22"/>
        </w:rPr>
        <w:t>Add Assist</w:t>
      </w:r>
      <w:r w:rsidRPr="00EF0138">
        <w:rPr>
          <w:rFonts w:cs="Arial"/>
          <w:b/>
          <w:sz w:val="22"/>
          <w:szCs w:val="22"/>
        </w:rPr>
        <w:t xml:space="preserve"> the Secretariat to </w:t>
      </w:r>
      <w:r>
        <w:rPr>
          <w:rFonts w:cs="Arial"/>
          <w:b/>
          <w:sz w:val="22"/>
          <w:szCs w:val="22"/>
        </w:rPr>
        <w:t xml:space="preserve">present </w:t>
      </w:r>
      <w:r w:rsidR="003B1753">
        <w:rPr>
          <w:rFonts w:cs="Arial"/>
          <w:b/>
          <w:sz w:val="22"/>
          <w:szCs w:val="22"/>
        </w:rPr>
        <w:t>a</w:t>
      </w:r>
      <w:r>
        <w:rPr>
          <w:rFonts w:cs="Arial"/>
          <w:b/>
          <w:sz w:val="22"/>
          <w:szCs w:val="22"/>
        </w:rPr>
        <w:t xml:space="preserve"> summary </w:t>
      </w:r>
      <w:r w:rsidR="003B1753">
        <w:rPr>
          <w:rFonts w:cs="Arial"/>
          <w:b/>
          <w:sz w:val="22"/>
          <w:szCs w:val="22"/>
        </w:rPr>
        <w:t xml:space="preserve">report </w:t>
      </w:r>
      <w:r w:rsidRPr="00EF0138">
        <w:rPr>
          <w:rFonts w:cs="Arial"/>
          <w:b/>
          <w:sz w:val="22"/>
          <w:szCs w:val="22"/>
        </w:rPr>
        <w:t>to the Standing committee as required</w:t>
      </w:r>
    </w:p>
    <w:p w:rsidR="00A75A6A" w:rsidRDefault="00A75A6A" w:rsidP="00010BD4">
      <w:pPr>
        <w:tabs>
          <w:tab w:val="left" w:pos="1020"/>
        </w:tabs>
        <w:rPr>
          <w:rFonts w:cs="Arial"/>
          <w:sz w:val="22"/>
          <w:szCs w:val="22"/>
        </w:rPr>
      </w:pPr>
      <w:r>
        <w:rPr>
          <w:rFonts w:cs="Arial"/>
          <w:sz w:val="22"/>
          <w:szCs w:val="22"/>
        </w:rPr>
        <w:br w:type="page"/>
      </w:r>
    </w:p>
    <w:p w:rsidR="00EF0138" w:rsidRDefault="00EF0138" w:rsidP="00010BD4">
      <w:pPr>
        <w:tabs>
          <w:tab w:val="left" w:pos="1020"/>
        </w:tabs>
        <w:rPr>
          <w:rFonts w:cs="Arial"/>
          <w:sz w:val="22"/>
          <w:szCs w:val="22"/>
        </w:rPr>
      </w:pPr>
    </w:p>
    <w:p w:rsidR="00035936" w:rsidRDefault="00035936" w:rsidP="00010BD4">
      <w:pPr>
        <w:tabs>
          <w:tab w:val="left" w:pos="1020"/>
        </w:tabs>
        <w:rPr>
          <w:rFonts w:cs="Arial"/>
          <w:sz w:val="22"/>
          <w:szCs w:val="22"/>
        </w:rPr>
      </w:pPr>
      <w:r>
        <w:rPr>
          <w:rFonts w:cs="Arial"/>
          <w:sz w:val="22"/>
          <w:szCs w:val="22"/>
        </w:rPr>
        <w:t xml:space="preserve">Page 21, para. </w:t>
      </w:r>
      <w:r w:rsidR="00010BD4" w:rsidRPr="00010BD4">
        <w:rPr>
          <w:rFonts w:cs="Arial"/>
          <w:sz w:val="22"/>
          <w:szCs w:val="22"/>
        </w:rPr>
        <w:t xml:space="preserve">13.CC </w:t>
      </w:r>
    </w:p>
    <w:p w:rsidR="00010BD4" w:rsidRPr="00010BD4" w:rsidRDefault="00035936" w:rsidP="00A75A6A">
      <w:pPr>
        <w:tabs>
          <w:tab w:val="left" w:pos="1020"/>
        </w:tabs>
        <w:jc w:val="both"/>
        <w:rPr>
          <w:rFonts w:cs="Arial"/>
          <w:sz w:val="22"/>
          <w:szCs w:val="22"/>
        </w:rPr>
      </w:pPr>
      <w:r>
        <w:rPr>
          <w:rFonts w:cs="Arial"/>
          <w:sz w:val="22"/>
          <w:szCs w:val="22"/>
        </w:rPr>
        <w:t>“</w:t>
      </w:r>
      <w:r w:rsidR="00010BD4" w:rsidRPr="00010BD4">
        <w:rPr>
          <w:rFonts w:cs="Arial"/>
          <w:sz w:val="22"/>
          <w:szCs w:val="22"/>
        </w:rPr>
        <w:t xml:space="preserve">The Scientific Council should, </w:t>
      </w:r>
      <w:r w:rsidR="00010BD4" w:rsidRPr="00010BD4">
        <w:rPr>
          <w:rFonts w:cs="Arial"/>
          <w:sz w:val="22"/>
          <w:szCs w:val="22"/>
          <w:u w:val="single"/>
        </w:rPr>
        <w:t>after consultation with the respective Range States affected</w:t>
      </w:r>
      <w:r w:rsidR="00010BD4" w:rsidRPr="00010BD4">
        <w:rPr>
          <w:rFonts w:cs="Arial"/>
          <w:sz w:val="22"/>
          <w:szCs w:val="22"/>
        </w:rPr>
        <w:t>, make recommendations to the Conference of the Parties concerning possible amendments to the list of Cheetah populations presently excluded from CMS Appendix I to reflect the current conservation status and inform a Decision by the Conference of the Parties at its 14th meeting.</w:t>
      </w:r>
      <w:r>
        <w:rPr>
          <w:rFonts w:cs="Arial"/>
          <w:sz w:val="22"/>
          <w:szCs w:val="22"/>
        </w:rPr>
        <w:t>”</w:t>
      </w:r>
    </w:p>
    <w:p w:rsidR="00010BD4" w:rsidRDefault="00010BD4" w:rsidP="00A75A6A">
      <w:pPr>
        <w:tabs>
          <w:tab w:val="left" w:pos="1020"/>
        </w:tabs>
        <w:jc w:val="both"/>
        <w:rPr>
          <w:rFonts w:cs="Arial"/>
          <w:sz w:val="22"/>
          <w:szCs w:val="22"/>
        </w:rPr>
      </w:pPr>
    </w:p>
    <w:p w:rsidR="00035936" w:rsidRDefault="00035936" w:rsidP="00A75A6A">
      <w:pPr>
        <w:tabs>
          <w:tab w:val="left" w:pos="1020"/>
        </w:tabs>
        <w:jc w:val="both"/>
        <w:rPr>
          <w:rFonts w:cs="Arial"/>
          <w:sz w:val="22"/>
          <w:szCs w:val="22"/>
        </w:rPr>
      </w:pPr>
      <w:r>
        <w:rPr>
          <w:rFonts w:cs="Arial"/>
          <w:sz w:val="22"/>
          <w:szCs w:val="22"/>
        </w:rPr>
        <w:t xml:space="preserve">Page 21, para. </w:t>
      </w:r>
      <w:r w:rsidR="00010BD4" w:rsidRPr="00010BD4">
        <w:rPr>
          <w:rFonts w:cs="Arial"/>
          <w:sz w:val="22"/>
          <w:szCs w:val="22"/>
        </w:rPr>
        <w:t xml:space="preserve">13.DD </w:t>
      </w:r>
    </w:p>
    <w:p w:rsidR="00010BD4" w:rsidRPr="00010BD4" w:rsidRDefault="00035936" w:rsidP="00A75A6A">
      <w:pPr>
        <w:tabs>
          <w:tab w:val="left" w:pos="1020"/>
        </w:tabs>
        <w:jc w:val="both"/>
        <w:rPr>
          <w:rFonts w:cs="Arial"/>
          <w:sz w:val="22"/>
          <w:szCs w:val="22"/>
        </w:rPr>
      </w:pPr>
      <w:r>
        <w:rPr>
          <w:rFonts w:cs="Arial"/>
          <w:sz w:val="22"/>
          <w:szCs w:val="22"/>
        </w:rPr>
        <w:t>“</w:t>
      </w:r>
      <w:r w:rsidR="00010BD4" w:rsidRPr="00010BD4">
        <w:rPr>
          <w:rFonts w:cs="Arial"/>
          <w:sz w:val="22"/>
          <w:szCs w:val="22"/>
        </w:rPr>
        <w:t xml:space="preserve">Parties, intergovernmental and non-governmental organizations are encouraged to support the Cheetah and African Wild Dog Range States, </w:t>
      </w:r>
      <w:r w:rsidR="003B1753" w:rsidRPr="003B1753">
        <w:rPr>
          <w:rFonts w:cs="Arial"/>
          <w:sz w:val="22"/>
          <w:szCs w:val="22"/>
          <w:u w:val="single"/>
        </w:rPr>
        <w:t>and as appropriate</w:t>
      </w:r>
      <w:r w:rsidR="003B1753">
        <w:rPr>
          <w:rFonts w:cs="Arial"/>
          <w:sz w:val="22"/>
          <w:szCs w:val="22"/>
        </w:rPr>
        <w:t xml:space="preserve">, </w:t>
      </w:r>
      <w:r w:rsidR="00010BD4" w:rsidRPr="00010BD4">
        <w:rPr>
          <w:rFonts w:cs="Arial"/>
          <w:sz w:val="22"/>
          <w:szCs w:val="22"/>
          <w:u w:val="single"/>
        </w:rPr>
        <w:t>transit and destination countries</w:t>
      </w:r>
      <w:r w:rsidR="00010BD4" w:rsidRPr="00010BD4">
        <w:rPr>
          <w:rFonts w:cs="Arial"/>
          <w:sz w:val="22"/>
          <w:szCs w:val="22"/>
        </w:rPr>
        <w:t xml:space="preserve"> and the Secretariat in their efforts to conserve and restore these species across their range; and in implementing the Decisions contained in Decision 13.AA, paragraph a), sub-paragraphs i.-v. and Decision 13.BB paragraphs b) – k).</w:t>
      </w:r>
      <w:r>
        <w:rPr>
          <w:rFonts w:cs="Arial"/>
          <w:sz w:val="22"/>
          <w:szCs w:val="22"/>
        </w:rPr>
        <w:t>”</w:t>
      </w:r>
    </w:p>
    <w:p w:rsidR="00397D2C" w:rsidRPr="008820EF" w:rsidRDefault="00397D2C" w:rsidP="008820EF">
      <w:pPr>
        <w:tabs>
          <w:tab w:val="left" w:pos="1020"/>
        </w:tabs>
        <w:rPr>
          <w:rFonts w:cs="Arial"/>
          <w:sz w:val="22"/>
          <w:szCs w:val="22"/>
        </w:rPr>
      </w:pPr>
    </w:p>
    <w:sectPr w:rsidR="00397D2C" w:rsidRPr="008820EF"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6DE" w:rsidRDefault="005066DE">
      <w:r>
        <w:separator/>
      </w:r>
    </w:p>
  </w:endnote>
  <w:endnote w:type="continuationSeparator" w:id="0">
    <w:p w:rsidR="005066DE" w:rsidRDefault="0050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54569"/>
      <w:docPartObj>
        <w:docPartGallery w:val="Page Numbers (Bottom of Page)"/>
        <w:docPartUnique/>
      </w:docPartObj>
    </w:sdtPr>
    <w:sdtEndPr>
      <w:rPr>
        <w:noProof/>
      </w:rPr>
    </w:sdtEndPr>
    <w:sdtContent>
      <w:p w:rsidR="00A75A6A" w:rsidRDefault="00A75A6A" w:rsidP="00A75A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625596"/>
      <w:docPartObj>
        <w:docPartGallery w:val="Page Numbers (Bottom of Page)"/>
        <w:docPartUnique/>
      </w:docPartObj>
    </w:sdtPr>
    <w:sdtEndPr>
      <w:rPr>
        <w:noProof/>
      </w:rPr>
    </w:sdtEndPr>
    <w:sdtContent>
      <w:p w:rsidR="00A75A6A" w:rsidRDefault="00A75A6A" w:rsidP="00A75A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B53617">
      <w:rPr>
        <w:rFonts w:cs="Arial"/>
        <w:noProof/>
        <w:szCs w:val="18"/>
      </w:rPr>
      <w:t>1</w:t>
    </w:r>
    <w:r w:rsidRPr="00D605A4">
      <w:rPr>
        <w:rFonts w:cs="Arial"/>
        <w:noProof/>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6DE" w:rsidRDefault="005066DE">
      <w:r>
        <w:separator/>
      </w:r>
    </w:p>
  </w:footnote>
  <w:footnote w:type="continuationSeparator" w:id="0">
    <w:p w:rsidR="005066DE" w:rsidRDefault="0050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1F7" w:rsidRPr="008648EB" w:rsidRDefault="006B31F7" w:rsidP="006B31F7">
    <w:pPr>
      <w:pStyle w:val="Header"/>
      <w:pBdr>
        <w:bottom w:val="single" w:sz="4" w:space="1" w:color="auto"/>
      </w:pBdr>
      <w:rPr>
        <w:rFonts w:cs="Arial"/>
        <w:i/>
        <w:szCs w:val="18"/>
      </w:rPr>
    </w:pPr>
    <w:r w:rsidRPr="008648EB">
      <w:rPr>
        <w:rFonts w:cs="Arial"/>
        <w:i/>
        <w:szCs w:val="18"/>
      </w:rPr>
      <w:t>UNEP/CMS/COP1</w:t>
    </w:r>
    <w:r>
      <w:rPr>
        <w:rFonts w:cs="Arial"/>
        <w:i/>
        <w:szCs w:val="18"/>
      </w:rPr>
      <w:t>3</w:t>
    </w:r>
    <w:r w:rsidRPr="008648EB">
      <w:rPr>
        <w:rFonts w:cs="Arial"/>
        <w:i/>
        <w:szCs w:val="18"/>
      </w:rPr>
      <w:t>/</w:t>
    </w:r>
    <w:r w:rsidRPr="00E90844">
      <w:rPr>
        <w:rFonts w:cs="Arial"/>
        <w:i/>
        <w:szCs w:val="18"/>
      </w:rPr>
      <w:t>Doc.</w:t>
    </w:r>
    <w:r>
      <w:rPr>
        <w:rFonts w:cs="Arial"/>
        <w:i/>
        <w:szCs w:val="18"/>
      </w:rPr>
      <w:t>26.3.1</w:t>
    </w:r>
    <w:r w:rsidRPr="00E90844">
      <w:rPr>
        <w:rFonts w:cs="Arial"/>
        <w:i/>
        <w:szCs w:val="18"/>
      </w:rPr>
      <w:t>/Add</w:t>
    </w:r>
    <w:r>
      <w:rPr>
        <w:rFonts w:cs="Arial"/>
        <w:i/>
        <w:szCs w:val="18"/>
      </w:rPr>
      <w:t>.1</w:t>
    </w:r>
    <w:r w:rsidRPr="008648EB">
      <w:rPr>
        <w:rFonts w:cs="Arial"/>
        <w:i/>
        <w:szCs w:val="18"/>
      </w:rPr>
      <w:t xml:space="preserve">  </w:t>
    </w:r>
  </w:p>
  <w:p w:rsidR="006B31F7" w:rsidRDefault="006B3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1F7" w:rsidRPr="008648EB" w:rsidRDefault="006B31F7" w:rsidP="006B31F7">
    <w:pPr>
      <w:pStyle w:val="Header"/>
      <w:pBdr>
        <w:bottom w:val="single" w:sz="4" w:space="1" w:color="auto"/>
      </w:pBdr>
      <w:jc w:val="right"/>
      <w:rPr>
        <w:rFonts w:cs="Arial"/>
        <w:i/>
        <w:szCs w:val="18"/>
      </w:rPr>
    </w:pPr>
    <w:r w:rsidRPr="008648EB">
      <w:rPr>
        <w:rFonts w:cs="Arial"/>
        <w:i/>
        <w:szCs w:val="18"/>
      </w:rPr>
      <w:t>UNEP/CMS/COP1</w:t>
    </w:r>
    <w:r>
      <w:rPr>
        <w:rFonts w:cs="Arial"/>
        <w:i/>
        <w:szCs w:val="18"/>
      </w:rPr>
      <w:t>3</w:t>
    </w:r>
    <w:r w:rsidRPr="008648EB">
      <w:rPr>
        <w:rFonts w:cs="Arial"/>
        <w:i/>
        <w:szCs w:val="18"/>
      </w:rPr>
      <w:t>/</w:t>
    </w:r>
    <w:r w:rsidRPr="00E90844">
      <w:rPr>
        <w:rFonts w:cs="Arial"/>
        <w:i/>
        <w:szCs w:val="18"/>
      </w:rPr>
      <w:t>Doc.</w:t>
    </w:r>
    <w:r>
      <w:rPr>
        <w:rFonts w:cs="Arial"/>
        <w:i/>
        <w:szCs w:val="18"/>
      </w:rPr>
      <w:t>26.3.1</w:t>
    </w:r>
    <w:r w:rsidRPr="00E90844">
      <w:rPr>
        <w:rFonts w:cs="Arial"/>
        <w:i/>
        <w:szCs w:val="18"/>
      </w:rPr>
      <w:t>/Add</w:t>
    </w:r>
    <w:r>
      <w:rPr>
        <w:rFonts w:cs="Arial"/>
        <w:i/>
        <w:szCs w:val="18"/>
      </w:rPr>
      <w:t>.1</w:t>
    </w:r>
    <w:r w:rsidRPr="008648EB">
      <w:rPr>
        <w:rFonts w:cs="Arial"/>
        <w:i/>
        <w:szCs w:val="18"/>
      </w:rPr>
      <w:t xml:space="preserve">  </w:t>
    </w:r>
  </w:p>
  <w:p w:rsidR="006B31F7" w:rsidRDefault="006B31F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FC" w:rsidRPr="008648EB" w:rsidRDefault="00BF42FC" w:rsidP="00BF42FC">
    <w:pPr>
      <w:pStyle w:val="Header"/>
      <w:pBdr>
        <w:bottom w:val="single" w:sz="4" w:space="1" w:color="auto"/>
      </w:pBdr>
      <w:jc w:val="right"/>
      <w:rPr>
        <w:rFonts w:cs="Arial"/>
        <w:i/>
        <w:szCs w:val="18"/>
      </w:rPr>
    </w:pPr>
    <w:r w:rsidRPr="008648EB">
      <w:rPr>
        <w:rFonts w:cs="Arial"/>
        <w:i/>
        <w:szCs w:val="18"/>
      </w:rPr>
      <w:t>UNEP/CMS/COP1</w:t>
    </w:r>
    <w:r w:rsidR="006B31F7">
      <w:rPr>
        <w:rFonts w:cs="Arial"/>
        <w:i/>
        <w:szCs w:val="18"/>
      </w:rPr>
      <w:t>3</w:t>
    </w:r>
    <w:r w:rsidRPr="008648EB">
      <w:rPr>
        <w:rFonts w:cs="Arial"/>
        <w:i/>
        <w:szCs w:val="18"/>
      </w:rPr>
      <w:t>/</w:t>
    </w:r>
    <w:r w:rsidRPr="00E90844">
      <w:rPr>
        <w:rFonts w:cs="Arial"/>
        <w:i/>
        <w:szCs w:val="18"/>
      </w:rPr>
      <w:t>Doc.</w:t>
    </w:r>
    <w:r w:rsidR="005B2DE1">
      <w:rPr>
        <w:rFonts w:cs="Arial"/>
        <w:i/>
        <w:szCs w:val="18"/>
      </w:rPr>
      <w:t>26</w:t>
    </w:r>
    <w:r w:rsidR="00B53617">
      <w:rPr>
        <w:rFonts w:cs="Arial"/>
        <w:i/>
        <w:szCs w:val="18"/>
      </w:rPr>
      <w:t>.3.1</w:t>
    </w:r>
    <w:r w:rsidRPr="00E90844">
      <w:rPr>
        <w:rFonts w:cs="Arial"/>
        <w:i/>
        <w:szCs w:val="18"/>
      </w:rPr>
      <w:t>/Add</w:t>
    </w:r>
    <w:r w:rsidR="00B5735E">
      <w:rPr>
        <w:rFonts w:cs="Arial"/>
        <w:i/>
        <w:szCs w:val="18"/>
      </w:rPr>
      <w:t>.</w:t>
    </w:r>
    <w:r>
      <w:rPr>
        <w:rFonts w:cs="Arial"/>
        <w:i/>
        <w:szCs w:val="18"/>
      </w:rPr>
      <w:t>1</w:t>
    </w:r>
    <w:r w:rsidRPr="008648EB">
      <w:rPr>
        <w:rFonts w:cs="Arial"/>
        <w:i/>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10"/>
  </w:num>
  <w:num w:numId="17">
    <w:abstractNumId w:val="37"/>
  </w:num>
  <w:num w:numId="18">
    <w:abstractNumId w:val="21"/>
  </w:num>
  <w:num w:numId="19">
    <w:abstractNumId w:val="35"/>
  </w:num>
  <w:num w:numId="20">
    <w:abstractNumId w:val="41"/>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8"/>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9"/>
  </w:num>
  <w:num w:numId="39">
    <w:abstractNumId w:val="28"/>
  </w:num>
  <w:num w:numId="40">
    <w:abstractNumId w:val="39"/>
  </w:num>
  <w:num w:numId="41">
    <w:abstractNumId w:val="24"/>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10BD4"/>
    <w:rsid w:val="000254DF"/>
    <w:rsid w:val="0002655B"/>
    <w:rsid w:val="00034F41"/>
    <w:rsid w:val="00035936"/>
    <w:rsid w:val="00036C53"/>
    <w:rsid w:val="000518C2"/>
    <w:rsid w:val="00056DC1"/>
    <w:rsid w:val="00060156"/>
    <w:rsid w:val="00070BBC"/>
    <w:rsid w:val="00073C92"/>
    <w:rsid w:val="000742A7"/>
    <w:rsid w:val="00080F03"/>
    <w:rsid w:val="000900E1"/>
    <w:rsid w:val="0009076A"/>
    <w:rsid w:val="000B6220"/>
    <w:rsid w:val="000C21B1"/>
    <w:rsid w:val="000C3C87"/>
    <w:rsid w:val="000C7460"/>
    <w:rsid w:val="000E01C1"/>
    <w:rsid w:val="000F1156"/>
    <w:rsid w:val="000F1354"/>
    <w:rsid w:val="000F52BA"/>
    <w:rsid w:val="001151A3"/>
    <w:rsid w:val="0012294F"/>
    <w:rsid w:val="001245DF"/>
    <w:rsid w:val="0012515A"/>
    <w:rsid w:val="00130BFD"/>
    <w:rsid w:val="00130D3B"/>
    <w:rsid w:val="001419C7"/>
    <w:rsid w:val="00150AC4"/>
    <w:rsid w:val="00162D88"/>
    <w:rsid w:val="00166ABA"/>
    <w:rsid w:val="001743FD"/>
    <w:rsid w:val="001764E6"/>
    <w:rsid w:val="001808F1"/>
    <w:rsid w:val="001A33B6"/>
    <w:rsid w:val="001B24A9"/>
    <w:rsid w:val="001C6038"/>
    <w:rsid w:val="001E2BA5"/>
    <w:rsid w:val="001F60A1"/>
    <w:rsid w:val="00200A67"/>
    <w:rsid w:val="00201F88"/>
    <w:rsid w:val="00202332"/>
    <w:rsid w:val="002210F4"/>
    <w:rsid w:val="00234857"/>
    <w:rsid w:val="002542FB"/>
    <w:rsid w:val="00254721"/>
    <w:rsid w:val="00260772"/>
    <w:rsid w:val="00263159"/>
    <w:rsid w:val="002779F7"/>
    <w:rsid w:val="0029615B"/>
    <w:rsid w:val="002A4F63"/>
    <w:rsid w:val="002C187A"/>
    <w:rsid w:val="002C20F1"/>
    <w:rsid w:val="002D2863"/>
    <w:rsid w:val="002D5EC0"/>
    <w:rsid w:val="002E3DEA"/>
    <w:rsid w:val="002E7CC2"/>
    <w:rsid w:val="002F6F9B"/>
    <w:rsid w:val="00305783"/>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1376"/>
    <w:rsid w:val="003B1753"/>
    <w:rsid w:val="003B219E"/>
    <w:rsid w:val="003B7A1B"/>
    <w:rsid w:val="003E21B3"/>
    <w:rsid w:val="003E24AC"/>
    <w:rsid w:val="00411E65"/>
    <w:rsid w:val="00420040"/>
    <w:rsid w:val="00423388"/>
    <w:rsid w:val="00426D73"/>
    <w:rsid w:val="00430B27"/>
    <w:rsid w:val="00436CD2"/>
    <w:rsid w:val="00454913"/>
    <w:rsid w:val="00457441"/>
    <w:rsid w:val="004579F6"/>
    <w:rsid w:val="004656D0"/>
    <w:rsid w:val="00470CA7"/>
    <w:rsid w:val="00473ABD"/>
    <w:rsid w:val="00482DCA"/>
    <w:rsid w:val="004B6CFD"/>
    <w:rsid w:val="004C204D"/>
    <w:rsid w:val="004D0436"/>
    <w:rsid w:val="004D0936"/>
    <w:rsid w:val="004F243D"/>
    <w:rsid w:val="004F3D8D"/>
    <w:rsid w:val="005066DE"/>
    <w:rsid w:val="005076F1"/>
    <w:rsid w:val="00512B91"/>
    <w:rsid w:val="005158EB"/>
    <w:rsid w:val="0052082F"/>
    <w:rsid w:val="00525161"/>
    <w:rsid w:val="00537647"/>
    <w:rsid w:val="00542FCC"/>
    <w:rsid w:val="00553795"/>
    <w:rsid w:val="00554CE5"/>
    <w:rsid w:val="0055762E"/>
    <w:rsid w:val="00565445"/>
    <w:rsid w:val="00575334"/>
    <w:rsid w:val="00593736"/>
    <w:rsid w:val="005B0F06"/>
    <w:rsid w:val="005B2DE1"/>
    <w:rsid w:val="005B6141"/>
    <w:rsid w:val="005C3F15"/>
    <w:rsid w:val="005E4322"/>
    <w:rsid w:val="005F3989"/>
    <w:rsid w:val="005F4303"/>
    <w:rsid w:val="00601B52"/>
    <w:rsid w:val="0060280B"/>
    <w:rsid w:val="00604422"/>
    <w:rsid w:val="00606359"/>
    <w:rsid w:val="00606EAE"/>
    <w:rsid w:val="00616938"/>
    <w:rsid w:val="006337AE"/>
    <w:rsid w:val="006356C5"/>
    <w:rsid w:val="00644060"/>
    <w:rsid w:val="00651341"/>
    <w:rsid w:val="00662D1E"/>
    <w:rsid w:val="00667726"/>
    <w:rsid w:val="006815B2"/>
    <w:rsid w:val="00682B31"/>
    <w:rsid w:val="006864E1"/>
    <w:rsid w:val="006B1037"/>
    <w:rsid w:val="006B31F7"/>
    <w:rsid w:val="006C0FC6"/>
    <w:rsid w:val="006E56AD"/>
    <w:rsid w:val="006E5763"/>
    <w:rsid w:val="006F450A"/>
    <w:rsid w:val="006F6A33"/>
    <w:rsid w:val="007101BB"/>
    <w:rsid w:val="00713308"/>
    <w:rsid w:val="00727E01"/>
    <w:rsid w:val="00757614"/>
    <w:rsid w:val="007728B4"/>
    <w:rsid w:val="0077622E"/>
    <w:rsid w:val="00777913"/>
    <w:rsid w:val="00777FE4"/>
    <w:rsid w:val="0079075D"/>
    <w:rsid w:val="0079155E"/>
    <w:rsid w:val="007C1468"/>
    <w:rsid w:val="007C41D7"/>
    <w:rsid w:val="007F16FB"/>
    <w:rsid w:val="007F1BBA"/>
    <w:rsid w:val="008041C2"/>
    <w:rsid w:val="0081600F"/>
    <w:rsid w:val="0082722D"/>
    <w:rsid w:val="008274F7"/>
    <w:rsid w:val="008441F9"/>
    <w:rsid w:val="00846A99"/>
    <w:rsid w:val="008641D1"/>
    <w:rsid w:val="008648EB"/>
    <w:rsid w:val="00872F67"/>
    <w:rsid w:val="008820EF"/>
    <w:rsid w:val="00893346"/>
    <w:rsid w:val="008A0D8D"/>
    <w:rsid w:val="008A56DD"/>
    <w:rsid w:val="008B1A69"/>
    <w:rsid w:val="008C1A39"/>
    <w:rsid w:val="008E7DFB"/>
    <w:rsid w:val="008F20D3"/>
    <w:rsid w:val="008F417E"/>
    <w:rsid w:val="008F7327"/>
    <w:rsid w:val="009076C8"/>
    <w:rsid w:val="00915BBE"/>
    <w:rsid w:val="00921D62"/>
    <w:rsid w:val="00922791"/>
    <w:rsid w:val="00927CD6"/>
    <w:rsid w:val="00933572"/>
    <w:rsid w:val="009363C7"/>
    <w:rsid w:val="00945FFB"/>
    <w:rsid w:val="00971F31"/>
    <w:rsid w:val="00972D36"/>
    <w:rsid w:val="00980406"/>
    <w:rsid w:val="00984CB2"/>
    <w:rsid w:val="009A2C8F"/>
    <w:rsid w:val="009A4CD2"/>
    <w:rsid w:val="009A7B65"/>
    <w:rsid w:val="009C1152"/>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42C10"/>
    <w:rsid w:val="00A568DF"/>
    <w:rsid w:val="00A73164"/>
    <w:rsid w:val="00A73A79"/>
    <w:rsid w:val="00A75A6A"/>
    <w:rsid w:val="00A854E8"/>
    <w:rsid w:val="00A91596"/>
    <w:rsid w:val="00A93C52"/>
    <w:rsid w:val="00AA7368"/>
    <w:rsid w:val="00AA7A90"/>
    <w:rsid w:val="00AB4FF9"/>
    <w:rsid w:val="00AE45FB"/>
    <w:rsid w:val="00AE7B21"/>
    <w:rsid w:val="00AF1980"/>
    <w:rsid w:val="00AF2021"/>
    <w:rsid w:val="00B315BF"/>
    <w:rsid w:val="00B471BD"/>
    <w:rsid w:val="00B50C2D"/>
    <w:rsid w:val="00B53617"/>
    <w:rsid w:val="00B5735E"/>
    <w:rsid w:val="00B64904"/>
    <w:rsid w:val="00B6598D"/>
    <w:rsid w:val="00BA60CE"/>
    <w:rsid w:val="00BC5607"/>
    <w:rsid w:val="00BE0D1D"/>
    <w:rsid w:val="00BE2448"/>
    <w:rsid w:val="00BE24D4"/>
    <w:rsid w:val="00BF2BE7"/>
    <w:rsid w:val="00BF42FC"/>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E5B83"/>
    <w:rsid w:val="00CF4472"/>
    <w:rsid w:val="00CF6EDD"/>
    <w:rsid w:val="00D05922"/>
    <w:rsid w:val="00D24EF1"/>
    <w:rsid w:val="00D42AE1"/>
    <w:rsid w:val="00D605A4"/>
    <w:rsid w:val="00D61B13"/>
    <w:rsid w:val="00D7746A"/>
    <w:rsid w:val="00D838FE"/>
    <w:rsid w:val="00D8406F"/>
    <w:rsid w:val="00D859C7"/>
    <w:rsid w:val="00D9021F"/>
    <w:rsid w:val="00D953A6"/>
    <w:rsid w:val="00DA1080"/>
    <w:rsid w:val="00DA12C2"/>
    <w:rsid w:val="00DA3952"/>
    <w:rsid w:val="00DB30A6"/>
    <w:rsid w:val="00DD3043"/>
    <w:rsid w:val="00DD6A9E"/>
    <w:rsid w:val="00DF38F9"/>
    <w:rsid w:val="00DF4423"/>
    <w:rsid w:val="00E23367"/>
    <w:rsid w:val="00E30B00"/>
    <w:rsid w:val="00E31B92"/>
    <w:rsid w:val="00E37C0E"/>
    <w:rsid w:val="00E475D4"/>
    <w:rsid w:val="00E56FB6"/>
    <w:rsid w:val="00E74D1C"/>
    <w:rsid w:val="00E8776E"/>
    <w:rsid w:val="00E90844"/>
    <w:rsid w:val="00E9237A"/>
    <w:rsid w:val="00E93AEE"/>
    <w:rsid w:val="00EA0B88"/>
    <w:rsid w:val="00EA5B75"/>
    <w:rsid w:val="00EB2285"/>
    <w:rsid w:val="00EC4294"/>
    <w:rsid w:val="00EC681E"/>
    <w:rsid w:val="00ED02D3"/>
    <w:rsid w:val="00ED5E31"/>
    <w:rsid w:val="00ED78FC"/>
    <w:rsid w:val="00EE64C1"/>
    <w:rsid w:val="00EF0138"/>
    <w:rsid w:val="00F05AA0"/>
    <w:rsid w:val="00F061CB"/>
    <w:rsid w:val="00F1540B"/>
    <w:rsid w:val="00F24050"/>
    <w:rsid w:val="00F248AA"/>
    <w:rsid w:val="00F31539"/>
    <w:rsid w:val="00F444EC"/>
    <w:rsid w:val="00F45FE3"/>
    <w:rsid w:val="00F46143"/>
    <w:rsid w:val="00F54D03"/>
    <w:rsid w:val="00F6347A"/>
    <w:rsid w:val="00F7503A"/>
    <w:rsid w:val="00F81FEF"/>
    <w:rsid w:val="00F901E4"/>
    <w:rsid w:val="00F978B9"/>
    <w:rsid w:val="00FA61AF"/>
    <w:rsid w:val="00FC31E2"/>
    <w:rsid w:val="00FD28D5"/>
    <w:rsid w:val="00FD3A06"/>
    <w:rsid w:val="00FD4E36"/>
    <w:rsid w:val="00FD7D14"/>
    <w:rsid w:val="00FE4814"/>
    <w:rsid w:val="00FE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2F32A1"/>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1A0D-E230-4ECC-B415-374AD8BF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siri.quade@cms.int</dc:creator>
  <cp:keywords/>
  <cp:lastModifiedBy>UNEP/CMS Secretariat</cp:lastModifiedBy>
  <cp:revision>4</cp:revision>
  <cp:lastPrinted>2017-07-07T11:51:00Z</cp:lastPrinted>
  <dcterms:created xsi:type="dcterms:W3CDTF">2019-11-14T09:42:00Z</dcterms:created>
  <dcterms:modified xsi:type="dcterms:W3CDTF">2019-11-15T14:59:00Z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