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D14D1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3D14D1" w:rsidRDefault="00BF42FC" w:rsidP="00BF42FC">
      <w:pPr>
        <w:rPr>
          <w:sz w:val="22"/>
          <w:szCs w:val="22"/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66F03" w:rsidRDefault="00330B00" w:rsidP="00330B00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ENERGY AND MIGRATORY SPECIES</w:t>
      </w:r>
    </w:p>
    <w:p w:rsidR="000F1354" w:rsidRDefault="003E24AC" w:rsidP="00330B0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866F03" w:rsidRPr="00866F03">
        <w:rPr>
          <w:rFonts w:cs="Arial"/>
          <w:sz w:val="22"/>
          <w:szCs w:val="22"/>
          <w:lang w:val="en-GB"/>
        </w:rPr>
        <w:t>Doc.</w:t>
      </w:r>
      <w:r w:rsidR="00866F03">
        <w:rPr>
          <w:rFonts w:cs="Arial"/>
          <w:sz w:val="22"/>
          <w:szCs w:val="22"/>
          <w:lang w:val="en-GB"/>
        </w:rPr>
        <w:t>2</w:t>
      </w:r>
      <w:r w:rsidR="00B95861">
        <w:rPr>
          <w:rFonts w:cs="Arial"/>
          <w:sz w:val="22"/>
          <w:szCs w:val="22"/>
          <w:lang w:val="en-GB"/>
        </w:rPr>
        <w:t>4.4.6</w:t>
      </w:r>
    </w:p>
    <w:p w:rsidR="00BF42FC" w:rsidRPr="00BF42FC" w:rsidRDefault="00BF42FC" w:rsidP="00330B00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6356C5" w:rsidRDefault="006356C5" w:rsidP="006356C5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D14D1" w:rsidRDefault="00816EF5" w:rsidP="003D14D1">
      <w:pPr>
        <w:pStyle w:val="ListParagraph"/>
        <w:numPr>
          <w:ilvl w:val="0"/>
          <w:numId w:val="50"/>
        </w:numPr>
        <w:tabs>
          <w:tab w:val="left" w:pos="1020"/>
        </w:tabs>
        <w:ind w:left="567" w:hanging="567"/>
        <w:jc w:val="both"/>
        <w:rPr>
          <w:rFonts w:cs="Arial"/>
          <w:sz w:val="22"/>
          <w:szCs w:val="22"/>
        </w:rPr>
      </w:pPr>
      <w:r w:rsidRPr="003D14D1">
        <w:rPr>
          <w:rFonts w:cs="Arial"/>
          <w:sz w:val="22"/>
          <w:szCs w:val="22"/>
        </w:rPr>
        <w:t xml:space="preserve">The Scientific Council </w:t>
      </w:r>
      <w:r w:rsidR="00741C06" w:rsidRPr="003D14D1">
        <w:rPr>
          <w:rFonts w:cs="Arial"/>
          <w:sz w:val="22"/>
          <w:szCs w:val="22"/>
        </w:rPr>
        <w:t>notes the relevance of the activities reported in the document for several other activities</w:t>
      </w:r>
      <w:r w:rsidR="00330B00" w:rsidRPr="003D14D1">
        <w:rPr>
          <w:rFonts w:cs="Arial"/>
          <w:sz w:val="22"/>
          <w:szCs w:val="22"/>
        </w:rPr>
        <w:t xml:space="preserve"> and initiatives</w:t>
      </w:r>
      <w:r w:rsidR="00741C06" w:rsidRPr="003D14D1">
        <w:rPr>
          <w:rFonts w:cs="Arial"/>
          <w:sz w:val="22"/>
          <w:szCs w:val="22"/>
        </w:rPr>
        <w:t xml:space="preserve"> in the CMS family, e.g. the work on climate change and the development of an atlas on animal migration, </w:t>
      </w:r>
      <w:r w:rsidR="00303C1E" w:rsidRPr="003D14D1">
        <w:rPr>
          <w:rFonts w:cs="Arial"/>
          <w:sz w:val="22"/>
          <w:szCs w:val="22"/>
        </w:rPr>
        <w:t xml:space="preserve">recommends </w:t>
      </w:r>
      <w:r w:rsidR="00741C06" w:rsidRPr="003D14D1">
        <w:rPr>
          <w:rFonts w:cs="Arial"/>
          <w:sz w:val="22"/>
          <w:szCs w:val="22"/>
        </w:rPr>
        <w:t>strengthening the linkages</w:t>
      </w:r>
      <w:r w:rsidR="00303C1E" w:rsidRPr="003D14D1">
        <w:rPr>
          <w:rFonts w:cs="Arial"/>
          <w:sz w:val="22"/>
          <w:szCs w:val="22"/>
        </w:rPr>
        <w:t xml:space="preserve"> between these </w:t>
      </w:r>
      <w:r w:rsidR="003D14D1" w:rsidRPr="003D14D1">
        <w:rPr>
          <w:rFonts w:cs="Arial"/>
          <w:sz w:val="22"/>
          <w:szCs w:val="22"/>
        </w:rPr>
        <w:t>initiatives and</w:t>
      </w:r>
      <w:r w:rsidR="00303C1E" w:rsidRPr="003D14D1">
        <w:rPr>
          <w:rFonts w:cs="Arial"/>
          <w:sz w:val="22"/>
          <w:szCs w:val="22"/>
        </w:rPr>
        <w:t xml:space="preserve"> encourages </w:t>
      </w:r>
      <w:r w:rsidR="00741C06" w:rsidRPr="003D14D1">
        <w:rPr>
          <w:rFonts w:cs="Arial"/>
          <w:sz w:val="22"/>
          <w:szCs w:val="22"/>
        </w:rPr>
        <w:t xml:space="preserve">the progressive involvement of other instruments of the CMS Family, e.g. </w:t>
      </w:r>
      <w:r w:rsidR="00BE501B" w:rsidRPr="003D14D1">
        <w:rPr>
          <w:rFonts w:cs="Arial"/>
          <w:sz w:val="22"/>
          <w:szCs w:val="22"/>
        </w:rPr>
        <w:t>EUROBATS, into</w:t>
      </w:r>
      <w:bookmarkStart w:id="0" w:name="_GoBack"/>
      <w:bookmarkEnd w:id="0"/>
      <w:r w:rsidR="00303C1E" w:rsidRPr="003D14D1">
        <w:rPr>
          <w:rFonts w:cs="Arial"/>
          <w:sz w:val="22"/>
          <w:szCs w:val="22"/>
        </w:rPr>
        <w:t xml:space="preserve"> the work of the E</w:t>
      </w:r>
      <w:r w:rsidR="00741C06" w:rsidRPr="003D14D1">
        <w:rPr>
          <w:rFonts w:cs="Arial"/>
          <w:sz w:val="22"/>
          <w:szCs w:val="22"/>
        </w:rPr>
        <w:t>nergy Task Force</w:t>
      </w:r>
      <w:r w:rsidR="00750A11" w:rsidRPr="003D14D1">
        <w:rPr>
          <w:rFonts w:cs="Arial"/>
          <w:sz w:val="22"/>
          <w:szCs w:val="22"/>
        </w:rPr>
        <w:t xml:space="preserve">. </w:t>
      </w:r>
    </w:p>
    <w:p w:rsidR="00750A11" w:rsidRDefault="00750A11" w:rsidP="00750A1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750A11" w:rsidRPr="00750A11" w:rsidRDefault="00750A11" w:rsidP="00750A1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B60A3" w:rsidRDefault="003D14D1" w:rsidP="003D14D1">
      <w:pPr>
        <w:pStyle w:val="ListParagraph"/>
        <w:tabs>
          <w:tab w:val="left" w:pos="567"/>
          <w:tab w:val="left" w:pos="1020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B60A3">
        <w:rPr>
          <w:rFonts w:cs="Arial"/>
          <w:sz w:val="22"/>
          <w:szCs w:val="22"/>
        </w:rPr>
        <w:t>Page 6, Draft Decision</w:t>
      </w:r>
    </w:p>
    <w:p w:rsidR="008B60A3" w:rsidRDefault="008B60A3" w:rsidP="003D14D1">
      <w:pPr>
        <w:pStyle w:val="ListParagraph"/>
        <w:numPr>
          <w:ilvl w:val="0"/>
          <w:numId w:val="50"/>
        </w:numPr>
        <w:tabs>
          <w:tab w:val="left" w:pos="1020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proposed to add a new draft Decision, as follows:</w:t>
      </w:r>
    </w:p>
    <w:p w:rsidR="00365DA1" w:rsidRPr="008B60A3" w:rsidRDefault="008B60A3" w:rsidP="003D14D1">
      <w:pPr>
        <w:pStyle w:val="NormalWeb"/>
        <w:ind w:firstLine="567"/>
        <w:rPr>
          <w:rFonts w:ascii="Arial" w:hAnsi="Arial" w:cs="Arial"/>
          <w:b/>
          <w:i/>
          <w:sz w:val="22"/>
          <w:szCs w:val="22"/>
          <w:lang w:val="en-GB"/>
        </w:rPr>
      </w:pPr>
      <w:r w:rsidRPr="008B60A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D</w:t>
      </w:r>
      <w:r w:rsidR="00365DA1" w:rsidRPr="008B60A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irected to </w:t>
      </w:r>
      <w:r w:rsidR="0059172F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the </w:t>
      </w:r>
      <w:r w:rsidR="00365DA1" w:rsidRPr="008B60A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Energy Task Force</w:t>
      </w:r>
      <w:r w:rsidR="0059172F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and the Scientific Council</w:t>
      </w:r>
    </w:p>
    <w:p w:rsidR="00365DA1" w:rsidRPr="008B60A3" w:rsidRDefault="00365DA1" w:rsidP="003D14D1">
      <w:pPr>
        <w:pStyle w:val="NormalWeb"/>
        <w:ind w:left="567"/>
        <w:rPr>
          <w:rFonts w:ascii="Arial" w:hAnsi="Arial" w:cs="Arial"/>
          <w:sz w:val="22"/>
          <w:szCs w:val="22"/>
          <w:lang w:val="en-GB"/>
        </w:rPr>
      </w:pPr>
      <w:r w:rsidRPr="008B60A3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59172F" w:rsidRDefault="0059172F" w:rsidP="003D14D1">
      <w:pPr>
        <w:ind w:left="567"/>
        <w:jc w:val="both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12.BB  The Energy Task Force, </w:t>
      </w:r>
      <w:r w:rsidR="00365DA1" w:rsidRPr="008B60A3">
        <w:rPr>
          <w:rFonts w:cs="Arial"/>
          <w:color w:val="000000"/>
          <w:sz w:val="22"/>
          <w:szCs w:val="22"/>
          <w:lang w:val="en-GB"/>
        </w:rPr>
        <w:t xml:space="preserve">with input from the Scientific Council as appropriate, </w:t>
      </w:r>
      <w:r>
        <w:rPr>
          <w:rFonts w:cs="Arial"/>
          <w:color w:val="000000"/>
          <w:sz w:val="22"/>
          <w:szCs w:val="22"/>
          <w:lang w:val="en-GB"/>
        </w:rPr>
        <w:t xml:space="preserve">is encouraged to </w:t>
      </w:r>
    </w:p>
    <w:p w:rsidR="0059172F" w:rsidRDefault="0059172F" w:rsidP="00303C1E">
      <w:pPr>
        <w:ind w:left="720"/>
        <w:jc w:val="both"/>
        <w:rPr>
          <w:rFonts w:cs="Arial"/>
          <w:color w:val="000000"/>
          <w:sz w:val="22"/>
          <w:szCs w:val="22"/>
          <w:lang w:val="en-GB"/>
        </w:rPr>
      </w:pPr>
    </w:p>
    <w:p w:rsidR="0059172F" w:rsidRPr="0059172F" w:rsidRDefault="0059172F" w:rsidP="00303C1E">
      <w:pPr>
        <w:pStyle w:val="ListParagraph"/>
        <w:numPr>
          <w:ilvl w:val="0"/>
          <w:numId w:val="48"/>
        </w:numPr>
        <w:ind w:left="1440"/>
        <w:jc w:val="both"/>
        <w:rPr>
          <w:rFonts w:cs="Arial"/>
          <w:sz w:val="22"/>
          <w:szCs w:val="22"/>
          <w:lang w:val="en-GB"/>
        </w:rPr>
      </w:pPr>
      <w:r w:rsidRPr="0059172F">
        <w:rPr>
          <w:rFonts w:cs="Arial"/>
          <w:color w:val="000000"/>
          <w:sz w:val="22"/>
          <w:szCs w:val="22"/>
          <w:lang w:val="en-GB"/>
        </w:rPr>
        <w:t>investigate best practices in methods for cumulative assessment</w:t>
      </w:r>
      <w:r>
        <w:rPr>
          <w:rFonts w:cs="Arial"/>
          <w:color w:val="000000"/>
          <w:sz w:val="22"/>
          <w:szCs w:val="22"/>
          <w:lang w:val="en-GB"/>
        </w:rPr>
        <w:t>;</w:t>
      </w:r>
    </w:p>
    <w:p w:rsidR="0059172F" w:rsidRPr="0059172F" w:rsidRDefault="0059172F" w:rsidP="00303C1E">
      <w:pPr>
        <w:pStyle w:val="ListParagraph"/>
        <w:ind w:left="1440"/>
        <w:jc w:val="both"/>
        <w:rPr>
          <w:rFonts w:cs="Arial"/>
          <w:sz w:val="22"/>
          <w:szCs w:val="22"/>
          <w:lang w:val="en-GB"/>
        </w:rPr>
      </w:pPr>
    </w:p>
    <w:p w:rsidR="0059172F" w:rsidRPr="0059172F" w:rsidRDefault="0059172F" w:rsidP="00303C1E">
      <w:pPr>
        <w:pStyle w:val="ListParagraph"/>
        <w:numPr>
          <w:ilvl w:val="0"/>
          <w:numId w:val="48"/>
        </w:numPr>
        <w:ind w:left="144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p</w:t>
      </w:r>
      <w:r w:rsidRPr="0059172F">
        <w:rPr>
          <w:rFonts w:cs="Arial"/>
          <w:color w:val="000000"/>
          <w:sz w:val="22"/>
          <w:szCs w:val="22"/>
          <w:lang w:val="en-GB"/>
        </w:rPr>
        <w:t>roduce guidance based on that for assessing cumulative impacts of (renewable) energy and power line developments on migratory species, in</w:t>
      </w:r>
      <w:r>
        <w:rPr>
          <w:rFonts w:cs="Arial"/>
          <w:color w:val="000000"/>
          <w:sz w:val="22"/>
          <w:szCs w:val="22"/>
          <w:lang w:val="en-GB"/>
        </w:rPr>
        <w:t>cluding beyond national borders;</w:t>
      </w:r>
    </w:p>
    <w:p w:rsidR="0059172F" w:rsidRPr="0059172F" w:rsidRDefault="0059172F" w:rsidP="00303C1E">
      <w:pPr>
        <w:pStyle w:val="ListParagraph"/>
        <w:ind w:left="1440"/>
        <w:jc w:val="both"/>
        <w:rPr>
          <w:rFonts w:cs="Arial"/>
          <w:color w:val="000000"/>
          <w:sz w:val="22"/>
          <w:szCs w:val="22"/>
          <w:lang w:val="en-GB"/>
        </w:rPr>
      </w:pPr>
    </w:p>
    <w:p w:rsidR="00A215B9" w:rsidRPr="00A215B9" w:rsidRDefault="0059172F" w:rsidP="00303C1E">
      <w:pPr>
        <w:pStyle w:val="ListParagraph"/>
        <w:numPr>
          <w:ilvl w:val="0"/>
          <w:numId w:val="48"/>
        </w:numPr>
        <w:ind w:left="144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make</w:t>
      </w:r>
      <w:r w:rsidRPr="0059172F">
        <w:rPr>
          <w:rFonts w:cs="Arial"/>
          <w:color w:val="000000"/>
          <w:sz w:val="22"/>
          <w:szCs w:val="22"/>
          <w:lang w:val="en-GB"/>
        </w:rPr>
        <w:t xml:space="preserve"> suggestions on improving collectiv</w:t>
      </w:r>
      <w:r>
        <w:rPr>
          <w:rFonts w:cs="Arial"/>
          <w:color w:val="000000"/>
          <w:sz w:val="22"/>
          <w:szCs w:val="22"/>
          <w:lang w:val="en-GB"/>
        </w:rPr>
        <w:t>e understanding of such impacts;</w:t>
      </w:r>
    </w:p>
    <w:p w:rsidR="00A215B9" w:rsidRPr="00A215B9" w:rsidRDefault="00A215B9" w:rsidP="00303C1E">
      <w:pPr>
        <w:pStyle w:val="ListParagraph"/>
        <w:ind w:left="1440"/>
        <w:jc w:val="both"/>
        <w:rPr>
          <w:rFonts w:cs="Arial"/>
          <w:color w:val="000000"/>
          <w:sz w:val="22"/>
          <w:szCs w:val="22"/>
          <w:lang w:val="en-GB"/>
        </w:rPr>
      </w:pPr>
    </w:p>
    <w:p w:rsidR="0059172F" w:rsidRPr="0059172F" w:rsidRDefault="00A215B9" w:rsidP="00303C1E">
      <w:pPr>
        <w:pStyle w:val="ListParagraph"/>
        <w:numPr>
          <w:ilvl w:val="0"/>
          <w:numId w:val="48"/>
        </w:numPr>
        <w:ind w:left="144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undertake these activities in collaboration with the specialized organizations referred to in Resolution 7.2, building on the principles expressed in that Resolution;</w:t>
      </w:r>
      <w:r w:rsidR="0059172F" w:rsidRPr="0059172F">
        <w:rPr>
          <w:rFonts w:cs="Arial"/>
          <w:color w:val="000000"/>
          <w:sz w:val="22"/>
          <w:szCs w:val="22"/>
          <w:lang w:val="en-GB"/>
        </w:rPr>
        <w:t xml:space="preserve"> </w:t>
      </w:r>
    </w:p>
    <w:p w:rsidR="0059172F" w:rsidRPr="0059172F" w:rsidRDefault="0059172F" w:rsidP="00303C1E">
      <w:pPr>
        <w:pStyle w:val="ListParagraph"/>
        <w:ind w:left="1440"/>
        <w:jc w:val="both"/>
        <w:rPr>
          <w:rFonts w:cs="Arial"/>
          <w:color w:val="000000"/>
          <w:sz w:val="22"/>
          <w:szCs w:val="22"/>
          <w:lang w:val="en-GB"/>
        </w:rPr>
      </w:pPr>
    </w:p>
    <w:p w:rsidR="0059172F" w:rsidRPr="0059172F" w:rsidRDefault="0059172F" w:rsidP="00303C1E">
      <w:pPr>
        <w:pStyle w:val="ListParagraph"/>
        <w:numPr>
          <w:ilvl w:val="0"/>
          <w:numId w:val="48"/>
        </w:numPr>
        <w:ind w:left="1440"/>
        <w:jc w:val="both"/>
        <w:rPr>
          <w:rFonts w:cs="Arial"/>
          <w:sz w:val="22"/>
          <w:szCs w:val="22"/>
          <w:lang w:val="en-GB"/>
        </w:rPr>
      </w:pPr>
      <w:r w:rsidRPr="0059172F">
        <w:rPr>
          <w:rFonts w:cs="Arial"/>
          <w:color w:val="000000"/>
          <w:sz w:val="22"/>
          <w:szCs w:val="22"/>
          <w:lang w:val="en-GB"/>
        </w:rPr>
        <w:t>report to COP13</w:t>
      </w:r>
      <w:r>
        <w:rPr>
          <w:rFonts w:cs="Arial"/>
          <w:color w:val="000000"/>
          <w:sz w:val="22"/>
          <w:szCs w:val="22"/>
          <w:lang w:val="en-GB"/>
        </w:rPr>
        <w:t xml:space="preserve"> on </w:t>
      </w:r>
      <w:r w:rsidR="00A215B9">
        <w:rPr>
          <w:rFonts w:cs="Arial"/>
          <w:color w:val="000000"/>
          <w:sz w:val="22"/>
          <w:szCs w:val="22"/>
          <w:lang w:val="en-GB"/>
        </w:rPr>
        <w:t>the above activities</w:t>
      </w:r>
      <w:r w:rsidRPr="0059172F">
        <w:rPr>
          <w:rFonts w:cs="Arial"/>
          <w:color w:val="000000"/>
          <w:sz w:val="22"/>
          <w:szCs w:val="22"/>
          <w:lang w:val="en-GB"/>
        </w:rPr>
        <w:t xml:space="preserve">. </w:t>
      </w:r>
    </w:p>
    <w:p w:rsidR="00A215B9" w:rsidRDefault="00A215B9" w:rsidP="00741C06">
      <w:pPr>
        <w:jc w:val="both"/>
        <w:rPr>
          <w:rFonts w:cs="Arial"/>
          <w:color w:val="000000"/>
          <w:sz w:val="22"/>
          <w:szCs w:val="22"/>
          <w:lang w:val="en-GB"/>
        </w:rPr>
      </w:pPr>
    </w:p>
    <w:p w:rsidR="00365DA1" w:rsidRPr="003D14D1" w:rsidRDefault="00A215B9" w:rsidP="003D14D1">
      <w:pPr>
        <w:pStyle w:val="ListParagraph"/>
        <w:numPr>
          <w:ilvl w:val="0"/>
          <w:numId w:val="50"/>
        </w:numPr>
        <w:ind w:left="567" w:hanging="567"/>
        <w:jc w:val="both"/>
        <w:rPr>
          <w:rFonts w:cs="Arial"/>
          <w:sz w:val="22"/>
          <w:szCs w:val="22"/>
          <w:lang w:val="en-GB"/>
        </w:rPr>
      </w:pPr>
      <w:r w:rsidRPr="003D14D1">
        <w:rPr>
          <w:rFonts w:cs="Arial"/>
          <w:color w:val="000000"/>
          <w:sz w:val="22"/>
          <w:szCs w:val="22"/>
          <w:lang w:val="en-GB"/>
        </w:rPr>
        <w:t xml:space="preserve">The activities included in the proposed decision are </w:t>
      </w:r>
      <w:r w:rsidR="00365DA1" w:rsidRPr="003D14D1">
        <w:rPr>
          <w:rFonts w:cs="Arial"/>
          <w:color w:val="000000"/>
          <w:sz w:val="22"/>
          <w:szCs w:val="22"/>
          <w:lang w:val="en-GB"/>
        </w:rPr>
        <w:t>in line with the agreed activity in the Energy Task Force Programme of Work</w:t>
      </w:r>
      <w:r w:rsidR="00365DA1" w:rsidRPr="003D14D1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 for its </w:t>
      </w:r>
      <w:r w:rsidR="00365DA1" w:rsidRPr="003D14D1">
        <w:rPr>
          <w:rFonts w:cs="Arial"/>
          <w:color w:val="000000"/>
          <w:sz w:val="22"/>
          <w:szCs w:val="22"/>
          <w:lang w:val="en-GB"/>
        </w:rPr>
        <w:t>technical working group to “analyse existing guidelines to identify gaps and needs for more technical detail; develop complementary technical notes (e.g. sensitivity mapping, thresholds, data collection and monitoring, mitig</w:t>
      </w:r>
      <w:r w:rsidRPr="003D14D1">
        <w:rPr>
          <w:rFonts w:cs="Arial"/>
          <w:color w:val="000000"/>
          <w:sz w:val="22"/>
          <w:szCs w:val="22"/>
          <w:lang w:val="en-GB"/>
        </w:rPr>
        <w:t xml:space="preserve">ation </w:t>
      </w:r>
      <w:r w:rsidR="003D4D65" w:rsidRPr="003D14D1">
        <w:rPr>
          <w:rFonts w:cs="Arial"/>
          <w:color w:val="000000"/>
          <w:sz w:val="22"/>
          <w:szCs w:val="22"/>
          <w:lang w:val="en-GB"/>
        </w:rPr>
        <w:t>hierarchy</w:t>
      </w:r>
      <w:r w:rsidRPr="003D14D1">
        <w:rPr>
          <w:rFonts w:cs="Arial"/>
          <w:color w:val="000000"/>
          <w:sz w:val="22"/>
          <w:szCs w:val="22"/>
          <w:lang w:val="en-GB"/>
        </w:rPr>
        <w:t xml:space="preserve"> and powerlines)”.</w:t>
      </w:r>
    </w:p>
    <w:p w:rsidR="00365DA1" w:rsidRPr="008B60A3" w:rsidRDefault="00365DA1" w:rsidP="00BF2CBC">
      <w:pPr>
        <w:pStyle w:val="ListParagraph"/>
        <w:tabs>
          <w:tab w:val="left" w:pos="1020"/>
        </w:tabs>
        <w:ind w:left="0"/>
        <w:rPr>
          <w:rFonts w:cs="Arial"/>
          <w:sz w:val="22"/>
          <w:szCs w:val="22"/>
          <w:lang w:val="en-GB"/>
        </w:rPr>
      </w:pPr>
    </w:p>
    <w:p w:rsidR="00365DA1" w:rsidRDefault="00365DA1" w:rsidP="00BF2CBC">
      <w:pPr>
        <w:pStyle w:val="ListParagraph"/>
        <w:tabs>
          <w:tab w:val="left" w:pos="1020"/>
        </w:tabs>
        <w:ind w:left="0"/>
        <w:rPr>
          <w:rFonts w:cs="Arial"/>
          <w:sz w:val="22"/>
          <w:szCs w:val="22"/>
        </w:rPr>
      </w:pPr>
    </w:p>
    <w:p w:rsidR="00DF4423" w:rsidRDefault="00DF4423" w:rsidP="00EF6B32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682AE7" w:rsidRDefault="000F1354" w:rsidP="00EF6B32">
      <w:pPr>
        <w:jc w:val="both"/>
        <w:rPr>
          <w:rFonts w:cs="Arial"/>
          <w:sz w:val="22"/>
          <w:szCs w:val="22"/>
        </w:rPr>
      </w:pPr>
    </w:p>
    <w:p w:rsidR="00682AE7" w:rsidRPr="00303C1E" w:rsidRDefault="00A573E0" w:rsidP="003D14D1">
      <w:pPr>
        <w:pStyle w:val="ListParagraph"/>
        <w:numPr>
          <w:ilvl w:val="0"/>
          <w:numId w:val="49"/>
        </w:num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 the draft Decision above</w:t>
      </w:r>
      <w:r w:rsidR="003D14D1">
        <w:rPr>
          <w:rFonts w:cs="Arial"/>
          <w:sz w:val="22"/>
          <w:szCs w:val="22"/>
        </w:rPr>
        <w:t>.</w:t>
      </w:r>
    </w:p>
    <w:sectPr w:rsidR="00682AE7" w:rsidRPr="00303C1E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18" w:rsidRDefault="00805718">
      <w:r>
        <w:separator/>
      </w:r>
    </w:p>
  </w:endnote>
  <w:endnote w:type="continuationSeparator" w:id="0">
    <w:p w:rsidR="00805718" w:rsidRDefault="0080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18" w:rsidRDefault="00805718">
      <w:r>
        <w:separator/>
      </w:r>
    </w:p>
  </w:footnote>
  <w:footnote w:type="continuationSeparator" w:id="0">
    <w:p w:rsidR="00805718" w:rsidRDefault="0080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3D14D1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B1145F">
      <w:rPr>
        <w:rFonts w:cs="Arial"/>
        <w:i/>
        <w:szCs w:val="18"/>
      </w:rPr>
      <w:t>2</w:t>
    </w:r>
    <w:r w:rsidR="003D14D1">
      <w:rPr>
        <w:rFonts w:cs="Arial"/>
        <w:i/>
        <w:szCs w:val="18"/>
      </w:rPr>
      <w:t>4.4.6</w:t>
    </w:r>
    <w:r w:rsidR="00B1145F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3D14D1">
      <w:rPr>
        <w:rFonts w:cs="Arial"/>
        <w:i/>
        <w:szCs w:val="18"/>
      </w:rPr>
      <w:t>/C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9E0151F"/>
    <w:multiLevelType w:val="hybridMultilevel"/>
    <w:tmpl w:val="092E71B8"/>
    <w:lvl w:ilvl="0" w:tplc="FB6E6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E73FAA"/>
    <w:multiLevelType w:val="hybridMultilevel"/>
    <w:tmpl w:val="AF025B6E"/>
    <w:lvl w:ilvl="0" w:tplc="9F6C7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EC011F"/>
    <w:multiLevelType w:val="hybridMultilevel"/>
    <w:tmpl w:val="6C8E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CD7314"/>
    <w:multiLevelType w:val="hybridMultilevel"/>
    <w:tmpl w:val="6C6A755C"/>
    <w:lvl w:ilvl="0" w:tplc="827C71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37DD4"/>
    <w:multiLevelType w:val="hybridMultilevel"/>
    <w:tmpl w:val="6FFC8434"/>
    <w:lvl w:ilvl="0" w:tplc="4E72E810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 w15:restartNumberingAfterBreak="0">
    <w:nsid w:val="4FEB43AC"/>
    <w:multiLevelType w:val="hybridMultilevel"/>
    <w:tmpl w:val="33BAE64E"/>
    <w:lvl w:ilvl="0" w:tplc="424E2B0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3"/>
  </w:num>
  <w:num w:numId="4">
    <w:abstractNumId w:val="25"/>
  </w:num>
  <w:num w:numId="5">
    <w:abstractNumId w:val="14"/>
  </w:num>
  <w:num w:numId="6">
    <w:abstractNumId w:val="38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7"/>
  </w:num>
  <w:num w:numId="9">
    <w:abstractNumId w:val="8"/>
  </w:num>
  <w:num w:numId="10">
    <w:abstractNumId w:val="24"/>
  </w:num>
  <w:num w:numId="11">
    <w:abstractNumId w:val="42"/>
  </w:num>
  <w:num w:numId="12">
    <w:abstractNumId w:val="4"/>
  </w:num>
  <w:num w:numId="13">
    <w:abstractNumId w:val="21"/>
  </w:num>
  <w:num w:numId="14">
    <w:abstractNumId w:val="40"/>
  </w:num>
  <w:num w:numId="15">
    <w:abstractNumId w:val="2"/>
  </w:num>
  <w:num w:numId="16">
    <w:abstractNumId w:val="12"/>
  </w:num>
  <w:num w:numId="17">
    <w:abstractNumId w:val="43"/>
  </w:num>
  <w:num w:numId="18">
    <w:abstractNumId w:val="23"/>
  </w:num>
  <w:num w:numId="19">
    <w:abstractNumId w:val="41"/>
  </w:num>
  <w:num w:numId="20">
    <w:abstractNumId w:val="47"/>
  </w:num>
  <w:num w:numId="21">
    <w:abstractNumId w:val="5"/>
  </w:num>
  <w:num w:numId="22">
    <w:abstractNumId w:val="19"/>
  </w:num>
  <w:num w:numId="23">
    <w:abstractNumId w:val="28"/>
  </w:num>
  <w:num w:numId="24">
    <w:abstractNumId w:val="18"/>
  </w:num>
  <w:num w:numId="25">
    <w:abstractNumId w:val="34"/>
  </w:num>
  <w:num w:numId="26">
    <w:abstractNumId w:val="0"/>
  </w:num>
  <w:num w:numId="27">
    <w:abstractNumId w:val="44"/>
  </w:num>
  <w:num w:numId="28">
    <w:abstractNumId w:val="7"/>
  </w:num>
  <w:num w:numId="29">
    <w:abstractNumId w:val="22"/>
  </w:num>
  <w:num w:numId="30">
    <w:abstractNumId w:val="15"/>
  </w:num>
  <w:num w:numId="31">
    <w:abstractNumId w:val="32"/>
  </w:num>
  <w:num w:numId="32">
    <w:abstractNumId w:val="31"/>
  </w:num>
  <w:num w:numId="33">
    <w:abstractNumId w:val="6"/>
  </w:num>
  <w:num w:numId="34">
    <w:abstractNumId w:val="20"/>
  </w:num>
  <w:num w:numId="35">
    <w:abstractNumId w:val="17"/>
  </w:num>
  <w:num w:numId="36">
    <w:abstractNumId w:val="35"/>
  </w:num>
  <w:num w:numId="37">
    <w:abstractNumId w:val="39"/>
  </w:num>
  <w:num w:numId="38">
    <w:abstractNumId w:val="11"/>
  </w:num>
  <w:num w:numId="39">
    <w:abstractNumId w:val="33"/>
  </w:num>
  <w:num w:numId="40">
    <w:abstractNumId w:val="45"/>
  </w:num>
  <w:num w:numId="41">
    <w:abstractNumId w:val="26"/>
  </w:num>
  <w:num w:numId="42">
    <w:abstractNumId w:val="9"/>
  </w:num>
  <w:num w:numId="43">
    <w:abstractNumId w:val="16"/>
  </w:num>
  <w:num w:numId="44">
    <w:abstractNumId w:val="27"/>
  </w:num>
  <w:num w:numId="45">
    <w:abstractNumId w:val="30"/>
  </w:num>
  <w:num w:numId="46">
    <w:abstractNumId w:val="36"/>
  </w:num>
  <w:num w:numId="47">
    <w:abstractNumId w:val="36"/>
  </w:num>
  <w:num w:numId="48">
    <w:abstractNumId w:val="29"/>
  </w:num>
  <w:num w:numId="49">
    <w:abstractNumId w:val="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1C70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298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334A"/>
    <w:rsid w:val="00234857"/>
    <w:rsid w:val="00254721"/>
    <w:rsid w:val="00260772"/>
    <w:rsid w:val="00263159"/>
    <w:rsid w:val="002779F7"/>
    <w:rsid w:val="00287F6F"/>
    <w:rsid w:val="0029193E"/>
    <w:rsid w:val="002C187A"/>
    <w:rsid w:val="002C20F1"/>
    <w:rsid w:val="002D2863"/>
    <w:rsid w:val="002D5EC0"/>
    <w:rsid w:val="002E3DEA"/>
    <w:rsid w:val="002E7CC2"/>
    <w:rsid w:val="002F6F9B"/>
    <w:rsid w:val="00303C1E"/>
    <w:rsid w:val="00305783"/>
    <w:rsid w:val="00330B00"/>
    <w:rsid w:val="003331C6"/>
    <w:rsid w:val="00345044"/>
    <w:rsid w:val="00351095"/>
    <w:rsid w:val="00352311"/>
    <w:rsid w:val="00354A9C"/>
    <w:rsid w:val="00364973"/>
    <w:rsid w:val="00365DA1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D1"/>
    <w:rsid w:val="003D4D6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4270"/>
    <w:rsid w:val="004656D0"/>
    <w:rsid w:val="004671C1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172F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AE7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41C06"/>
    <w:rsid w:val="00750A11"/>
    <w:rsid w:val="00757614"/>
    <w:rsid w:val="007728B4"/>
    <w:rsid w:val="0077622E"/>
    <w:rsid w:val="00777913"/>
    <w:rsid w:val="00777FE4"/>
    <w:rsid w:val="0079075D"/>
    <w:rsid w:val="00797E48"/>
    <w:rsid w:val="007B1A8F"/>
    <w:rsid w:val="007C1468"/>
    <w:rsid w:val="007C41D7"/>
    <w:rsid w:val="007F16FB"/>
    <w:rsid w:val="007F1BBA"/>
    <w:rsid w:val="00805718"/>
    <w:rsid w:val="0081600F"/>
    <w:rsid w:val="00816EF5"/>
    <w:rsid w:val="0082722D"/>
    <w:rsid w:val="008274F7"/>
    <w:rsid w:val="00831548"/>
    <w:rsid w:val="008441F9"/>
    <w:rsid w:val="00846A99"/>
    <w:rsid w:val="008641D1"/>
    <w:rsid w:val="008648EB"/>
    <w:rsid w:val="00866F03"/>
    <w:rsid w:val="00872F67"/>
    <w:rsid w:val="00893346"/>
    <w:rsid w:val="008A0D8D"/>
    <w:rsid w:val="008B1A69"/>
    <w:rsid w:val="008B60A3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95BD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15B9"/>
    <w:rsid w:val="00A27BE3"/>
    <w:rsid w:val="00A339B9"/>
    <w:rsid w:val="00A40EDF"/>
    <w:rsid w:val="00A568DF"/>
    <w:rsid w:val="00A573E0"/>
    <w:rsid w:val="00A73A79"/>
    <w:rsid w:val="00A854E8"/>
    <w:rsid w:val="00A91596"/>
    <w:rsid w:val="00A93C52"/>
    <w:rsid w:val="00AA7368"/>
    <w:rsid w:val="00AA7A90"/>
    <w:rsid w:val="00AB4FF9"/>
    <w:rsid w:val="00AE0453"/>
    <w:rsid w:val="00AE45FB"/>
    <w:rsid w:val="00AE7B21"/>
    <w:rsid w:val="00AF1980"/>
    <w:rsid w:val="00AF2021"/>
    <w:rsid w:val="00B0238A"/>
    <w:rsid w:val="00B1145F"/>
    <w:rsid w:val="00B16E28"/>
    <w:rsid w:val="00B25908"/>
    <w:rsid w:val="00B471BD"/>
    <w:rsid w:val="00B50C2D"/>
    <w:rsid w:val="00B64904"/>
    <w:rsid w:val="00B87BD7"/>
    <w:rsid w:val="00B95861"/>
    <w:rsid w:val="00BA60CE"/>
    <w:rsid w:val="00BC5607"/>
    <w:rsid w:val="00BE0D1D"/>
    <w:rsid w:val="00BE2448"/>
    <w:rsid w:val="00BE24D4"/>
    <w:rsid w:val="00BE501B"/>
    <w:rsid w:val="00BF2BE7"/>
    <w:rsid w:val="00BF2CBC"/>
    <w:rsid w:val="00BF42FC"/>
    <w:rsid w:val="00C05102"/>
    <w:rsid w:val="00C13FA6"/>
    <w:rsid w:val="00C169ED"/>
    <w:rsid w:val="00C5484D"/>
    <w:rsid w:val="00C618F2"/>
    <w:rsid w:val="00C66AC1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5210E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15C6F"/>
    <w:rsid w:val="00E23367"/>
    <w:rsid w:val="00E30B00"/>
    <w:rsid w:val="00E31B92"/>
    <w:rsid w:val="00E4611F"/>
    <w:rsid w:val="00E475D4"/>
    <w:rsid w:val="00E47768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1BAF"/>
    <w:rsid w:val="00EF6B32"/>
    <w:rsid w:val="00F01DF7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E5D34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65DA1"/>
    <w:pPr>
      <w:widowControl/>
      <w:autoSpaceDE/>
      <w:autoSpaceDN/>
      <w:adjustRightInd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280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2017-07-13T06:18:00Z</cp:lastPrinted>
  <dcterms:created xsi:type="dcterms:W3CDTF">2017-07-13T06:18:00Z</dcterms:created>
  <dcterms:modified xsi:type="dcterms:W3CDTF">2017-07-13T06:20:00Z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