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Pr="0079091A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18"/>
          <w:szCs w:val="18"/>
          <w:lang w:val="en-GB"/>
        </w:rPr>
      </w:pPr>
    </w:p>
    <w:p w:rsidR="00DF38F9" w:rsidRDefault="00C1728B" w:rsidP="00DF38F9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PROMOTING CONSERVATION OF CRITICAL INTERTIDAL AND OTHER COASTAL HABITATS FOR MIGRATORY SPECIES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UNEP/CMS/COP12/</w:t>
      </w:r>
      <w:r w:rsidR="00C1728B">
        <w:rPr>
          <w:rFonts w:cs="Arial"/>
          <w:sz w:val="22"/>
          <w:szCs w:val="22"/>
          <w:lang w:val="en-GB"/>
        </w:rPr>
        <w:t>Doc.24.4.10</w:t>
      </w:r>
    </w:p>
    <w:p w:rsidR="006356C5" w:rsidRPr="0079091A" w:rsidRDefault="006356C5" w:rsidP="00DF4423">
      <w:pPr>
        <w:tabs>
          <w:tab w:val="left" w:pos="1020"/>
        </w:tabs>
        <w:rPr>
          <w:rFonts w:cs="Arial"/>
          <w:b/>
          <w:szCs w:val="18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Pr="0079091A" w:rsidRDefault="00AE45FB" w:rsidP="00DF4423">
      <w:pPr>
        <w:tabs>
          <w:tab w:val="left" w:pos="1020"/>
        </w:tabs>
        <w:rPr>
          <w:rFonts w:cs="Arial"/>
          <w:b/>
          <w:szCs w:val="18"/>
        </w:rPr>
      </w:pPr>
    </w:p>
    <w:p w:rsidR="006356C5" w:rsidRDefault="00C1728B" w:rsidP="0079091A">
      <w:pPr>
        <w:pStyle w:val="ListParagraph"/>
        <w:numPr>
          <w:ilvl w:val="0"/>
          <w:numId w:val="43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Jean Philippe Siblet raises the question if Baer’s Pochard and Ferruginous Duck should be mentioned in Annex 1 as being significantly dependent on intertidal habitats</w:t>
      </w:r>
      <w:r w:rsidR="008F20D3">
        <w:rPr>
          <w:rFonts w:cs="Arial"/>
          <w:sz w:val="22"/>
          <w:szCs w:val="22"/>
        </w:rPr>
        <w:t xml:space="preserve"> </w:t>
      </w:r>
    </w:p>
    <w:p w:rsidR="006356C5" w:rsidRDefault="00C1728B" w:rsidP="0079091A">
      <w:pPr>
        <w:pStyle w:val="ListParagraph"/>
        <w:numPr>
          <w:ilvl w:val="0"/>
          <w:numId w:val="43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BirdLife</w:t>
      </w:r>
      <w:proofErr w:type="spellEnd"/>
      <w:r>
        <w:rPr>
          <w:rFonts w:cs="Arial"/>
          <w:sz w:val="22"/>
          <w:szCs w:val="22"/>
        </w:rPr>
        <w:t xml:space="preserve"> International suggests that in </w:t>
      </w:r>
      <w:r w:rsidRPr="00C1728B">
        <w:rPr>
          <w:rFonts w:cs="Arial"/>
          <w:sz w:val="22"/>
          <w:szCs w:val="22"/>
        </w:rPr>
        <w:t xml:space="preserve">paragraph 6 the </w:t>
      </w:r>
      <w:r>
        <w:rPr>
          <w:rFonts w:cs="Arial"/>
          <w:sz w:val="22"/>
          <w:szCs w:val="22"/>
        </w:rPr>
        <w:t>R</w:t>
      </w:r>
      <w:r w:rsidRPr="00C1728B">
        <w:rPr>
          <w:rFonts w:cs="Arial"/>
          <w:sz w:val="22"/>
          <w:szCs w:val="22"/>
        </w:rPr>
        <w:t xml:space="preserve">esolution reference could also be made to ACAP as it covers some species which use coastal habitats. In general the whole resolution could reference coastal seabirds as well as </w:t>
      </w:r>
      <w:proofErr w:type="spellStart"/>
      <w:r w:rsidRPr="00C1728B">
        <w:rPr>
          <w:rFonts w:cs="Arial"/>
          <w:sz w:val="22"/>
          <w:szCs w:val="22"/>
        </w:rPr>
        <w:t>waterbirds</w:t>
      </w:r>
      <w:proofErr w:type="spellEnd"/>
      <w:r w:rsidRPr="00C1728B">
        <w:rPr>
          <w:rFonts w:cs="Arial"/>
          <w:sz w:val="22"/>
          <w:szCs w:val="22"/>
        </w:rPr>
        <w:t xml:space="preserve">. Coastal </w:t>
      </w:r>
      <w:r>
        <w:rPr>
          <w:rFonts w:cs="Arial"/>
          <w:sz w:val="22"/>
          <w:szCs w:val="22"/>
        </w:rPr>
        <w:t>areas</w:t>
      </w:r>
      <w:r w:rsidRPr="00C1728B">
        <w:rPr>
          <w:rFonts w:cs="Arial"/>
          <w:sz w:val="22"/>
          <w:szCs w:val="22"/>
        </w:rPr>
        <w:t xml:space="preserve"> include coastal habitats such as small islets and cliffs that are important for breeding seabirds as well as the intertidal flats that are currently more the focus of this resolution.</w:t>
      </w:r>
    </w:p>
    <w:p w:rsidR="00DF4423" w:rsidRPr="0079091A" w:rsidRDefault="00DF4423" w:rsidP="00DF4423">
      <w:pPr>
        <w:tabs>
          <w:tab w:val="left" w:pos="1020"/>
        </w:tabs>
        <w:rPr>
          <w:rFonts w:cs="Arial"/>
          <w:b/>
          <w:szCs w:val="18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6356C5" w:rsidRPr="0079091A" w:rsidRDefault="006356C5" w:rsidP="00DF4423">
      <w:pPr>
        <w:tabs>
          <w:tab w:val="left" w:pos="1020"/>
        </w:tabs>
        <w:rPr>
          <w:rFonts w:cs="Arial"/>
          <w:b/>
          <w:szCs w:val="18"/>
        </w:rPr>
      </w:pPr>
    </w:p>
    <w:p w:rsidR="00E737E4" w:rsidRPr="007B1862" w:rsidRDefault="00E737E4" w:rsidP="007B1862">
      <w:pPr>
        <w:pStyle w:val="ListParagraph"/>
        <w:tabs>
          <w:tab w:val="left" w:pos="360"/>
        </w:tabs>
        <w:spacing w:after="40"/>
        <w:ind w:left="360"/>
        <w:contextualSpacing w:val="0"/>
        <w:jc w:val="both"/>
        <w:rPr>
          <w:rFonts w:cs="Arial"/>
          <w:i/>
          <w:sz w:val="22"/>
          <w:szCs w:val="22"/>
        </w:rPr>
      </w:pPr>
      <w:proofErr w:type="spellStart"/>
      <w:r w:rsidRPr="007B1862">
        <w:rPr>
          <w:rFonts w:cs="Arial"/>
          <w:i/>
          <w:sz w:val="22"/>
          <w:szCs w:val="22"/>
        </w:rPr>
        <w:t>BirdLife</w:t>
      </w:r>
      <w:proofErr w:type="spellEnd"/>
      <w:r w:rsidRPr="007B1862">
        <w:rPr>
          <w:rFonts w:cs="Arial"/>
          <w:i/>
          <w:sz w:val="22"/>
          <w:szCs w:val="22"/>
        </w:rPr>
        <w:t xml:space="preserve"> International</w:t>
      </w:r>
    </w:p>
    <w:p w:rsidR="00A95444" w:rsidRPr="0081543A" w:rsidRDefault="0081543A" w:rsidP="0081543A">
      <w:pPr>
        <w:pStyle w:val="ListParagraph"/>
        <w:tabs>
          <w:tab w:val="left" w:pos="360"/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Page 2, para</w:t>
      </w:r>
      <w:r w:rsidR="007B1862">
        <w:rPr>
          <w:rFonts w:cs="Arial"/>
          <w:sz w:val="22"/>
          <w:szCs w:val="22"/>
        </w:rPr>
        <w:t>graph</w:t>
      </w:r>
      <w:r w:rsidR="00E737E4" w:rsidRPr="00E737E4">
        <w:rPr>
          <w:rFonts w:cs="Arial"/>
          <w:sz w:val="22"/>
          <w:szCs w:val="22"/>
        </w:rPr>
        <w:t xml:space="preserve"> 4</w:t>
      </w:r>
    </w:p>
    <w:p w:rsidR="00E737E4" w:rsidRPr="0081543A" w:rsidRDefault="00E737E4" w:rsidP="00754EDC">
      <w:pPr>
        <w:pStyle w:val="ListParagraph"/>
        <w:numPr>
          <w:ilvl w:val="0"/>
          <w:numId w:val="43"/>
        </w:numPr>
        <w:tabs>
          <w:tab w:val="left" w:pos="360"/>
          <w:tab w:val="left" w:pos="1020"/>
        </w:tabs>
        <w:spacing w:after="40"/>
        <w:ind w:left="360"/>
        <w:contextualSpacing w:val="0"/>
        <w:jc w:val="both"/>
        <w:rPr>
          <w:rFonts w:cs="Arial"/>
          <w:sz w:val="22"/>
          <w:szCs w:val="22"/>
        </w:rPr>
      </w:pPr>
      <w:r w:rsidRPr="0081543A">
        <w:rPr>
          <w:rFonts w:cs="Arial"/>
          <w:sz w:val="22"/>
          <w:szCs w:val="22"/>
        </w:rPr>
        <w:t xml:space="preserve">Suggest replacing ‘create’ with ‘secure’ as by and large the need is to secure those important areas of habitat for migratory species which </w:t>
      </w:r>
      <w:proofErr w:type="gramStart"/>
      <w:r w:rsidRPr="0081543A">
        <w:rPr>
          <w:rFonts w:cs="Arial"/>
          <w:sz w:val="22"/>
          <w:szCs w:val="22"/>
        </w:rPr>
        <w:t>still remain</w:t>
      </w:r>
      <w:proofErr w:type="gramEnd"/>
      <w:r w:rsidRPr="0081543A">
        <w:rPr>
          <w:rFonts w:cs="Arial"/>
          <w:sz w:val="22"/>
          <w:szCs w:val="22"/>
        </w:rPr>
        <w:t xml:space="preserve"> -  in that sense we are not aiming to ‘create’ networks of protected areas.</w:t>
      </w:r>
    </w:p>
    <w:p w:rsidR="0081543A" w:rsidRDefault="00E737E4" w:rsidP="007B1862">
      <w:pPr>
        <w:tabs>
          <w:tab w:val="left" w:pos="360"/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81543A">
        <w:rPr>
          <w:rFonts w:cs="Arial"/>
          <w:sz w:val="22"/>
          <w:szCs w:val="22"/>
        </w:rPr>
        <w:t xml:space="preserve">age </w:t>
      </w:r>
      <w:r w:rsidRPr="00E737E4">
        <w:rPr>
          <w:rFonts w:cs="Arial"/>
          <w:sz w:val="22"/>
          <w:szCs w:val="22"/>
        </w:rPr>
        <w:t>3</w:t>
      </w:r>
      <w:r w:rsidR="0081543A">
        <w:rPr>
          <w:rFonts w:cs="Arial"/>
          <w:sz w:val="22"/>
          <w:szCs w:val="22"/>
        </w:rPr>
        <w:t>, para. 2</w:t>
      </w:r>
    </w:p>
    <w:p w:rsidR="00E737E4" w:rsidRPr="0081543A" w:rsidRDefault="0081543A" w:rsidP="007B1862">
      <w:pPr>
        <w:pStyle w:val="ListParagraph"/>
        <w:numPr>
          <w:ilvl w:val="0"/>
          <w:numId w:val="43"/>
        </w:numPr>
        <w:tabs>
          <w:tab w:val="left" w:pos="360"/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E737E4" w:rsidRPr="0081543A">
        <w:rPr>
          <w:rFonts w:cs="Arial"/>
          <w:sz w:val="22"/>
          <w:szCs w:val="22"/>
        </w:rPr>
        <w:t>uggest adding mention of the role of coastal wetlands in disaster risk reduction</w:t>
      </w:r>
    </w:p>
    <w:p w:rsidR="0081543A" w:rsidRDefault="00E737E4" w:rsidP="0079091A">
      <w:pPr>
        <w:tabs>
          <w:tab w:val="left" w:pos="360"/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81543A">
        <w:rPr>
          <w:rFonts w:cs="Arial"/>
          <w:sz w:val="22"/>
          <w:szCs w:val="22"/>
        </w:rPr>
        <w:t xml:space="preserve">age </w:t>
      </w:r>
      <w:r w:rsidRPr="00E737E4">
        <w:rPr>
          <w:rFonts w:cs="Arial"/>
          <w:sz w:val="22"/>
          <w:szCs w:val="22"/>
        </w:rPr>
        <w:t>3</w:t>
      </w:r>
      <w:r w:rsidR="0081543A">
        <w:rPr>
          <w:rFonts w:cs="Arial"/>
          <w:sz w:val="22"/>
          <w:szCs w:val="22"/>
        </w:rPr>
        <w:t>,</w:t>
      </w:r>
      <w:r w:rsidRPr="00E737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Operative </w:t>
      </w:r>
      <w:r w:rsidR="0081543A">
        <w:rPr>
          <w:rFonts w:cs="Arial"/>
          <w:sz w:val="22"/>
          <w:szCs w:val="22"/>
        </w:rPr>
        <w:t>para.</w:t>
      </w:r>
      <w:r w:rsidRPr="00E737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</w:t>
      </w:r>
      <w:r w:rsidR="0081543A">
        <w:rPr>
          <w:rFonts w:cs="Arial"/>
          <w:sz w:val="22"/>
          <w:szCs w:val="22"/>
        </w:rPr>
        <w:t>.</w:t>
      </w:r>
    </w:p>
    <w:p w:rsidR="00E737E4" w:rsidRPr="0081543A" w:rsidRDefault="00E737E4" w:rsidP="00754EDC">
      <w:pPr>
        <w:pStyle w:val="ListParagraph"/>
        <w:numPr>
          <w:ilvl w:val="0"/>
          <w:numId w:val="43"/>
        </w:numPr>
        <w:tabs>
          <w:tab w:val="left" w:pos="360"/>
          <w:tab w:val="left" w:pos="1020"/>
        </w:tabs>
        <w:spacing w:after="40"/>
        <w:ind w:left="360"/>
        <w:contextualSpacing w:val="0"/>
        <w:jc w:val="both"/>
        <w:rPr>
          <w:rFonts w:cs="Arial"/>
          <w:sz w:val="22"/>
          <w:szCs w:val="22"/>
        </w:rPr>
      </w:pPr>
      <w:r w:rsidRPr="0081543A">
        <w:rPr>
          <w:rFonts w:cs="Arial"/>
          <w:sz w:val="22"/>
          <w:szCs w:val="22"/>
        </w:rPr>
        <w:t>Substitute the words “and promote the sustainable use of” by ‘and ensure sustainability of use of’</w:t>
      </w:r>
    </w:p>
    <w:p w:rsidR="0081543A" w:rsidRDefault="00E737E4" w:rsidP="0079091A">
      <w:pPr>
        <w:tabs>
          <w:tab w:val="left" w:pos="360"/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81543A">
        <w:rPr>
          <w:rFonts w:cs="Arial"/>
          <w:sz w:val="22"/>
          <w:szCs w:val="22"/>
        </w:rPr>
        <w:t xml:space="preserve">age </w:t>
      </w:r>
      <w:r w:rsidRPr="00E737E4">
        <w:rPr>
          <w:rFonts w:cs="Arial"/>
          <w:sz w:val="22"/>
          <w:szCs w:val="22"/>
        </w:rPr>
        <w:t>4</w:t>
      </w:r>
      <w:r w:rsidR="0081543A">
        <w:rPr>
          <w:rFonts w:cs="Arial"/>
          <w:sz w:val="22"/>
          <w:szCs w:val="22"/>
        </w:rPr>
        <w:t>, point 5</w:t>
      </w:r>
    </w:p>
    <w:p w:rsidR="00E737E4" w:rsidRPr="0081543A" w:rsidRDefault="00E737E4" w:rsidP="007B1862">
      <w:pPr>
        <w:pStyle w:val="ListParagraph"/>
        <w:numPr>
          <w:ilvl w:val="0"/>
          <w:numId w:val="43"/>
        </w:numPr>
        <w:tabs>
          <w:tab w:val="left" w:pos="360"/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1543A">
        <w:rPr>
          <w:rFonts w:cs="Arial"/>
          <w:sz w:val="22"/>
          <w:szCs w:val="22"/>
        </w:rPr>
        <w:t>It says ‘Urges Parties, in line with Target 10 of the Strategic Plan for Migratory Species 2015-2023, to give urgent protection to remaining intertidal wetlands and associated wetlands of international importance, especially but not exclusively, in coastal regions…’</w:t>
      </w:r>
    </w:p>
    <w:p w:rsidR="00E737E4" w:rsidRPr="0081543A" w:rsidRDefault="00E737E4" w:rsidP="007B1862">
      <w:pPr>
        <w:pStyle w:val="ListParagraph"/>
        <w:numPr>
          <w:ilvl w:val="0"/>
          <w:numId w:val="43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1543A">
        <w:rPr>
          <w:rFonts w:cs="Arial"/>
          <w:sz w:val="22"/>
          <w:szCs w:val="22"/>
        </w:rPr>
        <w:t xml:space="preserve">To </w:t>
      </w:r>
      <w:proofErr w:type="spellStart"/>
      <w:r w:rsidRPr="0081543A">
        <w:rPr>
          <w:rFonts w:cs="Arial"/>
          <w:sz w:val="22"/>
          <w:szCs w:val="22"/>
        </w:rPr>
        <w:t>recognise</w:t>
      </w:r>
      <w:proofErr w:type="spellEnd"/>
      <w:r w:rsidRPr="0081543A">
        <w:rPr>
          <w:rFonts w:cs="Arial"/>
          <w:sz w:val="22"/>
          <w:szCs w:val="22"/>
        </w:rPr>
        <w:t xml:space="preserve"> that protection under national mechanisms is important alongside international mechanisms suggest adding wording: </w:t>
      </w:r>
    </w:p>
    <w:p w:rsidR="00E737E4" w:rsidRPr="0081543A" w:rsidRDefault="00E737E4" w:rsidP="007B1862">
      <w:pPr>
        <w:pStyle w:val="ListParagraph"/>
        <w:tabs>
          <w:tab w:val="left" w:pos="360"/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1543A">
        <w:rPr>
          <w:rFonts w:cs="Arial"/>
          <w:sz w:val="22"/>
          <w:szCs w:val="22"/>
        </w:rPr>
        <w:t>‘Urges Parties, in line with Target 10 of the Strategic Plan for Migratory Species 2015-2023, to give urgent protection under national and international mechanisms to remaining intertidal wetlands and associated wetlands of international importance, especially but not exclusively, in coastal regions…’</w:t>
      </w:r>
    </w:p>
    <w:p w:rsidR="00E737E4" w:rsidRPr="007A7670" w:rsidRDefault="00E737E4" w:rsidP="007B1862">
      <w:pPr>
        <w:pStyle w:val="ListParagraph"/>
        <w:numPr>
          <w:ilvl w:val="0"/>
          <w:numId w:val="43"/>
        </w:numPr>
        <w:tabs>
          <w:tab w:val="left" w:pos="360"/>
          <w:tab w:val="left" w:pos="1020"/>
        </w:tabs>
        <w:ind w:left="360"/>
        <w:jc w:val="both"/>
        <w:rPr>
          <w:rFonts w:cs="Arial"/>
          <w:sz w:val="22"/>
          <w:szCs w:val="22"/>
        </w:rPr>
      </w:pPr>
      <w:proofErr w:type="spellStart"/>
      <w:r w:rsidRPr="007A7670">
        <w:rPr>
          <w:rFonts w:cs="Arial"/>
          <w:sz w:val="22"/>
          <w:szCs w:val="22"/>
        </w:rPr>
        <w:t>BirdLife</w:t>
      </w:r>
      <w:proofErr w:type="spellEnd"/>
      <w:r w:rsidRPr="007A7670">
        <w:rPr>
          <w:rFonts w:cs="Arial"/>
          <w:sz w:val="22"/>
          <w:szCs w:val="22"/>
        </w:rPr>
        <w:t xml:space="preserve"> supports the original Philippines proposal in terms of the scope of ecosystem included, including inland habitats closely associated with the intertidal, in view of the ecological needs of migratory birds</w:t>
      </w:r>
    </w:p>
    <w:p w:rsidR="00E737E4" w:rsidRPr="0081543A" w:rsidRDefault="00E737E4" w:rsidP="007B1862">
      <w:pPr>
        <w:pStyle w:val="ListParagraph"/>
        <w:numPr>
          <w:ilvl w:val="0"/>
          <w:numId w:val="43"/>
        </w:numPr>
        <w:tabs>
          <w:tab w:val="left" w:pos="360"/>
          <w:tab w:val="left" w:pos="1020"/>
        </w:tabs>
        <w:ind w:left="360"/>
        <w:jc w:val="both"/>
        <w:rPr>
          <w:rFonts w:cs="Arial"/>
          <w:sz w:val="22"/>
          <w:szCs w:val="22"/>
        </w:rPr>
      </w:pPr>
      <w:proofErr w:type="spellStart"/>
      <w:r w:rsidRPr="0081543A">
        <w:rPr>
          <w:rFonts w:cs="Arial"/>
          <w:sz w:val="22"/>
          <w:szCs w:val="22"/>
        </w:rPr>
        <w:t>BirdLife</w:t>
      </w:r>
      <w:proofErr w:type="spellEnd"/>
      <w:r w:rsidRPr="0081543A">
        <w:rPr>
          <w:rFonts w:cs="Arial"/>
          <w:sz w:val="22"/>
          <w:szCs w:val="22"/>
        </w:rPr>
        <w:t xml:space="preserve"> offered to work with the Philippines to provide their habitat coding to check the bird species included in Annex 1</w:t>
      </w:r>
    </w:p>
    <w:p w:rsidR="00E737E4" w:rsidRPr="0079091A" w:rsidRDefault="00E737E4" w:rsidP="0079091A">
      <w:pPr>
        <w:tabs>
          <w:tab w:val="left" w:pos="1020"/>
        </w:tabs>
        <w:jc w:val="both"/>
        <w:rPr>
          <w:rFonts w:cs="Arial"/>
          <w:szCs w:val="18"/>
        </w:rPr>
      </w:pPr>
      <w:bookmarkStart w:id="0" w:name="_GoBack"/>
      <w:bookmarkEnd w:id="0"/>
    </w:p>
    <w:p w:rsidR="00DF4423" w:rsidRPr="00DF4423" w:rsidRDefault="00DF4423" w:rsidP="0079091A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79091A" w:rsidRDefault="000F1354" w:rsidP="0079091A">
      <w:pPr>
        <w:jc w:val="both"/>
        <w:rPr>
          <w:rFonts w:cs="Arial"/>
          <w:szCs w:val="18"/>
          <w:lang w:val="fr-FR"/>
        </w:rPr>
      </w:pPr>
    </w:p>
    <w:p w:rsidR="00397D2C" w:rsidRPr="00A95444" w:rsidRDefault="00E737E4" w:rsidP="007B1862">
      <w:pPr>
        <w:pStyle w:val="ListParagraph"/>
        <w:numPr>
          <w:ilvl w:val="0"/>
          <w:numId w:val="43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A95444">
        <w:rPr>
          <w:rFonts w:cs="Arial"/>
          <w:sz w:val="22"/>
          <w:szCs w:val="22"/>
        </w:rPr>
        <w:t>The Resolution is recommended for adoption</w:t>
      </w:r>
      <w:r w:rsidR="00C4556F" w:rsidRPr="00A95444">
        <w:rPr>
          <w:rFonts w:cs="Arial"/>
          <w:sz w:val="22"/>
          <w:szCs w:val="22"/>
        </w:rPr>
        <w:t xml:space="preserve"> by the Conference of Parties</w:t>
      </w:r>
      <w:r w:rsidR="00A95444" w:rsidRPr="00A95444">
        <w:rPr>
          <w:rFonts w:cs="Arial"/>
          <w:sz w:val="22"/>
          <w:szCs w:val="22"/>
        </w:rPr>
        <w:t>.</w:t>
      </w:r>
    </w:p>
    <w:sectPr w:rsidR="00397D2C" w:rsidRPr="00A95444" w:rsidSect="00A95444">
      <w:headerReference w:type="first" r:id="rId7"/>
      <w:endnotePr>
        <w:numFmt w:val="decimal"/>
      </w:endnotePr>
      <w:pgSz w:w="11905" w:h="16837" w:code="9"/>
      <w:pgMar w:top="1008" w:right="1411" w:bottom="810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D3" w:rsidRDefault="001930D3">
      <w:r>
        <w:separator/>
      </w:r>
    </w:p>
  </w:endnote>
  <w:endnote w:type="continuationSeparator" w:id="0">
    <w:p w:rsidR="001930D3" w:rsidRDefault="0019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D3" w:rsidRDefault="001930D3">
      <w:r>
        <w:separator/>
      </w:r>
    </w:p>
  </w:footnote>
  <w:footnote w:type="continuationSeparator" w:id="0">
    <w:p w:rsidR="001930D3" w:rsidRDefault="0019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A95444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UNEP/CMS/COP12/Doc.</w:t>
    </w:r>
    <w:r w:rsidR="00A95444">
      <w:rPr>
        <w:rFonts w:cs="Arial"/>
        <w:i/>
        <w:szCs w:val="18"/>
      </w:rPr>
      <w:t>24.4.10/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  <w:r w:rsidR="00A95444">
      <w:rPr>
        <w:rFonts w:cs="Arial"/>
        <w:i/>
        <w:szCs w:val="18"/>
      </w:rPr>
      <w:t>/</w:t>
    </w:r>
    <w:r w:rsidR="007B1862">
      <w:rPr>
        <w:rFonts w:cs="Arial"/>
        <w:i/>
        <w:szCs w:val="18"/>
      </w:rPr>
      <w:t>B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930D3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4EDC"/>
    <w:rsid w:val="00757614"/>
    <w:rsid w:val="007728B4"/>
    <w:rsid w:val="0077622E"/>
    <w:rsid w:val="00777913"/>
    <w:rsid w:val="00777FE4"/>
    <w:rsid w:val="0079075D"/>
    <w:rsid w:val="0079091A"/>
    <w:rsid w:val="007A7670"/>
    <w:rsid w:val="007B1862"/>
    <w:rsid w:val="007C1468"/>
    <w:rsid w:val="007C41D7"/>
    <w:rsid w:val="007F16FB"/>
    <w:rsid w:val="007F1BBA"/>
    <w:rsid w:val="0081543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77855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95444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1728B"/>
    <w:rsid w:val="00C4556F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37E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1</Pages>
  <Words>390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Ximena Cancino</cp:lastModifiedBy>
  <cp:revision>3</cp:revision>
  <cp:lastPrinted>2017-07-07T11:51:00Z</cp:lastPrinted>
  <dcterms:created xsi:type="dcterms:W3CDTF">2017-07-12T08:46:00Z</dcterms:created>
  <dcterms:modified xsi:type="dcterms:W3CDTF">2017-07-12T09:01:00Z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