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A35C" w14:textId="77777777" w:rsidR="00007F70" w:rsidRPr="00B473EC" w:rsidRDefault="00007F70" w:rsidP="00007F70">
      <w:pPr>
        <w:tabs>
          <w:tab w:val="left" w:pos="-1057"/>
          <w:tab w:val="left" w:pos="-720"/>
        </w:tabs>
        <w:ind w:left="-90"/>
        <w:rPr>
          <w:rFonts w:cs="Arial"/>
          <w:spacing w:val="-8"/>
          <w:sz w:val="12"/>
          <w:szCs w:val="12"/>
          <w:lang w:val="en-GB"/>
        </w:rPr>
      </w:pPr>
    </w:p>
    <w:p w14:paraId="079CB4CD" w14:textId="77777777" w:rsidR="00007F70" w:rsidRPr="00B473EC" w:rsidRDefault="00007F70" w:rsidP="00007F70">
      <w:pPr>
        <w:tabs>
          <w:tab w:val="left" w:pos="-1057"/>
          <w:tab w:val="left" w:pos="-720"/>
        </w:tabs>
        <w:rPr>
          <w:rFonts w:cs="Arial"/>
          <w:sz w:val="22"/>
          <w:szCs w:val="22"/>
          <w:lang w:val="en-GB"/>
        </w:rPr>
      </w:pPr>
      <w:r w:rsidRPr="00B473EC">
        <w:rPr>
          <w:rFonts w:cs="Arial"/>
          <w:sz w:val="22"/>
          <w:szCs w:val="22"/>
          <w:lang w:val="en-GB"/>
        </w:rPr>
        <w:t>12</w:t>
      </w:r>
      <w:r w:rsidRPr="00B473EC">
        <w:rPr>
          <w:rFonts w:cs="Arial"/>
          <w:sz w:val="22"/>
          <w:szCs w:val="22"/>
          <w:vertAlign w:val="superscript"/>
          <w:lang w:val="en-GB"/>
        </w:rPr>
        <w:t>th</w:t>
      </w:r>
      <w:r w:rsidRPr="00B473EC">
        <w:rPr>
          <w:rFonts w:cs="Arial"/>
          <w:sz w:val="22"/>
          <w:szCs w:val="22"/>
          <w:lang w:val="en-GB"/>
        </w:rPr>
        <w:t xml:space="preserve"> MEETING OF THE CONFERENCE OF THE PARTIES</w:t>
      </w:r>
    </w:p>
    <w:p w14:paraId="21D0CEAD" w14:textId="77777777" w:rsidR="00007F70" w:rsidRPr="00B473EC" w:rsidRDefault="00007F70" w:rsidP="00007F70">
      <w:pPr>
        <w:pStyle w:val="Heading2"/>
        <w:keepNext w:val="0"/>
        <w:spacing w:line="228" w:lineRule="auto"/>
        <w:rPr>
          <w:rFonts w:cs="Arial"/>
          <w:b w:val="0"/>
          <w:bCs w:val="0"/>
          <w:sz w:val="22"/>
          <w:szCs w:val="22"/>
          <w:lang w:val="pt-PT"/>
        </w:rPr>
      </w:pPr>
      <w:r w:rsidRPr="00B473EC">
        <w:rPr>
          <w:rFonts w:cs="Arial"/>
          <w:b w:val="0"/>
          <w:sz w:val="22"/>
          <w:szCs w:val="22"/>
          <w:lang w:val="pt-PT"/>
        </w:rPr>
        <w:t>Manila, Philippines, 23 - 28 October 2017</w:t>
      </w:r>
    </w:p>
    <w:p w14:paraId="62959125" w14:textId="77777777" w:rsidR="00007F70" w:rsidRPr="00B473EC" w:rsidRDefault="00007F70" w:rsidP="00007F70">
      <w:pPr>
        <w:spacing w:line="228" w:lineRule="auto"/>
        <w:rPr>
          <w:rFonts w:cs="Arial"/>
          <w:iCs/>
          <w:sz w:val="22"/>
          <w:szCs w:val="22"/>
          <w:lang w:val="pt-PT"/>
        </w:rPr>
      </w:pPr>
      <w:r w:rsidRPr="00B473EC">
        <w:rPr>
          <w:rFonts w:cs="Arial"/>
          <w:iCs/>
          <w:sz w:val="22"/>
          <w:szCs w:val="22"/>
          <w:lang w:val="pt-PT"/>
        </w:rPr>
        <w:t xml:space="preserve">Agenda Item </w:t>
      </w:r>
      <w:r w:rsidR="008651E0">
        <w:rPr>
          <w:rFonts w:cs="Arial"/>
          <w:iCs/>
          <w:sz w:val="22"/>
          <w:szCs w:val="22"/>
          <w:lang w:val="pt-PT"/>
        </w:rPr>
        <w:t>19</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007F70" w:rsidRPr="00B473EC" w14:paraId="0EAA8BD1" w14:textId="77777777" w:rsidTr="0087015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EECFE6" w14:textId="539F64B8" w:rsidR="00007F70" w:rsidRPr="00B473EC" w:rsidRDefault="00007F70" w:rsidP="0034108A">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B473EC">
              <w:rPr>
                <w:rFonts w:cs="Arial"/>
                <w:b/>
                <w:sz w:val="28"/>
                <w:szCs w:val="28"/>
                <w:lang w:val="en-GB"/>
              </w:rPr>
              <w:tab/>
            </w:r>
            <w:r w:rsidRPr="00B473EC">
              <w:rPr>
                <w:rFonts w:cs="Arial"/>
                <w:b/>
                <w:sz w:val="28"/>
                <w:szCs w:val="28"/>
                <w:lang w:val="en-GB"/>
              </w:rPr>
              <w:tab/>
            </w:r>
            <w:r w:rsidRPr="00B473EC">
              <w:rPr>
                <w:rFonts w:cs="Arial"/>
                <w:b/>
                <w:sz w:val="28"/>
                <w:szCs w:val="28"/>
                <w:lang w:val="en-GB"/>
              </w:rPr>
              <w:tab/>
            </w:r>
            <w:r w:rsidRPr="00B473EC">
              <w:rPr>
                <w:rFonts w:cs="Arial"/>
                <w:b/>
                <w:sz w:val="28"/>
                <w:szCs w:val="28"/>
                <w:lang w:val="en-GB"/>
              </w:rPr>
              <w:tab/>
              <w:t>CMS</w:t>
            </w:r>
          </w:p>
        </w:tc>
      </w:tr>
      <w:tr w:rsidR="00007F70" w:rsidRPr="00B473EC" w14:paraId="6EBC5EB4" w14:textId="77777777" w:rsidTr="0087015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FC27B8F" w14:textId="77777777" w:rsidR="00007F70" w:rsidRPr="00B473EC" w:rsidRDefault="00007F70" w:rsidP="00870155">
            <w:pPr>
              <w:rPr>
                <w:rFonts w:cs="Arial"/>
                <w:sz w:val="22"/>
                <w:szCs w:val="22"/>
                <w:lang w:val="en-GB"/>
              </w:rPr>
            </w:pPr>
            <w:r w:rsidRPr="00B473EC">
              <w:rPr>
                <w:rFonts w:cs="Arial"/>
                <w:noProof/>
                <w:sz w:val="22"/>
                <w:szCs w:val="22"/>
              </w:rPr>
              <w:drawing>
                <wp:inline distT="0" distB="0" distL="0" distR="0" wp14:anchorId="118C092F" wp14:editId="4448F7F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30B045A" w14:textId="77777777" w:rsidR="00007F70" w:rsidRPr="00B473EC" w:rsidRDefault="00007F70" w:rsidP="00870155">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8B2BDA5" w14:textId="77777777" w:rsidR="00007F70" w:rsidRPr="00B473EC" w:rsidRDefault="00007F70" w:rsidP="00870155">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7C2251AF" w14:textId="77777777" w:rsidR="00007F70" w:rsidRPr="00B473EC" w:rsidRDefault="00007F70" w:rsidP="00870155">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B473EC">
              <w:rPr>
                <w:rFonts w:cs="Arial"/>
                <w:bCs w:val="0"/>
                <w:sz w:val="32"/>
                <w:szCs w:val="32"/>
              </w:rPr>
              <w:t>CONVENTION ON</w:t>
            </w:r>
          </w:p>
          <w:p w14:paraId="4BA49265" w14:textId="77777777" w:rsidR="00007F70" w:rsidRPr="00B473EC" w:rsidRDefault="00007F70" w:rsidP="00870155">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B473EC">
              <w:rPr>
                <w:rFonts w:cs="Arial"/>
                <w:bCs w:val="0"/>
                <w:sz w:val="32"/>
                <w:szCs w:val="32"/>
              </w:rPr>
              <w:t>MIGRATORY</w:t>
            </w:r>
          </w:p>
          <w:p w14:paraId="03911538" w14:textId="77777777" w:rsidR="00007F70" w:rsidRPr="00B473EC" w:rsidRDefault="00007F70" w:rsidP="00870155">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B473EC">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6FE7C7BA" w14:textId="77777777" w:rsidR="00007F70" w:rsidRPr="0034108A" w:rsidRDefault="00007F70" w:rsidP="00870155">
            <w:pPr>
              <w:tabs>
                <w:tab w:val="left" w:pos="5040"/>
                <w:tab w:val="left" w:pos="5760"/>
                <w:tab w:val="left" w:pos="6008"/>
                <w:tab w:val="left" w:pos="6480"/>
                <w:tab w:val="left" w:pos="7200"/>
                <w:tab w:val="left" w:pos="7920"/>
                <w:tab w:val="left" w:pos="8640"/>
              </w:tabs>
              <w:rPr>
                <w:rFonts w:cs="Arial"/>
                <w:sz w:val="12"/>
                <w:szCs w:val="12"/>
                <w:lang w:val="en-GB"/>
              </w:rPr>
            </w:pPr>
          </w:p>
          <w:p w14:paraId="29E6283A" w14:textId="77777777" w:rsidR="00007F70" w:rsidRPr="0034108A" w:rsidRDefault="00007F70" w:rsidP="00870155">
            <w:pPr>
              <w:tabs>
                <w:tab w:val="left" w:pos="5040"/>
                <w:tab w:val="left" w:pos="5760"/>
                <w:tab w:val="left" w:pos="6008"/>
                <w:tab w:val="left" w:pos="6480"/>
                <w:tab w:val="left" w:pos="7200"/>
                <w:tab w:val="left" w:pos="7920"/>
                <w:tab w:val="left" w:pos="8640"/>
              </w:tabs>
              <w:rPr>
                <w:rFonts w:cs="Arial"/>
                <w:sz w:val="22"/>
                <w:szCs w:val="22"/>
                <w:lang w:val="en-GB"/>
              </w:rPr>
            </w:pPr>
            <w:r w:rsidRPr="0034108A">
              <w:rPr>
                <w:rFonts w:cs="Arial"/>
                <w:sz w:val="22"/>
                <w:szCs w:val="22"/>
                <w:lang w:val="en-GB"/>
              </w:rPr>
              <w:t>Distribution: General</w:t>
            </w:r>
          </w:p>
          <w:p w14:paraId="7DA20412" w14:textId="77777777" w:rsidR="00007F70" w:rsidRPr="0034108A" w:rsidRDefault="00007F70" w:rsidP="00870155">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B831FEC" w14:textId="77777777" w:rsidR="00007F70" w:rsidRPr="0034108A" w:rsidRDefault="00007F70" w:rsidP="00870155">
            <w:pPr>
              <w:tabs>
                <w:tab w:val="left" w:pos="5040"/>
                <w:tab w:val="left" w:pos="5760"/>
                <w:tab w:val="left" w:pos="6008"/>
                <w:tab w:val="left" w:pos="6480"/>
                <w:tab w:val="left" w:pos="7200"/>
                <w:tab w:val="left" w:pos="7920"/>
                <w:tab w:val="left" w:pos="8640"/>
              </w:tabs>
              <w:rPr>
                <w:rFonts w:cs="Arial"/>
                <w:sz w:val="22"/>
                <w:szCs w:val="22"/>
                <w:lang w:val="en-GB"/>
              </w:rPr>
            </w:pPr>
            <w:r w:rsidRPr="0034108A">
              <w:rPr>
                <w:rFonts w:cs="Arial"/>
                <w:sz w:val="22"/>
                <w:szCs w:val="22"/>
                <w:lang w:val="en-GB"/>
              </w:rPr>
              <w:t>UNEP/CMS/COP12/Doc.</w:t>
            </w:r>
            <w:r w:rsidR="008651E0" w:rsidRPr="0034108A">
              <w:rPr>
                <w:rFonts w:cs="Arial"/>
                <w:sz w:val="22"/>
                <w:szCs w:val="22"/>
                <w:lang w:val="en-GB"/>
              </w:rPr>
              <w:t>19.1</w:t>
            </w:r>
          </w:p>
          <w:p w14:paraId="006C8478" w14:textId="4435C2D7" w:rsidR="00007F70" w:rsidRPr="0034108A" w:rsidRDefault="0034108A" w:rsidP="00870155">
            <w:pPr>
              <w:tabs>
                <w:tab w:val="left" w:pos="5040"/>
                <w:tab w:val="left" w:pos="5760"/>
                <w:tab w:val="left" w:pos="6008"/>
                <w:tab w:val="left" w:pos="6480"/>
                <w:tab w:val="left" w:pos="7200"/>
                <w:tab w:val="left" w:pos="7920"/>
                <w:tab w:val="left" w:pos="8640"/>
              </w:tabs>
              <w:rPr>
                <w:rFonts w:cs="Arial"/>
                <w:sz w:val="22"/>
                <w:szCs w:val="22"/>
                <w:lang w:val="en-GB"/>
              </w:rPr>
            </w:pPr>
            <w:r w:rsidRPr="0034108A">
              <w:rPr>
                <w:rFonts w:cs="Arial"/>
                <w:sz w:val="22"/>
                <w:szCs w:val="22"/>
                <w:lang w:val="en-GB"/>
              </w:rPr>
              <w:t xml:space="preserve">3 </w:t>
            </w:r>
            <w:r w:rsidR="004C3ABD" w:rsidRPr="0034108A">
              <w:rPr>
                <w:rFonts w:cs="Arial"/>
                <w:sz w:val="22"/>
                <w:szCs w:val="22"/>
                <w:lang w:val="en-GB"/>
              </w:rPr>
              <w:t>Augus</w:t>
            </w:r>
            <w:r w:rsidR="00007F70" w:rsidRPr="0034108A">
              <w:rPr>
                <w:rFonts w:cs="Arial"/>
                <w:sz w:val="22"/>
                <w:szCs w:val="22"/>
                <w:lang w:val="en-GB"/>
              </w:rPr>
              <w:t>t 2017</w:t>
            </w:r>
          </w:p>
          <w:p w14:paraId="5E229A00" w14:textId="77777777" w:rsidR="00007F70" w:rsidRPr="0034108A" w:rsidRDefault="00007F70" w:rsidP="00870155">
            <w:pPr>
              <w:rPr>
                <w:rFonts w:cs="Arial"/>
                <w:sz w:val="12"/>
                <w:szCs w:val="12"/>
                <w:lang w:val="en-GB"/>
              </w:rPr>
            </w:pPr>
          </w:p>
          <w:p w14:paraId="707AEADC" w14:textId="77777777" w:rsidR="00007F70" w:rsidRPr="0034108A" w:rsidRDefault="00007F70" w:rsidP="00870155">
            <w:pPr>
              <w:rPr>
                <w:rFonts w:cs="Arial"/>
                <w:sz w:val="22"/>
                <w:szCs w:val="22"/>
                <w:lang w:val="en-GB"/>
              </w:rPr>
            </w:pPr>
            <w:r w:rsidRPr="0034108A">
              <w:rPr>
                <w:rFonts w:cs="Arial"/>
                <w:sz w:val="22"/>
                <w:szCs w:val="22"/>
                <w:lang w:val="en-GB"/>
              </w:rPr>
              <w:t>Original: English</w:t>
            </w:r>
          </w:p>
          <w:p w14:paraId="3690DEB4" w14:textId="77777777" w:rsidR="00007F70" w:rsidRPr="0034108A" w:rsidRDefault="00007F70" w:rsidP="00870155">
            <w:pPr>
              <w:rPr>
                <w:rFonts w:cs="Arial"/>
                <w:sz w:val="12"/>
                <w:szCs w:val="12"/>
                <w:lang w:val="en-GB"/>
              </w:rPr>
            </w:pPr>
          </w:p>
        </w:tc>
      </w:tr>
    </w:tbl>
    <w:p w14:paraId="4B8A0BE3" w14:textId="77777777" w:rsidR="00007F70" w:rsidRPr="00B473EC" w:rsidRDefault="00007F70" w:rsidP="00007F70">
      <w:pPr>
        <w:rPr>
          <w:rFonts w:cs="Arial"/>
          <w:sz w:val="24"/>
        </w:rPr>
      </w:pPr>
    </w:p>
    <w:p w14:paraId="09F6DDE8" w14:textId="77777777" w:rsidR="00673384" w:rsidRPr="00B473EC" w:rsidRDefault="00673384" w:rsidP="00007F70">
      <w:pPr>
        <w:rPr>
          <w:rFonts w:cs="Arial"/>
          <w:sz w:val="24"/>
        </w:rPr>
      </w:pPr>
    </w:p>
    <w:p w14:paraId="5EABC9F9" w14:textId="77777777" w:rsidR="00C9141E" w:rsidRPr="00113BFE" w:rsidRDefault="00113BFE" w:rsidP="00C9141E">
      <w:pPr>
        <w:jc w:val="center"/>
        <w:rPr>
          <w:rFonts w:eastAsia="MS Mincho" w:cs="Arial"/>
          <w:b/>
          <w:bCs/>
          <w:color w:val="000000"/>
          <w:sz w:val="22"/>
          <w:szCs w:val="22"/>
          <w:lang w:eastAsia="ja-JP"/>
        </w:rPr>
      </w:pPr>
      <w:r w:rsidRPr="00113BFE">
        <w:rPr>
          <w:rFonts w:eastAsia="MS Mincho" w:cs="Arial"/>
          <w:b/>
          <w:bCs/>
          <w:color w:val="000000"/>
          <w:sz w:val="22"/>
          <w:szCs w:val="22"/>
          <w:lang w:eastAsia="ja-JP"/>
        </w:rPr>
        <w:t xml:space="preserve">ANALYSIS </w:t>
      </w:r>
      <w:r w:rsidR="00883B78">
        <w:rPr>
          <w:rFonts w:eastAsia="MS Mincho" w:cs="Arial"/>
          <w:b/>
          <w:bCs/>
          <w:color w:val="000000"/>
          <w:sz w:val="22"/>
          <w:szCs w:val="22"/>
          <w:lang w:eastAsia="ja-JP"/>
        </w:rPr>
        <w:t xml:space="preserve">AND SYNTHESIS </w:t>
      </w:r>
      <w:r w:rsidRPr="00113BFE">
        <w:rPr>
          <w:rFonts w:eastAsia="MS Mincho" w:cs="Arial"/>
          <w:b/>
          <w:bCs/>
          <w:color w:val="000000"/>
          <w:sz w:val="22"/>
          <w:szCs w:val="22"/>
          <w:lang w:eastAsia="ja-JP"/>
        </w:rPr>
        <w:t>OF NATIONAL REPORTS</w:t>
      </w:r>
    </w:p>
    <w:p w14:paraId="7F70343D" w14:textId="77777777" w:rsidR="00007F70" w:rsidRPr="00B473EC" w:rsidRDefault="00007F70" w:rsidP="00007F70">
      <w:pPr>
        <w:jc w:val="center"/>
        <w:rPr>
          <w:rFonts w:eastAsia="MS Mincho" w:cs="Arial"/>
          <w:b/>
          <w:bCs/>
          <w:color w:val="000000"/>
          <w:sz w:val="22"/>
          <w:szCs w:val="22"/>
          <w:lang w:eastAsia="ja-JP"/>
        </w:rPr>
      </w:pPr>
    </w:p>
    <w:p w14:paraId="0E90FFC0" w14:textId="77777777" w:rsidR="00007F70" w:rsidRPr="00B473EC" w:rsidRDefault="00007F70" w:rsidP="00007F70">
      <w:pPr>
        <w:jc w:val="center"/>
        <w:rPr>
          <w:rFonts w:cs="Arial"/>
          <w:i/>
          <w:sz w:val="22"/>
          <w:szCs w:val="22"/>
          <w:lang w:val="en-GB"/>
        </w:rPr>
      </w:pPr>
      <w:r w:rsidRPr="00B473EC">
        <w:rPr>
          <w:rFonts w:cs="Arial"/>
          <w:i/>
          <w:sz w:val="22"/>
          <w:szCs w:val="22"/>
          <w:lang w:val="en-GB"/>
        </w:rPr>
        <w:t>(Prepared by the S</w:t>
      </w:r>
      <w:r w:rsidR="00C9141E">
        <w:rPr>
          <w:rFonts w:cs="Arial"/>
          <w:i/>
          <w:sz w:val="22"/>
          <w:szCs w:val="22"/>
          <w:lang w:val="en-GB"/>
        </w:rPr>
        <w:t>ecretariat</w:t>
      </w:r>
      <w:r w:rsidRPr="00B473EC">
        <w:rPr>
          <w:rFonts w:cs="Arial"/>
          <w:i/>
          <w:sz w:val="22"/>
          <w:szCs w:val="22"/>
          <w:lang w:val="en-GB"/>
        </w:rPr>
        <w:t xml:space="preserve">) </w:t>
      </w:r>
    </w:p>
    <w:p w14:paraId="6BB01854" w14:textId="77777777" w:rsidR="00007F70" w:rsidRPr="00B473EC" w:rsidRDefault="00007F70" w:rsidP="00007F70">
      <w:pPr>
        <w:jc w:val="center"/>
        <w:rPr>
          <w:rFonts w:cs="Arial"/>
          <w:i/>
          <w:sz w:val="22"/>
          <w:szCs w:val="22"/>
          <w:lang w:val="en-GB"/>
        </w:rPr>
      </w:pPr>
    </w:p>
    <w:p w14:paraId="5DA23577" w14:textId="77777777" w:rsidR="00007F70" w:rsidRPr="00B473EC" w:rsidRDefault="00007F70" w:rsidP="00007F70">
      <w:pPr>
        <w:rPr>
          <w:rFonts w:cs="Arial"/>
          <w:sz w:val="22"/>
          <w:szCs w:val="22"/>
        </w:rPr>
      </w:pPr>
      <w:r w:rsidRPr="00B473EC">
        <w:rPr>
          <w:rFonts w:cs="Arial"/>
          <w:noProof/>
          <w:sz w:val="22"/>
          <w:szCs w:val="22"/>
        </w:rPr>
        <mc:AlternateContent>
          <mc:Choice Requires="wps">
            <w:drawing>
              <wp:anchor distT="0" distB="0" distL="114300" distR="114300" simplePos="0" relativeHeight="251659264" behindDoc="0" locked="0" layoutInCell="1" allowOverlap="1" wp14:anchorId="3E5C7DF1" wp14:editId="7D585286">
                <wp:simplePos x="0" y="0"/>
                <wp:positionH relativeFrom="column">
                  <wp:posOffset>956310</wp:posOffset>
                </wp:positionH>
                <wp:positionV relativeFrom="paragraph">
                  <wp:posOffset>142875</wp:posOffset>
                </wp:positionV>
                <wp:extent cx="4305300" cy="28575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57500"/>
                        </a:xfrm>
                        <a:prstGeom prst="rect">
                          <a:avLst/>
                        </a:prstGeom>
                        <a:solidFill>
                          <a:srgbClr val="FFFFFF"/>
                        </a:solidFill>
                        <a:ln w="3175">
                          <a:solidFill>
                            <a:srgbClr val="000000"/>
                          </a:solidFill>
                          <a:miter lim="800000"/>
                          <a:headEnd/>
                          <a:tailEnd/>
                        </a:ln>
                      </wps:spPr>
                      <wps:txbx>
                        <w:txbxContent>
                          <w:p w14:paraId="3C6822DE" w14:textId="77777777" w:rsidR="00993105" w:rsidRPr="00B473EC" w:rsidRDefault="00993105" w:rsidP="00007F70">
                            <w:pPr>
                              <w:rPr>
                                <w:rFonts w:cs="Arial"/>
                                <w:sz w:val="22"/>
                                <w:szCs w:val="22"/>
                              </w:rPr>
                            </w:pPr>
                            <w:r w:rsidRPr="00B473EC">
                              <w:rPr>
                                <w:rFonts w:cs="Arial"/>
                                <w:sz w:val="22"/>
                                <w:szCs w:val="22"/>
                              </w:rPr>
                              <w:t>Summary</w:t>
                            </w:r>
                          </w:p>
                          <w:p w14:paraId="020E76B1" w14:textId="77777777" w:rsidR="00993105" w:rsidRPr="00B473EC" w:rsidRDefault="00993105" w:rsidP="00007F70">
                            <w:pPr>
                              <w:rPr>
                                <w:rFonts w:cs="Arial"/>
                                <w:sz w:val="22"/>
                                <w:szCs w:val="22"/>
                                <w:lang w:val="en-GB"/>
                              </w:rPr>
                            </w:pPr>
                          </w:p>
                          <w:p w14:paraId="7FEC282F" w14:textId="77777777" w:rsidR="00993105" w:rsidRPr="00B473EC" w:rsidRDefault="00993105" w:rsidP="0034108A">
                            <w:pPr>
                              <w:jc w:val="both"/>
                              <w:rPr>
                                <w:rFonts w:cs="Arial"/>
                                <w:sz w:val="22"/>
                                <w:szCs w:val="22"/>
                                <w:lang w:val="en-GB"/>
                              </w:rPr>
                            </w:pPr>
                            <w:r w:rsidRPr="001A4BAC">
                              <w:rPr>
                                <w:rFonts w:cs="Arial"/>
                                <w:sz w:val="22"/>
                                <w:szCs w:val="22"/>
                                <w:lang w:val="en-GB"/>
                              </w:rPr>
                              <w:t xml:space="preserve">This document provides a summary of </w:t>
                            </w:r>
                            <w:r>
                              <w:rPr>
                                <w:rFonts w:cs="Arial"/>
                                <w:sz w:val="22"/>
                                <w:szCs w:val="22"/>
                                <w:lang w:val="en-GB"/>
                              </w:rPr>
                              <w:t>an international overview analysis of the information provided by Parties in their national reports, as submitted to the 12</w:t>
                            </w:r>
                            <w:r w:rsidRPr="001A4BAC">
                              <w:rPr>
                                <w:rFonts w:cs="Arial"/>
                                <w:sz w:val="22"/>
                                <w:szCs w:val="22"/>
                                <w:vertAlign w:val="superscript"/>
                                <w:lang w:val="en-GB"/>
                              </w:rPr>
                              <w:t>th</w:t>
                            </w:r>
                            <w:r>
                              <w:rPr>
                                <w:rFonts w:cs="Arial"/>
                                <w:sz w:val="22"/>
                                <w:szCs w:val="22"/>
                                <w:lang w:val="en-GB"/>
                              </w:rPr>
                              <w:t xml:space="preserve"> meeting of the Conference of Parties in 2017.  The full analysis is contained in </w:t>
                            </w:r>
                            <w:r w:rsidRPr="009634DF">
                              <w:rPr>
                                <w:rFonts w:cs="Arial"/>
                                <w:sz w:val="22"/>
                                <w:szCs w:val="22"/>
                                <w:lang w:val="en-GB"/>
                              </w:rPr>
                              <w:t>Information Document</w:t>
                            </w:r>
                            <w:r>
                              <w:rPr>
                                <w:rFonts w:cs="Arial"/>
                                <w:sz w:val="22"/>
                                <w:szCs w:val="22"/>
                                <w:lang w:val="en-GB"/>
                              </w:rPr>
                              <w:t xml:space="preserve"> 30, and the reports themselves are published on the CMS website, including those which arrived too late to be included in the analysis.</w:t>
                            </w:r>
                          </w:p>
                          <w:p w14:paraId="21CE82A6" w14:textId="77777777" w:rsidR="00993105" w:rsidRDefault="00993105" w:rsidP="0034108A">
                            <w:pPr>
                              <w:jc w:val="both"/>
                              <w:rPr>
                                <w:rFonts w:cs="Arial"/>
                                <w:sz w:val="22"/>
                                <w:szCs w:val="22"/>
                                <w:lang w:val="en-GB"/>
                              </w:rPr>
                            </w:pPr>
                          </w:p>
                          <w:p w14:paraId="0A76D02F" w14:textId="77777777" w:rsidR="00993105" w:rsidRPr="0095385A" w:rsidRDefault="00993105" w:rsidP="0034108A">
                            <w:pPr>
                              <w:jc w:val="both"/>
                              <w:rPr>
                                <w:rFonts w:cs="Arial"/>
                                <w:sz w:val="22"/>
                                <w:szCs w:val="22"/>
                                <w:lang w:val="en-GB"/>
                              </w:rPr>
                            </w:pPr>
                            <w:r>
                              <w:rPr>
                                <w:rFonts w:cs="Arial"/>
                                <w:sz w:val="22"/>
                                <w:szCs w:val="22"/>
                                <w:lang w:val="en-GB"/>
                              </w:rPr>
                              <w:t xml:space="preserve">The analysis focuses on certain priority areas of Convention implementation which offer an insight into progress towards agreed objectives and lessons learnt from experience, including on the reporting process itself.  A series of recommendations has been derived from this, concerning (i) Convention implementation, </w:t>
                            </w:r>
                            <w:r w:rsidRPr="0095385A">
                              <w:rPr>
                                <w:rFonts w:cs="Arial"/>
                                <w:sz w:val="22"/>
                                <w:szCs w:val="22"/>
                                <w:lang w:val="en-GB"/>
                              </w:rPr>
                              <w:t>(ii) reporting and (iii) the format for future reports.</w:t>
                            </w:r>
                          </w:p>
                          <w:p w14:paraId="0B1D3F31" w14:textId="77777777" w:rsidR="00993105" w:rsidRDefault="00993105" w:rsidP="00007F70">
                            <w:pPr>
                              <w:rPr>
                                <w:rFonts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7DF1" id="_x0000_t202" coordsize="21600,21600" o:spt="202" path="m,l,21600r21600,l21600,xe">
                <v:stroke joinstyle="miter"/>
                <v:path gradientshapeok="t" o:connecttype="rect"/>
              </v:shapetype>
              <v:shape id="Text Box 4" o:spid="_x0000_s1026" type="#_x0000_t202" style="position:absolute;margin-left:75.3pt;margin-top:11.25pt;width:33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l5KAIAAFEEAAAOAAAAZHJzL2Uyb0RvYy54bWysVNtu2zAMfR+wfxD0vti5rZ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" strokeweight=".25pt">
                <v:textbox>
                  <w:txbxContent>
                    <w:p w14:paraId="3C6822DE" w14:textId="77777777" w:rsidR="00993105" w:rsidRPr="00B473EC" w:rsidRDefault="00993105" w:rsidP="00007F70">
                      <w:pPr>
                        <w:rPr>
                          <w:rFonts w:cs="Arial"/>
                          <w:sz w:val="22"/>
                          <w:szCs w:val="22"/>
                        </w:rPr>
                      </w:pPr>
                      <w:r w:rsidRPr="00B473EC">
                        <w:rPr>
                          <w:rFonts w:cs="Arial"/>
                          <w:sz w:val="22"/>
                          <w:szCs w:val="22"/>
                        </w:rPr>
                        <w:t>Summary</w:t>
                      </w:r>
                    </w:p>
                    <w:p w14:paraId="020E76B1" w14:textId="77777777" w:rsidR="00993105" w:rsidRPr="00B473EC" w:rsidRDefault="00993105" w:rsidP="00007F70">
                      <w:pPr>
                        <w:rPr>
                          <w:rFonts w:cs="Arial"/>
                          <w:sz w:val="22"/>
                          <w:szCs w:val="22"/>
                          <w:lang w:val="en-GB"/>
                        </w:rPr>
                      </w:pPr>
                    </w:p>
                    <w:p w14:paraId="7FEC282F" w14:textId="77777777" w:rsidR="00993105" w:rsidRPr="00B473EC" w:rsidRDefault="00993105" w:rsidP="0034108A">
                      <w:pPr>
                        <w:jc w:val="both"/>
                        <w:rPr>
                          <w:rFonts w:cs="Arial"/>
                          <w:sz w:val="22"/>
                          <w:szCs w:val="22"/>
                          <w:lang w:val="en-GB"/>
                        </w:rPr>
                      </w:pPr>
                      <w:r w:rsidRPr="001A4BAC">
                        <w:rPr>
                          <w:rFonts w:cs="Arial"/>
                          <w:sz w:val="22"/>
                          <w:szCs w:val="22"/>
                          <w:lang w:val="en-GB"/>
                        </w:rPr>
                        <w:t xml:space="preserve">This document provides a summary of </w:t>
                      </w:r>
                      <w:r>
                        <w:rPr>
                          <w:rFonts w:cs="Arial"/>
                          <w:sz w:val="22"/>
                          <w:szCs w:val="22"/>
                          <w:lang w:val="en-GB"/>
                        </w:rPr>
                        <w:t>an international overview analysis of the information provided by Parties in their national reports, as submitted to the 12</w:t>
                      </w:r>
                      <w:r w:rsidRPr="001A4BAC">
                        <w:rPr>
                          <w:rFonts w:cs="Arial"/>
                          <w:sz w:val="22"/>
                          <w:szCs w:val="22"/>
                          <w:vertAlign w:val="superscript"/>
                          <w:lang w:val="en-GB"/>
                        </w:rPr>
                        <w:t>th</w:t>
                      </w:r>
                      <w:r>
                        <w:rPr>
                          <w:rFonts w:cs="Arial"/>
                          <w:sz w:val="22"/>
                          <w:szCs w:val="22"/>
                          <w:lang w:val="en-GB"/>
                        </w:rPr>
                        <w:t xml:space="preserve"> meeting of the Conference of Parties in 2017.  The full analysis is contained in </w:t>
                      </w:r>
                      <w:r w:rsidRPr="009634DF">
                        <w:rPr>
                          <w:rFonts w:cs="Arial"/>
                          <w:sz w:val="22"/>
                          <w:szCs w:val="22"/>
                          <w:lang w:val="en-GB"/>
                        </w:rPr>
                        <w:t>Information Document</w:t>
                      </w:r>
                      <w:r>
                        <w:rPr>
                          <w:rFonts w:cs="Arial"/>
                          <w:sz w:val="22"/>
                          <w:szCs w:val="22"/>
                          <w:lang w:val="en-GB"/>
                        </w:rPr>
                        <w:t xml:space="preserve"> 30, and the reports themselves are published on the CMS website, including those which arrived too late to be included in the analysis.</w:t>
                      </w:r>
                    </w:p>
                    <w:p w14:paraId="21CE82A6" w14:textId="77777777" w:rsidR="00993105" w:rsidRDefault="00993105" w:rsidP="0034108A">
                      <w:pPr>
                        <w:jc w:val="both"/>
                        <w:rPr>
                          <w:rFonts w:cs="Arial"/>
                          <w:sz w:val="22"/>
                          <w:szCs w:val="22"/>
                          <w:lang w:val="en-GB"/>
                        </w:rPr>
                      </w:pPr>
                    </w:p>
                    <w:p w14:paraId="0A76D02F" w14:textId="77777777" w:rsidR="00993105" w:rsidRPr="0095385A" w:rsidRDefault="00993105" w:rsidP="0034108A">
                      <w:pPr>
                        <w:jc w:val="both"/>
                        <w:rPr>
                          <w:rFonts w:cs="Arial"/>
                          <w:sz w:val="22"/>
                          <w:szCs w:val="22"/>
                          <w:lang w:val="en-GB"/>
                        </w:rPr>
                      </w:pPr>
                      <w:r>
                        <w:rPr>
                          <w:rFonts w:cs="Arial"/>
                          <w:sz w:val="22"/>
                          <w:szCs w:val="22"/>
                          <w:lang w:val="en-GB"/>
                        </w:rPr>
                        <w:t xml:space="preserve">The analysis focuses on certain priority areas of Convention implementation which offer an insight into progress towards agreed objectives and lessons learnt from experience, including on the reporting process itself.  A series of recommendations has been derived from this, concerning (i) Convention implementation, </w:t>
                      </w:r>
                      <w:r w:rsidRPr="0095385A">
                        <w:rPr>
                          <w:rFonts w:cs="Arial"/>
                          <w:sz w:val="22"/>
                          <w:szCs w:val="22"/>
                          <w:lang w:val="en-GB"/>
                        </w:rPr>
                        <w:t>(ii) reporting and (iii) the format for future reports.</w:t>
                      </w:r>
                    </w:p>
                    <w:p w14:paraId="0B1D3F31" w14:textId="77777777" w:rsidR="00993105" w:rsidRDefault="00993105" w:rsidP="00007F70">
                      <w:pPr>
                        <w:rPr>
                          <w:rFonts w:cs="Arial"/>
                          <w:sz w:val="22"/>
                          <w:szCs w:val="22"/>
                          <w:lang w:val="en-GB"/>
                        </w:rPr>
                      </w:pPr>
                    </w:p>
                  </w:txbxContent>
                </v:textbox>
              </v:shape>
            </w:pict>
          </mc:Fallback>
        </mc:AlternateContent>
      </w:r>
    </w:p>
    <w:p w14:paraId="32EA0640" w14:textId="77777777" w:rsidR="00007F70" w:rsidRPr="00B473EC" w:rsidRDefault="00007F70" w:rsidP="00007F70">
      <w:pPr>
        <w:rPr>
          <w:rFonts w:cs="Arial"/>
          <w:sz w:val="22"/>
          <w:szCs w:val="22"/>
        </w:rPr>
      </w:pPr>
    </w:p>
    <w:p w14:paraId="56FE8DEE" w14:textId="77777777" w:rsidR="00007F70" w:rsidRPr="00B473EC" w:rsidRDefault="00007F70" w:rsidP="00007F70">
      <w:pPr>
        <w:rPr>
          <w:rFonts w:cs="Arial"/>
          <w:sz w:val="22"/>
          <w:szCs w:val="22"/>
        </w:rPr>
      </w:pPr>
    </w:p>
    <w:p w14:paraId="7E97C4A4" w14:textId="77777777" w:rsidR="00007F70" w:rsidRPr="00B473EC" w:rsidRDefault="00007F70" w:rsidP="00007F70">
      <w:pPr>
        <w:rPr>
          <w:rFonts w:cs="Arial"/>
          <w:sz w:val="22"/>
          <w:szCs w:val="22"/>
        </w:rPr>
      </w:pPr>
    </w:p>
    <w:p w14:paraId="1F5FB7F9" w14:textId="77777777" w:rsidR="00007F70" w:rsidRPr="00B473EC" w:rsidRDefault="00007F70" w:rsidP="00007F70">
      <w:pPr>
        <w:rPr>
          <w:rFonts w:cs="Arial"/>
          <w:sz w:val="22"/>
          <w:szCs w:val="22"/>
        </w:rPr>
      </w:pPr>
    </w:p>
    <w:p w14:paraId="3621909E" w14:textId="77777777" w:rsidR="00007F70" w:rsidRPr="00B473EC" w:rsidRDefault="00007F70" w:rsidP="00007F70">
      <w:pPr>
        <w:rPr>
          <w:rFonts w:cs="Arial"/>
          <w:sz w:val="22"/>
          <w:szCs w:val="22"/>
        </w:rPr>
      </w:pPr>
    </w:p>
    <w:p w14:paraId="40B5C9FA" w14:textId="77777777" w:rsidR="00007F70" w:rsidRPr="00B473EC" w:rsidRDefault="00007F70" w:rsidP="00007F70">
      <w:pPr>
        <w:rPr>
          <w:rFonts w:cs="Arial"/>
          <w:sz w:val="22"/>
          <w:szCs w:val="22"/>
        </w:rPr>
      </w:pPr>
    </w:p>
    <w:p w14:paraId="191247BA" w14:textId="77777777" w:rsidR="00007F70" w:rsidRPr="00B473EC" w:rsidRDefault="00007F70" w:rsidP="00007F70">
      <w:pPr>
        <w:rPr>
          <w:rFonts w:cs="Arial"/>
          <w:sz w:val="22"/>
          <w:szCs w:val="22"/>
        </w:rPr>
      </w:pPr>
    </w:p>
    <w:p w14:paraId="6D565E1E" w14:textId="77777777" w:rsidR="00007F70" w:rsidRPr="00B473EC" w:rsidRDefault="00007F70" w:rsidP="00007F70">
      <w:pPr>
        <w:rPr>
          <w:rFonts w:cs="Arial"/>
          <w:sz w:val="22"/>
          <w:szCs w:val="22"/>
        </w:rPr>
      </w:pPr>
    </w:p>
    <w:p w14:paraId="2565A3E7" w14:textId="77777777" w:rsidR="00007F70" w:rsidRPr="00B473EC" w:rsidRDefault="00007F70" w:rsidP="00007F70">
      <w:pPr>
        <w:rPr>
          <w:rFonts w:cs="Arial"/>
          <w:sz w:val="22"/>
          <w:szCs w:val="22"/>
        </w:rPr>
      </w:pPr>
    </w:p>
    <w:p w14:paraId="474DAA43" w14:textId="77777777" w:rsidR="00007F70" w:rsidRPr="00B473EC" w:rsidRDefault="00007F70" w:rsidP="00007F70">
      <w:pPr>
        <w:rPr>
          <w:rFonts w:cs="Arial"/>
          <w:sz w:val="22"/>
          <w:szCs w:val="22"/>
        </w:rPr>
      </w:pPr>
    </w:p>
    <w:p w14:paraId="0989A1E9" w14:textId="77777777" w:rsidR="00007F70" w:rsidRPr="00B473EC" w:rsidRDefault="00007F70" w:rsidP="00007F70">
      <w:pPr>
        <w:rPr>
          <w:rFonts w:cs="Arial"/>
          <w:sz w:val="22"/>
          <w:szCs w:val="22"/>
        </w:rPr>
      </w:pPr>
    </w:p>
    <w:p w14:paraId="00152BC2" w14:textId="77777777" w:rsidR="00007F70" w:rsidRPr="00B473EC" w:rsidRDefault="00007F70" w:rsidP="00007F70">
      <w:pPr>
        <w:rPr>
          <w:rFonts w:cs="Arial"/>
          <w:sz w:val="22"/>
          <w:szCs w:val="22"/>
        </w:rPr>
      </w:pPr>
    </w:p>
    <w:p w14:paraId="473C6939" w14:textId="77777777" w:rsidR="00007F70" w:rsidRPr="00B473EC" w:rsidRDefault="00007F70" w:rsidP="00007F70">
      <w:pPr>
        <w:rPr>
          <w:rFonts w:cs="Arial"/>
          <w:sz w:val="22"/>
          <w:szCs w:val="22"/>
        </w:rPr>
      </w:pPr>
    </w:p>
    <w:p w14:paraId="739D8EF1" w14:textId="77777777" w:rsidR="00007F70" w:rsidRPr="00B473EC" w:rsidRDefault="00007F70" w:rsidP="00007F70">
      <w:pPr>
        <w:rPr>
          <w:rFonts w:cs="Arial"/>
          <w:sz w:val="22"/>
          <w:szCs w:val="22"/>
        </w:rPr>
      </w:pPr>
    </w:p>
    <w:p w14:paraId="7E8195DA" w14:textId="77777777" w:rsidR="00007F70" w:rsidRPr="00B473EC" w:rsidRDefault="00007F70" w:rsidP="00007F70">
      <w:pPr>
        <w:rPr>
          <w:rFonts w:cs="Arial"/>
          <w:sz w:val="22"/>
          <w:szCs w:val="22"/>
        </w:rPr>
      </w:pPr>
    </w:p>
    <w:p w14:paraId="4C5ED863" w14:textId="77777777" w:rsidR="00007F70" w:rsidRPr="00B473EC" w:rsidRDefault="00007F70" w:rsidP="00007F70">
      <w:pPr>
        <w:rPr>
          <w:rFonts w:cs="Arial"/>
          <w:sz w:val="22"/>
          <w:szCs w:val="22"/>
        </w:rPr>
      </w:pPr>
    </w:p>
    <w:p w14:paraId="6DA0221B" w14:textId="77777777" w:rsidR="00007F70" w:rsidRPr="00B473EC" w:rsidRDefault="00007F70" w:rsidP="00007F70">
      <w:pPr>
        <w:rPr>
          <w:rFonts w:cs="Arial"/>
          <w:sz w:val="22"/>
          <w:szCs w:val="22"/>
        </w:rPr>
      </w:pPr>
    </w:p>
    <w:p w14:paraId="33496556" w14:textId="77777777" w:rsidR="00007F70" w:rsidRPr="00B473EC" w:rsidRDefault="00007F70" w:rsidP="00007F70">
      <w:pPr>
        <w:rPr>
          <w:rFonts w:cs="Arial"/>
          <w:sz w:val="22"/>
          <w:szCs w:val="22"/>
        </w:rPr>
      </w:pPr>
    </w:p>
    <w:p w14:paraId="21C17414" w14:textId="77777777" w:rsidR="00007F70" w:rsidRPr="00B473EC" w:rsidRDefault="00007F70" w:rsidP="00007F70">
      <w:pPr>
        <w:rPr>
          <w:rFonts w:cs="Arial"/>
          <w:sz w:val="22"/>
          <w:szCs w:val="22"/>
        </w:rPr>
      </w:pPr>
    </w:p>
    <w:p w14:paraId="158EE2F5" w14:textId="77777777" w:rsidR="00007F70" w:rsidRPr="00B473EC" w:rsidRDefault="00007F70" w:rsidP="00007F70">
      <w:pPr>
        <w:rPr>
          <w:rFonts w:cs="Arial"/>
          <w:sz w:val="22"/>
          <w:szCs w:val="22"/>
        </w:rPr>
      </w:pPr>
    </w:p>
    <w:p w14:paraId="25A5939E" w14:textId="77777777" w:rsidR="00007F70" w:rsidRPr="00B473EC" w:rsidRDefault="00007F70" w:rsidP="00007F70">
      <w:pPr>
        <w:rPr>
          <w:rFonts w:cs="Arial"/>
          <w:sz w:val="22"/>
          <w:szCs w:val="22"/>
        </w:rPr>
      </w:pPr>
    </w:p>
    <w:p w14:paraId="5C1CDA3B" w14:textId="77777777" w:rsidR="00007F70" w:rsidRPr="00B473EC" w:rsidRDefault="00007F70" w:rsidP="00007F70">
      <w:pPr>
        <w:rPr>
          <w:rFonts w:cs="Arial"/>
          <w:sz w:val="22"/>
          <w:szCs w:val="22"/>
        </w:rPr>
      </w:pPr>
    </w:p>
    <w:p w14:paraId="59ECEE5C" w14:textId="77777777" w:rsidR="00007F70" w:rsidRPr="00B473EC" w:rsidRDefault="00007F70" w:rsidP="00007F70">
      <w:pPr>
        <w:rPr>
          <w:rFonts w:cs="Arial"/>
          <w:sz w:val="22"/>
          <w:szCs w:val="22"/>
        </w:rPr>
      </w:pPr>
    </w:p>
    <w:p w14:paraId="718132F5" w14:textId="77777777" w:rsidR="00007F70" w:rsidRPr="00B473EC" w:rsidRDefault="00007F70" w:rsidP="00007F70">
      <w:pPr>
        <w:rPr>
          <w:rFonts w:cs="Arial"/>
          <w:sz w:val="22"/>
          <w:szCs w:val="22"/>
        </w:rPr>
      </w:pPr>
    </w:p>
    <w:p w14:paraId="048CE4A8" w14:textId="77777777" w:rsidR="00007F70" w:rsidRPr="00B473EC" w:rsidRDefault="00007F70" w:rsidP="00007F70">
      <w:pPr>
        <w:rPr>
          <w:rFonts w:cs="Arial"/>
          <w:sz w:val="22"/>
          <w:szCs w:val="22"/>
        </w:rPr>
      </w:pPr>
    </w:p>
    <w:p w14:paraId="2C2CBA0E" w14:textId="77777777" w:rsidR="00007F70" w:rsidRPr="00B473EC" w:rsidRDefault="00007F70" w:rsidP="00007F70">
      <w:pPr>
        <w:rPr>
          <w:rFonts w:cs="Arial"/>
          <w:sz w:val="22"/>
          <w:szCs w:val="22"/>
        </w:rPr>
      </w:pPr>
    </w:p>
    <w:p w14:paraId="4AEA6754" w14:textId="77777777" w:rsidR="00007F70" w:rsidRPr="00B473EC" w:rsidRDefault="00007F70" w:rsidP="00007F70">
      <w:pPr>
        <w:rPr>
          <w:rFonts w:cs="Arial"/>
          <w:sz w:val="22"/>
          <w:szCs w:val="22"/>
        </w:rPr>
      </w:pPr>
    </w:p>
    <w:p w14:paraId="1D8ADCDB" w14:textId="77777777" w:rsidR="00007F70" w:rsidRPr="00B473EC" w:rsidRDefault="00007F70" w:rsidP="00007F70">
      <w:pPr>
        <w:tabs>
          <w:tab w:val="left" w:pos="1020"/>
        </w:tabs>
        <w:rPr>
          <w:rFonts w:cs="Arial"/>
          <w:sz w:val="22"/>
          <w:szCs w:val="22"/>
        </w:rPr>
        <w:sectPr w:rsidR="00007F70" w:rsidRPr="00B473EC" w:rsidSect="00007F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418" w:right="1134" w:bottom="1418" w:left="1134" w:header="431" w:footer="431" w:gutter="0"/>
          <w:cols w:space="720"/>
          <w:noEndnote/>
          <w:titlePg/>
          <w:docGrid w:linePitch="272"/>
        </w:sectPr>
      </w:pPr>
    </w:p>
    <w:p w14:paraId="73478124" w14:textId="77777777" w:rsidR="00113BFE" w:rsidRPr="00113BFE" w:rsidRDefault="00113BFE" w:rsidP="00113BFE">
      <w:pPr>
        <w:jc w:val="center"/>
        <w:rPr>
          <w:rFonts w:eastAsia="MS Mincho" w:cs="Arial"/>
          <w:b/>
          <w:bCs/>
          <w:color w:val="000000"/>
          <w:sz w:val="22"/>
          <w:szCs w:val="22"/>
          <w:lang w:eastAsia="ja-JP"/>
        </w:rPr>
      </w:pPr>
      <w:r w:rsidRPr="00113BFE">
        <w:rPr>
          <w:rFonts w:eastAsia="MS Mincho" w:cs="Arial"/>
          <w:b/>
          <w:bCs/>
          <w:color w:val="000000"/>
          <w:sz w:val="22"/>
          <w:szCs w:val="22"/>
          <w:lang w:eastAsia="ja-JP"/>
        </w:rPr>
        <w:lastRenderedPageBreak/>
        <w:t xml:space="preserve">ANALYSIS </w:t>
      </w:r>
      <w:r w:rsidR="009634DF">
        <w:rPr>
          <w:rFonts w:eastAsia="MS Mincho" w:cs="Arial"/>
          <w:b/>
          <w:bCs/>
          <w:color w:val="000000"/>
          <w:sz w:val="22"/>
          <w:szCs w:val="22"/>
          <w:lang w:eastAsia="ja-JP"/>
        </w:rPr>
        <w:t xml:space="preserve">AND SYNTHESIS </w:t>
      </w:r>
      <w:r w:rsidRPr="00113BFE">
        <w:rPr>
          <w:rFonts w:eastAsia="MS Mincho" w:cs="Arial"/>
          <w:b/>
          <w:bCs/>
          <w:color w:val="000000"/>
          <w:sz w:val="22"/>
          <w:szCs w:val="22"/>
          <w:lang w:eastAsia="ja-JP"/>
        </w:rPr>
        <w:t>OF NATIONAL REPORTS</w:t>
      </w:r>
    </w:p>
    <w:p w14:paraId="19323C24" w14:textId="77777777" w:rsidR="00CB5CA6" w:rsidRDefault="00CB5CA6" w:rsidP="00CB5CA6">
      <w:pPr>
        <w:rPr>
          <w:rFonts w:cs="Arial"/>
          <w:sz w:val="22"/>
          <w:szCs w:val="22"/>
        </w:rPr>
      </w:pPr>
    </w:p>
    <w:p w14:paraId="3739E082" w14:textId="77777777" w:rsidR="00BC79EE" w:rsidRDefault="00BC79EE" w:rsidP="00CB5CA6">
      <w:pPr>
        <w:rPr>
          <w:rFonts w:cs="Arial"/>
          <w:sz w:val="22"/>
          <w:szCs w:val="22"/>
        </w:rPr>
      </w:pPr>
    </w:p>
    <w:p w14:paraId="4266B43E" w14:textId="77777777" w:rsidR="00CB5CA6" w:rsidRPr="00B473EC" w:rsidRDefault="00CB5CA6" w:rsidP="00CB5CA6">
      <w:pPr>
        <w:jc w:val="both"/>
        <w:rPr>
          <w:rFonts w:cs="Arial"/>
          <w:sz w:val="22"/>
          <w:szCs w:val="22"/>
          <w:u w:val="single"/>
          <w:lang w:val="en-GB"/>
        </w:rPr>
      </w:pPr>
      <w:r w:rsidRPr="00B473EC">
        <w:rPr>
          <w:rFonts w:cs="Arial"/>
          <w:sz w:val="22"/>
          <w:szCs w:val="22"/>
          <w:u w:val="single"/>
          <w:lang w:val="en-GB"/>
        </w:rPr>
        <w:t>Background</w:t>
      </w:r>
    </w:p>
    <w:p w14:paraId="791D8044" w14:textId="77777777" w:rsidR="00CB5CA6" w:rsidRDefault="00CB5CA6" w:rsidP="001356AC">
      <w:pPr>
        <w:ind w:left="448" w:hanging="448"/>
        <w:jc w:val="both"/>
        <w:rPr>
          <w:rFonts w:cs="Arial"/>
          <w:sz w:val="22"/>
          <w:szCs w:val="22"/>
        </w:rPr>
      </w:pPr>
    </w:p>
    <w:p w14:paraId="7BCEB76C" w14:textId="5FAC3517" w:rsidR="00CB5CA6" w:rsidRPr="00113BFE" w:rsidRDefault="00CB5CA6" w:rsidP="001356AC">
      <w:pPr>
        <w:ind w:left="448" w:hanging="448"/>
        <w:jc w:val="both"/>
        <w:rPr>
          <w:rFonts w:cs="Arial"/>
          <w:sz w:val="22"/>
          <w:szCs w:val="22"/>
        </w:rPr>
      </w:pPr>
      <w:r w:rsidRPr="00113BFE">
        <w:rPr>
          <w:rFonts w:cs="Arial"/>
          <w:sz w:val="22"/>
          <w:szCs w:val="22"/>
        </w:rPr>
        <w:t>1</w:t>
      </w:r>
      <w:r w:rsidR="001356AC">
        <w:rPr>
          <w:rFonts w:cs="Arial"/>
          <w:sz w:val="22"/>
          <w:szCs w:val="22"/>
        </w:rPr>
        <w:t>.</w:t>
      </w:r>
      <w:r w:rsidRPr="00113BFE">
        <w:rPr>
          <w:rFonts w:cs="Arial"/>
          <w:sz w:val="22"/>
          <w:szCs w:val="22"/>
        </w:rPr>
        <w:tab/>
        <w:t xml:space="preserve">Monitoring and reporting on activities to implement the Convention (and on the outcomes of those activities) </w:t>
      </w:r>
      <w:r w:rsidR="004C3ABD">
        <w:rPr>
          <w:rFonts w:cs="Arial"/>
          <w:sz w:val="22"/>
          <w:szCs w:val="22"/>
        </w:rPr>
        <w:t>are</w:t>
      </w:r>
      <w:r w:rsidR="004C3ABD" w:rsidRPr="00113BFE">
        <w:rPr>
          <w:rFonts w:cs="Arial"/>
          <w:sz w:val="22"/>
          <w:szCs w:val="22"/>
        </w:rPr>
        <w:t xml:space="preserve"> </w:t>
      </w:r>
      <w:r w:rsidRPr="00113BFE">
        <w:rPr>
          <w:rFonts w:cs="Arial"/>
          <w:sz w:val="22"/>
          <w:szCs w:val="22"/>
        </w:rPr>
        <w:t>essential for tracking progress, learning lessons from experience to guide future action, and forming the necessary international view about both the status of the Convention and the status of migratory species.  When related to the obligations, goals and targets agreed by the Contracting Parties, this allows a cycle of feedback and adaptive management, at both national and international levels.</w:t>
      </w:r>
    </w:p>
    <w:p w14:paraId="445F9ADA" w14:textId="77777777" w:rsidR="00CB5CA6" w:rsidRPr="00113BFE" w:rsidRDefault="00CB5CA6" w:rsidP="001356AC">
      <w:pPr>
        <w:ind w:left="448" w:hanging="448"/>
        <w:jc w:val="both"/>
        <w:rPr>
          <w:rFonts w:cs="Arial"/>
          <w:sz w:val="22"/>
          <w:szCs w:val="22"/>
        </w:rPr>
      </w:pPr>
    </w:p>
    <w:p w14:paraId="22C47756" w14:textId="5D5903AB" w:rsidR="00CB5CA6" w:rsidRPr="00113BFE" w:rsidRDefault="001356AC" w:rsidP="001356AC">
      <w:pPr>
        <w:ind w:left="448" w:hanging="448"/>
        <w:jc w:val="both"/>
        <w:rPr>
          <w:rFonts w:cs="Arial"/>
          <w:sz w:val="22"/>
          <w:szCs w:val="22"/>
        </w:rPr>
      </w:pPr>
      <w:r>
        <w:rPr>
          <w:rFonts w:cs="Arial"/>
          <w:sz w:val="22"/>
          <w:szCs w:val="22"/>
        </w:rPr>
        <w:t>2.</w:t>
      </w:r>
      <w:r w:rsidR="00CB5CA6" w:rsidRPr="00113BFE">
        <w:rPr>
          <w:rFonts w:cs="Arial"/>
          <w:sz w:val="22"/>
          <w:szCs w:val="22"/>
        </w:rPr>
        <w:tab/>
        <w:t>Article VI</w:t>
      </w:r>
      <w:r w:rsidR="00E91C96">
        <w:rPr>
          <w:rFonts w:cs="Arial"/>
          <w:sz w:val="22"/>
          <w:szCs w:val="22"/>
        </w:rPr>
        <w:t xml:space="preserve">, paragraph </w:t>
      </w:r>
      <w:r w:rsidR="00CB5CA6" w:rsidRPr="00113BFE">
        <w:rPr>
          <w:rFonts w:cs="Arial"/>
          <w:sz w:val="22"/>
          <w:szCs w:val="22"/>
        </w:rPr>
        <w:t>3 of the Convention requires Parties that are Range States of migratory species listed in Appendices I and II to inform the Conference of the Parties, through the Secretariat, of the measures they are taking to implement the provisions of the Convention for those species.</w:t>
      </w:r>
      <w:r w:rsidR="00CB5CA6">
        <w:rPr>
          <w:rFonts w:cs="Arial"/>
          <w:sz w:val="22"/>
          <w:szCs w:val="22"/>
        </w:rPr>
        <w:t xml:space="preserve">  </w:t>
      </w:r>
      <w:r w:rsidR="00CB5CA6" w:rsidRPr="00113BFE">
        <w:rPr>
          <w:rFonts w:cs="Arial"/>
          <w:sz w:val="22"/>
          <w:szCs w:val="22"/>
        </w:rPr>
        <w:t xml:space="preserve">National reports are provided as public documents on the CMS website (for the reports to </w:t>
      </w:r>
      <w:r w:rsidR="005328EF">
        <w:rPr>
          <w:rFonts w:cs="Arial"/>
          <w:sz w:val="22"/>
          <w:szCs w:val="22"/>
        </w:rPr>
        <w:t>the Twelfth Conference of the Parties (</w:t>
      </w:r>
      <w:r w:rsidR="00CB5CA6" w:rsidRPr="00113BFE">
        <w:rPr>
          <w:rFonts w:cs="Arial"/>
          <w:sz w:val="22"/>
          <w:szCs w:val="22"/>
        </w:rPr>
        <w:t>COP12</w:t>
      </w:r>
      <w:r w:rsidR="005328EF">
        <w:rPr>
          <w:rFonts w:cs="Arial"/>
          <w:sz w:val="22"/>
          <w:szCs w:val="22"/>
        </w:rPr>
        <w:t>)</w:t>
      </w:r>
      <w:r w:rsidR="00CB5CA6" w:rsidRPr="00113BFE">
        <w:rPr>
          <w:rFonts w:cs="Arial"/>
          <w:sz w:val="22"/>
          <w:szCs w:val="22"/>
        </w:rPr>
        <w:t xml:space="preserve"> see </w:t>
      </w:r>
      <w:hyperlink r:id="rId15" w:history="1">
        <w:r w:rsidR="00CB5CA6" w:rsidRPr="00113BFE">
          <w:rPr>
            <w:rStyle w:val="Hyperlink"/>
            <w:rFonts w:cs="Arial"/>
            <w:i/>
            <w:color w:val="auto"/>
            <w:sz w:val="22"/>
            <w:szCs w:val="22"/>
            <w:u w:val="none"/>
          </w:rPr>
          <w:t>http://www.cms.int/en/meeting/twelfth-meeting-conference-parties-cms</w:t>
        </w:r>
      </w:hyperlink>
      <w:r w:rsidR="00CB5CA6" w:rsidRPr="00113BFE">
        <w:rPr>
          <w:rFonts w:cs="Arial"/>
          <w:sz w:val="22"/>
          <w:szCs w:val="22"/>
        </w:rPr>
        <w:t>).</w:t>
      </w:r>
    </w:p>
    <w:p w14:paraId="6622E56C" w14:textId="77777777" w:rsidR="00CB5CA6" w:rsidRPr="00113BFE" w:rsidRDefault="00CB5CA6" w:rsidP="001356AC">
      <w:pPr>
        <w:ind w:left="448" w:hanging="448"/>
        <w:jc w:val="both"/>
        <w:rPr>
          <w:rFonts w:cs="Arial"/>
          <w:sz w:val="22"/>
          <w:szCs w:val="22"/>
        </w:rPr>
      </w:pPr>
    </w:p>
    <w:p w14:paraId="63C84F80" w14:textId="1814D1AC" w:rsidR="00CB5CA6" w:rsidRPr="00113BFE" w:rsidRDefault="00CB5CA6" w:rsidP="001356AC">
      <w:pPr>
        <w:ind w:left="448" w:hanging="448"/>
        <w:jc w:val="both"/>
        <w:rPr>
          <w:rFonts w:cs="Arial"/>
          <w:sz w:val="22"/>
          <w:szCs w:val="22"/>
        </w:rPr>
      </w:pPr>
      <w:r>
        <w:rPr>
          <w:rFonts w:cs="Arial"/>
          <w:sz w:val="22"/>
          <w:szCs w:val="22"/>
        </w:rPr>
        <w:t>3</w:t>
      </w:r>
      <w:r w:rsidR="001356AC">
        <w:rPr>
          <w:rFonts w:cs="Arial"/>
          <w:sz w:val="22"/>
          <w:szCs w:val="22"/>
        </w:rPr>
        <w:t>.</w:t>
      </w:r>
      <w:r w:rsidRPr="00113BFE">
        <w:rPr>
          <w:rFonts w:cs="Arial"/>
          <w:sz w:val="22"/>
          <w:szCs w:val="22"/>
        </w:rPr>
        <w:tab/>
        <w:t>The Standing Committee at its 45</w:t>
      </w:r>
      <w:r w:rsidRPr="00C4747D">
        <w:rPr>
          <w:rFonts w:cs="Arial"/>
          <w:sz w:val="22"/>
          <w:szCs w:val="22"/>
          <w:vertAlign w:val="superscript"/>
        </w:rPr>
        <w:t>th</w:t>
      </w:r>
      <w:r w:rsidR="004C3ABD">
        <w:rPr>
          <w:rFonts w:cs="Arial"/>
          <w:sz w:val="22"/>
          <w:szCs w:val="22"/>
        </w:rPr>
        <w:t xml:space="preserve"> </w:t>
      </w:r>
      <w:r w:rsidRPr="00113BFE">
        <w:rPr>
          <w:rFonts w:cs="Arial"/>
          <w:sz w:val="22"/>
          <w:szCs w:val="22"/>
        </w:rPr>
        <w:t xml:space="preserve">meeting agreed that the same format as used for </w:t>
      </w:r>
      <w:r w:rsidR="005328EF">
        <w:rPr>
          <w:rFonts w:cs="Arial"/>
          <w:sz w:val="22"/>
          <w:szCs w:val="22"/>
        </w:rPr>
        <w:t>the Eleventh Conference of the Parties (</w:t>
      </w:r>
      <w:r w:rsidRPr="00113BFE">
        <w:rPr>
          <w:rFonts w:cs="Arial"/>
          <w:sz w:val="22"/>
          <w:szCs w:val="22"/>
        </w:rPr>
        <w:t>COP11</w:t>
      </w:r>
      <w:r w:rsidR="005328EF">
        <w:rPr>
          <w:rFonts w:cs="Arial"/>
          <w:sz w:val="22"/>
          <w:szCs w:val="22"/>
        </w:rPr>
        <w:t>)</w:t>
      </w:r>
      <w:r w:rsidRPr="00113BFE">
        <w:rPr>
          <w:rFonts w:cs="Arial"/>
          <w:sz w:val="22"/>
          <w:szCs w:val="22"/>
        </w:rPr>
        <w:t xml:space="preserve"> would be used for reporting to COP12, with a few necessary adjustments to take into account relevant COP11 decisions.</w:t>
      </w:r>
      <w:r>
        <w:rPr>
          <w:rFonts w:cs="Arial"/>
          <w:sz w:val="22"/>
          <w:szCs w:val="22"/>
        </w:rPr>
        <w:t xml:space="preserve">  </w:t>
      </w:r>
      <w:r w:rsidRPr="00113BFE">
        <w:rPr>
          <w:rFonts w:cs="Arial"/>
          <w:sz w:val="22"/>
          <w:szCs w:val="22"/>
        </w:rPr>
        <w:t xml:space="preserve">Parties that submitted reports on time for COP11 were provided with the template for COP12 containing relevant parts of their data already pre-filled from that previous occasion, thus </w:t>
      </w:r>
      <w:r w:rsidR="004C3ABD">
        <w:rPr>
          <w:rFonts w:cs="Arial"/>
          <w:sz w:val="22"/>
          <w:szCs w:val="22"/>
        </w:rPr>
        <w:t>avoiding</w:t>
      </w:r>
      <w:r w:rsidR="004C3ABD" w:rsidRPr="00113BFE">
        <w:rPr>
          <w:rFonts w:cs="Arial"/>
          <w:sz w:val="22"/>
          <w:szCs w:val="22"/>
        </w:rPr>
        <w:t xml:space="preserve"> </w:t>
      </w:r>
      <w:r w:rsidRPr="00113BFE">
        <w:rPr>
          <w:rFonts w:cs="Arial"/>
          <w:sz w:val="22"/>
          <w:szCs w:val="22"/>
        </w:rPr>
        <w:t>the need for repetition (but leading to some new interpretation problems</w:t>
      </w:r>
      <w:r>
        <w:rPr>
          <w:rFonts w:cs="Arial"/>
          <w:sz w:val="22"/>
          <w:szCs w:val="22"/>
        </w:rPr>
        <w:t>, as discussed in the full analysis referred to below</w:t>
      </w:r>
      <w:r w:rsidRPr="00113BFE">
        <w:rPr>
          <w:rFonts w:cs="Arial"/>
          <w:sz w:val="22"/>
          <w:szCs w:val="22"/>
        </w:rPr>
        <w:t>).</w:t>
      </w:r>
    </w:p>
    <w:p w14:paraId="169ED797" w14:textId="77777777" w:rsidR="00CB5CA6" w:rsidRPr="00113BFE" w:rsidRDefault="00CB5CA6" w:rsidP="001356AC">
      <w:pPr>
        <w:ind w:left="448" w:hanging="448"/>
        <w:jc w:val="both"/>
        <w:rPr>
          <w:rFonts w:cs="Arial"/>
          <w:sz w:val="22"/>
          <w:szCs w:val="22"/>
        </w:rPr>
      </w:pPr>
    </w:p>
    <w:p w14:paraId="66C17985" w14:textId="71BC6A8E" w:rsidR="00CB5CA6" w:rsidRPr="00113BFE" w:rsidRDefault="00CB5CA6" w:rsidP="001356AC">
      <w:pPr>
        <w:ind w:left="448" w:hanging="448"/>
        <w:jc w:val="both"/>
        <w:rPr>
          <w:rFonts w:cs="Arial"/>
          <w:sz w:val="22"/>
          <w:szCs w:val="22"/>
        </w:rPr>
      </w:pPr>
      <w:r>
        <w:rPr>
          <w:rFonts w:cs="Arial"/>
          <w:sz w:val="22"/>
          <w:szCs w:val="22"/>
        </w:rPr>
        <w:t>4</w:t>
      </w:r>
      <w:r w:rsidR="001356AC">
        <w:rPr>
          <w:rFonts w:cs="Arial"/>
          <w:sz w:val="22"/>
          <w:szCs w:val="22"/>
        </w:rPr>
        <w:t>.</w:t>
      </w:r>
      <w:r>
        <w:rPr>
          <w:rFonts w:cs="Arial"/>
          <w:sz w:val="22"/>
          <w:szCs w:val="22"/>
        </w:rPr>
        <w:tab/>
      </w:r>
      <w:r w:rsidRPr="00113BFE">
        <w:rPr>
          <w:rFonts w:cs="Arial"/>
          <w:sz w:val="22"/>
          <w:szCs w:val="22"/>
        </w:rPr>
        <w:t>For COP12, the Online Reporting System was opened in December 2016, and the deadline for submission</w:t>
      </w:r>
      <w:r w:rsidR="004C3ABD">
        <w:rPr>
          <w:rFonts w:cs="Arial"/>
          <w:sz w:val="22"/>
          <w:szCs w:val="22"/>
        </w:rPr>
        <w:t>s</w:t>
      </w:r>
      <w:r w:rsidRPr="00113BFE">
        <w:rPr>
          <w:rFonts w:cs="Arial"/>
          <w:sz w:val="22"/>
          <w:szCs w:val="22"/>
        </w:rPr>
        <w:t xml:space="preserve"> was 24 April 2017.  Consequently</w:t>
      </w:r>
      <w:r w:rsidR="00A14D53">
        <w:rPr>
          <w:rFonts w:cs="Arial"/>
          <w:sz w:val="22"/>
          <w:szCs w:val="22"/>
        </w:rPr>
        <w:t>,</w:t>
      </w:r>
      <w:r w:rsidRPr="00113BFE">
        <w:rPr>
          <w:rFonts w:cs="Arial"/>
          <w:sz w:val="22"/>
          <w:szCs w:val="22"/>
        </w:rPr>
        <w:t xml:space="preserve"> the period covered by information in this round of reports is from May 2014 (the submission deadline for COP11 reports) to April 2017, except in the case of information relating to new decisions adopted at COP11 itself (November 2014).</w:t>
      </w:r>
    </w:p>
    <w:p w14:paraId="275FCFF7" w14:textId="77777777" w:rsidR="00CB5CA6" w:rsidRPr="00113BFE" w:rsidRDefault="00CB5CA6" w:rsidP="001356AC">
      <w:pPr>
        <w:ind w:left="448" w:hanging="448"/>
        <w:jc w:val="both"/>
        <w:rPr>
          <w:rFonts w:cs="Arial"/>
          <w:sz w:val="22"/>
          <w:szCs w:val="22"/>
        </w:rPr>
      </w:pPr>
    </w:p>
    <w:p w14:paraId="21B9F8BF" w14:textId="4421BCE9" w:rsidR="00CB5CA6" w:rsidRPr="00113BFE" w:rsidRDefault="00CB5CA6" w:rsidP="001356AC">
      <w:pPr>
        <w:ind w:left="448" w:hanging="448"/>
        <w:jc w:val="both"/>
        <w:rPr>
          <w:rFonts w:cs="Arial"/>
          <w:sz w:val="22"/>
          <w:szCs w:val="22"/>
        </w:rPr>
      </w:pPr>
      <w:r>
        <w:rPr>
          <w:rFonts w:cs="Arial"/>
          <w:sz w:val="22"/>
          <w:szCs w:val="22"/>
        </w:rPr>
        <w:t>5</w:t>
      </w:r>
      <w:r w:rsidR="001356AC">
        <w:rPr>
          <w:rFonts w:cs="Arial"/>
          <w:sz w:val="22"/>
          <w:szCs w:val="22"/>
        </w:rPr>
        <w:t>.</w:t>
      </w:r>
      <w:r w:rsidRPr="00113BFE">
        <w:rPr>
          <w:rFonts w:cs="Arial"/>
          <w:sz w:val="22"/>
          <w:szCs w:val="22"/>
        </w:rPr>
        <w:tab/>
        <w:t>Being a publicly</w:t>
      </w:r>
      <w:r w:rsidR="004C3ABD">
        <w:rPr>
          <w:rFonts w:cs="Arial"/>
          <w:sz w:val="22"/>
          <w:szCs w:val="22"/>
        </w:rPr>
        <w:t xml:space="preserve"> </w:t>
      </w:r>
      <w:r w:rsidRPr="00113BFE">
        <w:rPr>
          <w:rFonts w:cs="Arial"/>
          <w:sz w:val="22"/>
          <w:szCs w:val="22"/>
        </w:rPr>
        <w:t xml:space="preserve">available dataset, the national reports can be directly consulted as an official source reference </w:t>
      </w:r>
      <w:r w:rsidR="004C3ABD">
        <w:rPr>
          <w:rFonts w:cs="Arial"/>
          <w:sz w:val="22"/>
          <w:szCs w:val="22"/>
        </w:rPr>
        <w:t>for</w:t>
      </w:r>
      <w:r w:rsidRPr="00113BFE">
        <w:rPr>
          <w:rFonts w:cs="Arial"/>
          <w:sz w:val="22"/>
          <w:szCs w:val="22"/>
        </w:rPr>
        <w:t xml:space="preserve"> CMS implementation and </w:t>
      </w:r>
      <w:r w:rsidR="004C3ABD">
        <w:rPr>
          <w:rFonts w:cs="Arial"/>
          <w:sz w:val="22"/>
          <w:szCs w:val="22"/>
        </w:rPr>
        <w:t xml:space="preserve">for </w:t>
      </w:r>
      <w:r w:rsidR="004C3ABD" w:rsidRPr="00113BFE">
        <w:rPr>
          <w:rFonts w:cs="Arial"/>
          <w:sz w:val="22"/>
          <w:szCs w:val="22"/>
        </w:rPr>
        <w:t xml:space="preserve">information </w:t>
      </w:r>
      <w:r w:rsidRPr="00113BFE">
        <w:rPr>
          <w:rFonts w:cs="Arial"/>
          <w:sz w:val="22"/>
          <w:szCs w:val="22"/>
        </w:rPr>
        <w:t xml:space="preserve">on migratory species for the individual countries.  This is an invaluable resource for all stakeholders who play a part in implementation of the Convention at national and local levels, and it supports an integrated approach by </w:t>
      </w:r>
      <w:r w:rsidR="004C3ABD">
        <w:rPr>
          <w:rFonts w:cs="Arial"/>
          <w:sz w:val="22"/>
          <w:szCs w:val="22"/>
        </w:rPr>
        <w:t>S</w:t>
      </w:r>
      <w:r w:rsidRPr="00113BFE">
        <w:rPr>
          <w:rFonts w:cs="Arial"/>
          <w:sz w:val="22"/>
          <w:szCs w:val="22"/>
        </w:rPr>
        <w:t xml:space="preserve">tate </w:t>
      </w:r>
      <w:r w:rsidR="004C3ABD">
        <w:rPr>
          <w:rFonts w:cs="Arial"/>
          <w:sz w:val="22"/>
          <w:szCs w:val="22"/>
        </w:rPr>
        <w:t>A</w:t>
      </w:r>
      <w:r w:rsidRPr="00113BFE">
        <w:rPr>
          <w:rFonts w:cs="Arial"/>
          <w:sz w:val="22"/>
          <w:szCs w:val="22"/>
        </w:rPr>
        <w:t>uthorities across all sectors, together with non-governmental organi</w:t>
      </w:r>
      <w:r w:rsidR="00A14D53">
        <w:rPr>
          <w:rFonts w:cs="Arial"/>
          <w:sz w:val="22"/>
          <w:szCs w:val="22"/>
        </w:rPr>
        <w:t>z</w:t>
      </w:r>
      <w:r w:rsidRPr="00113BFE">
        <w:rPr>
          <w:rFonts w:cs="Arial"/>
          <w:sz w:val="22"/>
          <w:szCs w:val="22"/>
        </w:rPr>
        <w:t>ations, community groups, academia and the private sector.  As well as illuminating the results of efforts to date, the reports help to guide future action, research and investment priorities.  The common approach taken to reporting also assists with cooperation between countries in transboundary and regional contexts.</w:t>
      </w:r>
    </w:p>
    <w:p w14:paraId="76886BD5" w14:textId="77777777" w:rsidR="00CB5CA6" w:rsidRPr="00113BFE" w:rsidRDefault="00CB5CA6" w:rsidP="001356AC">
      <w:pPr>
        <w:ind w:left="448" w:hanging="448"/>
        <w:jc w:val="both"/>
        <w:rPr>
          <w:rFonts w:cs="Arial"/>
          <w:sz w:val="22"/>
          <w:szCs w:val="22"/>
        </w:rPr>
      </w:pPr>
    </w:p>
    <w:p w14:paraId="6A9DD046" w14:textId="56E77BB5" w:rsidR="00CB5CA6" w:rsidRDefault="00CB5CA6" w:rsidP="001356AC">
      <w:pPr>
        <w:ind w:left="448" w:hanging="448"/>
        <w:jc w:val="both"/>
        <w:rPr>
          <w:rFonts w:cs="Arial"/>
          <w:sz w:val="22"/>
          <w:szCs w:val="22"/>
        </w:rPr>
      </w:pPr>
      <w:r>
        <w:rPr>
          <w:rFonts w:cs="Arial"/>
          <w:sz w:val="22"/>
          <w:szCs w:val="22"/>
        </w:rPr>
        <w:t>6</w:t>
      </w:r>
      <w:r w:rsidR="001356AC">
        <w:rPr>
          <w:rFonts w:cs="Arial"/>
          <w:sz w:val="22"/>
          <w:szCs w:val="22"/>
        </w:rPr>
        <w:t>.</w:t>
      </w:r>
      <w:r w:rsidRPr="00113BFE">
        <w:rPr>
          <w:rFonts w:cs="Arial"/>
          <w:sz w:val="22"/>
          <w:szCs w:val="22"/>
        </w:rPr>
        <w:tab/>
      </w:r>
      <w:r>
        <w:rPr>
          <w:rFonts w:cs="Arial"/>
          <w:sz w:val="22"/>
          <w:szCs w:val="22"/>
        </w:rPr>
        <w:t>In addition, t</w:t>
      </w:r>
      <w:r w:rsidRPr="00113BFE">
        <w:rPr>
          <w:rFonts w:cs="Arial"/>
          <w:sz w:val="22"/>
          <w:szCs w:val="22"/>
        </w:rPr>
        <w:t xml:space="preserve">he </w:t>
      </w:r>
      <w:r>
        <w:rPr>
          <w:rFonts w:cs="Arial"/>
          <w:sz w:val="22"/>
          <w:szCs w:val="22"/>
        </w:rPr>
        <w:t xml:space="preserve">compilation by the Secretariat of an </w:t>
      </w:r>
      <w:r w:rsidRPr="00113BFE">
        <w:rPr>
          <w:rFonts w:cs="Arial"/>
          <w:sz w:val="22"/>
          <w:szCs w:val="22"/>
        </w:rPr>
        <w:t xml:space="preserve">international </w:t>
      </w:r>
      <w:r>
        <w:rPr>
          <w:rFonts w:cs="Arial"/>
          <w:sz w:val="22"/>
          <w:szCs w:val="22"/>
        </w:rPr>
        <w:t xml:space="preserve">overview of the data provided </w:t>
      </w:r>
      <w:r w:rsidRPr="00113BFE">
        <w:rPr>
          <w:rFonts w:cs="Arial"/>
          <w:sz w:val="22"/>
          <w:szCs w:val="22"/>
        </w:rPr>
        <w:t>allows general patterns and trends to be seen</w:t>
      </w:r>
      <w:r>
        <w:rPr>
          <w:rFonts w:cs="Arial"/>
          <w:sz w:val="22"/>
          <w:szCs w:val="22"/>
        </w:rPr>
        <w:t xml:space="preserve">, </w:t>
      </w:r>
      <w:r w:rsidRPr="00A24AE3">
        <w:rPr>
          <w:rFonts w:cs="Arial"/>
          <w:i/>
          <w:sz w:val="22"/>
          <w:szCs w:val="22"/>
        </w:rPr>
        <w:t>inter alia</w:t>
      </w:r>
      <w:r>
        <w:rPr>
          <w:rFonts w:cs="Arial"/>
          <w:sz w:val="22"/>
          <w:szCs w:val="22"/>
        </w:rPr>
        <w:t xml:space="preserve"> on</w:t>
      </w:r>
      <w:r w:rsidRPr="00113BFE">
        <w:rPr>
          <w:rFonts w:cs="Arial"/>
          <w:sz w:val="22"/>
          <w:szCs w:val="22"/>
        </w:rPr>
        <w:t xml:space="preserve"> progress with implementation of COP decisions, on notable successes and on challenges needing to be addressed.  This includes a reflection on progress towards the achievement of goals and targets in the Strategic Plan for Migratory Species 2015-2023</w:t>
      </w:r>
      <w:r w:rsidR="005328EF">
        <w:rPr>
          <w:rFonts w:cs="Arial"/>
          <w:sz w:val="22"/>
          <w:szCs w:val="22"/>
        </w:rPr>
        <w:t xml:space="preserve"> </w:t>
      </w:r>
      <w:r w:rsidR="005328EF" w:rsidRPr="00771530">
        <w:rPr>
          <w:rFonts w:cs="Arial"/>
          <w:sz w:val="22"/>
          <w:szCs w:val="22"/>
        </w:rPr>
        <w:t>(SPMS)</w:t>
      </w:r>
      <w:r w:rsidRPr="00113BFE">
        <w:rPr>
          <w:rFonts w:cs="Arial"/>
          <w:sz w:val="22"/>
          <w:szCs w:val="22"/>
        </w:rPr>
        <w:t xml:space="preserve">, which in turn relates to progress in delivering aspects of the Strategic Plan for Biodiversity 2011-2020 and the UN 2030 Agenda for Sustainable </w:t>
      </w:r>
      <w:r w:rsidR="004C3ABD">
        <w:rPr>
          <w:rFonts w:cs="Arial"/>
          <w:sz w:val="22"/>
          <w:szCs w:val="22"/>
        </w:rPr>
        <w:t>D</w:t>
      </w:r>
      <w:r w:rsidRPr="00113BFE">
        <w:rPr>
          <w:rFonts w:cs="Arial"/>
          <w:sz w:val="22"/>
          <w:szCs w:val="22"/>
        </w:rPr>
        <w:t>evelopment (Sustainable Development Goals).  Th</w:t>
      </w:r>
      <w:r>
        <w:rPr>
          <w:rFonts w:cs="Arial"/>
          <w:sz w:val="22"/>
          <w:szCs w:val="22"/>
        </w:rPr>
        <w:t xml:space="preserve">e overview </w:t>
      </w:r>
      <w:r w:rsidRPr="00113BFE">
        <w:rPr>
          <w:rFonts w:cs="Arial"/>
          <w:sz w:val="22"/>
          <w:szCs w:val="22"/>
        </w:rPr>
        <w:t>therefore helps to inform new decisions being taken by the COP, while also feeding into wider processes of international environmental governance.</w:t>
      </w:r>
    </w:p>
    <w:p w14:paraId="434BFE0C" w14:textId="77777777" w:rsidR="00CB5CA6" w:rsidRDefault="00CB5CA6" w:rsidP="001356AC">
      <w:pPr>
        <w:ind w:left="448" w:hanging="448"/>
        <w:jc w:val="both"/>
        <w:rPr>
          <w:rFonts w:cs="Arial"/>
          <w:sz w:val="22"/>
          <w:szCs w:val="22"/>
        </w:rPr>
      </w:pPr>
    </w:p>
    <w:p w14:paraId="555DEC6C" w14:textId="0981ABBF" w:rsidR="00CB5CA6" w:rsidRPr="00113BFE" w:rsidRDefault="00CB5CA6" w:rsidP="001356AC">
      <w:pPr>
        <w:ind w:left="448" w:hanging="448"/>
        <w:jc w:val="both"/>
        <w:rPr>
          <w:rFonts w:cs="Arial"/>
          <w:sz w:val="22"/>
          <w:szCs w:val="22"/>
        </w:rPr>
      </w:pPr>
      <w:r>
        <w:rPr>
          <w:rFonts w:cs="Arial"/>
          <w:sz w:val="22"/>
          <w:szCs w:val="22"/>
        </w:rPr>
        <w:t>7</w:t>
      </w:r>
      <w:r w:rsidR="001356AC">
        <w:rPr>
          <w:rFonts w:cs="Arial"/>
          <w:sz w:val="22"/>
          <w:szCs w:val="22"/>
        </w:rPr>
        <w:t>.</w:t>
      </w:r>
      <w:r>
        <w:rPr>
          <w:rFonts w:cs="Arial"/>
          <w:sz w:val="22"/>
          <w:szCs w:val="22"/>
        </w:rPr>
        <w:tab/>
        <w:t>The full analysis report is contained in</w:t>
      </w:r>
      <w:r w:rsidRPr="00113BFE">
        <w:rPr>
          <w:rFonts w:cs="Arial"/>
          <w:sz w:val="22"/>
          <w:szCs w:val="22"/>
        </w:rPr>
        <w:t xml:space="preserve"> document UNEP/CMS/COP12/</w:t>
      </w:r>
      <w:r>
        <w:rPr>
          <w:rFonts w:cs="Arial"/>
          <w:sz w:val="22"/>
          <w:szCs w:val="22"/>
        </w:rPr>
        <w:t>Inf</w:t>
      </w:r>
      <w:r w:rsidRPr="00113BFE">
        <w:rPr>
          <w:rFonts w:cs="Arial"/>
          <w:sz w:val="22"/>
          <w:szCs w:val="22"/>
        </w:rPr>
        <w:t>.</w:t>
      </w:r>
      <w:r w:rsidR="009634DF" w:rsidRPr="00FE7882">
        <w:rPr>
          <w:rFonts w:cs="Arial"/>
          <w:sz w:val="22"/>
          <w:szCs w:val="22"/>
        </w:rPr>
        <w:t>30</w:t>
      </w:r>
      <w:r w:rsidRPr="00113BFE">
        <w:rPr>
          <w:rFonts w:cs="Arial"/>
          <w:sz w:val="22"/>
          <w:szCs w:val="22"/>
        </w:rPr>
        <w:t>)</w:t>
      </w:r>
      <w:r>
        <w:rPr>
          <w:rFonts w:cs="Arial"/>
          <w:sz w:val="22"/>
          <w:szCs w:val="22"/>
        </w:rPr>
        <w:t>.  It</w:t>
      </w:r>
      <w:r w:rsidRPr="00113BFE">
        <w:rPr>
          <w:rFonts w:cs="Arial"/>
          <w:sz w:val="22"/>
          <w:szCs w:val="22"/>
        </w:rPr>
        <w:t xml:space="preserve"> is based on the reports provided by those Parties </w:t>
      </w:r>
      <w:r w:rsidR="004C3ABD">
        <w:rPr>
          <w:rFonts w:cs="Arial"/>
          <w:sz w:val="22"/>
          <w:szCs w:val="22"/>
        </w:rPr>
        <w:t>that</w:t>
      </w:r>
      <w:r w:rsidR="004C3ABD" w:rsidRPr="00113BFE">
        <w:rPr>
          <w:rFonts w:cs="Arial"/>
          <w:sz w:val="22"/>
          <w:szCs w:val="22"/>
        </w:rPr>
        <w:t xml:space="preserve"> </w:t>
      </w:r>
      <w:r w:rsidRPr="00113BFE">
        <w:rPr>
          <w:rFonts w:cs="Arial"/>
          <w:sz w:val="22"/>
          <w:szCs w:val="22"/>
        </w:rPr>
        <w:t>had submitted them by the formal deadline, and it has also been possible to include some that arrived shortly thereafter.</w:t>
      </w:r>
      <w:r>
        <w:rPr>
          <w:rFonts w:cs="Arial"/>
          <w:sz w:val="22"/>
          <w:szCs w:val="22"/>
        </w:rPr>
        <w:t xml:space="preserve">  The present document is a </w:t>
      </w:r>
      <w:r>
        <w:rPr>
          <w:rFonts w:cs="Arial"/>
          <w:sz w:val="22"/>
          <w:szCs w:val="22"/>
        </w:rPr>
        <w:lastRenderedPageBreak/>
        <w:t xml:space="preserve">short summary of that analysis, and the </w:t>
      </w:r>
      <w:r w:rsidRPr="00113BFE">
        <w:rPr>
          <w:rFonts w:cs="Arial"/>
          <w:sz w:val="22"/>
          <w:szCs w:val="22"/>
        </w:rPr>
        <w:t>main structure follows that used for the equivalent analys</w:t>
      </w:r>
      <w:r>
        <w:rPr>
          <w:rFonts w:cs="Arial"/>
          <w:sz w:val="22"/>
          <w:szCs w:val="22"/>
        </w:rPr>
        <w:t>i</w:t>
      </w:r>
      <w:r w:rsidRPr="00113BFE">
        <w:rPr>
          <w:rFonts w:cs="Arial"/>
          <w:sz w:val="22"/>
          <w:szCs w:val="22"/>
        </w:rPr>
        <w:t>s undertaken for COP11 (documents UNEP/CMS/COP11/Doc.19.3 and UNEP/CMS/COP11/Inf.42).</w:t>
      </w:r>
    </w:p>
    <w:p w14:paraId="0F43D1D1" w14:textId="77777777" w:rsidR="00CB5CA6" w:rsidRDefault="00CB5CA6" w:rsidP="001356AC">
      <w:pPr>
        <w:ind w:left="448" w:hanging="448"/>
        <w:jc w:val="both"/>
        <w:rPr>
          <w:rFonts w:cs="Arial"/>
          <w:sz w:val="22"/>
          <w:szCs w:val="22"/>
        </w:rPr>
      </w:pPr>
    </w:p>
    <w:p w14:paraId="37D4E597" w14:textId="77777777" w:rsidR="00CB5CA6" w:rsidRPr="00113BFE" w:rsidRDefault="00CB5CA6" w:rsidP="001356AC">
      <w:pPr>
        <w:ind w:left="448" w:hanging="448"/>
        <w:jc w:val="both"/>
        <w:rPr>
          <w:rFonts w:cs="Arial"/>
          <w:sz w:val="22"/>
          <w:szCs w:val="22"/>
        </w:rPr>
      </w:pPr>
      <w:r>
        <w:rPr>
          <w:rFonts w:cs="Arial"/>
          <w:sz w:val="22"/>
          <w:szCs w:val="22"/>
        </w:rPr>
        <w:t>8</w:t>
      </w:r>
      <w:r w:rsidR="001356AC">
        <w:rPr>
          <w:rFonts w:cs="Arial"/>
          <w:sz w:val="22"/>
          <w:szCs w:val="22"/>
        </w:rPr>
        <w:t>.</w:t>
      </w:r>
      <w:r>
        <w:rPr>
          <w:rFonts w:cs="Arial"/>
          <w:sz w:val="22"/>
          <w:szCs w:val="22"/>
        </w:rPr>
        <w:tab/>
        <w:t>The conclusions include some lessons learned concerning the report format itself.  Further to</w:t>
      </w:r>
      <w:r w:rsidRPr="00113BFE">
        <w:rPr>
          <w:rFonts w:cs="Arial"/>
          <w:sz w:val="22"/>
          <w:szCs w:val="22"/>
        </w:rPr>
        <w:t xml:space="preserve"> a specific request in Resolution 11.2, </w:t>
      </w:r>
      <w:r>
        <w:rPr>
          <w:rFonts w:cs="Arial"/>
          <w:sz w:val="22"/>
          <w:szCs w:val="22"/>
        </w:rPr>
        <w:t xml:space="preserve">questions </w:t>
      </w:r>
      <w:r w:rsidRPr="00A14D53">
        <w:rPr>
          <w:rFonts w:cs="Arial"/>
          <w:sz w:val="22"/>
          <w:szCs w:val="22"/>
        </w:rPr>
        <w:t>concerning the format were also considered by the Standing Committee and the Strategic Plan Working Group during the triennium, and suggestions for possible future adjustments are discussed separately in document UNEP/CMS/COP12/Doc.</w:t>
      </w:r>
      <w:r w:rsidR="00A14D53" w:rsidRPr="00A14D53">
        <w:rPr>
          <w:rFonts w:cs="Arial"/>
          <w:sz w:val="22"/>
          <w:szCs w:val="22"/>
        </w:rPr>
        <w:t>19.2</w:t>
      </w:r>
      <w:r w:rsidRPr="00A14D53">
        <w:rPr>
          <w:rFonts w:cs="Arial"/>
          <w:sz w:val="22"/>
          <w:szCs w:val="22"/>
        </w:rPr>
        <w:t>.</w:t>
      </w:r>
    </w:p>
    <w:p w14:paraId="7D78A133" w14:textId="77777777" w:rsidR="002B1990" w:rsidRPr="00113BFE" w:rsidRDefault="002B1990" w:rsidP="002B1990">
      <w:pPr>
        <w:ind w:left="448" w:hanging="448"/>
        <w:jc w:val="both"/>
        <w:rPr>
          <w:rFonts w:cs="Arial"/>
          <w:sz w:val="22"/>
          <w:szCs w:val="22"/>
        </w:rPr>
      </w:pPr>
    </w:p>
    <w:p w14:paraId="17CD2F72" w14:textId="77777777" w:rsidR="002B1990" w:rsidRPr="002B1990" w:rsidRDefault="002B1990" w:rsidP="002B1990">
      <w:pPr>
        <w:ind w:left="448" w:hanging="448"/>
        <w:jc w:val="both"/>
        <w:rPr>
          <w:rFonts w:cs="Arial"/>
          <w:sz w:val="22"/>
          <w:szCs w:val="22"/>
          <w:u w:val="single"/>
        </w:rPr>
      </w:pPr>
      <w:r w:rsidRPr="002B1990">
        <w:rPr>
          <w:rFonts w:cs="Arial"/>
          <w:sz w:val="22"/>
          <w:szCs w:val="22"/>
          <w:u w:val="single"/>
        </w:rPr>
        <w:t>Reporting performance</w:t>
      </w:r>
    </w:p>
    <w:p w14:paraId="35A1DD17" w14:textId="77777777" w:rsidR="002B1990" w:rsidRPr="00113BFE" w:rsidRDefault="002B1990" w:rsidP="002B1990">
      <w:pPr>
        <w:ind w:left="448" w:hanging="448"/>
        <w:jc w:val="both"/>
        <w:rPr>
          <w:rFonts w:cs="Arial"/>
          <w:sz w:val="22"/>
          <w:szCs w:val="22"/>
        </w:rPr>
      </w:pPr>
    </w:p>
    <w:p w14:paraId="1DAB896F" w14:textId="7EB42EF2" w:rsidR="002B1990" w:rsidRPr="00113BFE" w:rsidRDefault="002B1990" w:rsidP="002B1990">
      <w:pPr>
        <w:ind w:left="448" w:hanging="448"/>
        <w:jc w:val="both"/>
        <w:rPr>
          <w:rFonts w:cs="Arial"/>
          <w:sz w:val="22"/>
          <w:szCs w:val="22"/>
        </w:rPr>
      </w:pPr>
      <w:r>
        <w:rPr>
          <w:rFonts w:cs="Arial"/>
          <w:sz w:val="22"/>
          <w:szCs w:val="22"/>
        </w:rPr>
        <w:t>9.</w:t>
      </w:r>
      <w:r>
        <w:rPr>
          <w:rFonts w:cs="Arial"/>
          <w:sz w:val="22"/>
          <w:szCs w:val="22"/>
        </w:rPr>
        <w:tab/>
      </w:r>
      <w:r w:rsidRPr="00113BFE">
        <w:rPr>
          <w:rFonts w:cs="Arial"/>
          <w:sz w:val="22"/>
          <w:szCs w:val="22"/>
        </w:rPr>
        <w:t>At the time of the submission deadline for the COP12 round of reporting</w:t>
      </w:r>
      <w:r>
        <w:rPr>
          <w:rFonts w:cs="Arial"/>
          <w:sz w:val="22"/>
          <w:szCs w:val="22"/>
        </w:rPr>
        <w:t xml:space="preserve"> </w:t>
      </w:r>
      <w:r w:rsidRPr="00113BFE">
        <w:rPr>
          <w:rFonts w:cs="Arial"/>
          <w:sz w:val="22"/>
          <w:szCs w:val="22"/>
        </w:rPr>
        <w:t>there were 124 full Parties to the CMS.</w:t>
      </w:r>
      <w:r>
        <w:rPr>
          <w:rFonts w:cs="Arial"/>
          <w:sz w:val="22"/>
          <w:szCs w:val="22"/>
        </w:rPr>
        <w:t xml:space="preserve">  </w:t>
      </w:r>
      <w:r w:rsidRPr="00113BFE">
        <w:rPr>
          <w:rFonts w:cs="Arial"/>
          <w:sz w:val="22"/>
          <w:szCs w:val="22"/>
        </w:rPr>
        <w:t>A total of 89 reports was received in time to be included in the present analysis.  This is the highest number received for any CMS COP to date</w:t>
      </w:r>
      <w:r>
        <w:rPr>
          <w:rFonts w:cs="Arial"/>
          <w:sz w:val="22"/>
          <w:szCs w:val="22"/>
        </w:rPr>
        <w:t>, and at 72</w:t>
      </w:r>
      <w:r w:rsidR="004C3ABD">
        <w:rPr>
          <w:rFonts w:cs="Arial"/>
          <w:sz w:val="22"/>
          <w:szCs w:val="22"/>
        </w:rPr>
        <w:t xml:space="preserve"> per cent</w:t>
      </w:r>
      <w:r>
        <w:rPr>
          <w:rFonts w:cs="Arial"/>
          <w:sz w:val="22"/>
          <w:szCs w:val="22"/>
        </w:rPr>
        <w:t xml:space="preserve"> it is also an improvement in the proportion of full Parties</w:t>
      </w:r>
      <w:r w:rsidRPr="00113BFE">
        <w:rPr>
          <w:rFonts w:cs="Arial"/>
          <w:sz w:val="22"/>
          <w:szCs w:val="22"/>
        </w:rPr>
        <w:t xml:space="preserve"> </w:t>
      </w:r>
      <w:r>
        <w:rPr>
          <w:rFonts w:cs="Arial"/>
          <w:sz w:val="22"/>
          <w:szCs w:val="22"/>
        </w:rPr>
        <w:t>submitting timely reports.  T</w:t>
      </w:r>
      <w:r w:rsidRPr="00113BFE">
        <w:rPr>
          <w:rFonts w:cs="Arial"/>
          <w:sz w:val="22"/>
          <w:szCs w:val="22"/>
        </w:rPr>
        <w:t xml:space="preserve">he rate of submission </w:t>
      </w:r>
      <w:r>
        <w:rPr>
          <w:rFonts w:cs="Arial"/>
          <w:sz w:val="22"/>
          <w:szCs w:val="22"/>
        </w:rPr>
        <w:t xml:space="preserve">also </w:t>
      </w:r>
      <w:r w:rsidRPr="00113BFE">
        <w:rPr>
          <w:rFonts w:cs="Arial"/>
          <w:sz w:val="22"/>
          <w:szCs w:val="22"/>
        </w:rPr>
        <w:t>improved (by comparison with COP11 in 2014) for each of the Convention’s five regions individually.  For COP11 the European region showed the highest rate of submission (69</w:t>
      </w:r>
      <w:r w:rsidR="004C3ABD">
        <w:rPr>
          <w:rFonts w:cs="Arial"/>
          <w:sz w:val="22"/>
          <w:szCs w:val="22"/>
        </w:rPr>
        <w:t xml:space="preserve"> per cent</w:t>
      </w:r>
      <w:r w:rsidRPr="00113BFE">
        <w:rPr>
          <w:rFonts w:cs="Arial"/>
          <w:sz w:val="22"/>
          <w:szCs w:val="22"/>
        </w:rPr>
        <w:t>) and Africa the lowest (32</w:t>
      </w:r>
      <w:r w:rsidR="004C3ABD">
        <w:rPr>
          <w:rFonts w:cs="Arial"/>
          <w:sz w:val="22"/>
          <w:szCs w:val="22"/>
        </w:rPr>
        <w:t xml:space="preserve"> per cent</w:t>
      </w:r>
      <w:r w:rsidRPr="00113BFE">
        <w:rPr>
          <w:rFonts w:cs="Arial"/>
          <w:sz w:val="22"/>
          <w:szCs w:val="22"/>
        </w:rPr>
        <w:t>); while for COP12 Oceania had the highest rate (86</w:t>
      </w:r>
      <w:r w:rsidR="004C3ABD">
        <w:rPr>
          <w:rFonts w:cs="Arial"/>
          <w:sz w:val="22"/>
          <w:szCs w:val="22"/>
        </w:rPr>
        <w:t xml:space="preserve"> per cent</w:t>
      </w:r>
      <w:r w:rsidRPr="00113BFE">
        <w:rPr>
          <w:rFonts w:cs="Arial"/>
          <w:sz w:val="22"/>
          <w:szCs w:val="22"/>
        </w:rPr>
        <w:t>) and Asia the lowest (59</w:t>
      </w:r>
      <w:r w:rsidR="004C3ABD">
        <w:rPr>
          <w:rFonts w:cs="Arial"/>
          <w:sz w:val="22"/>
          <w:szCs w:val="22"/>
        </w:rPr>
        <w:t xml:space="preserve"> per cent</w:t>
      </w:r>
      <w:r w:rsidRPr="00113BFE">
        <w:rPr>
          <w:rFonts w:cs="Arial"/>
          <w:sz w:val="22"/>
          <w:szCs w:val="22"/>
        </w:rPr>
        <w:t>)</w:t>
      </w:r>
      <w:r>
        <w:rPr>
          <w:rFonts w:cs="Arial"/>
          <w:sz w:val="22"/>
          <w:szCs w:val="22"/>
        </w:rPr>
        <w:t xml:space="preserve">.  </w:t>
      </w:r>
      <w:r w:rsidRPr="00113BFE">
        <w:rPr>
          <w:rFonts w:cs="Arial"/>
          <w:sz w:val="22"/>
          <w:szCs w:val="22"/>
        </w:rPr>
        <w:t xml:space="preserve">The extent to which the format was followed was quite variable, </w:t>
      </w:r>
      <w:r>
        <w:rPr>
          <w:rFonts w:cs="Arial"/>
          <w:sz w:val="22"/>
          <w:szCs w:val="22"/>
        </w:rPr>
        <w:t>and in some cases only a few sections were completed; so</w:t>
      </w:r>
      <w:r w:rsidRPr="00113BFE">
        <w:rPr>
          <w:rFonts w:cs="Arial"/>
          <w:sz w:val="22"/>
          <w:szCs w:val="22"/>
        </w:rPr>
        <w:t xml:space="preserve"> </w:t>
      </w:r>
      <w:r>
        <w:rPr>
          <w:rFonts w:cs="Arial"/>
          <w:sz w:val="22"/>
          <w:szCs w:val="22"/>
        </w:rPr>
        <w:t>t</w:t>
      </w:r>
      <w:r w:rsidRPr="00113BFE">
        <w:rPr>
          <w:rFonts w:cs="Arial"/>
          <w:sz w:val="22"/>
          <w:szCs w:val="22"/>
        </w:rPr>
        <w:t>he number of Parties answering varies between the different s</w:t>
      </w:r>
      <w:r>
        <w:rPr>
          <w:rFonts w:cs="Arial"/>
          <w:sz w:val="22"/>
          <w:szCs w:val="22"/>
        </w:rPr>
        <w:t>ubjects in the format</w:t>
      </w:r>
      <w:r w:rsidRPr="00113BFE">
        <w:rPr>
          <w:rFonts w:cs="Arial"/>
          <w:sz w:val="22"/>
          <w:szCs w:val="22"/>
        </w:rPr>
        <w:t>.</w:t>
      </w:r>
    </w:p>
    <w:p w14:paraId="58C42524" w14:textId="77777777" w:rsidR="002B1990" w:rsidRPr="002B1990" w:rsidRDefault="002B1990" w:rsidP="002B1990">
      <w:pPr>
        <w:ind w:left="448" w:hanging="448"/>
        <w:jc w:val="both"/>
        <w:rPr>
          <w:rFonts w:cs="Arial"/>
          <w:sz w:val="22"/>
          <w:szCs w:val="22"/>
        </w:rPr>
      </w:pPr>
    </w:p>
    <w:p w14:paraId="77D1AA4B" w14:textId="77777777" w:rsidR="002B1990" w:rsidRPr="002B1990" w:rsidRDefault="002B1990" w:rsidP="002B1990">
      <w:pPr>
        <w:ind w:left="448" w:hanging="448"/>
        <w:jc w:val="both"/>
        <w:rPr>
          <w:rFonts w:cs="Arial"/>
          <w:sz w:val="22"/>
          <w:szCs w:val="22"/>
          <w:u w:val="single"/>
        </w:rPr>
      </w:pPr>
      <w:r w:rsidRPr="002B1990">
        <w:rPr>
          <w:rFonts w:cs="Arial"/>
          <w:sz w:val="22"/>
          <w:szCs w:val="22"/>
          <w:u w:val="single"/>
        </w:rPr>
        <w:t>Appendix I species overview</w:t>
      </w:r>
    </w:p>
    <w:p w14:paraId="417F05BE" w14:textId="77777777" w:rsidR="002B1990" w:rsidRDefault="002B1990" w:rsidP="002B1990">
      <w:pPr>
        <w:ind w:left="448" w:hanging="448"/>
        <w:jc w:val="both"/>
        <w:rPr>
          <w:rFonts w:cs="Arial"/>
          <w:sz w:val="22"/>
          <w:szCs w:val="22"/>
        </w:rPr>
      </w:pPr>
    </w:p>
    <w:p w14:paraId="410C25A9" w14:textId="0E7B3091" w:rsidR="00645748" w:rsidRDefault="00CA2FB5" w:rsidP="002B1990">
      <w:pPr>
        <w:ind w:left="448" w:hanging="448"/>
        <w:jc w:val="both"/>
        <w:rPr>
          <w:rFonts w:cs="Arial"/>
          <w:sz w:val="22"/>
          <w:szCs w:val="22"/>
        </w:rPr>
      </w:pPr>
      <w:r>
        <w:rPr>
          <w:rFonts w:cs="Arial"/>
          <w:sz w:val="22"/>
          <w:szCs w:val="22"/>
        </w:rPr>
        <w:t>10.</w:t>
      </w:r>
      <w:r>
        <w:rPr>
          <w:rFonts w:cs="Arial"/>
          <w:sz w:val="22"/>
          <w:szCs w:val="22"/>
        </w:rPr>
        <w:tab/>
      </w:r>
      <w:r w:rsidR="000932CC">
        <w:rPr>
          <w:rFonts w:cs="Arial"/>
          <w:sz w:val="22"/>
          <w:szCs w:val="22"/>
        </w:rPr>
        <w:t xml:space="preserve">The report format </w:t>
      </w:r>
      <w:r w:rsidR="00A936BB">
        <w:rPr>
          <w:rFonts w:cs="Arial"/>
          <w:sz w:val="22"/>
          <w:szCs w:val="22"/>
        </w:rPr>
        <w:t xml:space="preserve">includes </w:t>
      </w:r>
      <w:r w:rsidR="000932CC">
        <w:rPr>
          <w:rFonts w:cs="Arial"/>
          <w:sz w:val="22"/>
          <w:szCs w:val="22"/>
        </w:rPr>
        <w:t xml:space="preserve">several questions about the status of Appendix I species in each country, including the </w:t>
      </w:r>
      <w:r w:rsidR="00645748">
        <w:rPr>
          <w:rFonts w:cs="Arial"/>
          <w:sz w:val="22"/>
          <w:szCs w:val="22"/>
        </w:rPr>
        <w:t xml:space="preserve">threats </w:t>
      </w:r>
      <w:r w:rsidR="000932CC">
        <w:rPr>
          <w:rFonts w:cs="Arial"/>
          <w:sz w:val="22"/>
          <w:szCs w:val="22"/>
        </w:rPr>
        <w:t>facing these species</w:t>
      </w:r>
      <w:r w:rsidR="006B041C">
        <w:rPr>
          <w:rFonts w:cs="Arial"/>
          <w:sz w:val="22"/>
          <w:szCs w:val="22"/>
        </w:rPr>
        <w:t>.</w:t>
      </w:r>
      <w:r w:rsidR="00645748">
        <w:rPr>
          <w:rFonts w:cs="Arial"/>
          <w:sz w:val="22"/>
          <w:szCs w:val="22"/>
        </w:rPr>
        <w:t xml:space="preserve">  In response to this, w</w:t>
      </w:r>
      <w:r w:rsidR="00851F12">
        <w:rPr>
          <w:rFonts w:cs="Arial"/>
          <w:sz w:val="22"/>
          <w:szCs w:val="22"/>
        </w:rPr>
        <w:t>ithin the 89 reports</w:t>
      </w:r>
      <w:r w:rsidR="00A936BB">
        <w:rPr>
          <w:rFonts w:cs="Arial"/>
          <w:sz w:val="22"/>
          <w:szCs w:val="22"/>
        </w:rPr>
        <w:t>,</w:t>
      </w:r>
      <w:r w:rsidR="006B041C">
        <w:rPr>
          <w:rFonts w:cs="Arial"/>
          <w:sz w:val="22"/>
          <w:szCs w:val="22"/>
        </w:rPr>
        <w:t xml:space="preserve"> there w</w:t>
      </w:r>
      <w:r w:rsidR="00851F12">
        <w:rPr>
          <w:rFonts w:cs="Arial"/>
          <w:sz w:val="22"/>
          <w:szCs w:val="22"/>
        </w:rPr>
        <w:t>ere</w:t>
      </w:r>
      <w:r w:rsidR="006B041C">
        <w:rPr>
          <w:rFonts w:cs="Arial"/>
          <w:sz w:val="22"/>
          <w:szCs w:val="22"/>
        </w:rPr>
        <w:t xml:space="preserve"> </w:t>
      </w:r>
      <w:r w:rsidR="006B041C" w:rsidRPr="00851F12">
        <w:rPr>
          <w:rFonts w:cs="Arial"/>
          <w:sz w:val="22"/>
          <w:szCs w:val="22"/>
        </w:rPr>
        <w:t xml:space="preserve">1,231 </w:t>
      </w:r>
      <w:r w:rsidR="00F82818">
        <w:rPr>
          <w:rFonts w:cs="Arial"/>
          <w:sz w:val="22"/>
          <w:szCs w:val="22"/>
        </w:rPr>
        <w:t>identifications</w:t>
      </w:r>
      <w:r w:rsidR="006B041C" w:rsidRPr="00851F12">
        <w:rPr>
          <w:rFonts w:cs="Arial"/>
          <w:sz w:val="22"/>
          <w:szCs w:val="22"/>
        </w:rPr>
        <w:t xml:space="preserve"> </w:t>
      </w:r>
      <w:r w:rsidR="00F82818">
        <w:rPr>
          <w:rFonts w:cs="Arial"/>
          <w:sz w:val="22"/>
          <w:szCs w:val="22"/>
        </w:rPr>
        <w:t>of</w:t>
      </w:r>
      <w:r w:rsidR="006B041C" w:rsidRPr="00851F12">
        <w:rPr>
          <w:rFonts w:cs="Arial"/>
          <w:sz w:val="22"/>
          <w:szCs w:val="22"/>
        </w:rPr>
        <w:t xml:space="preserve"> threat</w:t>
      </w:r>
      <w:r w:rsidR="00851F12" w:rsidRPr="00851F12">
        <w:rPr>
          <w:rFonts w:cs="Arial"/>
          <w:sz w:val="22"/>
          <w:szCs w:val="22"/>
        </w:rPr>
        <w:t>s</w:t>
      </w:r>
      <w:r w:rsidR="006B041C" w:rsidRPr="00851F12">
        <w:rPr>
          <w:rFonts w:cs="Arial"/>
          <w:sz w:val="22"/>
          <w:szCs w:val="22"/>
        </w:rPr>
        <w:t xml:space="preserve"> affecting</w:t>
      </w:r>
      <w:r w:rsidR="00851F12" w:rsidRPr="00851F12">
        <w:rPr>
          <w:rFonts w:cs="Arial"/>
          <w:sz w:val="22"/>
          <w:szCs w:val="22"/>
        </w:rPr>
        <w:t xml:space="preserve"> Appendix I species.  The </w:t>
      </w:r>
      <w:r w:rsidR="00645748">
        <w:rPr>
          <w:rFonts w:cs="Arial"/>
          <w:sz w:val="22"/>
          <w:szCs w:val="22"/>
        </w:rPr>
        <w:t>distribution of these across</w:t>
      </w:r>
      <w:r w:rsidR="00851F12" w:rsidRPr="00851F12">
        <w:rPr>
          <w:rFonts w:cs="Arial"/>
          <w:sz w:val="22"/>
          <w:szCs w:val="22"/>
        </w:rPr>
        <w:t xml:space="preserve"> </w:t>
      </w:r>
      <w:r w:rsidR="006E2B23">
        <w:rPr>
          <w:rFonts w:cs="Arial"/>
          <w:sz w:val="22"/>
          <w:szCs w:val="22"/>
        </w:rPr>
        <w:t>nine different categories (condensed from 31 sub-categories)</w:t>
      </w:r>
      <w:r w:rsidR="00645748">
        <w:rPr>
          <w:rFonts w:cs="Arial"/>
          <w:sz w:val="22"/>
          <w:szCs w:val="22"/>
        </w:rPr>
        <w:t>,</w:t>
      </w:r>
      <w:r w:rsidR="00851F12" w:rsidRPr="00851F12">
        <w:rPr>
          <w:rFonts w:cs="Arial"/>
          <w:sz w:val="22"/>
          <w:szCs w:val="22"/>
        </w:rPr>
        <w:t xml:space="preserve"> </w:t>
      </w:r>
      <w:r w:rsidR="00645748">
        <w:rPr>
          <w:rFonts w:cs="Arial"/>
          <w:sz w:val="22"/>
          <w:szCs w:val="22"/>
        </w:rPr>
        <w:t>and</w:t>
      </w:r>
      <w:r w:rsidR="00F82818">
        <w:rPr>
          <w:rFonts w:cs="Arial"/>
          <w:sz w:val="22"/>
          <w:szCs w:val="22"/>
        </w:rPr>
        <w:t xml:space="preserve"> </w:t>
      </w:r>
      <w:r w:rsidR="006E2B23">
        <w:rPr>
          <w:rFonts w:cs="Arial"/>
          <w:sz w:val="22"/>
          <w:szCs w:val="22"/>
        </w:rPr>
        <w:t>for</w:t>
      </w:r>
      <w:r w:rsidR="00851F12" w:rsidRPr="00851F12">
        <w:rPr>
          <w:rFonts w:cs="Arial"/>
          <w:sz w:val="22"/>
          <w:szCs w:val="22"/>
        </w:rPr>
        <w:t xml:space="preserve"> each taxonomic group</w:t>
      </w:r>
      <w:r w:rsidR="00645748">
        <w:rPr>
          <w:rFonts w:cs="Arial"/>
          <w:sz w:val="22"/>
          <w:szCs w:val="22"/>
        </w:rPr>
        <w:t>,</w:t>
      </w:r>
      <w:r w:rsidR="00851F12" w:rsidRPr="00851F12">
        <w:rPr>
          <w:rFonts w:cs="Arial"/>
          <w:sz w:val="22"/>
          <w:szCs w:val="22"/>
        </w:rPr>
        <w:t xml:space="preserve"> </w:t>
      </w:r>
      <w:r w:rsidR="00645748">
        <w:rPr>
          <w:rFonts w:cs="Arial"/>
          <w:sz w:val="22"/>
          <w:szCs w:val="22"/>
        </w:rPr>
        <w:t>is</w:t>
      </w:r>
      <w:r w:rsidR="00851F12" w:rsidRPr="00851F12">
        <w:rPr>
          <w:rFonts w:cs="Arial"/>
          <w:sz w:val="22"/>
          <w:szCs w:val="22"/>
        </w:rPr>
        <w:t xml:space="preserve"> shown </w:t>
      </w:r>
      <w:r w:rsidR="00AB50C2">
        <w:rPr>
          <w:rFonts w:cs="Arial"/>
          <w:sz w:val="22"/>
          <w:szCs w:val="22"/>
        </w:rPr>
        <w:t>in</w:t>
      </w:r>
      <w:r w:rsidR="00851F12" w:rsidRPr="00851F12">
        <w:rPr>
          <w:rFonts w:cs="Arial"/>
          <w:sz w:val="22"/>
          <w:szCs w:val="22"/>
        </w:rPr>
        <w:t xml:space="preserve"> </w:t>
      </w:r>
      <w:r w:rsidR="00645748">
        <w:rPr>
          <w:rFonts w:cs="Arial"/>
          <w:sz w:val="22"/>
          <w:szCs w:val="22"/>
        </w:rPr>
        <w:t>percentage</w:t>
      </w:r>
      <w:r w:rsidR="00AB50C2">
        <w:rPr>
          <w:rFonts w:cs="Arial"/>
          <w:sz w:val="22"/>
          <w:szCs w:val="22"/>
        </w:rPr>
        <w:t xml:space="preserve"> terms</w:t>
      </w:r>
      <w:r w:rsidR="00645748">
        <w:rPr>
          <w:rFonts w:cs="Arial"/>
          <w:sz w:val="22"/>
          <w:szCs w:val="22"/>
        </w:rPr>
        <w:t xml:space="preserve"> in </w:t>
      </w:r>
      <w:r w:rsidR="00851F12" w:rsidRPr="00851F12">
        <w:rPr>
          <w:rFonts w:cs="Arial"/>
          <w:sz w:val="22"/>
          <w:szCs w:val="22"/>
        </w:rPr>
        <w:t xml:space="preserve">Table </w:t>
      </w:r>
      <w:r w:rsidR="00771530">
        <w:rPr>
          <w:rFonts w:cs="Arial"/>
          <w:sz w:val="22"/>
          <w:szCs w:val="22"/>
        </w:rPr>
        <w:t>1</w:t>
      </w:r>
      <w:r w:rsidR="00851F12" w:rsidRPr="00851F12">
        <w:rPr>
          <w:rFonts w:cs="Arial"/>
          <w:sz w:val="22"/>
          <w:szCs w:val="22"/>
        </w:rPr>
        <w:t xml:space="preserve"> below.  A more detailed breakdown of these figures is given in the full analysis document.</w:t>
      </w:r>
    </w:p>
    <w:p w14:paraId="0A0DA3DB" w14:textId="77777777" w:rsidR="00851F12" w:rsidRPr="00851F12" w:rsidRDefault="00851F12" w:rsidP="002B1990">
      <w:pPr>
        <w:ind w:left="448" w:hanging="448"/>
        <w:jc w:val="both"/>
        <w:rPr>
          <w:rFonts w:cs="Arial"/>
          <w:sz w:val="22"/>
          <w:szCs w:val="22"/>
        </w:rPr>
      </w:pPr>
    </w:p>
    <w:tbl>
      <w:tblPr>
        <w:tblStyle w:val="TableGrid"/>
        <w:tblW w:w="8788" w:type="dxa"/>
        <w:tblInd w:w="851" w:type="dxa"/>
        <w:tblLook w:val="04A0" w:firstRow="1" w:lastRow="0" w:firstColumn="1" w:lastColumn="0" w:noHBand="0" w:noVBand="1"/>
      </w:tblPr>
      <w:tblGrid>
        <w:gridCol w:w="3089"/>
        <w:gridCol w:w="1120"/>
        <w:gridCol w:w="1139"/>
        <w:gridCol w:w="1195"/>
        <w:gridCol w:w="1129"/>
        <w:gridCol w:w="1116"/>
      </w:tblGrid>
      <w:tr w:rsidR="008D78BC" w14:paraId="187A5590" w14:textId="77777777" w:rsidTr="008D78BC">
        <w:trPr>
          <w:trHeight w:val="483"/>
        </w:trPr>
        <w:tc>
          <w:tcPr>
            <w:tcW w:w="3118" w:type="dxa"/>
            <w:tcBorders>
              <w:top w:val="nil"/>
              <w:left w:val="nil"/>
            </w:tcBorders>
          </w:tcPr>
          <w:p w14:paraId="4853CBC5" w14:textId="77777777" w:rsidR="008D78BC" w:rsidRDefault="008D78BC" w:rsidP="008D78BC">
            <w:pPr>
              <w:rPr>
                <w:rFonts w:cs="Arial"/>
                <w:sz w:val="20"/>
                <w:szCs w:val="20"/>
              </w:rPr>
            </w:pPr>
          </w:p>
        </w:tc>
        <w:tc>
          <w:tcPr>
            <w:tcW w:w="1134" w:type="dxa"/>
            <w:shd w:val="clear" w:color="auto" w:fill="D9D9D9" w:themeFill="background1" w:themeFillShade="D9"/>
            <w:vAlign w:val="center"/>
          </w:tcPr>
          <w:p w14:paraId="51BD1BC8" w14:textId="77777777" w:rsidR="008D78BC" w:rsidRPr="00993105" w:rsidRDefault="008D78BC" w:rsidP="008D78BC">
            <w:pPr>
              <w:jc w:val="center"/>
              <w:rPr>
                <w:rFonts w:cs="Arial"/>
                <w:b/>
                <w:sz w:val="20"/>
                <w:szCs w:val="20"/>
              </w:rPr>
            </w:pPr>
            <w:r w:rsidRPr="00993105">
              <w:rPr>
                <w:rFonts w:cs="Arial"/>
                <w:b/>
                <w:sz w:val="20"/>
                <w:szCs w:val="20"/>
              </w:rPr>
              <w:t>Birds</w:t>
            </w:r>
          </w:p>
        </w:tc>
        <w:tc>
          <w:tcPr>
            <w:tcW w:w="1134" w:type="dxa"/>
            <w:shd w:val="clear" w:color="auto" w:fill="D9D9D9" w:themeFill="background1" w:themeFillShade="D9"/>
            <w:vAlign w:val="center"/>
          </w:tcPr>
          <w:p w14:paraId="5EDFB1FA" w14:textId="77777777" w:rsidR="008D78BC" w:rsidRPr="00993105" w:rsidRDefault="008D78BC" w:rsidP="00AB50C2">
            <w:pPr>
              <w:spacing w:before="20" w:after="20"/>
              <w:jc w:val="center"/>
              <w:rPr>
                <w:rFonts w:cs="Arial"/>
                <w:b/>
                <w:sz w:val="20"/>
                <w:szCs w:val="20"/>
              </w:rPr>
            </w:pPr>
            <w:r w:rsidRPr="00993105">
              <w:rPr>
                <w:rFonts w:cs="Arial"/>
                <w:b/>
                <w:sz w:val="20"/>
                <w:szCs w:val="20"/>
              </w:rPr>
              <w:t>Aquatic mammals</w:t>
            </w:r>
          </w:p>
        </w:tc>
        <w:tc>
          <w:tcPr>
            <w:tcW w:w="1134" w:type="dxa"/>
            <w:shd w:val="clear" w:color="auto" w:fill="D9D9D9" w:themeFill="background1" w:themeFillShade="D9"/>
            <w:vAlign w:val="center"/>
          </w:tcPr>
          <w:p w14:paraId="46BBBA5B" w14:textId="77777777" w:rsidR="008D78BC" w:rsidRPr="00993105" w:rsidRDefault="008D78BC" w:rsidP="00AB50C2">
            <w:pPr>
              <w:spacing w:before="20" w:after="20"/>
              <w:jc w:val="center"/>
              <w:rPr>
                <w:rFonts w:cs="Arial"/>
                <w:b/>
                <w:sz w:val="20"/>
                <w:szCs w:val="20"/>
              </w:rPr>
            </w:pPr>
            <w:r w:rsidRPr="00993105">
              <w:rPr>
                <w:rFonts w:cs="Arial"/>
                <w:b/>
                <w:sz w:val="20"/>
                <w:szCs w:val="20"/>
              </w:rPr>
              <w:t>Terrestrial mammals</w:t>
            </w:r>
          </w:p>
        </w:tc>
        <w:tc>
          <w:tcPr>
            <w:tcW w:w="1134" w:type="dxa"/>
            <w:shd w:val="clear" w:color="auto" w:fill="D9D9D9" w:themeFill="background1" w:themeFillShade="D9"/>
            <w:vAlign w:val="center"/>
          </w:tcPr>
          <w:p w14:paraId="2AE91C89" w14:textId="77777777" w:rsidR="008D78BC" w:rsidRPr="00993105" w:rsidRDefault="008D78BC" w:rsidP="008D78BC">
            <w:pPr>
              <w:jc w:val="center"/>
              <w:rPr>
                <w:rFonts w:cs="Arial"/>
                <w:b/>
                <w:sz w:val="20"/>
                <w:szCs w:val="20"/>
              </w:rPr>
            </w:pPr>
            <w:r w:rsidRPr="00993105">
              <w:rPr>
                <w:rFonts w:cs="Arial"/>
                <w:b/>
                <w:sz w:val="20"/>
                <w:szCs w:val="20"/>
              </w:rPr>
              <w:t>Reptiles</w:t>
            </w:r>
          </w:p>
        </w:tc>
        <w:tc>
          <w:tcPr>
            <w:tcW w:w="1134" w:type="dxa"/>
            <w:shd w:val="clear" w:color="auto" w:fill="D9D9D9" w:themeFill="background1" w:themeFillShade="D9"/>
            <w:vAlign w:val="center"/>
          </w:tcPr>
          <w:p w14:paraId="4BF887B0" w14:textId="77777777" w:rsidR="008D78BC" w:rsidRPr="00993105" w:rsidRDefault="008D78BC" w:rsidP="008D78BC">
            <w:pPr>
              <w:jc w:val="center"/>
              <w:rPr>
                <w:rFonts w:cs="Arial"/>
                <w:b/>
                <w:sz w:val="20"/>
                <w:szCs w:val="20"/>
              </w:rPr>
            </w:pPr>
            <w:r w:rsidRPr="00993105">
              <w:rPr>
                <w:rFonts w:cs="Arial"/>
                <w:b/>
                <w:sz w:val="20"/>
                <w:szCs w:val="20"/>
              </w:rPr>
              <w:t>Fish</w:t>
            </w:r>
          </w:p>
        </w:tc>
      </w:tr>
      <w:tr w:rsidR="008D78BC" w14:paraId="07688995" w14:textId="77777777" w:rsidTr="008D78BC">
        <w:tc>
          <w:tcPr>
            <w:tcW w:w="3118" w:type="dxa"/>
            <w:shd w:val="clear" w:color="auto" w:fill="D9D9D9" w:themeFill="background1" w:themeFillShade="D9"/>
          </w:tcPr>
          <w:p w14:paraId="28313AFF" w14:textId="77777777" w:rsidR="008D78BC" w:rsidRPr="008D78BC" w:rsidRDefault="008D78BC" w:rsidP="00AB50C2">
            <w:pPr>
              <w:spacing w:before="20" w:after="20"/>
              <w:rPr>
                <w:rFonts w:cs="Arial"/>
                <w:sz w:val="20"/>
                <w:szCs w:val="20"/>
              </w:rPr>
            </w:pPr>
            <w:r w:rsidRPr="008D78BC">
              <w:rPr>
                <w:rFonts w:cs="Arial"/>
                <w:sz w:val="20"/>
                <w:szCs w:val="20"/>
              </w:rPr>
              <w:t>Direct killing &amp; taking</w:t>
            </w:r>
          </w:p>
        </w:tc>
        <w:tc>
          <w:tcPr>
            <w:tcW w:w="1134" w:type="dxa"/>
            <w:vAlign w:val="center"/>
          </w:tcPr>
          <w:p w14:paraId="03B11FA2" w14:textId="77777777" w:rsidR="008D78BC" w:rsidRPr="00B12CAF" w:rsidRDefault="008D78BC" w:rsidP="008D78BC">
            <w:pPr>
              <w:jc w:val="center"/>
              <w:rPr>
                <w:rFonts w:cs="Arial"/>
                <w:sz w:val="20"/>
                <w:szCs w:val="20"/>
              </w:rPr>
            </w:pPr>
            <w:r>
              <w:rPr>
                <w:rFonts w:cs="Arial"/>
                <w:sz w:val="20"/>
                <w:szCs w:val="20"/>
              </w:rPr>
              <w:t>24</w:t>
            </w:r>
          </w:p>
        </w:tc>
        <w:tc>
          <w:tcPr>
            <w:tcW w:w="1134" w:type="dxa"/>
            <w:vAlign w:val="center"/>
          </w:tcPr>
          <w:p w14:paraId="3D1738E8" w14:textId="77777777" w:rsidR="008D78BC" w:rsidRPr="00B12CAF" w:rsidRDefault="008D78BC" w:rsidP="008D78BC">
            <w:pPr>
              <w:jc w:val="center"/>
              <w:rPr>
                <w:rFonts w:cs="Arial"/>
                <w:sz w:val="20"/>
                <w:szCs w:val="20"/>
              </w:rPr>
            </w:pPr>
            <w:r>
              <w:rPr>
                <w:rFonts w:cs="Arial"/>
                <w:sz w:val="20"/>
                <w:szCs w:val="20"/>
              </w:rPr>
              <w:t>9</w:t>
            </w:r>
          </w:p>
        </w:tc>
        <w:tc>
          <w:tcPr>
            <w:tcW w:w="1134" w:type="dxa"/>
            <w:vAlign w:val="center"/>
          </w:tcPr>
          <w:p w14:paraId="3EEEF8D1" w14:textId="77777777" w:rsidR="008D78BC" w:rsidRPr="00A7798A" w:rsidRDefault="008D78BC" w:rsidP="008D78BC">
            <w:pPr>
              <w:jc w:val="center"/>
              <w:rPr>
                <w:rFonts w:cs="Arial"/>
                <w:sz w:val="20"/>
                <w:szCs w:val="20"/>
              </w:rPr>
            </w:pPr>
            <w:r w:rsidRPr="00A7798A">
              <w:rPr>
                <w:rFonts w:cs="Arial"/>
                <w:sz w:val="20"/>
                <w:szCs w:val="20"/>
              </w:rPr>
              <w:t>20</w:t>
            </w:r>
          </w:p>
        </w:tc>
        <w:tc>
          <w:tcPr>
            <w:tcW w:w="1134" w:type="dxa"/>
            <w:vAlign w:val="center"/>
          </w:tcPr>
          <w:p w14:paraId="70CC5046" w14:textId="77777777" w:rsidR="008D78BC" w:rsidRPr="00810903" w:rsidRDefault="008D78BC" w:rsidP="008D78BC">
            <w:pPr>
              <w:jc w:val="center"/>
              <w:rPr>
                <w:rFonts w:cs="Arial"/>
                <w:sz w:val="20"/>
                <w:szCs w:val="20"/>
              </w:rPr>
            </w:pPr>
            <w:r w:rsidRPr="00810903">
              <w:rPr>
                <w:rFonts w:cs="Arial"/>
                <w:sz w:val="20"/>
                <w:szCs w:val="20"/>
              </w:rPr>
              <w:t>20</w:t>
            </w:r>
          </w:p>
        </w:tc>
        <w:tc>
          <w:tcPr>
            <w:tcW w:w="1134" w:type="dxa"/>
            <w:vAlign w:val="center"/>
          </w:tcPr>
          <w:p w14:paraId="69309246" w14:textId="77777777" w:rsidR="008D78BC" w:rsidRPr="00B12CAF" w:rsidRDefault="008D78BC" w:rsidP="008D78BC">
            <w:pPr>
              <w:jc w:val="center"/>
              <w:rPr>
                <w:rFonts w:cs="Arial"/>
                <w:sz w:val="20"/>
                <w:szCs w:val="20"/>
              </w:rPr>
            </w:pPr>
            <w:r>
              <w:rPr>
                <w:rFonts w:cs="Arial"/>
                <w:sz w:val="20"/>
                <w:szCs w:val="20"/>
              </w:rPr>
              <w:t>20</w:t>
            </w:r>
          </w:p>
        </w:tc>
      </w:tr>
      <w:tr w:rsidR="008D78BC" w14:paraId="19F5DBB3" w14:textId="77777777" w:rsidTr="008D78BC">
        <w:tc>
          <w:tcPr>
            <w:tcW w:w="3118" w:type="dxa"/>
            <w:shd w:val="clear" w:color="auto" w:fill="D9D9D9" w:themeFill="background1" w:themeFillShade="D9"/>
          </w:tcPr>
          <w:p w14:paraId="5072E029" w14:textId="3DAD8059" w:rsidR="008D78BC" w:rsidRPr="008D78BC" w:rsidRDefault="008D78BC" w:rsidP="00AB50C2">
            <w:pPr>
              <w:spacing w:before="20" w:after="20"/>
              <w:rPr>
                <w:rFonts w:cs="Arial"/>
                <w:sz w:val="20"/>
                <w:szCs w:val="20"/>
              </w:rPr>
            </w:pPr>
            <w:r w:rsidRPr="008D78BC">
              <w:rPr>
                <w:rFonts w:cs="Arial"/>
                <w:sz w:val="20"/>
                <w:szCs w:val="20"/>
              </w:rPr>
              <w:t>Bycatch</w:t>
            </w:r>
          </w:p>
        </w:tc>
        <w:tc>
          <w:tcPr>
            <w:tcW w:w="1134" w:type="dxa"/>
            <w:vAlign w:val="center"/>
          </w:tcPr>
          <w:p w14:paraId="620E663A" w14:textId="77777777" w:rsidR="008D78BC" w:rsidRPr="00B12CAF" w:rsidRDefault="008D78BC" w:rsidP="008D78BC">
            <w:pPr>
              <w:jc w:val="center"/>
              <w:rPr>
                <w:rFonts w:cs="Arial"/>
                <w:sz w:val="20"/>
                <w:szCs w:val="20"/>
              </w:rPr>
            </w:pPr>
            <w:r>
              <w:rPr>
                <w:rFonts w:cs="Arial"/>
                <w:sz w:val="20"/>
                <w:szCs w:val="20"/>
              </w:rPr>
              <w:t>9</w:t>
            </w:r>
          </w:p>
        </w:tc>
        <w:tc>
          <w:tcPr>
            <w:tcW w:w="1134" w:type="dxa"/>
            <w:vAlign w:val="center"/>
          </w:tcPr>
          <w:p w14:paraId="5D749709" w14:textId="77777777" w:rsidR="008D78BC" w:rsidRPr="00B12CAF" w:rsidRDefault="008D78BC" w:rsidP="008D78BC">
            <w:pPr>
              <w:jc w:val="center"/>
              <w:rPr>
                <w:rFonts w:cs="Arial"/>
                <w:sz w:val="20"/>
                <w:szCs w:val="20"/>
              </w:rPr>
            </w:pPr>
            <w:r>
              <w:rPr>
                <w:rFonts w:cs="Arial"/>
                <w:sz w:val="20"/>
                <w:szCs w:val="20"/>
              </w:rPr>
              <w:t>30</w:t>
            </w:r>
          </w:p>
        </w:tc>
        <w:tc>
          <w:tcPr>
            <w:tcW w:w="1134" w:type="dxa"/>
            <w:vAlign w:val="center"/>
          </w:tcPr>
          <w:p w14:paraId="5CD3178C" w14:textId="77777777" w:rsidR="008D78BC" w:rsidRPr="00A7798A" w:rsidRDefault="008D78BC" w:rsidP="008D78BC">
            <w:pPr>
              <w:jc w:val="center"/>
              <w:rPr>
                <w:rFonts w:cs="Arial"/>
                <w:sz w:val="20"/>
                <w:szCs w:val="20"/>
              </w:rPr>
            </w:pPr>
            <w:r w:rsidRPr="00A7798A">
              <w:rPr>
                <w:rFonts w:cs="Arial"/>
                <w:sz w:val="20"/>
                <w:szCs w:val="20"/>
              </w:rPr>
              <w:t>2</w:t>
            </w:r>
          </w:p>
        </w:tc>
        <w:tc>
          <w:tcPr>
            <w:tcW w:w="1134" w:type="dxa"/>
            <w:vAlign w:val="center"/>
          </w:tcPr>
          <w:p w14:paraId="293B498D" w14:textId="77777777" w:rsidR="008D78BC" w:rsidRPr="00810903" w:rsidRDefault="008D78BC" w:rsidP="008D78BC">
            <w:pPr>
              <w:jc w:val="center"/>
              <w:rPr>
                <w:rFonts w:cs="Arial"/>
                <w:sz w:val="20"/>
                <w:szCs w:val="20"/>
              </w:rPr>
            </w:pPr>
            <w:r w:rsidRPr="00810903">
              <w:rPr>
                <w:rFonts w:cs="Arial"/>
                <w:sz w:val="20"/>
                <w:szCs w:val="20"/>
              </w:rPr>
              <w:t>24</w:t>
            </w:r>
          </w:p>
        </w:tc>
        <w:tc>
          <w:tcPr>
            <w:tcW w:w="1134" w:type="dxa"/>
            <w:vAlign w:val="center"/>
          </w:tcPr>
          <w:p w14:paraId="62816B14" w14:textId="77777777" w:rsidR="008D78BC" w:rsidRPr="00B12CAF" w:rsidRDefault="008D78BC" w:rsidP="008D78BC">
            <w:pPr>
              <w:jc w:val="center"/>
              <w:rPr>
                <w:rFonts w:cs="Arial"/>
                <w:sz w:val="20"/>
                <w:szCs w:val="20"/>
              </w:rPr>
            </w:pPr>
            <w:r>
              <w:rPr>
                <w:rFonts w:cs="Arial"/>
                <w:sz w:val="20"/>
                <w:szCs w:val="20"/>
              </w:rPr>
              <w:t>29</w:t>
            </w:r>
          </w:p>
        </w:tc>
      </w:tr>
      <w:tr w:rsidR="008D78BC" w14:paraId="520B4AE0" w14:textId="77777777" w:rsidTr="008D78BC">
        <w:tc>
          <w:tcPr>
            <w:tcW w:w="3118" w:type="dxa"/>
            <w:shd w:val="clear" w:color="auto" w:fill="D9D9D9" w:themeFill="background1" w:themeFillShade="D9"/>
          </w:tcPr>
          <w:p w14:paraId="07FA180E" w14:textId="77777777" w:rsidR="008D78BC" w:rsidRPr="008D78BC" w:rsidRDefault="008D78BC" w:rsidP="00AB50C2">
            <w:pPr>
              <w:spacing w:before="20" w:after="20"/>
              <w:rPr>
                <w:rFonts w:cs="Arial"/>
                <w:sz w:val="20"/>
                <w:szCs w:val="20"/>
              </w:rPr>
            </w:pPr>
            <w:r w:rsidRPr="008D78BC">
              <w:rPr>
                <w:rFonts w:cs="Arial"/>
                <w:sz w:val="20"/>
                <w:szCs w:val="20"/>
              </w:rPr>
              <w:t>Collisions &amp; electrocution</w:t>
            </w:r>
          </w:p>
        </w:tc>
        <w:tc>
          <w:tcPr>
            <w:tcW w:w="1134" w:type="dxa"/>
            <w:vAlign w:val="center"/>
          </w:tcPr>
          <w:p w14:paraId="20798324" w14:textId="77777777" w:rsidR="008D78BC" w:rsidRPr="00B12CAF" w:rsidRDefault="008D78BC" w:rsidP="008D78BC">
            <w:pPr>
              <w:jc w:val="center"/>
              <w:rPr>
                <w:rFonts w:cs="Arial"/>
                <w:sz w:val="20"/>
                <w:szCs w:val="20"/>
              </w:rPr>
            </w:pPr>
            <w:r>
              <w:rPr>
                <w:rFonts w:cs="Arial"/>
                <w:sz w:val="20"/>
                <w:szCs w:val="20"/>
              </w:rPr>
              <w:t>16</w:t>
            </w:r>
          </w:p>
        </w:tc>
        <w:tc>
          <w:tcPr>
            <w:tcW w:w="1134" w:type="dxa"/>
            <w:vAlign w:val="center"/>
          </w:tcPr>
          <w:p w14:paraId="70A8BC70" w14:textId="77777777" w:rsidR="008D78BC" w:rsidRPr="00B12CAF" w:rsidRDefault="008D78BC" w:rsidP="008D78BC">
            <w:pPr>
              <w:jc w:val="center"/>
              <w:rPr>
                <w:rFonts w:cs="Arial"/>
                <w:sz w:val="20"/>
                <w:szCs w:val="20"/>
              </w:rPr>
            </w:pPr>
            <w:r>
              <w:rPr>
                <w:rFonts w:cs="Arial"/>
                <w:sz w:val="20"/>
                <w:szCs w:val="20"/>
              </w:rPr>
              <w:t>14</w:t>
            </w:r>
          </w:p>
        </w:tc>
        <w:tc>
          <w:tcPr>
            <w:tcW w:w="1134" w:type="dxa"/>
            <w:vAlign w:val="center"/>
          </w:tcPr>
          <w:p w14:paraId="14521604" w14:textId="77777777" w:rsidR="008D78BC" w:rsidRPr="00A7798A" w:rsidRDefault="008D78BC" w:rsidP="008D78BC">
            <w:pPr>
              <w:jc w:val="center"/>
              <w:rPr>
                <w:rFonts w:cs="Arial"/>
                <w:sz w:val="20"/>
                <w:szCs w:val="20"/>
              </w:rPr>
            </w:pPr>
            <w:r w:rsidRPr="00A7798A">
              <w:rPr>
                <w:rFonts w:cs="Arial"/>
                <w:sz w:val="20"/>
                <w:szCs w:val="20"/>
              </w:rPr>
              <w:t>4</w:t>
            </w:r>
          </w:p>
        </w:tc>
        <w:tc>
          <w:tcPr>
            <w:tcW w:w="1134" w:type="dxa"/>
            <w:vAlign w:val="center"/>
          </w:tcPr>
          <w:p w14:paraId="2C235EB6" w14:textId="77777777" w:rsidR="008D78BC" w:rsidRPr="00810903" w:rsidRDefault="008D78BC" w:rsidP="008D78BC">
            <w:pPr>
              <w:jc w:val="center"/>
              <w:rPr>
                <w:rFonts w:cs="Arial"/>
                <w:sz w:val="20"/>
                <w:szCs w:val="20"/>
              </w:rPr>
            </w:pPr>
            <w:r w:rsidRPr="00810903">
              <w:rPr>
                <w:rFonts w:cs="Arial"/>
                <w:sz w:val="20"/>
                <w:szCs w:val="20"/>
              </w:rPr>
              <w:t>4</w:t>
            </w:r>
          </w:p>
        </w:tc>
        <w:tc>
          <w:tcPr>
            <w:tcW w:w="1134" w:type="dxa"/>
            <w:vAlign w:val="center"/>
          </w:tcPr>
          <w:p w14:paraId="63F53BFD" w14:textId="77777777" w:rsidR="008D78BC" w:rsidRPr="00B12CAF" w:rsidRDefault="008D78BC" w:rsidP="008D78BC">
            <w:pPr>
              <w:jc w:val="center"/>
              <w:rPr>
                <w:rFonts w:cs="Arial"/>
                <w:sz w:val="20"/>
                <w:szCs w:val="20"/>
              </w:rPr>
            </w:pPr>
            <w:r>
              <w:rPr>
                <w:rFonts w:cs="Arial"/>
                <w:sz w:val="20"/>
                <w:szCs w:val="20"/>
              </w:rPr>
              <w:t>6</w:t>
            </w:r>
          </w:p>
        </w:tc>
      </w:tr>
      <w:tr w:rsidR="008D78BC" w14:paraId="133C1866" w14:textId="77777777" w:rsidTr="008D78BC">
        <w:tc>
          <w:tcPr>
            <w:tcW w:w="3118" w:type="dxa"/>
            <w:shd w:val="clear" w:color="auto" w:fill="D9D9D9" w:themeFill="background1" w:themeFillShade="D9"/>
          </w:tcPr>
          <w:p w14:paraId="164457C8" w14:textId="77777777" w:rsidR="008D78BC" w:rsidRPr="008D78BC" w:rsidRDefault="008D78BC" w:rsidP="00AB50C2">
            <w:pPr>
              <w:spacing w:before="20" w:after="20"/>
              <w:rPr>
                <w:rFonts w:cs="Arial"/>
                <w:sz w:val="20"/>
                <w:szCs w:val="20"/>
              </w:rPr>
            </w:pPr>
            <w:r w:rsidRPr="008D78BC">
              <w:rPr>
                <w:rFonts w:cs="Arial"/>
                <w:sz w:val="20"/>
                <w:szCs w:val="20"/>
              </w:rPr>
              <w:t>Other mortality</w:t>
            </w:r>
          </w:p>
        </w:tc>
        <w:tc>
          <w:tcPr>
            <w:tcW w:w="1134" w:type="dxa"/>
            <w:vAlign w:val="center"/>
          </w:tcPr>
          <w:p w14:paraId="56E8566B" w14:textId="77777777" w:rsidR="008D78BC" w:rsidRPr="00B12CAF" w:rsidRDefault="008D78BC" w:rsidP="008D78BC">
            <w:pPr>
              <w:jc w:val="center"/>
              <w:rPr>
                <w:rFonts w:cs="Arial"/>
                <w:sz w:val="20"/>
                <w:szCs w:val="20"/>
              </w:rPr>
            </w:pPr>
            <w:r>
              <w:rPr>
                <w:rFonts w:cs="Arial"/>
                <w:sz w:val="20"/>
                <w:szCs w:val="20"/>
              </w:rPr>
              <w:t>0</w:t>
            </w:r>
          </w:p>
        </w:tc>
        <w:tc>
          <w:tcPr>
            <w:tcW w:w="1134" w:type="dxa"/>
            <w:vAlign w:val="center"/>
          </w:tcPr>
          <w:p w14:paraId="2A481AA4" w14:textId="77777777" w:rsidR="008D78BC" w:rsidRPr="00B12CAF" w:rsidRDefault="008D78BC" w:rsidP="008D78BC">
            <w:pPr>
              <w:jc w:val="center"/>
              <w:rPr>
                <w:rFonts w:cs="Arial"/>
                <w:sz w:val="20"/>
                <w:szCs w:val="20"/>
              </w:rPr>
            </w:pPr>
            <w:r>
              <w:rPr>
                <w:rFonts w:cs="Arial"/>
                <w:sz w:val="20"/>
                <w:szCs w:val="20"/>
              </w:rPr>
              <w:t>2</w:t>
            </w:r>
          </w:p>
        </w:tc>
        <w:tc>
          <w:tcPr>
            <w:tcW w:w="1134" w:type="dxa"/>
            <w:vAlign w:val="center"/>
          </w:tcPr>
          <w:p w14:paraId="2B32E244" w14:textId="77777777" w:rsidR="008D78BC" w:rsidRPr="00A7798A" w:rsidRDefault="008D78BC" w:rsidP="008D78BC">
            <w:pPr>
              <w:jc w:val="center"/>
              <w:rPr>
                <w:rFonts w:cs="Arial"/>
                <w:sz w:val="20"/>
                <w:szCs w:val="20"/>
              </w:rPr>
            </w:pPr>
            <w:r w:rsidRPr="00A7798A">
              <w:rPr>
                <w:rFonts w:cs="Arial"/>
                <w:sz w:val="20"/>
                <w:szCs w:val="20"/>
              </w:rPr>
              <w:t>0</w:t>
            </w:r>
          </w:p>
        </w:tc>
        <w:tc>
          <w:tcPr>
            <w:tcW w:w="1134" w:type="dxa"/>
            <w:vAlign w:val="center"/>
          </w:tcPr>
          <w:p w14:paraId="5A1F18A1" w14:textId="77777777" w:rsidR="008D78BC" w:rsidRPr="00810903" w:rsidRDefault="008D78BC" w:rsidP="008D78BC">
            <w:pPr>
              <w:jc w:val="center"/>
              <w:rPr>
                <w:rFonts w:cs="Arial"/>
                <w:sz w:val="20"/>
                <w:szCs w:val="20"/>
              </w:rPr>
            </w:pPr>
            <w:r w:rsidRPr="00810903">
              <w:rPr>
                <w:rFonts w:cs="Arial"/>
                <w:sz w:val="20"/>
                <w:szCs w:val="20"/>
              </w:rPr>
              <w:t>9</w:t>
            </w:r>
          </w:p>
        </w:tc>
        <w:tc>
          <w:tcPr>
            <w:tcW w:w="1134" w:type="dxa"/>
            <w:vAlign w:val="center"/>
          </w:tcPr>
          <w:p w14:paraId="7600AEBA" w14:textId="77777777" w:rsidR="008D78BC" w:rsidRPr="00B12CAF" w:rsidRDefault="008D78BC" w:rsidP="008D78BC">
            <w:pPr>
              <w:jc w:val="center"/>
              <w:rPr>
                <w:rFonts w:cs="Arial"/>
                <w:sz w:val="20"/>
                <w:szCs w:val="20"/>
              </w:rPr>
            </w:pPr>
            <w:r>
              <w:rPr>
                <w:rFonts w:cs="Arial"/>
                <w:sz w:val="20"/>
                <w:szCs w:val="20"/>
              </w:rPr>
              <w:t>0</w:t>
            </w:r>
          </w:p>
        </w:tc>
      </w:tr>
      <w:tr w:rsidR="008D78BC" w14:paraId="4E308578" w14:textId="77777777" w:rsidTr="008D78BC">
        <w:tc>
          <w:tcPr>
            <w:tcW w:w="3118" w:type="dxa"/>
            <w:shd w:val="clear" w:color="auto" w:fill="D9D9D9" w:themeFill="background1" w:themeFillShade="D9"/>
          </w:tcPr>
          <w:p w14:paraId="0380BA3B" w14:textId="77777777" w:rsidR="008D78BC" w:rsidRPr="008D78BC" w:rsidRDefault="008D78BC" w:rsidP="00AB50C2">
            <w:pPr>
              <w:spacing w:before="20" w:after="20"/>
              <w:rPr>
                <w:rFonts w:cs="Arial"/>
                <w:sz w:val="20"/>
                <w:szCs w:val="20"/>
              </w:rPr>
            </w:pPr>
            <w:r w:rsidRPr="008D78BC">
              <w:rPr>
                <w:rFonts w:cs="Arial"/>
                <w:sz w:val="20"/>
                <w:szCs w:val="20"/>
              </w:rPr>
              <w:t>Alien and/or invasive species</w:t>
            </w:r>
          </w:p>
        </w:tc>
        <w:tc>
          <w:tcPr>
            <w:tcW w:w="1134" w:type="dxa"/>
            <w:vAlign w:val="center"/>
          </w:tcPr>
          <w:p w14:paraId="7C750D3F" w14:textId="77777777" w:rsidR="008D78BC" w:rsidRPr="00B12CAF" w:rsidRDefault="008D78BC" w:rsidP="008D78BC">
            <w:pPr>
              <w:jc w:val="center"/>
              <w:rPr>
                <w:rFonts w:cs="Arial"/>
                <w:sz w:val="20"/>
                <w:szCs w:val="20"/>
              </w:rPr>
            </w:pPr>
            <w:r>
              <w:rPr>
                <w:rFonts w:cs="Arial"/>
                <w:sz w:val="20"/>
                <w:szCs w:val="20"/>
              </w:rPr>
              <w:t>1</w:t>
            </w:r>
          </w:p>
        </w:tc>
        <w:tc>
          <w:tcPr>
            <w:tcW w:w="1134" w:type="dxa"/>
            <w:vAlign w:val="center"/>
          </w:tcPr>
          <w:p w14:paraId="318A2359" w14:textId="77777777" w:rsidR="008D78BC" w:rsidRPr="00B12CAF" w:rsidRDefault="008D78BC" w:rsidP="008D78BC">
            <w:pPr>
              <w:jc w:val="center"/>
              <w:rPr>
                <w:rFonts w:cs="Arial"/>
                <w:sz w:val="20"/>
                <w:szCs w:val="20"/>
              </w:rPr>
            </w:pPr>
            <w:r>
              <w:rPr>
                <w:rFonts w:cs="Arial"/>
                <w:sz w:val="20"/>
                <w:szCs w:val="20"/>
              </w:rPr>
              <w:t>0</w:t>
            </w:r>
          </w:p>
        </w:tc>
        <w:tc>
          <w:tcPr>
            <w:tcW w:w="1134" w:type="dxa"/>
            <w:vAlign w:val="center"/>
          </w:tcPr>
          <w:p w14:paraId="1B7AD1BE" w14:textId="77777777" w:rsidR="008D78BC" w:rsidRPr="00A7798A" w:rsidRDefault="008D78BC" w:rsidP="008D78BC">
            <w:pPr>
              <w:jc w:val="center"/>
              <w:rPr>
                <w:rFonts w:cs="Arial"/>
                <w:sz w:val="20"/>
                <w:szCs w:val="20"/>
              </w:rPr>
            </w:pPr>
            <w:r w:rsidRPr="00A7798A">
              <w:rPr>
                <w:rFonts w:cs="Arial"/>
                <w:sz w:val="20"/>
                <w:szCs w:val="20"/>
              </w:rPr>
              <w:t>0</w:t>
            </w:r>
          </w:p>
        </w:tc>
        <w:tc>
          <w:tcPr>
            <w:tcW w:w="1134" w:type="dxa"/>
            <w:vAlign w:val="center"/>
          </w:tcPr>
          <w:p w14:paraId="51CD39A5" w14:textId="77777777" w:rsidR="008D78BC" w:rsidRPr="00810903" w:rsidRDefault="008D78BC" w:rsidP="008D78BC">
            <w:pPr>
              <w:jc w:val="center"/>
              <w:rPr>
                <w:rFonts w:cs="Arial"/>
                <w:sz w:val="20"/>
                <w:szCs w:val="20"/>
              </w:rPr>
            </w:pPr>
            <w:r w:rsidRPr="00810903">
              <w:rPr>
                <w:rFonts w:cs="Arial"/>
                <w:sz w:val="20"/>
                <w:szCs w:val="20"/>
              </w:rPr>
              <w:t>1</w:t>
            </w:r>
          </w:p>
        </w:tc>
        <w:tc>
          <w:tcPr>
            <w:tcW w:w="1134" w:type="dxa"/>
            <w:vAlign w:val="center"/>
          </w:tcPr>
          <w:p w14:paraId="49293DB1" w14:textId="77777777" w:rsidR="008D78BC" w:rsidRPr="00B12CAF" w:rsidRDefault="008D78BC" w:rsidP="008D78BC">
            <w:pPr>
              <w:jc w:val="center"/>
              <w:rPr>
                <w:rFonts w:cs="Arial"/>
                <w:sz w:val="20"/>
                <w:szCs w:val="20"/>
              </w:rPr>
            </w:pPr>
            <w:r>
              <w:rPr>
                <w:rFonts w:cs="Arial"/>
                <w:sz w:val="20"/>
                <w:szCs w:val="20"/>
              </w:rPr>
              <w:t>1</w:t>
            </w:r>
          </w:p>
        </w:tc>
      </w:tr>
      <w:tr w:rsidR="008D78BC" w14:paraId="3989C055" w14:textId="77777777" w:rsidTr="008D78BC">
        <w:tc>
          <w:tcPr>
            <w:tcW w:w="3118" w:type="dxa"/>
            <w:shd w:val="clear" w:color="auto" w:fill="D9D9D9" w:themeFill="background1" w:themeFillShade="D9"/>
          </w:tcPr>
          <w:p w14:paraId="367D2216" w14:textId="77777777" w:rsidR="008D78BC" w:rsidRPr="008D78BC" w:rsidRDefault="008D78BC" w:rsidP="00AB50C2">
            <w:pPr>
              <w:spacing w:before="20" w:after="20"/>
              <w:rPr>
                <w:rFonts w:cs="Arial"/>
                <w:sz w:val="20"/>
                <w:szCs w:val="20"/>
              </w:rPr>
            </w:pPr>
            <w:r w:rsidRPr="008D78BC">
              <w:rPr>
                <w:rFonts w:cs="Arial"/>
                <w:sz w:val="20"/>
                <w:szCs w:val="20"/>
              </w:rPr>
              <w:t>Disturbance &amp; disruption</w:t>
            </w:r>
          </w:p>
        </w:tc>
        <w:tc>
          <w:tcPr>
            <w:tcW w:w="1134" w:type="dxa"/>
            <w:vAlign w:val="center"/>
          </w:tcPr>
          <w:p w14:paraId="7991897E" w14:textId="77777777" w:rsidR="008D78BC" w:rsidRPr="00B12CAF" w:rsidRDefault="008D78BC" w:rsidP="008D78BC">
            <w:pPr>
              <w:jc w:val="center"/>
              <w:rPr>
                <w:rFonts w:cs="Arial"/>
                <w:sz w:val="20"/>
                <w:szCs w:val="20"/>
              </w:rPr>
            </w:pPr>
            <w:r>
              <w:rPr>
                <w:rFonts w:cs="Arial"/>
                <w:sz w:val="20"/>
                <w:szCs w:val="20"/>
              </w:rPr>
              <w:t>1</w:t>
            </w:r>
          </w:p>
        </w:tc>
        <w:tc>
          <w:tcPr>
            <w:tcW w:w="1134" w:type="dxa"/>
            <w:vAlign w:val="center"/>
          </w:tcPr>
          <w:p w14:paraId="5F54AF5E" w14:textId="77777777" w:rsidR="008D78BC" w:rsidRPr="00B12CAF" w:rsidRDefault="008D78BC" w:rsidP="008D78BC">
            <w:pPr>
              <w:jc w:val="center"/>
              <w:rPr>
                <w:rFonts w:cs="Arial"/>
                <w:sz w:val="20"/>
                <w:szCs w:val="20"/>
              </w:rPr>
            </w:pPr>
            <w:r>
              <w:rPr>
                <w:rFonts w:cs="Arial"/>
                <w:sz w:val="20"/>
                <w:szCs w:val="20"/>
              </w:rPr>
              <w:t>8</w:t>
            </w:r>
          </w:p>
        </w:tc>
        <w:tc>
          <w:tcPr>
            <w:tcW w:w="1134" w:type="dxa"/>
            <w:vAlign w:val="center"/>
          </w:tcPr>
          <w:p w14:paraId="4ED88815" w14:textId="77777777" w:rsidR="008D78BC" w:rsidRPr="00A7798A" w:rsidRDefault="008D78BC" w:rsidP="008D78BC">
            <w:pPr>
              <w:jc w:val="center"/>
              <w:rPr>
                <w:rFonts w:cs="Arial"/>
                <w:sz w:val="20"/>
                <w:szCs w:val="20"/>
              </w:rPr>
            </w:pPr>
            <w:r w:rsidRPr="00A7798A">
              <w:rPr>
                <w:rFonts w:cs="Arial"/>
                <w:sz w:val="20"/>
                <w:szCs w:val="20"/>
              </w:rPr>
              <w:t>2</w:t>
            </w:r>
          </w:p>
        </w:tc>
        <w:tc>
          <w:tcPr>
            <w:tcW w:w="1134" w:type="dxa"/>
            <w:vAlign w:val="center"/>
          </w:tcPr>
          <w:p w14:paraId="63E96CC9" w14:textId="77777777" w:rsidR="008D78BC" w:rsidRPr="00810903" w:rsidRDefault="008D78BC" w:rsidP="008D78BC">
            <w:pPr>
              <w:jc w:val="center"/>
              <w:rPr>
                <w:rFonts w:cs="Arial"/>
                <w:sz w:val="20"/>
                <w:szCs w:val="20"/>
              </w:rPr>
            </w:pPr>
            <w:r w:rsidRPr="00810903">
              <w:rPr>
                <w:rFonts w:cs="Arial"/>
                <w:sz w:val="20"/>
                <w:szCs w:val="20"/>
              </w:rPr>
              <w:t>3</w:t>
            </w:r>
          </w:p>
        </w:tc>
        <w:tc>
          <w:tcPr>
            <w:tcW w:w="1134" w:type="dxa"/>
            <w:vAlign w:val="center"/>
          </w:tcPr>
          <w:p w14:paraId="0CFF4F16" w14:textId="77777777" w:rsidR="008D78BC" w:rsidRPr="00B12CAF" w:rsidRDefault="008D78BC" w:rsidP="008D78BC">
            <w:pPr>
              <w:jc w:val="center"/>
              <w:rPr>
                <w:rFonts w:cs="Arial"/>
                <w:sz w:val="20"/>
                <w:szCs w:val="20"/>
              </w:rPr>
            </w:pPr>
            <w:r>
              <w:rPr>
                <w:rFonts w:cs="Arial"/>
                <w:sz w:val="20"/>
                <w:szCs w:val="20"/>
              </w:rPr>
              <w:t>0</w:t>
            </w:r>
          </w:p>
        </w:tc>
      </w:tr>
      <w:tr w:rsidR="008D78BC" w14:paraId="4FE47EC3" w14:textId="77777777" w:rsidTr="008D78BC">
        <w:tc>
          <w:tcPr>
            <w:tcW w:w="3118" w:type="dxa"/>
            <w:shd w:val="clear" w:color="auto" w:fill="D9D9D9" w:themeFill="background1" w:themeFillShade="D9"/>
          </w:tcPr>
          <w:p w14:paraId="74A43F56" w14:textId="77777777" w:rsidR="008D78BC" w:rsidRPr="008D78BC" w:rsidRDefault="008D78BC" w:rsidP="00AB50C2">
            <w:pPr>
              <w:spacing w:before="20" w:after="20"/>
              <w:rPr>
                <w:rFonts w:cs="Arial"/>
                <w:sz w:val="20"/>
                <w:szCs w:val="20"/>
              </w:rPr>
            </w:pPr>
            <w:r w:rsidRPr="008D78BC">
              <w:rPr>
                <w:rFonts w:cs="Arial"/>
                <w:sz w:val="20"/>
                <w:szCs w:val="20"/>
              </w:rPr>
              <w:t>Habitat destruction/degradation</w:t>
            </w:r>
          </w:p>
        </w:tc>
        <w:tc>
          <w:tcPr>
            <w:tcW w:w="1134" w:type="dxa"/>
            <w:vAlign w:val="center"/>
          </w:tcPr>
          <w:p w14:paraId="5C1ECADD" w14:textId="77777777" w:rsidR="008D78BC" w:rsidRPr="00B12CAF" w:rsidRDefault="008D78BC" w:rsidP="008D78BC">
            <w:pPr>
              <w:jc w:val="center"/>
              <w:rPr>
                <w:rFonts w:cs="Arial"/>
                <w:sz w:val="20"/>
                <w:szCs w:val="20"/>
              </w:rPr>
            </w:pPr>
            <w:r>
              <w:rPr>
                <w:rFonts w:cs="Arial"/>
                <w:sz w:val="20"/>
                <w:szCs w:val="20"/>
              </w:rPr>
              <w:t>48</w:t>
            </w:r>
          </w:p>
        </w:tc>
        <w:tc>
          <w:tcPr>
            <w:tcW w:w="1134" w:type="dxa"/>
            <w:vAlign w:val="center"/>
          </w:tcPr>
          <w:p w14:paraId="24596D9C" w14:textId="77777777" w:rsidR="008D78BC" w:rsidRPr="00B12CAF" w:rsidRDefault="008D78BC" w:rsidP="008D78BC">
            <w:pPr>
              <w:jc w:val="center"/>
              <w:rPr>
                <w:rFonts w:cs="Arial"/>
                <w:sz w:val="20"/>
                <w:szCs w:val="20"/>
              </w:rPr>
            </w:pPr>
            <w:r>
              <w:rPr>
                <w:rFonts w:cs="Arial"/>
                <w:sz w:val="20"/>
                <w:szCs w:val="20"/>
              </w:rPr>
              <w:t>32</w:t>
            </w:r>
          </w:p>
        </w:tc>
        <w:tc>
          <w:tcPr>
            <w:tcW w:w="1134" w:type="dxa"/>
            <w:vAlign w:val="center"/>
          </w:tcPr>
          <w:p w14:paraId="15CEADAD" w14:textId="77777777" w:rsidR="008D78BC" w:rsidRPr="00A7798A" w:rsidRDefault="008D78BC" w:rsidP="008D78BC">
            <w:pPr>
              <w:jc w:val="center"/>
              <w:rPr>
                <w:rFonts w:cs="Arial"/>
                <w:sz w:val="20"/>
                <w:szCs w:val="20"/>
              </w:rPr>
            </w:pPr>
            <w:r w:rsidRPr="00A7798A">
              <w:rPr>
                <w:rFonts w:cs="Arial"/>
                <w:sz w:val="20"/>
                <w:szCs w:val="20"/>
              </w:rPr>
              <w:t>36</w:t>
            </w:r>
          </w:p>
        </w:tc>
        <w:tc>
          <w:tcPr>
            <w:tcW w:w="1134" w:type="dxa"/>
            <w:vAlign w:val="center"/>
          </w:tcPr>
          <w:p w14:paraId="34E97B92" w14:textId="77777777" w:rsidR="008D78BC" w:rsidRPr="00810903" w:rsidRDefault="008D78BC" w:rsidP="008D78BC">
            <w:pPr>
              <w:jc w:val="center"/>
              <w:rPr>
                <w:rFonts w:cs="Arial"/>
                <w:sz w:val="20"/>
                <w:szCs w:val="20"/>
              </w:rPr>
            </w:pPr>
            <w:r w:rsidRPr="00810903">
              <w:rPr>
                <w:rFonts w:cs="Arial"/>
                <w:sz w:val="20"/>
                <w:szCs w:val="20"/>
              </w:rPr>
              <w:t>36</w:t>
            </w:r>
          </w:p>
        </w:tc>
        <w:tc>
          <w:tcPr>
            <w:tcW w:w="1134" w:type="dxa"/>
            <w:vAlign w:val="center"/>
          </w:tcPr>
          <w:p w14:paraId="7C3672F1" w14:textId="77777777" w:rsidR="008D78BC" w:rsidRPr="00B12CAF" w:rsidRDefault="008D78BC" w:rsidP="008D78BC">
            <w:pPr>
              <w:jc w:val="center"/>
              <w:rPr>
                <w:rFonts w:cs="Arial"/>
                <w:sz w:val="20"/>
                <w:szCs w:val="20"/>
              </w:rPr>
            </w:pPr>
            <w:r>
              <w:rPr>
                <w:rFonts w:cs="Arial"/>
                <w:sz w:val="20"/>
                <w:szCs w:val="20"/>
              </w:rPr>
              <w:t>25</w:t>
            </w:r>
          </w:p>
        </w:tc>
      </w:tr>
      <w:tr w:rsidR="008D78BC" w14:paraId="02CF90A0" w14:textId="77777777" w:rsidTr="008D78BC">
        <w:tc>
          <w:tcPr>
            <w:tcW w:w="3118" w:type="dxa"/>
            <w:shd w:val="clear" w:color="auto" w:fill="D9D9D9" w:themeFill="background1" w:themeFillShade="D9"/>
          </w:tcPr>
          <w:p w14:paraId="0BDFD862" w14:textId="77777777" w:rsidR="008D78BC" w:rsidRPr="008D78BC" w:rsidRDefault="008D78BC" w:rsidP="00AB50C2">
            <w:pPr>
              <w:spacing w:before="20" w:after="20"/>
              <w:rPr>
                <w:rFonts w:cs="Arial"/>
                <w:sz w:val="20"/>
                <w:szCs w:val="20"/>
              </w:rPr>
            </w:pPr>
            <w:r w:rsidRPr="008D78BC">
              <w:rPr>
                <w:rFonts w:cs="Arial"/>
                <w:sz w:val="20"/>
                <w:szCs w:val="20"/>
              </w:rPr>
              <w:t>Climate change</w:t>
            </w:r>
          </w:p>
        </w:tc>
        <w:tc>
          <w:tcPr>
            <w:tcW w:w="1134" w:type="dxa"/>
            <w:vAlign w:val="center"/>
          </w:tcPr>
          <w:p w14:paraId="257CDD67" w14:textId="77777777" w:rsidR="008D78BC" w:rsidRPr="00B12CAF" w:rsidRDefault="008D78BC" w:rsidP="008D78BC">
            <w:pPr>
              <w:jc w:val="center"/>
              <w:rPr>
                <w:rFonts w:cs="Arial"/>
                <w:sz w:val="20"/>
                <w:szCs w:val="20"/>
              </w:rPr>
            </w:pPr>
            <w:r>
              <w:rPr>
                <w:rFonts w:cs="Arial"/>
                <w:sz w:val="20"/>
                <w:szCs w:val="20"/>
              </w:rPr>
              <w:t>1</w:t>
            </w:r>
          </w:p>
        </w:tc>
        <w:tc>
          <w:tcPr>
            <w:tcW w:w="1134" w:type="dxa"/>
            <w:vAlign w:val="center"/>
          </w:tcPr>
          <w:p w14:paraId="42467BEE" w14:textId="77777777" w:rsidR="008D78BC" w:rsidRPr="00B12CAF" w:rsidRDefault="008D78BC" w:rsidP="008D78BC">
            <w:pPr>
              <w:jc w:val="center"/>
              <w:rPr>
                <w:rFonts w:cs="Arial"/>
                <w:sz w:val="20"/>
                <w:szCs w:val="20"/>
              </w:rPr>
            </w:pPr>
            <w:r>
              <w:rPr>
                <w:rFonts w:cs="Arial"/>
                <w:sz w:val="20"/>
                <w:szCs w:val="20"/>
              </w:rPr>
              <w:t>2</w:t>
            </w:r>
          </w:p>
        </w:tc>
        <w:tc>
          <w:tcPr>
            <w:tcW w:w="1134" w:type="dxa"/>
            <w:vAlign w:val="center"/>
          </w:tcPr>
          <w:p w14:paraId="250D2631" w14:textId="77777777" w:rsidR="008D78BC" w:rsidRPr="00A7798A" w:rsidRDefault="008D78BC" w:rsidP="008D78BC">
            <w:pPr>
              <w:jc w:val="center"/>
              <w:rPr>
                <w:rFonts w:cs="Arial"/>
                <w:sz w:val="20"/>
                <w:szCs w:val="20"/>
              </w:rPr>
            </w:pPr>
            <w:r w:rsidRPr="00A7798A">
              <w:rPr>
                <w:rFonts w:cs="Arial"/>
                <w:sz w:val="20"/>
                <w:szCs w:val="20"/>
              </w:rPr>
              <w:t>6</w:t>
            </w:r>
          </w:p>
        </w:tc>
        <w:tc>
          <w:tcPr>
            <w:tcW w:w="1134" w:type="dxa"/>
            <w:vAlign w:val="center"/>
          </w:tcPr>
          <w:p w14:paraId="047ED948" w14:textId="77777777" w:rsidR="008D78BC" w:rsidRPr="00810903" w:rsidRDefault="008D78BC" w:rsidP="008D78BC">
            <w:pPr>
              <w:jc w:val="center"/>
              <w:rPr>
                <w:rFonts w:cs="Arial"/>
                <w:sz w:val="20"/>
                <w:szCs w:val="20"/>
              </w:rPr>
            </w:pPr>
            <w:r w:rsidRPr="00810903">
              <w:rPr>
                <w:rFonts w:cs="Arial"/>
                <w:sz w:val="20"/>
                <w:szCs w:val="20"/>
              </w:rPr>
              <w:t>2</w:t>
            </w:r>
          </w:p>
        </w:tc>
        <w:tc>
          <w:tcPr>
            <w:tcW w:w="1134" w:type="dxa"/>
            <w:vAlign w:val="center"/>
          </w:tcPr>
          <w:p w14:paraId="11624A78" w14:textId="77777777" w:rsidR="008D78BC" w:rsidRPr="00B12CAF" w:rsidRDefault="008D78BC" w:rsidP="008D78BC">
            <w:pPr>
              <w:jc w:val="center"/>
              <w:rPr>
                <w:rFonts w:cs="Arial"/>
                <w:sz w:val="20"/>
                <w:szCs w:val="20"/>
              </w:rPr>
            </w:pPr>
            <w:r>
              <w:rPr>
                <w:rFonts w:cs="Arial"/>
                <w:sz w:val="20"/>
                <w:szCs w:val="20"/>
              </w:rPr>
              <w:t>2</w:t>
            </w:r>
          </w:p>
        </w:tc>
      </w:tr>
      <w:tr w:rsidR="008D78BC" w14:paraId="3E3FDAA0" w14:textId="77777777" w:rsidTr="008D78BC">
        <w:tc>
          <w:tcPr>
            <w:tcW w:w="3118" w:type="dxa"/>
            <w:shd w:val="clear" w:color="auto" w:fill="D9D9D9" w:themeFill="background1" w:themeFillShade="D9"/>
          </w:tcPr>
          <w:p w14:paraId="6FEBF1FC" w14:textId="77777777" w:rsidR="008D78BC" w:rsidRPr="008D78BC" w:rsidRDefault="008D78BC" w:rsidP="00AB50C2">
            <w:pPr>
              <w:spacing w:before="20" w:after="20"/>
              <w:rPr>
                <w:rFonts w:cs="Arial"/>
                <w:sz w:val="20"/>
                <w:szCs w:val="20"/>
              </w:rPr>
            </w:pPr>
            <w:r w:rsidRPr="008D78BC">
              <w:rPr>
                <w:rFonts w:cs="Arial"/>
                <w:sz w:val="20"/>
                <w:szCs w:val="20"/>
              </w:rPr>
              <w:t>Knowledge, regulation etc</w:t>
            </w:r>
            <w:r w:rsidR="00176B4D">
              <w:rPr>
                <w:rFonts w:cs="Arial"/>
                <w:sz w:val="20"/>
                <w:szCs w:val="20"/>
              </w:rPr>
              <w:t>.</w:t>
            </w:r>
          </w:p>
        </w:tc>
        <w:tc>
          <w:tcPr>
            <w:tcW w:w="1134" w:type="dxa"/>
            <w:vAlign w:val="center"/>
          </w:tcPr>
          <w:p w14:paraId="49AF42AA" w14:textId="77777777" w:rsidR="008D78BC" w:rsidRPr="00B12CAF" w:rsidRDefault="008D78BC" w:rsidP="008D78BC">
            <w:pPr>
              <w:jc w:val="center"/>
              <w:rPr>
                <w:rFonts w:cs="Arial"/>
                <w:sz w:val="20"/>
                <w:szCs w:val="20"/>
              </w:rPr>
            </w:pPr>
            <w:r>
              <w:rPr>
                <w:rFonts w:cs="Arial"/>
                <w:sz w:val="20"/>
                <w:szCs w:val="20"/>
              </w:rPr>
              <w:t>0</w:t>
            </w:r>
          </w:p>
        </w:tc>
        <w:tc>
          <w:tcPr>
            <w:tcW w:w="1134" w:type="dxa"/>
            <w:vAlign w:val="center"/>
          </w:tcPr>
          <w:p w14:paraId="639D56BC" w14:textId="77777777" w:rsidR="008D78BC" w:rsidRPr="00B12CAF" w:rsidRDefault="008D78BC" w:rsidP="008D78BC">
            <w:pPr>
              <w:jc w:val="center"/>
              <w:rPr>
                <w:rFonts w:cs="Arial"/>
                <w:sz w:val="20"/>
                <w:szCs w:val="20"/>
              </w:rPr>
            </w:pPr>
            <w:r>
              <w:rPr>
                <w:rFonts w:cs="Arial"/>
                <w:sz w:val="20"/>
                <w:szCs w:val="20"/>
              </w:rPr>
              <w:t>2</w:t>
            </w:r>
          </w:p>
        </w:tc>
        <w:tc>
          <w:tcPr>
            <w:tcW w:w="1134" w:type="dxa"/>
            <w:vAlign w:val="center"/>
          </w:tcPr>
          <w:p w14:paraId="2615687A" w14:textId="77777777" w:rsidR="008D78BC" w:rsidRPr="00A7798A" w:rsidRDefault="008D78BC" w:rsidP="008D78BC">
            <w:pPr>
              <w:jc w:val="center"/>
              <w:rPr>
                <w:rFonts w:cs="Arial"/>
                <w:sz w:val="20"/>
                <w:szCs w:val="20"/>
              </w:rPr>
            </w:pPr>
            <w:r w:rsidRPr="00A7798A">
              <w:rPr>
                <w:rFonts w:cs="Arial"/>
                <w:sz w:val="20"/>
                <w:szCs w:val="20"/>
              </w:rPr>
              <w:t>30</w:t>
            </w:r>
          </w:p>
        </w:tc>
        <w:tc>
          <w:tcPr>
            <w:tcW w:w="1134" w:type="dxa"/>
            <w:vAlign w:val="center"/>
          </w:tcPr>
          <w:p w14:paraId="1E55E5AB" w14:textId="77777777" w:rsidR="008D78BC" w:rsidRPr="00810903" w:rsidRDefault="008D78BC" w:rsidP="008D78BC">
            <w:pPr>
              <w:jc w:val="center"/>
              <w:rPr>
                <w:rFonts w:cs="Arial"/>
                <w:sz w:val="20"/>
                <w:szCs w:val="20"/>
              </w:rPr>
            </w:pPr>
            <w:r w:rsidRPr="00810903">
              <w:rPr>
                <w:rFonts w:cs="Arial"/>
                <w:sz w:val="20"/>
                <w:szCs w:val="20"/>
              </w:rPr>
              <w:t>1</w:t>
            </w:r>
          </w:p>
        </w:tc>
        <w:tc>
          <w:tcPr>
            <w:tcW w:w="1134" w:type="dxa"/>
            <w:vAlign w:val="center"/>
          </w:tcPr>
          <w:p w14:paraId="60588053" w14:textId="77777777" w:rsidR="008D78BC" w:rsidRPr="00B12CAF" w:rsidRDefault="008D78BC" w:rsidP="008D78BC">
            <w:pPr>
              <w:jc w:val="center"/>
              <w:rPr>
                <w:rFonts w:cs="Arial"/>
                <w:sz w:val="20"/>
                <w:szCs w:val="20"/>
              </w:rPr>
            </w:pPr>
            <w:r>
              <w:rPr>
                <w:rFonts w:cs="Arial"/>
                <w:sz w:val="20"/>
                <w:szCs w:val="20"/>
              </w:rPr>
              <w:t>18</w:t>
            </w:r>
          </w:p>
        </w:tc>
      </w:tr>
    </w:tbl>
    <w:p w14:paraId="32B30A3C" w14:textId="77777777" w:rsidR="008D78BC" w:rsidRPr="00EC39F8" w:rsidRDefault="008D78BC" w:rsidP="008D78BC">
      <w:pPr>
        <w:rPr>
          <w:rFonts w:cs="Arial"/>
          <w:sz w:val="10"/>
          <w:szCs w:val="10"/>
        </w:rPr>
      </w:pPr>
    </w:p>
    <w:p w14:paraId="199C7F09" w14:textId="2702F575" w:rsidR="008D78BC" w:rsidRPr="00EC39F8" w:rsidRDefault="008D78BC" w:rsidP="008D78BC">
      <w:pPr>
        <w:ind w:firstLine="720"/>
        <w:rPr>
          <w:rFonts w:cs="Arial"/>
        </w:rPr>
      </w:pPr>
      <w:r>
        <w:rPr>
          <w:rFonts w:cs="Arial"/>
        </w:rPr>
        <w:t xml:space="preserve">  </w:t>
      </w:r>
      <w:r w:rsidRPr="00EC39F8">
        <w:rPr>
          <w:rFonts w:cs="Arial"/>
        </w:rPr>
        <w:t xml:space="preserve">Table </w:t>
      </w:r>
      <w:r w:rsidR="00771530">
        <w:rPr>
          <w:rFonts w:cs="Arial"/>
        </w:rPr>
        <w:t>1</w:t>
      </w:r>
      <w:r w:rsidRPr="00EC39F8">
        <w:rPr>
          <w:rFonts w:cs="Arial"/>
        </w:rPr>
        <w:t xml:space="preserve">.  </w:t>
      </w:r>
      <w:r w:rsidR="006E2B23">
        <w:rPr>
          <w:rFonts w:cs="Arial"/>
        </w:rPr>
        <w:t>Relative frequency of main types of t</w:t>
      </w:r>
      <w:r>
        <w:rPr>
          <w:rFonts w:cs="Arial"/>
        </w:rPr>
        <w:t xml:space="preserve">hreat </w:t>
      </w:r>
      <w:r w:rsidR="006E2B23">
        <w:rPr>
          <w:rFonts w:cs="Arial"/>
        </w:rPr>
        <w:t xml:space="preserve">cited as </w:t>
      </w:r>
      <w:r>
        <w:rPr>
          <w:rFonts w:cs="Arial"/>
        </w:rPr>
        <w:t>affecting Appendix I species.</w:t>
      </w:r>
    </w:p>
    <w:p w14:paraId="23C22A94" w14:textId="77777777" w:rsidR="008D78BC" w:rsidRPr="00265AD3" w:rsidRDefault="008D78BC" w:rsidP="008D78BC">
      <w:pPr>
        <w:ind w:left="720" w:firstLine="720"/>
        <w:rPr>
          <w:rFonts w:cs="Arial"/>
          <w:sz w:val="4"/>
          <w:szCs w:val="4"/>
        </w:rPr>
      </w:pPr>
    </w:p>
    <w:p w14:paraId="68128261" w14:textId="0FD40D88" w:rsidR="008D78BC" w:rsidRPr="0034108A" w:rsidRDefault="008D78BC" w:rsidP="0034108A">
      <w:pPr>
        <w:ind w:left="720"/>
        <w:rPr>
          <w:rFonts w:cs="Arial"/>
          <w:szCs w:val="18"/>
        </w:rPr>
      </w:pPr>
      <w:r>
        <w:rPr>
          <w:rFonts w:cs="Arial"/>
        </w:rPr>
        <w:t xml:space="preserve">  </w:t>
      </w:r>
      <w:r w:rsidR="00F82818">
        <w:rPr>
          <w:rFonts w:cs="Arial"/>
        </w:rPr>
        <w:t xml:space="preserve"> </w:t>
      </w:r>
      <w:r w:rsidRPr="00265AD3">
        <w:rPr>
          <w:rFonts w:cs="Arial"/>
          <w:szCs w:val="18"/>
          <w:u w:val="single"/>
        </w:rPr>
        <w:t>Note</w:t>
      </w:r>
      <w:r w:rsidRPr="00265AD3">
        <w:rPr>
          <w:rFonts w:cs="Arial"/>
          <w:szCs w:val="18"/>
        </w:rPr>
        <w:t xml:space="preserve">:  The figures </w:t>
      </w:r>
      <w:r w:rsidR="006E2B23">
        <w:rPr>
          <w:rFonts w:cs="Arial"/>
          <w:szCs w:val="18"/>
        </w:rPr>
        <w:t xml:space="preserve">are percentages of the total </w:t>
      </w:r>
      <w:r w:rsidR="00F82818">
        <w:rPr>
          <w:rFonts w:cs="Arial"/>
          <w:szCs w:val="18"/>
        </w:rPr>
        <w:t>threat identifications</w:t>
      </w:r>
      <w:r w:rsidR="006E2B23">
        <w:rPr>
          <w:rFonts w:cs="Arial"/>
          <w:szCs w:val="18"/>
        </w:rPr>
        <w:t xml:space="preserve"> </w:t>
      </w:r>
      <w:r w:rsidR="00CA2FB5">
        <w:rPr>
          <w:rFonts w:cs="Arial"/>
          <w:szCs w:val="18"/>
        </w:rPr>
        <w:t>made in relation to</w:t>
      </w:r>
      <w:r w:rsidR="006E2B23">
        <w:rPr>
          <w:rFonts w:cs="Arial"/>
          <w:szCs w:val="18"/>
        </w:rPr>
        <w:t xml:space="preserve"> each taxonomic group.  </w:t>
      </w:r>
      <w:r w:rsidR="00F82818">
        <w:rPr>
          <w:rFonts w:cs="Arial"/>
          <w:szCs w:val="18"/>
        </w:rPr>
        <w:br/>
        <w:t xml:space="preserve">              </w:t>
      </w:r>
      <w:r w:rsidR="006E2B23">
        <w:rPr>
          <w:rFonts w:cs="Arial"/>
          <w:szCs w:val="18"/>
        </w:rPr>
        <w:t>In some cases they add up to 99 or 101 because of rounding in the underlying data</w:t>
      </w:r>
      <w:r w:rsidR="00C8610B">
        <w:rPr>
          <w:rFonts w:cs="Arial"/>
          <w:szCs w:val="18"/>
        </w:rPr>
        <w:t xml:space="preserve">.  The base unit is </w:t>
      </w:r>
      <w:r w:rsidR="00F82818">
        <w:rPr>
          <w:rFonts w:cs="Arial"/>
          <w:szCs w:val="18"/>
        </w:rPr>
        <w:br/>
        <w:t xml:space="preserve">              </w:t>
      </w:r>
      <w:r w:rsidR="00C8610B">
        <w:rPr>
          <w:rFonts w:cs="Arial"/>
          <w:szCs w:val="18"/>
        </w:rPr>
        <w:t>the number of “</w:t>
      </w:r>
      <w:r w:rsidR="00F82818">
        <w:rPr>
          <w:rFonts w:cs="Arial"/>
          <w:szCs w:val="18"/>
        </w:rPr>
        <w:t>identifications</w:t>
      </w:r>
      <w:r w:rsidR="00C8610B">
        <w:rPr>
          <w:rFonts w:cs="Arial"/>
          <w:szCs w:val="18"/>
        </w:rPr>
        <w:t xml:space="preserve">” rather than the number of Parties, because each Party had two </w:t>
      </w:r>
      <w:r w:rsidR="00F82818">
        <w:rPr>
          <w:rFonts w:cs="Arial"/>
          <w:szCs w:val="18"/>
        </w:rPr>
        <w:br/>
        <w:t xml:space="preserve">              </w:t>
      </w:r>
      <w:r w:rsidR="00C8610B">
        <w:rPr>
          <w:rFonts w:cs="Arial"/>
          <w:szCs w:val="18"/>
        </w:rPr>
        <w:t>questions to answer on this subject</w:t>
      </w:r>
      <w:r w:rsidRPr="00265AD3">
        <w:rPr>
          <w:rFonts w:cs="Arial"/>
          <w:szCs w:val="18"/>
        </w:rPr>
        <w:t>.</w:t>
      </w:r>
    </w:p>
    <w:p w14:paraId="2920C457" w14:textId="77777777" w:rsidR="00645748" w:rsidRDefault="00645748" w:rsidP="00645748">
      <w:pPr>
        <w:ind w:left="448" w:hanging="448"/>
        <w:jc w:val="both"/>
        <w:rPr>
          <w:rFonts w:cs="Arial"/>
          <w:sz w:val="22"/>
          <w:szCs w:val="22"/>
        </w:rPr>
      </w:pPr>
    </w:p>
    <w:p w14:paraId="6919162B" w14:textId="378F479F" w:rsidR="00645748" w:rsidRDefault="00645748" w:rsidP="00645748">
      <w:pPr>
        <w:ind w:left="448" w:hanging="448"/>
        <w:jc w:val="both"/>
        <w:rPr>
          <w:rFonts w:cs="Arial"/>
          <w:sz w:val="22"/>
          <w:szCs w:val="22"/>
        </w:rPr>
      </w:pPr>
      <w:r>
        <w:rPr>
          <w:rFonts w:cs="Arial"/>
          <w:sz w:val="22"/>
          <w:szCs w:val="22"/>
        </w:rPr>
        <w:t>11.</w:t>
      </w:r>
      <w:r>
        <w:rPr>
          <w:rFonts w:cs="Arial"/>
          <w:sz w:val="22"/>
          <w:szCs w:val="22"/>
        </w:rPr>
        <w:tab/>
        <w:t>Habitat loss/deterioration was the most frequently cited issue</w:t>
      </w:r>
      <w:r w:rsidRPr="00396787">
        <w:rPr>
          <w:rFonts w:cs="Arial"/>
          <w:sz w:val="22"/>
          <w:szCs w:val="22"/>
        </w:rPr>
        <w:t xml:space="preserve"> for most taxonomic groups in most regions</w:t>
      </w:r>
      <w:r>
        <w:rPr>
          <w:rFonts w:cs="Arial"/>
          <w:sz w:val="22"/>
          <w:szCs w:val="22"/>
        </w:rPr>
        <w:t>;</w:t>
      </w:r>
      <w:r w:rsidRPr="00396787">
        <w:rPr>
          <w:rFonts w:cs="Arial"/>
          <w:sz w:val="22"/>
          <w:szCs w:val="22"/>
        </w:rPr>
        <w:t xml:space="preserve"> but bycatch was more important for reptiles in Africa, for aquatic mammals in two regions </w:t>
      </w:r>
      <w:r>
        <w:rPr>
          <w:rFonts w:cs="Arial"/>
          <w:sz w:val="22"/>
          <w:szCs w:val="22"/>
        </w:rPr>
        <w:t>(</w:t>
      </w:r>
      <w:r w:rsidRPr="00396787">
        <w:rPr>
          <w:rFonts w:cs="Arial"/>
          <w:sz w:val="22"/>
          <w:szCs w:val="22"/>
        </w:rPr>
        <w:t>Europe, Central &amp; South America &amp; the Caribbean) and for fish in three regions (Asia, Oceania, Central &amp; South America &amp; the Caribbean)</w:t>
      </w:r>
      <w:r>
        <w:rPr>
          <w:rFonts w:cs="Arial"/>
          <w:sz w:val="22"/>
          <w:szCs w:val="22"/>
        </w:rPr>
        <w:t>;</w:t>
      </w:r>
      <w:r w:rsidRPr="00396787">
        <w:rPr>
          <w:rFonts w:cs="Arial"/>
          <w:sz w:val="22"/>
          <w:szCs w:val="22"/>
        </w:rPr>
        <w:t xml:space="preserve"> while direct killing/taking was more important for birds in Asia</w:t>
      </w:r>
      <w:r>
        <w:rPr>
          <w:rFonts w:cs="Arial"/>
          <w:sz w:val="22"/>
          <w:szCs w:val="22"/>
        </w:rPr>
        <w:t>;</w:t>
      </w:r>
      <w:r w:rsidRPr="00396787">
        <w:rPr>
          <w:rFonts w:cs="Arial"/>
          <w:sz w:val="22"/>
          <w:szCs w:val="22"/>
        </w:rPr>
        <w:t xml:space="preserve"> and knowledge/regulation </w:t>
      </w:r>
      <w:r>
        <w:rPr>
          <w:rFonts w:cs="Arial"/>
          <w:sz w:val="22"/>
          <w:szCs w:val="22"/>
        </w:rPr>
        <w:t xml:space="preserve">was more important </w:t>
      </w:r>
      <w:r w:rsidRPr="00396787">
        <w:rPr>
          <w:rFonts w:cs="Arial"/>
          <w:sz w:val="22"/>
          <w:szCs w:val="22"/>
        </w:rPr>
        <w:t xml:space="preserve">for terrestrial </w:t>
      </w:r>
      <w:r w:rsidRPr="00396787">
        <w:rPr>
          <w:rFonts w:cs="Arial"/>
          <w:sz w:val="22"/>
          <w:szCs w:val="22"/>
        </w:rPr>
        <w:lastRenderedPageBreak/>
        <w:t>mammals in Africa.  These data should be treated with caution however, as the</w:t>
      </w:r>
      <w:r>
        <w:rPr>
          <w:rFonts w:cs="Arial"/>
          <w:sz w:val="22"/>
          <w:szCs w:val="22"/>
        </w:rPr>
        <w:t xml:space="preserve"> trends</w:t>
      </w:r>
      <w:r w:rsidRPr="00396787">
        <w:rPr>
          <w:rFonts w:cs="Arial"/>
          <w:sz w:val="22"/>
          <w:szCs w:val="22"/>
        </w:rPr>
        <w:t xml:space="preserve"> appear to have been led to some extent by the way that priorities were suggested in the questions, </w:t>
      </w:r>
      <w:r>
        <w:rPr>
          <w:rFonts w:cs="Arial"/>
          <w:sz w:val="22"/>
          <w:szCs w:val="22"/>
        </w:rPr>
        <w:t>and the questions</w:t>
      </w:r>
      <w:r w:rsidRPr="00396787">
        <w:rPr>
          <w:rFonts w:cs="Arial"/>
          <w:sz w:val="22"/>
          <w:szCs w:val="22"/>
        </w:rPr>
        <w:t xml:space="preserve"> were not asked in the same way for each taxonomic group.</w:t>
      </w:r>
    </w:p>
    <w:p w14:paraId="0274644A" w14:textId="77777777" w:rsidR="006B041C" w:rsidRDefault="006B041C" w:rsidP="002B1990">
      <w:pPr>
        <w:ind w:left="448" w:hanging="448"/>
        <w:jc w:val="both"/>
        <w:rPr>
          <w:rFonts w:cs="Arial"/>
          <w:sz w:val="22"/>
          <w:szCs w:val="22"/>
        </w:rPr>
      </w:pPr>
    </w:p>
    <w:p w14:paraId="4638173E" w14:textId="77777777" w:rsidR="008651E0" w:rsidRDefault="00456905" w:rsidP="002B1990">
      <w:pPr>
        <w:ind w:left="448" w:hanging="448"/>
        <w:jc w:val="both"/>
        <w:rPr>
          <w:rFonts w:cs="Arial"/>
          <w:sz w:val="22"/>
          <w:szCs w:val="22"/>
        </w:rPr>
      </w:pPr>
      <w:r>
        <w:rPr>
          <w:rFonts w:cs="Arial"/>
          <w:sz w:val="22"/>
          <w:szCs w:val="22"/>
        </w:rPr>
        <w:t>12.</w:t>
      </w:r>
      <w:r>
        <w:rPr>
          <w:rFonts w:cs="Arial"/>
          <w:sz w:val="22"/>
          <w:szCs w:val="22"/>
        </w:rPr>
        <w:tab/>
      </w:r>
      <w:r w:rsidR="008651E0">
        <w:rPr>
          <w:rFonts w:cs="Arial"/>
          <w:sz w:val="22"/>
          <w:szCs w:val="22"/>
        </w:rPr>
        <w:t xml:space="preserve">Other questions in this section asked about actions being taken to address </w:t>
      </w:r>
      <w:r w:rsidR="004A68FB">
        <w:rPr>
          <w:rFonts w:cs="Arial"/>
          <w:sz w:val="22"/>
          <w:szCs w:val="22"/>
        </w:rPr>
        <w:t xml:space="preserve">the </w:t>
      </w:r>
      <w:r w:rsidR="008651E0">
        <w:rPr>
          <w:rFonts w:cs="Arial"/>
          <w:sz w:val="22"/>
          <w:szCs w:val="22"/>
        </w:rPr>
        <w:t>threats, and about the progress and success of those actions.  Responses to this were reported in a variety of different ways, and there is no valid basis for quantify</w:t>
      </w:r>
      <w:r w:rsidR="009118A9">
        <w:rPr>
          <w:rFonts w:cs="Arial"/>
          <w:sz w:val="22"/>
          <w:szCs w:val="22"/>
        </w:rPr>
        <w:t xml:space="preserve">ing or otherwise evaluating </w:t>
      </w:r>
      <w:r w:rsidR="008651E0">
        <w:rPr>
          <w:rFonts w:cs="Arial"/>
          <w:sz w:val="22"/>
          <w:szCs w:val="22"/>
        </w:rPr>
        <w:t xml:space="preserve">priorities and significances among the actions described.  Progress or success was sometimes mentioned, but more often the mention of an activity could not be distinguished from any comment about </w:t>
      </w:r>
      <w:r w:rsidR="004A68FB">
        <w:rPr>
          <w:rFonts w:cs="Arial"/>
          <w:sz w:val="22"/>
          <w:szCs w:val="22"/>
        </w:rPr>
        <w:t xml:space="preserve">the </w:t>
      </w:r>
      <w:r w:rsidR="008651E0">
        <w:rPr>
          <w:rFonts w:cs="Arial"/>
          <w:sz w:val="22"/>
          <w:szCs w:val="22"/>
        </w:rPr>
        <w:t>progress</w:t>
      </w:r>
      <w:r w:rsidR="004A68FB">
        <w:rPr>
          <w:rFonts w:cs="Arial"/>
          <w:sz w:val="22"/>
          <w:szCs w:val="22"/>
        </w:rPr>
        <w:t xml:space="preserve"> achieved </w:t>
      </w:r>
      <w:r w:rsidR="008651E0">
        <w:rPr>
          <w:rFonts w:cs="Arial"/>
          <w:sz w:val="22"/>
          <w:szCs w:val="22"/>
        </w:rPr>
        <w:t>(“protection of habitat</w:t>
      </w:r>
      <w:r w:rsidR="004A68FB">
        <w:rPr>
          <w:rFonts w:cs="Arial"/>
          <w:sz w:val="22"/>
          <w:szCs w:val="22"/>
        </w:rPr>
        <w:t>” or “raising awareness” for example could refer either to an activity or a result, or both).  Apart from a few references to e.g. “breeding success improved” and one or two specific project results in particular areas, the “progress/success” answers have generally not provided any evaluation of conservation status outcomes.</w:t>
      </w:r>
    </w:p>
    <w:p w14:paraId="70E06D61" w14:textId="77777777" w:rsidR="008651E0" w:rsidRDefault="008651E0" w:rsidP="002B1990">
      <w:pPr>
        <w:ind w:left="448" w:hanging="448"/>
        <w:jc w:val="both"/>
        <w:rPr>
          <w:rFonts w:cs="Arial"/>
          <w:sz w:val="22"/>
          <w:szCs w:val="22"/>
        </w:rPr>
      </w:pPr>
    </w:p>
    <w:p w14:paraId="6CD11A7F" w14:textId="77777777" w:rsidR="006B041C" w:rsidRPr="00113BFE" w:rsidRDefault="00456905" w:rsidP="002B1990">
      <w:pPr>
        <w:ind w:left="448" w:hanging="448"/>
        <w:jc w:val="both"/>
        <w:rPr>
          <w:rFonts w:cs="Arial"/>
          <w:sz w:val="22"/>
          <w:szCs w:val="22"/>
        </w:rPr>
      </w:pPr>
      <w:r>
        <w:rPr>
          <w:rFonts w:cs="Arial"/>
          <w:sz w:val="22"/>
          <w:szCs w:val="22"/>
        </w:rPr>
        <w:t>13.</w:t>
      </w:r>
      <w:r>
        <w:rPr>
          <w:rFonts w:cs="Arial"/>
          <w:sz w:val="22"/>
          <w:szCs w:val="22"/>
        </w:rPr>
        <w:tab/>
      </w:r>
      <w:r w:rsidR="004A68FB">
        <w:rPr>
          <w:rFonts w:cs="Arial"/>
          <w:sz w:val="22"/>
          <w:szCs w:val="22"/>
        </w:rPr>
        <w:t>The</w:t>
      </w:r>
      <w:r w:rsidR="009118A9">
        <w:rPr>
          <w:rFonts w:cs="Arial"/>
          <w:sz w:val="22"/>
          <w:szCs w:val="22"/>
        </w:rPr>
        <w:t>se answers</w:t>
      </w:r>
      <w:r>
        <w:rPr>
          <w:rFonts w:cs="Arial"/>
          <w:sz w:val="22"/>
          <w:szCs w:val="22"/>
        </w:rPr>
        <w:t xml:space="preserve"> do however provide a useful inventory of the types of action </w:t>
      </w:r>
      <w:r w:rsidR="009118A9">
        <w:rPr>
          <w:rFonts w:cs="Arial"/>
          <w:sz w:val="22"/>
          <w:szCs w:val="22"/>
        </w:rPr>
        <w:t xml:space="preserve">that are </w:t>
      </w:r>
      <w:r>
        <w:rPr>
          <w:rFonts w:cs="Arial"/>
          <w:sz w:val="22"/>
          <w:szCs w:val="22"/>
        </w:rPr>
        <w:t>typically being pursued by Parties in response to the identified threats facing the migratory species for which they are Range States</w:t>
      </w:r>
      <w:r w:rsidR="009118A9">
        <w:rPr>
          <w:rFonts w:cs="Arial"/>
          <w:sz w:val="22"/>
          <w:szCs w:val="22"/>
        </w:rPr>
        <w:t>;</w:t>
      </w:r>
      <w:r>
        <w:rPr>
          <w:rFonts w:cs="Arial"/>
          <w:sz w:val="22"/>
          <w:szCs w:val="22"/>
        </w:rPr>
        <w:t xml:space="preserve"> and some examples of the progress they note as being achieved.  In aggregate this includes the following:</w:t>
      </w:r>
    </w:p>
    <w:p w14:paraId="2CF26882" w14:textId="77777777" w:rsidR="00BC79EE" w:rsidRPr="00FE7882" w:rsidRDefault="00BC79EE" w:rsidP="00BC79EE">
      <w:pPr>
        <w:ind w:left="448" w:hanging="448"/>
        <w:jc w:val="both"/>
        <w:rPr>
          <w:rFonts w:cs="Arial"/>
          <w:sz w:val="21"/>
          <w:szCs w:val="21"/>
          <w:u w:val="single"/>
        </w:rPr>
      </w:pPr>
    </w:p>
    <w:p w14:paraId="6AA00C21" w14:textId="77777777" w:rsidR="008651E0" w:rsidRPr="00FE7882" w:rsidRDefault="00456905" w:rsidP="00456905">
      <w:pPr>
        <w:ind w:left="720" w:hanging="272"/>
        <w:rPr>
          <w:rFonts w:cs="Arial"/>
          <w:b/>
          <w:i/>
          <w:sz w:val="21"/>
          <w:szCs w:val="21"/>
        </w:rPr>
      </w:pPr>
      <w:r w:rsidRPr="00FE7882">
        <w:rPr>
          <w:rFonts w:cs="Arial"/>
          <w:b/>
          <w:i/>
          <w:sz w:val="21"/>
          <w:szCs w:val="21"/>
        </w:rPr>
        <w:t xml:space="preserve">  </w:t>
      </w:r>
      <w:r w:rsidR="008651E0" w:rsidRPr="00FE7882">
        <w:rPr>
          <w:rFonts w:cs="Arial"/>
          <w:b/>
          <w:i/>
          <w:sz w:val="21"/>
          <w:szCs w:val="21"/>
        </w:rPr>
        <w:t>Activities</w:t>
      </w:r>
    </w:p>
    <w:p w14:paraId="18FE4414" w14:textId="77777777" w:rsidR="008651E0" w:rsidRPr="00FE7882" w:rsidRDefault="008651E0" w:rsidP="008651E0">
      <w:pPr>
        <w:ind w:left="720" w:hanging="720"/>
        <w:rPr>
          <w:rFonts w:cs="Arial"/>
          <w:sz w:val="21"/>
          <w:szCs w:val="21"/>
        </w:rPr>
      </w:pPr>
    </w:p>
    <w:p w14:paraId="6D8670EE"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New/</w:t>
      </w:r>
      <w:r w:rsidRPr="00FE7882">
        <w:rPr>
          <w:rFonts w:ascii="Arial" w:eastAsia="DejaVuSans" w:hAnsi="Arial" w:cs="Arial"/>
          <w:sz w:val="21"/>
          <w:szCs w:val="21"/>
        </w:rPr>
        <w:t>strengthened</w:t>
      </w:r>
      <w:r w:rsidRPr="00FE7882">
        <w:rPr>
          <w:rFonts w:ascii="Arial" w:hAnsi="Arial" w:cs="Arial"/>
          <w:sz w:val="21"/>
          <w:szCs w:val="21"/>
        </w:rPr>
        <w:t xml:space="preserve"> legislation or policy, increased penalties</w:t>
      </w:r>
    </w:p>
    <w:p w14:paraId="59A7471B"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Strategies, action plans, recovery plans, management plans, local agreements/community plans, emergency response plans</w:t>
      </w:r>
    </w:p>
    <w:p w14:paraId="015FBF56"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Regulation (inc. EIA), enforcement</w:t>
      </w:r>
    </w:p>
    <w:p w14:paraId="513C08A1"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Spatial planning measures</w:t>
      </w:r>
    </w:p>
    <w:p w14:paraId="0723DFC9"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Establishment/expansion of protected areas, land use agreements</w:t>
      </w:r>
    </w:p>
    <w:p w14:paraId="064CD20D"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Livestock management regimes</w:t>
      </w:r>
    </w:p>
    <w:p w14:paraId="4C2300C2"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Habitat management/restoration, beach &amp; sea cleaning, removal/adaptation of structures/obstacles, construction of fish-passes</w:t>
      </w:r>
    </w:p>
    <w:p w14:paraId="75E0E99D"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Waste management/pollution control</w:t>
      </w:r>
    </w:p>
    <w:p w14:paraId="506F35C1"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Protection and guarding of nest sites (against humans and predators)</w:t>
      </w:r>
    </w:p>
    <w:p w14:paraId="556E018E"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Provisioning of food</w:t>
      </w:r>
    </w:p>
    <w:p w14:paraId="783E999F"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Predator control</w:t>
      </w:r>
    </w:p>
    <w:p w14:paraId="14985E54"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Rescue and rehabilitation of individual animals</w:t>
      </w:r>
    </w:p>
    <w:p w14:paraId="34676FD8"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Captive breeding, reintroduction and relocation schemes</w:t>
      </w:r>
    </w:p>
    <w:p w14:paraId="7F3A7533"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Artificial breeding sites (e.g. bat boxes, turtle nest sites)</w:t>
      </w:r>
    </w:p>
    <w:p w14:paraId="00AF2D87"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Mitigation measures for electrocution, collisions, by-catch</w:t>
      </w:r>
    </w:p>
    <w:p w14:paraId="5B723B3B"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Incentives, compensation (for damage by wildlife), benefit sharing schemes, establishment of alternative markets (product substitution)</w:t>
      </w:r>
    </w:p>
    <w:p w14:paraId="48572033"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Good practice guidelines/codes of conduct</w:t>
      </w:r>
    </w:p>
    <w:p w14:paraId="517B1AB2"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Research, survey, assessment, monitoring (inc. of threats)</w:t>
      </w:r>
    </w:p>
    <w:p w14:paraId="7ABBF427"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Training, capacity-building, education, awareness, outreach, engagement</w:t>
      </w:r>
    </w:p>
    <w:p w14:paraId="1792860A" w14:textId="77777777" w:rsidR="008651E0" w:rsidRPr="00FE7882" w:rsidRDefault="008651E0" w:rsidP="00456905">
      <w:pPr>
        <w:pStyle w:val="ListParagraph"/>
        <w:numPr>
          <w:ilvl w:val="0"/>
          <w:numId w:val="9"/>
        </w:numPr>
        <w:rPr>
          <w:rFonts w:ascii="Arial" w:hAnsi="Arial" w:cs="Arial"/>
          <w:sz w:val="21"/>
          <w:szCs w:val="21"/>
        </w:rPr>
      </w:pPr>
      <w:r w:rsidRPr="00FE7882">
        <w:rPr>
          <w:rFonts w:ascii="Arial" w:hAnsi="Arial" w:cs="Arial"/>
          <w:sz w:val="21"/>
          <w:szCs w:val="21"/>
        </w:rPr>
        <w:t>Transboundary cooperation</w:t>
      </w:r>
    </w:p>
    <w:p w14:paraId="6B2CE980" w14:textId="77777777" w:rsidR="008651E0" w:rsidRPr="00FE7882" w:rsidRDefault="008651E0" w:rsidP="008651E0">
      <w:pPr>
        <w:ind w:left="720" w:hanging="720"/>
        <w:rPr>
          <w:rFonts w:cs="Arial"/>
          <w:sz w:val="21"/>
          <w:szCs w:val="21"/>
        </w:rPr>
      </w:pPr>
    </w:p>
    <w:p w14:paraId="3506B25C" w14:textId="77777777" w:rsidR="008651E0" w:rsidRPr="00FE7882" w:rsidRDefault="00456905" w:rsidP="00456905">
      <w:pPr>
        <w:ind w:left="720" w:hanging="272"/>
        <w:rPr>
          <w:rFonts w:cs="Arial"/>
          <w:i/>
          <w:sz w:val="21"/>
          <w:szCs w:val="21"/>
        </w:rPr>
      </w:pPr>
      <w:r w:rsidRPr="00FE7882">
        <w:rPr>
          <w:rFonts w:cs="Arial"/>
          <w:b/>
          <w:i/>
          <w:sz w:val="21"/>
          <w:szCs w:val="21"/>
        </w:rPr>
        <w:t xml:space="preserve">  Progress</w:t>
      </w:r>
    </w:p>
    <w:p w14:paraId="5CF54BC3" w14:textId="77777777" w:rsidR="008651E0" w:rsidRPr="00FE7882" w:rsidRDefault="008651E0" w:rsidP="008651E0">
      <w:pPr>
        <w:ind w:left="720" w:hanging="720"/>
        <w:rPr>
          <w:rFonts w:cs="Arial"/>
          <w:sz w:val="21"/>
          <w:szCs w:val="21"/>
        </w:rPr>
      </w:pPr>
    </w:p>
    <w:p w14:paraId="49685799"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New/expanded protected areas</w:t>
      </w:r>
    </w:p>
    <w:p w14:paraId="42F567AB"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Stronger enforcement, improved reporting of infringements</w:t>
      </w:r>
    </w:p>
    <w:p w14:paraId="5B96D1DA"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Reduced poaching and other forms of offending; improved compliance</w:t>
      </w:r>
    </w:p>
    <w:p w14:paraId="43FD8404"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Reduction in by-catch/other mortality</w:t>
      </w:r>
    </w:p>
    <w:p w14:paraId="6FBE75E7"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Improved monitoring and reporting</w:t>
      </w:r>
    </w:p>
    <w:p w14:paraId="78BE00B2"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Greater knowledge, including of true extent of threats</w:t>
      </w:r>
    </w:p>
    <w:p w14:paraId="2C2DAE84"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Greater awareness, engagement and support, inc. by NGOs, communities, other sectors</w:t>
      </w:r>
    </w:p>
    <w:p w14:paraId="6F8CCF8C"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lastRenderedPageBreak/>
        <w:t>More enlightened attitudes e</w:t>
      </w:r>
      <w:r w:rsidR="009118A9" w:rsidRPr="00FE7882">
        <w:rPr>
          <w:rFonts w:ascii="Arial" w:eastAsia="DejaVuSans" w:hAnsi="Arial" w:cs="Arial"/>
          <w:sz w:val="21"/>
          <w:szCs w:val="21"/>
        </w:rPr>
        <w:t>.</w:t>
      </w:r>
      <w:r w:rsidRPr="00FE7882">
        <w:rPr>
          <w:rFonts w:ascii="Arial" w:eastAsia="DejaVuSans" w:hAnsi="Arial" w:cs="Arial"/>
          <w:sz w:val="21"/>
          <w:szCs w:val="21"/>
        </w:rPr>
        <w:t>g</w:t>
      </w:r>
      <w:r w:rsidR="009118A9" w:rsidRPr="00FE7882">
        <w:rPr>
          <w:rFonts w:ascii="Arial" w:eastAsia="DejaVuSans" w:hAnsi="Arial" w:cs="Arial"/>
          <w:sz w:val="21"/>
          <w:szCs w:val="21"/>
        </w:rPr>
        <w:t>.</w:t>
      </w:r>
      <w:r w:rsidRPr="00FE7882">
        <w:rPr>
          <w:rFonts w:ascii="Arial" w:eastAsia="DejaVuSans" w:hAnsi="Arial" w:cs="Arial"/>
          <w:sz w:val="21"/>
          <w:szCs w:val="21"/>
        </w:rPr>
        <w:t xml:space="preserve"> on land-use practices</w:t>
      </w:r>
    </w:p>
    <w:p w14:paraId="080326A6"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Habitat quality improvements, reduced pollution</w:t>
      </w:r>
    </w:p>
    <w:p w14:paraId="7BEE5A49"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Improved species populations or distributions, declines stabilised, improved breeding success</w:t>
      </w:r>
    </w:p>
    <w:p w14:paraId="020A9444"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Improved stakeholder attitudes/behaviour</w:t>
      </w:r>
    </w:p>
    <w:p w14:paraId="6AE69DFC" w14:textId="77777777" w:rsidR="008651E0" w:rsidRPr="00FE7882" w:rsidRDefault="008651E0" w:rsidP="00456905">
      <w:pPr>
        <w:pStyle w:val="ListParagraph"/>
        <w:numPr>
          <w:ilvl w:val="0"/>
          <w:numId w:val="9"/>
        </w:numPr>
        <w:rPr>
          <w:rFonts w:ascii="Arial" w:eastAsia="DejaVuSans" w:hAnsi="Arial" w:cs="Arial"/>
          <w:sz w:val="21"/>
          <w:szCs w:val="21"/>
        </w:rPr>
      </w:pPr>
      <w:r w:rsidRPr="00FE7882">
        <w:rPr>
          <w:rFonts w:ascii="Arial" w:eastAsia="DejaVuSans" w:hAnsi="Arial" w:cs="Arial"/>
          <w:sz w:val="21"/>
          <w:szCs w:val="21"/>
        </w:rPr>
        <w:t>Improved coordination between agencies</w:t>
      </w:r>
      <w:r w:rsidR="00456905" w:rsidRPr="00FE7882">
        <w:rPr>
          <w:rFonts w:ascii="Arial" w:eastAsia="DejaVuSans" w:hAnsi="Arial" w:cs="Arial"/>
          <w:sz w:val="21"/>
          <w:szCs w:val="21"/>
        </w:rPr>
        <w:t>.</w:t>
      </w:r>
    </w:p>
    <w:p w14:paraId="2C47CFFA" w14:textId="77777777" w:rsidR="006B041C" w:rsidRDefault="006B041C" w:rsidP="00BC79EE">
      <w:pPr>
        <w:ind w:left="448" w:hanging="448"/>
        <w:jc w:val="both"/>
        <w:rPr>
          <w:rFonts w:cs="Arial"/>
          <w:sz w:val="22"/>
          <w:szCs w:val="22"/>
          <w:u w:val="single"/>
        </w:rPr>
      </w:pPr>
    </w:p>
    <w:p w14:paraId="5A0264F0" w14:textId="77777777" w:rsidR="00BC79EE" w:rsidRPr="00BC79EE" w:rsidRDefault="00BC79EE" w:rsidP="00BC79EE">
      <w:pPr>
        <w:ind w:left="448" w:hanging="448"/>
        <w:jc w:val="both"/>
        <w:rPr>
          <w:rFonts w:cs="Arial"/>
          <w:sz w:val="22"/>
          <w:szCs w:val="22"/>
          <w:u w:val="single"/>
        </w:rPr>
      </w:pPr>
      <w:r w:rsidRPr="00BC79EE">
        <w:rPr>
          <w:rFonts w:cs="Arial"/>
          <w:sz w:val="22"/>
          <w:szCs w:val="22"/>
          <w:u w:val="single"/>
        </w:rPr>
        <w:t>Potential new species listings</w:t>
      </w:r>
    </w:p>
    <w:p w14:paraId="28E73117" w14:textId="77777777" w:rsidR="00BC79EE" w:rsidRDefault="00BC79EE" w:rsidP="00BC79EE">
      <w:pPr>
        <w:ind w:left="448" w:hanging="448"/>
        <w:jc w:val="both"/>
        <w:rPr>
          <w:rFonts w:cs="Arial"/>
          <w:sz w:val="22"/>
          <w:szCs w:val="22"/>
        </w:rPr>
      </w:pPr>
    </w:p>
    <w:p w14:paraId="48531A65" w14:textId="0EBB687F" w:rsidR="00A14D53" w:rsidRDefault="00A14D53" w:rsidP="00BC79EE">
      <w:pPr>
        <w:ind w:left="448" w:hanging="448"/>
        <w:jc w:val="both"/>
        <w:rPr>
          <w:rFonts w:cs="Arial"/>
          <w:sz w:val="22"/>
          <w:szCs w:val="22"/>
        </w:rPr>
      </w:pPr>
      <w:r>
        <w:rPr>
          <w:rFonts w:cs="Arial"/>
          <w:sz w:val="22"/>
          <w:szCs w:val="22"/>
        </w:rPr>
        <w:t>14.</w:t>
      </w:r>
      <w:r>
        <w:rPr>
          <w:rFonts w:cs="Arial"/>
          <w:sz w:val="22"/>
          <w:szCs w:val="22"/>
        </w:rPr>
        <w:tab/>
      </w:r>
      <w:r w:rsidRPr="00A14D53">
        <w:rPr>
          <w:rFonts w:cs="Arial"/>
          <w:sz w:val="22"/>
          <w:szCs w:val="22"/>
        </w:rPr>
        <w:t xml:space="preserve">Listing of species on Convention Appendices is a central component of the international cooperation and governance mechanisms provided by the CMS as a means towards necessary actions.  </w:t>
      </w:r>
      <w:r>
        <w:rPr>
          <w:rFonts w:cs="Arial"/>
          <w:sz w:val="22"/>
          <w:szCs w:val="22"/>
        </w:rPr>
        <w:t>P</w:t>
      </w:r>
      <w:r w:rsidRPr="00A14D53">
        <w:rPr>
          <w:rFonts w:cs="Arial"/>
          <w:sz w:val="22"/>
          <w:szCs w:val="22"/>
        </w:rPr>
        <w:t xml:space="preserve">rogress reported in this part of the Parties’ national reports reflects contributions being made towards the achievement of aspects of Target 3 in the </w:t>
      </w:r>
      <w:r w:rsidR="00A936BB">
        <w:rPr>
          <w:rFonts w:cs="Arial"/>
          <w:sz w:val="22"/>
          <w:szCs w:val="22"/>
        </w:rPr>
        <w:t>SPMS</w:t>
      </w:r>
      <w:r w:rsidRPr="00A14D53">
        <w:rPr>
          <w:rFonts w:cs="Arial"/>
          <w:sz w:val="22"/>
          <w:szCs w:val="22"/>
        </w:rPr>
        <w:t xml:space="preserve">, which concerns </w:t>
      </w:r>
      <w:r w:rsidRPr="00A14D53">
        <w:rPr>
          <w:rFonts w:cs="Arial"/>
          <w:i/>
          <w:sz w:val="22"/>
          <w:szCs w:val="22"/>
        </w:rPr>
        <w:t>inter alia</w:t>
      </w:r>
      <w:r w:rsidRPr="00A14D53">
        <w:rPr>
          <w:rFonts w:cs="Arial"/>
          <w:sz w:val="22"/>
          <w:szCs w:val="22"/>
        </w:rPr>
        <w:t xml:space="preserve"> improvement of international governance arrangements; and Target 15 which concerns </w:t>
      </w:r>
      <w:r w:rsidRPr="00A14D53">
        <w:rPr>
          <w:rFonts w:cs="Arial"/>
          <w:i/>
          <w:sz w:val="22"/>
          <w:szCs w:val="22"/>
        </w:rPr>
        <w:t>inter alia</w:t>
      </w:r>
      <w:r w:rsidRPr="00A14D53">
        <w:rPr>
          <w:rFonts w:cs="Arial"/>
          <w:sz w:val="22"/>
          <w:szCs w:val="22"/>
        </w:rPr>
        <w:t xml:space="preserve"> the application of scientific information.  Ultimately</w:t>
      </w:r>
      <w:r w:rsidR="00A936BB">
        <w:rPr>
          <w:rFonts w:cs="Arial"/>
          <w:sz w:val="22"/>
          <w:szCs w:val="22"/>
        </w:rPr>
        <w:t>,</w:t>
      </w:r>
      <w:r w:rsidRPr="00A14D53">
        <w:rPr>
          <w:rFonts w:cs="Arial"/>
          <w:sz w:val="22"/>
          <w:szCs w:val="22"/>
        </w:rPr>
        <w:t xml:space="preserve"> it is supposed that </w:t>
      </w:r>
      <w:r>
        <w:rPr>
          <w:rFonts w:cs="Arial"/>
          <w:sz w:val="22"/>
          <w:szCs w:val="22"/>
        </w:rPr>
        <w:t xml:space="preserve">the </w:t>
      </w:r>
      <w:r w:rsidRPr="00A14D53">
        <w:rPr>
          <w:rFonts w:cs="Arial"/>
          <w:sz w:val="22"/>
          <w:szCs w:val="22"/>
        </w:rPr>
        <w:t xml:space="preserve">actions </w:t>
      </w:r>
      <w:r>
        <w:rPr>
          <w:rFonts w:cs="Arial"/>
          <w:sz w:val="22"/>
          <w:szCs w:val="22"/>
        </w:rPr>
        <w:t>to follow</w:t>
      </w:r>
      <w:r w:rsidRPr="00A14D53">
        <w:rPr>
          <w:rFonts w:cs="Arial"/>
          <w:sz w:val="22"/>
          <w:szCs w:val="22"/>
        </w:rPr>
        <w:t xml:space="preserve"> will contribute to an improvement in the conservation status of the species concerned, which is the aim expressed in Target 8 (</w:t>
      </w:r>
      <w:r>
        <w:rPr>
          <w:rFonts w:cs="Arial"/>
          <w:sz w:val="22"/>
          <w:szCs w:val="22"/>
        </w:rPr>
        <w:t>which</w:t>
      </w:r>
      <w:r w:rsidRPr="00A14D53">
        <w:rPr>
          <w:rFonts w:cs="Arial"/>
          <w:sz w:val="22"/>
          <w:szCs w:val="22"/>
        </w:rPr>
        <w:t xml:space="preserve"> in turn contribut</w:t>
      </w:r>
      <w:r>
        <w:rPr>
          <w:rFonts w:cs="Arial"/>
          <w:sz w:val="22"/>
          <w:szCs w:val="22"/>
        </w:rPr>
        <w:t>es</w:t>
      </w:r>
      <w:r w:rsidRPr="00A14D53">
        <w:rPr>
          <w:rFonts w:cs="Arial"/>
          <w:sz w:val="22"/>
          <w:szCs w:val="22"/>
        </w:rPr>
        <w:t xml:space="preserve"> to </w:t>
      </w:r>
      <w:r>
        <w:rPr>
          <w:rFonts w:cs="Arial"/>
          <w:sz w:val="22"/>
          <w:szCs w:val="22"/>
        </w:rPr>
        <w:t>Aichi</w:t>
      </w:r>
      <w:r w:rsidRPr="00A14D53">
        <w:rPr>
          <w:rFonts w:cs="Arial"/>
          <w:sz w:val="22"/>
          <w:szCs w:val="22"/>
        </w:rPr>
        <w:t xml:space="preserve"> Target 12 in the Strategic Plan for Biodiversity).</w:t>
      </w:r>
    </w:p>
    <w:p w14:paraId="372862C4" w14:textId="77777777" w:rsidR="00A14D53" w:rsidRPr="00113BFE" w:rsidRDefault="00A14D53" w:rsidP="00BC79EE">
      <w:pPr>
        <w:ind w:left="448" w:hanging="448"/>
        <w:jc w:val="both"/>
        <w:rPr>
          <w:rFonts w:cs="Arial"/>
          <w:sz w:val="22"/>
          <w:szCs w:val="22"/>
        </w:rPr>
      </w:pPr>
    </w:p>
    <w:p w14:paraId="2361DD62" w14:textId="2ED3014C" w:rsidR="00BC79EE" w:rsidRPr="00771530" w:rsidRDefault="00771530" w:rsidP="00BC79EE">
      <w:pPr>
        <w:ind w:left="448" w:hanging="448"/>
        <w:jc w:val="both"/>
        <w:rPr>
          <w:rFonts w:cs="Arial"/>
          <w:sz w:val="22"/>
          <w:szCs w:val="22"/>
        </w:rPr>
      </w:pPr>
      <w:r w:rsidRPr="00771530">
        <w:rPr>
          <w:rFonts w:cs="Arial"/>
          <w:sz w:val="22"/>
          <w:szCs w:val="22"/>
        </w:rPr>
        <w:t>1</w:t>
      </w:r>
      <w:r w:rsidR="00A14D53">
        <w:rPr>
          <w:rFonts w:cs="Arial"/>
          <w:sz w:val="22"/>
          <w:szCs w:val="22"/>
        </w:rPr>
        <w:t>5</w:t>
      </w:r>
      <w:r w:rsidR="00BC79EE" w:rsidRPr="00771530">
        <w:rPr>
          <w:rFonts w:cs="Arial"/>
          <w:sz w:val="22"/>
          <w:szCs w:val="22"/>
        </w:rPr>
        <w:t>.</w:t>
      </w:r>
      <w:r w:rsidR="00BC79EE" w:rsidRPr="00771530">
        <w:rPr>
          <w:rFonts w:cs="Arial"/>
          <w:sz w:val="22"/>
          <w:szCs w:val="22"/>
        </w:rPr>
        <w:tab/>
        <w:t>Sixteen Parties indicated that they were Range States for qualifying species that are not yet on Appendix I of the Convention.  Where the species concerned were named, they comprised in total 11 fish, 21 birds and 4 mammals.</w:t>
      </w:r>
      <w:r w:rsidR="000932CC" w:rsidRPr="00771530">
        <w:rPr>
          <w:rFonts w:cs="Arial"/>
          <w:sz w:val="22"/>
          <w:szCs w:val="22"/>
        </w:rPr>
        <w:t xml:space="preserve">  Only one quarter of these</w:t>
      </w:r>
      <w:r w:rsidR="00A936BB">
        <w:rPr>
          <w:rFonts w:cs="Arial"/>
          <w:sz w:val="22"/>
          <w:szCs w:val="22"/>
        </w:rPr>
        <w:t>,</w:t>
      </w:r>
      <w:r w:rsidR="00BC79EE" w:rsidRPr="00771530">
        <w:rPr>
          <w:rFonts w:cs="Arial"/>
          <w:sz w:val="22"/>
          <w:szCs w:val="22"/>
        </w:rPr>
        <w:t xml:space="preserve"> </w:t>
      </w:r>
      <w:r w:rsidR="000932CC" w:rsidRPr="00771530">
        <w:rPr>
          <w:rFonts w:cs="Arial"/>
          <w:sz w:val="22"/>
          <w:szCs w:val="22"/>
        </w:rPr>
        <w:t>however</w:t>
      </w:r>
      <w:r w:rsidR="00A936BB">
        <w:rPr>
          <w:rFonts w:cs="Arial"/>
          <w:sz w:val="22"/>
          <w:szCs w:val="22"/>
        </w:rPr>
        <w:t>,</w:t>
      </w:r>
      <w:r w:rsidR="000932CC" w:rsidRPr="00771530">
        <w:rPr>
          <w:rFonts w:cs="Arial"/>
          <w:sz w:val="22"/>
          <w:szCs w:val="22"/>
        </w:rPr>
        <w:t xml:space="preserve"> meet the required threat status criterion defined by COP11</w:t>
      </w:r>
      <w:r w:rsidR="00AB50C2" w:rsidRPr="00771530">
        <w:rPr>
          <w:rFonts w:cs="Arial"/>
          <w:sz w:val="22"/>
          <w:szCs w:val="22"/>
        </w:rPr>
        <w:t xml:space="preserve"> (Resolution 11.33)</w:t>
      </w:r>
      <w:r w:rsidR="000932CC" w:rsidRPr="00771530">
        <w:rPr>
          <w:rFonts w:cs="Arial"/>
          <w:sz w:val="22"/>
          <w:szCs w:val="22"/>
        </w:rPr>
        <w:t xml:space="preserve">. </w:t>
      </w:r>
      <w:r w:rsidR="00BC79EE" w:rsidRPr="00771530">
        <w:rPr>
          <w:rFonts w:cs="Arial"/>
          <w:sz w:val="22"/>
          <w:szCs w:val="22"/>
        </w:rPr>
        <w:t xml:space="preserve"> </w:t>
      </w:r>
      <w:r w:rsidR="00AB50C2" w:rsidRPr="00771530">
        <w:rPr>
          <w:rFonts w:cs="Arial"/>
          <w:sz w:val="22"/>
          <w:szCs w:val="22"/>
        </w:rPr>
        <w:t xml:space="preserve">A further </w:t>
      </w:r>
      <w:r w:rsidR="00A936BB">
        <w:rPr>
          <w:rFonts w:cs="Arial"/>
          <w:sz w:val="22"/>
          <w:szCs w:val="22"/>
        </w:rPr>
        <w:t>22</w:t>
      </w:r>
      <w:r w:rsidR="00BC79EE" w:rsidRPr="00771530">
        <w:rPr>
          <w:rFonts w:cs="Arial"/>
          <w:sz w:val="22"/>
          <w:szCs w:val="22"/>
        </w:rPr>
        <w:t xml:space="preserve"> species were mentioned which are already on Appendix I and so those have been excluded from the figures.  Eight Parties indicated that they were taking steps to propose listing, but of the 20 species which have been the subject of duly submitted Appendix I addition proposals for COP12, only three were mentioned in this context in the national reports; so these two sets of information are not well matched.</w:t>
      </w:r>
    </w:p>
    <w:p w14:paraId="7C76CCD1" w14:textId="77777777" w:rsidR="00BC79EE" w:rsidRPr="00771530" w:rsidRDefault="00BC79EE" w:rsidP="00BC79EE">
      <w:pPr>
        <w:ind w:left="448" w:hanging="448"/>
        <w:jc w:val="both"/>
        <w:rPr>
          <w:rFonts w:cs="Arial"/>
          <w:sz w:val="22"/>
          <w:szCs w:val="22"/>
        </w:rPr>
      </w:pPr>
    </w:p>
    <w:p w14:paraId="749C746B" w14:textId="6FE58B03" w:rsidR="00BC79EE" w:rsidRPr="00771530" w:rsidRDefault="00771530" w:rsidP="00BC79EE">
      <w:pPr>
        <w:ind w:left="448" w:hanging="448"/>
        <w:jc w:val="both"/>
        <w:rPr>
          <w:rFonts w:cs="Arial"/>
          <w:sz w:val="22"/>
          <w:szCs w:val="22"/>
        </w:rPr>
      </w:pPr>
      <w:r w:rsidRPr="00771530">
        <w:rPr>
          <w:rFonts w:cs="Arial"/>
          <w:sz w:val="22"/>
          <w:szCs w:val="22"/>
        </w:rPr>
        <w:t>1</w:t>
      </w:r>
      <w:r w:rsidR="00A14D53">
        <w:rPr>
          <w:rFonts w:cs="Arial"/>
          <w:sz w:val="22"/>
          <w:szCs w:val="22"/>
        </w:rPr>
        <w:t>6</w:t>
      </w:r>
      <w:r w:rsidR="00BC79EE" w:rsidRPr="00771530">
        <w:rPr>
          <w:rFonts w:cs="Arial"/>
          <w:sz w:val="22"/>
          <w:szCs w:val="22"/>
        </w:rPr>
        <w:t>.</w:t>
      </w:r>
      <w:r w:rsidR="00BC79EE" w:rsidRPr="00771530">
        <w:rPr>
          <w:rFonts w:cs="Arial"/>
          <w:sz w:val="22"/>
          <w:szCs w:val="22"/>
        </w:rPr>
        <w:tab/>
        <w:t>Seventeen Parties indicated that they were Range States for qualifying species that are not yet on Appendix II.  Where the species concerned were named, they comprised 8 fish, 18 birds and 6 mammals.  Again</w:t>
      </w:r>
      <w:r w:rsidR="00A14D53">
        <w:rPr>
          <w:rFonts w:cs="Arial"/>
          <w:sz w:val="22"/>
          <w:szCs w:val="22"/>
        </w:rPr>
        <w:t>,</w:t>
      </w:r>
      <w:r w:rsidR="00BC79EE" w:rsidRPr="00771530">
        <w:rPr>
          <w:rFonts w:cs="Arial"/>
          <w:sz w:val="22"/>
          <w:szCs w:val="22"/>
        </w:rPr>
        <w:t xml:space="preserve"> some other species were mentioned </w:t>
      </w:r>
      <w:r w:rsidR="00A936BB">
        <w:rPr>
          <w:rFonts w:cs="Arial"/>
          <w:sz w:val="22"/>
          <w:szCs w:val="22"/>
        </w:rPr>
        <w:t>that</w:t>
      </w:r>
      <w:r w:rsidR="00A936BB" w:rsidRPr="00771530">
        <w:rPr>
          <w:rFonts w:cs="Arial"/>
          <w:sz w:val="22"/>
          <w:szCs w:val="22"/>
        </w:rPr>
        <w:t xml:space="preserve"> </w:t>
      </w:r>
      <w:r w:rsidR="00BC79EE" w:rsidRPr="00771530">
        <w:rPr>
          <w:rFonts w:cs="Arial"/>
          <w:sz w:val="22"/>
          <w:szCs w:val="22"/>
        </w:rPr>
        <w:t>are already on the Appendix.  Nine Parties indicated that they were taking steps to propose listing, although only four of the species mentioned in this context feature among the 16 that have been formally submitted.</w:t>
      </w:r>
    </w:p>
    <w:p w14:paraId="312B2EDF" w14:textId="77777777" w:rsidR="00BC79EE" w:rsidRPr="00771530" w:rsidRDefault="00BC79EE" w:rsidP="00BC79EE">
      <w:pPr>
        <w:ind w:left="448" w:hanging="448"/>
        <w:jc w:val="both"/>
        <w:rPr>
          <w:rFonts w:cs="Arial"/>
          <w:sz w:val="22"/>
          <w:szCs w:val="22"/>
        </w:rPr>
      </w:pPr>
    </w:p>
    <w:p w14:paraId="60B2008B" w14:textId="77777777" w:rsidR="00861847" w:rsidRPr="00771530" w:rsidRDefault="00861847" w:rsidP="00861847">
      <w:pPr>
        <w:ind w:left="448" w:hanging="448"/>
        <w:jc w:val="both"/>
        <w:rPr>
          <w:rFonts w:cs="Arial"/>
          <w:sz w:val="22"/>
          <w:szCs w:val="22"/>
          <w:u w:val="single"/>
        </w:rPr>
      </w:pPr>
      <w:r w:rsidRPr="00771530">
        <w:rPr>
          <w:rFonts w:cs="Arial"/>
          <w:sz w:val="22"/>
          <w:szCs w:val="22"/>
          <w:u w:val="single"/>
        </w:rPr>
        <w:t>Development of new Agreements</w:t>
      </w:r>
    </w:p>
    <w:p w14:paraId="27CBC50A" w14:textId="77777777" w:rsidR="00861847" w:rsidRPr="00771530" w:rsidRDefault="00861847" w:rsidP="00861847">
      <w:pPr>
        <w:ind w:left="448" w:hanging="448"/>
        <w:jc w:val="both"/>
        <w:rPr>
          <w:rFonts w:cs="Arial"/>
          <w:sz w:val="22"/>
          <w:szCs w:val="22"/>
        </w:rPr>
      </w:pPr>
    </w:p>
    <w:p w14:paraId="4F52E3BA" w14:textId="724582B0" w:rsidR="00861847" w:rsidRPr="00771530" w:rsidRDefault="00771530" w:rsidP="00861847">
      <w:pPr>
        <w:ind w:left="448" w:hanging="448"/>
        <w:jc w:val="both"/>
        <w:rPr>
          <w:rFonts w:cs="Arial"/>
          <w:sz w:val="22"/>
          <w:szCs w:val="22"/>
        </w:rPr>
      </w:pPr>
      <w:r w:rsidRPr="00771530">
        <w:rPr>
          <w:rFonts w:cs="Arial"/>
          <w:sz w:val="22"/>
          <w:szCs w:val="22"/>
        </w:rPr>
        <w:t>1</w:t>
      </w:r>
      <w:r w:rsidR="00A14D53">
        <w:rPr>
          <w:rFonts w:cs="Arial"/>
          <w:sz w:val="22"/>
          <w:szCs w:val="22"/>
        </w:rPr>
        <w:t>7</w:t>
      </w:r>
      <w:r w:rsidR="00861847" w:rsidRPr="00771530">
        <w:rPr>
          <w:rFonts w:cs="Arial"/>
          <w:sz w:val="22"/>
          <w:szCs w:val="22"/>
        </w:rPr>
        <w:t>.</w:t>
      </w:r>
      <w:r w:rsidR="00861847" w:rsidRPr="00771530">
        <w:rPr>
          <w:rFonts w:cs="Arial"/>
          <w:sz w:val="22"/>
          <w:szCs w:val="22"/>
        </w:rPr>
        <w:tab/>
        <w:t xml:space="preserve">Parties were asked to indicate whether they had been involved in initiating or participating in the development of any new CMS Agreements (including Memoranda of Understanding) during the relevant reporting period.  </w:t>
      </w:r>
      <w:r w:rsidR="00A14D53">
        <w:rPr>
          <w:rFonts w:cs="Arial"/>
          <w:sz w:val="22"/>
          <w:szCs w:val="22"/>
        </w:rPr>
        <w:t>Actions of this kind contribute to t</w:t>
      </w:r>
      <w:r w:rsidR="00A14D53" w:rsidRPr="00A14D53">
        <w:rPr>
          <w:rFonts w:cs="Arial"/>
          <w:sz w:val="22"/>
          <w:szCs w:val="22"/>
        </w:rPr>
        <w:t>he achievement of aspects of Target</w:t>
      </w:r>
      <w:r w:rsidR="00A14D53">
        <w:rPr>
          <w:rFonts w:cs="Arial"/>
          <w:sz w:val="22"/>
          <w:szCs w:val="22"/>
        </w:rPr>
        <w:t>s</w:t>
      </w:r>
      <w:r w:rsidR="00A14D53" w:rsidRPr="00A14D53">
        <w:rPr>
          <w:rFonts w:cs="Arial"/>
          <w:sz w:val="22"/>
          <w:szCs w:val="22"/>
        </w:rPr>
        <w:t xml:space="preserve"> 3</w:t>
      </w:r>
      <w:r w:rsidR="00A14D53">
        <w:rPr>
          <w:rFonts w:cs="Arial"/>
          <w:sz w:val="22"/>
          <w:szCs w:val="22"/>
        </w:rPr>
        <w:t xml:space="preserve"> and 9</w:t>
      </w:r>
      <w:r w:rsidR="00A14D53" w:rsidRPr="00A14D53">
        <w:rPr>
          <w:rFonts w:cs="Arial"/>
          <w:sz w:val="22"/>
          <w:szCs w:val="22"/>
        </w:rPr>
        <w:t xml:space="preserve"> in the </w:t>
      </w:r>
      <w:r w:rsidR="00A936BB">
        <w:rPr>
          <w:rFonts w:cs="Arial"/>
          <w:sz w:val="22"/>
          <w:szCs w:val="22"/>
        </w:rPr>
        <w:t>SPMS</w:t>
      </w:r>
      <w:r w:rsidR="00A14D53">
        <w:rPr>
          <w:rFonts w:cs="Arial"/>
          <w:sz w:val="22"/>
          <w:szCs w:val="22"/>
        </w:rPr>
        <w:t xml:space="preserve">, and </w:t>
      </w:r>
      <w:r w:rsidR="009634DF">
        <w:rPr>
          <w:rFonts w:cs="Arial"/>
          <w:sz w:val="22"/>
          <w:szCs w:val="22"/>
        </w:rPr>
        <w:t>ultimately,</w:t>
      </w:r>
      <w:r w:rsidR="00A14D53">
        <w:rPr>
          <w:rFonts w:cs="Arial"/>
          <w:sz w:val="22"/>
          <w:szCs w:val="22"/>
        </w:rPr>
        <w:t xml:space="preserve"> they would be expected to lead to conservation status improvements for the species concerned, which is the subject of Target 8 and the analogous Aichi Target 12 as mentioned above.  Parties</w:t>
      </w:r>
      <w:r w:rsidR="00861847" w:rsidRPr="00771530">
        <w:rPr>
          <w:rFonts w:cs="Arial"/>
          <w:sz w:val="22"/>
          <w:szCs w:val="22"/>
        </w:rPr>
        <w:t xml:space="preserve"> were also asked about any future plans in this regard, and about any particular needs for assistance.  This is a somewhat problematic area of report information.  The majority of Parties answering “yes” </w:t>
      </w:r>
      <w:r w:rsidR="00A936BB">
        <w:rPr>
          <w:rFonts w:cs="Arial"/>
          <w:sz w:val="22"/>
          <w:szCs w:val="22"/>
        </w:rPr>
        <w:t>was</w:t>
      </w:r>
      <w:r w:rsidR="00A936BB" w:rsidRPr="00771530">
        <w:rPr>
          <w:rFonts w:cs="Arial"/>
          <w:sz w:val="22"/>
          <w:szCs w:val="22"/>
        </w:rPr>
        <w:t xml:space="preserve"> </w:t>
      </w:r>
      <w:r w:rsidR="00861847" w:rsidRPr="00771530">
        <w:rPr>
          <w:rFonts w:cs="Arial"/>
          <w:sz w:val="22"/>
          <w:szCs w:val="22"/>
        </w:rPr>
        <w:t>in fact commenting only on existing Agreements, and the question itself contains ambiguities.  The main apparently more substantive indications included the following:</w:t>
      </w:r>
    </w:p>
    <w:p w14:paraId="39F74145" w14:textId="77777777" w:rsidR="00861847" w:rsidRPr="00771530" w:rsidRDefault="00861847" w:rsidP="00861847">
      <w:pPr>
        <w:ind w:left="720" w:hanging="720"/>
        <w:rPr>
          <w:rFonts w:cs="Arial"/>
          <w:sz w:val="12"/>
          <w:szCs w:val="12"/>
        </w:rPr>
      </w:pPr>
    </w:p>
    <w:p w14:paraId="5D8FC0B7" w14:textId="77777777" w:rsidR="00861847" w:rsidRPr="005328EF" w:rsidRDefault="00861847" w:rsidP="00861847">
      <w:pPr>
        <w:ind w:left="720" w:hanging="272"/>
        <w:rPr>
          <w:rFonts w:cs="Arial"/>
          <w:sz w:val="22"/>
          <w:szCs w:val="22"/>
        </w:rPr>
      </w:pPr>
      <w:r w:rsidRPr="005328EF">
        <w:rPr>
          <w:rFonts w:cs="Arial"/>
          <w:sz w:val="22"/>
          <w:szCs w:val="22"/>
        </w:rPr>
        <w:t>Agreements (or other arrangements) in development:</w:t>
      </w:r>
    </w:p>
    <w:p w14:paraId="6EE125B6" w14:textId="77777777" w:rsidR="00861847" w:rsidRPr="005328EF" w:rsidRDefault="00861847" w:rsidP="00861847">
      <w:pPr>
        <w:ind w:left="720" w:hanging="720"/>
        <w:rPr>
          <w:rFonts w:cs="Arial"/>
          <w:sz w:val="6"/>
          <w:szCs w:val="6"/>
        </w:rPr>
      </w:pPr>
    </w:p>
    <w:p w14:paraId="4E70B346" w14:textId="77777777" w:rsidR="00861847" w:rsidRPr="005328EF" w:rsidRDefault="00861847" w:rsidP="00861847">
      <w:pPr>
        <w:pStyle w:val="ListParagraph"/>
        <w:numPr>
          <w:ilvl w:val="0"/>
          <w:numId w:val="9"/>
        </w:numPr>
        <w:rPr>
          <w:rFonts w:ascii="Arial" w:hAnsi="Arial" w:cs="Arial"/>
          <w:sz w:val="21"/>
          <w:szCs w:val="21"/>
        </w:rPr>
      </w:pPr>
      <w:r w:rsidRPr="005328EF">
        <w:rPr>
          <w:rFonts w:ascii="Arial" w:eastAsia="DejaVuSans" w:hAnsi="Arial" w:cs="Arial"/>
          <w:sz w:val="21"/>
          <w:szCs w:val="21"/>
        </w:rPr>
        <w:t xml:space="preserve">a Single Species Action Plan for the Far Eastern Curlew </w:t>
      </w:r>
      <w:r w:rsidRPr="005328EF">
        <w:rPr>
          <w:rStyle w:val="xbe"/>
          <w:rFonts w:ascii="Arial" w:hAnsi="Arial" w:cs="Arial"/>
          <w:i/>
          <w:sz w:val="21"/>
          <w:szCs w:val="21"/>
        </w:rPr>
        <w:t>Numenius madagascariensis</w:t>
      </w:r>
      <w:r w:rsidRPr="005328EF">
        <w:rPr>
          <w:rStyle w:val="xbe"/>
          <w:rFonts w:ascii="Arial" w:hAnsi="Arial" w:cs="Arial"/>
          <w:sz w:val="21"/>
          <w:szCs w:val="21"/>
        </w:rPr>
        <w:t>;</w:t>
      </w:r>
    </w:p>
    <w:p w14:paraId="549A5D85" w14:textId="77777777" w:rsidR="00861847" w:rsidRPr="005328EF" w:rsidRDefault="00861847" w:rsidP="00861847">
      <w:pPr>
        <w:pStyle w:val="ListParagraph"/>
        <w:numPr>
          <w:ilvl w:val="0"/>
          <w:numId w:val="9"/>
        </w:numPr>
        <w:rPr>
          <w:rFonts w:ascii="Arial" w:hAnsi="Arial" w:cs="Arial"/>
          <w:sz w:val="21"/>
          <w:szCs w:val="21"/>
        </w:rPr>
      </w:pPr>
      <w:r w:rsidRPr="005328EF">
        <w:rPr>
          <w:rFonts w:ascii="Arial" w:hAnsi="Arial" w:cs="Arial"/>
          <w:sz w:val="21"/>
          <w:szCs w:val="21"/>
        </w:rPr>
        <w:t xml:space="preserve">the Action Plan for </w:t>
      </w:r>
      <w:r w:rsidRPr="005328EF">
        <w:rPr>
          <w:rFonts w:ascii="Arial" w:eastAsia="DejaVuSans" w:hAnsi="Arial" w:cs="Arial"/>
          <w:sz w:val="21"/>
          <w:szCs w:val="21"/>
        </w:rPr>
        <w:t>African-Eurasian Migratory Landbirds;</w:t>
      </w:r>
    </w:p>
    <w:p w14:paraId="41029008" w14:textId="77777777" w:rsidR="00861847" w:rsidRPr="005328EF" w:rsidRDefault="00861847" w:rsidP="00861847">
      <w:pPr>
        <w:pStyle w:val="ListParagraph"/>
        <w:numPr>
          <w:ilvl w:val="0"/>
          <w:numId w:val="9"/>
        </w:numPr>
        <w:rPr>
          <w:rFonts w:ascii="Arial" w:hAnsi="Arial" w:cs="Arial"/>
          <w:sz w:val="21"/>
          <w:szCs w:val="21"/>
        </w:rPr>
      </w:pPr>
      <w:r w:rsidRPr="005328EF">
        <w:rPr>
          <w:rFonts w:ascii="Arial" w:hAnsi="Arial" w:cs="Arial"/>
          <w:sz w:val="21"/>
          <w:szCs w:val="21"/>
        </w:rPr>
        <w:t xml:space="preserve">(possibly) arrangements concerning the European Eel </w:t>
      </w:r>
      <w:r w:rsidRPr="005328EF">
        <w:rPr>
          <w:rStyle w:val="xbe"/>
          <w:rFonts w:ascii="Arial" w:hAnsi="Arial" w:cs="Arial"/>
          <w:i/>
          <w:sz w:val="21"/>
          <w:szCs w:val="21"/>
        </w:rPr>
        <w:t>Anguilla anguilla;</w:t>
      </w:r>
    </w:p>
    <w:p w14:paraId="1A5C5F25" w14:textId="59D11E55" w:rsidR="0034108A" w:rsidRDefault="0034108A" w:rsidP="00861847">
      <w:pPr>
        <w:ind w:left="720" w:hanging="720"/>
        <w:rPr>
          <w:rFonts w:cs="Arial"/>
          <w:sz w:val="10"/>
          <w:szCs w:val="10"/>
        </w:rPr>
      </w:pPr>
      <w:r>
        <w:rPr>
          <w:rFonts w:cs="Arial"/>
          <w:sz w:val="10"/>
          <w:szCs w:val="10"/>
        </w:rPr>
        <w:br w:type="page"/>
      </w:r>
    </w:p>
    <w:p w14:paraId="64BAD8EB" w14:textId="77777777" w:rsidR="00861847" w:rsidRPr="005328EF" w:rsidRDefault="00861847" w:rsidP="00861847">
      <w:pPr>
        <w:ind w:left="720" w:hanging="272"/>
        <w:rPr>
          <w:rFonts w:cs="Arial"/>
          <w:sz w:val="22"/>
          <w:szCs w:val="22"/>
        </w:rPr>
      </w:pPr>
      <w:r w:rsidRPr="005328EF">
        <w:rPr>
          <w:rFonts w:cs="Arial"/>
          <w:sz w:val="22"/>
          <w:szCs w:val="22"/>
        </w:rPr>
        <w:lastRenderedPageBreak/>
        <w:t>Possible future plans:</w:t>
      </w:r>
    </w:p>
    <w:p w14:paraId="6F209E56" w14:textId="77777777" w:rsidR="00861847" w:rsidRPr="005328EF" w:rsidRDefault="00861847" w:rsidP="00861847">
      <w:pPr>
        <w:ind w:left="720" w:hanging="720"/>
        <w:rPr>
          <w:rFonts w:cs="Arial"/>
          <w:sz w:val="6"/>
          <w:szCs w:val="6"/>
        </w:rPr>
      </w:pPr>
    </w:p>
    <w:p w14:paraId="516749D2" w14:textId="6FB38E13" w:rsidR="00861847" w:rsidRPr="005328EF" w:rsidRDefault="00861847" w:rsidP="00861847">
      <w:pPr>
        <w:pStyle w:val="ListParagraph"/>
        <w:numPr>
          <w:ilvl w:val="0"/>
          <w:numId w:val="10"/>
        </w:numPr>
        <w:rPr>
          <w:rFonts w:ascii="Arial" w:hAnsi="Arial" w:cs="Arial"/>
          <w:sz w:val="21"/>
          <w:szCs w:val="21"/>
        </w:rPr>
      </w:pPr>
      <w:r w:rsidRPr="005328EF">
        <w:rPr>
          <w:rFonts w:ascii="Arial" w:hAnsi="Arial" w:cs="Arial"/>
          <w:sz w:val="21"/>
          <w:szCs w:val="21"/>
        </w:rPr>
        <w:t>an M</w:t>
      </w:r>
      <w:r w:rsidR="00A936BB">
        <w:rPr>
          <w:rFonts w:ascii="Arial" w:hAnsi="Arial" w:cs="Arial"/>
          <w:sz w:val="21"/>
          <w:szCs w:val="21"/>
        </w:rPr>
        <w:t>O</w:t>
      </w:r>
      <w:r w:rsidRPr="005328EF">
        <w:rPr>
          <w:rFonts w:ascii="Arial" w:hAnsi="Arial" w:cs="Arial"/>
          <w:sz w:val="21"/>
          <w:szCs w:val="21"/>
        </w:rPr>
        <w:t xml:space="preserve">U for the Andean Condor </w:t>
      </w:r>
      <w:r w:rsidRPr="005328EF">
        <w:rPr>
          <w:rFonts w:ascii="Arial" w:hAnsi="Arial" w:cs="Arial"/>
          <w:i/>
          <w:sz w:val="21"/>
          <w:szCs w:val="21"/>
        </w:rPr>
        <w:t>Vultur gryphus</w:t>
      </w:r>
      <w:r w:rsidRPr="005328EF">
        <w:rPr>
          <w:rFonts w:ascii="Arial" w:hAnsi="Arial" w:cs="Arial"/>
          <w:sz w:val="21"/>
          <w:szCs w:val="21"/>
        </w:rPr>
        <w:t>;</w:t>
      </w:r>
    </w:p>
    <w:p w14:paraId="0287CB71" w14:textId="565E5DB8" w:rsidR="00861847" w:rsidRPr="005328EF" w:rsidRDefault="00861847" w:rsidP="00861847">
      <w:pPr>
        <w:pStyle w:val="ListParagraph"/>
        <w:numPr>
          <w:ilvl w:val="0"/>
          <w:numId w:val="10"/>
        </w:numPr>
        <w:rPr>
          <w:rFonts w:ascii="Arial" w:hAnsi="Arial" w:cs="Arial"/>
          <w:sz w:val="21"/>
          <w:szCs w:val="21"/>
        </w:rPr>
      </w:pPr>
      <w:r w:rsidRPr="005328EF">
        <w:rPr>
          <w:rFonts w:ascii="Arial" w:eastAsia="DejaVuSans" w:hAnsi="Arial" w:cs="Arial"/>
          <w:sz w:val="21"/>
          <w:szCs w:val="21"/>
          <w:lang w:eastAsia="en-GB"/>
        </w:rPr>
        <w:t>an M</w:t>
      </w:r>
      <w:r w:rsidR="00A936BB">
        <w:rPr>
          <w:rFonts w:ascii="Arial" w:eastAsia="DejaVuSans" w:hAnsi="Arial" w:cs="Arial"/>
          <w:sz w:val="21"/>
          <w:szCs w:val="21"/>
          <w:lang w:eastAsia="en-GB"/>
        </w:rPr>
        <w:t>O</w:t>
      </w:r>
      <w:r w:rsidRPr="005328EF">
        <w:rPr>
          <w:rFonts w:ascii="Arial" w:eastAsia="DejaVuSans" w:hAnsi="Arial" w:cs="Arial"/>
          <w:sz w:val="21"/>
          <w:szCs w:val="21"/>
          <w:lang w:eastAsia="en-GB"/>
        </w:rPr>
        <w:t>U for marine turtles in the Pacific Island Region;</w:t>
      </w:r>
    </w:p>
    <w:p w14:paraId="2E9472D6" w14:textId="7D3E4E8E" w:rsidR="00861847" w:rsidRPr="005328EF" w:rsidRDefault="00861847" w:rsidP="00861847">
      <w:pPr>
        <w:pStyle w:val="ListParagraph"/>
        <w:numPr>
          <w:ilvl w:val="0"/>
          <w:numId w:val="10"/>
        </w:numPr>
        <w:rPr>
          <w:rFonts w:ascii="Arial" w:hAnsi="Arial" w:cs="Arial"/>
          <w:sz w:val="21"/>
          <w:szCs w:val="21"/>
        </w:rPr>
      </w:pPr>
      <w:r w:rsidRPr="005328EF">
        <w:rPr>
          <w:rFonts w:ascii="Arial" w:hAnsi="Arial" w:cs="Arial"/>
          <w:sz w:val="21"/>
          <w:szCs w:val="21"/>
        </w:rPr>
        <w:t>(subject to listing on Appendix II) an M</w:t>
      </w:r>
      <w:r w:rsidR="00A936BB">
        <w:rPr>
          <w:rFonts w:ascii="Arial" w:hAnsi="Arial" w:cs="Arial"/>
          <w:sz w:val="21"/>
          <w:szCs w:val="21"/>
        </w:rPr>
        <w:t>O</w:t>
      </w:r>
      <w:r w:rsidRPr="005328EF">
        <w:rPr>
          <w:rFonts w:ascii="Arial" w:hAnsi="Arial" w:cs="Arial"/>
          <w:sz w:val="21"/>
          <w:szCs w:val="21"/>
        </w:rPr>
        <w:t xml:space="preserve">U for the Persian Leopard </w:t>
      </w:r>
      <w:r w:rsidRPr="005328EF">
        <w:rPr>
          <w:rStyle w:val="xbe"/>
          <w:rFonts w:ascii="Arial" w:hAnsi="Arial" w:cs="Arial"/>
          <w:i/>
          <w:sz w:val="21"/>
          <w:szCs w:val="21"/>
        </w:rPr>
        <w:t>Panthera pardus saxicolor</w:t>
      </w:r>
      <w:r w:rsidRPr="005328EF">
        <w:rPr>
          <w:rStyle w:val="xbe"/>
          <w:rFonts w:ascii="Arial" w:hAnsi="Arial" w:cs="Arial"/>
          <w:sz w:val="21"/>
          <w:szCs w:val="21"/>
        </w:rPr>
        <w:t>;</w:t>
      </w:r>
    </w:p>
    <w:p w14:paraId="10064BD9" w14:textId="77777777" w:rsidR="00861847" w:rsidRPr="005328EF" w:rsidRDefault="00861847" w:rsidP="00861847">
      <w:pPr>
        <w:pStyle w:val="ListParagraph"/>
        <w:numPr>
          <w:ilvl w:val="0"/>
          <w:numId w:val="10"/>
        </w:numPr>
        <w:rPr>
          <w:rFonts w:ascii="Arial" w:hAnsi="Arial" w:cs="Arial"/>
          <w:sz w:val="21"/>
          <w:szCs w:val="21"/>
        </w:rPr>
      </w:pPr>
      <w:r w:rsidRPr="005328EF">
        <w:rPr>
          <w:rStyle w:val="xbe"/>
          <w:rFonts w:ascii="Arial" w:hAnsi="Arial" w:cs="Arial"/>
          <w:sz w:val="21"/>
          <w:szCs w:val="21"/>
        </w:rPr>
        <w:t>transboundary cooperation arrangements for five species of Asian terrestrial mammals;</w:t>
      </w:r>
    </w:p>
    <w:p w14:paraId="5C986E9D" w14:textId="77777777" w:rsidR="00861847" w:rsidRPr="005328EF" w:rsidRDefault="00861847" w:rsidP="00861847">
      <w:pPr>
        <w:pStyle w:val="ListParagraph"/>
        <w:numPr>
          <w:ilvl w:val="0"/>
          <w:numId w:val="10"/>
        </w:numPr>
        <w:rPr>
          <w:rFonts w:ascii="Arial" w:hAnsi="Arial" w:cs="Arial"/>
          <w:sz w:val="21"/>
          <w:szCs w:val="21"/>
        </w:rPr>
      </w:pPr>
      <w:r w:rsidRPr="005328EF">
        <w:rPr>
          <w:rFonts w:ascii="Arial" w:hAnsi="Arial" w:cs="Arial"/>
          <w:sz w:val="21"/>
          <w:szCs w:val="21"/>
        </w:rPr>
        <w:t>(unspecified) arrangements for six taxa of African terrestrial mammals.</w:t>
      </w:r>
    </w:p>
    <w:p w14:paraId="5ED8725F" w14:textId="77777777" w:rsidR="00F064E7" w:rsidRPr="00771530" w:rsidRDefault="00F064E7" w:rsidP="00F064E7">
      <w:pPr>
        <w:rPr>
          <w:rFonts w:cs="Arial"/>
          <w:sz w:val="22"/>
          <w:szCs w:val="22"/>
        </w:rPr>
      </w:pPr>
    </w:p>
    <w:p w14:paraId="30A89196" w14:textId="77777777" w:rsidR="00F064E7" w:rsidRPr="00771530" w:rsidRDefault="00F064E7" w:rsidP="00F064E7">
      <w:pPr>
        <w:ind w:left="448" w:hanging="448"/>
        <w:jc w:val="both"/>
        <w:rPr>
          <w:rFonts w:cs="Arial"/>
          <w:sz w:val="22"/>
          <w:szCs w:val="22"/>
          <w:u w:val="single"/>
        </w:rPr>
      </w:pPr>
      <w:r w:rsidRPr="00771530">
        <w:rPr>
          <w:rFonts w:cs="Arial"/>
          <w:sz w:val="22"/>
          <w:szCs w:val="22"/>
          <w:u w:val="single"/>
        </w:rPr>
        <w:t>Protected areas</w:t>
      </w:r>
    </w:p>
    <w:p w14:paraId="4DE5F09F" w14:textId="77777777" w:rsidR="00F064E7" w:rsidRPr="00771530" w:rsidRDefault="00F064E7" w:rsidP="00F064E7">
      <w:pPr>
        <w:ind w:left="448" w:hanging="448"/>
        <w:jc w:val="both"/>
        <w:rPr>
          <w:rFonts w:cs="Arial"/>
          <w:sz w:val="22"/>
          <w:szCs w:val="22"/>
        </w:rPr>
      </w:pPr>
    </w:p>
    <w:p w14:paraId="094CE865" w14:textId="1C8FC315" w:rsidR="00F064E7" w:rsidRPr="00771530" w:rsidRDefault="00771530" w:rsidP="00F064E7">
      <w:pPr>
        <w:ind w:left="448" w:hanging="448"/>
        <w:jc w:val="both"/>
        <w:rPr>
          <w:rFonts w:cs="Arial"/>
          <w:sz w:val="22"/>
          <w:szCs w:val="22"/>
        </w:rPr>
      </w:pPr>
      <w:r w:rsidRPr="00771530">
        <w:rPr>
          <w:rFonts w:cs="Arial"/>
          <w:sz w:val="22"/>
          <w:szCs w:val="22"/>
        </w:rPr>
        <w:t>1</w:t>
      </w:r>
      <w:r w:rsidR="00A14D53">
        <w:rPr>
          <w:rFonts w:cs="Arial"/>
          <w:sz w:val="22"/>
          <w:szCs w:val="22"/>
        </w:rPr>
        <w:t>8</w:t>
      </w:r>
      <w:r w:rsidR="00F064E7" w:rsidRPr="00771530">
        <w:rPr>
          <w:rFonts w:cs="Arial"/>
          <w:sz w:val="22"/>
          <w:szCs w:val="22"/>
        </w:rPr>
        <w:t>.</w:t>
      </w:r>
      <w:r w:rsidR="00F064E7" w:rsidRPr="00771530">
        <w:rPr>
          <w:rFonts w:cs="Arial"/>
          <w:sz w:val="22"/>
          <w:szCs w:val="22"/>
        </w:rPr>
        <w:tab/>
        <w:t xml:space="preserve">The first question in this section of the report format asks whether migratory species are taken into account in the selection, establishment and management of protected areas in the country.  Nearly all of the Parties </w:t>
      </w:r>
      <w:r w:rsidR="00A936BB">
        <w:rPr>
          <w:rFonts w:cs="Arial"/>
          <w:sz w:val="22"/>
          <w:szCs w:val="22"/>
        </w:rPr>
        <w:t>that</w:t>
      </w:r>
      <w:r w:rsidR="00F064E7" w:rsidRPr="00771530">
        <w:rPr>
          <w:rFonts w:cs="Arial"/>
          <w:sz w:val="22"/>
          <w:szCs w:val="22"/>
        </w:rPr>
        <w:t xml:space="preserve"> answered this question </w:t>
      </w:r>
      <w:r w:rsidR="00A936BB">
        <w:rPr>
          <w:rFonts w:cs="Arial"/>
          <w:sz w:val="22"/>
          <w:szCs w:val="22"/>
        </w:rPr>
        <w:t>replied</w:t>
      </w:r>
      <w:r w:rsidR="00A936BB" w:rsidRPr="00771530">
        <w:rPr>
          <w:rFonts w:cs="Arial"/>
          <w:sz w:val="22"/>
          <w:szCs w:val="22"/>
        </w:rPr>
        <w:t xml:space="preserve"> </w:t>
      </w:r>
      <w:r w:rsidR="00F064E7" w:rsidRPr="00771530">
        <w:rPr>
          <w:rFonts w:cs="Arial"/>
          <w:sz w:val="22"/>
          <w:szCs w:val="22"/>
        </w:rPr>
        <w:t>“yes”, although the meaning of “taken into account” appears to have been interpreted in a variety of ways</w:t>
      </w:r>
      <w:r w:rsidR="006664DB" w:rsidRPr="00771530">
        <w:rPr>
          <w:rFonts w:cs="Arial"/>
          <w:sz w:val="22"/>
          <w:szCs w:val="22"/>
        </w:rPr>
        <w:t>.  O</w:t>
      </w:r>
      <w:r w:rsidR="00F064E7" w:rsidRPr="00771530">
        <w:rPr>
          <w:rFonts w:cs="Arial"/>
          <w:sz w:val="22"/>
          <w:szCs w:val="22"/>
        </w:rPr>
        <w:t>nly a minority of reports ma</w:t>
      </w:r>
      <w:r w:rsidR="006664DB" w:rsidRPr="00771530">
        <w:rPr>
          <w:rFonts w:cs="Arial"/>
          <w:sz w:val="22"/>
          <w:szCs w:val="22"/>
        </w:rPr>
        <w:t>de</w:t>
      </w:r>
      <w:r w:rsidR="00F064E7" w:rsidRPr="00771530">
        <w:rPr>
          <w:rFonts w:cs="Arial"/>
          <w:sz w:val="22"/>
          <w:szCs w:val="22"/>
        </w:rPr>
        <w:t xml:space="preserve"> specific reference to migratory species or migration-related factors having played a part</w:t>
      </w:r>
      <w:r w:rsidR="006664DB" w:rsidRPr="00771530">
        <w:rPr>
          <w:rFonts w:cs="Arial"/>
          <w:sz w:val="22"/>
          <w:szCs w:val="22"/>
        </w:rPr>
        <w:t>, citing for example the targeting of corridors or bottleneck sites, and areas being protected for a particular CMS priority species</w:t>
      </w:r>
      <w:r w:rsidR="00F064E7" w:rsidRPr="00771530">
        <w:rPr>
          <w:rFonts w:cs="Arial"/>
          <w:sz w:val="22"/>
          <w:szCs w:val="22"/>
        </w:rPr>
        <w:t>.</w:t>
      </w:r>
    </w:p>
    <w:p w14:paraId="667C1BFE" w14:textId="77777777" w:rsidR="00F064E7" w:rsidRPr="00771530" w:rsidRDefault="00F064E7" w:rsidP="00F064E7">
      <w:pPr>
        <w:ind w:left="448" w:hanging="448"/>
        <w:jc w:val="both"/>
        <w:rPr>
          <w:rFonts w:cs="Arial"/>
          <w:sz w:val="22"/>
          <w:szCs w:val="22"/>
        </w:rPr>
      </w:pPr>
    </w:p>
    <w:p w14:paraId="424ACD0B" w14:textId="77777777" w:rsidR="00F064E7" w:rsidRPr="00771530" w:rsidRDefault="00771530" w:rsidP="00F064E7">
      <w:pPr>
        <w:ind w:left="448" w:hanging="448"/>
        <w:jc w:val="both"/>
        <w:rPr>
          <w:rFonts w:cs="Arial"/>
          <w:sz w:val="22"/>
          <w:szCs w:val="22"/>
        </w:rPr>
      </w:pPr>
      <w:r w:rsidRPr="00771530">
        <w:rPr>
          <w:rFonts w:cs="Arial"/>
          <w:sz w:val="22"/>
          <w:szCs w:val="22"/>
        </w:rPr>
        <w:t>1</w:t>
      </w:r>
      <w:r w:rsidR="00A14D53">
        <w:rPr>
          <w:rFonts w:cs="Arial"/>
          <w:sz w:val="22"/>
          <w:szCs w:val="22"/>
        </w:rPr>
        <w:t>9</w:t>
      </w:r>
      <w:r w:rsidR="00F064E7" w:rsidRPr="00771530">
        <w:rPr>
          <w:rFonts w:cs="Arial"/>
          <w:sz w:val="22"/>
          <w:szCs w:val="22"/>
        </w:rPr>
        <w:t>.</w:t>
      </w:r>
      <w:r w:rsidR="00F064E7" w:rsidRPr="00771530">
        <w:rPr>
          <w:rFonts w:cs="Arial"/>
          <w:sz w:val="22"/>
          <w:szCs w:val="22"/>
        </w:rPr>
        <w:tab/>
        <w:t>Some Parties responded to the further request to identify the most important sites.  They did this in a variety of non-comparable ways, and it is apparent that isolating migratory species interests from the generality of a national protected area system is often a challenge.  Similarly,</w:t>
      </w:r>
      <w:r w:rsidR="00F064E7" w:rsidRPr="00F064E7">
        <w:rPr>
          <w:rFonts w:cs="Arial"/>
          <w:sz w:val="22"/>
          <w:szCs w:val="22"/>
        </w:rPr>
        <w:t xml:space="preserve"> attempts to distinguish contributions to terrestrial, aquatic and marine environments/species proved difficult (many sites have combinations of these), and “marine” in particular was interpreted in several contrasting ways.  It is clear</w:t>
      </w:r>
      <w:r w:rsidR="00A936BB">
        <w:rPr>
          <w:rFonts w:cs="Arial"/>
          <w:sz w:val="22"/>
          <w:szCs w:val="22"/>
        </w:rPr>
        <w:t>,</w:t>
      </w:r>
      <w:r w:rsidR="00F064E7" w:rsidRPr="00F064E7">
        <w:rPr>
          <w:rFonts w:cs="Arial"/>
          <w:sz w:val="22"/>
          <w:szCs w:val="22"/>
        </w:rPr>
        <w:t xml:space="preserve"> however</w:t>
      </w:r>
      <w:r w:rsidR="00A936BB">
        <w:rPr>
          <w:rFonts w:cs="Arial"/>
          <w:sz w:val="22"/>
          <w:szCs w:val="22"/>
        </w:rPr>
        <w:t>,</w:t>
      </w:r>
      <w:r w:rsidR="00F064E7" w:rsidRPr="00F064E7">
        <w:rPr>
          <w:rFonts w:cs="Arial"/>
          <w:sz w:val="22"/>
          <w:szCs w:val="22"/>
        </w:rPr>
        <w:t xml:space="preserve"> that most countries’ protected area </w:t>
      </w:r>
      <w:r w:rsidR="00F064E7" w:rsidRPr="00771530">
        <w:rPr>
          <w:rFonts w:cs="Arial"/>
          <w:sz w:val="22"/>
          <w:szCs w:val="22"/>
        </w:rPr>
        <w:t>systems address all three habitat categories, and the slight differences between them may reflect no more than the normal relative preponderance of the three categories in the landscape.</w:t>
      </w:r>
    </w:p>
    <w:p w14:paraId="4AA8FCCE" w14:textId="77777777" w:rsidR="00F064E7" w:rsidRPr="00771530" w:rsidRDefault="00F064E7" w:rsidP="00F064E7">
      <w:pPr>
        <w:ind w:left="448" w:hanging="448"/>
        <w:jc w:val="both"/>
        <w:rPr>
          <w:rFonts w:cs="Arial"/>
          <w:sz w:val="22"/>
          <w:szCs w:val="22"/>
        </w:rPr>
      </w:pPr>
    </w:p>
    <w:p w14:paraId="4FF7548F" w14:textId="77777777" w:rsidR="00F064E7" w:rsidRPr="00771530" w:rsidRDefault="00A14D53" w:rsidP="00F064E7">
      <w:pPr>
        <w:ind w:left="448" w:hanging="448"/>
        <w:jc w:val="both"/>
        <w:rPr>
          <w:rFonts w:cs="Arial"/>
          <w:sz w:val="22"/>
          <w:szCs w:val="22"/>
        </w:rPr>
      </w:pPr>
      <w:r>
        <w:rPr>
          <w:rFonts w:cs="Arial"/>
          <w:sz w:val="22"/>
          <w:szCs w:val="22"/>
        </w:rPr>
        <w:t>20</w:t>
      </w:r>
      <w:r w:rsidR="00F064E7" w:rsidRPr="00771530">
        <w:rPr>
          <w:rFonts w:cs="Arial"/>
          <w:sz w:val="22"/>
          <w:szCs w:val="22"/>
        </w:rPr>
        <w:t>.</w:t>
      </w:r>
      <w:r w:rsidR="00F064E7" w:rsidRPr="00771530">
        <w:rPr>
          <w:rFonts w:cs="Arial"/>
          <w:sz w:val="22"/>
          <w:szCs w:val="22"/>
        </w:rPr>
        <w:tab/>
        <w:t>Parties were then asked to describe positive outcomes of actions relating to protected areas.  Most of the responses to this covered a longer period than the last triennium, and some gave no details, but the more specific types of reported outcome included the following (the figures represent the number of Parties who mentioned each type):</w:t>
      </w:r>
    </w:p>
    <w:p w14:paraId="5E73D71A" w14:textId="77777777" w:rsidR="00F064E7" w:rsidRPr="00771530" w:rsidRDefault="00F064E7" w:rsidP="00F064E7">
      <w:pPr>
        <w:ind w:left="720" w:hanging="720"/>
        <w:rPr>
          <w:rFonts w:eastAsia="DejaVuSans" w:cs="Arial"/>
          <w:sz w:val="10"/>
          <w:szCs w:val="10"/>
        </w:rPr>
      </w:pPr>
    </w:p>
    <w:p w14:paraId="1D0FE287"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Increased coverage of protected areas  (12)</w:t>
      </w:r>
    </w:p>
    <w:p w14:paraId="057225F8"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Species population improvement (not quantified)  (11)</w:t>
      </w:r>
    </w:p>
    <w:p w14:paraId="0727552B"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Management planning &amp; related initiatives  (8)</w:t>
      </w:r>
    </w:p>
    <w:p w14:paraId="0AFAFD55"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Awareness and capacity  (6)</w:t>
      </w:r>
    </w:p>
    <w:p w14:paraId="59D56DE2"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Improved habitat quality/habitat management  (5)</w:t>
      </w:r>
    </w:p>
    <w:p w14:paraId="6BE5664B"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Cross-sectoral and/or transboundary coordination  (5)</w:t>
      </w:r>
    </w:p>
    <w:p w14:paraId="5A923A5D"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Reduced threats &amp; pressures  (3)</w:t>
      </w:r>
    </w:p>
    <w:p w14:paraId="36D5EA03"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Ecotourism  (3)</w:t>
      </w:r>
    </w:p>
    <w:p w14:paraId="477F41F7" w14:textId="77777777" w:rsidR="00F064E7" w:rsidRPr="005328EF" w:rsidRDefault="00F064E7" w:rsidP="00F064E7">
      <w:pPr>
        <w:pStyle w:val="ListParagraph"/>
        <w:numPr>
          <w:ilvl w:val="0"/>
          <w:numId w:val="10"/>
        </w:numPr>
        <w:rPr>
          <w:rStyle w:val="xbe"/>
          <w:rFonts w:ascii="Arial" w:hAnsi="Arial"/>
          <w:sz w:val="21"/>
          <w:szCs w:val="21"/>
        </w:rPr>
      </w:pPr>
      <w:r w:rsidRPr="005328EF">
        <w:rPr>
          <w:rStyle w:val="xbe"/>
          <w:rFonts w:ascii="Arial" w:hAnsi="Arial"/>
          <w:sz w:val="21"/>
          <w:szCs w:val="21"/>
        </w:rPr>
        <w:t>Sustainable development projects  (2).</w:t>
      </w:r>
    </w:p>
    <w:p w14:paraId="78128881" w14:textId="77777777" w:rsidR="00F064E7" w:rsidRPr="00771530" w:rsidRDefault="00F064E7" w:rsidP="00F064E7">
      <w:pPr>
        <w:ind w:left="448" w:hanging="448"/>
        <w:jc w:val="both"/>
        <w:rPr>
          <w:rFonts w:cs="Arial"/>
          <w:sz w:val="22"/>
          <w:szCs w:val="22"/>
        </w:rPr>
      </w:pPr>
    </w:p>
    <w:p w14:paraId="7A0BACA7" w14:textId="66D01C37" w:rsidR="00F064E7" w:rsidRDefault="00771530" w:rsidP="00F064E7">
      <w:pPr>
        <w:ind w:left="448" w:hanging="448"/>
        <w:jc w:val="both"/>
        <w:rPr>
          <w:rFonts w:cs="Arial"/>
          <w:sz w:val="22"/>
          <w:szCs w:val="22"/>
        </w:rPr>
      </w:pPr>
      <w:r w:rsidRPr="00771530">
        <w:rPr>
          <w:rFonts w:cs="Arial"/>
          <w:sz w:val="22"/>
          <w:szCs w:val="22"/>
        </w:rPr>
        <w:t>2</w:t>
      </w:r>
      <w:r w:rsidR="00A14D53">
        <w:rPr>
          <w:rFonts w:cs="Arial"/>
          <w:sz w:val="22"/>
          <w:szCs w:val="22"/>
        </w:rPr>
        <w:t>1</w:t>
      </w:r>
      <w:r w:rsidR="00F064E7" w:rsidRPr="00771530">
        <w:rPr>
          <w:rFonts w:cs="Arial"/>
          <w:sz w:val="22"/>
          <w:szCs w:val="22"/>
        </w:rPr>
        <w:t>.</w:t>
      </w:r>
      <w:r w:rsidR="00F064E7" w:rsidRPr="00771530">
        <w:rPr>
          <w:rFonts w:cs="Arial"/>
          <w:sz w:val="22"/>
          <w:szCs w:val="22"/>
        </w:rPr>
        <w:tab/>
        <w:t xml:space="preserve">Implementation of measures for protected areas may contribute towards the achievement of Target 10 in the Strategic Plan for Migratory Species, which in turn supports Target 11 in the Strategic Plan for Biodiversity.  The information in the national reports does not allow any systematic measurement of this, but the reports have valuably flagged particular issues which, in each individual country context (for those countries providing responses), can be tracked </w:t>
      </w:r>
      <w:r w:rsidR="00C4297C">
        <w:rPr>
          <w:rFonts w:cs="Arial"/>
          <w:sz w:val="22"/>
          <w:szCs w:val="22"/>
        </w:rPr>
        <w:t>from</w:t>
      </w:r>
      <w:r w:rsidR="00C4297C" w:rsidRPr="00771530">
        <w:rPr>
          <w:rFonts w:cs="Arial"/>
          <w:sz w:val="22"/>
          <w:szCs w:val="22"/>
        </w:rPr>
        <w:t xml:space="preserve"> </w:t>
      </w:r>
      <w:r w:rsidR="00F064E7" w:rsidRPr="00771530">
        <w:rPr>
          <w:rFonts w:cs="Arial"/>
          <w:sz w:val="22"/>
          <w:szCs w:val="22"/>
        </w:rPr>
        <w:t>one reporting period to another and sho</w:t>
      </w:r>
      <w:r w:rsidR="00B76E4A">
        <w:rPr>
          <w:rFonts w:cs="Arial"/>
          <w:sz w:val="22"/>
          <w:szCs w:val="22"/>
        </w:rPr>
        <w:t>uld help with planning/prioritiz</w:t>
      </w:r>
      <w:r w:rsidR="00F064E7" w:rsidRPr="00771530">
        <w:rPr>
          <w:rFonts w:cs="Arial"/>
          <w:sz w:val="22"/>
          <w:szCs w:val="22"/>
        </w:rPr>
        <w:t>ing future action.  At global level the information at least demonstrates that there is evidence of significant moves being made in the desired direction, and it can be plausibly deduced that CMS implementation is making a contribution to the achievement of Goals 14 and 15 in the UN Sustainable Development Goals.</w:t>
      </w:r>
    </w:p>
    <w:p w14:paraId="58D74DEF" w14:textId="191DC880" w:rsidR="00DD771F" w:rsidRDefault="00DD771F" w:rsidP="00F064E7">
      <w:pPr>
        <w:ind w:left="448" w:hanging="448"/>
        <w:jc w:val="both"/>
        <w:rPr>
          <w:rFonts w:cs="Arial"/>
          <w:sz w:val="22"/>
          <w:szCs w:val="22"/>
        </w:rPr>
      </w:pPr>
    </w:p>
    <w:p w14:paraId="26A1A853" w14:textId="4BDC11D1" w:rsidR="00DD771F" w:rsidRDefault="00DD771F" w:rsidP="00F064E7">
      <w:pPr>
        <w:ind w:left="448" w:hanging="448"/>
        <w:jc w:val="both"/>
        <w:rPr>
          <w:rFonts w:cs="Arial"/>
          <w:sz w:val="22"/>
          <w:szCs w:val="22"/>
        </w:rPr>
      </w:pPr>
    </w:p>
    <w:p w14:paraId="54A46367" w14:textId="77777777" w:rsidR="00DD771F" w:rsidRPr="00771530" w:rsidRDefault="00DD771F" w:rsidP="00F064E7">
      <w:pPr>
        <w:ind w:left="448" w:hanging="448"/>
        <w:jc w:val="both"/>
        <w:rPr>
          <w:rFonts w:cs="Arial"/>
          <w:sz w:val="22"/>
          <w:szCs w:val="22"/>
        </w:rPr>
      </w:pPr>
    </w:p>
    <w:p w14:paraId="6213F63D" w14:textId="7D5B94A9" w:rsidR="00362E7A" w:rsidRPr="00771530" w:rsidRDefault="00362E7A" w:rsidP="0034108A">
      <w:pPr>
        <w:jc w:val="both"/>
        <w:rPr>
          <w:rFonts w:cs="Arial"/>
          <w:sz w:val="22"/>
          <w:szCs w:val="22"/>
          <w:u w:val="single"/>
        </w:rPr>
      </w:pPr>
      <w:r w:rsidRPr="00771530">
        <w:rPr>
          <w:rFonts w:cs="Arial"/>
          <w:sz w:val="22"/>
          <w:szCs w:val="22"/>
          <w:u w:val="single"/>
        </w:rPr>
        <w:lastRenderedPageBreak/>
        <w:t>Satellite telemetry</w:t>
      </w:r>
    </w:p>
    <w:p w14:paraId="32DA7866" w14:textId="77777777" w:rsidR="00362E7A" w:rsidRPr="00771530" w:rsidRDefault="00362E7A" w:rsidP="00362E7A">
      <w:pPr>
        <w:ind w:left="448" w:hanging="448"/>
        <w:jc w:val="both"/>
        <w:rPr>
          <w:rFonts w:cs="Arial"/>
          <w:sz w:val="22"/>
          <w:szCs w:val="22"/>
        </w:rPr>
      </w:pPr>
    </w:p>
    <w:p w14:paraId="0249ACA9" w14:textId="523BADDB" w:rsidR="00362E7A" w:rsidRPr="00771530" w:rsidRDefault="00771530" w:rsidP="00362E7A">
      <w:pPr>
        <w:ind w:left="448" w:hanging="448"/>
        <w:jc w:val="both"/>
        <w:rPr>
          <w:rFonts w:cs="Arial"/>
          <w:sz w:val="22"/>
          <w:szCs w:val="22"/>
        </w:rPr>
      </w:pPr>
      <w:r w:rsidRPr="00771530">
        <w:rPr>
          <w:rFonts w:cs="Arial"/>
          <w:sz w:val="22"/>
          <w:szCs w:val="22"/>
        </w:rPr>
        <w:t>2</w:t>
      </w:r>
      <w:r w:rsidR="00A14D53">
        <w:rPr>
          <w:rFonts w:cs="Arial"/>
          <w:sz w:val="22"/>
          <w:szCs w:val="22"/>
        </w:rPr>
        <w:t>2</w:t>
      </w:r>
      <w:r w:rsidR="00362E7A" w:rsidRPr="00771530">
        <w:rPr>
          <w:rFonts w:cs="Arial"/>
          <w:sz w:val="22"/>
          <w:szCs w:val="22"/>
        </w:rPr>
        <w:t>.</w:t>
      </w:r>
      <w:r w:rsidR="00362E7A" w:rsidRPr="00771530">
        <w:rPr>
          <w:rFonts w:cs="Arial"/>
          <w:sz w:val="22"/>
          <w:szCs w:val="22"/>
        </w:rPr>
        <w:tab/>
        <w:t xml:space="preserve">Nearly three-quarters of Parties </w:t>
      </w:r>
      <w:r w:rsidR="005A4EA2">
        <w:rPr>
          <w:rFonts w:cs="Arial"/>
          <w:sz w:val="22"/>
          <w:szCs w:val="22"/>
        </w:rPr>
        <w:t>that</w:t>
      </w:r>
      <w:r w:rsidR="005A4EA2" w:rsidRPr="00771530">
        <w:rPr>
          <w:rFonts w:cs="Arial"/>
          <w:sz w:val="22"/>
          <w:szCs w:val="22"/>
        </w:rPr>
        <w:t xml:space="preserve"> </w:t>
      </w:r>
      <w:r w:rsidR="00362E7A" w:rsidRPr="00771530">
        <w:rPr>
          <w:rFonts w:cs="Arial"/>
          <w:sz w:val="22"/>
          <w:szCs w:val="22"/>
        </w:rPr>
        <w:t>submitted reports indicated that they had undertaken conservation or research projects that use satellite telemetry.  It seems that a few of these responses concerned animal tracking and telemetry projects that did not specifically have a satellite-related component: it may be useful to report on these</w:t>
      </w:r>
      <w:r w:rsidR="00B76E4A">
        <w:rPr>
          <w:rFonts w:cs="Arial"/>
          <w:sz w:val="22"/>
          <w:szCs w:val="22"/>
        </w:rPr>
        <w:t xml:space="preserve"> too</w:t>
      </w:r>
      <w:r w:rsidR="00362E7A" w:rsidRPr="00771530">
        <w:rPr>
          <w:rFonts w:cs="Arial"/>
          <w:sz w:val="22"/>
          <w:szCs w:val="22"/>
        </w:rPr>
        <w:t>, but the approach taken to this has not been consistent.  Most of the responses related to animal-based projects, but a few related to habitat surveys, which are not excluded from the question but Parties may have made different assumptions about that.  The report format questions also contain some ambiguities which have led to further inconsistencies in the data.</w:t>
      </w:r>
    </w:p>
    <w:p w14:paraId="5F718D6F" w14:textId="77777777" w:rsidR="00362E7A" w:rsidRPr="00771530" w:rsidRDefault="00362E7A" w:rsidP="00362E7A">
      <w:pPr>
        <w:ind w:left="448" w:hanging="448"/>
        <w:jc w:val="both"/>
        <w:rPr>
          <w:rFonts w:cs="Arial"/>
          <w:sz w:val="22"/>
          <w:szCs w:val="22"/>
        </w:rPr>
      </w:pPr>
    </w:p>
    <w:p w14:paraId="224BC474" w14:textId="77777777" w:rsidR="00362E7A" w:rsidRPr="00771530" w:rsidRDefault="00771530" w:rsidP="00362E7A">
      <w:pPr>
        <w:ind w:left="448" w:hanging="448"/>
        <w:jc w:val="both"/>
        <w:rPr>
          <w:rFonts w:cs="Arial"/>
          <w:sz w:val="22"/>
          <w:szCs w:val="22"/>
        </w:rPr>
      </w:pPr>
      <w:r w:rsidRPr="00771530">
        <w:rPr>
          <w:rFonts w:cs="Arial"/>
          <w:sz w:val="22"/>
          <w:szCs w:val="22"/>
        </w:rPr>
        <w:t>2</w:t>
      </w:r>
      <w:r w:rsidR="00A14D53">
        <w:rPr>
          <w:rFonts w:cs="Arial"/>
          <w:sz w:val="22"/>
          <w:szCs w:val="22"/>
        </w:rPr>
        <w:t>3</w:t>
      </w:r>
      <w:r w:rsidR="00362E7A" w:rsidRPr="00771530">
        <w:rPr>
          <w:rFonts w:cs="Arial"/>
          <w:sz w:val="22"/>
          <w:szCs w:val="22"/>
        </w:rPr>
        <w:t>.</w:t>
      </w:r>
      <w:r w:rsidR="00362E7A" w:rsidRPr="00771530">
        <w:rPr>
          <w:rFonts w:cs="Arial"/>
          <w:sz w:val="22"/>
          <w:szCs w:val="22"/>
        </w:rPr>
        <w:tab/>
        <w:t>Where information was given on the taxa addressed, projects reported by Parties in the European region (including projects undertaken by them in other regions) covered the greatest variety.  Birds were the most preponderant target species in all regions except for Central &amp; South America &amp; the Caribbean, where fish and mammals featured more strongly.  A number of projects were multi-national in nature.</w:t>
      </w:r>
    </w:p>
    <w:p w14:paraId="4FBC5A8D" w14:textId="77777777" w:rsidR="00362E7A" w:rsidRPr="00771530" w:rsidRDefault="00362E7A" w:rsidP="00362E7A">
      <w:pPr>
        <w:ind w:left="448" w:hanging="448"/>
        <w:jc w:val="both"/>
        <w:rPr>
          <w:rFonts w:cs="Arial"/>
          <w:sz w:val="22"/>
          <w:szCs w:val="22"/>
        </w:rPr>
      </w:pPr>
    </w:p>
    <w:p w14:paraId="07EAA6D9" w14:textId="5689915C" w:rsidR="00362E7A" w:rsidRPr="00870155" w:rsidRDefault="00771530" w:rsidP="00362E7A">
      <w:pPr>
        <w:ind w:left="448" w:hanging="448"/>
        <w:jc w:val="both"/>
        <w:rPr>
          <w:rFonts w:cs="Arial"/>
          <w:sz w:val="22"/>
          <w:szCs w:val="22"/>
        </w:rPr>
      </w:pPr>
      <w:r w:rsidRPr="00771530">
        <w:rPr>
          <w:rFonts w:cs="Arial"/>
          <w:sz w:val="22"/>
          <w:szCs w:val="22"/>
        </w:rPr>
        <w:t>2</w:t>
      </w:r>
      <w:r w:rsidR="00A14D53">
        <w:rPr>
          <w:rFonts w:cs="Arial"/>
          <w:sz w:val="22"/>
          <w:szCs w:val="22"/>
        </w:rPr>
        <w:t>4</w:t>
      </w:r>
      <w:r w:rsidR="00362E7A" w:rsidRPr="00771530">
        <w:rPr>
          <w:rFonts w:cs="Arial"/>
          <w:sz w:val="22"/>
          <w:szCs w:val="22"/>
        </w:rPr>
        <w:t>.</w:t>
      </w:r>
      <w:r w:rsidR="00362E7A" w:rsidRPr="00771530">
        <w:rPr>
          <w:rFonts w:cs="Arial"/>
          <w:sz w:val="22"/>
          <w:szCs w:val="22"/>
        </w:rPr>
        <w:tab/>
        <w:t xml:space="preserve">Of the reports </w:t>
      </w:r>
      <w:r w:rsidR="005A4EA2">
        <w:rPr>
          <w:rFonts w:cs="Arial"/>
          <w:sz w:val="22"/>
          <w:szCs w:val="22"/>
        </w:rPr>
        <w:t>that</w:t>
      </w:r>
      <w:r w:rsidR="005A4EA2" w:rsidRPr="00771530">
        <w:rPr>
          <w:rFonts w:cs="Arial"/>
          <w:sz w:val="22"/>
          <w:szCs w:val="22"/>
        </w:rPr>
        <w:t xml:space="preserve"> </w:t>
      </w:r>
      <w:r w:rsidR="00362E7A" w:rsidRPr="00771530">
        <w:rPr>
          <w:rFonts w:cs="Arial"/>
          <w:sz w:val="22"/>
          <w:szCs w:val="22"/>
        </w:rPr>
        <w:t>gave information on positive outcomes, the most frequent type of result reported was in the category of improving knowledge about migration behaviours, routes and distributions.  Support for monitoring and management, and contributing to other ecological knowledge, were also relatively frequently cited; while other types of result included awareness raising, methodological development and international cooperation.</w:t>
      </w:r>
    </w:p>
    <w:p w14:paraId="500F7B38" w14:textId="77777777" w:rsidR="00362E7A" w:rsidRPr="00870155" w:rsidRDefault="00362E7A" w:rsidP="00362E7A">
      <w:pPr>
        <w:ind w:left="448" w:hanging="448"/>
        <w:jc w:val="both"/>
        <w:rPr>
          <w:rFonts w:cs="Arial"/>
          <w:sz w:val="22"/>
          <w:szCs w:val="22"/>
        </w:rPr>
      </w:pPr>
    </w:p>
    <w:p w14:paraId="7CF6E982" w14:textId="77777777" w:rsidR="00362E7A" w:rsidRPr="00771530" w:rsidRDefault="00A14D53" w:rsidP="00362E7A">
      <w:pPr>
        <w:ind w:left="448" w:hanging="448"/>
        <w:jc w:val="both"/>
        <w:rPr>
          <w:rFonts w:cs="Arial"/>
          <w:sz w:val="22"/>
          <w:szCs w:val="22"/>
        </w:rPr>
      </w:pPr>
      <w:r>
        <w:rPr>
          <w:rFonts w:cs="Arial"/>
          <w:sz w:val="22"/>
          <w:szCs w:val="22"/>
        </w:rPr>
        <w:t>25</w:t>
      </w:r>
      <w:r w:rsidR="00362E7A" w:rsidRPr="00771530">
        <w:rPr>
          <w:rFonts w:cs="Arial"/>
          <w:sz w:val="22"/>
          <w:szCs w:val="22"/>
        </w:rPr>
        <w:t>.</w:t>
      </w:r>
      <w:r w:rsidR="00362E7A" w:rsidRPr="00771530">
        <w:rPr>
          <w:rFonts w:cs="Arial"/>
          <w:sz w:val="22"/>
          <w:szCs w:val="22"/>
        </w:rPr>
        <w:tab/>
        <w:t>Forty-six Parties indicated that they were planning future telemetry projects, although some of these were referring to the planned continuation of existing projects rather than commencing new ones.  The main constraint cited as affecting future work was financial resources.</w:t>
      </w:r>
    </w:p>
    <w:p w14:paraId="27691C16" w14:textId="77777777" w:rsidR="00362E7A" w:rsidRPr="00771530" w:rsidRDefault="00362E7A" w:rsidP="00362E7A">
      <w:pPr>
        <w:ind w:left="448" w:hanging="448"/>
        <w:jc w:val="both"/>
        <w:rPr>
          <w:rFonts w:cs="Arial"/>
          <w:sz w:val="22"/>
          <w:szCs w:val="22"/>
        </w:rPr>
      </w:pPr>
    </w:p>
    <w:p w14:paraId="06673536" w14:textId="769A585A" w:rsidR="00362E7A" w:rsidRPr="00771530" w:rsidRDefault="00771530" w:rsidP="00362E7A">
      <w:pPr>
        <w:ind w:left="448" w:hanging="448"/>
        <w:jc w:val="both"/>
        <w:rPr>
          <w:rFonts w:cs="Arial"/>
          <w:sz w:val="22"/>
          <w:szCs w:val="22"/>
        </w:rPr>
      </w:pPr>
      <w:r w:rsidRPr="00771530">
        <w:rPr>
          <w:rFonts w:cs="Arial"/>
          <w:sz w:val="22"/>
          <w:szCs w:val="22"/>
        </w:rPr>
        <w:t>2</w:t>
      </w:r>
      <w:r w:rsidR="00A14D53">
        <w:rPr>
          <w:rFonts w:cs="Arial"/>
          <w:sz w:val="22"/>
          <w:szCs w:val="22"/>
        </w:rPr>
        <w:t>6</w:t>
      </w:r>
      <w:r w:rsidR="00362E7A" w:rsidRPr="00771530">
        <w:rPr>
          <w:rFonts w:cs="Arial"/>
          <w:sz w:val="22"/>
          <w:szCs w:val="22"/>
        </w:rPr>
        <w:t>.</w:t>
      </w:r>
      <w:r w:rsidR="00362E7A" w:rsidRPr="00771530">
        <w:rPr>
          <w:rFonts w:cs="Arial"/>
          <w:sz w:val="22"/>
          <w:szCs w:val="22"/>
        </w:rPr>
        <w:tab/>
        <w:t xml:space="preserve">Implementation of conservation/research projects using satellite telemetry makes an important contribution to the achievement of Target 15 in the </w:t>
      </w:r>
      <w:r w:rsidR="005A4EA2">
        <w:rPr>
          <w:rFonts w:cs="Arial"/>
          <w:sz w:val="22"/>
          <w:szCs w:val="22"/>
        </w:rPr>
        <w:t>SPMS</w:t>
      </w:r>
      <w:r w:rsidR="00362E7A" w:rsidRPr="00771530">
        <w:rPr>
          <w:rFonts w:cs="Arial"/>
          <w:sz w:val="22"/>
          <w:szCs w:val="22"/>
        </w:rPr>
        <w:t>, which in turn supports Target 19 in the Strategic Plan for Biodiversity.  These targets concern the improvement of science, technology and knowledge-sharing in support of conservation goals; and the CMS national reports show evidence (albeit qualitative) of positive progress specifically towards better understanding and management of migratory species.</w:t>
      </w:r>
    </w:p>
    <w:p w14:paraId="40711B74" w14:textId="77777777" w:rsidR="00901315" w:rsidRPr="00771530" w:rsidRDefault="00901315" w:rsidP="00901315">
      <w:pPr>
        <w:rPr>
          <w:rFonts w:cs="Arial"/>
          <w:sz w:val="22"/>
          <w:szCs w:val="22"/>
        </w:rPr>
      </w:pPr>
    </w:p>
    <w:p w14:paraId="4E370BE1" w14:textId="77777777" w:rsidR="00901315" w:rsidRPr="00771530" w:rsidRDefault="00901315" w:rsidP="00901315">
      <w:pPr>
        <w:ind w:left="448" w:hanging="448"/>
        <w:jc w:val="both"/>
        <w:rPr>
          <w:rFonts w:cs="Arial"/>
          <w:sz w:val="22"/>
          <w:szCs w:val="22"/>
          <w:u w:val="single"/>
        </w:rPr>
      </w:pPr>
      <w:r w:rsidRPr="00771530">
        <w:rPr>
          <w:rFonts w:cs="Arial"/>
          <w:sz w:val="22"/>
          <w:szCs w:val="22"/>
          <w:u w:val="single"/>
        </w:rPr>
        <w:t>Mobili</w:t>
      </w:r>
      <w:r w:rsidR="008C1B72">
        <w:rPr>
          <w:rFonts w:cs="Arial"/>
          <w:sz w:val="22"/>
          <w:szCs w:val="22"/>
          <w:u w:val="single"/>
        </w:rPr>
        <w:t>z</w:t>
      </w:r>
      <w:r w:rsidRPr="00771530">
        <w:rPr>
          <w:rFonts w:cs="Arial"/>
          <w:sz w:val="22"/>
          <w:szCs w:val="22"/>
          <w:u w:val="single"/>
        </w:rPr>
        <w:t>ation of resources</w:t>
      </w:r>
    </w:p>
    <w:p w14:paraId="30CF8F4E" w14:textId="77777777" w:rsidR="00901315" w:rsidRPr="00771530" w:rsidRDefault="00901315" w:rsidP="00901315">
      <w:pPr>
        <w:ind w:left="448" w:hanging="448"/>
        <w:jc w:val="both"/>
        <w:rPr>
          <w:rFonts w:cs="Arial"/>
          <w:sz w:val="22"/>
          <w:szCs w:val="22"/>
        </w:rPr>
      </w:pPr>
    </w:p>
    <w:p w14:paraId="25B971A3" w14:textId="77777777" w:rsidR="00901315" w:rsidRPr="00771530" w:rsidRDefault="00771530" w:rsidP="00901315">
      <w:pPr>
        <w:ind w:left="448" w:hanging="448"/>
        <w:jc w:val="both"/>
        <w:rPr>
          <w:rFonts w:cs="Arial"/>
          <w:sz w:val="22"/>
          <w:szCs w:val="22"/>
        </w:rPr>
      </w:pPr>
      <w:r w:rsidRPr="00771530">
        <w:rPr>
          <w:rFonts w:cs="Arial"/>
          <w:sz w:val="22"/>
          <w:szCs w:val="22"/>
        </w:rPr>
        <w:t>2</w:t>
      </w:r>
      <w:r w:rsidR="00A14D53">
        <w:rPr>
          <w:rFonts w:cs="Arial"/>
          <w:sz w:val="22"/>
          <w:szCs w:val="22"/>
        </w:rPr>
        <w:t>7</w:t>
      </w:r>
      <w:r w:rsidR="00901315" w:rsidRPr="00771530">
        <w:rPr>
          <w:rFonts w:cs="Arial"/>
          <w:sz w:val="22"/>
          <w:szCs w:val="22"/>
        </w:rPr>
        <w:t>.</w:t>
      </w:r>
      <w:r w:rsidR="00901315" w:rsidRPr="00771530">
        <w:rPr>
          <w:rFonts w:cs="Arial"/>
          <w:sz w:val="22"/>
          <w:szCs w:val="22"/>
        </w:rPr>
        <w:tab/>
        <w:t>The report format contains six questions about resource mobili</w:t>
      </w:r>
      <w:r w:rsidR="008C1B72">
        <w:rPr>
          <w:rFonts w:cs="Arial"/>
          <w:sz w:val="22"/>
          <w:szCs w:val="22"/>
        </w:rPr>
        <w:t>z</w:t>
      </w:r>
      <w:r w:rsidR="00901315" w:rsidRPr="00771530">
        <w:rPr>
          <w:rFonts w:cs="Arial"/>
          <w:sz w:val="22"/>
          <w:szCs w:val="22"/>
        </w:rPr>
        <w:t>ation (none of them explicitly limited to the reporting period, so the information in responses may relate to earlier triennia).  Seventy-three Parties indicated that they had made financial resources available for conservation activities having direct benefits for migratory species within their country.  It appears that in most if not all cases “having direct benefits” has been interpreted as “having been the target of activities”, rather than reflecting any assessment of the actual conservation outcomes.</w:t>
      </w:r>
    </w:p>
    <w:p w14:paraId="56494CEF" w14:textId="77777777" w:rsidR="00901315" w:rsidRPr="00771530" w:rsidRDefault="00901315" w:rsidP="00901315">
      <w:pPr>
        <w:ind w:left="448" w:hanging="448"/>
        <w:jc w:val="both"/>
        <w:rPr>
          <w:rFonts w:cs="Arial"/>
          <w:sz w:val="22"/>
          <w:szCs w:val="22"/>
        </w:rPr>
      </w:pPr>
    </w:p>
    <w:p w14:paraId="55195B0B" w14:textId="77777777" w:rsidR="00901315" w:rsidRPr="00771530" w:rsidRDefault="00771530" w:rsidP="00901315">
      <w:pPr>
        <w:ind w:left="448" w:hanging="448"/>
        <w:jc w:val="both"/>
        <w:rPr>
          <w:rFonts w:cs="Arial"/>
          <w:sz w:val="22"/>
          <w:szCs w:val="22"/>
        </w:rPr>
      </w:pPr>
      <w:r w:rsidRPr="00771530">
        <w:rPr>
          <w:rFonts w:cs="Arial"/>
          <w:sz w:val="22"/>
          <w:szCs w:val="22"/>
        </w:rPr>
        <w:t>2</w:t>
      </w:r>
      <w:r w:rsidR="00A14D53">
        <w:rPr>
          <w:rFonts w:cs="Arial"/>
          <w:sz w:val="22"/>
          <w:szCs w:val="22"/>
        </w:rPr>
        <w:t>8</w:t>
      </w:r>
      <w:r w:rsidR="00901315" w:rsidRPr="00771530">
        <w:rPr>
          <w:rFonts w:cs="Arial"/>
          <w:sz w:val="22"/>
          <w:szCs w:val="22"/>
        </w:rPr>
        <w:t>.</w:t>
      </w:r>
      <w:r w:rsidR="00901315" w:rsidRPr="00771530">
        <w:rPr>
          <w:rFonts w:cs="Arial"/>
          <w:sz w:val="22"/>
          <w:szCs w:val="22"/>
        </w:rPr>
        <w:tab/>
        <w:t>All Parties answering this question in the South &amp; Central America &amp; Caribbean region gave a positive answer, with Europe being the region with the next highest proportion and Oceania with the lowest.  Some responses made reference to funding from NGOs as well as from government sources, and some mentioned activities undertaken on a multi-country basis.  A few gave figures for the size of funding involved, but not enough to admit any analysis.  Types of activity involved included the following:</w:t>
      </w:r>
    </w:p>
    <w:p w14:paraId="48C69641" w14:textId="77777777" w:rsidR="00901315" w:rsidRPr="00771530" w:rsidRDefault="00901315" w:rsidP="00901315">
      <w:pPr>
        <w:ind w:left="720" w:hanging="720"/>
        <w:rPr>
          <w:rFonts w:cs="Arial"/>
          <w:sz w:val="10"/>
          <w:szCs w:val="10"/>
        </w:rPr>
      </w:pPr>
    </w:p>
    <w:p w14:paraId="057F0C9D"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species survey and population census;</w:t>
      </w:r>
    </w:p>
    <w:p w14:paraId="7613A412"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species monitoring;</w:t>
      </w:r>
    </w:p>
    <w:p w14:paraId="6A8A39DA"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species reintroduction;</w:t>
      </w:r>
    </w:p>
    <w:p w14:paraId="53DA4F03"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disease monitoring and control;</w:t>
      </w:r>
    </w:p>
    <w:p w14:paraId="791618BA"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lastRenderedPageBreak/>
        <w:t>other threat mitigation measures;</w:t>
      </w:r>
    </w:p>
    <w:p w14:paraId="5FBF9453"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individual animal rescue/rehabilitation (eg strandings, collisions);</w:t>
      </w:r>
    </w:p>
    <w:p w14:paraId="53AA1EA0"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habitat survey;</w:t>
      </w:r>
    </w:p>
    <w:p w14:paraId="4065BE3C"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protected area establishment (including purchase), management and monitoring;</w:t>
      </w:r>
    </w:p>
    <w:p w14:paraId="1A3FE309"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habitat creation/restoration;</w:t>
      </w:r>
    </w:p>
    <w:p w14:paraId="1FF57E94"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development of conservation plans;</w:t>
      </w:r>
    </w:p>
    <w:p w14:paraId="2805B0FC"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law enforcement;</w:t>
      </w:r>
    </w:p>
    <w:p w14:paraId="7D637661"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public awareness, education and training;</w:t>
      </w:r>
    </w:p>
    <w:p w14:paraId="6BC16856"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ecotourism;</w:t>
      </w:r>
    </w:p>
    <w:p w14:paraId="75CCAA3E"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convening meetings and workshops;</w:t>
      </w:r>
    </w:p>
    <w:p w14:paraId="47AC083B" w14:textId="77777777" w:rsidR="00901315" w:rsidRPr="00771530" w:rsidRDefault="00901315" w:rsidP="00901315">
      <w:pPr>
        <w:pStyle w:val="ListParagraph"/>
        <w:numPr>
          <w:ilvl w:val="0"/>
          <w:numId w:val="4"/>
        </w:numPr>
        <w:rPr>
          <w:rFonts w:ascii="Arial" w:hAnsi="Arial" w:cs="Arial"/>
          <w:sz w:val="21"/>
          <w:szCs w:val="21"/>
        </w:rPr>
      </w:pPr>
      <w:r w:rsidRPr="00771530">
        <w:rPr>
          <w:rFonts w:ascii="Arial" w:hAnsi="Arial" w:cs="Arial"/>
          <w:sz w:val="21"/>
          <w:szCs w:val="21"/>
        </w:rPr>
        <w:t>establishment of institutions or networks.</w:t>
      </w:r>
    </w:p>
    <w:p w14:paraId="2DC49514" w14:textId="77777777" w:rsidR="00901315" w:rsidRPr="00771530" w:rsidRDefault="00901315" w:rsidP="00901315">
      <w:pPr>
        <w:ind w:left="448" w:hanging="448"/>
        <w:jc w:val="both"/>
        <w:rPr>
          <w:rFonts w:cs="Arial"/>
          <w:sz w:val="22"/>
          <w:szCs w:val="22"/>
        </w:rPr>
      </w:pPr>
    </w:p>
    <w:p w14:paraId="6997EB57" w14:textId="77777777" w:rsidR="00901315" w:rsidRPr="00771530" w:rsidRDefault="00771530" w:rsidP="00901315">
      <w:pPr>
        <w:ind w:left="448" w:hanging="448"/>
        <w:jc w:val="both"/>
        <w:rPr>
          <w:rFonts w:cs="Arial"/>
          <w:sz w:val="22"/>
          <w:szCs w:val="22"/>
        </w:rPr>
      </w:pPr>
      <w:r w:rsidRPr="00771530">
        <w:rPr>
          <w:rFonts w:cs="Arial"/>
          <w:sz w:val="22"/>
          <w:szCs w:val="22"/>
        </w:rPr>
        <w:t>2</w:t>
      </w:r>
      <w:r w:rsidR="00A14D53">
        <w:rPr>
          <w:rFonts w:cs="Arial"/>
          <w:sz w:val="22"/>
          <w:szCs w:val="22"/>
        </w:rPr>
        <w:t>9</w:t>
      </w:r>
      <w:r w:rsidR="00901315" w:rsidRPr="00771530">
        <w:rPr>
          <w:rFonts w:cs="Arial"/>
          <w:sz w:val="22"/>
          <w:szCs w:val="22"/>
        </w:rPr>
        <w:t>.</w:t>
      </w:r>
      <w:r w:rsidR="00901315" w:rsidRPr="00771530">
        <w:rPr>
          <w:rFonts w:cs="Arial"/>
          <w:sz w:val="22"/>
          <w:szCs w:val="22"/>
        </w:rPr>
        <w:tab/>
        <w:t>Six Parties reported that they had made voluntary contributions to the CMS Trust Fund to support requests from developing countries and countries with economies in transition.  Fifteen Parties indicated that they had made financial contributions to support conservation activities for migratory species in other countries.  Where activities were specified they included the following:</w:t>
      </w:r>
    </w:p>
    <w:p w14:paraId="042C68F6" w14:textId="77777777" w:rsidR="00901315" w:rsidRPr="00771530" w:rsidRDefault="00901315" w:rsidP="00901315">
      <w:pPr>
        <w:ind w:left="720" w:hanging="720"/>
        <w:rPr>
          <w:rFonts w:cs="Arial"/>
          <w:sz w:val="10"/>
          <w:szCs w:val="10"/>
        </w:rPr>
      </w:pPr>
    </w:p>
    <w:p w14:paraId="36C35E9D" w14:textId="77777777" w:rsidR="00901315" w:rsidRPr="00771530" w:rsidRDefault="00901315" w:rsidP="00901315">
      <w:pPr>
        <w:pStyle w:val="ListParagraph"/>
        <w:numPr>
          <w:ilvl w:val="0"/>
          <w:numId w:val="5"/>
        </w:numPr>
        <w:rPr>
          <w:rFonts w:ascii="Arial" w:hAnsi="Arial" w:cs="Arial"/>
          <w:sz w:val="21"/>
          <w:szCs w:val="21"/>
        </w:rPr>
      </w:pPr>
      <w:r w:rsidRPr="00771530">
        <w:rPr>
          <w:rFonts w:ascii="Arial" w:hAnsi="Arial" w:cs="Arial"/>
          <w:sz w:val="21"/>
          <w:szCs w:val="21"/>
        </w:rPr>
        <w:t>species survey/biodiversity assessment;</w:t>
      </w:r>
    </w:p>
    <w:p w14:paraId="00117E30" w14:textId="77777777" w:rsidR="00901315" w:rsidRPr="00771530" w:rsidRDefault="00901315" w:rsidP="00901315">
      <w:pPr>
        <w:pStyle w:val="ListParagraph"/>
        <w:numPr>
          <w:ilvl w:val="0"/>
          <w:numId w:val="5"/>
        </w:numPr>
        <w:rPr>
          <w:rFonts w:ascii="Arial" w:hAnsi="Arial" w:cs="Arial"/>
          <w:sz w:val="21"/>
          <w:szCs w:val="21"/>
        </w:rPr>
      </w:pPr>
      <w:r w:rsidRPr="00771530">
        <w:rPr>
          <w:rFonts w:ascii="Arial" w:hAnsi="Arial" w:cs="Arial"/>
          <w:sz w:val="21"/>
          <w:szCs w:val="21"/>
        </w:rPr>
        <w:t>monitoring;</w:t>
      </w:r>
    </w:p>
    <w:p w14:paraId="3A22A00D" w14:textId="77777777" w:rsidR="00901315" w:rsidRPr="00771530" w:rsidRDefault="00901315" w:rsidP="00901315">
      <w:pPr>
        <w:pStyle w:val="ListParagraph"/>
        <w:numPr>
          <w:ilvl w:val="0"/>
          <w:numId w:val="5"/>
        </w:numPr>
        <w:rPr>
          <w:rFonts w:ascii="Arial" w:hAnsi="Arial" w:cs="Arial"/>
          <w:sz w:val="21"/>
          <w:szCs w:val="21"/>
        </w:rPr>
      </w:pPr>
      <w:r w:rsidRPr="00771530">
        <w:rPr>
          <w:rFonts w:ascii="Arial" w:hAnsi="Arial" w:cs="Arial"/>
          <w:sz w:val="21"/>
          <w:szCs w:val="21"/>
        </w:rPr>
        <w:t>animal translocation;</w:t>
      </w:r>
    </w:p>
    <w:p w14:paraId="5D62D76F" w14:textId="77777777" w:rsidR="00901315" w:rsidRPr="00771530" w:rsidRDefault="00901315" w:rsidP="00901315">
      <w:pPr>
        <w:pStyle w:val="ListParagraph"/>
        <w:numPr>
          <w:ilvl w:val="0"/>
          <w:numId w:val="5"/>
        </w:numPr>
        <w:rPr>
          <w:rFonts w:ascii="Arial" w:hAnsi="Arial" w:cs="Arial"/>
          <w:sz w:val="21"/>
          <w:szCs w:val="21"/>
        </w:rPr>
      </w:pPr>
      <w:r w:rsidRPr="00771530">
        <w:rPr>
          <w:rFonts w:ascii="Arial" w:hAnsi="Arial" w:cs="Arial"/>
          <w:sz w:val="21"/>
          <w:szCs w:val="21"/>
        </w:rPr>
        <w:t>captive breeding &amp; release;</w:t>
      </w:r>
    </w:p>
    <w:p w14:paraId="33EF9418" w14:textId="77777777" w:rsidR="00901315" w:rsidRPr="00771530" w:rsidRDefault="00901315" w:rsidP="00901315">
      <w:pPr>
        <w:pStyle w:val="ListParagraph"/>
        <w:numPr>
          <w:ilvl w:val="0"/>
          <w:numId w:val="5"/>
        </w:numPr>
        <w:rPr>
          <w:rFonts w:ascii="Arial" w:hAnsi="Arial" w:cs="Arial"/>
          <w:sz w:val="21"/>
          <w:szCs w:val="21"/>
        </w:rPr>
      </w:pPr>
      <w:r w:rsidRPr="00771530">
        <w:rPr>
          <w:rFonts w:ascii="Arial" w:hAnsi="Arial" w:cs="Arial"/>
          <w:sz w:val="21"/>
          <w:szCs w:val="21"/>
        </w:rPr>
        <w:t>habitat restoration;</w:t>
      </w:r>
    </w:p>
    <w:p w14:paraId="09111D3C" w14:textId="77777777" w:rsidR="00901315" w:rsidRPr="00771530" w:rsidRDefault="00901315" w:rsidP="00901315">
      <w:pPr>
        <w:pStyle w:val="ListParagraph"/>
        <w:numPr>
          <w:ilvl w:val="0"/>
          <w:numId w:val="5"/>
        </w:numPr>
        <w:rPr>
          <w:rFonts w:ascii="Arial" w:hAnsi="Arial" w:cs="Arial"/>
          <w:sz w:val="21"/>
          <w:szCs w:val="21"/>
        </w:rPr>
      </w:pPr>
      <w:r w:rsidRPr="00771530">
        <w:rPr>
          <w:rFonts w:ascii="Arial" w:hAnsi="Arial" w:cs="Arial"/>
          <w:sz w:val="21"/>
          <w:szCs w:val="21"/>
        </w:rPr>
        <w:t>development of action plans;</w:t>
      </w:r>
    </w:p>
    <w:p w14:paraId="709B4955" w14:textId="77777777" w:rsidR="00901315" w:rsidRPr="00901315" w:rsidRDefault="00901315" w:rsidP="00901315">
      <w:pPr>
        <w:pStyle w:val="ListParagraph"/>
        <w:numPr>
          <w:ilvl w:val="0"/>
          <w:numId w:val="5"/>
        </w:numPr>
        <w:rPr>
          <w:rFonts w:ascii="Arial" w:hAnsi="Arial" w:cs="Arial"/>
          <w:sz w:val="21"/>
          <w:szCs w:val="21"/>
        </w:rPr>
      </w:pPr>
      <w:r w:rsidRPr="00901315">
        <w:rPr>
          <w:rFonts w:ascii="Arial" w:hAnsi="Arial" w:cs="Arial"/>
          <w:sz w:val="21"/>
          <w:szCs w:val="21"/>
        </w:rPr>
        <w:t>research, including on threats;</w:t>
      </w:r>
    </w:p>
    <w:p w14:paraId="1059271C" w14:textId="77777777" w:rsidR="00901315" w:rsidRPr="00901315" w:rsidRDefault="00901315" w:rsidP="00901315">
      <w:pPr>
        <w:pStyle w:val="ListParagraph"/>
        <w:numPr>
          <w:ilvl w:val="0"/>
          <w:numId w:val="5"/>
        </w:numPr>
        <w:rPr>
          <w:rFonts w:ascii="Arial" w:hAnsi="Arial" w:cs="Arial"/>
          <w:sz w:val="21"/>
          <w:szCs w:val="21"/>
        </w:rPr>
      </w:pPr>
      <w:r w:rsidRPr="00901315">
        <w:rPr>
          <w:rFonts w:ascii="Arial" w:hAnsi="Arial" w:cs="Arial"/>
          <w:sz w:val="21"/>
          <w:szCs w:val="21"/>
        </w:rPr>
        <w:t>capacity building.</w:t>
      </w:r>
    </w:p>
    <w:p w14:paraId="473E1FEF" w14:textId="77777777" w:rsidR="00901315" w:rsidRPr="00870155" w:rsidRDefault="00901315" w:rsidP="00901315">
      <w:pPr>
        <w:ind w:left="720" w:hanging="720"/>
        <w:rPr>
          <w:rFonts w:cs="Arial"/>
          <w:sz w:val="22"/>
          <w:szCs w:val="22"/>
        </w:rPr>
      </w:pPr>
    </w:p>
    <w:p w14:paraId="355BE798" w14:textId="77777777" w:rsidR="00901315" w:rsidRPr="00771530" w:rsidRDefault="00A14D53" w:rsidP="00901315">
      <w:pPr>
        <w:ind w:left="448" w:hanging="448"/>
        <w:jc w:val="both"/>
        <w:rPr>
          <w:rFonts w:cs="Arial"/>
          <w:sz w:val="22"/>
          <w:szCs w:val="22"/>
        </w:rPr>
      </w:pPr>
      <w:r>
        <w:rPr>
          <w:rFonts w:cs="Arial"/>
          <w:sz w:val="22"/>
          <w:szCs w:val="22"/>
        </w:rPr>
        <w:t>30</w:t>
      </w:r>
      <w:r w:rsidR="00901315" w:rsidRPr="00771530">
        <w:rPr>
          <w:rFonts w:cs="Arial"/>
          <w:sz w:val="22"/>
          <w:szCs w:val="22"/>
        </w:rPr>
        <w:t>.</w:t>
      </w:r>
      <w:r w:rsidR="00901315" w:rsidRPr="00771530">
        <w:rPr>
          <w:rFonts w:cs="Arial"/>
          <w:sz w:val="22"/>
          <w:szCs w:val="22"/>
        </w:rPr>
        <w:tab/>
        <w:t>Twenty-four Parties indicated that they had provided technical and/or scientific assistance to developing countries to facilitate migratory species initiatives.  Several developing countries themselves gave positive answers to this.  Types of assistance provided included the following:</w:t>
      </w:r>
    </w:p>
    <w:p w14:paraId="21D08EE8" w14:textId="77777777" w:rsidR="00901315" w:rsidRPr="00771530" w:rsidRDefault="00901315" w:rsidP="00901315">
      <w:pPr>
        <w:rPr>
          <w:rFonts w:cs="Arial"/>
          <w:sz w:val="10"/>
          <w:szCs w:val="10"/>
        </w:rPr>
      </w:pPr>
    </w:p>
    <w:p w14:paraId="59072835"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convening meetings/workshops;</w:t>
      </w:r>
    </w:p>
    <w:p w14:paraId="029E4F80"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support for/coordination of international species initiatives under CMS and its Agreements;</w:t>
      </w:r>
    </w:p>
    <w:p w14:paraId="0E5C979A"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exchange of experience through joint participation in international projects;</w:t>
      </w:r>
    </w:p>
    <w:p w14:paraId="1130A7F9" w14:textId="1A3C5E0C"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capacity</w:t>
      </w:r>
      <w:r w:rsidR="005A4EA2">
        <w:rPr>
          <w:rFonts w:ascii="Arial" w:hAnsi="Arial" w:cs="Arial"/>
          <w:sz w:val="21"/>
          <w:szCs w:val="21"/>
        </w:rPr>
        <w:t>-</w:t>
      </w:r>
      <w:r w:rsidRPr="00771530">
        <w:rPr>
          <w:rFonts w:ascii="Arial" w:hAnsi="Arial" w:cs="Arial"/>
          <w:sz w:val="21"/>
          <w:szCs w:val="21"/>
        </w:rPr>
        <w:t>building/training and institutional development;</w:t>
      </w:r>
    </w:p>
    <w:p w14:paraId="12A8A858" w14:textId="18F0B4D3"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support of moves towards M</w:t>
      </w:r>
      <w:r w:rsidR="005A4EA2">
        <w:rPr>
          <w:rFonts w:ascii="Arial" w:hAnsi="Arial" w:cs="Arial"/>
          <w:sz w:val="21"/>
          <w:szCs w:val="21"/>
        </w:rPr>
        <w:t>O</w:t>
      </w:r>
      <w:r w:rsidRPr="00771530">
        <w:rPr>
          <w:rFonts w:ascii="Arial" w:hAnsi="Arial" w:cs="Arial"/>
          <w:sz w:val="21"/>
          <w:szCs w:val="21"/>
        </w:rPr>
        <w:t>U signing;</w:t>
      </w:r>
    </w:p>
    <w:p w14:paraId="6B4EE3E0"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development of action plans;</w:t>
      </w:r>
    </w:p>
    <w:p w14:paraId="4C88F326"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development of Appendix listing proposals;</w:t>
      </w:r>
    </w:p>
    <w:p w14:paraId="3CE4CC80"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field research &amp; survey</w:t>
      </w:r>
      <w:r w:rsidR="005A4EA2">
        <w:rPr>
          <w:rFonts w:ascii="Arial" w:hAnsi="Arial" w:cs="Arial"/>
          <w:sz w:val="21"/>
          <w:szCs w:val="21"/>
        </w:rPr>
        <w:t>s</w:t>
      </w:r>
      <w:r w:rsidRPr="00771530">
        <w:rPr>
          <w:rFonts w:ascii="Arial" w:hAnsi="Arial" w:cs="Arial"/>
          <w:sz w:val="21"/>
          <w:szCs w:val="21"/>
        </w:rPr>
        <w:t>;</w:t>
      </w:r>
    </w:p>
    <w:p w14:paraId="30862038"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satellite telemetry;</w:t>
      </w:r>
    </w:p>
    <w:p w14:paraId="248ED664"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captive breeding and release;</w:t>
      </w:r>
    </w:p>
    <w:p w14:paraId="16C39033"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forensic science (DNA) to support anti-poaching enforcement;</w:t>
      </w:r>
    </w:p>
    <w:p w14:paraId="677FAE25" w14:textId="77777777" w:rsidR="00901315" w:rsidRPr="00771530" w:rsidRDefault="00901315" w:rsidP="00901315">
      <w:pPr>
        <w:pStyle w:val="ListParagraph"/>
        <w:numPr>
          <w:ilvl w:val="0"/>
          <w:numId w:val="6"/>
        </w:numPr>
        <w:rPr>
          <w:rFonts w:ascii="Arial" w:hAnsi="Arial" w:cs="Arial"/>
          <w:sz w:val="21"/>
          <w:szCs w:val="21"/>
        </w:rPr>
      </w:pPr>
      <w:r w:rsidRPr="00771530">
        <w:rPr>
          <w:rFonts w:ascii="Arial" w:hAnsi="Arial" w:cs="Arial"/>
          <w:sz w:val="21"/>
          <w:szCs w:val="21"/>
        </w:rPr>
        <w:t>data access and sharing.</w:t>
      </w:r>
    </w:p>
    <w:p w14:paraId="2848B56F" w14:textId="77777777" w:rsidR="00901315" w:rsidRPr="00771530" w:rsidRDefault="00901315" w:rsidP="00901315">
      <w:pPr>
        <w:ind w:left="448" w:hanging="448"/>
        <w:jc w:val="both"/>
        <w:rPr>
          <w:rFonts w:cs="Arial"/>
          <w:sz w:val="22"/>
          <w:szCs w:val="22"/>
        </w:rPr>
      </w:pPr>
    </w:p>
    <w:p w14:paraId="08651DB2" w14:textId="77777777" w:rsidR="00901315" w:rsidRPr="00771530" w:rsidRDefault="00771530" w:rsidP="00901315">
      <w:pPr>
        <w:ind w:left="448" w:hanging="448"/>
        <w:jc w:val="both"/>
        <w:rPr>
          <w:rFonts w:cs="Arial"/>
          <w:sz w:val="22"/>
          <w:szCs w:val="22"/>
        </w:rPr>
      </w:pPr>
      <w:r w:rsidRPr="00771530">
        <w:rPr>
          <w:rFonts w:cs="Arial"/>
          <w:sz w:val="22"/>
          <w:szCs w:val="22"/>
        </w:rPr>
        <w:t>3</w:t>
      </w:r>
      <w:r w:rsidR="00A14D53">
        <w:rPr>
          <w:rFonts w:cs="Arial"/>
          <w:sz w:val="22"/>
          <w:szCs w:val="22"/>
        </w:rPr>
        <w:t>1</w:t>
      </w:r>
      <w:r w:rsidR="00901315" w:rsidRPr="00771530">
        <w:rPr>
          <w:rFonts w:cs="Arial"/>
          <w:sz w:val="22"/>
          <w:szCs w:val="22"/>
        </w:rPr>
        <w:t>.</w:t>
      </w:r>
      <w:r w:rsidR="00901315" w:rsidRPr="00771530">
        <w:rPr>
          <w:rFonts w:cs="Arial"/>
          <w:sz w:val="22"/>
          <w:szCs w:val="22"/>
        </w:rPr>
        <w:tab/>
        <w:t>Nine Parties reported having received financial assistance from the CMS Trust Fund, for purposes including:</w:t>
      </w:r>
    </w:p>
    <w:p w14:paraId="2A30FC40" w14:textId="77777777" w:rsidR="00901315" w:rsidRPr="00771530" w:rsidRDefault="00901315" w:rsidP="00901315">
      <w:pPr>
        <w:ind w:left="720" w:hanging="720"/>
        <w:rPr>
          <w:rFonts w:cs="Arial"/>
          <w:sz w:val="10"/>
          <w:szCs w:val="10"/>
        </w:rPr>
      </w:pPr>
    </w:p>
    <w:p w14:paraId="3449DAC6" w14:textId="77777777" w:rsidR="00901315" w:rsidRPr="00771530" w:rsidRDefault="00901315" w:rsidP="00901315">
      <w:pPr>
        <w:pStyle w:val="ListParagraph"/>
        <w:numPr>
          <w:ilvl w:val="0"/>
          <w:numId w:val="7"/>
        </w:numPr>
        <w:autoSpaceDE w:val="0"/>
        <w:autoSpaceDN w:val="0"/>
        <w:adjustRightInd w:val="0"/>
        <w:rPr>
          <w:rFonts w:ascii="Arial" w:hAnsi="Arial" w:cs="Arial"/>
          <w:sz w:val="21"/>
          <w:szCs w:val="21"/>
        </w:rPr>
      </w:pPr>
      <w:r w:rsidRPr="00771530">
        <w:rPr>
          <w:rFonts w:ascii="Arial" w:hAnsi="Arial" w:cs="Arial"/>
          <w:sz w:val="21"/>
          <w:szCs w:val="21"/>
        </w:rPr>
        <w:t>marine turtles (unspecified);</w:t>
      </w:r>
    </w:p>
    <w:p w14:paraId="105AA843" w14:textId="77777777" w:rsidR="00901315" w:rsidRPr="00771530" w:rsidRDefault="00901315" w:rsidP="00901315">
      <w:pPr>
        <w:pStyle w:val="ListParagraph"/>
        <w:numPr>
          <w:ilvl w:val="0"/>
          <w:numId w:val="7"/>
        </w:numPr>
        <w:autoSpaceDE w:val="0"/>
        <w:autoSpaceDN w:val="0"/>
        <w:adjustRightInd w:val="0"/>
        <w:rPr>
          <w:rFonts w:ascii="Arial" w:hAnsi="Arial" w:cs="Arial"/>
          <w:sz w:val="21"/>
          <w:szCs w:val="21"/>
        </w:rPr>
      </w:pPr>
      <w:r w:rsidRPr="00771530">
        <w:rPr>
          <w:rFonts w:ascii="Arial" w:hAnsi="Arial" w:cs="Arial"/>
          <w:sz w:val="21"/>
          <w:szCs w:val="21"/>
        </w:rPr>
        <w:t>bird migration (unspecified);</w:t>
      </w:r>
    </w:p>
    <w:p w14:paraId="00F5CD03" w14:textId="77777777" w:rsidR="00901315" w:rsidRPr="00771530" w:rsidRDefault="00901315" w:rsidP="00901315">
      <w:pPr>
        <w:pStyle w:val="ListParagraph"/>
        <w:numPr>
          <w:ilvl w:val="0"/>
          <w:numId w:val="7"/>
        </w:numPr>
        <w:autoSpaceDE w:val="0"/>
        <w:autoSpaceDN w:val="0"/>
        <w:adjustRightInd w:val="0"/>
        <w:rPr>
          <w:rFonts w:ascii="Arial" w:hAnsi="Arial" w:cs="Arial"/>
          <w:sz w:val="21"/>
          <w:szCs w:val="21"/>
        </w:rPr>
      </w:pPr>
      <w:r w:rsidRPr="00771530">
        <w:rPr>
          <w:rFonts w:ascii="Arial" w:hAnsi="Arial" w:cs="Arial"/>
          <w:sz w:val="21"/>
          <w:szCs w:val="21"/>
        </w:rPr>
        <w:t>waterbird census;</w:t>
      </w:r>
    </w:p>
    <w:p w14:paraId="70C6A82E" w14:textId="77777777" w:rsidR="00901315" w:rsidRPr="00771530" w:rsidRDefault="00901315" w:rsidP="00901315">
      <w:pPr>
        <w:pStyle w:val="ListParagraph"/>
        <w:numPr>
          <w:ilvl w:val="0"/>
          <w:numId w:val="7"/>
        </w:numPr>
        <w:autoSpaceDE w:val="0"/>
        <w:autoSpaceDN w:val="0"/>
        <w:adjustRightInd w:val="0"/>
        <w:rPr>
          <w:rFonts w:ascii="Arial" w:hAnsi="Arial" w:cs="Arial"/>
          <w:sz w:val="21"/>
          <w:szCs w:val="21"/>
        </w:rPr>
      </w:pPr>
      <w:r w:rsidRPr="00771530">
        <w:rPr>
          <w:rFonts w:ascii="Arial" w:hAnsi="Arial" w:cs="Arial"/>
          <w:sz w:val="21"/>
          <w:szCs w:val="21"/>
        </w:rPr>
        <w:t>whales and dolphins (unspecified);</w:t>
      </w:r>
    </w:p>
    <w:p w14:paraId="102EE07B" w14:textId="1F705156" w:rsidR="00901315" w:rsidRPr="00771530" w:rsidRDefault="00901315" w:rsidP="00901315">
      <w:pPr>
        <w:pStyle w:val="ListParagraph"/>
        <w:numPr>
          <w:ilvl w:val="0"/>
          <w:numId w:val="7"/>
        </w:numPr>
        <w:autoSpaceDE w:val="0"/>
        <w:autoSpaceDN w:val="0"/>
        <w:adjustRightInd w:val="0"/>
        <w:rPr>
          <w:rFonts w:ascii="Arial" w:hAnsi="Arial" w:cs="Arial"/>
          <w:sz w:val="21"/>
          <w:szCs w:val="21"/>
        </w:rPr>
      </w:pPr>
      <w:r w:rsidRPr="00771530">
        <w:rPr>
          <w:rFonts w:ascii="Arial" w:hAnsi="Arial" w:cs="Arial"/>
          <w:sz w:val="21"/>
          <w:szCs w:val="21"/>
        </w:rPr>
        <w:t>awareness raising for sharks, dugongs and turtles;</w:t>
      </w:r>
    </w:p>
    <w:p w14:paraId="71667FC2" w14:textId="2EC92578" w:rsidR="00901315" w:rsidRDefault="00901315" w:rsidP="00901315">
      <w:pPr>
        <w:pStyle w:val="ListParagraph"/>
        <w:numPr>
          <w:ilvl w:val="0"/>
          <w:numId w:val="7"/>
        </w:numPr>
        <w:autoSpaceDE w:val="0"/>
        <w:autoSpaceDN w:val="0"/>
        <w:adjustRightInd w:val="0"/>
        <w:rPr>
          <w:rFonts w:ascii="Arial" w:hAnsi="Arial" w:cs="Arial"/>
          <w:sz w:val="21"/>
          <w:szCs w:val="21"/>
        </w:rPr>
      </w:pPr>
      <w:r w:rsidRPr="00771530">
        <w:rPr>
          <w:rFonts w:ascii="Arial" w:hAnsi="Arial" w:cs="Arial"/>
          <w:sz w:val="21"/>
          <w:szCs w:val="21"/>
        </w:rPr>
        <w:t>survey of dugong bycatch.</w:t>
      </w:r>
    </w:p>
    <w:p w14:paraId="75AF374B" w14:textId="77777777" w:rsidR="00DD771F" w:rsidRPr="00771530" w:rsidRDefault="00DD771F" w:rsidP="00DD771F">
      <w:pPr>
        <w:pStyle w:val="ListParagraph"/>
        <w:autoSpaceDE w:val="0"/>
        <w:autoSpaceDN w:val="0"/>
        <w:adjustRightInd w:val="0"/>
        <w:ind w:left="1080"/>
        <w:rPr>
          <w:rFonts w:ascii="Arial" w:hAnsi="Arial" w:cs="Arial"/>
          <w:sz w:val="21"/>
          <w:szCs w:val="21"/>
        </w:rPr>
      </w:pPr>
    </w:p>
    <w:p w14:paraId="2E32C7B7" w14:textId="24E27A08" w:rsidR="00901315" w:rsidRPr="00771530" w:rsidRDefault="00771530" w:rsidP="00901315">
      <w:pPr>
        <w:ind w:left="448" w:hanging="448"/>
        <w:jc w:val="both"/>
        <w:rPr>
          <w:rFonts w:cs="Arial"/>
          <w:sz w:val="22"/>
          <w:szCs w:val="22"/>
        </w:rPr>
      </w:pPr>
      <w:r w:rsidRPr="00771530">
        <w:rPr>
          <w:rFonts w:cs="Arial"/>
          <w:sz w:val="22"/>
          <w:szCs w:val="22"/>
        </w:rPr>
        <w:t>3</w:t>
      </w:r>
      <w:r w:rsidR="00A14D53">
        <w:rPr>
          <w:rFonts w:cs="Arial"/>
          <w:sz w:val="22"/>
          <w:szCs w:val="22"/>
        </w:rPr>
        <w:t>2</w:t>
      </w:r>
      <w:r w:rsidR="00901315" w:rsidRPr="00771530">
        <w:rPr>
          <w:rFonts w:cs="Arial"/>
          <w:sz w:val="22"/>
          <w:szCs w:val="22"/>
        </w:rPr>
        <w:t>.</w:t>
      </w:r>
      <w:r w:rsidR="00901315" w:rsidRPr="00771530">
        <w:rPr>
          <w:rFonts w:cs="Arial"/>
          <w:sz w:val="22"/>
          <w:szCs w:val="22"/>
        </w:rPr>
        <w:tab/>
        <w:t>Forty-five Parties indicated that they had received financial assistance from sources other than the CMS Secretariat for migratory species activity.  This represents 51</w:t>
      </w:r>
      <w:r w:rsidR="005A4EA2">
        <w:rPr>
          <w:rFonts w:cs="Arial"/>
          <w:sz w:val="22"/>
          <w:szCs w:val="22"/>
        </w:rPr>
        <w:t xml:space="preserve"> per cent</w:t>
      </w:r>
      <w:r w:rsidR="00901315" w:rsidRPr="00771530">
        <w:rPr>
          <w:rFonts w:cs="Arial"/>
          <w:sz w:val="22"/>
          <w:szCs w:val="22"/>
        </w:rPr>
        <w:t xml:space="preserve"> of the Parties </w:t>
      </w:r>
      <w:r w:rsidR="00901315" w:rsidRPr="00771530">
        <w:rPr>
          <w:rFonts w:cs="Arial"/>
          <w:sz w:val="22"/>
          <w:szCs w:val="22"/>
        </w:rPr>
        <w:lastRenderedPageBreak/>
        <w:t xml:space="preserve">submitting reports, and is a considerable increase on the total of 28 </w:t>
      </w:r>
      <w:r w:rsidR="005A4EA2">
        <w:rPr>
          <w:rFonts w:cs="Arial"/>
          <w:sz w:val="22"/>
          <w:szCs w:val="22"/>
        </w:rPr>
        <w:t>that</w:t>
      </w:r>
      <w:r w:rsidR="005A4EA2" w:rsidRPr="00771530">
        <w:rPr>
          <w:rFonts w:cs="Arial"/>
          <w:sz w:val="22"/>
          <w:szCs w:val="22"/>
        </w:rPr>
        <w:t xml:space="preserve"> </w:t>
      </w:r>
      <w:r w:rsidR="00901315" w:rsidRPr="00771530">
        <w:rPr>
          <w:rFonts w:cs="Arial"/>
          <w:sz w:val="22"/>
          <w:szCs w:val="22"/>
        </w:rPr>
        <w:t>gave this response in their reports for the previous triennium (although as noted above</w:t>
      </w:r>
      <w:r w:rsidR="00B76E4A">
        <w:rPr>
          <w:rFonts w:cs="Arial"/>
          <w:sz w:val="22"/>
          <w:szCs w:val="22"/>
        </w:rPr>
        <w:t>,</w:t>
      </w:r>
      <w:r w:rsidR="00901315" w:rsidRPr="00771530">
        <w:rPr>
          <w:rFonts w:cs="Arial"/>
          <w:sz w:val="22"/>
          <w:szCs w:val="22"/>
        </w:rPr>
        <w:t xml:space="preserve"> the responses do not necessarily all relate to the most recent triennium).  Given general global funding trends, this might be an encouraging signal about the availability and/or willingness of external sources to support migratory species conservation efforts, particularly given the (at best) static picture shown by the data in the reports on the ability of the CMS itself to be such a source.</w:t>
      </w:r>
    </w:p>
    <w:p w14:paraId="6D2487A7" w14:textId="77777777" w:rsidR="00901315" w:rsidRPr="00771530" w:rsidRDefault="00901315" w:rsidP="00901315">
      <w:pPr>
        <w:ind w:left="448" w:hanging="448"/>
        <w:jc w:val="both"/>
        <w:rPr>
          <w:rFonts w:cs="Arial"/>
          <w:sz w:val="22"/>
          <w:szCs w:val="22"/>
        </w:rPr>
      </w:pPr>
    </w:p>
    <w:p w14:paraId="2D74F925" w14:textId="77777777" w:rsidR="00901315" w:rsidRPr="00771530" w:rsidRDefault="00771530" w:rsidP="00901315">
      <w:pPr>
        <w:ind w:left="448" w:hanging="448"/>
        <w:jc w:val="both"/>
        <w:rPr>
          <w:rFonts w:cs="Arial"/>
          <w:sz w:val="22"/>
          <w:szCs w:val="22"/>
        </w:rPr>
      </w:pPr>
      <w:r w:rsidRPr="00771530">
        <w:rPr>
          <w:rFonts w:cs="Arial"/>
          <w:sz w:val="22"/>
          <w:szCs w:val="22"/>
        </w:rPr>
        <w:t>3</w:t>
      </w:r>
      <w:r w:rsidR="00A14D53">
        <w:rPr>
          <w:rFonts w:cs="Arial"/>
          <w:sz w:val="22"/>
          <w:szCs w:val="22"/>
        </w:rPr>
        <w:t>3</w:t>
      </w:r>
      <w:r w:rsidR="00901315" w:rsidRPr="00771530">
        <w:rPr>
          <w:rFonts w:cs="Arial"/>
          <w:sz w:val="22"/>
          <w:szCs w:val="22"/>
        </w:rPr>
        <w:t>.</w:t>
      </w:r>
      <w:r w:rsidR="00901315" w:rsidRPr="00771530">
        <w:rPr>
          <w:rFonts w:cs="Arial"/>
          <w:sz w:val="22"/>
          <w:szCs w:val="22"/>
        </w:rPr>
        <w:tab/>
        <w:t>Target 16 in the Strategic Plan for Migratory Species seeks a “substantial increase” in the mobili</w:t>
      </w:r>
      <w:r w:rsidR="008C1B72">
        <w:rPr>
          <w:rFonts w:cs="Arial"/>
          <w:sz w:val="22"/>
          <w:szCs w:val="22"/>
        </w:rPr>
        <w:t>z</w:t>
      </w:r>
      <w:r w:rsidR="00901315" w:rsidRPr="00771530">
        <w:rPr>
          <w:rFonts w:cs="Arial"/>
          <w:sz w:val="22"/>
          <w:szCs w:val="22"/>
        </w:rPr>
        <w:t>ation of resources from all sources to implement the other objectives in the Plan, which will in turn contribute to the achievement of Target 20 in the Strategic Plan for Biodiversity.  (Target 20 is expressed in similar terms to SPMS target 16, but for biodiversity as a whole).  The CMS national reports to COP12 indicate an apparent increase in the number of countries where relevant mobili</w:t>
      </w:r>
      <w:r w:rsidR="008C1B72">
        <w:rPr>
          <w:rFonts w:cs="Arial"/>
          <w:sz w:val="22"/>
          <w:szCs w:val="22"/>
        </w:rPr>
        <w:t>z</w:t>
      </w:r>
      <w:r w:rsidR="00901315" w:rsidRPr="00771530">
        <w:rPr>
          <w:rFonts w:cs="Arial"/>
          <w:sz w:val="22"/>
          <w:szCs w:val="22"/>
        </w:rPr>
        <w:t>ation has occurred: this may suggest some movement in the desired direction, but reflecting on whether or not the target is actually being achieved would require a method for quantifying the overall change in flows of funds involved, and currently neither the national reports nor any other existing process in CMS can offer this.</w:t>
      </w:r>
    </w:p>
    <w:p w14:paraId="7B86D46F" w14:textId="77777777" w:rsidR="00B473A2" w:rsidRPr="00771530" w:rsidRDefault="00B473A2" w:rsidP="00B473A2">
      <w:pPr>
        <w:rPr>
          <w:rFonts w:cs="Arial"/>
          <w:sz w:val="22"/>
          <w:szCs w:val="22"/>
        </w:rPr>
      </w:pPr>
    </w:p>
    <w:p w14:paraId="7E9097E9" w14:textId="77777777" w:rsidR="00B473A2" w:rsidRPr="00771530" w:rsidRDefault="00B473A2" w:rsidP="00B473A2">
      <w:pPr>
        <w:ind w:left="448" w:hanging="448"/>
        <w:jc w:val="both"/>
        <w:rPr>
          <w:rFonts w:cs="Arial"/>
          <w:sz w:val="22"/>
          <w:szCs w:val="22"/>
          <w:u w:val="single"/>
        </w:rPr>
      </w:pPr>
      <w:r w:rsidRPr="00771530">
        <w:rPr>
          <w:rFonts w:cs="Arial"/>
          <w:sz w:val="22"/>
          <w:szCs w:val="22"/>
          <w:u w:val="single"/>
        </w:rPr>
        <w:t>Implementation of COP Resolutions and Recommendations</w:t>
      </w:r>
    </w:p>
    <w:p w14:paraId="0C20D3F0" w14:textId="77777777" w:rsidR="00B473A2" w:rsidRPr="00771530" w:rsidRDefault="00B473A2" w:rsidP="00B473A2">
      <w:pPr>
        <w:ind w:left="448" w:hanging="448"/>
        <w:jc w:val="both"/>
        <w:rPr>
          <w:rFonts w:cs="Arial"/>
          <w:sz w:val="22"/>
          <w:szCs w:val="22"/>
        </w:rPr>
      </w:pPr>
    </w:p>
    <w:p w14:paraId="626F4F44" w14:textId="77777777" w:rsidR="00B473A2" w:rsidRPr="00771530" w:rsidRDefault="00771530" w:rsidP="00B473A2">
      <w:pPr>
        <w:ind w:left="448" w:hanging="448"/>
        <w:jc w:val="both"/>
        <w:rPr>
          <w:rFonts w:cs="Arial"/>
          <w:sz w:val="22"/>
          <w:szCs w:val="22"/>
        </w:rPr>
      </w:pPr>
      <w:r w:rsidRPr="00771530">
        <w:rPr>
          <w:rFonts w:cs="Arial"/>
          <w:sz w:val="22"/>
          <w:szCs w:val="22"/>
        </w:rPr>
        <w:t>3</w:t>
      </w:r>
      <w:r w:rsidR="00A14D53">
        <w:rPr>
          <w:rFonts w:cs="Arial"/>
          <w:sz w:val="22"/>
          <w:szCs w:val="22"/>
        </w:rPr>
        <w:t>4</w:t>
      </w:r>
      <w:r w:rsidR="00B473A2" w:rsidRPr="00771530">
        <w:rPr>
          <w:rFonts w:cs="Arial"/>
          <w:sz w:val="22"/>
          <w:szCs w:val="22"/>
        </w:rPr>
        <w:t>.</w:t>
      </w:r>
      <w:r w:rsidR="00B473A2" w:rsidRPr="00771530">
        <w:rPr>
          <w:rFonts w:cs="Arial"/>
          <w:sz w:val="22"/>
          <w:szCs w:val="22"/>
        </w:rPr>
        <w:tab/>
        <w:t>This section of the national reports can give particularly valuable insights into the implementation of the Convention in relation to priority issues elaborated by the COP.  It offers a basis for information-sharing and dialogue about past progress and future planning at the level of each individual Contracting Party, as well as contributing to the global overview.  The analysis in document UNEP/CMS/COP12/Inf.</w:t>
      </w:r>
      <w:r w:rsidR="00883B78" w:rsidRPr="00883B78">
        <w:rPr>
          <w:rFonts w:cs="Arial"/>
          <w:sz w:val="22"/>
          <w:szCs w:val="22"/>
        </w:rPr>
        <w:t>30</w:t>
      </w:r>
      <w:r w:rsidR="00B473A2" w:rsidRPr="00883B78">
        <w:rPr>
          <w:rFonts w:cs="Arial"/>
          <w:sz w:val="22"/>
          <w:szCs w:val="22"/>
        </w:rPr>
        <w:t>)</w:t>
      </w:r>
      <w:r w:rsidR="00B473A2" w:rsidRPr="00771530">
        <w:rPr>
          <w:rFonts w:cs="Arial"/>
          <w:sz w:val="22"/>
          <w:szCs w:val="22"/>
        </w:rPr>
        <w:t xml:space="preserve"> is therefore only one part of the potential use of this</w:t>
      </w:r>
      <w:r w:rsidR="00B473A2" w:rsidRPr="00B473A2">
        <w:rPr>
          <w:rFonts w:cs="Arial"/>
          <w:sz w:val="22"/>
          <w:szCs w:val="22"/>
        </w:rPr>
        <w:t xml:space="preserve"> information; and given the large volume of what is reported under this heading, the analysis itself can only represent a highly summari</w:t>
      </w:r>
      <w:r w:rsidR="008C1B72">
        <w:rPr>
          <w:rFonts w:cs="Arial"/>
          <w:sz w:val="22"/>
          <w:szCs w:val="22"/>
        </w:rPr>
        <w:t>z</w:t>
      </w:r>
      <w:r w:rsidR="00B473A2" w:rsidRPr="00B473A2">
        <w:rPr>
          <w:rFonts w:cs="Arial"/>
          <w:sz w:val="22"/>
          <w:szCs w:val="22"/>
        </w:rPr>
        <w:t xml:space="preserve">ed sample of it.  Users are therefore encouraged to </w:t>
      </w:r>
      <w:r w:rsidR="00B473A2" w:rsidRPr="00771530">
        <w:rPr>
          <w:rFonts w:cs="Arial"/>
          <w:sz w:val="22"/>
          <w:szCs w:val="22"/>
        </w:rPr>
        <w:t>examine the reports themselves for further depth; while more extensive global analysis of some of the individual Resolutions/Recommendations could also be useful separately in future.</w:t>
      </w:r>
    </w:p>
    <w:p w14:paraId="6340BC91" w14:textId="77777777" w:rsidR="00B473A2" w:rsidRPr="00771530" w:rsidRDefault="00B473A2" w:rsidP="00B473A2">
      <w:pPr>
        <w:ind w:left="448" w:hanging="448"/>
        <w:jc w:val="both"/>
        <w:rPr>
          <w:rFonts w:cs="Arial"/>
          <w:sz w:val="22"/>
          <w:szCs w:val="22"/>
        </w:rPr>
      </w:pPr>
    </w:p>
    <w:p w14:paraId="458EF0D9" w14:textId="77777777" w:rsidR="00B473A2" w:rsidRPr="00B473A2" w:rsidRDefault="00771530" w:rsidP="00B473A2">
      <w:pPr>
        <w:ind w:left="448" w:hanging="448"/>
        <w:jc w:val="both"/>
        <w:rPr>
          <w:rFonts w:cs="Arial"/>
          <w:sz w:val="22"/>
          <w:szCs w:val="22"/>
        </w:rPr>
      </w:pPr>
      <w:r w:rsidRPr="00771530">
        <w:rPr>
          <w:rFonts w:cs="Arial"/>
          <w:sz w:val="22"/>
          <w:szCs w:val="22"/>
        </w:rPr>
        <w:t>3</w:t>
      </w:r>
      <w:r w:rsidR="00A14D53">
        <w:rPr>
          <w:rFonts w:cs="Arial"/>
          <w:sz w:val="22"/>
          <w:szCs w:val="22"/>
        </w:rPr>
        <w:t>5</w:t>
      </w:r>
      <w:r w:rsidR="00B473A2" w:rsidRPr="00771530">
        <w:rPr>
          <w:rFonts w:cs="Arial"/>
          <w:sz w:val="22"/>
          <w:szCs w:val="22"/>
        </w:rPr>
        <w:t>.</w:t>
      </w:r>
      <w:r w:rsidR="00B473A2" w:rsidRPr="00771530">
        <w:rPr>
          <w:rFonts w:cs="Arial"/>
          <w:sz w:val="22"/>
          <w:szCs w:val="22"/>
        </w:rPr>
        <w:tab/>
        <w:t>The 2014-17 report format asked about measures undertaken in relation to recent Resolutions and Recommendations, and a specific list of recent ones was provided under the 42 headings listed below.  Against each of these is given the number of Parties making some response in the COP12 reports on the issue concerned.</w:t>
      </w:r>
    </w:p>
    <w:p w14:paraId="17BA9D6F" w14:textId="77777777" w:rsidR="00B473A2" w:rsidRPr="001E28B7" w:rsidRDefault="00B473A2" w:rsidP="00B473A2">
      <w:pPr>
        <w:ind w:left="720" w:hanging="720"/>
        <w:rPr>
          <w:rFonts w:eastAsia="DejaVuSans" w:cs="Arial"/>
          <w:sz w:val="16"/>
          <w:szCs w:val="16"/>
        </w:rPr>
      </w:pPr>
    </w:p>
    <w:p w14:paraId="6D3674AD" w14:textId="77777777" w:rsidR="00B473A2" w:rsidRPr="00664CA9" w:rsidRDefault="00B473A2" w:rsidP="0034108A">
      <w:pPr>
        <w:ind w:firstLine="567"/>
        <w:rPr>
          <w:rFonts w:eastAsia="DejaVuSans-Bold" w:cs="Arial"/>
          <w:b/>
          <w:bCs/>
          <w:sz w:val="21"/>
          <w:szCs w:val="21"/>
        </w:rPr>
      </w:pPr>
      <w:r w:rsidRPr="00664CA9">
        <w:rPr>
          <w:rFonts w:eastAsia="DejaVuSans-Bold" w:cs="Arial"/>
          <w:b/>
          <w:bCs/>
          <w:sz w:val="21"/>
          <w:szCs w:val="21"/>
        </w:rPr>
        <w:t>Strategic and institutional matters</w:t>
      </w:r>
    </w:p>
    <w:p w14:paraId="5D270A61" w14:textId="77777777" w:rsidR="00B473A2" w:rsidRPr="001E28B7" w:rsidRDefault="00B473A2" w:rsidP="00B473A2">
      <w:pPr>
        <w:rPr>
          <w:rFonts w:eastAsia="DejaVuSans-BoldOblique" w:cs="Arial"/>
          <w:bCs/>
          <w:i/>
          <w:iCs/>
          <w:sz w:val="10"/>
          <w:szCs w:val="10"/>
        </w:rPr>
      </w:pPr>
    </w:p>
    <w:p w14:paraId="3DC61D0E" w14:textId="0BA1989B" w:rsidR="00B473A2" w:rsidRPr="00664CA9"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Capacity</w:t>
      </w:r>
      <w:r w:rsidR="005A4EA2">
        <w:rPr>
          <w:rFonts w:ascii="Arial" w:eastAsia="DejaVuSans-BoldOblique" w:hAnsi="Arial" w:cs="Arial"/>
          <w:bCs/>
          <w:iCs/>
          <w:sz w:val="21"/>
          <w:szCs w:val="21"/>
        </w:rPr>
        <w:t>-</w:t>
      </w:r>
      <w:r w:rsidRPr="00A161F6">
        <w:rPr>
          <w:rFonts w:ascii="Arial" w:eastAsia="DejaVuSans-BoldOblique" w:hAnsi="Arial" w:cs="Arial"/>
          <w:bCs/>
          <w:iCs/>
          <w:sz w:val="21"/>
          <w:szCs w:val="21"/>
        </w:rPr>
        <w:t>Building Strategy (Res. 9.12 / Res. 10.6)</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0034108A">
        <w:rPr>
          <w:rFonts w:ascii="Arial" w:eastAsia="DejaVuSans-BoldOblique" w:hAnsi="Arial" w:cs="Arial"/>
          <w:bCs/>
          <w:iCs/>
          <w:sz w:val="21"/>
          <w:szCs w:val="21"/>
        </w:rPr>
        <w:tab/>
      </w:r>
      <w:r w:rsidRPr="00664CA9">
        <w:rPr>
          <w:rFonts w:ascii="Arial" w:eastAsia="DejaVuSans-BoldOblique" w:hAnsi="Arial" w:cs="Arial"/>
          <w:bCs/>
          <w:iCs/>
          <w:sz w:val="21"/>
          <w:szCs w:val="21"/>
        </w:rPr>
        <w:t>25</w:t>
      </w:r>
    </w:p>
    <w:p w14:paraId="7455788D" w14:textId="77777777" w:rsidR="00B473A2" w:rsidRPr="00664CA9"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Strategic Plan for Migratory Species 2015-2023 (Res. 11.2)</w:t>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39</w:t>
      </w:r>
    </w:p>
    <w:p w14:paraId="0DFEAA98" w14:textId="77777777" w:rsidR="00B473A2" w:rsidRPr="00A161F6"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Financial and administrative matters and Terms of Reference for the</w:t>
      </w:r>
      <w:r>
        <w:rPr>
          <w:rFonts w:ascii="Arial" w:eastAsia="DejaVuSans-BoldOblique" w:hAnsi="Arial" w:cs="Arial"/>
          <w:bCs/>
          <w:iCs/>
          <w:sz w:val="21"/>
          <w:szCs w:val="21"/>
        </w:rPr>
        <w:br/>
      </w:r>
      <w:r w:rsidRPr="00A161F6">
        <w:rPr>
          <w:rFonts w:ascii="Arial" w:eastAsia="DejaVuSans-BoldOblique" w:hAnsi="Arial" w:cs="Arial"/>
          <w:bCs/>
          <w:iCs/>
          <w:sz w:val="21"/>
          <w:szCs w:val="21"/>
        </w:rPr>
        <w:t>administration of the Trust Fund (Res. 11.1)</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A161F6">
        <w:rPr>
          <w:rFonts w:ascii="Arial" w:eastAsia="DejaVuSans-BoldOblique" w:hAnsi="Arial" w:cs="Arial"/>
          <w:bCs/>
          <w:iCs/>
          <w:sz w:val="21"/>
          <w:szCs w:val="21"/>
        </w:rPr>
        <w:t>16</w:t>
      </w:r>
    </w:p>
    <w:p w14:paraId="7DE335F3" w14:textId="77777777" w:rsidR="00B473A2" w:rsidRPr="00664CA9"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Relationship between the CMS Family and civil society (Res. 11.11)</w:t>
      </w:r>
      <w:r>
        <w:rPr>
          <w:rFonts w:ascii="Arial" w:eastAsia="DejaVuSans-BoldOblique" w:hAnsi="Arial" w:cs="Arial"/>
          <w:bCs/>
          <w:iCs/>
          <w:sz w:val="21"/>
          <w:szCs w:val="21"/>
        </w:rPr>
        <w:tab/>
      </w:r>
      <w:r w:rsidRPr="00664CA9">
        <w:rPr>
          <w:rFonts w:ascii="Arial" w:eastAsia="DejaVuSans-BoldOblique" w:hAnsi="Arial" w:cs="Arial"/>
          <w:bCs/>
          <w:iCs/>
          <w:sz w:val="21"/>
          <w:szCs w:val="21"/>
        </w:rPr>
        <w:t>17</w:t>
      </w:r>
    </w:p>
    <w:p w14:paraId="109995FA" w14:textId="77777777" w:rsidR="00B473A2" w:rsidRPr="00A161F6"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World Migratory Bird Day (Res. 11.9)</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42</w:t>
      </w:r>
    </w:p>
    <w:p w14:paraId="6F1B6478" w14:textId="77777777" w:rsidR="00B473A2" w:rsidRPr="00A161F6" w:rsidRDefault="00B473A2" w:rsidP="00B473A2">
      <w:pPr>
        <w:pStyle w:val="ListParagraph"/>
        <w:numPr>
          <w:ilvl w:val="0"/>
          <w:numId w:val="44"/>
        </w:numPr>
        <w:tabs>
          <w:tab w:val="center" w:pos="4819"/>
        </w:tabs>
        <w:rPr>
          <w:rFonts w:ascii="Arial" w:eastAsia="DejaVuSans-BoldOblique" w:hAnsi="Arial" w:cs="Arial"/>
          <w:bCs/>
          <w:iCs/>
          <w:sz w:val="21"/>
          <w:szCs w:val="21"/>
        </w:rPr>
      </w:pPr>
      <w:r w:rsidRPr="00A161F6">
        <w:rPr>
          <w:rFonts w:ascii="Arial" w:eastAsia="DejaVuSans-BoldOblique" w:hAnsi="Arial" w:cs="Arial"/>
          <w:bCs/>
          <w:iCs/>
          <w:sz w:val="21"/>
          <w:szCs w:val="21"/>
        </w:rPr>
        <w:t>Outreach and communication issues (Res. 11.8)</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27</w:t>
      </w:r>
    </w:p>
    <w:p w14:paraId="08EA48D5" w14:textId="77777777" w:rsidR="00B473A2" w:rsidRPr="00A161F6"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Development of CMS Agreements (Res. 11.12)</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21</w:t>
      </w:r>
    </w:p>
    <w:p w14:paraId="1EF8C2F6" w14:textId="77777777" w:rsidR="00B473A2" w:rsidRPr="00A161F6"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Concerted and Cooperative Actions (Res. 11.13)</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24</w:t>
      </w:r>
    </w:p>
    <w:p w14:paraId="485C17F5" w14:textId="77777777" w:rsidR="00B473A2" w:rsidRPr="00A161F6"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Synergies and partnerships / cooperation with other</w:t>
      </w:r>
      <w:r>
        <w:rPr>
          <w:rFonts w:ascii="Arial" w:eastAsia="DejaVuSans-BoldOblique" w:hAnsi="Arial" w:cs="Arial"/>
          <w:bCs/>
          <w:iCs/>
          <w:sz w:val="21"/>
          <w:szCs w:val="21"/>
        </w:rPr>
        <w:br/>
      </w:r>
      <w:r w:rsidRPr="00A161F6">
        <w:rPr>
          <w:rFonts w:ascii="Arial" w:eastAsia="DejaVuSans-BoldOblique" w:hAnsi="Arial" w:cs="Arial"/>
          <w:bCs/>
          <w:iCs/>
          <w:sz w:val="21"/>
          <w:szCs w:val="21"/>
        </w:rPr>
        <w:t>Conventions (Res. 11.10)</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34</w:t>
      </w:r>
    </w:p>
    <w:p w14:paraId="100FDB83" w14:textId="77777777" w:rsidR="00B473A2" w:rsidRPr="00A161F6" w:rsidRDefault="00B473A2" w:rsidP="00B473A2">
      <w:pPr>
        <w:pStyle w:val="ListParagraph"/>
        <w:numPr>
          <w:ilvl w:val="0"/>
          <w:numId w:val="44"/>
        </w:numPr>
        <w:rPr>
          <w:rFonts w:ascii="Arial" w:eastAsia="DejaVuSans-BoldOblique" w:hAnsi="Arial" w:cs="Arial"/>
          <w:bCs/>
          <w:iCs/>
          <w:sz w:val="21"/>
          <w:szCs w:val="21"/>
        </w:rPr>
      </w:pPr>
      <w:r w:rsidRPr="00A161F6">
        <w:rPr>
          <w:rFonts w:ascii="Arial" w:eastAsia="DejaVuSans-BoldOblique" w:hAnsi="Arial" w:cs="Arial"/>
          <w:bCs/>
          <w:iCs/>
          <w:sz w:val="21"/>
          <w:szCs w:val="21"/>
        </w:rPr>
        <w:t>Future strategies of the CMS Family / “Future Shape” (Res. 10.9)</w:t>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15</w:t>
      </w:r>
    </w:p>
    <w:p w14:paraId="4B64EB55" w14:textId="77777777" w:rsidR="00B473A2" w:rsidRPr="001E28B7" w:rsidRDefault="00B473A2" w:rsidP="00B473A2">
      <w:pPr>
        <w:rPr>
          <w:rFonts w:eastAsia="DejaVuSans-Bold" w:cs="Arial"/>
          <w:bCs/>
          <w:sz w:val="16"/>
          <w:szCs w:val="16"/>
        </w:rPr>
      </w:pPr>
    </w:p>
    <w:p w14:paraId="79A5054D" w14:textId="77777777" w:rsidR="00B473A2" w:rsidRPr="00664CA9" w:rsidRDefault="00B473A2" w:rsidP="0034108A">
      <w:pPr>
        <w:ind w:firstLine="567"/>
        <w:rPr>
          <w:rFonts w:eastAsia="DejaVuSans-Bold" w:cs="Arial"/>
          <w:b/>
          <w:bCs/>
          <w:sz w:val="21"/>
          <w:szCs w:val="21"/>
        </w:rPr>
      </w:pPr>
      <w:r w:rsidRPr="00664CA9">
        <w:rPr>
          <w:rFonts w:eastAsia="DejaVuSans-Bold" w:cs="Arial"/>
          <w:b/>
          <w:bCs/>
          <w:sz w:val="21"/>
          <w:szCs w:val="21"/>
        </w:rPr>
        <w:t>Avian species and issues</w:t>
      </w:r>
    </w:p>
    <w:p w14:paraId="4AC94A9E" w14:textId="77777777" w:rsidR="00B473A2" w:rsidRPr="001E28B7" w:rsidRDefault="00B473A2" w:rsidP="00B473A2">
      <w:pPr>
        <w:rPr>
          <w:rFonts w:eastAsia="DejaVuSans-BoldOblique" w:cs="Arial"/>
          <w:bCs/>
          <w:i/>
          <w:iCs/>
          <w:sz w:val="10"/>
          <w:szCs w:val="10"/>
        </w:rPr>
      </w:pPr>
    </w:p>
    <w:p w14:paraId="27405BC1" w14:textId="77777777" w:rsidR="00B473A2" w:rsidRPr="00A161F6" w:rsidRDefault="00B473A2" w:rsidP="00B473A2">
      <w:pPr>
        <w:pStyle w:val="ListParagraph"/>
        <w:numPr>
          <w:ilvl w:val="0"/>
          <w:numId w:val="45"/>
        </w:numPr>
        <w:rPr>
          <w:rFonts w:ascii="Arial" w:eastAsia="DejaVuSans-BoldOblique" w:hAnsi="Arial" w:cs="Arial"/>
          <w:bCs/>
          <w:iCs/>
          <w:sz w:val="21"/>
          <w:szCs w:val="21"/>
        </w:rPr>
      </w:pPr>
      <w:r w:rsidRPr="00A161F6">
        <w:rPr>
          <w:rFonts w:ascii="Arial" w:eastAsia="DejaVuSans-BoldOblique" w:hAnsi="Arial" w:cs="Arial"/>
          <w:bCs/>
          <w:iCs/>
          <w:sz w:val="21"/>
          <w:szCs w:val="21"/>
        </w:rPr>
        <w:t>Electrocution of Migratory Birds (Res. 7.04 / Res. 10.11)</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32</w:t>
      </w:r>
    </w:p>
    <w:p w14:paraId="6B0CB21C" w14:textId="77777777" w:rsidR="00B473A2" w:rsidRPr="00A161F6" w:rsidRDefault="00B473A2" w:rsidP="00B473A2">
      <w:pPr>
        <w:pStyle w:val="ListParagraph"/>
        <w:numPr>
          <w:ilvl w:val="0"/>
          <w:numId w:val="45"/>
        </w:numPr>
        <w:rPr>
          <w:rFonts w:ascii="Arial" w:eastAsia="DejaVuSans-BoldOblique" w:hAnsi="Arial" w:cs="Arial"/>
          <w:bCs/>
          <w:iCs/>
          <w:sz w:val="21"/>
          <w:szCs w:val="21"/>
        </w:rPr>
      </w:pPr>
      <w:r w:rsidRPr="00A161F6">
        <w:rPr>
          <w:rFonts w:ascii="Arial" w:eastAsia="DejaVuSans-BoldOblique" w:hAnsi="Arial" w:cs="Arial"/>
          <w:bCs/>
          <w:iCs/>
          <w:sz w:val="21"/>
          <w:szCs w:val="21"/>
        </w:rPr>
        <w:t>Southern Hemisphere Albatross Conservation (Res. 6.3)</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11</w:t>
      </w:r>
    </w:p>
    <w:p w14:paraId="6119C273" w14:textId="77777777" w:rsidR="00B473A2" w:rsidRPr="00A161F6" w:rsidRDefault="00B473A2" w:rsidP="00B473A2">
      <w:pPr>
        <w:pStyle w:val="ListParagraph"/>
        <w:numPr>
          <w:ilvl w:val="0"/>
          <w:numId w:val="45"/>
        </w:numPr>
        <w:rPr>
          <w:rFonts w:ascii="Arial" w:eastAsia="DejaVuSans-BoldOblique" w:hAnsi="Arial" w:cs="Arial"/>
          <w:bCs/>
          <w:iCs/>
          <w:sz w:val="21"/>
          <w:szCs w:val="21"/>
        </w:rPr>
      </w:pPr>
      <w:r w:rsidRPr="00A161F6">
        <w:rPr>
          <w:rFonts w:ascii="Arial" w:eastAsia="DejaVuSans-BoldOblique" w:hAnsi="Arial" w:cs="Arial"/>
          <w:bCs/>
          <w:iCs/>
          <w:sz w:val="21"/>
          <w:szCs w:val="21"/>
        </w:rPr>
        <w:t>Migratory Landbirds in the African Eurasian Region (Res. 11.17)</w:t>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22</w:t>
      </w:r>
    </w:p>
    <w:p w14:paraId="34458D5F" w14:textId="77777777" w:rsidR="00B473A2" w:rsidRPr="00A161F6" w:rsidRDefault="00B473A2" w:rsidP="00B473A2">
      <w:pPr>
        <w:pStyle w:val="ListParagraph"/>
        <w:numPr>
          <w:ilvl w:val="0"/>
          <w:numId w:val="45"/>
        </w:numPr>
        <w:rPr>
          <w:rFonts w:ascii="Arial" w:eastAsia="DejaVuSans-BoldOblique" w:hAnsi="Arial" w:cs="Arial"/>
          <w:bCs/>
          <w:iCs/>
          <w:sz w:val="21"/>
          <w:szCs w:val="21"/>
        </w:rPr>
      </w:pPr>
      <w:r w:rsidRPr="00A161F6">
        <w:rPr>
          <w:rFonts w:ascii="Arial" w:eastAsia="DejaVuSans-BoldOblique" w:hAnsi="Arial" w:cs="Arial"/>
          <w:bCs/>
          <w:iCs/>
          <w:sz w:val="21"/>
          <w:szCs w:val="21"/>
        </w:rPr>
        <w:t>Global Flyway Conservation (Res. 10.10 / Res. 11.14)</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24</w:t>
      </w:r>
    </w:p>
    <w:p w14:paraId="6B4D35F3" w14:textId="77777777" w:rsidR="00B473A2" w:rsidRPr="00A161F6" w:rsidRDefault="00B473A2" w:rsidP="00B473A2">
      <w:pPr>
        <w:pStyle w:val="ListParagraph"/>
        <w:numPr>
          <w:ilvl w:val="0"/>
          <w:numId w:val="45"/>
        </w:numPr>
        <w:rPr>
          <w:rFonts w:ascii="Arial" w:eastAsia="DejaVuSans-BoldOblique" w:hAnsi="Arial" w:cs="Arial"/>
          <w:bCs/>
          <w:iCs/>
          <w:sz w:val="21"/>
          <w:szCs w:val="21"/>
        </w:rPr>
      </w:pPr>
      <w:r w:rsidRPr="00A161F6">
        <w:rPr>
          <w:rFonts w:ascii="Arial" w:eastAsia="DejaVuSans-BoldOblique" w:hAnsi="Arial" w:cs="Arial"/>
          <w:bCs/>
          <w:iCs/>
          <w:sz w:val="21"/>
          <w:szCs w:val="21"/>
        </w:rPr>
        <w:t>Saker Falcon (Res. 11.18)</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26</w:t>
      </w:r>
    </w:p>
    <w:p w14:paraId="0C1B8D36" w14:textId="77777777" w:rsidR="00B473A2" w:rsidRPr="00A161F6" w:rsidRDefault="00B473A2" w:rsidP="00B473A2">
      <w:pPr>
        <w:pStyle w:val="ListParagraph"/>
        <w:numPr>
          <w:ilvl w:val="0"/>
          <w:numId w:val="45"/>
        </w:numPr>
        <w:rPr>
          <w:rFonts w:ascii="Arial" w:eastAsia="DejaVuSans-BoldOblique" w:hAnsi="Arial" w:cs="Arial"/>
          <w:bCs/>
          <w:iCs/>
          <w:sz w:val="21"/>
          <w:szCs w:val="21"/>
        </w:rPr>
      </w:pPr>
      <w:r w:rsidRPr="00A161F6">
        <w:rPr>
          <w:rFonts w:ascii="Arial" w:eastAsia="DejaVuSans-BoldOblique" w:hAnsi="Arial" w:cs="Arial"/>
          <w:bCs/>
          <w:iCs/>
          <w:sz w:val="21"/>
          <w:szCs w:val="21"/>
        </w:rPr>
        <w:lastRenderedPageBreak/>
        <w:t>Illegal Killing, Taking and Trade of Migratory Birds (Res. 11.16)</w:t>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35</w:t>
      </w:r>
    </w:p>
    <w:p w14:paraId="180513AE" w14:textId="77777777" w:rsidR="00B473A2" w:rsidRPr="00A161F6" w:rsidRDefault="00B473A2" w:rsidP="00B473A2">
      <w:pPr>
        <w:pStyle w:val="ListParagraph"/>
        <w:numPr>
          <w:ilvl w:val="0"/>
          <w:numId w:val="45"/>
        </w:numPr>
        <w:rPr>
          <w:rFonts w:ascii="Arial" w:eastAsia="DejaVuSans-BoldOblique" w:hAnsi="Arial" w:cs="Arial"/>
          <w:bCs/>
          <w:iCs/>
          <w:sz w:val="21"/>
          <w:szCs w:val="21"/>
        </w:rPr>
      </w:pPr>
      <w:r w:rsidRPr="00A161F6">
        <w:rPr>
          <w:rFonts w:ascii="Arial" w:eastAsia="DejaVuSans-BoldOblique" w:hAnsi="Arial" w:cs="Arial"/>
          <w:bCs/>
          <w:iCs/>
          <w:sz w:val="21"/>
          <w:szCs w:val="21"/>
        </w:rPr>
        <w:t>Migratory Species and Highly Pathogenic Avian Influenza</w:t>
      </w:r>
      <w:r>
        <w:rPr>
          <w:rFonts w:ascii="Arial" w:eastAsia="DejaVuSans-BoldOblique" w:hAnsi="Arial" w:cs="Arial"/>
          <w:bCs/>
          <w:iCs/>
          <w:sz w:val="21"/>
          <w:szCs w:val="21"/>
        </w:rPr>
        <w:br/>
      </w:r>
      <w:r w:rsidRPr="00A161F6">
        <w:rPr>
          <w:rFonts w:ascii="Arial" w:eastAsia="DejaVuSans-BoldOblique" w:hAnsi="Arial" w:cs="Arial"/>
          <w:bCs/>
          <w:iCs/>
          <w:sz w:val="21"/>
          <w:szCs w:val="21"/>
        </w:rPr>
        <w:t>(Res. 8.27 / Res. 9.8 / Res. 10.22)</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29</w:t>
      </w:r>
    </w:p>
    <w:p w14:paraId="15D0C37E" w14:textId="77777777" w:rsidR="00B473A2" w:rsidRPr="00A161F6" w:rsidRDefault="00B473A2" w:rsidP="00B473A2">
      <w:pPr>
        <w:pStyle w:val="ListParagraph"/>
        <w:numPr>
          <w:ilvl w:val="0"/>
          <w:numId w:val="45"/>
        </w:numPr>
        <w:rPr>
          <w:rFonts w:ascii="Arial" w:eastAsia="DejaVuSans-BoldOblique" w:hAnsi="Arial" w:cs="Arial"/>
          <w:bCs/>
          <w:iCs/>
          <w:sz w:val="21"/>
          <w:szCs w:val="21"/>
        </w:rPr>
      </w:pPr>
      <w:r w:rsidRPr="00A161F6">
        <w:rPr>
          <w:rFonts w:ascii="Arial" w:eastAsia="DejaVuSans-BoldOblique" w:hAnsi="Arial" w:cs="Arial"/>
          <w:bCs/>
          <w:iCs/>
          <w:sz w:val="21"/>
          <w:szCs w:val="21"/>
        </w:rPr>
        <w:t>Poisoning Migratory Birds (Res. 11.15)</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34</w:t>
      </w:r>
    </w:p>
    <w:p w14:paraId="04E884FB" w14:textId="77777777" w:rsidR="00B473A2" w:rsidRPr="001E28B7" w:rsidRDefault="00B473A2" w:rsidP="00B473A2">
      <w:pPr>
        <w:rPr>
          <w:rFonts w:eastAsia="DejaVuSans-Bold" w:cs="Arial"/>
          <w:bCs/>
          <w:sz w:val="16"/>
          <w:szCs w:val="16"/>
        </w:rPr>
      </w:pPr>
    </w:p>
    <w:p w14:paraId="67423A3E" w14:textId="77777777" w:rsidR="00B473A2" w:rsidRPr="00664CA9" w:rsidRDefault="00B473A2" w:rsidP="0034108A">
      <w:pPr>
        <w:ind w:firstLine="567"/>
        <w:rPr>
          <w:rFonts w:eastAsia="DejaVuSans-Bold" w:cs="Arial"/>
          <w:b/>
          <w:bCs/>
          <w:sz w:val="21"/>
          <w:szCs w:val="21"/>
        </w:rPr>
      </w:pPr>
      <w:r w:rsidRPr="00664CA9">
        <w:rPr>
          <w:rFonts w:eastAsia="DejaVuSans-Bold" w:cs="Arial"/>
          <w:b/>
          <w:bCs/>
          <w:sz w:val="21"/>
          <w:szCs w:val="21"/>
        </w:rPr>
        <w:t>Aquatic species and issues</w:t>
      </w:r>
    </w:p>
    <w:p w14:paraId="72C14B0A" w14:textId="77777777" w:rsidR="00B473A2" w:rsidRPr="001E28B7" w:rsidRDefault="00B473A2" w:rsidP="00B473A2">
      <w:pPr>
        <w:rPr>
          <w:rFonts w:eastAsia="DejaVuSans-BoldOblique" w:cs="Arial"/>
          <w:bCs/>
          <w:i/>
          <w:iCs/>
          <w:sz w:val="10"/>
          <w:szCs w:val="10"/>
        </w:rPr>
      </w:pPr>
    </w:p>
    <w:p w14:paraId="7C68BBC2"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Migratory Marine Species (Res. 9.9 / Res. 10.15)</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18</w:t>
      </w:r>
    </w:p>
    <w:p w14:paraId="58F80EDD"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Conservation of Migratory Sharks and Rays (Res. 11.20)</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16</w:t>
      </w:r>
    </w:p>
    <w:p w14:paraId="3F5F2B32"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Live capture of Cetacean from the Wild (Res. 11.22)</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22</w:t>
      </w:r>
    </w:p>
    <w:p w14:paraId="4109011E"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Adverse Anthropogenic Impacts on Cetaceans and other Biota</w:t>
      </w:r>
      <w:r>
        <w:rPr>
          <w:rFonts w:ascii="Arial" w:eastAsia="DejaVuSans-BoldOblique" w:hAnsi="Arial" w:cs="Arial"/>
          <w:bCs/>
          <w:iCs/>
          <w:sz w:val="21"/>
          <w:szCs w:val="21"/>
        </w:rPr>
        <w:br/>
      </w:r>
      <w:r w:rsidRPr="00A161F6">
        <w:rPr>
          <w:rFonts w:ascii="Arial" w:eastAsia="DejaVuSans-BoldOblique" w:hAnsi="Arial" w:cs="Arial"/>
          <w:bCs/>
          <w:iCs/>
          <w:sz w:val="21"/>
          <w:szCs w:val="21"/>
        </w:rPr>
        <w:t>(Res. 9.19 / Res. 10.24)</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17</w:t>
      </w:r>
    </w:p>
    <w:p w14:paraId="117CC194"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Loggerhead Turtle in the South Pacific Ocean (Res. 11.21)</w:t>
      </w:r>
      <w:r>
        <w:rPr>
          <w:rFonts w:ascii="Arial" w:eastAsia="DejaVuSans-BoldOblique" w:hAnsi="Arial" w:cs="Arial"/>
          <w:bCs/>
          <w:iCs/>
          <w:sz w:val="21"/>
          <w:szCs w:val="21"/>
        </w:rPr>
        <w:tab/>
      </w:r>
      <w:r>
        <w:rPr>
          <w:rFonts w:ascii="Arial" w:eastAsia="DejaVuSans-BoldOblique" w:hAnsi="Arial" w:cs="Arial"/>
          <w:bCs/>
          <w:iCs/>
          <w:sz w:val="21"/>
          <w:szCs w:val="21"/>
        </w:rPr>
        <w:tab/>
      </w:r>
      <w:r w:rsidR="005A4EA2">
        <w:rPr>
          <w:rFonts w:ascii="Arial" w:eastAsia="DejaVuSans-BoldOblique" w:hAnsi="Arial" w:cs="Arial"/>
          <w:bCs/>
          <w:iCs/>
          <w:sz w:val="21"/>
          <w:szCs w:val="21"/>
        </w:rPr>
        <w:t xml:space="preserve">  </w:t>
      </w:r>
      <w:r w:rsidRPr="00664CA9">
        <w:rPr>
          <w:rFonts w:ascii="Arial" w:eastAsia="DejaVuSans-BoldOblique" w:hAnsi="Arial" w:cs="Arial"/>
          <w:bCs/>
          <w:iCs/>
          <w:sz w:val="21"/>
          <w:szCs w:val="21"/>
        </w:rPr>
        <w:t>3</w:t>
      </w:r>
    </w:p>
    <w:p w14:paraId="7A1B10E5"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Conservation Implications of Cetacean Culture (Res. 11.23)</w:t>
      </w:r>
      <w:r>
        <w:rPr>
          <w:rFonts w:ascii="Arial" w:eastAsia="DejaVuSans-BoldOblique" w:hAnsi="Arial" w:cs="Arial"/>
          <w:bCs/>
          <w:iCs/>
          <w:sz w:val="21"/>
          <w:szCs w:val="21"/>
        </w:rPr>
        <w:tab/>
      </w:r>
      <w:r>
        <w:rPr>
          <w:rFonts w:ascii="Arial" w:eastAsia="DejaVuSans-BoldOblique" w:hAnsi="Arial" w:cs="Arial"/>
          <w:bCs/>
          <w:iCs/>
          <w:sz w:val="21"/>
          <w:szCs w:val="21"/>
        </w:rPr>
        <w:tab/>
      </w:r>
      <w:r w:rsidR="005A4EA2">
        <w:rPr>
          <w:rFonts w:ascii="Arial" w:eastAsia="DejaVuSans-BoldOblique" w:hAnsi="Arial" w:cs="Arial"/>
          <w:bCs/>
          <w:iCs/>
          <w:sz w:val="21"/>
          <w:szCs w:val="21"/>
        </w:rPr>
        <w:t xml:space="preserve">  </w:t>
      </w:r>
      <w:r>
        <w:rPr>
          <w:rFonts w:ascii="Arial" w:eastAsia="DejaVuSans-BoldOblique" w:hAnsi="Arial" w:cs="Arial"/>
          <w:bCs/>
          <w:iCs/>
          <w:sz w:val="21"/>
          <w:szCs w:val="21"/>
        </w:rPr>
        <w:t>3</w:t>
      </w:r>
    </w:p>
    <w:p w14:paraId="7B6421FD"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Improving the Conservation Status of the Leatherback Turtle</w:t>
      </w:r>
      <w:r>
        <w:rPr>
          <w:rFonts w:ascii="Arial" w:eastAsia="DejaVuSans-BoldOblique" w:hAnsi="Arial" w:cs="Arial"/>
          <w:bCs/>
          <w:iCs/>
          <w:sz w:val="21"/>
          <w:szCs w:val="21"/>
        </w:rPr>
        <w:br/>
      </w:r>
      <w:r w:rsidRPr="00A161F6">
        <w:rPr>
          <w:rFonts w:ascii="Arial" w:eastAsia="DejaVuSans-BoldOblique" w:hAnsi="Arial" w:cs="Arial"/>
          <w:bCs/>
          <w:iCs/>
          <w:sz w:val="21"/>
          <w:szCs w:val="21"/>
        </w:rPr>
        <w:t>(</w:t>
      </w:r>
      <w:r w:rsidRPr="001E28B7">
        <w:rPr>
          <w:rFonts w:ascii="Arial" w:eastAsia="DejaVuSans-BoldOblique" w:hAnsi="Arial" w:cs="Arial"/>
          <w:bCs/>
          <w:i/>
          <w:iCs/>
          <w:sz w:val="21"/>
          <w:szCs w:val="21"/>
        </w:rPr>
        <w:t>Dermochelys coriacea</w:t>
      </w:r>
      <w:r w:rsidRPr="00A161F6">
        <w:rPr>
          <w:rFonts w:ascii="Arial" w:eastAsia="DejaVuSans-BoldOblique" w:hAnsi="Arial" w:cs="Arial"/>
          <w:bCs/>
          <w:iCs/>
          <w:sz w:val="21"/>
          <w:szCs w:val="21"/>
        </w:rPr>
        <w:t>) (Rec. 7.6)</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12</w:t>
      </w:r>
    </w:p>
    <w:p w14:paraId="4B78F067"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Antarctic Minke, Bryde’s and Pygmy Right Whales (Res. 7.15)</w:t>
      </w:r>
      <w:r>
        <w:rPr>
          <w:rFonts w:ascii="Arial" w:eastAsia="DejaVuSans-BoldOblique" w:hAnsi="Arial" w:cs="Arial"/>
          <w:bCs/>
          <w:iCs/>
          <w:sz w:val="21"/>
          <w:szCs w:val="21"/>
        </w:rPr>
        <w:tab/>
      </w:r>
      <w:r>
        <w:rPr>
          <w:rFonts w:ascii="Arial" w:eastAsia="DejaVuSans-BoldOblique" w:hAnsi="Arial" w:cs="Arial"/>
          <w:bCs/>
          <w:iCs/>
          <w:sz w:val="21"/>
          <w:szCs w:val="21"/>
        </w:rPr>
        <w:tab/>
      </w:r>
      <w:r w:rsidR="005A4EA2">
        <w:rPr>
          <w:rFonts w:ascii="Arial" w:eastAsia="DejaVuSans-BoldOblique" w:hAnsi="Arial" w:cs="Arial"/>
          <w:bCs/>
          <w:iCs/>
          <w:sz w:val="21"/>
          <w:szCs w:val="21"/>
        </w:rPr>
        <w:t xml:space="preserve">  </w:t>
      </w:r>
      <w:r w:rsidRPr="00664CA9">
        <w:rPr>
          <w:rFonts w:ascii="Arial" w:eastAsia="DejaVuSans-BoldOblique" w:hAnsi="Arial" w:cs="Arial"/>
          <w:bCs/>
          <w:iCs/>
          <w:sz w:val="21"/>
          <w:szCs w:val="21"/>
        </w:rPr>
        <w:t>2</w:t>
      </w:r>
    </w:p>
    <w:p w14:paraId="79AB853E" w14:textId="77777777" w:rsidR="00B473A2" w:rsidRPr="00A161F6" w:rsidRDefault="00B473A2" w:rsidP="00B473A2">
      <w:pPr>
        <w:pStyle w:val="ListParagraph"/>
        <w:numPr>
          <w:ilvl w:val="0"/>
          <w:numId w:val="46"/>
        </w:numPr>
        <w:rPr>
          <w:rFonts w:ascii="Arial" w:eastAsia="DejaVuSans-BoldOblique" w:hAnsi="Arial" w:cs="Arial"/>
          <w:bCs/>
          <w:iCs/>
          <w:sz w:val="21"/>
          <w:szCs w:val="21"/>
        </w:rPr>
      </w:pPr>
      <w:r w:rsidRPr="00A161F6">
        <w:rPr>
          <w:rFonts w:ascii="Arial" w:eastAsia="DejaVuSans-BoldOblique" w:hAnsi="Arial" w:cs="Arial"/>
          <w:bCs/>
          <w:iCs/>
          <w:sz w:val="21"/>
          <w:szCs w:val="21"/>
        </w:rPr>
        <w:t>Migratory Freshwater Fish (Res. 10.12)</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15</w:t>
      </w:r>
    </w:p>
    <w:p w14:paraId="442395F5" w14:textId="77777777" w:rsidR="00B473A2" w:rsidRPr="001E28B7" w:rsidRDefault="00B473A2" w:rsidP="00B473A2">
      <w:pPr>
        <w:rPr>
          <w:rFonts w:eastAsia="DejaVuSans-Bold" w:cs="Arial"/>
          <w:bCs/>
          <w:sz w:val="16"/>
          <w:szCs w:val="16"/>
        </w:rPr>
      </w:pPr>
    </w:p>
    <w:p w14:paraId="243CAA5A" w14:textId="77777777" w:rsidR="00B473A2" w:rsidRPr="00664CA9" w:rsidRDefault="00B473A2" w:rsidP="0034108A">
      <w:pPr>
        <w:ind w:firstLine="567"/>
        <w:rPr>
          <w:rFonts w:eastAsia="DejaVuSans-Bold" w:cs="Arial"/>
          <w:b/>
          <w:bCs/>
          <w:sz w:val="21"/>
          <w:szCs w:val="21"/>
        </w:rPr>
      </w:pPr>
      <w:r w:rsidRPr="00664CA9">
        <w:rPr>
          <w:rFonts w:eastAsia="DejaVuSans-Bold" w:cs="Arial"/>
          <w:b/>
          <w:bCs/>
          <w:sz w:val="21"/>
          <w:szCs w:val="21"/>
        </w:rPr>
        <w:t>Terrestrial species and issues</w:t>
      </w:r>
    </w:p>
    <w:p w14:paraId="46600A13" w14:textId="77777777" w:rsidR="00B473A2" w:rsidRPr="001E28B7" w:rsidRDefault="00B473A2" w:rsidP="00B473A2">
      <w:pPr>
        <w:rPr>
          <w:rFonts w:eastAsia="DejaVuSans-BoldOblique" w:cs="Arial"/>
          <w:bCs/>
          <w:i/>
          <w:iCs/>
          <w:sz w:val="10"/>
          <w:szCs w:val="10"/>
        </w:rPr>
      </w:pPr>
    </w:p>
    <w:p w14:paraId="6D6F4A66" w14:textId="18A0B715" w:rsidR="00B473A2" w:rsidRPr="00A161F6" w:rsidRDefault="00B473A2" w:rsidP="00B473A2">
      <w:pPr>
        <w:pStyle w:val="ListParagraph"/>
        <w:numPr>
          <w:ilvl w:val="0"/>
          <w:numId w:val="47"/>
        </w:numPr>
        <w:rPr>
          <w:rFonts w:ascii="Arial" w:eastAsia="DejaVuSans-BoldOblique" w:hAnsi="Arial" w:cs="Arial"/>
          <w:bCs/>
          <w:iCs/>
          <w:sz w:val="21"/>
          <w:szCs w:val="21"/>
        </w:rPr>
      </w:pPr>
      <w:r w:rsidRPr="00A161F6">
        <w:rPr>
          <w:rFonts w:ascii="Arial" w:eastAsia="DejaVuSans-BoldOblique" w:hAnsi="Arial" w:cs="Arial"/>
          <w:bCs/>
          <w:iCs/>
          <w:sz w:val="21"/>
          <w:szCs w:val="21"/>
        </w:rPr>
        <w:t>Sahelo-Saharan Megafauna (Rec. 9.2)</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0095385A">
        <w:rPr>
          <w:rFonts w:ascii="Arial" w:eastAsia="DejaVuSans-BoldOblique" w:hAnsi="Arial" w:cs="Arial"/>
          <w:bCs/>
          <w:iCs/>
          <w:sz w:val="21"/>
          <w:szCs w:val="21"/>
        </w:rPr>
        <w:t xml:space="preserve">  </w:t>
      </w:r>
      <w:r w:rsidRPr="00664CA9">
        <w:rPr>
          <w:rFonts w:ascii="Arial" w:eastAsia="DejaVuSans-BoldOblique" w:hAnsi="Arial" w:cs="Arial"/>
          <w:bCs/>
          <w:iCs/>
          <w:sz w:val="21"/>
          <w:szCs w:val="21"/>
        </w:rPr>
        <w:t>4</w:t>
      </w:r>
    </w:p>
    <w:p w14:paraId="6186208A" w14:textId="1B88B730" w:rsidR="00B473A2" w:rsidRPr="00A161F6" w:rsidRDefault="00B473A2" w:rsidP="00B473A2">
      <w:pPr>
        <w:pStyle w:val="ListParagraph"/>
        <w:numPr>
          <w:ilvl w:val="0"/>
          <w:numId w:val="47"/>
        </w:numPr>
        <w:rPr>
          <w:rFonts w:ascii="Arial" w:eastAsia="DejaVuSans-BoldOblique" w:hAnsi="Arial" w:cs="Arial"/>
          <w:bCs/>
          <w:iCs/>
          <w:sz w:val="21"/>
          <w:szCs w:val="21"/>
        </w:rPr>
      </w:pPr>
      <w:r w:rsidRPr="00A161F6">
        <w:rPr>
          <w:rFonts w:ascii="Arial" w:eastAsia="DejaVuSans-BoldOblique" w:hAnsi="Arial" w:cs="Arial"/>
          <w:bCs/>
          <w:iCs/>
          <w:sz w:val="21"/>
          <w:szCs w:val="21"/>
        </w:rPr>
        <w:t>Tigers and other Asian Big Cats (Rec. 9.3)</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0095385A">
        <w:rPr>
          <w:rFonts w:ascii="Arial" w:eastAsia="DejaVuSans-BoldOblique" w:hAnsi="Arial" w:cs="Arial"/>
          <w:bCs/>
          <w:iCs/>
          <w:sz w:val="21"/>
          <w:szCs w:val="21"/>
        </w:rPr>
        <w:t xml:space="preserve">  </w:t>
      </w:r>
      <w:r w:rsidRPr="00664CA9">
        <w:rPr>
          <w:rFonts w:ascii="Arial" w:eastAsia="DejaVuSans-BoldOblique" w:hAnsi="Arial" w:cs="Arial"/>
          <w:bCs/>
          <w:iCs/>
          <w:sz w:val="21"/>
          <w:szCs w:val="21"/>
        </w:rPr>
        <w:t>5</w:t>
      </w:r>
    </w:p>
    <w:p w14:paraId="719B4724" w14:textId="065FE3CB" w:rsidR="00B473A2" w:rsidRPr="00A161F6" w:rsidRDefault="00B473A2" w:rsidP="00B473A2">
      <w:pPr>
        <w:pStyle w:val="ListParagraph"/>
        <w:numPr>
          <w:ilvl w:val="0"/>
          <w:numId w:val="47"/>
        </w:numPr>
        <w:rPr>
          <w:rFonts w:ascii="Arial" w:eastAsia="DejaVuSans-BoldOblique" w:hAnsi="Arial" w:cs="Arial"/>
          <w:bCs/>
          <w:iCs/>
          <w:sz w:val="21"/>
          <w:szCs w:val="21"/>
        </w:rPr>
      </w:pPr>
      <w:r w:rsidRPr="00A161F6">
        <w:rPr>
          <w:rFonts w:ascii="Arial" w:eastAsia="DejaVuSans-BoldOblique" w:hAnsi="Arial" w:cs="Arial"/>
          <w:bCs/>
          <w:iCs/>
          <w:sz w:val="21"/>
          <w:szCs w:val="21"/>
        </w:rPr>
        <w:t>Conservation of the African Lion (Res. 11.32)</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0095385A">
        <w:rPr>
          <w:rFonts w:ascii="Arial" w:eastAsia="DejaVuSans-BoldOblique" w:hAnsi="Arial" w:cs="Arial"/>
          <w:bCs/>
          <w:iCs/>
          <w:sz w:val="21"/>
          <w:szCs w:val="21"/>
        </w:rPr>
        <w:t xml:space="preserve">  </w:t>
      </w:r>
      <w:r w:rsidRPr="00664CA9">
        <w:rPr>
          <w:rFonts w:ascii="Arial" w:eastAsia="DejaVuSans-BoldOblique" w:hAnsi="Arial" w:cs="Arial"/>
          <w:bCs/>
          <w:iCs/>
          <w:sz w:val="21"/>
          <w:szCs w:val="21"/>
        </w:rPr>
        <w:t>9</w:t>
      </w:r>
    </w:p>
    <w:p w14:paraId="6D051754" w14:textId="77777777" w:rsidR="00B473A2" w:rsidRPr="001E28B7" w:rsidRDefault="00B473A2" w:rsidP="00B473A2">
      <w:pPr>
        <w:rPr>
          <w:rFonts w:eastAsia="DejaVuSans-Bold" w:cs="Arial"/>
          <w:bCs/>
          <w:sz w:val="16"/>
          <w:szCs w:val="16"/>
        </w:rPr>
      </w:pPr>
    </w:p>
    <w:p w14:paraId="775CD70A" w14:textId="77777777" w:rsidR="00B473A2" w:rsidRPr="00664CA9" w:rsidRDefault="00B473A2" w:rsidP="0034108A">
      <w:pPr>
        <w:ind w:firstLine="567"/>
        <w:rPr>
          <w:rFonts w:eastAsia="DejaVuSans-Bold" w:cs="Arial"/>
          <w:b/>
          <w:bCs/>
          <w:sz w:val="21"/>
          <w:szCs w:val="21"/>
        </w:rPr>
      </w:pPr>
      <w:r w:rsidRPr="00664CA9">
        <w:rPr>
          <w:rFonts w:eastAsia="DejaVuSans-Bold" w:cs="Arial"/>
          <w:b/>
          <w:bCs/>
          <w:sz w:val="21"/>
          <w:szCs w:val="21"/>
        </w:rPr>
        <w:t>Cross-cutting issues</w:t>
      </w:r>
    </w:p>
    <w:p w14:paraId="3FB29FA2" w14:textId="77777777" w:rsidR="00B473A2" w:rsidRPr="001E28B7" w:rsidRDefault="00B473A2" w:rsidP="00B473A2">
      <w:pPr>
        <w:rPr>
          <w:rFonts w:eastAsia="DejaVuSans-BoldOblique" w:cs="Arial"/>
          <w:bCs/>
          <w:i/>
          <w:iCs/>
          <w:sz w:val="10"/>
          <w:szCs w:val="10"/>
        </w:rPr>
      </w:pPr>
    </w:p>
    <w:p w14:paraId="42A2CD36" w14:textId="77777777" w:rsidR="00B473A2" w:rsidRPr="00A161F6" w:rsidRDefault="00B473A2" w:rsidP="00B473A2">
      <w:pPr>
        <w:pStyle w:val="ListParagraph"/>
        <w:numPr>
          <w:ilvl w:val="0"/>
          <w:numId w:val="48"/>
        </w:numPr>
        <w:rPr>
          <w:rFonts w:ascii="Arial" w:eastAsia="DejaVuSans-BoldOblique" w:hAnsi="Arial" w:cs="Arial"/>
          <w:bCs/>
          <w:iCs/>
          <w:sz w:val="21"/>
          <w:szCs w:val="21"/>
        </w:rPr>
      </w:pPr>
      <w:r w:rsidRPr="00A161F6">
        <w:rPr>
          <w:rFonts w:ascii="Arial" w:eastAsia="DejaVuSans-BoldOblique" w:hAnsi="Arial" w:cs="Arial"/>
          <w:bCs/>
          <w:iCs/>
          <w:sz w:val="21"/>
          <w:szCs w:val="21"/>
        </w:rPr>
        <w:t>Marine Debris (Res. 10.4 / Res. 11.30)</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17</w:t>
      </w:r>
    </w:p>
    <w:p w14:paraId="7AA775C4" w14:textId="77777777" w:rsidR="00B473A2" w:rsidRPr="00A161F6" w:rsidRDefault="00B473A2" w:rsidP="00B473A2">
      <w:pPr>
        <w:pStyle w:val="ListParagraph"/>
        <w:numPr>
          <w:ilvl w:val="0"/>
          <w:numId w:val="48"/>
        </w:numPr>
        <w:rPr>
          <w:rFonts w:ascii="Arial" w:eastAsia="DejaVuSans-BoldOblique" w:hAnsi="Arial" w:cs="Arial"/>
          <w:bCs/>
          <w:iCs/>
          <w:sz w:val="21"/>
          <w:szCs w:val="21"/>
        </w:rPr>
      </w:pPr>
      <w:r w:rsidRPr="00A161F6">
        <w:rPr>
          <w:rFonts w:ascii="Arial" w:eastAsia="DejaVuSans-BoldOblique" w:hAnsi="Arial" w:cs="Arial"/>
          <w:bCs/>
          <w:iCs/>
          <w:sz w:val="21"/>
          <w:szCs w:val="21"/>
        </w:rPr>
        <w:t>Bycatch (Res. 6.2 / Rec. 7.2 / Res. 8.14 / Res. 9.18 / Res. 10.14)</w:t>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21</w:t>
      </w:r>
    </w:p>
    <w:p w14:paraId="055DE8A7" w14:textId="77777777" w:rsidR="00B473A2" w:rsidRPr="00A161F6" w:rsidRDefault="00B473A2" w:rsidP="00B473A2">
      <w:pPr>
        <w:pStyle w:val="ListParagraph"/>
        <w:numPr>
          <w:ilvl w:val="0"/>
          <w:numId w:val="48"/>
        </w:numPr>
        <w:tabs>
          <w:tab w:val="left" w:pos="2649"/>
        </w:tabs>
        <w:rPr>
          <w:rFonts w:ascii="Arial" w:eastAsia="DejaVuSans-BoldOblique" w:hAnsi="Arial" w:cs="Arial"/>
          <w:bCs/>
          <w:iCs/>
          <w:sz w:val="21"/>
          <w:szCs w:val="21"/>
        </w:rPr>
      </w:pPr>
      <w:r w:rsidRPr="00A161F6">
        <w:rPr>
          <w:rFonts w:ascii="Arial" w:eastAsia="DejaVuSans-BoldOblique" w:hAnsi="Arial" w:cs="Arial"/>
          <w:bCs/>
          <w:iCs/>
          <w:sz w:val="21"/>
          <w:szCs w:val="21"/>
        </w:rPr>
        <w:t>Wildlife Crime (Res. 11.31)</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27</w:t>
      </w:r>
    </w:p>
    <w:p w14:paraId="7EB2F94C" w14:textId="77777777" w:rsidR="00B473A2" w:rsidRPr="00A161F6" w:rsidRDefault="00B473A2" w:rsidP="00B473A2">
      <w:pPr>
        <w:pStyle w:val="ListParagraph"/>
        <w:numPr>
          <w:ilvl w:val="0"/>
          <w:numId w:val="48"/>
        </w:numPr>
        <w:tabs>
          <w:tab w:val="left" w:pos="4198"/>
        </w:tabs>
        <w:rPr>
          <w:rFonts w:ascii="Arial" w:eastAsia="DejaVuSans-BoldOblique" w:hAnsi="Arial" w:cs="Arial"/>
          <w:bCs/>
          <w:iCs/>
          <w:sz w:val="21"/>
          <w:szCs w:val="21"/>
        </w:rPr>
      </w:pPr>
      <w:r w:rsidRPr="00A161F6">
        <w:rPr>
          <w:rFonts w:ascii="Arial" w:eastAsia="DejaVuSans-BoldOblique" w:hAnsi="Arial" w:cs="Arial"/>
          <w:bCs/>
          <w:iCs/>
          <w:sz w:val="21"/>
          <w:szCs w:val="21"/>
        </w:rPr>
        <w:t>Ecological Networks (Res. 10.3 / Res. 11.25)</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30</w:t>
      </w:r>
    </w:p>
    <w:p w14:paraId="3312E660" w14:textId="77777777" w:rsidR="00B473A2" w:rsidRPr="00A161F6" w:rsidRDefault="00B473A2" w:rsidP="00B473A2">
      <w:pPr>
        <w:pStyle w:val="ListParagraph"/>
        <w:numPr>
          <w:ilvl w:val="0"/>
          <w:numId w:val="48"/>
        </w:numPr>
        <w:rPr>
          <w:rFonts w:ascii="Arial" w:eastAsia="DejaVuSans-BoldOblique" w:hAnsi="Arial" w:cs="Arial"/>
          <w:bCs/>
          <w:iCs/>
          <w:sz w:val="21"/>
          <w:szCs w:val="21"/>
        </w:rPr>
      </w:pPr>
      <w:r w:rsidRPr="00A161F6">
        <w:rPr>
          <w:rFonts w:ascii="Arial" w:eastAsia="DejaVuSans-BoldOblique" w:hAnsi="Arial" w:cs="Arial"/>
          <w:bCs/>
          <w:iCs/>
          <w:sz w:val="21"/>
          <w:szCs w:val="21"/>
        </w:rPr>
        <w:t>Climate Change Impacts on Migratory Species (Res. 7.5 / Res. 11.26)</w:t>
      </w:r>
      <w:r>
        <w:rPr>
          <w:rFonts w:ascii="Arial" w:eastAsia="DejaVuSans-BoldOblique" w:hAnsi="Arial" w:cs="Arial"/>
          <w:bCs/>
          <w:iCs/>
          <w:sz w:val="21"/>
          <w:szCs w:val="21"/>
        </w:rPr>
        <w:tab/>
      </w:r>
      <w:r w:rsidRPr="00664CA9">
        <w:rPr>
          <w:rFonts w:ascii="Arial" w:eastAsia="DejaVuSans-BoldOblique" w:hAnsi="Arial" w:cs="Arial"/>
          <w:bCs/>
          <w:iCs/>
          <w:sz w:val="21"/>
          <w:szCs w:val="21"/>
        </w:rPr>
        <w:t>25</w:t>
      </w:r>
    </w:p>
    <w:p w14:paraId="771CBDD3" w14:textId="77777777" w:rsidR="00B473A2" w:rsidRPr="00A161F6" w:rsidRDefault="00B473A2" w:rsidP="00B473A2">
      <w:pPr>
        <w:pStyle w:val="ListParagraph"/>
        <w:numPr>
          <w:ilvl w:val="0"/>
          <w:numId w:val="48"/>
        </w:numPr>
        <w:rPr>
          <w:rFonts w:ascii="Arial" w:eastAsia="DejaVuSans-BoldOblique" w:hAnsi="Arial" w:cs="Arial"/>
          <w:bCs/>
          <w:iCs/>
          <w:sz w:val="21"/>
          <w:szCs w:val="21"/>
        </w:rPr>
      </w:pPr>
      <w:r w:rsidRPr="00A161F6">
        <w:rPr>
          <w:rFonts w:ascii="Arial" w:eastAsia="DejaVuSans-BoldOblique" w:hAnsi="Arial" w:cs="Arial"/>
          <w:bCs/>
          <w:iCs/>
          <w:sz w:val="21"/>
          <w:szCs w:val="21"/>
        </w:rPr>
        <w:t>Modus Operandi for Conservation Emergencies (Res. 10.2)</w:t>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13</w:t>
      </w:r>
    </w:p>
    <w:p w14:paraId="24AB3666" w14:textId="77777777" w:rsidR="00B473A2" w:rsidRPr="00A161F6" w:rsidRDefault="00B473A2" w:rsidP="00B473A2">
      <w:pPr>
        <w:pStyle w:val="ListParagraph"/>
        <w:numPr>
          <w:ilvl w:val="0"/>
          <w:numId w:val="48"/>
        </w:numPr>
        <w:rPr>
          <w:rFonts w:ascii="Arial" w:eastAsia="DejaVuSans-BoldOblique" w:hAnsi="Arial" w:cs="Arial"/>
          <w:bCs/>
          <w:iCs/>
          <w:sz w:val="21"/>
          <w:szCs w:val="21"/>
        </w:rPr>
      </w:pPr>
      <w:r w:rsidRPr="00A161F6">
        <w:rPr>
          <w:rFonts w:ascii="Arial" w:eastAsia="DejaVuSans-BoldOblique" w:hAnsi="Arial" w:cs="Arial"/>
          <w:bCs/>
          <w:iCs/>
          <w:sz w:val="21"/>
          <w:szCs w:val="21"/>
        </w:rPr>
        <w:t>Marine Wildlife Watching (Res. 11.29)</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17</w:t>
      </w:r>
    </w:p>
    <w:p w14:paraId="5752AC83" w14:textId="77777777" w:rsidR="00B473A2" w:rsidRPr="00A161F6" w:rsidRDefault="00B473A2" w:rsidP="00B473A2">
      <w:pPr>
        <w:pStyle w:val="ListParagraph"/>
        <w:numPr>
          <w:ilvl w:val="0"/>
          <w:numId w:val="48"/>
        </w:numPr>
        <w:rPr>
          <w:rFonts w:ascii="Arial" w:eastAsia="DejaVuSans-BoldOblique" w:hAnsi="Arial" w:cs="Arial"/>
          <w:bCs/>
          <w:iCs/>
          <w:sz w:val="21"/>
          <w:szCs w:val="21"/>
        </w:rPr>
      </w:pPr>
      <w:r w:rsidRPr="00A161F6">
        <w:rPr>
          <w:rFonts w:ascii="Arial" w:eastAsia="DejaVuSans-BoldOblique" w:hAnsi="Arial" w:cs="Arial"/>
          <w:bCs/>
          <w:iCs/>
          <w:sz w:val="21"/>
          <w:szCs w:val="21"/>
        </w:rPr>
        <w:t>Oil Pollution and Migratory Species (Res. 7.3)</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22</w:t>
      </w:r>
    </w:p>
    <w:p w14:paraId="19B1060B" w14:textId="77777777" w:rsidR="00B473A2" w:rsidRPr="00A161F6" w:rsidRDefault="00B473A2" w:rsidP="00B473A2">
      <w:pPr>
        <w:pStyle w:val="ListParagraph"/>
        <w:numPr>
          <w:ilvl w:val="0"/>
          <w:numId w:val="48"/>
        </w:numPr>
        <w:tabs>
          <w:tab w:val="center" w:pos="4819"/>
        </w:tabs>
        <w:rPr>
          <w:rFonts w:ascii="Arial" w:eastAsia="DejaVuSans-BoldOblique" w:hAnsi="Arial" w:cs="Arial"/>
          <w:bCs/>
          <w:iCs/>
          <w:sz w:val="21"/>
          <w:szCs w:val="21"/>
        </w:rPr>
      </w:pPr>
      <w:r w:rsidRPr="00A161F6">
        <w:rPr>
          <w:rFonts w:ascii="Arial" w:eastAsia="DejaVuSans-BoldOblique" w:hAnsi="Arial" w:cs="Arial"/>
          <w:bCs/>
          <w:iCs/>
          <w:sz w:val="21"/>
          <w:szCs w:val="21"/>
        </w:rPr>
        <w:t>Impact Assessment and Migratory Species (Res. 7.2)</w:t>
      </w:r>
      <w:r>
        <w:rPr>
          <w:rFonts w:ascii="Arial" w:eastAsia="DejaVuSans-BoldOblique" w:hAnsi="Arial" w:cs="Arial"/>
          <w:bCs/>
          <w:iCs/>
          <w:sz w:val="21"/>
          <w:szCs w:val="21"/>
        </w:rPr>
        <w:tab/>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30</w:t>
      </w:r>
    </w:p>
    <w:p w14:paraId="37418F6A" w14:textId="77777777" w:rsidR="00B473A2" w:rsidRPr="00A161F6" w:rsidRDefault="00B473A2" w:rsidP="00B473A2">
      <w:pPr>
        <w:pStyle w:val="ListParagraph"/>
        <w:numPr>
          <w:ilvl w:val="0"/>
          <w:numId w:val="48"/>
        </w:numPr>
        <w:tabs>
          <w:tab w:val="left" w:pos="5352"/>
        </w:tabs>
        <w:rPr>
          <w:rFonts w:ascii="Arial" w:eastAsia="DejaVuSans-BoldOblique" w:hAnsi="Arial" w:cs="Arial"/>
          <w:bCs/>
          <w:iCs/>
          <w:sz w:val="21"/>
          <w:szCs w:val="21"/>
        </w:rPr>
      </w:pPr>
      <w:r w:rsidRPr="00A161F6">
        <w:rPr>
          <w:rFonts w:ascii="Arial" w:eastAsia="DejaVuSans-BoldOblique" w:hAnsi="Arial" w:cs="Arial"/>
          <w:bCs/>
          <w:iCs/>
          <w:sz w:val="21"/>
          <w:szCs w:val="21"/>
        </w:rPr>
        <w:t>Invasive Alien Species and Migratory Species (Res. 11.28)</w:t>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29</w:t>
      </w:r>
    </w:p>
    <w:p w14:paraId="6927B0EB" w14:textId="77777777" w:rsidR="00B473A2" w:rsidRPr="00A161F6" w:rsidRDefault="00B473A2" w:rsidP="00B473A2">
      <w:pPr>
        <w:pStyle w:val="ListParagraph"/>
        <w:numPr>
          <w:ilvl w:val="0"/>
          <w:numId w:val="48"/>
        </w:numPr>
        <w:rPr>
          <w:rFonts w:ascii="Arial" w:eastAsia="DejaVuSans-BoldOblique" w:hAnsi="Arial" w:cs="Arial"/>
          <w:bCs/>
          <w:iCs/>
          <w:sz w:val="21"/>
          <w:szCs w:val="21"/>
        </w:rPr>
      </w:pPr>
      <w:r w:rsidRPr="00A161F6">
        <w:rPr>
          <w:rFonts w:ascii="Arial" w:eastAsia="DejaVuSans-BoldOblique" w:hAnsi="Arial" w:cs="Arial"/>
          <w:bCs/>
          <w:iCs/>
          <w:sz w:val="21"/>
          <w:szCs w:val="21"/>
        </w:rPr>
        <w:t>Renewable Energy and Migratory Species (Res. 7.5 / Res. 11.27)</w:t>
      </w:r>
      <w:r>
        <w:rPr>
          <w:rFonts w:ascii="Arial" w:eastAsia="DejaVuSans-BoldOblique" w:hAnsi="Arial" w:cs="Arial"/>
          <w:bCs/>
          <w:iCs/>
          <w:sz w:val="21"/>
          <w:szCs w:val="21"/>
        </w:rPr>
        <w:tab/>
      </w:r>
      <w:r>
        <w:rPr>
          <w:rFonts w:ascii="Arial" w:eastAsia="DejaVuSans-BoldOblique" w:hAnsi="Arial" w:cs="Arial"/>
          <w:bCs/>
          <w:iCs/>
          <w:sz w:val="21"/>
          <w:szCs w:val="21"/>
        </w:rPr>
        <w:tab/>
      </w:r>
      <w:r w:rsidRPr="00664CA9">
        <w:rPr>
          <w:rFonts w:ascii="Arial" w:eastAsia="DejaVuSans-BoldOblique" w:hAnsi="Arial" w:cs="Arial"/>
          <w:bCs/>
          <w:iCs/>
          <w:sz w:val="21"/>
          <w:szCs w:val="21"/>
        </w:rPr>
        <w:t>25</w:t>
      </w:r>
    </w:p>
    <w:p w14:paraId="32BB184A" w14:textId="77777777" w:rsidR="00B473A2" w:rsidRPr="001E28B7" w:rsidRDefault="00B473A2" w:rsidP="00B473A2">
      <w:pPr>
        <w:rPr>
          <w:rFonts w:eastAsia="DejaVuSans-BoldOblique" w:cs="Arial"/>
          <w:bCs/>
          <w:iCs/>
          <w:sz w:val="16"/>
          <w:szCs w:val="16"/>
        </w:rPr>
      </w:pPr>
    </w:p>
    <w:p w14:paraId="4E9F9E75" w14:textId="10A917D5" w:rsidR="00B473A2" w:rsidRPr="00771530" w:rsidRDefault="00B473A2" w:rsidP="0034108A">
      <w:pPr>
        <w:ind w:firstLine="567"/>
        <w:rPr>
          <w:rFonts w:eastAsia="DejaVuSans-BoldOblique" w:cs="Arial"/>
          <w:b/>
          <w:bCs/>
          <w:iCs/>
          <w:sz w:val="21"/>
          <w:szCs w:val="21"/>
        </w:rPr>
      </w:pPr>
      <w:r w:rsidRPr="00771530">
        <w:rPr>
          <w:rFonts w:eastAsia="DejaVuSans-BoldOblique" w:cs="Arial"/>
          <w:b/>
          <w:bCs/>
          <w:iCs/>
          <w:sz w:val="21"/>
          <w:szCs w:val="21"/>
        </w:rPr>
        <w:t>Other remarks</w:t>
      </w:r>
      <w:r w:rsidRPr="00771530">
        <w:rPr>
          <w:rFonts w:eastAsia="DejaVuSans-BoldOblique" w:cs="Arial"/>
          <w:b/>
          <w:bCs/>
          <w:iCs/>
          <w:sz w:val="21"/>
          <w:szCs w:val="21"/>
        </w:rPr>
        <w:tab/>
      </w:r>
      <w:r w:rsidRPr="00771530">
        <w:rPr>
          <w:rFonts w:eastAsia="DejaVuSans-BoldOblique" w:cs="Arial"/>
          <w:b/>
          <w:bCs/>
          <w:iCs/>
          <w:sz w:val="21"/>
          <w:szCs w:val="21"/>
        </w:rPr>
        <w:tab/>
      </w:r>
      <w:r w:rsidRPr="00771530">
        <w:rPr>
          <w:rFonts w:eastAsia="DejaVuSans-BoldOblique" w:cs="Arial"/>
          <w:b/>
          <w:bCs/>
          <w:iCs/>
          <w:sz w:val="21"/>
          <w:szCs w:val="21"/>
        </w:rPr>
        <w:tab/>
      </w:r>
      <w:r w:rsidRPr="00771530">
        <w:rPr>
          <w:rFonts w:eastAsia="DejaVuSans-BoldOblique" w:cs="Arial"/>
          <w:b/>
          <w:bCs/>
          <w:iCs/>
          <w:sz w:val="21"/>
          <w:szCs w:val="21"/>
        </w:rPr>
        <w:tab/>
      </w:r>
      <w:r w:rsidRPr="00771530">
        <w:rPr>
          <w:rFonts w:eastAsia="DejaVuSans-BoldOblique" w:cs="Arial"/>
          <w:b/>
          <w:bCs/>
          <w:iCs/>
          <w:sz w:val="21"/>
          <w:szCs w:val="21"/>
        </w:rPr>
        <w:tab/>
      </w:r>
      <w:r w:rsidRPr="00771530">
        <w:rPr>
          <w:rFonts w:eastAsia="DejaVuSans-BoldOblique" w:cs="Arial"/>
          <w:b/>
          <w:bCs/>
          <w:iCs/>
          <w:sz w:val="21"/>
          <w:szCs w:val="21"/>
        </w:rPr>
        <w:tab/>
      </w:r>
      <w:r w:rsidRPr="00771530">
        <w:rPr>
          <w:rFonts w:eastAsia="DejaVuSans-BoldOblique" w:cs="Arial"/>
          <w:b/>
          <w:bCs/>
          <w:iCs/>
          <w:sz w:val="21"/>
          <w:szCs w:val="21"/>
        </w:rPr>
        <w:tab/>
      </w:r>
      <w:r w:rsidRPr="00771530">
        <w:rPr>
          <w:rFonts w:eastAsia="DejaVuSans-BoldOblique" w:cs="Arial"/>
          <w:b/>
          <w:bCs/>
          <w:iCs/>
          <w:sz w:val="21"/>
          <w:szCs w:val="21"/>
        </w:rPr>
        <w:tab/>
      </w:r>
      <w:r w:rsidRPr="00771530">
        <w:rPr>
          <w:rFonts w:eastAsia="DejaVuSans-BoldOblique" w:cs="Arial"/>
          <w:b/>
          <w:bCs/>
          <w:iCs/>
          <w:sz w:val="21"/>
          <w:szCs w:val="21"/>
        </w:rPr>
        <w:tab/>
      </w:r>
      <w:r w:rsidR="0095385A">
        <w:rPr>
          <w:rFonts w:eastAsia="DejaVuSans-BoldOblique" w:cs="Arial"/>
          <w:b/>
          <w:bCs/>
          <w:iCs/>
          <w:sz w:val="21"/>
          <w:szCs w:val="21"/>
        </w:rPr>
        <w:t xml:space="preserve">  </w:t>
      </w:r>
      <w:r w:rsidRPr="00771530">
        <w:rPr>
          <w:rFonts w:eastAsia="DejaVuSans-BoldOblique" w:cs="Arial"/>
          <w:bCs/>
          <w:iCs/>
          <w:sz w:val="21"/>
          <w:szCs w:val="21"/>
        </w:rPr>
        <w:t>3</w:t>
      </w:r>
    </w:p>
    <w:p w14:paraId="5C8EC498" w14:textId="77777777" w:rsidR="00B473A2" w:rsidRPr="00771530" w:rsidRDefault="00B473A2" w:rsidP="00B473A2">
      <w:pPr>
        <w:ind w:left="448" w:hanging="448"/>
        <w:jc w:val="both"/>
        <w:rPr>
          <w:rFonts w:cs="Arial"/>
          <w:sz w:val="22"/>
          <w:szCs w:val="22"/>
        </w:rPr>
      </w:pPr>
    </w:p>
    <w:p w14:paraId="6C18F01B" w14:textId="43492793" w:rsidR="00B473A2" w:rsidRPr="00771530" w:rsidRDefault="00771530" w:rsidP="00B473A2">
      <w:pPr>
        <w:ind w:left="448" w:hanging="448"/>
        <w:jc w:val="both"/>
        <w:rPr>
          <w:rFonts w:cs="Arial"/>
          <w:sz w:val="22"/>
          <w:szCs w:val="22"/>
        </w:rPr>
      </w:pPr>
      <w:r w:rsidRPr="00771530">
        <w:rPr>
          <w:rFonts w:cs="Arial"/>
          <w:sz w:val="22"/>
          <w:szCs w:val="22"/>
        </w:rPr>
        <w:t>3</w:t>
      </w:r>
      <w:r w:rsidR="00A14D53">
        <w:rPr>
          <w:rFonts w:cs="Arial"/>
          <w:sz w:val="22"/>
          <w:szCs w:val="22"/>
        </w:rPr>
        <w:t>6</w:t>
      </w:r>
      <w:r w:rsidR="00B473A2" w:rsidRPr="00771530">
        <w:rPr>
          <w:rFonts w:cs="Arial"/>
          <w:sz w:val="22"/>
          <w:szCs w:val="22"/>
        </w:rPr>
        <w:t>.</w:t>
      </w:r>
      <w:r w:rsidR="00B473A2" w:rsidRPr="00771530">
        <w:rPr>
          <w:rFonts w:cs="Arial"/>
          <w:sz w:val="22"/>
          <w:szCs w:val="22"/>
        </w:rPr>
        <w:tab/>
        <w:t xml:space="preserve">Nearly one-third of Parties did not provide a response to any part of this section of the format.  Of those </w:t>
      </w:r>
      <w:r w:rsidR="005A4EA2">
        <w:rPr>
          <w:rFonts w:cs="Arial"/>
          <w:sz w:val="22"/>
          <w:szCs w:val="22"/>
        </w:rPr>
        <w:t>that</w:t>
      </w:r>
      <w:r w:rsidR="005A4EA2" w:rsidRPr="00771530">
        <w:rPr>
          <w:rFonts w:cs="Arial"/>
          <w:sz w:val="22"/>
          <w:szCs w:val="22"/>
        </w:rPr>
        <w:t xml:space="preserve"> </w:t>
      </w:r>
      <w:r w:rsidR="00B473A2" w:rsidRPr="00771530">
        <w:rPr>
          <w:rFonts w:cs="Arial"/>
          <w:sz w:val="22"/>
          <w:szCs w:val="22"/>
        </w:rPr>
        <w:t xml:space="preserve">did, the extent of completeness varied widely, from those </w:t>
      </w:r>
      <w:r w:rsidR="005A4EA2">
        <w:rPr>
          <w:rFonts w:cs="Arial"/>
          <w:sz w:val="22"/>
          <w:szCs w:val="22"/>
        </w:rPr>
        <w:t>that</w:t>
      </w:r>
      <w:r w:rsidR="005A4EA2" w:rsidRPr="00771530">
        <w:rPr>
          <w:rFonts w:cs="Arial"/>
          <w:sz w:val="22"/>
          <w:szCs w:val="22"/>
        </w:rPr>
        <w:t xml:space="preserve"> </w:t>
      </w:r>
      <w:r w:rsidR="00B473A2" w:rsidRPr="00771530">
        <w:rPr>
          <w:rFonts w:cs="Arial"/>
          <w:sz w:val="22"/>
          <w:szCs w:val="22"/>
        </w:rPr>
        <w:t xml:space="preserve">answered every relevant one of the topics, to those </w:t>
      </w:r>
      <w:r w:rsidR="005A4EA2">
        <w:rPr>
          <w:rFonts w:cs="Arial"/>
          <w:sz w:val="22"/>
          <w:szCs w:val="22"/>
        </w:rPr>
        <w:t>that</w:t>
      </w:r>
      <w:r w:rsidR="005A4EA2" w:rsidRPr="00771530">
        <w:rPr>
          <w:rFonts w:cs="Arial"/>
          <w:sz w:val="22"/>
          <w:szCs w:val="22"/>
        </w:rPr>
        <w:t xml:space="preserve"> </w:t>
      </w:r>
      <w:r w:rsidR="00B473A2" w:rsidRPr="00771530">
        <w:rPr>
          <w:rFonts w:cs="Arial"/>
          <w:sz w:val="22"/>
          <w:szCs w:val="22"/>
        </w:rPr>
        <w:t>answered only one or two of them.  A few of the listed topics cover similar ground to that covered in other sections in the report format, so if a Party has not said much about these issues in one of the places in the format where it has been asked to do so, it may have said more in the other.</w:t>
      </w:r>
    </w:p>
    <w:p w14:paraId="13C02370" w14:textId="77777777" w:rsidR="00B473A2" w:rsidRPr="00771530" w:rsidRDefault="00B473A2" w:rsidP="00B473A2">
      <w:pPr>
        <w:ind w:left="448" w:hanging="448"/>
        <w:jc w:val="both"/>
        <w:rPr>
          <w:rFonts w:cs="Arial"/>
          <w:sz w:val="22"/>
          <w:szCs w:val="22"/>
        </w:rPr>
      </w:pPr>
    </w:p>
    <w:p w14:paraId="4D1C3B41" w14:textId="77777777" w:rsidR="00B473A2" w:rsidRPr="00771530" w:rsidRDefault="00771530" w:rsidP="00B473A2">
      <w:pPr>
        <w:ind w:left="448" w:hanging="448"/>
        <w:jc w:val="both"/>
        <w:rPr>
          <w:rFonts w:cs="Arial"/>
          <w:sz w:val="22"/>
          <w:szCs w:val="22"/>
        </w:rPr>
      </w:pPr>
      <w:r w:rsidRPr="00771530">
        <w:rPr>
          <w:rFonts w:cs="Arial"/>
          <w:sz w:val="22"/>
          <w:szCs w:val="22"/>
        </w:rPr>
        <w:t>3</w:t>
      </w:r>
      <w:r w:rsidR="00A14D53">
        <w:rPr>
          <w:rFonts w:cs="Arial"/>
          <w:sz w:val="22"/>
          <w:szCs w:val="22"/>
        </w:rPr>
        <w:t>7</w:t>
      </w:r>
      <w:r w:rsidR="00B473A2" w:rsidRPr="00771530">
        <w:rPr>
          <w:rFonts w:cs="Arial"/>
          <w:sz w:val="22"/>
          <w:szCs w:val="22"/>
        </w:rPr>
        <w:t>.</w:t>
      </w:r>
      <w:r w:rsidR="00B473A2" w:rsidRPr="00771530">
        <w:rPr>
          <w:rFonts w:cs="Arial"/>
          <w:sz w:val="22"/>
          <w:szCs w:val="22"/>
        </w:rPr>
        <w:tab/>
        <w:t>The question asked in this case specifically refers to measures undertaken since the last report – although some Parties did not do this, and reported instead measures from previous cycles, there was no pre-filling of this section by the Secretariat with earlier data, so no analytical confusion has arisen from that cause at least in this part of the reports.  There is some suggestion</w:t>
      </w:r>
      <w:r w:rsidR="005A4EA2">
        <w:rPr>
          <w:rFonts w:cs="Arial"/>
          <w:sz w:val="22"/>
          <w:szCs w:val="22"/>
        </w:rPr>
        <w:t>,</w:t>
      </w:r>
      <w:r w:rsidR="00B473A2" w:rsidRPr="00771530">
        <w:rPr>
          <w:rFonts w:cs="Arial"/>
          <w:sz w:val="22"/>
          <w:szCs w:val="22"/>
        </w:rPr>
        <w:t xml:space="preserve"> however</w:t>
      </w:r>
      <w:r w:rsidR="005A4EA2">
        <w:rPr>
          <w:rFonts w:cs="Arial"/>
          <w:sz w:val="22"/>
          <w:szCs w:val="22"/>
        </w:rPr>
        <w:t>,</w:t>
      </w:r>
      <w:r w:rsidR="00B473A2" w:rsidRPr="00771530">
        <w:rPr>
          <w:rFonts w:cs="Arial"/>
          <w:sz w:val="22"/>
          <w:szCs w:val="22"/>
        </w:rPr>
        <w:t xml:space="preserve"> of different understandings among Parties about the extent to which certain strategically–expressed COP decisions have a national (and therefore reportable) implementation dimension to them.</w:t>
      </w:r>
    </w:p>
    <w:p w14:paraId="5A89153C" w14:textId="47DE5568" w:rsidR="0095385A" w:rsidRPr="00771530" w:rsidRDefault="0095385A" w:rsidP="00DD771F">
      <w:pPr>
        <w:jc w:val="both"/>
        <w:rPr>
          <w:rFonts w:cs="Arial"/>
          <w:sz w:val="22"/>
          <w:szCs w:val="22"/>
        </w:rPr>
      </w:pPr>
    </w:p>
    <w:p w14:paraId="36C9670B" w14:textId="46D50581" w:rsidR="00B473A2" w:rsidRDefault="00771530" w:rsidP="00B473A2">
      <w:pPr>
        <w:ind w:left="448" w:hanging="448"/>
        <w:jc w:val="both"/>
        <w:rPr>
          <w:rFonts w:cs="Arial"/>
          <w:sz w:val="22"/>
          <w:szCs w:val="22"/>
        </w:rPr>
      </w:pPr>
      <w:r w:rsidRPr="00771530">
        <w:rPr>
          <w:rFonts w:cs="Arial"/>
          <w:sz w:val="22"/>
          <w:szCs w:val="22"/>
        </w:rPr>
        <w:t>3</w:t>
      </w:r>
      <w:r w:rsidR="00A14D53">
        <w:rPr>
          <w:rFonts w:cs="Arial"/>
          <w:sz w:val="22"/>
          <w:szCs w:val="22"/>
        </w:rPr>
        <w:t>8</w:t>
      </w:r>
      <w:r w:rsidR="00B473A2" w:rsidRPr="00771530">
        <w:rPr>
          <w:rFonts w:cs="Arial"/>
          <w:sz w:val="22"/>
          <w:szCs w:val="22"/>
        </w:rPr>
        <w:t>.</w:t>
      </w:r>
      <w:r w:rsidR="00B473A2" w:rsidRPr="00771530">
        <w:rPr>
          <w:rFonts w:cs="Arial"/>
          <w:sz w:val="22"/>
          <w:szCs w:val="22"/>
        </w:rPr>
        <w:tab/>
        <w:t xml:space="preserve">The list above is necessarily different from that presented in the preceding triennium’s report format, since it incorporates Resolutions adopted at COP11.  Highlights of the responses given </w:t>
      </w:r>
      <w:r w:rsidR="00B473A2" w:rsidRPr="00771530">
        <w:rPr>
          <w:rFonts w:cs="Arial"/>
          <w:sz w:val="22"/>
          <w:szCs w:val="22"/>
        </w:rPr>
        <w:lastRenderedPageBreak/>
        <w:t>on each of the topics are summari</w:t>
      </w:r>
      <w:r w:rsidR="008C1B72">
        <w:rPr>
          <w:rFonts w:cs="Arial"/>
          <w:sz w:val="22"/>
          <w:szCs w:val="22"/>
        </w:rPr>
        <w:t>z</w:t>
      </w:r>
      <w:r w:rsidR="00B473A2" w:rsidRPr="00771530">
        <w:rPr>
          <w:rFonts w:cs="Arial"/>
          <w:sz w:val="22"/>
          <w:szCs w:val="22"/>
        </w:rPr>
        <w:t>ed in the full analysis document, and they represent a rich body of intelligence on targeted implementation activity.</w:t>
      </w:r>
    </w:p>
    <w:p w14:paraId="2FD8196B" w14:textId="458C1636" w:rsidR="0095385A" w:rsidRPr="00771530" w:rsidRDefault="0095385A" w:rsidP="00B473A2">
      <w:pPr>
        <w:ind w:left="448" w:hanging="448"/>
        <w:jc w:val="both"/>
        <w:rPr>
          <w:rFonts w:cs="Arial"/>
          <w:sz w:val="22"/>
          <w:szCs w:val="22"/>
        </w:rPr>
      </w:pPr>
    </w:p>
    <w:p w14:paraId="230AD5D7" w14:textId="64018B9F" w:rsidR="00901315" w:rsidRPr="00771530" w:rsidRDefault="00B473A2" w:rsidP="0034108A">
      <w:pPr>
        <w:jc w:val="both"/>
        <w:rPr>
          <w:rFonts w:cs="Arial"/>
          <w:sz w:val="22"/>
          <w:szCs w:val="22"/>
          <w:u w:val="single"/>
        </w:rPr>
      </w:pPr>
      <w:r w:rsidRPr="00771530">
        <w:rPr>
          <w:rFonts w:cs="Arial"/>
          <w:sz w:val="22"/>
          <w:szCs w:val="22"/>
          <w:u w:val="single"/>
        </w:rPr>
        <w:t>Conclusions and recommendations</w:t>
      </w:r>
    </w:p>
    <w:p w14:paraId="71BA64C8" w14:textId="77777777" w:rsidR="00BC79EE" w:rsidRPr="00771530" w:rsidRDefault="00BC79EE" w:rsidP="002B1990">
      <w:pPr>
        <w:ind w:left="448" w:hanging="448"/>
        <w:jc w:val="both"/>
        <w:rPr>
          <w:rFonts w:cs="Arial"/>
          <w:sz w:val="22"/>
          <w:szCs w:val="22"/>
        </w:rPr>
      </w:pPr>
    </w:p>
    <w:p w14:paraId="16B93808" w14:textId="27317153" w:rsidR="009627C0" w:rsidRPr="00771530" w:rsidRDefault="00771530" w:rsidP="009627C0">
      <w:pPr>
        <w:ind w:left="448" w:hanging="448"/>
        <w:jc w:val="both"/>
        <w:rPr>
          <w:rFonts w:cs="Arial"/>
          <w:sz w:val="22"/>
          <w:szCs w:val="22"/>
        </w:rPr>
      </w:pPr>
      <w:r w:rsidRPr="00771530">
        <w:rPr>
          <w:rFonts w:cs="Arial"/>
          <w:sz w:val="22"/>
          <w:szCs w:val="22"/>
        </w:rPr>
        <w:t>3</w:t>
      </w:r>
      <w:r w:rsidR="00A14D53">
        <w:rPr>
          <w:rFonts w:cs="Arial"/>
          <w:sz w:val="22"/>
          <w:szCs w:val="22"/>
        </w:rPr>
        <w:t>9</w:t>
      </w:r>
      <w:r w:rsidR="009627C0" w:rsidRPr="00771530">
        <w:rPr>
          <w:rFonts w:cs="Arial"/>
          <w:sz w:val="22"/>
          <w:szCs w:val="22"/>
        </w:rPr>
        <w:t>.</w:t>
      </w:r>
      <w:r w:rsidR="009627C0" w:rsidRPr="00771530">
        <w:rPr>
          <w:rFonts w:cs="Arial"/>
          <w:sz w:val="22"/>
          <w:szCs w:val="22"/>
        </w:rPr>
        <w:tab/>
        <w:t>The increased reporting rate achieved for the COP12 cycle is a positive achievement (72</w:t>
      </w:r>
      <w:r w:rsidR="005A4EA2">
        <w:rPr>
          <w:rFonts w:cs="Arial"/>
          <w:sz w:val="22"/>
          <w:szCs w:val="22"/>
        </w:rPr>
        <w:t xml:space="preserve"> per cent</w:t>
      </w:r>
      <w:r w:rsidR="009627C0" w:rsidRPr="00771530">
        <w:rPr>
          <w:rFonts w:cs="Arial"/>
          <w:sz w:val="22"/>
          <w:szCs w:val="22"/>
        </w:rPr>
        <w:t xml:space="preserve"> of eligible </w:t>
      </w:r>
      <w:r w:rsidR="00993105">
        <w:rPr>
          <w:rFonts w:cs="Arial"/>
          <w:sz w:val="22"/>
          <w:szCs w:val="22"/>
        </w:rPr>
        <w:t>countries</w:t>
      </w:r>
      <w:r w:rsidR="009627C0" w:rsidRPr="00771530">
        <w:rPr>
          <w:rFonts w:cs="Arial"/>
          <w:sz w:val="22"/>
          <w:szCs w:val="22"/>
        </w:rPr>
        <w:t>, a higher figure than in any of the previous four triennia).  The analysis undertaken here does not reveal reasons for this increase, but improvements in the process in recent years (on-line submission etc</w:t>
      </w:r>
      <w:r w:rsidR="008C1B72">
        <w:rPr>
          <w:rFonts w:cs="Arial"/>
          <w:sz w:val="22"/>
          <w:szCs w:val="22"/>
        </w:rPr>
        <w:t>.</w:t>
      </w:r>
      <w:r w:rsidR="009627C0" w:rsidRPr="00771530">
        <w:rPr>
          <w:rFonts w:cs="Arial"/>
          <w:sz w:val="22"/>
          <w:szCs w:val="22"/>
        </w:rPr>
        <w:t>) are likely to have played a part.</w:t>
      </w:r>
    </w:p>
    <w:p w14:paraId="5AA7499F" w14:textId="77777777" w:rsidR="009627C0" w:rsidRPr="00771530" w:rsidRDefault="009627C0" w:rsidP="009627C0">
      <w:pPr>
        <w:ind w:left="448" w:hanging="448"/>
        <w:jc w:val="both"/>
        <w:rPr>
          <w:rFonts w:cs="Arial"/>
          <w:sz w:val="22"/>
          <w:szCs w:val="22"/>
        </w:rPr>
      </w:pPr>
    </w:p>
    <w:p w14:paraId="5EC033DF" w14:textId="77777777" w:rsidR="009627C0" w:rsidRPr="00771530" w:rsidRDefault="00A14D53" w:rsidP="009627C0">
      <w:pPr>
        <w:ind w:left="448" w:hanging="448"/>
        <w:jc w:val="both"/>
        <w:rPr>
          <w:rFonts w:cs="Arial"/>
          <w:sz w:val="22"/>
          <w:szCs w:val="22"/>
        </w:rPr>
      </w:pPr>
      <w:r>
        <w:rPr>
          <w:rFonts w:cs="Arial"/>
          <w:sz w:val="22"/>
          <w:szCs w:val="22"/>
        </w:rPr>
        <w:t>40</w:t>
      </w:r>
      <w:r w:rsidR="009627C0" w:rsidRPr="00771530">
        <w:rPr>
          <w:rFonts w:cs="Arial"/>
          <w:sz w:val="22"/>
          <w:szCs w:val="22"/>
        </w:rPr>
        <w:t>.</w:t>
      </w:r>
      <w:r w:rsidR="009627C0" w:rsidRPr="00771530">
        <w:rPr>
          <w:rFonts w:cs="Arial"/>
          <w:sz w:val="22"/>
          <w:szCs w:val="22"/>
        </w:rPr>
        <w:tab/>
        <w:t>The resulting international overview is very helpful for Convention monitoring, and it should help to inform new decisions being taken by the COP.  On this occasion</w:t>
      </w:r>
      <w:r w:rsidR="008C1B72">
        <w:rPr>
          <w:rFonts w:cs="Arial"/>
          <w:sz w:val="22"/>
          <w:szCs w:val="22"/>
        </w:rPr>
        <w:t>,</w:t>
      </w:r>
      <w:r w:rsidR="009627C0" w:rsidRPr="00771530">
        <w:rPr>
          <w:rFonts w:cs="Arial"/>
          <w:sz w:val="22"/>
          <w:szCs w:val="22"/>
        </w:rPr>
        <w:t xml:space="preserve"> it also allows some (albeit unquantified) reflection on progress towards the achievement of goals and targets in the Strategic Plan for Migratory Species 2015-2023, which in turn contributes to other environmental objectives agreed by the international community.</w:t>
      </w:r>
    </w:p>
    <w:p w14:paraId="0E92ED6C" w14:textId="77777777" w:rsidR="009627C0" w:rsidRPr="00771530" w:rsidRDefault="009627C0" w:rsidP="009627C0">
      <w:pPr>
        <w:ind w:left="448" w:hanging="448"/>
        <w:jc w:val="both"/>
        <w:rPr>
          <w:rFonts w:cs="Arial"/>
          <w:sz w:val="22"/>
          <w:szCs w:val="22"/>
        </w:rPr>
      </w:pPr>
    </w:p>
    <w:p w14:paraId="35AB01EE" w14:textId="77777777" w:rsidR="009627C0" w:rsidRPr="00771530" w:rsidRDefault="00771530" w:rsidP="009627C0">
      <w:pPr>
        <w:ind w:left="448" w:hanging="448"/>
        <w:jc w:val="both"/>
        <w:rPr>
          <w:rFonts w:cs="Arial"/>
          <w:sz w:val="22"/>
          <w:szCs w:val="22"/>
        </w:rPr>
      </w:pPr>
      <w:r w:rsidRPr="00771530">
        <w:rPr>
          <w:rFonts w:cs="Arial"/>
          <w:sz w:val="22"/>
          <w:szCs w:val="22"/>
        </w:rPr>
        <w:t>4</w:t>
      </w:r>
      <w:r w:rsidR="00A14D53">
        <w:rPr>
          <w:rFonts w:cs="Arial"/>
          <w:sz w:val="22"/>
          <w:szCs w:val="22"/>
        </w:rPr>
        <w:t>1</w:t>
      </w:r>
      <w:r w:rsidR="009627C0" w:rsidRPr="00771530">
        <w:rPr>
          <w:rFonts w:cs="Arial"/>
          <w:sz w:val="22"/>
          <w:szCs w:val="22"/>
        </w:rPr>
        <w:t>.</w:t>
      </w:r>
      <w:r w:rsidR="009627C0" w:rsidRPr="00771530">
        <w:rPr>
          <w:rFonts w:cs="Arial"/>
          <w:sz w:val="22"/>
          <w:szCs w:val="22"/>
        </w:rPr>
        <w:tab/>
        <w:t>Good use should also be made of the ability to consult the national reports directly as an invaluable resource for supporting coordinated efforts among all stakeholders who play a part in implementation of the Convention at national and local levels, and in transboundary and regional contexts.</w:t>
      </w:r>
    </w:p>
    <w:p w14:paraId="7C75DC0D" w14:textId="77777777" w:rsidR="009627C0" w:rsidRPr="00771530" w:rsidRDefault="009627C0" w:rsidP="009627C0">
      <w:pPr>
        <w:ind w:left="448" w:hanging="448"/>
        <w:jc w:val="both"/>
        <w:rPr>
          <w:rFonts w:cs="Arial"/>
          <w:sz w:val="22"/>
          <w:szCs w:val="22"/>
        </w:rPr>
      </w:pPr>
    </w:p>
    <w:p w14:paraId="5087E1B2" w14:textId="77777777" w:rsidR="009627C0" w:rsidRPr="00771530" w:rsidRDefault="009627C0" w:rsidP="009627C0">
      <w:pPr>
        <w:ind w:firstLine="448"/>
        <w:rPr>
          <w:rFonts w:cs="Arial"/>
          <w:i/>
          <w:sz w:val="22"/>
          <w:szCs w:val="22"/>
        </w:rPr>
      </w:pPr>
      <w:r w:rsidRPr="00771530">
        <w:rPr>
          <w:rFonts w:cs="Arial"/>
          <w:i/>
          <w:sz w:val="22"/>
          <w:szCs w:val="22"/>
        </w:rPr>
        <w:t>Convention implementation</w:t>
      </w:r>
    </w:p>
    <w:p w14:paraId="07EA56FD" w14:textId="77777777" w:rsidR="009627C0" w:rsidRPr="00771530" w:rsidRDefault="009627C0" w:rsidP="009627C0">
      <w:pPr>
        <w:ind w:left="448" w:hanging="448"/>
        <w:jc w:val="both"/>
        <w:rPr>
          <w:rFonts w:cs="Arial"/>
          <w:sz w:val="22"/>
          <w:szCs w:val="22"/>
        </w:rPr>
      </w:pPr>
    </w:p>
    <w:p w14:paraId="4417DBE9" w14:textId="1046F926" w:rsidR="009627C0" w:rsidRPr="009627C0" w:rsidRDefault="00771530" w:rsidP="009627C0">
      <w:pPr>
        <w:ind w:left="448" w:hanging="448"/>
        <w:jc w:val="both"/>
        <w:rPr>
          <w:rFonts w:cs="Arial"/>
          <w:sz w:val="22"/>
          <w:szCs w:val="22"/>
        </w:rPr>
      </w:pPr>
      <w:r w:rsidRPr="00771530">
        <w:rPr>
          <w:rFonts w:cs="Arial"/>
          <w:sz w:val="22"/>
          <w:szCs w:val="22"/>
        </w:rPr>
        <w:t>4</w:t>
      </w:r>
      <w:r w:rsidR="00A14D53">
        <w:rPr>
          <w:rFonts w:cs="Arial"/>
          <w:sz w:val="22"/>
          <w:szCs w:val="22"/>
        </w:rPr>
        <w:t>2</w:t>
      </w:r>
      <w:r w:rsidR="009627C0" w:rsidRPr="00771530">
        <w:rPr>
          <w:rFonts w:cs="Arial"/>
          <w:sz w:val="22"/>
          <w:szCs w:val="22"/>
        </w:rPr>
        <w:t>.</w:t>
      </w:r>
      <w:r w:rsidR="009627C0" w:rsidRPr="00771530">
        <w:rPr>
          <w:rFonts w:cs="Arial"/>
          <w:sz w:val="22"/>
          <w:szCs w:val="22"/>
        </w:rPr>
        <w:tab/>
        <w:t>From responses given on the addition of new species to the Convention Appendices, it seems</w:t>
      </w:r>
      <w:r w:rsidR="009627C0" w:rsidRPr="009627C0">
        <w:rPr>
          <w:rFonts w:cs="Arial"/>
          <w:sz w:val="22"/>
          <w:szCs w:val="22"/>
        </w:rPr>
        <w:t xml:space="preserve"> that a number of Parties may be relying on out of date versions of the Appendix lists.  Even in respect of genuinely unlisted taxa, a considerable mismatch has been revealed between intentions stated in the national reports concerning listing proposals and the actual proposals submitted to COP, although the reasons for this are unclear.</w:t>
      </w:r>
    </w:p>
    <w:p w14:paraId="625C55BB" w14:textId="77777777" w:rsidR="009627C0" w:rsidRPr="009627C0" w:rsidRDefault="009627C0" w:rsidP="009627C0">
      <w:pPr>
        <w:ind w:left="448" w:hanging="448"/>
        <w:jc w:val="both"/>
        <w:rPr>
          <w:rFonts w:cs="Arial"/>
          <w:sz w:val="16"/>
          <w:szCs w:val="16"/>
        </w:rPr>
      </w:pPr>
    </w:p>
    <w:p w14:paraId="0B51C9D8" w14:textId="2ED53B58" w:rsidR="009627C0" w:rsidRPr="009627C0" w:rsidRDefault="009627C0" w:rsidP="009627C0">
      <w:pPr>
        <w:ind w:left="851"/>
        <w:rPr>
          <w:rFonts w:cs="Arial"/>
          <w:i/>
          <w:sz w:val="22"/>
          <w:szCs w:val="22"/>
        </w:rPr>
      </w:pPr>
      <w:r w:rsidRPr="009627C0">
        <w:rPr>
          <w:rFonts w:cs="Arial"/>
          <w:b/>
          <w:i/>
          <w:sz w:val="22"/>
          <w:szCs w:val="22"/>
        </w:rPr>
        <w:t>Recommendation 1</w:t>
      </w:r>
      <w:r w:rsidRPr="009627C0">
        <w:rPr>
          <w:rFonts w:cs="Arial"/>
          <w:i/>
          <w:sz w:val="22"/>
          <w:szCs w:val="22"/>
        </w:rPr>
        <w:t xml:space="preserve">:  It would be worth investigating any difficulties that Parties have experienced </w:t>
      </w:r>
      <w:r w:rsidR="005A4EA2">
        <w:rPr>
          <w:rFonts w:cs="Arial"/>
          <w:i/>
          <w:sz w:val="22"/>
          <w:szCs w:val="22"/>
        </w:rPr>
        <w:t>that</w:t>
      </w:r>
      <w:r w:rsidR="005A4EA2" w:rsidRPr="009627C0">
        <w:rPr>
          <w:rFonts w:cs="Arial"/>
          <w:i/>
          <w:sz w:val="22"/>
          <w:szCs w:val="22"/>
        </w:rPr>
        <w:t xml:space="preserve"> </w:t>
      </w:r>
      <w:r w:rsidRPr="009627C0">
        <w:rPr>
          <w:rFonts w:cs="Arial"/>
          <w:i/>
          <w:sz w:val="22"/>
          <w:szCs w:val="22"/>
        </w:rPr>
        <w:t>may be the cause of the observed lack of alignment between positions on Appendix listing revealed in national reports, compared with those revealed by formal listing proposals.</w:t>
      </w:r>
    </w:p>
    <w:p w14:paraId="5BB90DF4" w14:textId="77777777" w:rsidR="009627C0" w:rsidRPr="009627C0" w:rsidRDefault="009627C0" w:rsidP="009627C0">
      <w:pPr>
        <w:ind w:left="448" w:hanging="448"/>
        <w:jc w:val="both"/>
        <w:rPr>
          <w:rFonts w:cs="Arial"/>
          <w:sz w:val="22"/>
          <w:szCs w:val="22"/>
        </w:rPr>
      </w:pPr>
    </w:p>
    <w:p w14:paraId="6559231A" w14:textId="45526FAB" w:rsidR="009627C0" w:rsidRPr="00771530" w:rsidRDefault="00771530" w:rsidP="009627C0">
      <w:pPr>
        <w:ind w:left="448" w:hanging="448"/>
        <w:jc w:val="both"/>
        <w:rPr>
          <w:rFonts w:cs="Arial"/>
          <w:sz w:val="22"/>
          <w:szCs w:val="22"/>
        </w:rPr>
      </w:pPr>
      <w:r w:rsidRPr="00771530">
        <w:rPr>
          <w:rFonts w:cs="Arial"/>
          <w:sz w:val="22"/>
          <w:szCs w:val="22"/>
        </w:rPr>
        <w:t>4</w:t>
      </w:r>
      <w:r w:rsidR="00A14D53">
        <w:rPr>
          <w:rFonts w:cs="Arial"/>
          <w:sz w:val="22"/>
          <w:szCs w:val="22"/>
        </w:rPr>
        <w:t>3</w:t>
      </w:r>
      <w:r w:rsidR="009627C0" w:rsidRPr="00771530">
        <w:rPr>
          <w:rFonts w:cs="Arial"/>
          <w:sz w:val="22"/>
          <w:szCs w:val="22"/>
        </w:rPr>
        <w:t>.</w:t>
      </w:r>
      <w:r w:rsidR="009627C0" w:rsidRPr="00771530">
        <w:rPr>
          <w:rFonts w:cs="Arial"/>
          <w:sz w:val="22"/>
          <w:szCs w:val="22"/>
        </w:rPr>
        <w:tab/>
        <w:t>The reports demonstrate continuing interest among Parties in developing new Agreements/M</w:t>
      </w:r>
      <w:r w:rsidR="005A4EA2">
        <w:rPr>
          <w:rFonts w:cs="Arial"/>
          <w:sz w:val="22"/>
          <w:szCs w:val="22"/>
        </w:rPr>
        <w:t>O</w:t>
      </w:r>
      <w:r w:rsidR="009627C0" w:rsidRPr="00771530">
        <w:rPr>
          <w:rFonts w:cs="Arial"/>
          <w:sz w:val="22"/>
          <w:szCs w:val="22"/>
        </w:rPr>
        <w:t>Us under CMS, which is an action that supports aspects of Targets 3 and 9 in the Strategic Plan.  Part of what has been reported on this</w:t>
      </w:r>
      <w:r w:rsidR="005A4EA2">
        <w:rPr>
          <w:rFonts w:cs="Arial"/>
          <w:sz w:val="22"/>
          <w:szCs w:val="22"/>
        </w:rPr>
        <w:t>,</w:t>
      </w:r>
      <w:r w:rsidR="009627C0" w:rsidRPr="00771530">
        <w:rPr>
          <w:rFonts w:cs="Arial"/>
          <w:sz w:val="22"/>
          <w:szCs w:val="22"/>
        </w:rPr>
        <w:t xml:space="preserve"> however</w:t>
      </w:r>
      <w:r w:rsidR="005A4EA2">
        <w:rPr>
          <w:rFonts w:cs="Arial"/>
          <w:sz w:val="22"/>
          <w:szCs w:val="22"/>
        </w:rPr>
        <w:t>,</w:t>
      </w:r>
      <w:r w:rsidR="009627C0" w:rsidRPr="00771530">
        <w:rPr>
          <w:rFonts w:cs="Arial"/>
          <w:sz w:val="22"/>
          <w:szCs w:val="22"/>
        </w:rPr>
        <w:t xml:space="preserve"> concerns other frameworks such as Action Plans or other transboundary cooperation arrangements.  Individual Parties’ thinking on this may also sometimes be combined with (or replaced by) thinking on options for Concerted Actions under the Convention, yet that is not addressed in the same part of the national reports (it has featured instead, in the latest format, in the separate section on Resolutions and Recommendations).  In recent years</w:t>
      </w:r>
      <w:r w:rsidR="008C1B72">
        <w:rPr>
          <w:rFonts w:cs="Arial"/>
          <w:sz w:val="22"/>
          <w:szCs w:val="22"/>
        </w:rPr>
        <w:t>,</w:t>
      </w:r>
      <w:r w:rsidR="009627C0" w:rsidRPr="00771530">
        <w:rPr>
          <w:rFonts w:cs="Arial"/>
          <w:sz w:val="22"/>
          <w:szCs w:val="22"/>
        </w:rPr>
        <w:t xml:space="preserve"> there has been some philosophical convergence and streamlining of rationales among all these processes (for example in Resolutions 11.12 and 11.13), but there may be a case for still further rationali</w:t>
      </w:r>
      <w:r w:rsidR="008C1B72">
        <w:rPr>
          <w:rFonts w:cs="Arial"/>
          <w:sz w:val="22"/>
          <w:szCs w:val="22"/>
        </w:rPr>
        <w:t>z</w:t>
      </w:r>
      <w:r w:rsidR="009627C0" w:rsidRPr="00771530">
        <w:rPr>
          <w:rFonts w:cs="Arial"/>
          <w:sz w:val="22"/>
          <w:szCs w:val="22"/>
        </w:rPr>
        <w:t>ation of the overall “menu of cooperation options” available to Parties in this context.</w:t>
      </w:r>
    </w:p>
    <w:p w14:paraId="27A49801" w14:textId="77777777" w:rsidR="009627C0" w:rsidRPr="00771530" w:rsidRDefault="009627C0" w:rsidP="009627C0">
      <w:pPr>
        <w:ind w:left="448" w:hanging="448"/>
        <w:jc w:val="both"/>
        <w:rPr>
          <w:rFonts w:cs="Arial"/>
          <w:sz w:val="16"/>
          <w:szCs w:val="16"/>
        </w:rPr>
      </w:pPr>
    </w:p>
    <w:p w14:paraId="706825FE" w14:textId="6DA6DFA3" w:rsidR="009627C0" w:rsidRPr="00771530" w:rsidRDefault="009627C0" w:rsidP="009627C0">
      <w:pPr>
        <w:ind w:left="851"/>
        <w:rPr>
          <w:rFonts w:cs="Arial"/>
          <w:i/>
          <w:sz w:val="22"/>
          <w:szCs w:val="22"/>
        </w:rPr>
      </w:pPr>
      <w:r w:rsidRPr="00771530">
        <w:rPr>
          <w:rFonts w:cs="Arial"/>
          <w:b/>
          <w:i/>
          <w:sz w:val="22"/>
          <w:szCs w:val="22"/>
        </w:rPr>
        <w:t>Recommendation 2</w:t>
      </w:r>
      <w:r w:rsidRPr="00771530">
        <w:rPr>
          <w:rFonts w:cs="Arial"/>
          <w:i/>
          <w:sz w:val="22"/>
          <w:szCs w:val="22"/>
        </w:rPr>
        <w:t>:  Consider the possible scope for further streamlining/rationali</w:t>
      </w:r>
      <w:r w:rsidR="008C1B72">
        <w:rPr>
          <w:rFonts w:cs="Arial"/>
          <w:i/>
          <w:sz w:val="22"/>
          <w:szCs w:val="22"/>
        </w:rPr>
        <w:t>z</w:t>
      </w:r>
      <w:r w:rsidRPr="00771530">
        <w:rPr>
          <w:rFonts w:cs="Arial"/>
          <w:i/>
          <w:sz w:val="22"/>
          <w:szCs w:val="22"/>
        </w:rPr>
        <w:t>ation of the way in which options for constructing cooperati</w:t>
      </w:r>
      <w:r w:rsidR="005A4EA2">
        <w:rPr>
          <w:rFonts w:cs="Arial"/>
          <w:i/>
          <w:sz w:val="22"/>
          <w:szCs w:val="22"/>
        </w:rPr>
        <w:t>ve</w:t>
      </w:r>
      <w:r w:rsidRPr="00771530">
        <w:rPr>
          <w:rFonts w:cs="Arial"/>
          <w:i/>
          <w:sz w:val="22"/>
          <w:szCs w:val="22"/>
        </w:rPr>
        <w:t xml:space="preserve"> frameworks available under the Convention (Agreements, transboundary arrangements, Concerted Actions etc</w:t>
      </w:r>
      <w:r w:rsidR="008C1B72">
        <w:rPr>
          <w:rFonts w:cs="Arial"/>
          <w:i/>
          <w:sz w:val="22"/>
          <w:szCs w:val="22"/>
        </w:rPr>
        <w:t>.</w:t>
      </w:r>
      <w:r w:rsidRPr="00771530">
        <w:rPr>
          <w:rFonts w:cs="Arial"/>
          <w:i/>
          <w:sz w:val="22"/>
          <w:szCs w:val="22"/>
        </w:rPr>
        <w:t>) are presented to Parties, including in the structure of related reporting processes.</w:t>
      </w:r>
    </w:p>
    <w:p w14:paraId="162D92F9" w14:textId="1FC8C26D" w:rsidR="0095385A" w:rsidRPr="00771530" w:rsidRDefault="0095385A" w:rsidP="0095385A">
      <w:pPr>
        <w:jc w:val="both"/>
        <w:rPr>
          <w:rFonts w:cs="Arial"/>
          <w:sz w:val="22"/>
          <w:szCs w:val="22"/>
        </w:rPr>
      </w:pPr>
    </w:p>
    <w:p w14:paraId="158DB338" w14:textId="1EECAC61" w:rsidR="009627C0" w:rsidRDefault="00771530" w:rsidP="0034108A">
      <w:pPr>
        <w:ind w:left="448" w:hanging="448"/>
        <w:jc w:val="both"/>
        <w:rPr>
          <w:rFonts w:cs="Arial"/>
          <w:sz w:val="22"/>
          <w:szCs w:val="22"/>
        </w:rPr>
      </w:pPr>
      <w:r w:rsidRPr="00771530">
        <w:rPr>
          <w:rFonts w:cs="Arial"/>
          <w:sz w:val="22"/>
          <w:szCs w:val="22"/>
        </w:rPr>
        <w:t>4</w:t>
      </w:r>
      <w:r w:rsidR="00A14D53">
        <w:rPr>
          <w:rFonts w:cs="Arial"/>
          <w:sz w:val="22"/>
          <w:szCs w:val="22"/>
        </w:rPr>
        <w:t>4</w:t>
      </w:r>
      <w:r w:rsidR="009627C0" w:rsidRPr="00771530">
        <w:rPr>
          <w:rFonts w:cs="Arial"/>
          <w:sz w:val="22"/>
          <w:szCs w:val="22"/>
        </w:rPr>
        <w:t>.</w:t>
      </w:r>
      <w:r w:rsidR="009627C0" w:rsidRPr="00771530">
        <w:rPr>
          <w:rFonts w:cs="Arial"/>
          <w:sz w:val="22"/>
          <w:szCs w:val="22"/>
        </w:rPr>
        <w:tab/>
        <w:t xml:space="preserve">The information on “outcomes” in the protected areas section of the national reports does not allow any systematic measurement of the contributions being made by national protected area activities towards the achievement of the relevant target (Target 10) in the </w:t>
      </w:r>
      <w:r w:rsidR="00D01EBA">
        <w:rPr>
          <w:rFonts w:cs="Arial"/>
          <w:sz w:val="22"/>
          <w:szCs w:val="22"/>
        </w:rPr>
        <w:t>SPMS</w:t>
      </w:r>
      <w:r w:rsidR="009627C0" w:rsidRPr="00771530">
        <w:rPr>
          <w:rFonts w:cs="Arial"/>
          <w:sz w:val="22"/>
          <w:szCs w:val="22"/>
        </w:rPr>
        <w:t xml:space="preserve">, but it does at least demonstrate that there is evidence of significant moves being made in the desired </w:t>
      </w:r>
      <w:r w:rsidR="009627C0" w:rsidRPr="00771530">
        <w:rPr>
          <w:rFonts w:cs="Arial"/>
          <w:sz w:val="22"/>
          <w:szCs w:val="22"/>
        </w:rPr>
        <w:lastRenderedPageBreak/>
        <w:t>direction.  In any event the reports have valuably flagged particular issues which, in each individual country context (for those countries providing responses), can be tracked from one reporting period to another, and should help with planning and prioriti</w:t>
      </w:r>
      <w:r w:rsidR="008C1B72">
        <w:rPr>
          <w:rFonts w:cs="Arial"/>
          <w:sz w:val="22"/>
          <w:szCs w:val="22"/>
        </w:rPr>
        <w:t>z</w:t>
      </w:r>
      <w:r w:rsidR="009627C0" w:rsidRPr="00771530">
        <w:rPr>
          <w:rFonts w:cs="Arial"/>
          <w:sz w:val="22"/>
          <w:szCs w:val="22"/>
        </w:rPr>
        <w:t>ing future action.</w:t>
      </w:r>
    </w:p>
    <w:p w14:paraId="789DB796" w14:textId="77777777" w:rsidR="0095385A" w:rsidRPr="00771530" w:rsidRDefault="0095385A" w:rsidP="0034108A">
      <w:pPr>
        <w:ind w:left="448" w:hanging="448"/>
        <w:jc w:val="both"/>
        <w:rPr>
          <w:rFonts w:cs="Arial"/>
          <w:sz w:val="22"/>
          <w:szCs w:val="22"/>
        </w:rPr>
      </w:pPr>
    </w:p>
    <w:p w14:paraId="7821185F" w14:textId="4B6DB9B6" w:rsidR="009627C0" w:rsidRPr="00771530" w:rsidRDefault="00771530" w:rsidP="009627C0">
      <w:pPr>
        <w:ind w:left="448" w:hanging="448"/>
        <w:jc w:val="both"/>
        <w:rPr>
          <w:rFonts w:cs="Arial"/>
          <w:sz w:val="22"/>
          <w:szCs w:val="22"/>
        </w:rPr>
      </w:pPr>
      <w:r w:rsidRPr="00771530">
        <w:rPr>
          <w:rFonts w:cs="Arial"/>
          <w:sz w:val="22"/>
          <w:szCs w:val="22"/>
        </w:rPr>
        <w:t>4</w:t>
      </w:r>
      <w:r w:rsidR="00A14D53">
        <w:rPr>
          <w:rFonts w:cs="Arial"/>
          <w:sz w:val="22"/>
          <w:szCs w:val="22"/>
        </w:rPr>
        <w:t>5</w:t>
      </w:r>
      <w:r w:rsidR="009627C0" w:rsidRPr="00771530">
        <w:rPr>
          <w:rFonts w:cs="Arial"/>
          <w:sz w:val="22"/>
          <w:szCs w:val="22"/>
        </w:rPr>
        <w:t>.</w:t>
      </w:r>
      <w:r w:rsidR="009627C0" w:rsidRPr="00771530">
        <w:rPr>
          <w:rFonts w:cs="Arial"/>
          <w:sz w:val="22"/>
          <w:szCs w:val="22"/>
        </w:rPr>
        <w:tab/>
        <w:t xml:space="preserve">It appears that Parties often find it difficult to isolate and account specifically for the migratory species component of wider conservation programmes (for example protected areas and ecological networks); and that they similarly find it difficult to disaggregate aquatic/terrestrial/marine </w:t>
      </w:r>
      <w:r w:rsidR="00F53DE6">
        <w:rPr>
          <w:rFonts w:cs="Arial"/>
          <w:sz w:val="22"/>
          <w:szCs w:val="22"/>
        </w:rPr>
        <w:t>environments</w:t>
      </w:r>
      <w:r w:rsidR="00F53DE6" w:rsidRPr="00771530">
        <w:rPr>
          <w:rFonts w:cs="Arial"/>
          <w:sz w:val="22"/>
          <w:szCs w:val="22"/>
        </w:rPr>
        <w:t xml:space="preserve"> </w:t>
      </w:r>
      <w:r w:rsidR="009627C0" w:rsidRPr="00771530">
        <w:rPr>
          <w:rFonts w:cs="Arial"/>
          <w:sz w:val="22"/>
          <w:szCs w:val="22"/>
        </w:rPr>
        <w:t>in the way suggested by several CMS systems</w:t>
      </w:r>
      <w:r w:rsidR="00B76E4A">
        <w:rPr>
          <w:rFonts w:cs="Arial"/>
          <w:sz w:val="22"/>
          <w:szCs w:val="22"/>
        </w:rPr>
        <w:t>,</w:t>
      </w:r>
      <w:r w:rsidR="009627C0" w:rsidRPr="00771530">
        <w:rPr>
          <w:rFonts w:cs="Arial"/>
          <w:sz w:val="22"/>
          <w:szCs w:val="22"/>
        </w:rPr>
        <w:t xml:space="preserve"> including the national report format.  Th</w:t>
      </w:r>
      <w:r w:rsidR="00D01EBA">
        <w:rPr>
          <w:rFonts w:cs="Arial"/>
          <w:sz w:val="22"/>
          <w:szCs w:val="22"/>
        </w:rPr>
        <w:t xml:space="preserve">e </w:t>
      </w:r>
      <w:r w:rsidR="00D01EBA" w:rsidRPr="00771530">
        <w:rPr>
          <w:rFonts w:cs="Arial"/>
          <w:sz w:val="22"/>
          <w:szCs w:val="22"/>
        </w:rPr>
        <w:t xml:space="preserve">aquatic/terrestrial/marine </w:t>
      </w:r>
      <w:r w:rsidR="009627C0" w:rsidRPr="00771530">
        <w:rPr>
          <w:rFonts w:cs="Arial"/>
          <w:sz w:val="22"/>
          <w:szCs w:val="22"/>
        </w:rPr>
        <w:t>categori</w:t>
      </w:r>
      <w:r w:rsidR="008C1B72">
        <w:rPr>
          <w:rFonts w:cs="Arial"/>
          <w:sz w:val="22"/>
          <w:szCs w:val="22"/>
        </w:rPr>
        <w:t>z</w:t>
      </w:r>
      <w:r w:rsidR="009627C0" w:rsidRPr="00771530">
        <w:rPr>
          <w:rFonts w:cs="Arial"/>
          <w:sz w:val="22"/>
          <w:szCs w:val="22"/>
        </w:rPr>
        <w:t>ation is more workable where species-based measures are concerned, but is less workable where habitat- or ecosystem-based measures are concerned.</w:t>
      </w:r>
    </w:p>
    <w:p w14:paraId="28B0FB16" w14:textId="77777777" w:rsidR="009627C0" w:rsidRPr="00771530" w:rsidRDefault="009627C0" w:rsidP="009627C0">
      <w:pPr>
        <w:ind w:left="448" w:hanging="448"/>
        <w:jc w:val="both"/>
        <w:rPr>
          <w:rFonts w:cs="Arial"/>
          <w:sz w:val="22"/>
          <w:szCs w:val="22"/>
        </w:rPr>
      </w:pPr>
    </w:p>
    <w:p w14:paraId="289D3729" w14:textId="77777777" w:rsidR="009627C0" w:rsidRPr="00771530" w:rsidRDefault="00771530" w:rsidP="009627C0">
      <w:pPr>
        <w:ind w:left="448" w:hanging="448"/>
        <w:jc w:val="both"/>
        <w:rPr>
          <w:rFonts w:cs="Arial"/>
          <w:sz w:val="22"/>
          <w:szCs w:val="22"/>
        </w:rPr>
      </w:pPr>
      <w:r w:rsidRPr="00771530">
        <w:rPr>
          <w:rFonts w:cs="Arial"/>
          <w:sz w:val="22"/>
          <w:szCs w:val="22"/>
        </w:rPr>
        <w:t>4</w:t>
      </w:r>
      <w:r w:rsidR="00A14D53">
        <w:rPr>
          <w:rFonts w:cs="Arial"/>
          <w:sz w:val="22"/>
          <w:szCs w:val="22"/>
        </w:rPr>
        <w:t>6</w:t>
      </w:r>
      <w:r w:rsidR="009627C0" w:rsidRPr="00771530">
        <w:rPr>
          <w:rFonts w:cs="Arial"/>
          <w:sz w:val="22"/>
          <w:szCs w:val="22"/>
        </w:rPr>
        <w:t>.</w:t>
      </w:r>
      <w:r w:rsidR="009627C0" w:rsidRPr="00771530">
        <w:rPr>
          <w:rFonts w:cs="Arial"/>
          <w:sz w:val="22"/>
          <w:szCs w:val="22"/>
        </w:rPr>
        <w:tab/>
        <w:t>It is clear that telemetry projects continue to make a contribution to knowledge about patterns of animal migration and the conservation requirements of migratory species, although funding is often cited as a constraint in pursuing this.</w:t>
      </w:r>
    </w:p>
    <w:p w14:paraId="3259F444" w14:textId="77777777" w:rsidR="009627C0" w:rsidRPr="00771530" w:rsidRDefault="009627C0" w:rsidP="009627C0">
      <w:pPr>
        <w:ind w:left="448" w:hanging="448"/>
        <w:jc w:val="both"/>
        <w:rPr>
          <w:rFonts w:cs="Arial"/>
          <w:sz w:val="22"/>
          <w:szCs w:val="22"/>
        </w:rPr>
      </w:pPr>
    </w:p>
    <w:p w14:paraId="3FFC9C69" w14:textId="60B950B0" w:rsidR="009627C0" w:rsidRPr="009627C0" w:rsidRDefault="00771530" w:rsidP="009627C0">
      <w:pPr>
        <w:ind w:left="448" w:hanging="448"/>
        <w:jc w:val="both"/>
        <w:rPr>
          <w:rFonts w:cs="Arial"/>
          <w:sz w:val="22"/>
          <w:szCs w:val="22"/>
        </w:rPr>
      </w:pPr>
      <w:r w:rsidRPr="00771530">
        <w:rPr>
          <w:rFonts w:cs="Arial"/>
          <w:sz w:val="22"/>
          <w:szCs w:val="22"/>
        </w:rPr>
        <w:t>4</w:t>
      </w:r>
      <w:r w:rsidR="00A14D53">
        <w:rPr>
          <w:rFonts w:cs="Arial"/>
          <w:sz w:val="22"/>
          <w:szCs w:val="22"/>
        </w:rPr>
        <w:t>7</w:t>
      </w:r>
      <w:r w:rsidR="009627C0" w:rsidRPr="00771530">
        <w:rPr>
          <w:rFonts w:cs="Arial"/>
          <w:sz w:val="22"/>
          <w:szCs w:val="22"/>
        </w:rPr>
        <w:t>.</w:t>
      </w:r>
      <w:r w:rsidR="009627C0" w:rsidRPr="00771530">
        <w:rPr>
          <w:rFonts w:cs="Arial"/>
          <w:sz w:val="22"/>
          <w:szCs w:val="22"/>
        </w:rPr>
        <w:tab/>
        <w:t>A majority of countries report that they are devoting financial resources to some extent towards conservation activities for migratory species, with some also providing assistance to other countries.  In the case of technical assistance to other countries</w:t>
      </w:r>
      <w:r w:rsidR="00F53DE6">
        <w:rPr>
          <w:rFonts w:cs="Arial"/>
          <w:sz w:val="22"/>
          <w:szCs w:val="22"/>
        </w:rPr>
        <w:t>,</w:t>
      </w:r>
      <w:r w:rsidR="009627C0" w:rsidRPr="00771530">
        <w:rPr>
          <w:rFonts w:cs="Arial"/>
          <w:sz w:val="22"/>
          <w:szCs w:val="22"/>
        </w:rPr>
        <w:t xml:space="preserve"> it is notably also not only developed countries that have provided this.  National report information</w:t>
      </w:r>
      <w:r w:rsidR="00F53DE6">
        <w:rPr>
          <w:rFonts w:cs="Arial"/>
          <w:sz w:val="22"/>
          <w:szCs w:val="22"/>
        </w:rPr>
        <w:t>,</w:t>
      </w:r>
      <w:r w:rsidR="009627C0" w:rsidRPr="00771530">
        <w:rPr>
          <w:rFonts w:cs="Arial"/>
          <w:sz w:val="22"/>
          <w:szCs w:val="22"/>
        </w:rPr>
        <w:t xml:space="preserve"> however</w:t>
      </w:r>
      <w:r w:rsidR="00F53DE6">
        <w:rPr>
          <w:rFonts w:cs="Arial"/>
          <w:sz w:val="22"/>
          <w:szCs w:val="22"/>
        </w:rPr>
        <w:t>,</w:t>
      </w:r>
      <w:r w:rsidR="009627C0" w:rsidRPr="00771530">
        <w:rPr>
          <w:rFonts w:cs="Arial"/>
          <w:sz w:val="22"/>
          <w:szCs w:val="22"/>
        </w:rPr>
        <w:t xml:space="preserve"> does not quantify resource mobili</w:t>
      </w:r>
      <w:r w:rsidR="008C1B72">
        <w:rPr>
          <w:rFonts w:cs="Arial"/>
          <w:sz w:val="22"/>
          <w:szCs w:val="22"/>
        </w:rPr>
        <w:t>z</w:t>
      </w:r>
      <w:r w:rsidR="009627C0" w:rsidRPr="00771530">
        <w:rPr>
          <w:rFonts w:cs="Arial"/>
          <w:sz w:val="22"/>
          <w:szCs w:val="22"/>
        </w:rPr>
        <w:t xml:space="preserve">ation in a way which would shed light on progress towards achieving </w:t>
      </w:r>
      <w:r w:rsidR="00D01EBA">
        <w:rPr>
          <w:rFonts w:cs="Arial"/>
          <w:sz w:val="22"/>
          <w:szCs w:val="22"/>
        </w:rPr>
        <w:t>SPMS</w:t>
      </w:r>
      <w:r w:rsidR="009627C0" w:rsidRPr="00771530">
        <w:rPr>
          <w:rFonts w:cs="Arial"/>
          <w:sz w:val="22"/>
          <w:szCs w:val="22"/>
        </w:rPr>
        <w:t xml:space="preserve"> Target 16, nor does the information go beyond “activity reporting” into the question of assessing conservation outcomes.  There is however an indication of an apparent increase in the number of countries where relevant resource mobili</w:t>
      </w:r>
      <w:r w:rsidR="008C1B72">
        <w:rPr>
          <w:rFonts w:cs="Arial"/>
          <w:sz w:val="22"/>
          <w:szCs w:val="22"/>
        </w:rPr>
        <w:t>z</w:t>
      </w:r>
      <w:r w:rsidR="009627C0" w:rsidRPr="00771530">
        <w:rPr>
          <w:rFonts w:cs="Arial"/>
          <w:sz w:val="22"/>
          <w:szCs w:val="22"/>
        </w:rPr>
        <w:t>ation has occurred, and this</w:t>
      </w:r>
      <w:r w:rsidR="009627C0" w:rsidRPr="009627C0">
        <w:rPr>
          <w:rFonts w:cs="Arial"/>
          <w:sz w:val="22"/>
          <w:szCs w:val="22"/>
        </w:rPr>
        <w:t xml:space="preserve"> may suggest some movement in the desired direction.</w:t>
      </w:r>
    </w:p>
    <w:p w14:paraId="59093B77" w14:textId="77777777" w:rsidR="009627C0" w:rsidRPr="009627C0" w:rsidRDefault="009627C0" w:rsidP="009627C0">
      <w:pPr>
        <w:ind w:left="448" w:hanging="448"/>
        <w:jc w:val="both"/>
        <w:rPr>
          <w:rFonts w:cs="Arial"/>
          <w:sz w:val="22"/>
          <w:szCs w:val="22"/>
        </w:rPr>
      </w:pPr>
    </w:p>
    <w:p w14:paraId="523B1D78" w14:textId="40596460" w:rsidR="009627C0" w:rsidRPr="00771530" w:rsidRDefault="00771530" w:rsidP="009627C0">
      <w:pPr>
        <w:ind w:left="448" w:hanging="448"/>
        <w:jc w:val="both"/>
        <w:rPr>
          <w:rFonts w:cs="Arial"/>
          <w:sz w:val="22"/>
          <w:szCs w:val="22"/>
        </w:rPr>
      </w:pPr>
      <w:r w:rsidRPr="00771530">
        <w:rPr>
          <w:rFonts w:cs="Arial"/>
          <w:sz w:val="22"/>
          <w:szCs w:val="22"/>
        </w:rPr>
        <w:t>4</w:t>
      </w:r>
      <w:r w:rsidR="00A14D53">
        <w:rPr>
          <w:rFonts w:cs="Arial"/>
          <w:sz w:val="22"/>
          <w:szCs w:val="22"/>
        </w:rPr>
        <w:t>8</w:t>
      </w:r>
      <w:r w:rsidR="009627C0" w:rsidRPr="00771530">
        <w:rPr>
          <w:rFonts w:cs="Arial"/>
          <w:sz w:val="22"/>
          <w:szCs w:val="22"/>
        </w:rPr>
        <w:t>.</w:t>
      </w:r>
      <w:r w:rsidR="009627C0" w:rsidRPr="00771530">
        <w:rPr>
          <w:rFonts w:cs="Arial"/>
          <w:sz w:val="22"/>
          <w:szCs w:val="22"/>
        </w:rPr>
        <w:tab/>
        <w:t xml:space="preserve">The COP12 reports show a significant increase in the number of Parties indicating that they have received financial assistance for migratory species activities from sources other than the CMS Secretariat, compared </w:t>
      </w:r>
      <w:r w:rsidR="00F53DE6">
        <w:rPr>
          <w:rFonts w:cs="Arial"/>
          <w:sz w:val="22"/>
          <w:szCs w:val="22"/>
        </w:rPr>
        <w:t>with</w:t>
      </w:r>
      <w:r w:rsidR="00F53DE6" w:rsidRPr="00771530">
        <w:rPr>
          <w:rFonts w:cs="Arial"/>
          <w:sz w:val="22"/>
          <w:szCs w:val="22"/>
        </w:rPr>
        <w:t xml:space="preserve"> </w:t>
      </w:r>
      <w:r w:rsidR="009627C0" w:rsidRPr="00771530">
        <w:rPr>
          <w:rFonts w:cs="Arial"/>
          <w:sz w:val="22"/>
          <w:szCs w:val="22"/>
        </w:rPr>
        <w:t>the previous triennium.  Given general global funding trends, this might be an encouraging signal about the availability and/or willingness of external sources to support migratory species conservation efforts, particularly given the (at best) static picture shown by the reports concerning the ability of the CMS itself to be such a source.</w:t>
      </w:r>
    </w:p>
    <w:p w14:paraId="40E66B3F" w14:textId="77777777" w:rsidR="009627C0" w:rsidRPr="00771530" w:rsidRDefault="009627C0" w:rsidP="009627C0">
      <w:pPr>
        <w:ind w:left="448" w:hanging="448"/>
        <w:jc w:val="both"/>
        <w:rPr>
          <w:rFonts w:cs="Arial"/>
          <w:sz w:val="22"/>
          <w:szCs w:val="22"/>
        </w:rPr>
      </w:pPr>
    </w:p>
    <w:p w14:paraId="62AD23E1" w14:textId="77777777" w:rsidR="009627C0" w:rsidRPr="00771530" w:rsidRDefault="00771530" w:rsidP="009627C0">
      <w:pPr>
        <w:ind w:left="448" w:hanging="448"/>
        <w:jc w:val="both"/>
        <w:rPr>
          <w:rFonts w:cs="Arial"/>
          <w:sz w:val="22"/>
          <w:szCs w:val="22"/>
        </w:rPr>
      </w:pPr>
      <w:r w:rsidRPr="00771530">
        <w:rPr>
          <w:rFonts w:cs="Arial"/>
          <w:sz w:val="22"/>
          <w:szCs w:val="22"/>
        </w:rPr>
        <w:t>4</w:t>
      </w:r>
      <w:r w:rsidR="00A14D53">
        <w:rPr>
          <w:rFonts w:cs="Arial"/>
          <w:sz w:val="22"/>
          <w:szCs w:val="22"/>
        </w:rPr>
        <w:t>9</w:t>
      </w:r>
      <w:r w:rsidR="009627C0" w:rsidRPr="00771530">
        <w:rPr>
          <w:rFonts w:cs="Arial"/>
          <w:sz w:val="22"/>
          <w:szCs w:val="22"/>
        </w:rPr>
        <w:t>.</w:t>
      </w:r>
      <w:r w:rsidR="009627C0" w:rsidRPr="00771530">
        <w:rPr>
          <w:rFonts w:cs="Arial"/>
          <w:sz w:val="22"/>
          <w:szCs w:val="22"/>
        </w:rPr>
        <w:tab/>
        <w:t>Numerous other specific points on aspects of Convention implementation are identified in relation to the 42 topics covered in the section of th</w:t>
      </w:r>
      <w:r w:rsidR="0073375D" w:rsidRPr="00771530">
        <w:rPr>
          <w:rFonts w:cs="Arial"/>
          <w:sz w:val="22"/>
          <w:szCs w:val="22"/>
        </w:rPr>
        <w:t>e full</w:t>
      </w:r>
      <w:r w:rsidR="009627C0" w:rsidRPr="00771530">
        <w:rPr>
          <w:rFonts w:cs="Arial"/>
          <w:sz w:val="22"/>
          <w:szCs w:val="22"/>
        </w:rPr>
        <w:t xml:space="preserve"> analysis</w:t>
      </w:r>
      <w:r w:rsidR="0073375D" w:rsidRPr="00771530">
        <w:rPr>
          <w:rFonts w:cs="Arial"/>
          <w:sz w:val="22"/>
          <w:szCs w:val="22"/>
        </w:rPr>
        <w:t xml:space="preserve"> document</w:t>
      </w:r>
      <w:r w:rsidR="009627C0" w:rsidRPr="00771530">
        <w:rPr>
          <w:rFonts w:cs="Arial"/>
          <w:sz w:val="22"/>
          <w:szCs w:val="22"/>
        </w:rPr>
        <w:t xml:space="preserve"> which addresses past COP Resolutions &amp; Recommendations.</w:t>
      </w:r>
    </w:p>
    <w:p w14:paraId="27466055" w14:textId="77777777" w:rsidR="009627C0" w:rsidRPr="00771530" w:rsidRDefault="009627C0" w:rsidP="009627C0">
      <w:pPr>
        <w:ind w:left="448" w:hanging="448"/>
        <w:jc w:val="both"/>
        <w:rPr>
          <w:rFonts w:cs="Arial"/>
          <w:sz w:val="22"/>
          <w:szCs w:val="22"/>
        </w:rPr>
      </w:pPr>
    </w:p>
    <w:p w14:paraId="51EA5E71" w14:textId="77777777" w:rsidR="009627C0" w:rsidRPr="00771530" w:rsidRDefault="009627C0" w:rsidP="0073375D">
      <w:pPr>
        <w:ind w:firstLine="448"/>
        <w:rPr>
          <w:rFonts w:cs="Arial"/>
          <w:i/>
          <w:sz w:val="22"/>
          <w:szCs w:val="22"/>
        </w:rPr>
      </w:pPr>
      <w:r w:rsidRPr="00771530">
        <w:rPr>
          <w:rFonts w:cs="Arial"/>
          <w:i/>
          <w:sz w:val="22"/>
          <w:szCs w:val="22"/>
        </w:rPr>
        <w:t>Reporting</w:t>
      </w:r>
    </w:p>
    <w:p w14:paraId="2735EC6B" w14:textId="77777777" w:rsidR="009627C0" w:rsidRPr="00771530" w:rsidRDefault="009627C0" w:rsidP="009627C0">
      <w:pPr>
        <w:ind w:left="448" w:hanging="448"/>
        <w:jc w:val="both"/>
        <w:rPr>
          <w:rFonts w:cs="Arial"/>
          <w:sz w:val="22"/>
          <w:szCs w:val="22"/>
        </w:rPr>
      </w:pPr>
    </w:p>
    <w:p w14:paraId="5ABB96C4" w14:textId="0F675C79" w:rsidR="009627C0" w:rsidRPr="00771530" w:rsidRDefault="00A14D53" w:rsidP="009627C0">
      <w:pPr>
        <w:ind w:left="448" w:hanging="448"/>
        <w:jc w:val="both"/>
        <w:rPr>
          <w:rFonts w:cs="Arial"/>
          <w:sz w:val="22"/>
          <w:szCs w:val="22"/>
        </w:rPr>
      </w:pPr>
      <w:r>
        <w:rPr>
          <w:rFonts w:cs="Arial"/>
          <w:sz w:val="22"/>
          <w:szCs w:val="22"/>
        </w:rPr>
        <w:t>50</w:t>
      </w:r>
      <w:r w:rsidR="009627C0" w:rsidRPr="00771530">
        <w:rPr>
          <w:rFonts w:cs="Arial"/>
          <w:sz w:val="22"/>
          <w:szCs w:val="22"/>
        </w:rPr>
        <w:t>.</w:t>
      </w:r>
      <w:r w:rsidR="009627C0" w:rsidRPr="00771530">
        <w:rPr>
          <w:rFonts w:cs="Arial"/>
          <w:sz w:val="22"/>
          <w:szCs w:val="22"/>
        </w:rPr>
        <w:tab/>
        <w:t xml:space="preserve">Although improved, the reporting rate is still far </w:t>
      </w:r>
      <w:r w:rsidR="00F53DE6">
        <w:rPr>
          <w:rFonts w:cs="Arial"/>
          <w:sz w:val="22"/>
          <w:szCs w:val="22"/>
        </w:rPr>
        <w:t>below</w:t>
      </w:r>
      <w:r w:rsidR="009627C0" w:rsidRPr="00771530">
        <w:rPr>
          <w:rFonts w:cs="Arial"/>
          <w:sz w:val="22"/>
          <w:szCs w:val="22"/>
        </w:rPr>
        <w:t xml:space="preserve"> 100</w:t>
      </w:r>
      <w:r w:rsidR="00F53DE6">
        <w:rPr>
          <w:rFonts w:cs="Arial"/>
          <w:sz w:val="22"/>
          <w:szCs w:val="22"/>
        </w:rPr>
        <w:t xml:space="preserve"> per cent</w:t>
      </w:r>
      <w:r w:rsidR="009627C0" w:rsidRPr="00771530">
        <w:rPr>
          <w:rFonts w:cs="Arial"/>
          <w:sz w:val="22"/>
          <w:szCs w:val="22"/>
        </w:rPr>
        <w:t>, and many individual reports remain incomplete.</w:t>
      </w:r>
    </w:p>
    <w:p w14:paraId="6993CB7F" w14:textId="77777777" w:rsidR="009627C0" w:rsidRPr="00771530" w:rsidRDefault="009627C0" w:rsidP="009627C0">
      <w:pPr>
        <w:ind w:left="448" w:hanging="448"/>
        <w:jc w:val="both"/>
        <w:rPr>
          <w:rFonts w:cs="Arial"/>
          <w:sz w:val="16"/>
          <w:szCs w:val="16"/>
        </w:rPr>
      </w:pPr>
    </w:p>
    <w:p w14:paraId="65F2AF5C" w14:textId="77777777" w:rsidR="009627C0" w:rsidRPr="00771530" w:rsidRDefault="009627C0" w:rsidP="009627C0">
      <w:pPr>
        <w:ind w:left="851"/>
        <w:rPr>
          <w:rFonts w:cs="Arial"/>
          <w:i/>
          <w:sz w:val="22"/>
          <w:szCs w:val="22"/>
        </w:rPr>
      </w:pPr>
      <w:r w:rsidRPr="00771530">
        <w:rPr>
          <w:rFonts w:cs="Arial"/>
          <w:b/>
          <w:i/>
          <w:sz w:val="22"/>
          <w:szCs w:val="22"/>
        </w:rPr>
        <w:t>Recommendation 3</w:t>
      </w:r>
      <w:r w:rsidRPr="00771530">
        <w:rPr>
          <w:rFonts w:cs="Arial"/>
          <w:i/>
          <w:sz w:val="22"/>
          <w:szCs w:val="22"/>
        </w:rPr>
        <w:t>:  Every encouragement should be given to Parties to submit their national reports for the next triennium by the deadline agreed in advance of COP13, and to endeavour to provide information in every section of the report that is relevant to them.  Where advice or other support is needed to assist in making this possible, such needs should be clearly identified and discussed with the Secretariat at the earliest opportunity.</w:t>
      </w:r>
    </w:p>
    <w:p w14:paraId="44A81F2D" w14:textId="68A29E9B" w:rsidR="009627C0" w:rsidRPr="00771530" w:rsidRDefault="009627C0" w:rsidP="0095385A">
      <w:pPr>
        <w:jc w:val="both"/>
        <w:rPr>
          <w:rFonts w:cs="Arial"/>
          <w:sz w:val="22"/>
          <w:szCs w:val="22"/>
        </w:rPr>
      </w:pPr>
    </w:p>
    <w:p w14:paraId="40F7D76A" w14:textId="2933DE90" w:rsidR="009627C0" w:rsidRPr="0095385A" w:rsidRDefault="00771530" w:rsidP="0095385A">
      <w:pPr>
        <w:ind w:left="448" w:hanging="448"/>
        <w:jc w:val="both"/>
        <w:rPr>
          <w:rFonts w:cs="Arial"/>
          <w:sz w:val="22"/>
          <w:szCs w:val="22"/>
        </w:rPr>
      </w:pPr>
      <w:r w:rsidRPr="00771530">
        <w:rPr>
          <w:rFonts w:cs="Arial"/>
          <w:sz w:val="22"/>
          <w:szCs w:val="22"/>
        </w:rPr>
        <w:t>5</w:t>
      </w:r>
      <w:r w:rsidR="00A14D53">
        <w:rPr>
          <w:rFonts w:cs="Arial"/>
          <w:sz w:val="22"/>
          <w:szCs w:val="22"/>
        </w:rPr>
        <w:t>1</w:t>
      </w:r>
      <w:r w:rsidR="009627C0" w:rsidRPr="00771530">
        <w:rPr>
          <w:rFonts w:cs="Arial"/>
          <w:sz w:val="22"/>
          <w:szCs w:val="22"/>
        </w:rPr>
        <w:t>.</w:t>
      </w:r>
      <w:r w:rsidR="009627C0" w:rsidRPr="00771530">
        <w:rPr>
          <w:rFonts w:cs="Arial"/>
          <w:sz w:val="22"/>
          <w:szCs w:val="22"/>
        </w:rPr>
        <w:tab/>
        <w:t>“Pre-filling” of certain report sections by the Secretariat prior to issuing the format to Parties probably helped national compilers to avoid a certain amount of re-originating of information they had provided on previous occasions.  It appears however that many compilers did not replace outdated information with updates, or did so in some sections and not in others, resulting in internal contradictions within the individual reports.  Analysis was made problematic by an inability to distinguish pre-filled data (which may or may not still be correct) from data newly entered in the most recent reporting period.</w:t>
      </w:r>
    </w:p>
    <w:p w14:paraId="7F0FD7A5" w14:textId="77777777" w:rsidR="009627C0" w:rsidRPr="00771530" w:rsidRDefault="009627C0" w:rsidP="009627C0">
      <w:pPr>
        <w:ind w:left="851"/>
        <w:rPr>
          <w:rFonts w:cs="Arial"/>
          <w:i/>
          <w:sz w:val="22"/>
          <w:szCs w:val="22"/>
        </w:rPr>
      </w:pPr>
      <w:r w:rsidRPr="00771530">
        <w:rPr>
          <w:rFonts w:cs="Arial"/>
          <w:b/>
          <w:i/>
          <w:sz w:val="22"/>
          <w:szCs w:val="22"/>
        </w:rPr>
        <w:lastRenderedPageBreak/>
        <w:t>Recommendation 4</w:t>
      </w:r>
      <w:r w:rsidRPr="00771530">
        <w:rPr>
          <w:rFonts w:cs="Arial"/>
          <w:i/>
          <w:sz w:val="22"/>
          <w:szCs w:val="22"/>
        </w:rPr>
        <w:t>:  If “pre-filling” of data is undertaken again in future reporting cycles, some method should be found to enable such pre-filled data to be readily distinguished from new data in the final submitted reports.  In general</w:t>
      </w:r>
      <w:r w:rsidR="008C1B72">
        <w:rPr>
          <w:rFonts w:cs="Arial"/>
          <w:i/>
          <w:sz w:val="22"/>
          <w:szCs w:val="22"/>
        </w:rPr>
        <w:t>,</w:t>
      </w:r>
      <w:r w:rsidRPr="00771530">
        <w:rPr>
          <w:rFonts w:cs="Arial"/>
          <w:i/>
          <w:sz w:val="22"/>
          <w:szCs w:val="22"/>
        </w:rPr>
        <w:t xml:space="preserve"> it would help also for Parties to provide more specificity in all report sections concerning the time-period to which a given response relates, making a particular effort to focus on information about status, events and activities during the most recent triennium (since the last COP).</w:t>
      </w:r>
    </w:p>
    <w:p w14:paraId="1DD0C27D" w14:textId="77777777" w:rsidR="009627C0" w:rsidRPr="00771530" w:rsidRDefault="009627C0" w:rsidP="009627C0">
      <w:pPr>
        <w:ind w:left="448" w:hanging="448"/>
        <w:jc w:val="both"/>
        <w:rPr>
          <w:rFonts w:cs="Arial"/>
          <w:sz w:val="22"/>
          <w:szCs w:val="22"/>
        </w:rPr>
      </w:pPr>
    </w:p>
    <w:p w14:paraId="6CC1FE76" w14:textId="77777777" w:rsidR="009627C0" w:rsidRPr="00771530" w:rsidRDefault="00771530" w:rsidP="009627C0">
      <w:pPr>
        <w:ind w:left="448" w:hanging="448"/>
        <w:jc w:val="both"/>
        <w:rPr>
          <w:rFonts w:cs="Arial"/>
          <w:sz w:val="22"/>
          <w:szCs w:val="22"/>
        </w:rPr>
      </w:pPr>
      <w:r w:rsidRPr="00771530">
        <w:rPr>
          <w:rFonts w:cs="Arial"/>
          <w:sz w:val="22"/>
          <w:szCs w:val="22"/>
        </w:rPr>
        <w:t>5</w:t>
      </w:r>
      <w:r w:rsidR="00A14D53">
        <w:rPr>
          <w:rFonts w:cs="Arial"/>
          <w:sz w:val="22"/>
          <w:szCs w:val="22"/>
        </w:rPr>
        <w:t>2</w:t>
      </w:r>
      <w:r w:rsidR="009627C0" w:rsidRPr="00771530">
        <w:rPr>
          <w:rFonts w:cs="Arial"/>
          <w:sz w:val="22"/>
          <w:szCs w:val="22"/>
        </w:rPr>
        <w:t>.</w:t>
      </w:r>
      <w:r w:rsidR="009627C0" w:rsidRPr="00771530">
        <w:rPr>
          <w:rFonts w:cs="Arial"/>
          <w:sz w:val="22"/>
          <w:szCs w:val="22"/>
        </w:rPr>
        <w:tab/>
        <w:t>Information about the development of new Agreements is a somewhat problematic area of report information.  It was apparent that many Parties were in fact commenting only on existing Agreements rather than the development of new ones; and “development” itself appears to have been interpreted in divergent ways.</w:t>
      </w:r>
    </w:p>
    <w:p w14:paraId="694BF8E3" w14:textId="77777777" w:rsidR="009627C0" w:rsidRPr="00771530" w:rsidRDefault="009627C0" w:rsidP="009627C0">
      <w:pPr>
        <w:ind w:left="448" w:hanging="448"/>
        <w:jc w:val="both"/>
        <w:rPr>
          <w:rFonts w:cs="Arial"/>
          <w:sz w:val="22"/>
          <w:szCs w:val="22"/>
        </w:rPr>
      </w:pPr>
    </w:p>
    <w:p w14:paraId="22981EC4" w14:textId="77777777" w:rsidR="009627C0" w:rsidRPr="009627C0" w:rsidRDefault="00771530" w:rsidP="009627C0">
      <w:pPr>
        <w:ind w:left="448" w:hanging="448"/>
        <w:jc w:val="both"/>
        <w:rPr>
          <w:rFonts w:cs="Arial"/>
          <w:sz w:val="22"/>
          <w:szCs w:val="22"/>
        </w:rPr>
      </w:pPr>
      <w:r w:rsidRPr="00771530">
        <w:rPr>
          <w:rFonts w:cs="Arial"/>
          <w:sz w:val="22"/>
          <w:szCs w:val="22"/>
        </w:rPr>
        <w:t>5</w:t>
      </w:r>
      <w:r w:rsidR="00A14D53">
        <w:rPr>
          <w:rFonts w:cs="Arial"/>
          <w:sz w:val="22"/>
          <w:szCs w:val="22"/>
        </w:rPr>
        <w:t>3</w:t>
      </w:r>
      <w:r w:rsidR="009627C0" w:rsidRPr="00771530">
        <w:rPr>
          <w:rFonts w:cs="Arial"/>
          <w:sz w:val="22"/>
          <w:szCs w:val="22"/>
        </w:rPr>
        <w:t>.</w:t>
      </w:r>
      <w:r w:rsidR="009627C0" w:rsidRPr="00771530">
        <w:rPr>
          <w:rFonts w:cs="Arial"/>
          <w:sz w:val="22"/>
          <w:szCs w:val="22"/>
        </w:rPr>
        <w:tab/>
        <w:t>The section of the national reports on Resolutions &amp; Recommendations can give particularly valuable insights into the implementation of the Convention in relation to priority issues elaborated by the COP.  It offers a basis for information-sharing and dialogue about past progress and future planning at the level of each individual Contracting Party, as well as contributing to the global overview.  Nearly one-third of Parties however did not provide a response to any part of this section, and among those who did, the extent of completeness varied widely.  There is also some suggestion of different understandings about the extent to which certain global decisions are relevant at national level.  The present analysis has only allowed a very brief examination of information under this heading (although resulting in an extensive catalogue of summary points), and there would be good scope to do more.</w:t>
      </w:r>
    </w:p>
    <w:p w14:paraId="40E11A2C" w14:textId="77777777" w:rsidR="009627C0" w:rsidRPr="009627C0" w:rsidRDefault="009627C0" w:rsidP="009627C0">
      <w:pPr>
        <w:ind w:left="448" w:hanging="448"/>
        <w:jc w:val="both"/>
        <w:rPr>
          <w:rFonts w:cs="Arial"/>
          <w:sz w:val="16"/>
          <w:szCs w:val="16"/>
        </w:rPr>
      </w:pPr>
    </w:p>
    <w:p w14:paraId="16B5E314" w14:textId="14442E06" w:rsidR="009627C0" w:rsidRPr="009627C0" w:rsidRDefault="009627C0" w:rsidP="009627C0">
      <w:pPr>
        <w:ind w:left="851"/>
        <w:rPr>
          <w:rFonts w:cs="Arial"/>
          <w:i/>
          <w:sz w:val="22"/>
          <w:szCs w:val="22"/>
        </w:rPr>
      </w:pPr>
      <w:r w:rsidRPr="009627C0">
        <w:rPr>
          <w:rFonts w:cs="Arial"/>
          <w:b/>
          <w:i/>
          <w:sz w:val="22"/>
          <w:szCs w:val="22"/>
        </w:rPr>
        <w:t>Recommendation 5</w:t>
      </w:r>
      <w:r w:rsidRPr="009627C0">
        <w:rPr>
          <w:rFonts w:cs="Arial"/>
          <w:i/>
          <w:sz w:val="22"/>
          <w:szCs w:val="22"/>
        </w:rPr>
        <w:t xml:space="preserve">:  Parties should be encouraged to </w:t>
      </w:r>
      <w:r w:rsidR="00F53DE6">
        <w:rPr>
          <w:rFonts w:cs="Arial"/>
          <w:i/>
          <w:sz w:val="22"/>
          <w:szCs w:val="22"/>
        </w:rPr>
        <w:t>pay</w:t>
      </w:r>
      <w:r w:rsidR="00F53DE6" w:rsidRPr="009627C0">
        <w:rPr>
          <w:rFonts w:cs="Arial"/>
          <w:i/>
          <w:sz w:val="22"/>
          <w:szCs w:val="22"/>
        </w:rPr>
        <w:t xml:space="preserve"> </w:t>
      </w:r>
      <w:r w:rsidRPr="009627C0">
        <w:rPr>
          <w:rFonts w:cs="Arial"/>
          <w:i/>
          <w:sz w:val="22"/>
          <w:szCs w:val="22"/>
        </w:rPr>
        <w:t>particular attention to providing good report information on the implementation of the priority COP Resolutions</w:t>
      </w:r>
      <w:r w:rsidR="008C1B72">
        <w:rPr>
          <w:rFonts w:cs="Arial"/>
          <w:i/>
          <w:sz w:val="22"/>
          <w:szCs w:val="22"/>
        </w:rPr>
        <w:t>, Decisions</w:t>
      </w:r>
      <w:r w:rsidRPr="009627C0">
        <w:rPr>
          <w:rFonts w:cs="Arial"/>
          <w:i/>
          <w:sz w:val="22"/>
          <w:szCs w:val="22"/>
        </w:rPr>
        <w:t xml:space="preserve"> and Recommendations identified in the report format, since this is a key area for sharing lessons learnt.</w:t>
      </w:r>
    </w:p>
    <w:p w14:paraId="5AD5289E" w14:textId="77777777" w:rsidR="009627C0" w:rsidRPr="009627C0" w:rsidRDefault="009627C0" w:rsidP="009627C0">
      <w:pPr>
        <w:ind w:left="720" w:hanging="720"/>
        <w:rPr>
          <w:rFonts w:cs="Arial"/>
          <w:sz w:val="16"/>
          <w:szCs w:val="16"/>
        </w:rPr>
      </w:pPr>
    </w:p>
    <w:p w14:paraId="3E8411A3" w14:textId="77777777" w:rsidR="009627C0" w:rsidRPr="009627C0" w:rsidRDefault="009627C0" w:rsidP="009627C0">
      <w:pPr>
        <w:ind w:left="851"/>
        <w:rPr>
          <w:rFonts w:cs="Arial"/>
          <w:i/>
          <w:sz w:val="22"/>
          <w:szCs w:val="22"/>
        </w:rPr>
      </w:pPr>
      <w:r w:rsidRPr="009627C0">
        <w:rPr>
          <w:rFonts w:cs="Arial"/>
          <w:b/>
          <w:i/>
          <w:sz w:val="22"/>
          <w:szCs w:val="22"/>
        </w:rPr>
        <w:t>Recommendation 6</w:t>
      </w:r>
      <w:r w:rsidRPr="009627C0">
        <w:rPr>
          <w:rFonts w:cs="Arial"/>
          <w:i/>
          <w:sz w:val="22"/>
          <w:szCs w:val="22"/>
        </w:rPr>
        <w:t>:  Options should be explored for undertaking some more in-depth analysis of aspects of the information provided in national reports on the implementation of individual COP Resolutions</w:t>
      </w:r>
      <w:r w:rsidR="008C1B72">
        <w:rPr>
          <w:rFonts w:cs="Arial"/>
          <w:i/>
          <w:sz w:val="22"/>
          <w:szCs w:val="22"/>
        </w:rPr>
        <w:t>, Decisions</w:t>
      </w:r>
      <w:r w:rsidRPr="009627C0">
        <w:rPr>
          <w:rFonts w:cs="Arial"/>
          <w:i/>
          <w:sz w:val="22"/>
          <w:szCs w:val="22"/>
        </w:rPr>
        <w:t xml:space="preserve"> and Recommendations.</w:t>
      </w:r>
    </w:p>
    <w:p w14:paraId="6BA564B1" w14:textId="77777777" w:rsidR="009627C0" w:rsidRPr="009627C0" w:rsidRDefault="009627C0" w:rsidP="009627C0">
      <w:pPr>
        <w:ind w:left="720" w:hanging="720"/>
        <w:rPr>
          <w:rFonts w:cs="Arial"/>
          <w:sz w:val="22"/>
          <w:szCs w:val="22"/>
        </w:rPr>
      </w:pPr>
    </w:p>
    <w:p w14:paraId="4314C945" w14:textId="77777777" w:rsidR="009627C0" w:rsidRPr="009627C0" w:rsidRDefault="009627C0" w:rsidP="0073375D">
      <w:pPr>
        <w:ind w:firstLine="448"/>
        <w:rPr>
          <w:rFonts w:cs="Arial"/>
          <w:i/>
          <w:sz w:val="22"/>
          <w:szCs w:val="22"/>
        </w:rPr>
      </w:pPr>
      <w:r w:rsidRPr="009627C0">
        <w:rPr>
          <w:rFonts w:cs="Arial"/>
          <w:i/>
          <w:sz w:val="22"/>
          <w:szCs w:val="22"/>
        </w:rPr>
        <w:t>The report format</w:t>
      </w:r>
    </w:p>
    <w:p w14:paraId="0F7A365C" w14:textId="77777777" w:rsidR="009627C0" w:rsidRPr="009627C0" w:rsidRDefault="009627C0" w:rsidP="009627C0">
      <w:pPr>
        <w:ind w:left="448" w:hanging="448"/>
        <w:jc w:val="both"/>
        <w:rPr>
          <w:rFonts w:cs="Arial"/>
          <w:sz w:val="22"/>
          <w:szCs w:val="22"/>
        </w:rPr>
      </w:pPr>
    </w:p>
    <w:p w14:paraId="5E84162D" w14:textId="4473BCCE" w:rsidR="009627C0" w:rsidRPr="009627C0" w:rsidRDefault="00771530" w:rsidP="009627C0">
      <w:pPr>
        <w:ind w:left="448" w:hanging="448"/>
        <w:jc w:val="both"/>
        <w:rPr>
          <w:rFonts w:cs="Arial"/>
          <w:sz w:val="22"/>
          <w:szCs w:val="22"/>
        </w:rPr>
      </w:pPr>
      <w:r w:rsidRPr="00771530">
        <w:rPr>
          <w:rFonts w:cs="Arial"/>
          <w:sz w:val="22"/>
          <w:szCs w:val="22"/>
        </w:rPr>
        <w:t>5</w:t>
      </w:r>
      <w:r w:rsidR="00A14D53">
        <w:rPr>
          <w:rFonts w:cs="Arial"/>
          <w:sz w:val="22"/>
          <w:szCs w:val="22"/>
        </w:rPr>
        <w:t>4</w:t>
      </w:r>
      <w:r w:rsidR="009627C0" w:rsidRPr="00771530">
        <w:rPr>
          <w:rFonts w:cs="Arial"/>
          <w:sz w:val="22"/>
          <w:szCs w:val="22"/>
        </w:rPr>
        <w:t>.</w:t>
      </w:r>
      <w:r w:rsidR="009627C0" w:rsidRPr="00771530">
        <w:rPr>
          <w:rFonts w:cs="Arial"/>
          <w:sz w:val="22"/>
          <w:szCs w:val="22"/>
        </w:rPr>
        <w:tab/>
        <w:t>The analysis of national reports to COP11 (UNEP/CMS/COP11/Doc.19.3) concluded with a recommendation</w:t>
      </w:r>
      <w:r w:rsidR="009627C0" w:rsidRPr="009627C0">
        <w:rPr>
          <w:rFonts w:cs="Arial"/>
          <w:sz w:val="22"/>
          <w:szCs w:val="22"/>
        </w:rPr>
        <w:t xml:space="preserve"> that future revisions of the report format should tailor questions to the objectives in the Strategic Plan for Migratory Species, and the COP in Resolution 11.2 requested the Secretariat to consider amendments along similar lines.  Proposals arising from this</w:t>
      </w:r>
      <w:r w:rsidR="008C1B72">
        <w:rPr>
          <w:rFonts w:cs="Arial"/>
          <w:sz w:val="22"/>
          <w:szCs w:val="22"/>
        </w:rPr>
        <w:t xml:space="preserve"> are discussed</w:t>
      </w:r>
      <w:r w:rsidR="009627C0" w:rsidRPr="009627C0">
        <w:rPr>
          <w:rFonts w:cs="Arial"/>
          <w:sz w:val="22"/>
          <w:szCs w:val="22"/>
        </w:rPr>
        <w:t xml:space="preserve"> separately in document</w:t>
      </w:r>
      <w:r w:rsidR="008C1B72">
        <w:rPr>
          <w:rFonts w:cs="Arial"/>
          <w:sz w:val="22"/>
          <w:szCs w:val="22"/>
        </w:rPr>
        <w:t xml:space="preserve"> </w:t>
      </w:r>
      <w:r w:rsidR="008C1B72" w:rsidRPr="00B473EC">
        <w:rPr>
          <w:rFonts w:cs="Arial"/>
          <w:sz w:val="22"/>
          <w:szCs w:val="22"/>
          <w:lang w:val="en-GB"/>
        </w:rPr>
        <w:t>UNEP/CMS/COP12/Doc.</w:t>
      </w:r>
      <w:r w:rsidR="008C1B72">
        <w:rPr>
          <w:rFonts w:cs="Arial"/>
          <w:sz w:val="22"/>
          <w:szCs w:val="22"/>
          <w:lang w:val="en-GB"/>
        </w:rPr>
        <w:t>19.2 on</w:t>
      </w:r>
      <w:r w:rsidR="008C1B72" w:rsidRPr="008C1B72">
        <w:rPr>
          <w:rFonts w:eastAsia="MS Mincho" w:cs="Arial"/>
          <w:b/>
          <w:bCs/>
          <w:color w:val="000000"/>
          <w:sz w:val="22"/>
          <w:szCs w:val="22"/>
          <w:lang w:eastAsia="ja-JP"/>
        </w:rPr>
        <w:t xml:space="preserve"> </w:t>
      </w:r>
      <w:r w:rsidR="008C1B72" w:rsidRPr="008C1B72">
        <w:rPr>
          <w:rFonts w:eastAsia="MS Mincho" w:cs="Arial"/>
          <w:bCs/>
          <w:i/>
          <w:color w:val="000000"/>
          <w:sz w:val="22"/>
          <w:szCs w:val="22"/>
          <w:lang w:eastAsia="ja-JP"/>
        </w:rPr>
        <w:t xml:space="preserve">Revising the </w:t>
      </w:r>
      <w:r w:rsidR="00F53DE6">
        <w:rPr>
          <w:rFonts w:eastAsia="MS Mincho" w:cs="Arial"/>
          <w:bCs/>
          <w:i/>
          <w:color w:val="000000"/>
          <w:sz w:val="22"/>
          <w:szCs w:val="22"/>
          <w:lang w:eastAsia="ja-JP"/>
        </w:rPr>
        <w:t>T</w:t>
      </w:r>
      <w:r w:rsidR="008C1B72" w:rsidRPr="008C1B72">
        <w:rPr>
          <w:rFonts w:eastAsia="MS Mincho" w:cs="Arial"/>
          <w:bCs/>
          <w:i/>
          <w:color w:val="000000"/>
          <w:sz w:val="22"/>
          <w:szCs w:val="22"/>
          <w:lang w:eastAsia="ja-JP"/>
        </w:rPr>
        <w:t xml:space="preserve">emplate for </w:t>
      </w:r>
      <w:r w:rsidR="008C1B72">
        <w:rPr>
          <w:rFonts w:eastAsia="MS Mincho" w:cs="Arial"/>
          <w:bCs/>
          <w:i/>
          <w:color w:val="000000"/>
          <w:sz w:val="22"/>
          <w:szCs w:val="22"/>
          <w:lang w:eastAsia="ja-JP"/>
        </w:rPr>
        <w:t>National R</w:t>
      </w:r>
      <w:r w:rsidR="008C1B72" w:rsidRPr="008C1B72">
        <w:rPr>
          <w:rFonts w:eastAsia="MS Mincho" w:cs="Arial"/>
          <w:bCs/>
          <w:i/>
          <w:color w:val="000000"/>
          <w:sz w:val="22"/>
          <w:szCs w:val="22"/>
          <w:lang w:eastAsia="ja-JP"/>
        </w:rPr>
        <w:t>eports</w:t>
      </w:r>
      <w:r w:rsidR="009627C0" w:rsidRPr="009627C0">
        <w:rPr>
          <w:rFonts w:cs="Arial"/>
          <w:sz w:val="22"/>
          <w:szCs w:val="22"/>
        </w:rPr>
        <w:t>.</w:t>
      </w:r>
      <w:r w:rsidR="0073375D">
        <w:rPr>
          <w:rFonts w:cs="Arial"/>
          <w:sz w:val="22"/>
          <w:szCs w:val="22"/>
        </w:rPr>
        <w:t xml:space="preserve">  </w:t>
      </w:r>
      <w:r w:rsidR="009627C0" w:rsidRPr="009627C0">
        <w:rPr>
          <w:rFonts w:cs="Arial"/>
          <w:sz w:val="22"/>
          <w:szCs w:val="22"/>
        </w:rPr>
        <w:t>As an additional contribution to</w:t>
      </w:r>
      <w:r w:rsidR="008C1B72">
        <w:rPr>
          <w:rFonts w:cs="Arial"/>
          <w:sz w:val="22"/>
          <w:szCs w:val="22"/>
        </w:rPr>
        <w:t xml:space="preserve"> the future work </w:t>
      </w:r>
      <w:r w:rsidR="00F53DE6">
        <w:rPr>
          <w:rFonts w:cs="Arial"/>
          <w:sz w:val="22"/>
          <w:szCs w:val="22"/>
        </w:rPr>
        <w:t>envisaged</w:t>
      </w:r>
      <w:r w:rsidR="00F53DE6" w:rsidRPr="009627C0">
        <w:rPr>
          <w:rFonts w:cs="Arial"/>
          <w:sz w:val="22"/>
          <w:szCs w:val="22"/>
        </w:rPr>
        <w:t xml:space="preserve"> </w:t>
      </w:r>
      <w:r w:rsidR="008C1B72">
        <w:rPr>
          <w:rFonts w:cs="Arial"/>
          <w:sz w:val="22"/>
          <w:szCs w:val="22"/>
        </w:rPr>
        <w:t xml:space="preserve">on </w:t>
      </w:r>
      <w:r w:rsidR="009627C0" w:rsidRPr="009627C0">
        <w:rPr>
          <w:rFonts w:cs="Arial"/>
          <w:sz w:val="22"/>
          <w:szCs w:val="22"/>
        </w:rPr>
        <w:t xml:space="preserve">this, a series of </w:t>
      </w:r>
      <w:r w:rsidR="008C1B72" w:rsidRPr="00E12B33">
        <w:rPr>
          <w:rFonts w:cs="Arial"/>
          <w:sz w:val="22"/>
          <w:szCs w:val="22"/>
        </w:rPr>
        <w:t>thirteen</w:t>
      </w:r>
      <w:r w:rsidR="0073375D">
        <w:rPr>
          <w:rFonts w:cs="Arial"/>
          <w:sz w:val="22"/>
          <w:szCs w:val="22"/>
        </w:rPr>
        <w:t xml:space="preserve"> </w:t>
      </w:r>
      <w:r w:rsidR="009627C0" w:rsidRPr="009627C0">
        <w:rPr>
          <w:rFonts w:cs="Arial"/>
          <w:sz w:val="22"/>
          <w:szCs w:val="22"/>
        </w:rPr>
        <w:t xml:space="preserve">specific recommendations on the format </w:t>
      </w:r>
      <w:r w:rsidR="0073375D">
        <w:rPr>
          <w:rFonts w:cs="Arial"/>
          <w:sz w:val="22"/>
          <w:szCs w:val="22"/>
        </w:rPr>
        <w:t>has been developed focusing</w:t>
      </w:r>
      <w:r w:rsidR="009627C0" w:rsidRPr="009627C0">
        <w:rPr>
          <w:rFonts w:cs="Arial"/>
          <w:sz w:val="22"/>
          <w:szCs w:val="22"/>
        </w:rPr>
        <w:t xml:space="preserve"> simply on the points which have emerged from the analysis of the current round of reports</w:t>
      </w:r>
      <w:r w:rsidR="0073375D">
        <w:rPr>
          <w:rFonts w:cs="Arial"/>
          <w:sz w:val="22"/>
          <w:szCs w:val="22"/>
        </w:rPr>
        <w:t>; and these are presented in the full analysis document.</w:t>
      </w:r>
    </w:p>
    <w:p w14:paraId="0C53A361" w14:textId="77777777" w:rsidR="0073375D" w:rsidRPr="009627C0" w:rsidRDefault="0073375D" w:rsidP="0073375D">
      <w:pPr>
        <w:ind w:left="720" w:hanging="720"/>
        <w:rPr>
          <w:rFonts w:cs="Arial"/>
          <w:sz w:val="16"/>
          <w:szCs w:val="16"/>
        </w:rPr>
      </w:pPr>
    </w:p>
    <w:p w14:paraId="7FAF6A58" w14:textId="77777777" w:rsidR="00C9141E" w:rsidRPr="0073375D" w:rsidRDefault="0073375D" w:rsidP="0073375D">
      <w:pPr>
        <w:ind w:left="851"/>
        <w:rPr>
          <w:rFonts w:cs="Arial"/>
          <w:i/>
          <w:sz w:val="22"/>
          <w:szCs w:val="22"/>
        </w:rPr>
      </w:pPr>
      <w:r w:rsidRPr="0073375D">
        <w:rPr>
          <w:rFonts w:cs="Arial"/>
          <w:b/>
          <w:i/>
          <w:sz w:val="22"/>
          <w:szCs w:val="22"/>
        </w:rPr>
        <w:t xml:space="preserve">Recommendation </w:t>
      </w:r>
      <w:r w:rsidR="009118A9">
        <w:rPr>
          <w:rFonts w:cs="Arial"/>
          <w:b/>
          <w:i/>
          <w:sz w:val="22"/>
          <w:szCs w:val="22"/>
        </w:rPr>
        <w:t>7</w:t>
      </w:r>
      <w:r w:rsidRPr="009627C0">
        <w:rPr>
          <w:rFonts w:cs="Arial"/>
          <w:i/>
          <w:sz w:val="22"/>
          <w:szCs w:val="22"/>
        </w:rPr>
        <w:t xml:space="preserve">:  </w:t>
      </w:r>
      <w:r>
        <w:rPr>
          <w:rFonts w:cs="Arial"/>
          <w:i/>
          <w:sz w:val="22"/>
          <w:szCs w:val="22"/>
        </w:rPr>
        <w:t xml:space="preserve">Options for acting on the </w:t>
      </w:r>
      <w:r w:rsidR="008C1B72" w:rsidRPr="00E12B33">
        <w:rPr>
          <w:rFonts w:cs="Arial"/>
          <w:i/>
          <w:sz w:val="22"/>
          <w:szCs w:val="22"/>
        </w:rPr>
        <w:t>thirteen</w:t>
      </w:r>
      <w:r w:rsidRPr="009634DF">
        <w:rPr>
          <w:rFonts w:cs="Arial"/>
          <w:i/>
          <w:sz w:val="22"/>
          <w:szCs w:val="22"/>
        </w:rPr>
        <w:t xml:space="preserve"> specific</w:t>
      </w:r>
      <w:r>
        <w:rPr>
          <w:rFonts w:cs="Arial"/>
          <w:i/>
          <w:sz w:val="22"/>
          <w:szCs w:val="22"/>
        </w:rPr>
        <w:t xml:space="preserve"> recommendations made in the full analysis document concerning possible adjustments to the future format for national reports should be considered and addressed, either in conjunction with any wider strategic review of the format mandated by COP, or in their own right if no such review is mandated.</w:t>
      </w:r>
    </w:p>
    <w:p w14:paraId="078FB552" w14:textId="77777777" w:rsidR="0073375D" w:rsidRDefault="0073375D" w:rsidP="009E2C9C">
      <w:pPr>
        <w:ind w:left="450" w:hanging="450"/>
        <w:jc w:val="both"/>
        <w:rPr>
          <w:rFonts w:eastAsiaTheme="minorHAnsi" w:cs="Arial"/>
          <w:color w:val="000000"/>
          <w:sz w:val="22"/>
          <w:szCs w:val="22"/>
          <w:lang w:val="en-GB"/>
        </w:rPr>
      </w:pPr>
    </w:p>
    <w:p w14:paraId="2F2BCE4D" w14:textId="77777777" w:rsidR="00007F70" w:rsidRPr="00B473EC" w:rsidRDefault="00007F70" w:rsidP="009E2C9C">
      <w:pPr>
        <w:ind w:left="450" w:hanging="450"/>
        <w:jc w:val="both"/>
        <w:rPr>
          <w:rFonts w:cs="Arial"/>
          <w:sz w:val="22"/>
          <w:szCs w:val="22"/>
          <w:lang w:val="en-GB"/>
        </w:rPr>
      </w:pPr>
      <w:r w:rsidRPr="00B473EC">
        <w:rPr>
          <w:rFonts w:cs="Arial"/>
          <w:sz w:val="22"/>
          <w:szCs w:val="22"/>
          <w:u w:val="single"/>
          <w:lang w:val="en-GB"/>
        </w:rPr>
        <w:t>Recommended actions</w:t>
      </w:r>
    </w:p>
    <w:p w14:paraId="3E962CB3" w14:textId="77777777" w:rsidR="00007F70" w:rsidRPr="001A4BAC" w:rsidRDefault="00007F70" w:rsidP="009E2C9C">
      <w:pPr>
        <w:ind w:left="450" w:hanging="450"/>
        <w:jc w:val="both"/>
        <w:rPr>
          <w:rFonts w:cs="Arial"/>
          <w:sz w:val="22"/>
          <w:szCs w:val="22"/>
          <w:lang w:val="en-GB"/>
        </w:rPr>
      </w:pPr>
    </w:p>
    <w:p w14:paraId="223DA8DE" w14:textId="271F0F9E" w:rsidR="00007F70" w:rsidRPr="001A4BAC" w:rsidRDefault="00007F70" w:rsidP="001A4BAC">
      <w:pPr>
        <w:pStyle w:val="ListParagraph"/>
        <w:numPr>
          <w:ilvl w:val="0"/>
          <w:numId w:val="49"/>
        </w:numPr>
        <w:jc w:val="both"/>
        <w:rPr>
          <w:rFonts w:ascii="Arial" w:hAnsi="Arial" w:cs="Arial"/>
          <w:lang w:val="en-GB"/>
        </w:rPr>
      </w:pPr>
      <w:r w:rsidRPr="001A4BAC">
        <w:rPr>
          <w:rFonts w:ascii="Arial" w:hAnsi="Arial" w:cs="Arial"/>
          <w:lang w:val="en-GB" w:eastAsia="en-GB"/>
        </w:rPr>
        <w:t>The Conference of the Parties is recommended to</w:t>
      </w:r>
      <w:r w:rsidR="0073375D" w:rsidRPr="001A4BAC">
        <w:rPr>
          <w:rFonts w:ascii="Arial" w:hAnsi="Arial" w:cs="Arial"/>
          <w:lang w:val="en-GB"/>
        </w:rPr>
        <w:t xml:space="preserve"> take note of the present report and the recommendations </w:t>
      </w:r>
      <w:r w:rsidR="00F53DE6">
        <w:rPr>
          <w:rFonts w:ascii="Arial" w:hAnsi="Arial" w:cs="Arial"/>
          <w:lang w:val="en-GB"/>
        </w:rPr>
        <w:t>made</w:t>
      </w:r>
      <w:r w:rsidR="0073375D" w:rsidRPr="001A4BAC">
        <w:rPr>
          <w:rFonts w:ascii="Arial" w:hAnsi="Arial" w:cs="Arial"/>
          <w:lang w:val="en-GB"/>
        </w:rPr>
        <w:t>.</w:t>
      </w:r>
    </w:p>
    <w:p w14:paraId="32841E52" w14:textId="77777777" w:rsidR="00007F70" w:rsidRPr="001A4BAC" w:rsidRDefault="00007F70" w:rsidP="009E2C9C">
      <w:pPr>
        <w:ind w:left="450" w:hanging="450"/>
        <w:jc w:val="both"/>
        <w:rPr>
          <w:rFonts w:cs="Arial"/>
          <w:sz w:val="22"/>
          <w:szCs w:val="22"/>
          <w:lang w:val="en-GB"/>
        </w:rPr>
      </w:pPr>
      <w:bookmarkStart w:id="0" w:name="_GoBack"/>
      <w:bookmarkEnd w:id="0"/>
    </w:p>
    <w:sectPr w:rsidR="00007F70" w:rsidRPr="001A4BAC" w:rsidSect="00DD771F">
      <w:headerReference w:type="even" r:id="rId16"/>
      <w:headerReference w:type="default" r:id="rId17"/>
      <w:headerReference w:type="first" r:id="rId18"/>
      <w:footerReference w:type="first" r:id="rId19"/>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98B0F" w14:textId="77777777" w:rsidR="00FF1899" w:rsidRDefault="00FF1899" w:rsidP="00DF126C">
      <w:r>
        <w:separator/>
      </w:r>
    </w:p>
  </w:endnote>
  <w:endnote w:type="continuationSeparator" w:id="0">
    <w:p w14:paraId="74A24F2A" w14:textId="77777777" w:rsidR="00FF1899" w:rsidRDefault="00FF1899"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jaVu Sans">
    <w:altName w:val="Deja Vu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Sans">
    <w:altName w:val="MS Mincho"/>
    <w:panose1 w:val="00000000000000000000"/>
    <w:charset w:val="80"/>
    <w:family w:val="auto"/>
    <w:notTrueType/>
    <w:pitch w:val="default"/>
    <w:sig w:usb0="00000007" w:usb1="08070000" w:usb2="00000010" w:usb3="00000000" w:csb0="00020003" w:csb1="00000000"/>
  </w:font>
  <w:font w:name="DejaVuSans-Bold">
    <w:altName w:val="MS Mincho"/>
    <w:panose1 w:val="00000000000000000000"/>
    <w:charset w:val="80"/>
    <w:family w:val="auto"/>
    <w:notTrueType/>
    <w:pitch w:val="default"/>
    <w:sig w:usb0="00000001" w:usb1="08070000" w:usb2="00000010" w:usb3="00000000" w:csb0="00020000" w:csb1="00000000"/>
  </w:font>
  <w:font w:name="DejaVuSans-BoldObliqu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0B48" w14:textId="5365C837" w:rsidR="00993105" w:rsidRPr="00922791" w:rsidRDefault="00993105" w:rsidP="00870155">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DD771F">
      <w:rPr>
        <w:rFonts w:cs="Arial"/>
        <w:noProof/>
        <w:szCs w:val="18"/>
      </w:rPr>
      <w:t>12</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765F" w14:textId="6CA07823" w:rsidR="00993105" w:rsidRPr="0034108A" w:rsidRDefault="00993105" w:rsidP="00870155">
    <w:pPr>
      <w:pStyle w:val="Footer"/>
      <w:ind w:right="-367"/>
      <w:jc w:val="center"/>
      <w:rPr>
        <w:rFonts w:cs="Arial"/>
        <w:szCs w:val="18"/>
      </w:rPr>
    </w:pPr>
    <w:r w:rsidRPr="0034108A">
      <w:rPr>
        <w:rFonts w:cs="Arial"/>
        <w:szCs w:val="18"/>
      </w:rPr>
      <w:fldChar w:fldCharType="begin"/>
    </w:r>
    <w:r w:rsidRPr="0034108A">
      <w:rPr>
        <w:rFonts w:cs="Arial"/>
        <w:szCs w:val="18"/>
      </w:rPr>
      <w:instrText xml:space="preserve"> PAGE   \* MERGEFORMAT </w:instrText>
    </w:r>
    <w:r w:rsidRPr="0034108A">
      <w:rPr>
        <w:rFonts w:cs="Arial"/>
        <w:szCs w:val="18"/>
      </w:rPr>
      <w:fldChar w:fldCharType="separate"/>
    </w:r>
    <w:r w:rsidR="00DD771F">
      <w:rPr>
        <w:rFonts w:cs="Arial"/>
        <w:noProof/>
        <w:szCs w:val="18"/>
      </w:rPr>
      <w:t>13</w:t>
    </w:r>
    <w:r w:rsidRPr="0034108A">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64D3" w14:textId="77777777" w:rsidR="00993105" w:rsidRPr="00CD7355" w:rsidRDefault="00993105" w:rsidP="00870155">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048388"/>
      <w:docPartObj>
        <w:docPartGallery w:val="Page Numbers (Bottom of Page)"/>
        <w:docPartUnique/>
      </w:docPartObj>
    </w:sdtPr>
    <w:sdtEndPr>
      <w:rPr>
        <w:noProof/>
      </w:rPr>
    </w:sdtEndPr>
    <w:sdtContent>
      <w:p w14:paraId="278F76E4" w14:textId="1FB32E86" w:rsidR="0034108A" w:rsidRPr="00CD7355" w:rsidRDefault="0034108A" w:rsidP="0034108A">
        <w:pPr>
          <w:pStyle w:val="Footer"/>
          <w:jc w:val="center"/>
        </w:pPr>
        <w:r>
          <w:fldChar w:fldCharType="begin"/>
        </w:r>
        <w:r>
          <w:instrText xml:space="preserve"> PAGE   \* MERGEFORMAT </w:instrText>
        </w:r>
        <w:r>
          <w:fldChar w:fldCharType="separate"/>
        </w:r>
        <w:r w:rsidR="00DD771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0B186" w14:textId="77777777" w:rsidR="00FF1899" w:rsidRDefault="00FF1899" w:rsidP="00DF126C">
      <w:r>
        <w:separator/>
      </w:r>
    </w:p>
  </w:footnote>
  <w:footnote w:type="continuationSeparator" w:id="0">
    <w:p w14:paraId="14AEBF07" w14:textId="77777777" w:rsidR="00FF1899" w:rsidRDefault="00FF1899" w:rsidP="00DF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4753" w14:textId="77777777" w:rsidR="00993105" w:rsidRPr="00811F15" w:rsidRDefault="00993105" w:rsidP="00870155">
    <w:pPr>
      <w:pStyle w:val="Heading1"/>
      <w:keepNext w:val="0"/>
      <w:pBdr>
        <w:bottom w:val="single" w:sz="4" w:space="1" w:color="auto"/>
      </w:pBdr>
      <w:tabs>
        <w:tab w:val="clear" w:pos="-720"/>
      </w:tabs>
      <w:ind w:left="261" w:right="-277" w:hanging="261"/>
      <w:rPr>
        <w:rFonts w:cs="Arial"/>
        <w:b w:val="0"/>
        <w:i/>
        <w:sz w:val="18"/>
        <w:szCs w:val="18"/>
        <w:lang w:val="fr-FR"/>
      </w:rPr>
    </w:pPr>
    <w:r w:rsidRPr="00811F15">
      <w:rPr>
        <w:rFonts w:cs="Arial"/>
        <w:b w:val="0"/>
        <w:i/>
        <w:sz w:val="18"/>
        <w:szCs w:val="18"/>
        <w:lang w:val="fr-FR"/>
      </w:rPr>
      <w:t>UNEP/CMS/COP12/Doc.x/Annex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3CD1" w14:textId="77777777" w:rsidR="00993105" w:rsidRPr="00497E66" w:rsidRDefault="00993105" w:rsidP="00870155">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UNEP/CMS/COP12/Doc.x/</w:t>
    </w:r>
    <w:r>
      <w:rPr>
        <w:rFonts w:cs="Arial"/>
        <w:b w:val="0"/>
        <w:i/>
        <w:sz w:val="18"/>
        <w:szCs w:val="18"/>
        <w:lang w:val="fr-FR"/>
      </w:rPr>
      <w:t xml:space="preserve">Annex </w:t>
    </w:r>
    <w:r w:rsidRPr="00497E66">
      <w:rPr>
        <w:rFonts w:cs="Arial"/>
        <w:b w:val="0"/>
        <w:i/>
        <w:sz w:val="18"/>
        <w:szCs w:val="18"/>
        <w:lang w:val="fr-FR"/>
      </w:rPr>
      <w:t>x</w:t>
    </w:r>
  </w:p>
  <w:p w14:paraId="067F178A" w14:textId="77777777" w:rsidR="00993105" w:rsidRPr="00497E66" w:rsidRDefault="00993105" w:rsidP="00870155">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00B8" w14:textId="72837156" w:rsidR="0034108A" w:rsidRPr="0034108A" w:rsidRDefault="0034108A" w:rsidP="0034108A">
    <w:pPr>
      <w:pStyle w:val="Header"/>
    </w:pPr>
    <w:r>
      <w:rPr>
        <w:noProof/>
      </w:rPr>
      <w:drawing>
        <wp:anchor distT="0" distB="0" distL="114300" distR="114300" simplePos="0" relativeHeight="251661312" behindDoc="1" locked="0" layoutInCell="1" allowOverlap="1" wp14:anchorId="379FDAB7" wp14:editId="334A5D7C">
          <wp:simplePos x="0" y="0"/>
          <wp:positionH relativeFrom="column">
            <wp:posOffset>742950</wp:posOffset>
          </wp:positionH>
          <wp:positionV relativeFrom="paragraph">
            <wp:posOffset>133350</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F499EB" wp14:editId="54C1ABD4">
          <wp:simplePos x="0" y="0"/>
          <wp:positionH relativeFrom="column">
            <wp:posOffset>0</wp:posOffset>
          </wp:positionH>
          <wp:positionV relativeFrom="paragraph">
            <wp:posOffset>133350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5B58" w14:textId="014D7EE5" w:rsidR="00993105" w:rsidRDefault="00DD771F" w:rsidP="00DD771F">
    <w:pPr>
      <w:pStyle w:val="Header"/>
      <w:pBdr>
        <w:bottom w:val="single" w:sz="4" w:space="1" w:color="auto"/>
      </w:pBdr>
      <w:tabs>
        <w:tab w:val="clear" w:pos="4513"/>
        <w:tab w:val="clear" w:pos="9026"/>
      </w:tabs>
    </w:pPr>
    <w:r w:rsidRPr="00D605A4">
      <w:rPr>
        <w:rFonts w:cs="Arial"/>
        <w:i/>
        <w:szCs w:val="18"/>
        <w:lang w:val="de-DE"/>
      </w:rPr>
      <w:t>UNEP/CMS/COP12/Doc.</w:t>
    </w:r>
    <w:r>
      <w:rPr>
        <w:rFonts w:cs="Arial"/>
        <w:i/>
        <w:szCs w:val="18"/>
        <w:lang w:val="de-DE"/>
      </w:rPr>
      <w:t>19.1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D768" w14:textId="77777777" w:rsidR="00993105" w:rsidRDefault="00993105" w:rsidP="00DD771F">
    <w:pPr>
      <w:pStyle w:val="Header"/>
      <w:pBdr>
        <w:bottom w:val="single" w:sz="4" w:space="1" w:color="auto"/>
      </w:pBdr>
      <w:jc w:val="right"/>
    </w:pPr>
    <w:r w:rsidRPr="00D605A4">
      <w:rPr>
        <w:rFonts w:cs="Arial"/>
        <w:i/>
        <w:szCs w:val="18"/>
        <w:lang w:val="de-DE"/>
      </w:rPr>
      <w:t>UNEP/CMS/COP12/Doc.</w:t>
    </w:r>
    <w:r>
      <w:rPr>
        <w:rFonts w:cs="Arial"/>
        <w:i/>
        <w:szCs w:val="18"/>
        <w:lang w:val="de-DE"/>
      </w:rPr>
      <w:t>19.1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527D" w14:textId="2FF5559E" w:rsidR="00993105" w:rsidRPr="004D0385" w:rsidRDefault="00993105" w:rsidP="0034108A">
    <w:pPr>
      <w:pStyle w:val="Header"/>
      <w:pBdr>
        <w:bottom w:val="single" w:sz="4" w:space="1" w:color="auto"/>
      </w:pBdr>
      <w:tabs>
        <w:tab w:val="clear" w:pos="4513"/>
        <w:tab w:val="clear" w:pos="9026"/>
      </w:tabs>
    </w:pPr>
    <w:r w:rsidRPr="00D605A4">
      <w:rPr>
        <w:rFonts w:cs="Arial"/>
        <w:i/>
        <w:szCs w:val="18"/>
        <w:lang w:val="de-DE"/>
      </w:rPr>
      <w:t>UNEP/CMS/COP12/Doc.</w:t>
    </w:r>
    <w:r>
      <w:rPr>
        <w:rFonts w:cs="Arial"/>
        <w:i/>
        <w:szCs w:val="18"/>
        <w:lang w:val="de-DE"/>
      </w:rPr>
      <w:t>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9A6"/>
    <w:multiLevelType w:val="hybridMultilevel"/>
    <w:tmpl w:val="E876B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C6B99"/>
    <w:multiLevelType w:val="hybridMultilevel"/>
    <w:tmpl w:val="2670E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C216B"/>
    <w:multiLevelType w:val="hybridMultilevel"/>
    <w:tmpl w:val="93B4E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245036"/>
    <w:multiLevelType w:val="hybridMultilevel"/>
    <w:tmpl w:val="D452E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FF21F3"/>
    <w:multiLevelType w:val="hybridMultilevel"/>
    <w:tmpl w:val="3312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A17EE"/>
    <w:multiLevelType w:val="hybridMultilevel"/>
    <w:tmpl w:val="84BE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4B1333"/>
    <w:multiLevelType w:val="hybridMultilevel"/>
    <w:tmpl w:val="603AF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E31D11"/>
    <w:multiLevelType w:val="hybridMultilevel"/>
    <w:tmpl w:val="A6CEB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6B51B6"/>
    <w:multiLevelType w:val="hybridMultilevel"/>
    <w:tmpl w:val="D736E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B00A40"/>
    <w:multiLevelType w:val="hybridMultilevel"/>
    <w:tmpl w:val="E60E3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290773"/>
    <w:multiLevelType w:val="hybridMultilevel"/>
    <w:tmpl w:val="DF9021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F5E43"/>
    <w:multiLevelType w:val="hybridMultilevel"/>
    <w:tmpl w:val="668211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9E77367"/>
    <w:multiLevelType w:val="hybridMultilevel"/>
    <w:tmpl w:val="F300D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6E2E34"/>
    <w:multiLevelType w:val="hybridMultilevel"/>
    <w:tmpl w:val="609A8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472AD9"/>
    <w:multiLevelType w:val="hybridMultilevel"/>
    <w:tmpl w:val="23B2B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7A601C"/>
    <w:multiLevelType w:val="hybridMultilevel"/>
    <w:tmpl w:val="B46AE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6B5C28"/>
    <w:multiLevelType w:val="hybridMultilevel"/>
    <w:tmpl w:val="78ACD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3D1A60"/>
    <w:multiLevelType w:val="hybridMultilevel"/>
    <w:tmpl w:val="1A382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E6415C"/>
    <w:multiLevelType w:val="hybridMultilevel"/>
    <w:tmpl w:val="557AB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35282A"/>
    <w:multiLevelType w:val="hybridMultilevel"/>
    <w:tmpl w:val="3C145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4D46C9"/>
    <w:multiLevelType w:val="hybridMultilevel"/>
    <w:tmpl w:val="C71C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87089"/>
    <w:multiLevelType w:val="hybridMultilevel"/>
    <w:tmpl w:val="EA4E4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1E0256D"/>
    <w:multiLevelType w:val="hybridMultilevel"/>
    <w:tmpl w:val="E168E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4F45B0"/>
    <w:multiLevelType w:val="hybridMultilevel"/>
    <w:tmpl w:val="78E683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70200C0"/>
    <w:multiLevelType w:val="hybridMultilevel"/>
    <w:tmpl w:val="D5444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7D935BE"/>
    <w:multiLevelType w:val="hybridMultilevel"/>
    <w:tmpl w:val="D94A9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AD70D2"/>
    <w:multiLevelType w:val="hybridMultilevel"/>
    <w:tmpl w:val="F3A0C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E8F2561"/>
    <w:multiLevelType w:val="hybridMultilevel"/>
    <w:tmpl w:val="870EA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7E285B"/>
    <w:multiLevelType w:val="hybridMultilevel"/>
    <w:tmpl w:val="B3E6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F36E08"/>
    <w:multiLevelType w:val="hybridMultilevel"/>
    <w:tmpl w:val="FC00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C14C9B"/>
    <w:multiLevelType w:val="hybridMultilevel"/>
    <w:tmpl w:val="4232F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BD1981"/>
    <w:multiLevelType w:val="hybridMultilevel"/>
    <w:tmpl w:val="3BBAD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6E0745"/>
    <w:multiLevelType w:val="hybridMultilevel"/>
    <w:tmpl w:val="2AA45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3944E2"/>
    <w:multiLevelType w:val="hybridMultilevel"/>
    <w:tmpl w:val="CF00B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5A44964"/>
    <w:multiLevelType w:val="hybridMultilevel"/>
    <w:tmpl w:val="9AE4C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7C0C66"/>
    <w:multiLevelType w:val="hybridMultilevel"/>
    <w:tmpl w:val="D128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7D415C3"/>
    <w:multiLevelType w:val="hybridMultilevel"/>
    <w:tmpl w:val="20583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8452AEA"/>
    <w:multiLevelType w:val="hybridMultilevel"/>
    <w:tmpl w:val="0A9A1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15377A1"/>
    <w:multiLevelType w:val="hybridMultilevel"/>
    <w:tmpl w:val="5492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5152C41"/>
    <w:multiLevelType w:val="hybridMultilevel"/>
    <w:tmpl w:val="08760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293684"/>
    <w:multiLevelType w:val="hybridMultilevel"/>
    <w:tmpl w:val="6D106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8D204C8"/>
    <w:multiLevelType w:val="hybridMultilevel"/>
    <w:tmpl w:val="3B861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6E5B04"/>
    <w:multiLevelType w:val="hybridMultilevel"/>
    <w:tmpl w:val="D7D6B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B8218E7"/>
    <w:multiLevelType w:val="hybridMultilevel"/>
    <w:tmpl w:val="2DC2D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946E07"/>
    <w:multiLevelType w:val="hybridMultilevel"/>
    <w:tmpl w:val="9A484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9F0F98"/>
    <w:multiLevelType w:val="hybridMultilevel"/>
    <w:tmpl w:val="B8505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0EB2FA2"/>
    <w:multiLevelType w:val="hybridMultilevel"/>
    <w:tmpl w:val="2FCE4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3A25379"/>
    <w:multiLevelType w:val="hybridMultilevel"/>
    <w:tmpl w:val="22B83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A858C4"/>
    <w:multiLevelType w:val="hybridMultilevel"/>
    <w:tmpl w:val="31865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23"/>
  </w:num>
  <w:num w:numId="4">
    <w:abstractNumId w:val="14"/>
  </w:num>
  <w:num w:numId="5">
    <w:abstractNumId w:val="2"/>
  </w:num>
  <w:num w:numId="6">
    <w:abstractNumId w:val="32"/>
  </w:num>
  <w:num w:numId="7">
    <w:abstractNumId w:val="34"/>
  </w:num>
  <w:num w:numId="8">
    <w:abstractNumId w:val="43"/>
  </w:num>
  <w:num w:numId="9">
    <w:abstractNumId w:val="38"/>
  </w:num>
  <w:num w:numId="10">
    <w:abstractNumId w:val="39"/>
  </w:num>
  <w:num w:numId="11">
    <w:abstractNumId w:val="45"/>
  </w:num>
  <w:num w:numId="12">
    <w:abstractNumId w:val="30"/>
  </w:num>
  <w:num w:numId="13">
    <w:abstractNumId w:val="13"/>
  </w:num>
  <w:num w:numId="14">
    <w:abstractNumId w:val="5"/>
  </w:num>
  <w:num w:numId="15">
    <w:abstractNumId w:val="25"/>
  </w:num>
  <w:num w:numId="16">
    <w:abstractNumId w:val="27"/>
  </w:num>
  <w:num w:numId="17">
    <w:abstractNumId w:val="46"/>
  </w:num>
  <w:num w:numId="18">
    <w:abstractNumId w:val="47"/>
  </w:num>
  <w:num w:numId="19">
    <w:abstractNumId w:val="41"/>
  </w:num>
  <w:num w:numId="20">
    <w:abstractNumId w:val="6"/>
  </w:num>
  <w:num w:numId="21">
    <w:abstractNumId w:val="28"/>
  </w:num>
  <w:num w:numId="22">
    <w:abstractNumId w:val="44"/>
  </w:num>
  <w:num w:numId="23">
    <w:abstractNumId w:val="35"/>
  </w:num>
  <w:num w:numId="24">
    <w:abstractNumId w:val="17"/>
  </w:num>
  <w:num w:numId="25">
    <w:abstractNumId w:val="16"/>
  </w:num>
  <w:num w:numId="26">
    <w:abstractNumId w:val="42"/>
  </w:num>
  <w:num w:numId="27">
    <w:abstractNumId w:val="18"/>
  </w:num>
  <w:num w:numId="28">
    <w:abstractNumId w:val="33"/>
  </w:num>
  <w:num w:numId="29">
    <w:abstractNumId w:val="21"/>
  </w:num>
  <w:num w:numId="30">
    <w:abstractNumId w:val="36"/>
  </w:num>
  <w:num w:numId="31">
    <w:abstractNumId w:val="12"/>
  </w:num>
  <w:num w:numId="32">
    <w:abstractNumId w:val="37"/>
  </w:num>
  <w:num w:numId="33">
    <w:abstractNumId w:val="22"/>
  </w:num>
  <w:num w:numId="34">
    <w:abstractNumId w:val="19"/>
  </w:num>
  <w:num w:numId="35">
    <w:abstractNumId w:val="3"/>
  </w:num>
  <w:num w:numId="36">
    <w:abstractNumId w:val="1"/>
  </w:num>
  <w:num w:numId="37">
    <w:abstractNumId w:val="31"/>
  </w:num>
  <w:num w:numId="38">
    <w:abstractNumId w:val="0"/>
  </w:num>
  <w:num w:numId="39">
    <w:abstractNumId w:val="26"/>
  </w:num>
  <w:num w:numId="40">
    <w:abstractNumId w:val="40"/>
  </w:num>
  <w:num w:numId="41">
    <w:abstractNumId w:val="8"/>
  </w:num>
  <w:num w:numId="42">
    <w:abstractNumId w:val="4"/>
  </w:num>
  <w:num w:numId="43">
    <w:abstractNumId w:val="20"/>
  </w:num>
  <w:num w:numId="44">
    <w:abstractNumId w:val="48"/>
  </w:num>
  <w:num w:numId="45">
    <w:abstractNumId w:val="24"/>
  </w:num>
  <w:num w:numId="46">
    <w:abstractNumId w:val="15"/>
  </w:num>
  <w:num w:numId="47">
    <w:abstractNumId w:val="9"/>
  </w:num>
  <w:num w:numId="48">
    <w:abstractNumId w:val="7"/>
  </w:num>
  <w:num w:numId="49">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D"/>
    <w:rsid w:val="00007F70"/>
    <w:rsid w:val="00045F27"/>
    <w:rsid w:val="000528E7"/>
    <w:rsid w:val="00070D44"/>
    <w:rsid w:val="000746B6"/>
    <w:rsid w:val="00075841"/>
    <w:rsid w:val="000823F9"/>
    <w:rsid w:val="000932CC"/>
    <w:rsid w:val="000965BB"/>
    <w:rsid w:val="000C4542"/>
    <w:rsid w:val="000E0E57"/>
    <w:rsid w:val="000F45CE"/>
    <w:rsid w:val="0010003C"/>
    <w:rsid w:val="00107EAF"/>
    <w:rsid w:val="00113BFE"/>
    <w:rsid w:val="001348B7"/>
    <w:rsid w:val="001356AC"/>
    <w:rsid w:val="00137EB2"/>
    <w:rsid w:val="00173F32"/>
    <w:rsid w:val="00174AEA"/>
    <w:rsid w:val="00176B4D"/>
    <w:rsid w:val="0019493E"/>
    <w:rsid w:val="001A1932"/>
    <w:rsid w:val="001A4BAC"/>
    <w:rsid w:val="001C2774"/>
    <w:rsid w:val="001C58A8"/>
    <w:rsid w:val="001D037F"/>
    <w:rsid w:val="001E28B7"/>
    <w:rsid w:val="001E306A"/>
    <w:rsid w:val="0020128F"/>
    <w:rsid w:val="0020689B"/>
    <w:rsid w:val="00233670"/>
    <w:rsid w:val="002475EE"/>
    <w:rsid w:val="00264804"/>
    <w:rsid w:val="00284E72"/>
    <w:rsid w:val="002B0F6D"/>
    <w:rsid w:val="002B1990"/>
    <w:rsid w:val="002B626F"/>
    <w:rsid w:val="002C5DCB"/>
    <w:rsid w:val="002F00D2"/>
    <w:rsid w:val="0034108A"/>
    <w:rsid w:val="00362E7A"/>
    <w:rsid w:val="00396787"/>
    <w:rsid w:val="003A3DF2"/>
    <w:rsid w:val="003F21AB"/>
    <w:rsid w:val="00435F9D"/>
    <w:rsid w:val="00456905"/>
    <w:rsid w:val="00462887"/>
    <w:rsid w:val="004A68FB"/>
    <w:rsid w:val="004C3ABD"/>
    <w:rsid w:val="004D0385"/>
    <w:rsid w:val="004D3B79"/>
    <w:rsid w:val="004F2C0F"/>
    <w:rsid w:val="00513FD8"/>
    <w:rsid w:val="00524C8D"/>
    <w:rsid w:val="005328EF"/>
    <w:rsid w:val="00536EB4"/>
    <w:rsid w:val="00555EDC"/>
    <w:rsid w:val="00570059"/>
    <w:rsid w:val="005A4EA2"/>
    <w:rsid w:val="005D62E5"/>
    <w:rsid w:val="006064CC"/>
    <w:rsid w:val="0061179A"/>
    <w:rsid w:val="00616635"/>
    <w:rsid w:val="006175CD"/>
    <w:rsid w:val="0062463D"/>
    <w:rsid w:val="00645748"/>
    <w:rsid w:val="00664CA9"/>
    <w:rsid w:val="006664DB"/>
    <w:rsid w:val="00673384"/>
    <w:rsid w:val="006921C8"/>
    <w:rsid w:val="006B041C"/>
    <w:rsid w:val="006C553E"/>
    <w:rsid w:val="006D7C0B"/>
    <w:rsid w:val="006E2B23"/>
    <w:rsid w:val="0073375D"/>
    <w:rsid w:val="00752C3B"/>
    <w:rsid w:val="00755517"/>
    <w:rsid w:val="00771530"/>
    <w:rsid w:val="00785EF6"/>
    <w:rsid w:val="007D427C"/>
    <w:rsid w:val="007F7DC1"/>
    <w:rsid w:val="00811D6D"/>
    <w:rsid w:val="00811F15"/>
    <w:rsid w:val="008332F3"/>
    <w:rsid w:val="00847D52"/>
    <w:rsid w:val="00851F12"/>
    <w:rsid w:val="00861847"/>
    <w:rsid w:val="008651E0"/>
    <w:rsid w:val="00870155"/>
    <w:rsid w:val="00883B78"/>
    <w:rsid w:val="00890DD0"/>
    <w:rsid w:val="008919F0"/>
    <w:rsid w:val="00892BE4"/>
    <w:rsid w:val="008B1405"/>
    <w:rsid w:val="008C1B72"/>
    <w:rsid w:val="008D6988"/>
    <w:rsid w:val="008D78BC"/>
    <w:rsid w:val="008F4E90"/>
    <w:rsid w:val="00901315"/>
    <w:rsid w:val="009062FE"/>
    <w:rsid w:val="009118A9"/>
    <w:rsid w:val="009374A4"/>
    <w:rsid w:val="00950DF3"/>
    <w:rsid w:val="0095385A"/>
    <w:rsid w:val="009627C0"/>
    <w:rsid w:val="009634DF"/>
    <w:rsid w:val="00993105"/>
    <w:rsid w:val="009C7FAD"/>
    <w:rsid w:val="009E152C"/>
    <w:rsid w:val="009E2C9C"/>
    <w:rsid w:val="009E70EC"/>
    <w:rsid w:val="00A14D53"/>
    <w:rsid w:val="00A161F6"/>
    <w:rsid w:val="00A23A09"/>
    <w:rsid w:val="00A24AE3"/>
    <w:rsid w:val="00A47144"/>
    <w:rsid w:val="00A475AE"/>
    <w:rsid w:val="00A84C7A"/>
    <w:rsid w:val="00A936BB"/>
    <w:rsid w:val="00AA0BD0"/>
    <w:rsid w:val="00AA2474"/>
    <w:rsid w:val="00AB50C2"/>
    <w:rsid w:val="00AC22F1"/>
    <w:rsid w:val="00AC3E91"/>
    <w:rsid w:val="00AD180E"/>
    <w:rsid w:val="00AD7544"/>
    <w:rsid w:val="00AF485C"/>
    <w:rsid w:val="00AF6012"/>
    <w:rsid w:val="00B03372"/>
    <w:rsid w:val="00B12B45"/>
    <w:rsid w:val="00B213AB"/>
    <w:rsid w:val="00B247E1"/>
    <w:rsid w:val="00B26035"/>
    <w:rsid w:val="00B473A2"/>
    <w:rsid w:val="00B473EC"/>
    <w:rsid w:val="00B70A53"/>
    <w:rsid w:val="00B76E4A"/>
    <w:rsid w:val="00B83356"/>
    <w:rsid w:val="00B8704F"/>
    <w:rsid w:val="00B936D2"/>
    <w:rsid w:val="00B97C34"/>
    <w:rsid w:val="00BB0531"/>
    <w:rsid w:val="00BC79EE"/>
    <w:rsid w:val="00BD01B0"/>
    <w:rsid w:val="00BE3A63"/>
    <w:rsid w:val="00C25B63"/>
    <w:rsid w:val="00C412EF"/>
    <w:rsid w:val="00C4297C"/>
    <w:rsid w:val="00C429E1"/>
    <w:rsid w:val="00C4747D"/>
    <w:rsid w:val="00C8610B"/>
    <w:rsid w:val="00C90A46"/>
    <w:rsid w:val="00C9141E"/>
    <w:rsid w:val="00CA2FB5"/>
    <w:rsid w:val="00CB5CA6"/>
    <w:rsid w:val="00CC03FE"/>
    <w:rsid w:val="00CE25FE"/>
    <w:rsid w:val="00CE5EF5"/>
    <w:rsid w:val="00D01EBA"/>
    <w:rsid w:val="00D056AA"/>
    <w:rsid w:val="00D125C9"/>
    <w:rsid w:val="00D319FD"/>
    <w:rsid w:val="00D6443D"/>
    <w:rsid w:val="00D96F4B"/>
    <w:rsid w:val="00DC5CB7"/>
    <w:rsid w:val="00DD256A"/>
    <w:rsid w:val="00DD6247"/>
    <w:rsid w:val="00DD771F"/>
    <w:rsid w:val="00DF126C"/>
    <w:rsid w:val="00E12B33"/>
    <w:rsid w:val="00E14770"/>
    <w:rsid w:val="00E74273"/>
    <w:rsid w:val="00E77C9A"/>
    <w:rsid w:val="00E91C96"/>
    <w:rsid w:val="00EA14C2"/>
    <w:rsid w:val="00EB7081"/>
    <w:rsid w:val="00EC5CDA"/>
    <w:rsid w:val="00EE77CF"/>
    <w:rsid w:val="00EF5AD3"/>
    <w:rsid w:val="00F064E7"/>
    <w:rsid w:val="00F12ED0"/>
    <w:rsid w:val="00F15AAC"/>
    <w:rsid w:val="00F53DE6"/>
    <w:rsid w:val="00F7038A"/>
    <w:rsid w:val="00F773F6"/>
    <w:rsid w:val="00F82818"/>
    <w:rsid w:val="00FE100B"/>
    <w:rsid w:val="00FE511E"/>
    <w:rsid w:val="00FE7882"/>
    <w:rsid w:val="00FF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FB42A"/>
  <w15:chartTrackingRefBased/>
  <w15:docId w15:val="{73E525A3-E100-4BB5-AB61-ECC7FDE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7F70"/>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F70"/>
    <w:rPr>
      <w:rFonts w:ascii="Arial" w:eastAsia="Times New Roman" w:hAnsi="Arial" w:cs="Times New Roman"/>
      <w:b/>
      <w:bCs/>
      <w:sz w:val="34"/>
      <w:szCs w:val="36"/>
    </w:rPr>
  </w:style>
  <w:style w:type="character" w:customStyle="1" w:styleId="Heading2Char">
    <w:name w:val="Heading 2 Char"/>
    <w:basedOn w:val="DefaultParagraphFont"/>
    <w:link w:val="Heading2"/>
    <w:uiPriority w:val="99"/>
    <w:rsid w:val="00007F70"/>
    <w:rPr>
      <w:rFonts w:ascii="Arial" w:eastAsia="Times New Roman" w:hAnsi="Arial" w:cs="Times New Roman"/>
      <w:b/>
      <w:bCs/>
      <w:sz w:val="36"/>
      <w:szCs w:val="24"/>
      <w:lang w:val="en-US"/>
    </w:rPr>
  </w:style>
  <w:style w:type="character" w:styleId="Hyperlink">
    <w:name w:val="Hyperlink"/>
    <w:basedOn w:val="DefaultParagraphFont"/>
    <w:uiPriority w:val="99"/>
    <w:unhideWhenUsed/>
    <w:rsid w:val="0020128F"/>
    <w:rPr>
      <w:color w:val="0563C1" w:themeColor="hyperlink"/>
      <w:u w:val="single"/>
    </w:rPr>
  </w:style>
  <w:style w:type="paragraph" w:styleId="PlainText">
    <w:name w:val="Plain Text"/>
    <w:basedOn w:val="Normal"/>
    <w:link w:val="PlainTextChar"/>
    <w:uiPriority w:val="99"/>
    <w:unhideWhenUsed/>
    <w:rsid w:val="0020128F"/>
    <w:rPr>
      <w:rFonts w:cs="Consolas"/>
      <w:sz w:val="20"/>
      <w:szCs w:val="21"/>
    </w:rPr>
  </w:style>
  <w:style w:type="character" w:customStyle="1" w:styleId="PlainTextChar">
    <w:name w:val="Plain Text Char"/>
    <w:basedOn w:val="DefaultParagraphFont"/>
    <w:link w:val="PlainText"/>
    <w:uiPriority w:val="99"/>
    <w:rsid w:val="0020128F"/>
    <w:rPr>
      <w:rFonts w:ascii="Arial" w:hAnsi="Arial" w:cs="Consolas"/>
      <w:sz w:val="20"/>
      <w:szCs w:val="21"/>
    </w:rPr>
  </w:style>
  <w:style w:type="paragraph" w:styleId="Header">
    <w:name w:val="header"/>
    <w:basedOn w:val="Normal"/>
    <w:link w:val="HeaderChar"/>
    <w:uiPriority w:val="99"/>
    <w:unhideWhenUsed/>
    <w:rsid w:val="00DF126C"/>
    <w:pPr>
      <w:tabs>
        <w:tab w:val="center" w:pos="4513"/>
        <w:tab w:val="right" w:pos="9026"/>
      </w:tabs>
    </w:pPr>
  </w:style>
  <w:style w:type="character" w:customStyle="1" w:styleId="HeaderChar">
    <w:name w:val="Header Char"/>
    <w:basedOn w:val="DefaultParagraphFont"/>
    <w:link w:val="Header"/>
    <w:uiPriority w:val="99"/>
    <w:rsid w:val="00DF126C"/>
  </w:style>
  <w:style w:type="paragraph" w:styleId="Footer">
    <w:name w:val="footer"/>
    <w:basedOn w:val="Normal"/>
    <w:link w:val="FooterChar"/>
    <w:uiPriority w:val="99"/>
    <w:unhideWhenUsed/>
    <w:rsid w:val="00DF126C"/>
    <w:pPr>
      <w:tabs>
        <w:tab w:val="center" w:pos="4513"/>
        <w:tab w:val="right" w:pos="9026"/>
      </w:tabs>
    </w:pPr>
  </w:style>
  <w:style w:type="character" w:customStyle="1" w:styleId="FooterChar">
    <w:name w:val="Footer Char"/>
    <w:basedOn w:val="DefaultParagraphFont"/>
    <w:link w:val="Footer"/>
    <w:uiPriority w:val="99"/>
    <w:rsid w:val="00DF126C"/>
  </w:style>
  <w:style w:type="paragraph" w:styleId="ListParagraph">
    <w:name w:val="List Paragraph"/>
    <w:basedOn w:val="Normal"/>
    <w:uiPriority w:val="34"/>
    <w:qFormat/>
    <w:rsid w:val="00107EAF"/>
    <w:pPr>
      <w:widowControl/>
      <w:autoSpaceDE/>
      <w:autoSpaceDN/>
      <w:adjustRightInd/>
      <w:ind w:left="720"/>
      <w:contextualSpacing/>
    </w:pPr>
    <w:rPr>
      <w:rFonts w:asciiTheme="minorHAnsi" w:eastAsiaTheme="minorHAnsi" w:hAnsiTheme="minorHAnsi" w:cstheme="minorBidi"/>
      <w:sz w:val="22"/>
      <w:szCs w:val="22"/>
      <w:lang w:val="it-IT"/>
    </w:rPr>
  </w:style>
  <w:style w:type="character" w:styleId="FootnoteReference">
    <w:name w:val="footnote reference"/>
    <w:aliases w:val="stylish"/>
    <w:semiHidden/>
    <w:rsid w:val="00107EAF"/>
    <w:rPr>
      <w:vertAlign w:val="superscript"/>
    </w:rPr>
  </w:style>
  <w:style w:type="paragraph" w:styleId="FootnoteText">
    <w:name w:val="footnote text"/>
    <w:basedOn w:val="Normal"/>
    <w:link w:val="FootnoteTextChar"/>
    <w:uiPriority w:val="99"/>
    <w:semiHidden/>
    <w:unhideWhenUsed/>
    <w:rsid w:val="00107EAF"/>
    <w:pPr>
      <w:widowControl/>
      <w:autoSpaceDE/>
      <w:autoSpaceDN/>
      <w:adjustRightInd/>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semiHidden/>
    <w:rsid w:val="00107EAF"/>
    <w:rPr>
      <w:sz w:val="20"/>
      <w:szCs w:val="20"/>
      <w:lang w:val="it-IT"/>
    </w:rPr>
  </w:style>
  <w:style w:type="paragraph" w:customStyle="1" w:styleId="Default">
    <w:name w:val="Default"/>
    <w:rsid w:val="00B260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689B"/>
    <w:rPr>
      <w:rFonts w:ascii="Segoe UI" w:hAnsi="Segoe UI" w:cs="Segoe UI"/>
      <w:szCs w:val="18"/>
    </w:rPr>
  </w:style>
  <w:style w:type="character" w:customStyle="1" w:styleId="BalloonTextChar">
    <w:name w:val="Balloon Text Char"/>
    <w:basedOn w:val="DefaultParagraphFont"/>
    <w:link w:val="BalloonText"/>
    <w:uiPriority w:val="99"/>
    <w:semiHidden/>
    <w:rsid w:val="0020689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96F4B"/>
    <w:rPr>
      <w:sz w:val="16"/>
      <w:szCs w:val="16"/>
    </w:rPr>
  </w:style>
  <w:style w:type="paragraph" w:styleId="CommentText">
    <w:name w:val="annotation text"/>
    <w:basedOn w:val="Normal"/>
    <w:link w:val="CommentTextChar"/>
    <w:uiPriority w:val="99"/>
    <w:semiHidden/>
    <w:unhideWhenUsed/>
    <w:rsid w:val="00D96F4B"/>
    <w:rPr>
      <w:sz w:val="20"/>
      <w:szCs w:val="20"/>
    </w:rPr>
  </w:style>
  <w:style w:type="character" w:customStyle="1" w:styleId="CommentTextChar">
    <w:name w:val="Comment Text Char"/>
    <w:basedOn w:val="DefaultParagraphFont"/>
    <w:link w:val="CommentText"/>
    <w:uiPriority w:val="99"/>
    <w:semiHidden/>
    <w:rsid w:val="00D96F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96F4B"/>
    <w:rPr>
      <w:b/>
      <w:bCs/>
    </w:rPr>
  </w:style>
  <w:style w:type="character" w:customStyle="1" w:styleId="CommentSubjectChar">
    <w:name w:val="Comment Subject Char"/>
    <w:basedOn w:val="CommentTextChar"/>
    <w:link w:val="CommentSubject"/>
    <w:uiPriority w:val="99"/>
    <w:semiHidden/>
    <w:rsid w:val="00D96F4B"/>
    <w:rPr>
      <w:rFonts w:ascii="Arial" w:eastAsia="Times New Roman" w:hAnsi="Arial" w:cs="Times New Roman"/>
      <w:b/>
      <w:bCs/>
      <w:sz w:val="20"/>
      <w:szCs w:val="20"/>
      <w:lang w:val="en-US"/>
    </w:rPr>
  </w:style>
  <w:style w:type="character" w:styleId="Strong">
    <w:name w:val="Strong"/>
    <w:basedOn w:val="DefaultParagraphFont"/>
    <w:uiPriority w:val="22"/>
    <w:qFormat/>
    <w:rsid w:val="00870155"/>
    <w:rPr>
      <w:b/>
      <w:bCs/>
    </w:rPr>
  </w:style>
  <w:style w:type="paragraph" w:customStyle="1" w:styleId="CM112">
    <w:name w:val="CM112"/>
    <w:basedOn w:val="Normal"/>
    <w:next w:val="Normal"/>
    <w:uiPriority w:val="99"/>
    <w:rsid w:val="00870155"/>
    <w:rPr>
      <w:rFonts w:ascii="DejaVu Sans" w:eastAsiaTheme="minorEastAsia" w:hAnsi="DejaVu Sans" w:cstheme="minorBidi"/>
      <w:sz w:val="24"/>
    </w:rPr>
  </w:style>
  <w:style w:type="table" w:styleId="TableGrid">
    <w:name w:val="Table Grid"/>
    <w:basedOn w:val="TableNormal"/>
    <w:uiPriority w:val="39"/>
    <w:rsid w:val="0087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70155"/>
  </w:style>
  <w:style w:type="character" w:styleId="Emphasis">
    <w:name w:val="Emphasis"/>
    <w:basedOn w:val="DefaultParagraphFont"/>
    <w:uiPriority w:val="20"/>
    <w:qFormat/>
    <w:rsid w:val="00870155"/>
    <w:rPr>
      <w:i/>
      <w:iCs/>
    </w:rPr>
  </w:style>
  <w:style w:type="character" w:customStyle="1" w:styleId="xbe">
    <w:name w:val="_xbe"/>
    <w:basedOn w:val="DefaultParagraphFont"/>
    <w:rsid w:val="0087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5992">
      <w:bodyDiv w:val="1"/>
      <w:marLeft w:val="0"/>
      <w:marRight w:val="0"/>
      <w:marTop w:val="0"/>
      <w:marBottom w:val="0"/>
      <w:divBdr>
        <w:top w:val="none" w:sz="0" w:space="0" w:color="auto"/>
        <w:left w:val="none" w:sz="0" w:space="0" w:color="auto"/>
        <w:bottom w:val="none" w:sz="0" w:space="0" w:color="auto"/>
        <w:right w:val="none" w:sz="0" w:space="0" w:color="auto"/>
      </w:divBdr>
      <w:divsChild>
        <w:div w:id="2003267741">
          <w:marLeft w:val="0"/>
          <w:marRight w:val="0"/>
          <w:marTop w:val="0"/>
          <w:marBottom w:val="0"/>
          <w:divBdr>
            <w:top w:val="none" w:sz="0" w:space="0" w:color="auto"/>
            <w:left w:val="none" w:sz="0" w:space="0" w:color="auto"/>
            <w:bottom w:val="none" w:sz="0" w:space="0" w:color="auto"/>
            <w:right w:val="none" w:sz="0" w:space="0" w:color="auto"/>
          </w:divBdr>
        </w:div>
        <w:div w:id="1698655538">
          <w:marLeft w:val="0"/>
          <w:marRight w:val="0"/>
          <w:marTop w:val="0"/>
          <w:marBottom w:val="0"/>
          <w:divBdr>
            <w:top w:val="none" w:sz="0" w:space="0" w:color="auto"/>
            <w:left w:val="none" w:sz="0" w:space="0" w:color="auto"/>
            <w:bottom w:val="none" w:sz="0" w:space="0" w:color="auto"/>
            <w:right w:val="none" w:sz="0" w:space="0" w:color="auto"/>
          </w:divBdr>
        </w:div>
        <w:div w:id="1122311314">
          <w:marLeft w:val="0"/>
          <w:marRight w:val="0"/>
          <w:marTop w:val="0"/>
          <w:marBottom w:val="0"/>
          <w:divBdr>
            <w:top w:val="none" w:sz="0" w:space="0" w:color="auto"/>
            <w:left w:val="none" w:sz="0" w:space="0" w:color="auto"/>
            <w:bottom w:val="none" w:sz="0" w:space="0" w:color="auto"/>
            <w:right w:val="none" w:sz="0" w:space="0" w:color="auto"/>
          </w:divBdr>
        </w:div>
        <w:div w:id="218367974">
          <w:marLeft w:val="0"/>
          <w:marRight w:val="0"/>
          <w:marTop w:val="0"/>
          <w:marBottom w:val="0"/>
          <w:divBdr>
            <w:top w:val="none" w:sz="0" w:space="0" w:color="auto"/>
            <w:left w:val="none" w:sz="0" w:space="0" w:color="auto"/>
            <w:bottom w:val="none" w:sz="0" w:space="0" w:color="auto"/>
            <w:right w:val="none" w:sz="0" w:space="0" w:color="auto"/>
          </w:divBdr>
        </w:div>
        <w:div w:id="447703765">
          <w:marLeft w:val="0"/>
          <w:marRight w:val="0"/>
          <w:marTop w:val="0"/>
          <w:marBottom w:val="0"/>
          <w:divBdr>
            <w:top w:val="none" w:sz="0" w:space="0" w:color="auto"/>
            <w:left w:val="none" w:sz="0" w:space="0" w:color="auto"/>
            <w:bottom w:val="none" w:sz="0" w:space="0" w:color="auto"/>
            <w:right w:val="none" w:sz="0" w:space="0" w:color="auto"/>
          </w:divBdr>
        </w:div>
      </w:divsChild>
    </w:div>
    <w:div w:id="521667778">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ms.int/en/meeting/twelfth-meeting-conference-parties-cm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7379-4313-4650-ABEB-DBD321F1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6169</Words>
  <Characters>35166</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CMS Secretariat</cp:lastModifiedBy>
  <cp:revision>2</cp:revision>
  <cp:lastPrinted>2017-05-31T12:32:00Z</cp:lastPrinted>
  <dcterms:created xsi:type="dcterms:W3CDTF">2017-08-03T10:09:00Z</dcterms:created>
  <dcterms:modified xsi:type="dcterms:W3CDTF">2017-08-03T10:09:00Z</dcterms:modified>
</cp:coreProperties>
</file>