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A10AC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5F4CC5">
              <w:rPr>
                <w:rFonts w:ascii="Arial" w:hAnsi="Arial" w:cs="Arial"/>
                <w:sz w:val="22"/>
                <w:szCs w:val="22"/>
                <w:lang w:val="fr-FR"/>
              </w:rPr>
              <w:t>22</w:t>
            </w:r>
          </w:p>
          <w:p w:rsidR="00260772" w:rsidRPr="005B42D9" w:rsidRDefault="005F4CC5"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26</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5F4CC5" w:rsidRPr="005F4CC5" w:rsidRDefault="005F4CC5" w:rsidP="005F4CC5">
      <w:pPr>
        <w:spacing w:after="120"/>
        <w:jc w:val="center"/>
        <w:rPr>
          <w:rFonts w:ascii="Arial" w:eastAsia="MS Mincho" w:hAnsi="Arial" w:cs="Arial"/>
          <w:b/>
          <w:bCs/>
          <w:color w:val="000000"/>
          <w:sz w:val="22"/>
          <w:szCs w:val="22"/>
          <w:lang w:val="fr-FR" w:eastAsia="ja-JP"/>
        </w:rPr>
      </w:pPr>
      <w:r w:rsidRPr="005F4CC5">
        <w:rPr>
          <w:rFonts w:ascii="Arial" w:eastAsia="MS Mincho" w:hAnsi="Arial" w:cs="Arial"/>
          <w:b/>
          <w:bCs/>
          <w:color w:val="000000"/>
          <w:sz w:val="22"/>
          <w:szCs w:val="22"/>
          <w:lang w:val="fr-FR" w:eastAsia="ja-JP"/>
        </w:rPr>
        <w:t>RÉVISION DU MODÈLE DE RAPPORT NATIONAL</w:t>
      </w:r>
    </w:p>
    <w:p w:rsidR="005F4CC5" w:rsidRDefault="005F4CC5" w:rsidP="005F4CC5">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5F4CC5">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Pr="00BC6025">
        <w:rPr>
          <w:rFonts w:ascii="Arial" w:hAnsi="Arial" w:cs="Arial"/>
          <w:bCs/>
          <w:caps/>
          <w:sz w:val="22"/>
          <w:szCs w:val="22"/>
          <w:lang w:val="fr-FR"/>
        </w:rPr>
        <w:t>.</w:t>
      </w:r>
      <w:r w:rsidR="005F4CC5">
        <w:rPr>
          <w:rFonts w:ascii="Arial" w:hAnsi="Arial" w:cs="Arial"/>
          <w:bCs/>
          <w:caps/>
          <w:sz w:val="22"/>
          <w:szCs w:val="22"/>
          <w:lang w:val="fr-FR"/>
        </w:rPr>
        <w:t>19.2</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1F1DA4" w:rsidRDefault="00BC6025" w:rsidP="00796FCE">
      <w:pPr>
        <w:jc w:val="center"/>
        <w:rPr>
          <w:rFonts w:ascii="Arial" w:hAnsi="Arial" w:cs="Arial"/>
          <w:bCs/>
          <w:i/>
          <w:iCs/>
          <w:sz w:val="22"/>
          <w:szCs w:val="22"/>
          <w:lang w:val="fr-FR"/>
        </w:rPr>
      </w:pPr>
      <w:r w:rsidRPr="00A10AC7">
        <w:rPr>
          <w:rFonts w:ascii="Arial" w:hAnsi="Arial" w:cs="Arial"/>
          <w:bCs/>
          <w:i/>
          <w:iCs/>
          <w:sz w:val="22"/>
          <w:szCs w:val="22"/>
          <w:lang w:val="fr-FR"/>
        </w:rPr>
        <w:t>(</w:t>
      </w:r>
      <w:r w:rsidR="00796FCE" w:rsidRPr="00A10AC7">
        <w:rPr>
          <w:rFonts w:ascii="Arial" w:hAnsi="Arial" w:cs="Arial"/>
          <w:bCs/>
          <w:i/>
          <w:iCs/>
          <w:sz w:val="22"/>
          <w:szCs w:val="22"/>
          <w:lang w:val="fr-FR"/>
        </w:rPr>
        <w:t xml:space="preserve">Préparé par </w:t>
      </w:r>
      <w:r w:rsidR="003E7699" w:rsidRPr="00A10AC7">
        <w:rPr>
          <w:rFonts w:ascii="Arial" w:hAnsi="Arial" w:cs="Arial"/>
          <w:bCs/>
          <w:i/>
          <w:iCs/>
          <w:sz w:val="22"/>
          <w:szCs w:val="22"/>
          <w:lang w:val="fr-FR"/>
        </w:rPr>
        <w:t>le groupe de travail ad hoc</w:t>
      </w:r>
      <w:r w:rsidRPr="00A10AC7">
        <w:rPr>
          <w:rFonts w:ascii="Arial" w:hAnsi="Arial" w:cs="Arial"/>
          <w:bCs/>
          <w:i/>
          <w:iCs/>
          <w:sz w:val="22"/>
          <w:szCs w:val="22"/>
          <w:lang w:val="fr-FR"/>
        </w:rPr>
        <w:t>)</w:t>
      </w:r>
    </w:p>
    <w:p w:rsidR="00BC6025" w:rsidRPr="001F1DA4" w:rsidRDefault="00BC6025" w:rsidP="00BC6025">
      <w:pPr>
        <w:jc w:val="both"/>
        <w:rPr>
          <w:rFonts w:ascii="Arial" w:hAnsi="Arial" w:cs="Arial"/>
          <w:szCs w:val="20"/>
          <w:lang w:val="fr-FR"/>
        </w:rPr>
      </w:pPr>
    </w:p>
    <w:p w:rsidR="00BC6025" w:rsidRPr="001F1DA4" w:rsidRDefault="00BC6025" w:rsidP="00BC6025">
      <w:pPr>
        <w:jc w:val="center"/>
        <w:rPr>
          <w:rFonts w:ascii="Arial" w:hAnsi="Arial" w:cs="Arial"/>
          <w:sz w:val="22"/>
          <w:szCs w:val="22"/>
          <w:lang w:val="fr-FR"/>
        </w:rPr>
      </w:pPr>
    </w:p>
    <w:p w:rsidR="005F4CC5" w:rsidRPr="005F4CC5" w:rsidRDefault="005F4CC5" w:rsidP="005F4CC5">
      <w:pPr>
        <w:jc w:val="center"/>
        <w:rPr>
          <w:rFonts w:ascii="Arial" w:hAnsi="Arial" w:cs="Arial"/>
          <w:sz w:val="22"/>
          <w:szCs w:val="22"/>
          <w:lang w:val="fr-FR"/>
        </w:rPr>
      </w:pPr>
      <w:r w:rsidRPr="005F4CC5">
        <w:rPr>
          <w:rFonts w:ascii="Arial" w:hAnsi="Arial" w:cs="Arial"/>
          <w:sz w:val="22"/>
          <w:szCs w:val="22"/>
          <w:lang w:val="fr-FR"/>
        </w:rPr>
        <w:t>PROJET DE DÉCISIONS</w:t>
      </w:r>
    </w:p>
    <w:p w:rsidR="005F4CC5" w:rsidRDefault="005F4CC5" w:rsidP="005F4CC5">
      <w:pPr>
        <w:rPr>
          <w:rFonts w:ascii="Arial" w:eastAsia="MS Mincho" w:hAnsi="Arial" w:cs="Arial"/>
          <w:color w:val="000000"/>
          <w:sz w:val="22"/>
          <w:szCs w:val="22"/>
          <w:lang w:val="fr-FR" w:eastAsia="ja-JP"/>
        </w:rPr>
      </w:pPr>
    </w:p>
    <w:p w:rsidR="003E7699" w:rsidRPr="005F4CC5" w:rsidRDefault="003E7699" w:rsidP="005F4CC5">
      <w:pPr>
        <w:rPr>
          <w:rFonts w:ascii="Arial" w:eastAsia="MS Mincho" w:hAnsi="Arial" w:cs="Arial"/>
          <w:color w:val="000000"/>
          <w:sz w:val="22"/>
          <w:szCs w:val="22"/>
          <w:lang w:val="fr-FR" w:eastAsia="ja-JP"/>
        </w:rPr>
      </w:pPr>
    </w:p>
    <w:p w:rsidR="003E7699" w:rsidRPr="003E7699" w:rsidRDefault="003E7699" w:rsidP="003E7699">
      <w:pPr>
        <w:jc w:val="both"/>
        <w:rPr>
          <w:rFonts w:ascii="Arial" w:hAnsi="Arial" w:cs="Arial"/>
          <w:b/>
          <w:i/>
          <w:sz w:val="22"/>
          <w:szCs w:val="22"/>
          <w:lang w:val="fr-FR"/>
        </w:rPr>
      </w:pPr>
      <w:r w:rsidRPr="003E7699">
        <w:rPr>
          <w:rFonts w:ascii="Arial" w:hAnsi="Arial" w:cs="Arial"/>
          <w:b/>
          <w:i/>
          <w:sz w:val="22"/>
          <w:szCs w:val="22"/>
          <w:lang w:val="fr-FR"/>
        </w:rPr>
        <w:t>La Conférence des Parties contractantes</w:t>
      </w:r>
    </w:p>
    <w:p w:rsidR="003E7699" w:rsidRPr="003E7699" w:rsidRDefault="003E7699" w:rsidP="003E7699">
      <w:pPr>
        <w:jc w:val="both"/>
        <w:rPr>
          <w:rFonts w:ascii="Arial" w:hAnsi="Arial" w:cs="Arial"/>
          <w:b/>
          <w:i/>
          <w:sz w:val="22"/>
          <w:szCs w:val="22"/>
          <w:lang w:val="fr-FR"/>
        </w:rPr>
      </w:pPr>
    </w:p>
    <w:p w:rsidR="003E7699" w:rsidRPr="00A10AC7" w:rsidRDefault="003E7699" w:rsidP="003E7699">
      <w:pPr>
        <w:jc w:val="both"/>
        <w:rPr>
          <w:rFonts w:ascii="Arial" w:hAnsi="Arial" w:cs="Arial"/>
          <w:sz w:val="22"/>
          <w:szCs w:val="22"/>
          <w:lang w:val="fr-FR"/>
        </w:rPr>
      </w:pPr>
      <w:r w:rsidRPr="00A10AC7">
        <w:rPr>
          <w:rFonts w:ascii="Arial" w:hAnsi="Arial" w:cs="Arial"/>
          <w:sz w:val="22"/>
          <w:szCs w:val="22"/>
          <w:lang w:val="fr-FR"/>
        </w:rPr>
        <w:t>12.AA décide</w:t>
      </w:r>
    </w:p>
    <w:p w:rsidR="003E7699" w:rsidRPr="00A10AC7" w:rsidRDefault="003E7699" w:rsidP="003E7699">
      <w:pPr>
        <w:jc w:val="both"/>
        <w:rPr>
          <w:rFonts w:ascii="Arial" w:hAnsi="Arial" w:cs="Arial"/>
          <w:sz w:val="22"/>
          <w:szCs w:val="22"/>
          <w:lang w:val="fr-FR"/>
        </w:rPr>
      </w:pPr>
    </w:p>
    <w:p w:rsidR="003E7699" w:rsidRPr="00A10AC7" w:rsidRDefault="0039336F" w:rsidP="0039336F">
      <w:pPr>
        <w:ind w:left="709" w:hanging="709"/>
        <w:jc w:val="both"/>
        <w:rPr>
          <w:rFonts w:ascii="Arial" w:hAnsi="Arial" w:cs="Arial"/>
          <w:sz w:val="22"/>
          <w:szCs w:val="22"/>
          <w:lang w:val="fr-FR"/>
        </w:rPr>
      </w:pPr>
      <w:r>
        <w:rPr>
          <w:rFonts w:ascii="Arial" w:hAnsi="Arial" w:cs="Arial"/>
          <w:sz w:val="22"/>
          <w:szCs w:val="22"/>
          <w:lang w:val="fr-FR"/>
        </w:rPr>
        <w:t>(</w:t>
      </w:r>
      <w:r w:rsidR="003E7699" w:rsidRPr="00A10AC7">
        <w:rPr>
          <w:rFonts w:ascii="Arial" w:hAnsi="Arial" w:cs="Arial"/>
          <w:sz w:val="22"/>
          <w:szCs w:val="22"/>
          <w:lang w:val="fr-FR"/>
        </w:rPr>
        <w:t xml:space="preserve">a) </w:t>
      </w:r>
      <w:r>
        <w:rPr>
          <w:rFonts w:ascii="Arial" w:hAnsi="Arial" w:cs="Arial"/>
          <w:sz w:val="22"/>
          <w:szCs w:val="22"/>
          <w:lang w:val="fr-FR"/>
        </w:rPr>
        <w:tab/>
      </w:r>
      <w:r w:rsidR="00610ABE">
        <w:rPr>
          <w:rFonts w:ascii="Arial" w:hAnsi="Arial" w:cs="Arial"/>
          <w:sz w:val="22"/>
          <w:szCs w:val="22"/>
          <w:lang w:val="fr-FR"/>
        </w:rPr>
        <w:t xml:space="preserve">de </w:t>
      </w:r>
      <w:r w:rsidR="003E7699" w:rsidRPr="00A10AC7">
        <w:rPr>
          <w:rFonts w:ascii="Arial" w:hAnsi="Arial" w:cs="Arial"/>
          <w:sz w:val="22"/>
          <w:szCs w:val="22"/>
          <w:lang w:val="fr-FR"/>
        </w:rPr>
        <w:t xml:space="preserve">convoquer un groupe consultatif informel immédiatement après la clôture de la douzième réunion de la Conférence des Parties pour la période d'intersession jusqu'à la treizième session afin de fournir </w:t>
      </w:r>
      <w:r w:rsidR="003436B2">
        <w:rPr>
          <w:rFonts w:ascii="Arial" w:hAnsi="Arial" w:cs="Arial"/>
          <w:sz w:val="22"/>
          <w:szCs w:val="22"/>
          <w:lang w:val="fr-FR"/>
        </w:rPr>
        <w:t xml:space="preserve">un </w:t>
      </w:r>
      <w:r w:rsidR="00EE4D1E">
        <w:rPr>
          <w:rFonts w:ascii="Arial" w:hAnsi="Arial" w:cs="Arial"/>
          <w:sz w:val="22"/>
          <w:szCs w:val="22"/>
          <w:lang w:val="fr-FR"/>
        </w:rPr>
        <w:t>retour</w:t>
      </w:r>
      <w:r w:rsidR="003E7699" w:rsidRPr="00A10AC7">
        <w:rPr>
          <w:rFonts w:ascii="Arial" w:hAnsi="Arial" w:cs="Arial"/>
          <w:sz w:val="22"/>
          <w:szCs w:val="22"/>
          <w:lang w:val="fr-FR"/>
        </w:rPr>
        <w:t xml:space="preserve"> constructi</w:t>
      </w:r>
      <w:r w:rsidR="003436B2">
        <w:rPr>
          <w:rFonts w:ascii="Arial" w:hAnsi="Arial" w:cs="Arial"/>
          <w:sz w:val="22"/>
          <w:szCs w:val="22"/>
          <w:lang w:val="fr-FR"/>
        </w:rPr>
        <w:t>f</w:t>
      </w:r>
      <w:r w:rsidR="003E7699" w:rsidRPr="00A10AC7">
        <w:rPr>
          <w:rFonts w:ascii="Arial" w:hAnsi="Arial" w:cs="Arial"/>
          <w:sz w:val="22"/>
          <w:szCs w:val="22"/>
          <w:lang w:val="fr-FR"/>
        </w:rPr>
        <w:t xml:space="preserve"> </w:t>
      </w:r>
      <w:r w:rsidR="003436B2">
        <w:rPr>
          <w:rFonts w:ascii="Arial" w:hAnsi="Arial" w:cs="Arial"/>
          <w:sz w:val="22"/>
          <w:szCs w:val="22"/>
          <w:lang w:val="fr-FR"/>
        </w:rPr>
        <w:t>et</w:t>
      </w:r>
      <w:r w:rsidR="002D3927" w:rsidRPr="002D3927">
        <w:rPr>
          <w:rFonts w:ascii="Arial" w:hAnsi="Arial" w:cs="Arial"/>
          <w:sz w:val="22"/>
          <w:szCs w:val="22"/>
          <w:lang w:val="fr-FR"/>
        </w:rPr>
        <w:t xml:space="preserve"> solide sur la</w:t>
      </w:r>
      <w:r w:rsidR="003E7699" w:rsidRPr="00A10AC7">
        <w:rPr>
          <w:rFonts w:ascii="Arial" w:hAnsi="Arial" w:cs="Arial"/>
          <w:sz w:val="22"/>
          <w:szCs w:val="22"/>
          <w:lang w:val="fr-FR"/>
        </w:rPr>
        <w:t>(les) proposition(s) faite</w:t>
      </w:r>
      <w:r w:rsidR="00610ABE">
        <w:rPr>
          <w:rFonts w:ascii="Arial" w:hAnsi="Arial" w:cs="Arial"/>
          <w:sz w:val="22"/>
          <w:szCs w:val="22"/>
          <w:lang w:val="fr-FR"/>
        </w:rPr>
        <w:t>(s)</w:t>
      </w:r>
      <w:r w:rsidR="003E7699" w:rsidRPr="00A10AC7">
        <w:rPr>
          <w:rFonts w:ascii="Arial" w:hAnsi="Arial" w:cs="Arial"/>
          <w:sz w:val="22"/>
          <w:szCs w:val="22"/>
          <w:lang w:val="fr-FR"/>
        </w:rPr>
        <w:t xml:space="preserve"> par le Secrétariat</w:t>
      </w:r>
      <w:r w:rsidR="003436B2">
        <w:rPr>
          <w:rFonts w:ascii="Arial" w:hAnsi="Arial" w:cs="Arial"/>
          <w:sz w:val="22"/>
          <w:szCs w:val="22"/>
          <w:lang w:val="fr-FR"/>
        </w:rPr>
        <w:t xml:space="preserve"> po</w:t>
      </w:r>
      <w:r w:rsidR="00416B0E">
        <w:rPr>
          <w:rFonts w:ascii="Arial" w:hAnsi="Arial" w:cs="Arial"/>
          <w:sz w:val="22"/>
          <w:szCs w:val="22"/>
          <w:lang w:val="fr-FR"/>
        </w:rPr>
        <w:t>ur la</w:t>
      </w:r>
      <w:r w:rsidR="003436B2">
        <w:rPr>
          <w:rFonts w:ascii="Arial" w:hAnsi="Arial" w:cs="Arial"/>
          <w:sz w:val="22"/>
          <w:szCs w:val="22"/>
          <w:lang w:val="fr-FR"/>
        </w:rPr>
        <w:t xml:space="preserve"> révision du format de rapport national</w:t>
      </w:r>
      <w:r w:rsidR="003E7699" w:rsidRPr="00A10AC7">
        <w:rPr>
          <w:rFonts w:ascii="Arial" w:hAnsi="Arial" w:cs="Arial"/>
          <w:sz w:val="22"/>
          <w:szCs w:val="22"/>
          <w:lang w:val="fr-FR"/>
        </w:rPr>
        <w:t>.</w:t>
      </w:r>
    </w:p>
    <w:p w:rsidR="003E7699" w:rsidRPr="00A10AC7" w:rsidRDefault="003E7699" w:rsidP="003E7699">
      <w:pPr>
        <w:jc w:val="both"/>
        <w:rPr>
          <w:rFonts w:ascii="Arial" w:hAnsi="Arial" w:cs="Arial"/>
          <w:sz w:val="22"/>
          <w:szCs w:val="22"/>
          <w:lang w:val="fr-FR"/>
        </w:rPr>
      </w:pPr>
    </w:p>
    <w:p w:rsidR="003E7699" w:rsidRPr="00A10AC7" w:rsidRDefault="003E7699" w:rsidP="0039336F">
      <w:pPr>
        <w:ind w:left="709" w:hanging="709"/>
        <w:jc w:val="both"/>
        <w:rPr>
          <w:rFonts w:ascii="Arial" w:hAnsi="Arial" w:cs="Arial"/>
          <w:sz w:val="22"/>
          <w:szCs w:val="22"/>
          <w:lang w:val="fr-FR"/>
        </w:rPr>
      </w:pPr>
      <w:r w:rsidRPr="00A10AC7">
        <w:rPr>
          <w:rFonts w:ascii="Arial" w:hAnsi="Arial" w:cs="Arial"/>
          <w:sz w:val="22"/>
          <w:szCs w:val="22"/>
          <w:lang w:val="fr-FR"/>
        </w:rPr>
        <w:t xml:space="preserve">(b) </w:t>
      </w:r>
      <w:r w:rsidR="0039336F">
        <w:rPr>
          <w:rFonts w:ascii="Arial" w:hAnsi="Arial" w:cs="Arial"/>
          <w:sz w:val="22"/>
          <w:szCs w:val="22"/>
          <w:lang w:val="fr-FR"/>
        </w:rPr>
        <w:tab/>
      </w:r>
      <w:r w:rsidRPr="00A10AC7">
        <w:rPr>
          <w:rFonts w:ascii="Arial" w:hAnsi="Arial" w:cs="Arial"/>
          <w:sz w:val="22"/>
          <w:szCs w:val="22"/>
          <w:lang w:val="fr-FR"/>
        </w:rPr>
        <w:t xml:space="preserve">que le groupe consultatif informel sera composé de Parties à la Convention sur la base des mêmes régions que le Comité permanent, avec un maximum de deux représentants par région, tandis que les présidents du Comité permanent et </w:t>
      </w:r>
      <w:r w:rsidR="00B27313" w:rsidRPr="00B27313">
        <w:rPr>
          <w:rFonts w:ascii="Arial" w:hAnsi="Arial" w:cs="Arial"/>
          <w:sz w:val="22"/>
          <w:szCs w:val="22"/>
          <w:lang w:val="fr-FR"/>
        </w:rPr>
        <w:t xml:space="preserve">du Conseil scientifique seront </w:t>
      </w:r>
      <w:r w:rsidRPr="00A10AC7">
        <w:rPr>
          <w:rFonts w:ascii="Arial" w:hAnsi="Arial" w:cs="Arial"/>
          <w:sz w:val="22"/>
          <w:szCs w:val="22"/>
          <w:lang w:val="fr-FR"/>
        </w:rPr>
        <w:t xml:space="preserve">des membres </w:t>
      </w:r>
      <w:r w:rsidR="00B27313">
        <w:rPr>
          <w:rFonts w:ascii="Arial" w:hAnsi="Arial" w:cs="Arial"/>
          <w:sz w:val="22"/>
          <w:szCs w:val="22"/>
          <w:lang w:val="fr-FR"/>
        </w:rPr>
        <w:t xml:space="preserve">de droit </w:t>
      </w:r>
      <w:r w:rsidRPr="00A10AC7">
        <w:rPr>
          <w:rFonts w:ascii="Arial" w:hAnsi="Arial" w:cs="Arial"/>
          <w:sz w:val="22"/>
          <w:szCs w:val="22"/>
          <w:lang w:val="fr-FR"/>
        </w:rPr>
        <w:t>du groupe consultatif informel. Les organisations partenaires et les secrétariats des AEM concerné</w:t>
      </w:r>
      <w:r w:rsidR="0082616A">
        <w:rPr>
          <w:rFonts w:ascii="Arial" w:hAnsi="Arial" w:cs="Arial"/>
          <w:sz w:val="22"/>
          <w:szCs w:val="22"/>
          <w:lang w:val="fr-FR"/>
        </w:rPr>
        <w:t>e</w:t>
      </w:r>
      <w:r w:rsidRPr="00A10AC7">
        <w:rPr>
          <w:rFonts w:ascii="Arial" w:hAnsi="Arial" w:cs="Arial"/>
          <w:sz w:val="22"/>
          <w:szCs w:val="22"/>
          <w:lang w:val="fr-FR"/>
        </w:rPr>
        <w:t>s seront également invité</w:t>
      </w:r>
      <w:r w:rsidR="0082616A">
        <w:rPr>
          <w:rFonts w:ascii="Arial" w:hAnsi="Arial" w:cs="Arial"/>
          <w:sz w:val="22"/>
          <w:szCs w:val="22"/>
          <w:lang w:val="fr-FR"/>
        </w:rPr>
        <w:t>e</w:t>
      </w:r>
      <w:r w:rsidRPr="00A10AC7">
        <w:rPr>
          <w:rFonts w:ascii="Arial" w:hAnsi="Arial" w:cs="Arial"/>
          <w:sz w:val="22"/>
          <w:szCs w:val="22"/>
          <w:lang w:val="fr-FR"/>
        </w:rPr>
        <w:t>s à participer aux discussions informelles des groupes consultatifs.</w:t>
      </w:r>
    </w:p>
    <w:p w:rsidR="003E7699" w:rsidRDefault="003E7699" w:rsidP="0039336F">
      <w:pPr>
        <w:ind w:left="709" w:hanging="709"/>
        <w:jc w:val="both"/>
        <w:rPr>
          <w:rFonts w:ascii="Arial" w:hAnsi="Arial" w:cs="Arial"/>
          <w:b/>
          <w:i/>
          <w:sz w:val="22"/>
          <w:szCs w:val="22"/>
          <w:lang w:val="fr-FR"/>
        </w:rPr>
      </w:pPr>
    </w:p>
    <w:p w:rsidR="003E7699" w:rsidRDefault="003E7699" w:rsidP="005F4CC5">
      <w:pPr>
        <w:jc w:val="both"/>
        <w:rPr>
          <w:rFonts w:ascii="Arial" w:hAnsi="Arial" w:cs="Arial"/>
          <w:b/>
          <w:i/>
          <w:sz w:val="22"/>
          <w:szCs w:val="22"/>
          <w:lang w:val="fr-FR"/>
        </w:rPr>
      </w:pPr>
    </w:p>
    <w:p w:rsidR="005F4CC5" w:rsidRPr="005F4CC5" w:rsidRDefault="005F4CC5" w:rsidP="005F4CC5">
      <w:pPr>
        <w:jc w:val="both"/>
        <w:rPr>
          <w:rFonts w:ascii="Arial" w:hAnsi="Arial" w:cs="Arial"/>
          <w:b/>
          <w:i/>
          <w:sz w:val="22"/>
          <w:szCs w:val="22"/>
          <w:lang w:val="fr-FR"/>
        </w:rPr>
      </w:pPr>
      <w:r w:rsidRPr="005F4CC5">
        <w:rPr>
          <w:rFonts w:ascii="Arial" w:hAnsi="Arial" w:cs="Arial"/>
          <w:b/>
          <w:i/>
          <w:sz w:val="22"/>
          <w:szCs w:val="22"/>
          <w:lang w:val="fr-FR"/>
        </w:rPr>
        <w:t>A l’intention du Secrétariat</w:t>
      </w:r>
    </w:p>
    <w:p w:rsidR="005F4CC5" w:rsidRPr="005F4CC5" w:rsidRDefault="005F4CC5" w:rsidP="005F4CC5">
      <w:pPr>
        <w:ind w:left="720" w:hanging="720"/>
        <w:jc w:val="both"/>
        <w:rPr>
          <w:rFonts w:ascii="Arial" w:hAnsi="Arial" w:cs="Arial"/>
          <w:sz w:val="22"/>
          <w:szCs w:val="22"/>
          <w:lang w:val="fr-FR"/>
        </w:rPr>
      </w:pPr>
    </w:p>
    <w:p w:rsidR="005F4CC5" w:rsidRPr="005F4CC5" w:rsidRDefault="005F4CC5" w:rsidP="005F4CC5">
      <w:pPr>
        <w:ind w:left="720" w:hanging="720"/>
        <w:jc w:val="both"/>
        <w:rPr>
          <w:rFonts w:ascii="Arial" w:hAnsi="Arial" w:cs="Arial"/>
          <w:iCs/>
          <w:sz w:val="22"/>
          <w:szCs w:val="22"/>
          <w:lang w:val="fr-FR"/>
        </w:rPr>
      </w:pPr>
      <w:r w:rsidRPr="005F4CC5">
        <w:rPr>
          <w:rFonts w:ascii="Arial" w:hAnsi="Arial" w:cs="Arial"/>
          <w:sz w:val="22"/>
          <w:szCs w:val="22"/>
          <w:lang w:val="fr-FR"/>
        </w:rPr>
        <w:t>12.</w:t>
      </w:r>
      <w:r w:rsidR="003E7699">
        <w:rPr>
          <w:rFonts w:ascii="Arial" w:hAnsi="Arial" w:cs="Arial"/>
          <w:sz w:val="22"/>
          <w:szCs w:val="22"/>
          <w:lang w:val="fr-FR"/>
        </w:rPr>
        <w:t>BB</w:t>
      </w:r>
      <w:r w:rsidRPr="005F4CC5">
        <w:rPr>
          <w:rFonts w:ascii="Arial" w:hAnsi="Arial" w:cs="Arial"/>
          <w:sz w:val="22"/>
          <w:szCs w:val="22"/>
          <w:lang w:val="fr-FR"/>
        </w:rPr>
        <w:tab/>
      </w:r>
      <w:r w:rsidR="002B25CD" w:rsidRPr="002B25CD">
        <w:rPr>
          <w:rFonts w:ascii="Arial" w:hAnsi="Arial" w:cs="Arial"/>
          <w:sz w:val="22"/>
          <w:szCs w:val="22"/>
          <w:lang w:val="fr-FR"/>
        </w:rPr>
        <w:t>Tenant compte des conseils du groupe consultatif informel,</w:t>
      </w:r>
      <w:r w:rsidR="002B25CD">
        <w:rPr>
          <w:rFonts w:ascii="Arial" w:hAnsi="Arial" w:cs="Arial"/>
          <w:sz w:val="22"/>
          <w:szCs w:val="22"/>
          <w:lang w:val="fr-FR"/>
        </w:rPr>
        <w:t xml:space="preserve"> </w:t>
      </w:r>
      <w:r w:rsidR="002B25CD">
        <w:rPr>
          <w:rFonts w:ascii="Arial" w:eastAsia="MS Mincho" w:hAnsi="Arial" w:cs="Arial"/>
          <w:color w:val="000000"/>
          <w:sz w:val="22"/>
          <w:szCs w:val="22"/>
          <w:lang w:val="fr-FR" w:eastAsia="ja-JP"/>
        </w:rPr>
        <w:t>l</w:t>
      </w:r>
      <w:r w:rsidRPr="005F4CC5">
        <w:rPr>
          <w:rFonts w:ascii="Arial" w:eastAsia="MS Mincho" w:hAnsi="Arial" w:cs="Arial"/>
          <w:color w:val="000000"/>
          <w:sz w:val="22"/>
          <w:szCs w:val="22"/>
          <w:lang w:val="fr-FR" w:eastAsia="ja-JP"/>
        </w:rPr>
        <w:t xml:space="preserve">e Secrétariat élabore une proposition à remettre au Comité permanent </w:t>
      </w:r>
      <w:r w:rsidR="002B25CD">
        <w:rPr>
          <w:rFonts w:ascii="Arial" w:eastAsia="MS Mincho" w:hAnsi="Arial" w:cs="Arial"/>
          <w:color w:val="000000"/>
          <w:sz w:val="22"/>
          <w:szCs w:val="22"/>
          <w:lang w:val="fr-FR" w:eastAsia="ja-JP"/>
        </w:rPr>
        <w:t>lors de sa 48</w:t>
      </w:r>
      <w:r w:rsidR="002B25CD" w:rsidRPr="00A10AC7">
        <w:rPr>
          <w:rFonts w:ascii="Arial" w:eastAsia="MS Mincho" w:hAnsi="Arial" w:cs="Arial"/>
          <w:color w:val="000000"/>
          <w:sz w:val="22"/>
          <w:szCs w:val="22"/>
          <w:vertAlign w:val="superscript"/>
          <w:lang w:val="fr-FR" w:eastAsia="ja-JP"/>
        </w:rPr>
        <w:t>ème</w:t>
      </w:r>
      <w:r w:rsidR="002B25CD">
        <w:rPr>
          <w:rFonts w:ascii="Arial" w:eastAsia="MS Mincho" w:hAnsi="Arial" w:cs="Arial"/>
          <w:color w:val="000000"/>
          <w:sz w:val="22"/>
          <w:szCs w:val="22"/>
          <w:lang w:val="fr-FR" w:eastAsia="ja-JP"/>
        </w:rPr>
        <w:t xml:space="preserve"> réunion </w:t>
      </w:r>
      <w:r w:rsidRPr="005F4CC5">
        <w:rPr>
          <w:rFonts w:ascii="Arial" w:eastAsia="MS Mincho" w:hAnsi="Arial" w:cs="Arial"/>
          <w:color w:val="000000"/>
          <w:sz w:val="22"/>
          <w:szCs w:val="22"/>
          <w:lang w:val="fr-FR" w:eastAsia="ja-JP"/>
        </w:rPr>
        <w:t xml:space="preserve">concernant une révision du modèle de rapport national, qui sera transmise à la treizième réunion de la Conférence des Parties et, par la suite, qui visera au minimum à parvenir à ce qui </w:t>
      </w:r>
      <w:proofErr w:type="gramStart"/>
      <w:r w:rsidRPr="005F4CC5">
        <w:rPr>
          <w:rFonts w:ascii="Arial" w:eastAsia="MS Mincho" w:hAnsi="Arial" w:cs="Arial"/>
          <w:color w:val="000000"/>
          <w:sz w:val="22"/>
          <w:szCs w:val="22"/>
          <w:lang w:val="fr-FR" w:eastAsia="ja-JP"/>
        </w:rPr>
        <w:t>suit:</w:t>
      </w:r>
      <w:proofErr w:type="gramEnd"/>
    </w:p>
    <w:p w:rsidR="005F4CC5" w:rsidRPr="005F4CC5" w:rsidRDefault="005F4CC5" w:rsidP="005F4CC5">
      <w:pPr>
        <w:ind w:left="360" w:hanging="360"/>
        <w:jc w:val="both"/>
        <w:rPr>
          <w:rFonts w:ascii="Arial" w:eastAsia="MS Mincho" w:hAnsi="Arial" w:cs="Arial"/>
          <w:color w:val="000000"/>
          <w:sz w:val="22"/>
          <w:szCs w:val="22"/>
          <w:lang w:val="fr-FR" w:eastAsia="ja-JP"/>
        </w:rPr>
      </w:pPr>
    </w:p>
    <w:p w:rsidR="00610ABE" w:rsidRDefault="00834C94" w:rsidP="00610ABE">
      <w:pPr>
        <w:widowControl/>
        <w:numPr>
          <w:ilvl w:val="0"/>
          <w:numId w:val="47"/>
        </w:numPr>
        <w:autoSpaceDE/>
        <w:autoSpaceDN/>
        <w:adjustRightInd/>
        <w:contextualSpacing/>
        <w:jc w:val="both"/>
        <w:rPr>
          <w:rFonts w:ascii="Arial" w:eastAsia="MS Mincho" w:hAnsi="Arial" w:cs="Arial"/>
          <w:color w:val="000000"/>
          <w:sz w:val="22"/>
          <w:szCs w:val="22"/>
          <w:lang w:val="it-IT" w:eastAsia="ja-JP"/>
        </w:rPr>
      </w:pPr>
      <w:r>
        <w:rPr>
          <w:rFonts w:ascii="Arial" w:eastAsia="MS Mincho" w:hAnsi="Arial" w:cs="Arial"/>
          <w:color w:val="000000"/>
          <w:sz w:val="22"/>
          <w:szCs w:val="22"/>
          <w:lang w:val="fr-FR" w:eastAsia="ja-JP"/>
        </w:rPr>
        <w:t>A</w:t>
      </w:r>
      <w:r w:rsidR="00610ABE" w:rsidRPr="00610ABE">
        <w:rPr>
          <w:rFonts w:ascii="Arial" w:eastAsia="MS Mincho" w:hAnsi="Arial" w:cs="Arial"/>
          <w:color w:val="000000"/>
          <w:sz w:val="22"/>
          <w:szCs w:val="22"/>
          <w:lang w:val="it-IT" w:eastAsia="ja-JP"/>
        </w:rPr>
        <w:t xml:space="preserve">méliorer la capacité des rapports nationaux à fournir des informations sur les progrès accomplis dans la mise en œuvre de la Convention et à </w:t>
      </w:r>
      <w:r w:rsidR="00A04515">
        <w:rPr>
          <w:rFonts w:ascii="Arial" w:eastAsia="MS Mincho" w:hAnsi="Arial" w:cs="Arial"/>
          <w:color w:val="000000"/>
          <w:sz w:val="22"/>
          <w:szCs w:val="22"/>
          <w:lang w:val="it-IT" w:eastAsia="ja-JP"/>
        </w:rPr>
        <w:t>être utilisés comme l’une</w:t>
      </w:r>
      <w:r w:rsidR="00610ABE" w:rsidRPr="00610ABE">
        <w:rPr>
          <w:rFonts w:ascii="Arial" w:eastAsia="MS Mincho" w:hAnsi="Arial" w:cs="Arial"/>
          <w:color w:val="000000"/>
          <w:sz w:val="22"/>
          <w:szCs w:val="22"/>
          <w:lang w:val="it-IT" w:eastAsia="ja-JP"/>
        </w:rPr>
        <w:t xml:space="preserve"> des sources d'information pour [le mécanisme d'examen établi par la Résolution [XX]</w:t>
      </w:r>
      <w:proofErr w:type="gramStart"/>
      <w:r w:rsidR="00610ABE" w:rsidRPr="00610ABE">
        <w:rPr>
          <w:rFonts w:ascii="Arial" w:eastAsia="MS Mincho" w:hAnsi="Arial" w:cs="Arial"/>
          <w:color w:val="000000"/>
          <w:sz w:val="22"/>
          <w:szCs w:val="22"/>
          <w:lang w:val="it-IT" w:eastAsia="ja-JP"/>
        </w:rPr>
        <w:t>];</w:t>
      </w:r>
      <w:proofErr w:type="gramEnd"/>
    </w:p>
    <w:p w:rsidR="00610ABE" w:rsidRPr="00A10AC7" w:rsidRDefault="00610ABE" w:rsidP="00A10AC7">
      <w:pPr>
        <w:widowControl/>
        <w:autoSpaceDE/>
        <w:autoSpaceDN/>
        <w:adjustRightInd/>
        <w:ind w:left="720"/>
        <w:contextualSpacing/>
        <w:jc w:val="both"/>
        <w:rPr>
          <w:rFonts w:ascii="Arial" w:eastAsia="MS Mincho" w:hAnsi="Arial" w:cs="Arial"/>
          <w:color w:val="000000"/>
          <w:sz w:val="22"/>
          <w:szCs w:val="22"/>
          <w:lang w:val="it-IT" w:eastAsia="ja-JP"/>
        </w:rPr>
      </w:pPr>
    </w:p>
    <w:p w:rsidR="005F4CC5" w:rsidRPr="00B97125" w:rsidRDefault="00610203" w:rsidP="00B97125">
      <w:pPr>
        <w:pStyle w:val="ListParagraph"/>
        <w:widowControl/>
        <w:numPr>
          <w:ilvl w:val="0"/>
          <w:numId w:val="47"/>
        </w:numPr>
        <w:autoSpaceDE/>
        <w:autoSpaceDN/>
        <w:adjustRightInd/>
        <w:jc w:val="both"/>
        <w:rPr>
          <w:rFonts w:ascii="Arial" w:eastAsia="MS Mincho" w:hAnsi="Arial" w:cs="Arial"/>
          <w:color w:val="000000"/>
          <w:sz w:val="22"/>
          <w:szCs w:val="22"/>
          <w:lang w:val="it-IT" w:eastAsia="ja-JP"/>
        </w:rPr>
      </w:pPr>
      <w:r w:rsidRPr="00B97125">
        <w:rPr>
          <w:rFonts w:ascii="Arial" w:eastAsia="MS Mincho" w:hAnsi="Arial" w:cs="Arial"/>
          <w:color w:val="000000"/>
          <w:sz w:val="22"/>
          <w:szCs w:val="22"/>
          <w:lang w:val="fr-FR" w:eastAsia="ja-JP"/>
        </w:rPr>
        <w:t>a</w:t>
      </w:r>
      <w:r w:rsidR="005F4CC5" w:rsidRPr="00B97125">
        <w:rPr>
          <w:rFonts w:ascii="Arial" w:eastAsia="MS Mincho" w:hAnsi="Arial" w:cs="Arial"/>
          <w:color w:val="000000"/>
          <w:sz w:val="22"/>
          <w:szCs w:val="22"/>
          <w:lang w:val="it-IT" w:eastAsia="ja-JP"/>
        </w:rPr>
        <w:t xml:space="preserve">border </w:t>
      </w:r>
      <w:r w:rsidR="0086147B" w:rsidRPr="00B97125">
        <w:rPr>
          <w:rFonts w:ascii="Arial" w:eastAsia="MS Mincho" w:hAnsi="Arial" w:cs="Arial"/>
          <w:color w:val="000000"/>
          <w:sz w:val="22"/>
          <w:szCs w:val="22"/>
          <w:lang w:val="it-IT" w:eastAsia="ja-JP"/>
        </w:rPr>
        <w:t xml:space="preserve">la demande au paragraphe 10 de la Résolution 11.2 ainsi que </w:t>
      </w:r>
      <w:r w:rsidR="005F4CC5" w:rsidRPr="00B97125">
        <w:rPr>
          <w:rFonts w:ascii="Arial" w:eastAsia="MS Mincho" w:hAnsi="Arial" w:cs="Arial"/>
          <w:color w:val="000000"/>
          <w:sz w:val="22"/>
          <w:szCs w:val="22"/>
          <w:lang w:val="it-IT" w:eastAsia="ja-JP"/>
        </w:rPr>
        <w:t>les recommandations émanant, entre autres, du Groupe de travail sur le Plan stratégique en ce qui concerne un meilleur alignement du modèle de rapport national sur le Plan stratégique pour les espèces migratrices 2015-2023, et une plus grande capacité des rapports nationaux à fournir des informations sur l</w:t>
      </w:r>
      <w:r w:rsidRPr="00B97125">
        <w:rPr>
          <w:rFonts w:ascii="Arial" w:eastAsia="MS Mincho" w:hAnsi="Arial" w:cs="Arial"/>
          <w:color w:val="000000"/>
          <w:sz w:val="22"/>
          <w:szCs w:val="22"/>
          <w:lang w:val="it-IT" w:eastAsia="ja-JP"/>
        </w:rPr>
        <w:t>’évaluation d</w:t>
      </w:r>
      <w:r w:rsidR="005F4CC5" w:rsidRPr="00B97125">
        <w:rPr>
          <w:rFonts w:ascii="Arial" w:eastAsia="MS Mincho" w:hAnsi="Arial" w:cs="Arial"/>
          <w:color w:val="000000"/>
          <w:sz w:val="22"/>
          <w:szCs w:val="22"/>
          <w:lang w:val="it-IT" w:eastAsia="ja-JP"/>
        </w:rPr>
        <w:t>es progrès accomplis dans la réalisation des objectifs du Plan stratégique</w:t>
      </w:r>
      <w:r w:rsidRPr="00B97125">
        <w:rPr>
          <w:rFonts w:ascii="Arial" w:eastAsia="MS Mincho" w:hAnsi="Arial" w:cs="Arial"/>
          <w:color w:val="000000"/>
          <w:sz w:val="22"/>
          <w:szCs w:val="22"/>
          <w:lang w:val="it-IT" w:eastAsia="ja-JP"/>
        </w:rPr>
        <w:t xml:space="preserve"> sans créer de fardeaux supplémentaires pour les Parties</w:t>
      </w:r>
      <w:r w:rsidR="005F4CC5" w:rsidRPr="00B97125">
        <w:rPr>
          <w:rFonts w:ascii="Arial" w:eastAsia="MS Mincho" w:hAnsi="Arial" w:cs="Arial"/>
          <w:color w:val="000000"/>
          <w:sz w:val="22"/>
          <w:szCs w:val="22"/>
          <w:lang w:val="it-IT" w:eastAsia="ja-JP"/>
        </w:rPr>
        <w:t>;</w:t>
      </w:r>
    </w:p>
    <w:p w:rsidR="005F4CC5" w:rsidRPr="005F4CC5" w:rsidRDefault="005F4CC5" w:rsidP="005F4CC5">
      <w:pPr>
        <w:widowControl/>
        <w:autoSpaceDE/>
        <w:autoSpaceDN/>
        <w:adjustRightInd/>
        <w:ind w:left="810"/>
        <w:contextualSpacing/>
        <w:jc w:val="both"/>
        <w:rPr>
          <w:rFonts w:ascii="Arial" w:eastAsia="MS Mincho" w:hAnsi="Arial" w:cs="Arial"/>
          <w:color w:val="000000"/>
          <w:sz w:val="22"/>
          <w:szCs w:val="22"/>
          <w:lang w:val="it-IT" w:eastAsia="ja-JP"/>
        </w:rPr>
      </w:pPr>
    </w:p>
    <w:p w:rsidR="005F4CC5" w:rsidRPr="00A30374" w:rsidRDefault="005F4CC5" w:rsidP="00A30374">
      <w:pPr>
        <w:pStyle w:val="ListParagraph"/>
        <w:widowControl/>
        <w:numPr>
          <w:ilvl w:val="0"/>
          <w:numId w:val="47"/>
        </w:numPr>
        <w:autoSpaceDE/>
        <w:autoSpaceDN/>
        <w:adjustRightInd/>
        <w:jc w:val="both"/>
        <w:rPr>
          <w:rFonts w:ascii="Arial" w:eastAsia="MS Mincho" w:hAnsi="Arial" w:cs="Arial"/>
          <w:color w:val="000000"/>
          <w:sz w:val="22"/>
          <w:szCs w:val="22"/>
          <w:lang w:val="it-IT" w:eastAsia="ja-JP"/>
        </w:rPr>
      </w:pPr>
      <w:r w:rsidRPr="00A30374">
        <w:rPr>
          <w:rFonts w:ascii="Arial" w:eastAsia="MS Mincho" w:hAnsi="Arial" w:cs="Arial"/>
          <w:color w:val="000000"/>
          <w:sz w:val="22"/>
          <w:szCs w:val="22"/>
          <w:lang w:val="it-IT" w:eastAsia="ja-JP"/>
        </w:rPr>
        <w:t>Tenir compte des enseignements tirés et des recommandations découlant des analyses des rapports nationaux à la COP11 et la COP12, respectivement;</w:t>
      </w:r>
    </w:p>
    <w:p w:rsidR="005F4CC5" w:rsidRPr="005F4CC5" w:rsidRDefault="005F4CC5" w:rsidP="005F4CC5">
      <w:pPr>
        <w:widowControl/>
        <w:autoSpaceDE/>
        <w:autoSpaceDN/>
        <w:adjustRightInd/>
        <w:ind w:left="720"/>
        <w:contextualSpacing/>
        <w:rPr>
          <w:rFonts w:ascii="Arial" w:eastAsia="MS Mincho" w:hAnsi="Arial" w:cs="Arial"/>
          <w:color w:val="000000"/>
          <w:sz w:val="22"/>
          <w:szCs w:val="22"/>
          <w:lang w:val="it-IT" w:eastAsia="ja-JP"/>
        </w:rPr>
      </w:pPr>
    </w:p>
    <w:p w:rsidR="005F4CC5" w:rsidRPr="00841223" w:rsidRDefault="005F4CC5" w:rsidP="00841223">
      <w:pPr>
        <w:pStyle w:val="ListParagraph"/>
        <w:widowControl/>
        <w:numPr>
          <w:ilvl w:val="0"/>
          <w:numId w:val="47"/>
        </w:numPr>
        <w:autoSpaceDE/>
        <w:autoSpaceDN/>
        <w:adjustRightInd/>
        <w:jc w:val="both"/>
        <w:rPr>
          <w:rFonts w:ascii="Arial" w:eastAsia="MS Mincho" w:hAnsi="Arial" w:cs="Arial"/>
          <w:color w:val="000000"/>
          <w:sz w:val="22"/>
          <w:szCs w:val="22"/>
          <w:lang w:val="it-IT" w:eastAsia="ja-JP"/>
        </w:rPr>
      </w:pPr>
      <w:r w:rsidRPr="00841223">
        <w:rPr>
          <w:rFonts w:ascii="Arial" w:eastAsia="MS Mincho" w:hAnsi="Arial" w:cs="Arial"/>
          <w:color w:val="000000"/>
          <w:sz w:val="22"/>
          <w:szCs w:val="22"/>
          <w:lang w:val="it-IT" w:eastAsia="ja-JP"/>
        </w:rPr>
        <w:t>Tenir compte des autres suggestions d’amélioration du modèle de rapport national contenues dans le document UNEP/CMS/COP12/Inf.27;</w:t>
      </w:r>
    </w:p>
    <w:p w:rsidR="00841223" w:rsidRPr="00841223" w:rsidRDefault="00841223" w:rsidP="00841223">
      <w:pPr>
        <w:pStyle w:val="ListParagraph"/>
        <w:widowControl/>
        <w:autoSpaceDE/>
        <w:autoSpaceDN/>
        <w:adjustRightInd/>
        <w:jc w:val="both"/>
        <w:rPr>
          <w:rFonts w:ascii="Arial" w:eastAsia="MS Mincho" w:hAnsi="Arial" w:cs="Arial"/>
          <w:color w:val="000000"/>
          <w:sz w:val="22"/>
          <w:szCs w:val="22"/>
          <w:lang w:val="it-IT" w:eastAsia="ja-JP"/>
        </w:rPr>
      </w:pPr>
    </w:p>
    <w:p w:rsidR="00562AA7" w:rsidRPr="005F4CC5" w:rsidRDefault="00114373" w:rsidP="00841223">
      <w:pPr>
        <w:widowControl/>
        <w:autoSpaceDE/>
        <w:autoSpaceDN/>
        <w:adjustRightInd/>
        <w:ind w:left="709" w:hanging="349"/>
        <w:contextualSpacing/>
        <w:jc w:val="both"/>
        <w:rPr>
          <w:rFonts w:ascii="Arial" w:eastAsia="MS Mincho" w:hAnsi="Arial" w:cs="Arial"/>
          <w:color w:val="000000"/>
          <w:sz w:val="22"/>
          <w:szCs w:val="22"/>
          <w:lang w:val="it-IT" w:eastAsia="ja-JP"/>
        </w:rPr>
      </w:pPr>
      <w:r>
        <w:rPr>
          <w:rFonts w:ascii="Arial" w:eastAsia="MS Mincho" w:hAnsi="Arial" w:cs="Arial"/>
          <w:color w:val="000000"/>
          <w:sz w:val="22"/>
          <w:szCs w:val="22"/>
          <w:lang w:val="it-IT" w:eastAsia="ja-JP"/>
        </w:rPr>
        <w:t>v) P</w:t>
      </w:r>
      <w:r w:rsidRPr="00114373">
        <w:rPr>
          <w:rFonts w:ascii="Arial" w:eastAsia="MS Mincho" w:hAnsi="Arial" w:cs="Arial"/>
          <w:color w:val="000000"/>
          <w:sz w:val="22"/>
          <w:szCs w:val="22"/>
          <w:lang w:val="it-IT" w:eastAsia="ja-JP"/>
        </w:rPr>
        <w:t>rendre en compte les points de vue d'une sélection représentative de Par</w:t>
      </w:r>
      <w:r>
        <w:rPr>
          <w:rFonts w:ascii="Arial" w:eastAsia="MS Mincho" w:hAnsi="Arial" w:cs="Arial"/>
          <w:color w:val="000000"/>
          <w:sz w:val="22"/>
          <w:szCs w:val="22"/>
          <w:lang w:val="it-IT" w:eastAsia="ja-JP"/>
        </w:rPr>
        <w:t>ties (idéalement de toutes les r</w:t>
      </w:r>
      <w:r w:rsidRPr="00114373">
        <w:rPr>
          <w:rFonts w:ascii="Arial" w:eastAsia="MS Mincho" w:hAnsi="Arial" w:cs="Arial"/>
          <w:color w:val="000000"/>
          <w:sz w:val="22"/>
          <w:szCs w:val="22"/>
          <w:lang w:val="it-IT" w:eastAsia="ja-JP"/>
        </w:rPr>
        <w:t xml:space="preserve">égions des Nations Unies) convoquées pour fournir un </w:t>
      </w:r>
      <w:r w:rsidR="00EE4D1E">
        <w:rPr>
          <w:rFonts w:ascii="Arial" w:eastAsia="MS Mincho" w:hAnsi="Arial" w:cs="Arial"/>
          <w:color w:val="000000"/>
          <w:sz w:val="22"/>
          <w:szCs w:val="22"/>
          <w:lang w:val="it-IT" w:eastAsia="ja-JP"/>
        </w:rPr>
        <w:t>retour</w:t>
      </w:r>
      <w:r>
        <w:rPr>
          <w:rFonts w:ascii="Arial" w:eastAsia="MS Mincho" w:hAnsi="Arial" w:cs="Arial"/>
          <w:color w:val="000000"/>
          <w:sz w:val="22"/>
          <w:szCs w:val="22"/>
          <w:lang w:val="it-IT" w:eastAsia="ja-JP"/>
        </w:rPr>
        <w:t xml:space="preserve"> constructif</w:t>
      </w:r>
      <w:r w:rsidRPr="00114373">
        <w:rPr>
          <w:rFonts w:ascii="Arial" w:eastAsia="MS Mincho" w:hAnsi="Arial" w:cs="Arial"/>
          <w:color w:val="000000"/>
          <w:sz w:val="22"/>
          <w:szCs w:val="22"/>
          <w:lang w:val="it-IT" w:eastAsia="ja-JP"/>
        </w:rPr>
        <w:t xml:space="preserve"> mais solide sur la(les) proposition(s) faite(s);</w:t>
      </w:r>
    </w:p>
    <w:p w:rsidR="005F4CC5" w:rsidRPr="005F4CC5" w:rsidRDefault="005F4CC5" w:rsidP="005F4CC5">
      <w:pPr>
        <w:widowControl/>
        <w:autoSpaceDE/>
        <w:autoSpaceDN/>
        <w:adjustRightInd/>
        <w:ind w:left="720"/>
        <w:contextualSpacing/>
        <w:rPr>
          <w:rFonts w:ascii="Arial" w:eastAsia="MS Mincho" w:hAnsi="Arial" w:cs="Arial"/>
          <w:color w:val="000000"/>
          <w:sz w:val="22"/>
          <w:szCs w:val="22"/>
          <w:lang w:val="it-IT" w:eastAsia="ja-JP"/>
        </w:rPr>
      </w:pPr>
    </w:p>
    <w:p w:rsidR="005F4CC5" w:rsidRPr="005F4CC5" w:rsidRDefault="00B062BF" w:rsidP="009525ED">
      <w:pPr>
        <w:widowControl/>
        <w:autoSpaceDE/>
        <w:autoSpaceDN/>
        <w:adjustRightInd/>
        <w:ind w:left="709" w:hanging="349"/>
        <w:contextualSpacing/>
        <w:jc w:val="both"/>
        <w:rPr>
          <w:rFonts w:ascii="Arial" w:eastAsia="MS Mincho" w:hAnsi="Arial" w:cs="Arial"/>
          <w:color w:val="000000"/>
          <w:sz w:val="22"/>
          <w:szCs w:val="22"/>
          <w:lang w:val="it-IT" w:eastAsia="ja-JP"/>
        </w:rPr>
      </w:pPr>
      <w:r>
        <w:rPr>
          <w:rFonts w:ascii="Arial" w:eastAsia="MS Mincho" w:hAnsi="Arial" w:cs="Arial"/>
          <w:color w:val="000000"/>
          <w:sz w:val="22"/>
          <w:szCs w:val="22"/>
          <w:lang w:val="it-IT" w:eastAsia="ja-JP"/>
        </w:rPr>
        <w:t xml:space="preserve">vi) </w:t>
      </w:r>
      <w:r w:rsidR="005F4CC5" w:rsidRPr="005F4CC5">
        <w:rPr>
          <w:rFonts w:ascii="Arial" w:eastAsia="MS Mincho" w:hAnsi="Arial" w:cs="Arial"/>
          <w:color w:val="000000"/>
          <w:sz w:val="22"/>
          <w:szCs w:val="22"/>
          <w:lang w:val="it-IT" w:eastAsia="ja-JP"/>
        </w:rPr>
        <w:t>Réussir à racourcir et à simplifier le modèle de rapport dans son ensemble;</w:t>
      </w:r>
      <w:r>
        <w:rPr>
          <w:rFonts w:ascii="Arial" w:eastAsia="MS Mincho" w:hAnsi="Arial" w:cs="Arial"/>
          <w:color w:val="000000"/>
          <w:sz w:val="22"/>
          <w:szCs w:val="22"/>
          <w:lang w:val="it-IT" w:eastAsia="ja-JP"/>
        </w:rPr>
        <w:t xml:space="preserve"> et</w:t>
      </w:r>
    </w:p>
    <w:p w:rsidR="005F4CC5" w:rsidRPr="005F4CC5" w:rsidRDefault="005F4CC5" w:rsidP="005F4CC5">
      <w:pPr>
        <w:widowControl/>
        <w:autoSpaceDE/>
        <w:autoSpaceDN/>
        <w:adjustRightInd/>
        <w:ind w:left="720"/>
        <w:contextualSpacing/>
        <w:rPr>
          <w:rFonts w:ascii="Arial" w:eastAsia="MS Mincho" w:hAnsi="Arial" w:cs="Arial"/>
          <w:color w:val="000000"/>
          <w:sz w:val="22"/>
          <w:szCs w:val="22"/>
          <w:lang w:val="it-IT" w:eastAsia="ja-JP"/>
        </w:rPr>
      </w:pPr>
    </w:p>
    <w:p w:rsidR="005F4CC5" w:rsidRPr="005F4CC5" w:rsidRDefault="00B062BF" w:rsidP="00F921AA">
      <w:pPr>
        <w:widowControl/>
        <w:autoSpaceDE/>
        <w:autoSpaceDN/>
        <w:adjustRightInd/>
        <w:ind w:left="709" w:hanging="349"/>
        <w:contextualSpacing/>
        <w:jc w:val="both"/>
        <w:rPr>
          <w:rFonts w:ascii="Arial" w:eastAsia="MS Mincho" w:hAnsi="Arial" w:cs="Arial"/>
          <w:color w:val="000000"/>
          <w:sz w:val="22"/>
          <w:szCs w:val="22"/>
          <w:lang w:val="it-IT" w:eastAsia="ja-JP"/>
        </w:rPr>
      </w:pPr>
      <w:r>
        <w:rPr>
          <w:rFonts w:ascii="Arial" w:eastAsia="MS Mincho" w:hAnsi="Arial" w:cs="Arial"/>
          <w:color w:val="000000"/>
          <w:sz w:val="22"/>
          <w:szCs w:val="22"/>
          <w:lang w:val="it-IT" w:eastAsia="ja-JP"/>
        </w:rPr>
        <w:t xml:space="preserve">vii) </w:t>
      </w:r>
      <w:r w:rsidR="005F4CC5" w:rsidRPr="005F4CC5">
        <w:rPr>
          <w:rFonts w:ascii="Arial" w:eastAsia="MS Mincho" w:hAnsi="Arial" w:cs="Arial"/>
          <w:color w:val="000000"/>
          <w:sz w:val="22"/>
          <w:szCs w:val="22"/>
          <w:lang w:val="it-IT" w:eastAsia="ja-JP"/>
        </w:rPr>
        <w:t>Lorsque cela est possible et selon qu’il convient, réaliser des plus grandes synergies entre les processus d’établissement des rapports au titre des instruments de la Famille CMS et ceux d’autres accords multilatéraux sur l’environnement</w:t>
      </w:r>
      <w:r w:rsidR="00796355">
        <w:rPr>
          <w:rFonts w:ascii="Arial" w:eastAsia="MS Mincho" w:hAnsi="Arial" w:cs="Arial"/>
          <w:color w:val="000000"/>
          <w:sz w:val="22"/>
          <w:szCs w:val="22"/>
          <w:lang w:val="it-IT" w:eastAsia="ja-JP"/>
        </w:rPr>
        <w:t>.</w:t>
      </w:r>
      <w:r w:rsidR="005F4CC5" w:rsidRPr="005F4CC5">
        <w:rPr>
          <w:rFonts w:ascii="Arial" w:eastAsia="MS Mincho" w:hAnsi="Arial" w:cs="Arial"/>
          <w:color w:val="000000"/>
          <w:sz w:val="22"/>
          <w:szCs w:val="22"/>
          <w:lang w:val="it-IT" w:eastAsia="ja-JP"/>
        </w:rPr>
        <w:t xml:space="preserve"> </w:t>
      </w:r>
    </w:p>
    <w:p w:rsidR="005F4CC5" w:rsidRPr="005F4CC5" w:rsidRDefault="005F4CC5" w:rsidP="005F4CC5">
      <w:pPr>
        <w:jc w:val="both"/>
        <w:rPr>
          <w:rFonts w:ascii="Arial" w:eastAsia="MS Mincho" w:hAnsi="Arial" w:cs="Arial"/>
          <w:color w:val="000000"/>
          <w:sz w:val="22"/>
          <w:szCs w:val="22"/>
          <w:lang w:val="it-IT" w:eastAsia="ja-JP"/>
        </w:rPr>
      </w:pPr>
      <w:bookmarkStart w:id="0" w:name="_GoBack"/>
      <w:bookmarkEnd w:id="0"/>
    </w:p>
    <w:p w:rsidR="005F4CC5" w:rsidRPr="005F4CC5" w:rsidRDefault="005F4CC5" w:rsidP="005F4CC5">
      <w:pPr>
        <w:jc w:val="both"/>
        <w:rPr>
          <w:rFonts w:ascii="Arial" w:eastAsia="MS Mincho" w:hAnsi="Arial" w:cs="Arial"/>
          <w:color w:val="000000"/>
          <w:sz w:val="22"/>
          <w:szCs w:val="22"/>
          <w:lang w:val="fr-FR" w:eastAsia="ja-JP"/>
        </w:rPr>
      </w:pPr>
    </w:p>
    <w:p w:rsidR="005F4CC5" w:rsidRPr="005F4CC5" w:rsidRDefault="005F4CC5" w:rsidP="005F4CC5">
      <w:pPr>
        <w:jc w:val="both"/>
        <w:rPr>
          <w:rFonts w:ascii="Arial" w:hAnsi="Arial" w:cs="Arial"/>
          <w:b/>
          <w:i/>
          <w:sz w:val="22"/>
          <w:szCs w:val="22"/>
          <w:lang w:val="fr-FR"/>
        </w:rPr>
      </w:pPr>
      <w:r w:rsidRPr="005F4CC5">
        <w:rPr>
          <w:rFonts w:ascii="Arial" w:hAnsi="Arial" w:cs="Arial"/>
          <w:b/>
          <w:i/>
          <w:sz w:val="22"/>
          <w:szCs w:val="22"/>
          <w:lang w:val="fr-FR"/>
        </w:rPr>
        <w:t>A l’intention du Comité permanent</w:t>
      </w:r>
    </w:p>
    <w:p w:rsidR="005F4CC5" w:rsidRPr="005F4CC5" w:rsidRDefault="005F4CC5" w:rsidP="005F4CC5">
      <w:pPr>
        <w:ind w:left="720" w:hanging="720"/>
        <w:jc w:val="both"/>
        <w:rPr>
          <w:rFonts w:ascii="Arial" w:hAnsi="Arial" w:cs="Arial"/>
          <w:sz w:val="22"/>
          <w:szCs w:val="22"/>
          <w:lang w:val="fr-FR"/>
        </w:rPr>
      </w:pPr>
    </w:p>
    <w:p w:rsidR="005F4CC5" w:rsidRPr="005F4CC5" w:rsidRDefault="005F4CC5" w:rsidP="005F4CC5">
      <w:pPr>
        <w:ind w:left="780" w:hanging="780"/>
        <w:jc w:val="both"/>
        <w:rPr>
          <w:rFonts w:ascii="Arial" w:hAnsi="Arial" w:cs="Arial"/>
          <w:iCs/>
          <w:sz w:val="22"/>
          <w:szCs w:val="22"/>
          <w:lang w:val="fr-FR"/>
        </w:rPr>
      </w:pPr>
      <w:r w:rsidRPr="005F4CC5">
        <w:rPr>
          <w:rFonts w:ascii="Arial" w:hAnsi="Arial" w:cs="Arial"/>
          <w:sz w:val="22"/>
          <w:szCs w:val="22"/>
          <w:lang w:val="fr-FR"/>
        </w:rPr>
        <w:t>12.</w:t>
      </w:r>
      <w:r w:rsidR="00E254B7">
        <w:rPr>
          <w:rFonts w:ascii="Arial" w:hAnsi="Arial" w:cs="Arial"/>
          <w:sz w:val="22"/>
          <w:szCs w:val="22"/>
          <w:lang w:val="fr-FR"/>
        </w:rPr>
        <w:t>CC</w:t>
      </w:r>
      <w:r w:rsidRPr="005F4CC5">
        <w:rPr>
          <w:rFonts w:ascii="Arial" w:hAnsi="Arial" w:cs="Arial"/>
          <w:sz w:val="22"/>
          <w:szCs w:val="22"/>
          <w:lang w:val="fr-FR"/>
        </w:rPr>
        <w:tab/>
      </w:r>
      <w:r w:rsidRPr="005F4CC5">
        <w:rPr>
          <w:rFonts w:ascii="Arial" w:eastAsia="MS Mincho" w:hAnsi="Arial" w:cs="Arial"/>
          <w:color w:val="000000"/>
          <w:sz w:val="22"/>
          <w:szCs w:val="22"/>
          <w:lang w:val="fr-FR" w:eastAsia="ja-JP"/>
        </w:rPr>
        <w:t xml:space="preserve">Le Comité permanent est prié </w:t>
      </w:r>
      <w:proofErr w:type="gramStart"/>
      <w:r w:rsidRPr="005F4CC5">
        <w:rPr>
          <w:rFonts w:ascii="Arial" w:eastAsia="MS Mincho" w:hAnsi="Arial" w:cs="Arial"/>
          <w:color w:val="000000"/>
          <w:sz w:val="22"/>
          <w:szCs w:val="22"/>
          <w:lang w:val="fr-FR" w:eastAsia="ja-JP"/>
        </w:rPr>
        <w:t>de:</w:t>
      </w:r>
      <w:proofErr w:type="gramEnd"/>
    </w:p>
    <w:p w:rsidR="005F4CC5" w:rsidRPr="005F4CC5" w:rsidRDefault="005F4CC5" w:rsidP="005F4CC5">
      <w:pPr>
        <w:jc w:val="both"/>
        <w:rPr>
          <w:rFonts w:ascii="Arial" w:eastAsia="MS Mincho" w:hAnsi="Arial" w:cs="Arial"/>
          <w:color w:val="000000"/>
          <w:sz w:val="22"/>
          <w:szCs w:val="22"/>
          <w:lang w:val="fr-FR" w:eastAsia="ja-JP"/>
        </w:rPr>
      </w:pPr>
    </w:p>
    <w:p w:rsidR="005F4CC5" w:rsidRPr="005F4CC5" w:rsidRDefault="005F4CC5" w:rsidP="002E048A">
      <w:pPr>
        <w:widowControl/>
        <w:numPr>
          <w:ilvl w:val="0"/>
          <w:numId w:val="48"/>
        </w:numPr>
        <w:autoSpaceDE/>
        <w:autoSpaceDN/>
        <w:adjustRightInd/>
        <w:contextualSpacing/>
        <w:jc w:val="both"/>
        <w:rPr>
          <w:rFonts w:ascii="Arial" w:eastAsia="MS Mincho" w:hAnsi="Arial" w:cs="Arial"/>
          <w:color w:val="000000"/>
          <w:sz w:val="22"/>
          <w:szCs w:val="22"/>
          <w:lang w:val="it-IT" w:eastAsia="ja-JP"/>
        </w:rPr>
      </w:pPr>
      <w:r w:rsidRPr="005F4CC5">
        <w:rPr>
          <w:rFonts w:ascii="Arial" w:eastAsia="MS Mincho" w:hAnsi="Arial" w:cs="Arial"/>
          <w:color w:val="000000"/>
          <w:sz w:val="22"/>
          <w:szCs w:val="22"/>
          <w:lang w:val="fr-FR" w:eastAsia="ja-JP"/>
        </w:rPr>
        <w:t>E</w:t>
      </w:r>
      <w:r w:rsidRPr="005F4CC5">
        <w:rPr>
          <w:rFonts w:ascii="Arial" w:eastAsia="MS Mincho" w:hAnsi="Arial" w:cs="Arial"/>
          <w:color w:val="000000"/>
          <w:sz w:val="22"/>
          <w:szCs w:val="22"/>
          <w:lang w:val="it-IT" w:eastAsia="ja-JP"/>
        </w:rPr>
        <w:t>xaminer et, selon qu’il convient, approuver les propositions faites par le Secrétariat en application de la décision 12.</w:t>
      </w:r>
      <w:r w:rsidR="00E254B7">
        <w:rPr>
          <w:rFonts w:ascii="Arial" w:eastAsia="MS Mincho" w:hAnsi="Arial" w:cs="Arial"/>
          <w:color w:val="000000"/>
          <w:sz w:val="22"/>
          <w:szCs w:val="22"/>
          <w:lang w:val="it-IT" w:eastAsia="ja-JP"/>
        </w:rPr>
        <w:t>BB</w:t>
      </w:r>
      <w:r w:rsidRPr="005F4CC5">
        <w:rPr>
          <w:rFonts w:ascii="Arial" w:eastAsia="MS Mincho" w:hAnsi="Arial" w:cs="Arial"/>
          <w:color w:val="000000"/>
          <w:sz w:val="22"/>
          <w:szCs w:val="22"/>
          <w:lang w:val="it-IT" w:eastAsia="ja-JP"/>
        </w:rPr>
        <w:t xml:space="preserve"> ci-dessus concernant une révision du modèle de rapport national, </w:t>
      </w:r>
      <w:r w:rsidR="00E254B7" w:rsidRPr="00E254B7">
        <w:rPr>
          <w:rFonts w:ascii="Arial" w:eastAsia="MS Mincho" w:hAnsi="Arial" w:cs="Arial"/>
          <w:color w:val="000000"/>
          <w:sz w:val="22"/>
          <w:szCs w:val="22"/>
          <w:lang w:val="it-IT" w:eastAsia="ja-JP"/>
        </w:rPr>
        <w:t>afin qu'il puisse être publié au moins un an (de préférence plus) avant la date limite de soumission</w:t>
      </w:r>
      <w:r w:rsidR="00E254B7">
        <w:rPr>
          <w:rFonts w:ascii="Arial" w:eastAsia="MS Mincho" w:hAnsi="Arial" w:cs="Arial"/>
          <w:color w:val="000000"/>
          <w:sz w:val="22"/>
          <w:szCs w:val="22"/>
          <w:lang w:val="it-IT" w:eastAsia="ja-JP"/>
        </w:rPr>
        <w:t xml:space="preserve"> </w:t>
      </w:r>
      <w:r w:rsidR="00D51677">
        <w:rPr>
          <w:rFonts w:ascii="Arial" w:eastAsia="MS Mincho" w:hAnsi="Arial" w:cs="Arial"/>
          <w:color w:val="000000"/>
          <w:sz w:val="22"/>
          <w:szCs w:val="22"/>
          <w:lang w:val="it-IT" w:eastAsia="ja-JP"/>
        </w:rPr>
        <w:t>d</w:t>
      </w:r>
      <w:r w:rsidRPr="005F4CC5">
        <w:rPr>
          <w:rFonts w:ascii="Arial" w:eastAsia="MS Mincho" w:hAnsi="Arial" w:cs="Arial"/>
          <w:color w:val="000000"/>
          <w:sz w:val="22"/>
          <w:szCs w:val="22"/>
          <w:lang w:val="it-IT" w:eastAsia="ja-JP"/>
        </w:rPr>
        <w:t xml:space="preserve">es rapports présentés à la treizième réunion de la Conférence des Parties et </w:t>
      </w:r>
      <w:r w:rsidR="002E048A" w:rsidRPr="002E048A">
        <w:rPr>
          <w:rFonts w:ascii="Arial" w:eastAsia="MS Mincho" w:hAnsi="Arial" w:cs="Arial"/>
          <w:color w:val="000000"/>
          <w:sz w:val="22"/>
          <w:szCs w:val="22"/>
          <w:lang w:val="it-IT" w:eastAsia="ja-JP"/>
        </w:rPr>
        <w:t>faire des recommandations appropriées à la COP13 concernant le format du rapport national, y compris sur son utilisation ultérieure</w:t>
      </w:r>
      <w:r w:rsidRPr="005F4CC5">
        <w:rPr>
          <w:rFonts w:ascii="Arial" w:eastAsia="MS Mincho" w:hAnsi="Arial" w:cs="Arial"/>
          <w:color w:val="000000"/>
          <w:sz w:val="22"/>
          <w:szCs w:val="22"/>
          <w:lang w:val="it-IT" w:eastAsia="ja-JP"/>
        </w:rPr>
        <w:t xml:space="preserve">; </w:t>
      </w:r>
      <w:r w:rsidR="002E048A">
        <w:rPr>
          <w:rFonts w:ascii="Arial" w:eastAsia="MS Mincho" w:hAnsi="Arial" w:cs="Arial"/>
          <w:color w:val="000000"/>
          <w:sz w:val="22"/>
          <w:szCs w:val="22"/>
          <w:lang w:val="it-IT" w:eastAsia="ja-JP"/>
        </w:rPr>
        <w:t>et</w:t>
      </w:r>
    </w:p>
    <w:p w:rsidR="005F4CC5" w:rsidRPr="005F4CC5" w:rsidRDefault="005F4CC5" w:rsidP="005F4CC5">
      <w:pPr>
        <w:ind w:left="810" w:hanging="624"/>
        <w:jc w:val="both"/>
        <w:rPr>
          <w:rFonts w:ascii="Arial" w:eastAsia="MS Mincho" w:hAnsi="Arial" w:cs="Arial"/>
          <w:color w:val="000000"/>
          <w:sz w:val="22"/>
          <w:szCs w:val="22"/>
          <w:lang w:val="it-IT" w:eastAsia="ja-JP"/>
        </w:rPr>
      </w:pPr>
    </w:p>
    <w:p w:rsidR="005F4CC5" w:rsidRPr="005F4CC5" w:rsidRDefault="005F4CC5" w:rsidP="005F4CC5">
      <w:pPr>
        <w:widowControl/>
        <w:numPr>
          <w:ilvl w:val="0"/>
          <w:numId w:val="48"/>
        </w:numPr>
        <w:autoSpaceDE/>
        <w:autoSpaceDN/>
        <w:adjustRightInd/>
        <w:ind w:left="709" w:hanging="283"/>
        <w:contextualSpacing/>
        <w:jc w:val="both"/>
        <w:rPr>
          <w:rFonts w:ascii="Arial" w:eastAsia="MS Mincho" w:hAnsi="Arial" w:cs="Arial"/>
          <w:color w:val="000000"/>
          <w:sz w:val="22"/>
          <w:szCs w:val="22"/>
          <w:lang w:val="it-IT" w:eastAsia="ja-JP"/>
        </w:rPr>
      </w:pPr>
      <w:r w:rsidRPr="005F4CC5">
        <w:rPr>
          <w:rFonts w:ascii="Arial" w:eastAsia="MS Mincho" w:hAnsi="Arial" w:cs="Arial"/>
          <w:color w:val="000000"/>
          <w:sz w:val="22"/>
          <w:szCs w:val="22"/>
          <w:lang w:val="it-IT" w:eastAsia="ja-JP"/>
        </w:rPr>
        <w:t>Envisager s’il est peut-être souhaitable, dans la limite des ressources disponibles, d’élaborer et de publier des orientations pour accompagner tout modèle de rapport national révisé et/ou toute mesure de soutien connexe en matière de renforcement des capacités visant à aider les Parties à consolider leurs rapports conformément au modèle de rapport révisé.</w:t>
      </w:r>
    </w:p>
    <w:sectPr w:rsidR="005F4CC5" w:rsidRPr="005F4CC5"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5F4CC5">
      <w:rPr>
        <w:rFonts w:asciiTheme="minorBidi" w:hAnsiTheme="minorBidi" w:cstheme="minorBidi"/>
        <w:noProof/>
        <w:sz w:val="18"/>
        <w:szCs w:val="18"/>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2C218BF"/>
    <w:multiLevelType w:val="hybridMultilevel"/>
    <w:tmpl w:val="FC68B35A"/>
    <w:lvl w:ilvl="0" w:tplc="9FA874C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6"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1C1465F"/>
    <w:multiLevelType w:val="hybridMultilevel"/>
    <w:tmpl w:val="F9469EE2"/>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1"/>
  </w:num>
  <w:num w:numId="4">
    <w:abstractNumId w:val="23"/>
  </w:num>
  <w:num w:numId="5">
    <w:abstractNumId w:val="12"/>
  </w:num>
  <w:num w:numId="6">
    <w:abstractNumId w:val="36"/>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5"/>
  </w:num>
  <w:num w:numId="9">
    <w:abstractNumId w:val="7"/>
  </w:num>
  <w:num w:numId="10">
    <w:abstractNumId w:val="22"/>
  </w:num>
  <w:num w:numId="11">
    <w:abstractNumId w:val="40"/>
  </w:num>
  <w:num w:numId="12">
    <w:abstractNumId w:val="3"/>
  </w:num>
  <w:num w:numId="13">
    <w:abstractNumId w:val="19"/>
  </w:num>
  <w:num w:numId="14">
    <w:abstractNumId w:val="38"/>
  </w:num>
  <w:num w:numId="15">
    <w:abstractNumId w:val="2"/>
  </w:num>
  <w:num w:numId="16">
    <w:abstractNumId w:val="10"/>
  </w:num>
  <w:num w:numId="17">
    <w:abstractNumId w:val="41"/>
  </w:num>
  <w:num w:numId="18">
    <w:abstractNumId w:val="21"/>
  </w:num>
  <w:num w:numId="19">
    <w:abstractNumId w:val="39"/>
  </w:num>
  <w:num w:numId="20">
    <w:abstractNumId w:val="46"/>
  </w:num>
  <w:num w:numId="21">
    <w:abstractNumId w:val="4"/>
  </w:num>
  <w:num w:numId="22">
    <w:abstractNumId w:val="17"/>
  </w:num>
  <w:num w:numId="23">
    <w:abstractNumId w:val="26"/>
  </w:num>
  <w:num w:numId="24">
    <w:abstractNumId w:val="16"/>
  </w:num>
  <w:num w:numId="25">
    <w:abstractNumId w:val="31"/>
  </w:num>
  <w:num w:numId="26">
    <w:abstractNumId w:val="0"/>
  </w:num>
  <w:num w:numId="27">
    <w:abstractNumId w:val="43"/>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7"/>
  </w:num>
  <w:num w:numId="38">
    <w:abstractNumId w:val="9"/>
  </w:num>
  <w:num w:numId="39">
    <w:abstractNumId w:val="30"/>
  </w:num>
  <w:num w:numId="40">
    <w:abstractNumId w:val="44"/>
  </w:num>
  <w:num w:numId="41">
    <w:abstractNumId w:val="24"/>
  </w:num>
  <w:num w:numId="42">
    <w:abstractNumId w:val="25"/>
  </w:num>
  <w:num w:numId="43">
    <w:abstractNumId w:val="34"/>
  </w:num>
  <w:num w:numId="44">
    <w:abstractNumId w:val="8"/>
  </w:num>
  <w:num w:numId="45">
    <w:abstractNumId w:val="27"/>
  </w:num>
  <w:num w:numId="46">
    <w:abstractNumId w:val="1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4373"/>
    <w:rsid w:val="001151A3"/>
    <w:rsid w:val="0012294F"/>
    <w:rsid w:val="001245DF"/>
    <w:rsid w:val="00130BFD"/>
    <w:rsid w:val="001419C7"/>
    <w:rsid w:val="00150AC4"/>
    <w:rsid w:val="00162D88"/>
    <w:rsid w:val="00166ABA"/>
    <w:rsid w:val="001743FD"/>
    <w:rsid w:val="001764E6"/>
    <w:rsid w:val="001808F1"/>
    <w:rsid w:val="00192E8B"/>
    <w:rsid w:val="001A33B6"/>
    <w:rsid w:val="001C6038"/>
    <w:rsid w:val="001F1DA4"/>
    <w:rsid w:val="001F60A1"/>
    <w:rsid w:val="00200A67"/>
    <w:rsid w:val="00201F88"/>
    <w:rsid w:val="00202332"/>
    <w:rsid w:val="002210F4"/>
    <w:rsid w:val="00234857"/>
    <w:rsid w:val="00254721"/>
    <w:rsid w:val="00260772"/>
    <w:rsid w:val="00263159"/>
    <w:rsid w:val="002667F0"/>
    <w:rsid w:val="002779F7"/>
    <w:rsid w:val="002B25CD"/>
    <w:rsid w:val="002C187A"/>
    <w:rsid w:val="002C20F1"/>
    <w:rsid w:val="002D2863"/>
    <w:rsid w:val="002D3927"/>
    <w:rsid w:val="002D5EC0"/>
    <w:rsid w:val="002E048A"/>
    <w:rsid w:val="002E3DEA"/>
    <w:rsid w:val="002E7CC2"/>
    <w:rsid w:val="002F6F9B"/>
    <w:rsid w:val="003331C6"/>
    <w:rsid w:val="003436B2"/>
    <w:rsid w:val="00345044"/>
    <w:rsid w:val="00351095"/>
    <w:rsid w:val="00354A9C"/>
    <w:rsid w:val="00364973"/>
    <w:rsid w:val="00372347"/>
    <w:rsid w:val="003779D4"/>
    <w:rsid w:val="00382398"/>
    <w:rsid w:val="003909E4"/>
    <w:rsid w:val="0039336F"/>
    <w:rsid w:val="003A0D8F"/>
    <w:rsid w:val="003A3E30"/>
    <w:rsid w:val="003A70FE"/>
    <w:rsid w:val="003B0C35"/>
    <w:rsid w:val="003B219E"/>
    <w:rsid w:val="003E21B3"/>
    <w:rsid w:val="003E7699"/>
    <w:rsid w:val="003F6700"/>
    <w:rsid w:val="00411E65"/>
    <w:rsid w:val="00416B0E"/>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2AA7"/>
    <w:rsid w:val="00565445"/>
    <w:rsid w:val="00575334"/>
    <w:rsid w:val="00593736"/>
    <w:rsid w:val="005B0F06"/>
    <w:rsid w:val="005B42D9"/>
    <w:rsid w:val="005B6141"/>
    <w:rsid w:val="005C3F15"/>
    <w:rsid w:val="005F3989"/>
    <w:rsid w:val="005F4303"/>
    <w:rsid w:val="005F4CC5"/>
    <w:rsid w:val="00601B52"/>
    <w:rsid w:val="0060280B"/>
    <w:rsid w:val="00604422"/>
    <w:rsid w:val="00610203"/>
    <w:rsid w:val="00610ABE"/>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355"/>
    <w:rsid w:val="00796FCE"/>
    <w:rsid w:val="007C1468"/>
    <w:rsid w:val="007C41D7"/>
    <w:rsid w:val="007D39B7"/>
    <w:rsid w:val="007F16FB"/>
    <w:rsid w:val="007F1BBA"/>
    <w:rsid w:val="0081600F"/>
    <w:rsid w:val="0082616A"/>
    <w:rsid w:val="0082722D"/>
    <w:rsid w:val="008274F7"/>
    <w:rsid w:val="00834C94"/>
    <w:rsid w:val="00841223"/>
    <w:rsid w:val="008441F9"/>
    <w:rsid w:val="00846A99"/>
    <w:rsid w:val="0086147B"/>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525ED"/>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4515"/>
    <w:rsid w:val="00A06984"/>
    <w:rsid w:val="00A10AC7"/>
    <w:rsid w:val="00A1324E"/>
    <w:rsid w:val="00A27BE3"/>
    <w:rsid w:val="00A30374"/>
    <w:rsid w:val="00A339B9"/>
    <w:rsid w:val="00A40EDF"/>
    <w:rsid w:val="00A568DF"/>
    <w:rsid w:val="00A7227A"/>
    <w:rsid w:val="00A73A79"/>
    <w:rsid w:val="00A756EA"/>
    <w:rsid w:val="00A8316B"/>
    <w:rsid w:val="00A91596"/>
    <w:rsid w:val="00A93C52"/>
    <w:rsid w:val="00AA7368"/>
    <w:rsid w:val="00AA7A90"/>
    <w:rsid w:val="00AB4FF9"/>
    <w:rsid w:val="00AC3852"/>
    <w:rsid w:val="00AE7B21"/>
    <w:rsid w:val="00AF1980"/>
    <w:rsid w:val="00AF2021"/>
    <w:rsid w:val="00B062BF"/>
    <w:rsid w:val="00B27313"/>
    <w:rsid w:val="00B30131"/>
    <w:rsid w:val="00B471BD"/>
    <w:rsid w:val="00B50C2D"/>
    <w:rsid w:val="00B64904"/>
    <w:rsid w:val="00B87F4A"/>
    <w:rsid w:val="00B97125"/>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51677"/>
    <w:rsid w:val="00D605A4"/>
    <w:rsid w:val="00D61B13"/>
    <w:rsid w:val="00D7746A"/>
    <w:rsid w:val="00D838FE"/>
    <w:rsid w:val="00D8406F"/>
    <w:rsid w:val="00D859C7"/>
    <w:rsid w:val="00D9021F"/>
    <w:rsid w:val="00DA1080"/>
    <w:rsid w:val="00DA12C2"/>
    <w:rsid w:val="00DB30A6"/>
    <w:rsid w:val="00DD6A9E"/>
    <w:rsid w:val="00E23367"/>
    <w:rsid w:val="00E254B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4D1E"/>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21AA"/>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1EE865"/>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1364474844">
      <w:bodyDiv w:val="1"/>
      <w:marLeft w:val="0"/>
      <w:marRight w:val="0"/>
      <w:marTop w:val="0"/>
      <w:marBottom w:val="0"/>
      <w:divBdr>
        <w:top w:val="none" w:sz="0" w:space="0" w:color="auto"/>
        <w:left w:val="none" w:sz="0" w:space="0" w:color="auto"/>
        <w:bottom w:val="none" w:sz="0" w:space="0" w:color="auto"/>
        <w:right w:val="none" w:sz="0" w:space="0" w:color="auto"/>
      </w:divBdr>
    </w:div>
    <w:div w:id="19724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4</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10</cp:revision>
  <cp:lastPrinted>2017-03-22T10:51:00Z</cp:lastPrinted>
  <dcterms:created xsi:type="dcterms:W3CDTF">2017-10-26T13:48:00Z</dcterms:created>
  <dcterms:modified xsi:type="dcterms:W3CDTF">2017-10-26T13:52:00Z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