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275A62"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8527B5">
              <w:rPr>
                <w:rFonts w:ascii="Arial" w:hAnsi="Arial" w:cs="Arial"/>
                <w:sz w:val="22"/>
                <w:szCs w:val="22"/>
                <w:lang w:val="fr-FR"/>
              </w:rPr>
              <w:t>106</w:t>
            </w:r>
          </w:p>
          <w:p w:rsidR="00260772" w:rsidRPr="005B42D9" w:rsidRDefault="000A5528"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25</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0A5528" w:rsidRPr="000A5528" w:rsidRDefault="000A5528" w:rsidP="000A5528">
      <w:pPr>
        <w:widowControl/>
        <w:autoSpaceDE/>
        <w:autoSpaceDN/>
        <w:adjustRightInd/>
        <w:jc w:val="center"/>
        <w:rPr>
          <w:rFonts w:ascii="Arial" w:hAnsi="Arial" w:cs="Arial"/>
          <w:caps/>
          <w:sz w:val="22"/>
          <w:szCs w:val="22"/>
          <w:lang w:val="fr-FR"/>
        </w:rPr>
      </w:pPr>
      <w:r w:rsidRPr="000A5528">
        <w:rPr>
          <w:rFonts w:ascii="Arial" w:hAnsi="Arial" w:cs="Arial"/>
          <w:b/>
          <w:bCs/>
          <w:caps/>
          <w:sz w:val="22"/>
          <w:szCs w:val="22"/>
          <w:lang w:val="fr-FR"/>
        </w:rPr>
        <w:t>RÉsolutions À ABROGER EN PARTIE</w:t>
      </w:r>
    </w:p>
    <w:p w:rsidR="000A5528" w:rsidRPr="000A5528" w:rsidRDefault="000A5528" w:rsidP="000A5528">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0A5528" w:rsidRPr="000A5528" w:rsidRDefault="008527B5" w:rsidP="000A5528">
      <w:pPr>
        <w:jc w:val="center"/>
        <w:rPr>
          <w:rFonts w:ascii="Arial" w:hAnsi="Arial" w:cs="Arial"/>
          <w:b/>
          <w:sz w:val="22"/>
          <w:szCs w:val="22"/>
          <w:lang w:val="fr-FR"/>
        </w:rPr>
      </w:pPr>
      <w:r w:rsidRPr="000A5528">
        <w:rPr>
          <w:rFonts w:ascii="Arial" w:hAnsi="Arial" w:cs="Arial"/>
          <w:b/>
          <w:caps/>
          <w:sz w:val="22"/>
          <w:szCs w:val="22"/>
          <w:lang w:val="fr-FR"/>
        </w:rPr>
        <w:t>r</w:t>
      </w:r>
      <w:r w:rsidRPr="000A5528">
        <w:rPr>
          <w:rFonts w:ascii="Arial" w:hAnsi="Arial" w:cs="Arial"/>
          <w:b/>
          <w:caps/>
          <w:color w:val="000000" w:themeColor="text1"/>
          <w:sz w:val="22"/>
          <w:szCs w:val="22"/>
          <w:lang w:val="fr-FR"/>
        </w:rPr>
        <w:t>É</w:t>
      </w:r>
      <w:r w:rsidRPr="000A5528">
        <w:rPr>
          <w:rFonts w:ascii="Arial" w:hAnsi="Arial" w:cs="Arial"/>
          <w:b/>
          <w:caps/>
          <w:sz w:val="22"/>
          <w:szCs w:val="22"/>
          <w:lang w:val="fr-FR"/>
        </w:rPr>
        <w:t>solution 7.3</w:t>
      </w:r>
      <w:r>
        <w:rPr>
          <w:rFonts w:ascii="Arial" w:hAnsi="Arial" w:cs="Arial"/>
          <w:b/>
          <w:caps/>
          <w:sz w:val="22"/>
          <w:szCs w:val="22"/>
          <w:lang w:val="fr-FR"/>
        </w:rPr>
        <w:t>,</w:t>
      </w:r>
      <w:r w:rsidRPr="000A5528">
        <w:rPr>
          <w:rFonts w:ascii="Arial" w:hAnsi="Arial" w:cs="Arial"/>
          <w:b/>
          <w:sz w:val="22"/>
          <w:szCs w:val="22"/>
          <w:lang w:val="fr-FR"/>
        </w:rPr>
        <w:t xml:space="preserve"> </w:t>
      </w:r>
      <w:r w:rsidR="000A5528" w:rsidRPr="000A5528">
        <w:rPr>
          <w:rFonts w:ascii="Arial" w:hAnsi="Arial" w:cs="Arial"/>
          <w:b/>
          <w:bCs/>
          <w:caps/>
          <w:sz w:val="22"/>
          <w:szCs w:val="22"/>
          <w:lang w:val="fr-FR"/>
        </w:rPr>
        <w:t>MARÉES NOIRES ET ESPÈCES MIGRATRICES</w:t>
      </w:r>
    </w:p>
    <w:p w:rsidR="000A5528" w:rsidRDefault="000A5528" w:rsidP="000A5528">
      <w:pPr>
        <w:jc w:val="center"/>
        <w:rPr>
          <w:rFonts w:ascii="Arial" w:hAnsi="Arial" w:cs="Arial"/>
          <w:bCs/>
          <w:caps/>
          <w:sz w:val="22"/>
          <w:szCs w:val="22"/>
          <w:lang w:val="fr-FR"/>
        </w:rPr>
      </w:pPr>
      <w:r w:rsidRPr="00BC6025">
        <w:rPr>
          <w:rFonts w:ascii="Arial" w:hAnsi="Arial" w:cs="Arial"/>
          <w:bCs/>
          <w:caps/>
          <w:sz w:val="22"/>
          <w:szCs w:val="22"/>
          <w:lang w:val="fr-FR"/>
        </w:rPr>
        <w:t xml:space="preserve"> </w:t>
      </w:r>
    </w:p>
    <w:p w:rsidR="00BC6025" w:rsidRPr="00BC6025" w:rsidRDefault="00BC6025" w:rsidP="000A5528">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Pr="00BC6025">
        <w:rPr>
          <w:rFonts w:ascii="Arial" w:hAnsi="Arial" w:cs="Arial"/>
          <w:bCs/>
          <w:caps/>
          <w:sz w:val="22"/>
          <w:szCs w:val="22"/>
          <w:lang w:val="fr-FR"/>
        </w:rPr>
        <w:t>.2</w:t>
      </w:r>
      <w:r w:rsidR="000A5528">
        <w:rPr>
          <w:rFonts w:ascii="Arial" w:hAnsi="Arial" w:cs="Arial"/>
          <w:bCs/>
          <w:caps/>
          <w:sz w:val="22"/>
          <w:szCs w:val="22"/>
          <w:lang w:val="fr-FR"/>
        </w:rPr>
        <w:t>1.1.9</w:t>
      </w:r>
      <w:r w:rsidRPr="00BC6025">
        <w:rPr>
          <w:rFonts w:ascii="Arial" w:hAnsi="Arial" w:cs="Arial"/>
          <w:bCs/>
          <w:caps/>
          <w:sz w:val="22"/>
          <w:szCs w:val="22"/>
          <w:lang w:val="fr-FR"/>
        </w:rPr>
        <w:t xml:space="preserve">) </w:t>
      </w:r>
    </w:p>
    <w:p w:rsidR="000A5528" w:rsidRPr="00BC6025" w:rsidRDefault="000A5528" w:rsidP="000A5528">
      <w:pPr>
        <w:rPr>
          <w:rFonts w:ascii="Arial" w:hAnsi="Arial" w:cs="Arial"/>
          <w:b/>
          <w:caps/>
          <w:sz w:val="22"/>
          <w:szCs w:val="22"/>
          <w:lang w:val="fr-FR"/>
        </w:rPr>
      </w:pPr>
    </w:p>
    <w:p w:rsidR="00BC6025" w:rsidRPr="001F1DA4" w:rsidRDefault="00BC6025" w:rsidP="00796FCE">
      <w:pPr>
        <w:jc w:val="center"/>
        <w:rPr>
          <w:rFonts w:ascii="Arial" w:hAnsi="Arial" w:cs="Arial"/>
          <w:bCs/>
          <w:i/>
          <w:iCs/>
          <w:sz w:val="22"/>
          <w:szCs w:val="22"/>
          <w:lang w:val="fr-FR"/>
        </w:rPr>
      </w:pPr>
      <w:r w:rsidRPr="00275A62">
        <w:rPr>
          <w:rFonts w:ascii="Arial" w:hAnsi="Arial" w:cs="Arial"/>
          <w:bCs/>
          <w:i/>
          <w:iCs/>
          <w:sz w:val="22"/>
          <w:szCs w:val="22"/>
          <w:lang w:val="fr-FR"/>
        </w:rPr>
        <w:t>(</w:t>
      </w:r>
      <w:r w:rsidR="00796FCE" w:rsidRPr="00275A62">
        <w:rPr>
          <w:rFonts w:ascii="Arial" w:hAnsi="Arial" w:cs="Arial"/>
          <w:bCs/>
          <w:i/>
          <w:iCs/>
          <w:sz w:val="22"/>
          <w:szCs w:val="22"/>
          <w:lang w:val="fr-FR"/>
        </w:rPr>
        <w:t>Préparé par</w:t>
      </w:r>
      <w:r w:rsidR="00275A62" w:rsidRPr="00275A62">
        <w:rPr>
          <w:rFonts w:ascii="Arial" w:hAnsi="Arial" w:cs="Arial"/>
          <w:bCs/>
          <w:i/>
          <w:iCs/>
          <w:sz w:val="22"/>
          <w:szCs w:val="22"/>
          <w:lang w:val="fr-FR"/>
        </w:rPr>
        <w:t xml:space="preserve"> le Groupe de travail aquatique)</w:t>
      </w:r>
    </w:p>
    <w:p w:rsidR="008527B5" w:rsidRDefault="008527B5" w:rsidP="008527B5">
      <w:pPr>
        <w:jc w:val="center"/>
        <w:rPr>
          <w:rFonts w:ascii="Arial" w:hAnsi="Arial" w:cs="Arial"/>
          <w:b/>
          <w:caps/>
          <w:sz w:val="22"/>
          <w:szCs w:val="22"/>
          <w:lang w:val="fr-FR"/>
        </w:rPr>
      </w:pPr>
    </w:p>
    <w:p w:rsidR="008527B5" w:rsidRDefault="008527B5" w:rsidP="008527B5">
      <w:pPr>
        <w:jc w:val="center"/>
        <w:rPr>
          <w:rFonts w:ascii="Arial" w:hAnsi="Arial" w:cs="Arial"/>
          <w:b/>
          <w:caps/>
          <w:sz w:val="22"/>
          <w:szCs w:val="22"/>
          <w:lang w:val="fr-FR"/>
        </w:rPr>
      </w:pPr>
    </w:p>
    <w:p w:rsidR="008527B5" w:rsidRPr="000A5528" w:rsidRDefault="008527B5" w:rsidP="008527B5">
      <w:pPr>
        <w:jc w:val="center"/>
        <w:rPr>
          <w:rFonts w:ascii="Arial" w:hAnsi="Arial" w:cs="Arial"/>
          <w:b/>
          <w:sz w:val="22"/>
          <w:szCs w:val="22"/>
          <w:lang w:val="fr-FR"/>
        </w:rPr>
      </w:pPr>
      <w:r w:rsidRPr="000A5528">
        <w:rPr>
          <w:rFonts w:ascii="Arial" w:hAnsi="Arial" w:cs="Arial"/>
          <w:b/>
          <w:caps/>
          <w:sz w:val="22"/>
          <w:szCs w:val="22"/>
          <w:lang w:val="fr-FR"/>
        </w:rPr>
        <w:t>r</w:t>
      </w:r>
      <w:r w:rsidRPr="000A5528">
        <w:rPr>
          <w:rFonts w:ascii="Arial" w:hAnsi="Arial" w:cs="Arial"/>
          <w:b/>
          <w:caps/>
          <w:color w:val="000000" w:themeColor="text1"/>
          <w:sz w:val="22"/>
          <w:szCs w:val="22"/>
          <w:lang w:val="fr-FR"/>
        </w:rPr>
        <w:t>É</w:t>
      </w:r>
      <w:r w:rsidRPr="000A5528">
        <w:rPr>
          <w:rFonts w:ascii="Arial" w:hAnsi="Arial" w:cs="Arial"/>
          <w:b/>
          <w:caps/>
          <w:sz w:val="22"/>
          <w:szCs w:val="22"/>
          <w:lang w:val="fr-FR"/>
        </w:rPr>
        <w:t>solution 7.3</w:t>
      </w:r>
      <w:r w:rsidRPr="000A5528">
        <w:rPr>
          <w:rFonts w:ascii="Arial" w:hAnsi="Arial" w:cs="Arial"/>
          <w:b/>
          <w:sz w:val="22"/>
          <w:szCs w:val="22"/>
          <w:lang w:val="fr-FR"/>
        </w:rPr>
        <w:t xml:space="preserve"> (REV. COP</w:t>
      </w:r>
      <w:proofErr w:type="gramStart"/>
      <w:r w:rsidRPr="000A5528">
        <w:rPr>
          <w:rFonts w:ascii="Arial" w:hAnsi="Arial" w:cs="Arial"/>
          <w:b/>
          <w:sz w:val="22"/>
          <w:szCs w:val="22"/>
          <w:lang w:val="fr-FR"/>
        </w:rPr>
        <w:t>12)</w:t>
      </w:r>
      <w:r w:rsidRPr="000A5528">
        <w:rPr>
          <w:b/>
          <w:sz w:val="22"/>
          <w:szCs w:val="22"/>
          <w:lang w:val="fr-FR"/>
        </w:rPr>
        <w:footnoteReference w:customMarkFollows="1" w:id="1"/>
        <w:t>*</w:t>
      </w:r>
      <w:proofErr w:type="gramEnd"/>
    </w:p>
    <w:p w:rsidR="00BC6025" w:rsidRPr="001F1DA4" w:rsidRDefault="00BC6025" w:rsidP="00BC6025">
      <w:pPr>
        <w:jc w:val="center"/>
        <w:rPr>
          <w:rFonts w:ascii="Arial" w:hAnsi="Arial" w:cs="Arial"/>
          <w:sz w:val="22"/>
          <w:szCs w:val="22"/>
          <w:lang w:val="fr-FR"/>
        </w:rPr>
      </w:pPr>
    </w:p>
    <w:p w:rsidR="000A5528" w:rsidRPr="000A5528" w:rsidRDefault="000A5528" w:rsidP="000A5528">
      <w:pPr>
        <w:widowControl/>
        <w:autoSpaceDE/>
        <w:adjustRightInd/>
        <w:jc w:val="both"/>
        <w:rPr>
          <w:rFonts w:ascii="Arial" w:hAnsi="Arial" w:cs="Arial"/>
          <w:sz w:val="22"/>
          <w:szCs w:val="17"/>
          <w:lang w:val="fr-FR"/>
        </w:rPr>
      </w:pPr>
      <w:r w:rsidRPr="000A5528">
        <w:rPr>
          <w:rFonts w:ascii="Arial" w:hAnsi="Arial" w:cs="Arial"/>
          <w:i/>
          <w:sz w:val="22"/>
          <w:szCs w:val="17"/>
          <w:lang w:val="fr-FR"/>
        </w:rPr>
        <w:t>Rappelant</w:t>
      </w:r>
      <w:r w:rsidRPr="000A5528">
        <w:rPr>
          <w:rFonts w:ascii="Arial" w:hAnsi="Arial" w:cs="Arial"/>
          <w:sz w:val="22"/>
          <w:szCs w:val="17"/>
          <w:lang w:val="fr-FR"/>
        </w:rPr>
        <w:t xml:space="preserve"> que l’Article II de la Convention reconnaît la nécessité de prendre des mesures pour éviter que les espèces migratrices deviennent des espèces en </w:t>
      </w:r>
      <w:proofErr w:type="gramStart"/>
      <w:r w:rsidRPr="000A5528">
        <w:rPr>
          <w:rFonts w:ascii="Arial" w:hAnsi="Arial" w:cs="Arial"/>
          <w:sz w:val="22"/>
          <w:szCs w:val="17"/>
          <w:lang w:val="fr-FR"/>
        </w:rPr>
        <w:t>danger;</w:t>
      </w:r>
      <w:proofErr w:type="gramEnd"/>
    </w:p>
    <w:p w:rsidR="000A5528" w:rsidRPr="000A5528" w:rsidRDefault="000A5528" w:rsidP="000A5528">
      <w:pPr>
        <w:widowControl/>
        <w:autoSpaceDE/>
        <w:adjustRightInd/>
        <w:jc w:val="both"/>
        <w:rPr>
          <w:rFonts w:ascii="Arial" w:hAnsi="Arial" w:cs="Arial"/>
          <w:sz w:val="22"/>
          <w:szCs w:val="17"/>
          <w:lang w:val="fr-FR"/>
        </w:rPr>
      </w:pPr>
    </w:p>
    <w:p w:rsidR="000A5528" w:rsidRPr="000A5528" w:rsidRDefault="000A5528" w:rsidP="000A5528">
      <w:pPr>
        <w:widowControl/>
        <w:autoSpaceDE/>
        <w:adjustRightInd/>
        <w:jc w:val="both"/>
        <w:rPr>
          <w:rFonts w:ascii="Arial" w:hAnsi="Arial" w:cs="Arial"/>
          <w:sz w:val="22"/>
          <w:szCs w:val="17"/>
          <w:lang w:val="fr-FR"/>
        </w:rPr>
      </w:pPr>
      <w:r w:rsidRPr="000A5528">
        <w:rPr>
          <w:rFonts w:ascii="Arial" w:hAnsi="Arial" w:cs="Arial"/>
          <w:i/>
          <w:sz w:val="22"/>
          <w:szCs w:val="17"/>
          <w:lang w:val="fr-FR"/>
        </w:rPr>
        <w:t>Rappelant aussi</w:t>
      </w:r>
      <w:r w:rsidRPr="000A5528">
        <w:rPr>
          <w:rFonts w:ascii="Arial" w:hAnsi="Arial" w:cs="Arial"/>
          <w:sz w:val="22"/>
          <w:szCs w:val="17"/>
          <w:lang w:val="fr-FR"/>
        </w:rPr>
        <w:t xml:space="preserve"> la nécessité de préserver la vie sauvage dans l’environnement marin comme stipulé dans la Convention pour la protection de l’environnement marin du nord-est de l’Atlantique (Convention OSPAR), ainsi que la Convention pour la coopération en matière de protection et de développement de l’environnement marin et côtier de la région de l’Afrique de l’Ouest et de l’Afrique centrale et les protocoles pertinents (Convention d’Abidjan) et la Convention sur la protection de l’environnement marin de la région de la mer Baltique (Convention d’Helsinki);</w:t>
      </w:r>
    </w:p>
    <w:p w:rsidR="000A5528" w:rsidRPr="000A5528" w:rsidRDefault="000A5528" w:rsidP="000A5528">
      <w:pPr>
        <w:widowControl/>
        <w:autoSpaceDE/>
        <w:adjustRightInd/>
        <w:jc w:val="both"/>
        <w:rPr>
          <w:rFonts w:ascii="Arial" w:hAnsi="Arial" w:cs="Arial"/>
          <w:i/>
          <w:sz w:val="22"/>
          <w:szCs w:val="17"/>
          <w:lang w:val="fr-FR"/>
        </w:rPr>
      </w:pPr>
    </w:p>
    <w:p w:rsidR="000A5528" w:rsidRPr="000A5528" w:rsidRDefault="000A5528" w:rsidP="000A5528">
      <w:pPr>
        <w:widowControl/>
        <w:autoSpaceDE/>
        <w:adjustRightInd/>
        <w:jc w:val="both"/>
        <w:rPr>
          <w:rFonts w:ascii="Arial" w:hAnsi="Arial" w:cs="Arial"/>
          <w:sz w:val="22"/>
          <w:szCs w:val="17"/>
          <w:lang w:val="fr-FR"/>
        </w:rPr>
      </w:pPr>
      <w:r w:rsidRPr="000A5528">
        <w:rPr>
          <w:rFonts w:ascii="Arial" w:hAnsi="Arial" w:cs="Arial"/>
          <w:i/>
          <w:sz w:val="22"/>
          <w:szCs w:val="17"/>
          <w:lang w:val="fr-FR"/>
        </w:rPr>
        <w:t>Rappelant aussi</w:t>
      </w:r>
      <w:r w:rsidRPr="000A5528">
        <w:rPr>
          <w:rFonts w:ascii="Arial" w:hAnsi="Arial" w:cs="Arial"/>
          <w:sz w:val="22"/>
          <w:szCs w:val="17"/>
          <w:lang w:val="fr-FR"/>
        </w:rPr>
        <w:t xml:space="preserve"> les dispositions pour la protection de l’environnement marin de la Convention des Nations Unies sur le droit de la mer (UNCLOS) et de nombreuses conventions adoptées sous l’égide de l’Organisation maritime internationale (OMI), de l’Organisation des Nations Unies pour l’alimentation et l’agriculture (FAO), du Programme des Nations Unies pour l’environnement (PNUE) et de divers accords maritimes </w:t>
      </w:r>
      <w:proofErr w:type="gramStart"/>
      <w:r w:rsidRPr="000A5528">
        <w:rPr>
          <w:rFonts w:ascii="Arial" w:hAnsi="Arial" w:cs="Arial"/>
          <w:sz w:val="22"/>
          <w:szCs w:val="17"/>
          <w:lang w:val="fr-FR"/>
        </w:rPr>
        <w:t>régionaux;</w:t>
      </w:r>
      <w:proofErr w:type="gramEnd"/>
    </w:p>
    <w:p w:rsidR="000A5528" w:rsidRPr="000A5528" w:rsidRDefault="000A5528" w:rsidP="000A5528">
      <w:pPr>
        <w:widowControl/>
        <w:autoSpaceDE/>
        <w:adjustRightInd/>
        <w:jc w:val="both"/>
        <w:rPr>
          <w:rFonts w:ascii="Arial" w:hAnsi="Arial" w:cs="Arial"/>
          <w:i/>
          <w:sz w:val="22"/>
          <w:szCs w:val="17"/>
          <w:lang w:val="fr-FR"/>
        </w:rPr>
      </w:pPr>
    </w:p>
    <w:p w:rsidR="000A5528" w:rsidRPr="000A5528" w:rsidRDefault="000A5528" w:rsidP="000A5528">
      <w:pPr>
        <w:widowControl/>
        <w:autoSpaceDE/>
        <w:adjustRightInd/>
        <w:jc w:val="both"/>
        <w:rPr>
          <w:rFonts w:ascii="Arial" w:hAnsi="Arial" w:cs="Arial"/>
          <w:sz w:val="22"/>
          <w:szCs w:val="17"/>
          <w:lang w:val="fr-FR"/>
        </w:rPr>
      </w:pPr>
      <w:r w:rsidRPr="000A5528">
        <w:rPr>
          <w:rFonts w:ascii="Arial" w:hAnsi="Arial" w:cs="Arial"/>
          <w:i/>
          <w:sz w:val="22"/>
          <w:szCs w:val="17"/>
          <w:lang w:val="fr-FR"/>
        </w:rPr>
        <w:t>Rappelant aussi</w:t>
      </w:r>
      <w:r w:rsidRPr="000A5528">
        <w:rPr>
          <w:rFonts w:ascii="Arial" w:hAnsi="Arial" w:cs="Arial"/>
          <w:sz w:val="22"/>
          <w:szCs w:val="17"/>
          <w:lang w:val="fr-FR"/>
        </w:rPr>
        <w:t xml:space="preserve"> les conventions aquatiques non-marines et terrestres applicables aux niveaux international, régional et national qui s’attaquent au problème </w:t>
      </w:r>
      <w:proofErr w:type="spellStart"/>
      <w:r w:rsidRPr="000A5528">
        <w:rPr>
          <w:rFonts w:ascii="Arial" w:hAnsi="Arial" w:cs="Arial"/>
          <w:sz w:val="22"/>
          <w:szCs w:val="17"/>
          <w:lang w:val="fr-FR"/>
        </w:rPr>
        <w:t>desmarées</w:t>
      </w:r>
      <w:proofErr w:type="spellEnd"/>
      <w:r w:rsidRPr="000A5528">
        <w:rPr>
          <w:rFonts w:ascii="Arial" w:hAnsi="Arial" w:cs="Arial"/>
          <w:sz w:val="22"/>
          <w:szCs w:val="17"/>
          <w:lang w:val="fr-FR"/>
        </w:rPr>
        <w:t xml:space="preserve"> </w:t>
      </w:r>
      <w:proofErr w:type="gramStart"/>
      <w:r w:rsidRPr="000A5528">
        <w:rPr>
          <w:rFonts w:ascii="Arial" w:hAnsi="Arial" w:cs="Arial"/>
          <w:sz w:val="22"/>
          <w:szCs w:val="17"/>
          <w:lang w:val="fr-FR"/>
        </w:rPr>
        <w:t>noires;</w:t>
      </w:r>
      <w:proofErr w:type="gramEnd"/>
    </w:p>
    <w:p w:rsidR="000A5528" w:rsidRPr="000A5528" w:rsidRDefault="000A5528" w:rsidP="000A5528">
      <w:pPr>
        <w:widowControl/>
        <w:autoSpaceDE/>
        <w:adjustRightInd/>
        <w:jc w:val="both"/>
        <w:rPr>
          <w:rFonts w:ascii="Arial" w:hAnsi="Arial" w:cs="Arial"/>
          <w:sz w:val="22"/>
          <w:szCs w:val="17"/>
          <w:lang w:val="fr-FR"/>
        </w:rPr>
      </w:pPr>
    </w:p>
    <w:p w:rsidR="000A5528" w:rsidRPr="000A5528" w:rsidRDefault="000A5528" w:rsidP="000A5528">
      <w:pPr>
        <w:widowControl/>
        <w:autoSpaceDE/>
        <w:adjustRightInd/>
        <w:jc w:val="both"/>
        <w:rPr>
          <w:rFonts w:ascii="Arial" w:hAnsi="Arial" w:cs="Arial"/>
          <w:sz w:val="22"/>
          <w:szCs w:val="17"/>
          <w:lang w:val="fr-FR"/>
        </w:rPr>
      </w:pPr>
      <w:r w:rsidRPr="000A5528">
        <w:rPr>
          <w:rFonts w:ascii="Arial" w:hAnsi="Arial" w:cs="Arial"/>
          <w:i/>
          <w:sz w:val="22"/>
          <w:szCs w:val="17"/>
          <w:lang w:val="fr-FR"/>
        </w:rPr>
        <w:t>Prenant note</w:t>
      </w:r>
      <w:r w:rsidRPr="000A5528">
        <w:rPr>
          <w:rFonts w:ascii="Arial" w:hAnsi="Arial" w:cs="Arial"/>
          <w:sz w:val="22"/>
          <w:szCs w:val="17"/>
          <w:lang w:val="fr-FR"/>
        </w:rPr>
        <w:t xml:space="preserve"> de l’Article VII de la Convention sur les espèces migratrices selon lequel la Conférence des Parties peut faire des recommandations aux Parties pour améliorer l’efficacité de la </w:t>
      </w:r>
      <w:proofErr w:type="gramStart"/>
      <w:r w:rsidRPr="000A5528">
        <w:rPr>
          <w:rFonts w:ascii="Arial" w:hAnsi="Arial" w:cs="Arial"/>
          <w:sz w:val="22"/>
          <w:szCs w:val="17"/>
          <w:lang w:val="fr-FR"/>
        </w:rPr>
        <w:t>convention;</w:t>
      </w:r>
      <w:proofErr w:type="gramEnd"/>
    </w:p>
    <w:p w:rsidR="000A5528" w:rsidRPr="000A5528" w:rsidRDefault="000A5528" w:rsidP="000A5528">
      <w:pPr>
        <w:widowControl/>
        <w:autoSpaceDE/>
        <w:adjustRightInd/>
        <w:jc w:val="both"/>
        <w:rPr>
          <w:rFonts w:ascii="Arial" w:hAnsi="Arial" w:cs="Arial"/>
          <w:sz w:val="22"/>
          <w:szCs w:val="17"/>
          <w:lang w:val="fr-FR"/>
        </w:rPr>
      </w:pPr>
    </w:p>
    <w:p w:rsidR="000A5528" w:rsidRPr="000A5528" w:rsidRDefault="000A5528" w:rsidP="000A5528">
      <w:pPr>
        <w:widowControl/>
        <w:autoSpaceDE/>
        <w:adjustRightInd/>
        <w:jc w:val="both"/>
        <w:rPr>
          <w:rFonts w:ascii="Arial" w:hAnsi="Arial" w:cs="Arial"/>
          <w:sz w:val="22"/>
          <w:szCs w:val="17"/>
          <w:lang w:val="fr-FR"/>
        </w:rPr>
      </w:pPr>
      <w:r w:rsidRPr="000A5528">
        <w:rPr>
          <w:rFonts w:ascii="Arial" w:hAnsi="Arial" w:cs="Arial"/>
          <w:i/>
          <w:sz w:val="22"/>
          <w:szCs w:val="17"/>
          <w:lang w:val="fr-FR"/>
        </w:rPr>
        <w:t>Considérant</w:t>
      </w:r>
      <w:r w:rsidRPr="000A5528">
        <w:rPr>
          <w:rFonts w:ascii="Arial" w:hAnsi="Arial" w:cs="Arial"/>
          <w:sz w:val="22"/>
          <w:szCs w:val="17"/>
          <w:lang w:val="fr-FR"/>
        </w:rPr>
        <w:t xml:space="preserve"> que</w:t>
      </w:r>
      <w:r w:rsidR="008708B3" w:rsidRPr="003A1BB3">
        <w:rPr>
          <w:lang w:val="fr-FR"/>
        </w:rPr>
        <w:t xml:space="preserve"> </w:t>
      </w:r>
      <w:r w:rsidR="008708B3" w:rsidRPr="008708B3">
        <w:rPr>
          <w:rFonts w:ascii="Arial" w:hAnsi="Arial" w:cs="Arial"/>
          <w:sz w:val="22"/>
          <w:szCs w:val="17"/>
          <w:lang w:val="fr-FR"/>
        </w:rPr>
        <w:t xml:space="preserve">L'Article III, paragraphe 4 (b), de la Convention exige </w:t>
      </w:r>
      <w:bookmarkStart w:id="0" w:name="_GoBack"/>
      <w:bookmarkEnd w:id="0"/>
      <w:r w:rsidR="008708B3" w:rsidRPr="008708B3">
        <w:rPr>
          <w:rFonts w:ascii="Arial" w:hAnsi="Arial" w:cs="Arial"/>
          <w:sz w:val="22"/>
          <w:szCs w:val="17"/>
          <w:lang w:val="fr-FR"/>
        </w:rPr>
        <w:t>des Parties qu'elles s'efforcent «</w:t>
      </w:r>
      <w:r w:rsidR="001000BB">
        <w:rPr>
          <w:rFonts w:ascii="Arial" w:hAnsi="Arial" w:cs="Arial"/>
          <w:sz w:val="22"/>
          <w:szCs w:val="17"/>
          <w:lang w:val="fr-FR"/>
        </w:rPr>
        <w:t xml:space="preserve"> </w:t>
      </w:r>
      <w:r w:rsidR="008708B3" w:rsidRPr="008708B3">
        <w:rPr>
          <w:rFonts w:ascii="Arial" w:hAnsi="Arial" w:cs="Arial"/>
          <w:sz w:val="22"/>
          <w:szCs w:val="17"/>
          <w:lang w:val="fr-FR"/>
        </w:rPr>
        <w:t xml:space="preserve">d'empêcher, de supprimer, de compenser ou de minimiser, le cas échéant, les effets négatifs d'activités ou d'obstacles entravant ou empêchant </w:t>
      </w:r>
      <w:r w:rsidR="001000BB">
        <w:rPr>
          <w:rFonts w:ascii="Arial" w:hAnsi="Arial" w:cs="Arial"/>
          <w:sz w:val="22"/>
          <w:szCs w:val="17"/>
          <w:lang w:val="fr-FR"/>
        </w:rPr>
        <w:t>gravement</w:t>
      </w:r>
      <w:r w:rsidR="008708B3" w:rsidRPr="008708B3">
        <w:rPr>
          <w:rFonts w:ascii="Arial" w:hAnsi="Arial" w:cs="Arial"/>
          <w:sz w:val="22"/>
          <w:szCs w:val="17"/>
          <w:lang w:val="fr-FR"/>
        </w:rPr>
        <w:t xml:space="preserve"> la migrat</w:t>
      </w:r>
      <w:r w:rsidR="008708B3">
        <w:rPr>
          <w:rFonts w:ascii="Arial" w:hAnsi="Arial" w:cs="Arial"/>
          <w:sz w:val="22"/>
          <w:szCs w:val="17"/>
          <w:lang w:val="fr-FR"/>
        </w:rPr>
        <w:t>ion de l'espèce</w:t>
      </w:r>
      <w:r w:rsidR="001000BB">
        <w:rPr>
          <w:rFonts w:ascii="Arial" w:hAnsi="Arial" w:cs="Arial"/>
          <w:sz w:val="22"/>
          <w:szCs w:val="17"/>
          <w:lang w:val="fr-FR"/>
        </w:rPr>
        <w:t xml:space="preserve"> </w:t>
      </w:r>
      <w:r w:rsidR="008708B3">
        <w:rPr>
          <w:rFonts w:ascii="Arial" w:hAnsi="Arial" w:cs="Arial"/>
          <w:sz w:val="22"/>
          <w:szCs w:val="17"/>
          <w:lang w:val="fr-FR"/>
        </w:rPr>
        <w:t>»</w:t>
      </w:r>
      <w:r w:rsidRPr="000A5528">
        <w:rPr>
          <w:rFonts w:ascii="Arial" w:hAnsi="Arial" w:cs="Arial"/>
          <w:sz w:val="22"/>
          <w:szCs w:val="17"/>
          <w:lang w:val="fr-FR"/>
        </w:rPr>
        <w:t>;</w:t>
      </w:r>
    </w:p>
    <w:p w:rsidR="000A5528" w:rsidRPr="000A5528" w:rsidRDefault="000A5528" w:rsidP="000A5528">
      <w:pPr>
        <w:widowControl/>
        <w:autoSpaceDE/>
        <w:adjustRightInd/>
        <w:jc w:val="both"/>
        <w:rPr>
          <w:rFonts w:ascii="Arial" w:hAnsi="Arial" w:cs="Arial"/>
          <w:sz w:val="22"/>
          <w:szCs w:val="17"/>
          <w:lang w:val="fr-FR"/>
        </w:rPr>
      </w:pPr>
    </w:p>
    <w:p w:rsidR="000A5528" w:rsidRPr="000A5528" w:rsidRDefault="000A5528" w:rsidP="000A5528">
      <w:pPr>
        <w:widowControl/>
        <w:autoSpaceDE/>
        <w:adjustRightInd/>
        <w:jc w:val="both"/>
        <w:rPr>
          <w:rFonts w:ascii="Arial" w:hAnsi="Arial" w:cs="Arial"/>
          <w:sz w:val="22"/>
          <w:szCs w:val="17"/>
          <w:lang w:val="fr-FR"/>
        </w:rPr>
      </w:pPr>
      <w:r w:rsidRPr="000A5528">
        <w:rPr>
          <w:rFonts w:ascii="Arial" w:hAnsi="Arial" w:cs="Arial"/>
          <w:i/>
          <w:sz w:val="22"/>
          <w:szCs w:val="17"/>
          <w:lang w:val="fr-FR"/>
        </w:rPr>
        <w:t>Reconnaissant</w:t>
      </w:r>
      <w:r w:rsidRPr="000A5528">
        <w:rPr>
          <w:rFonts w:ascii="Arial" w:hAnsi="Arial" w:cs="Arial"/>
          <w:sz w:val="22"/>
          <w:szCs w:val="17"/>
          <w:lang w:val="fr-FR"/>
        </w:rPr>
        <w:t xml:space="preserve"> que la Résolution 4.5 demande notamment au Conseil scientifique de recommander à la Conférence des Parties des solutions aux problèmes relatifs aux aspects scientifiques de l’application de la Convention en ce qui concerne notamment les habitats des espèces </w:t>
      </w:r>
      <w:proofErr w:type="gramStart"/>
      <w:r w:rsidRPr="000A5528">
        <w:rPr>
          <w:rFonts w:ascii="Arial" w:hAnsi="Arial" w:cs="Arial"/>
          <w:sz w:val="22"/>
          <w:szCs w:val="17"/>
          <w:lang w:val="fr-FR"/>
        </w:rPr>
        <w:t>migratrices;</w:t>
      </w:r>
      <w:proofErr w:type="gramEnd"/>
    </w:p>
    <w:p w:rsidR="000A5528" w:rsidRPr="000A5528" w:rsidRDefault="000A5528" w:rsidP="000A5528">
      <w:pPr>
        <w:widowControl/>
        <w:autoSpaceDE/>
        <w:adjustRightInd/>
        <w:jc w:val="both"/>
        <w:rPr>
          <w:rFonts w:ascii="Arial" w:hAnsi="Arial" w:cs="Arial"/>
          <w:sz w:val="22"/>
          <w:szCs w:val="17"/>
          <w:lang w:val="fr-FR"/>
        </w:rPr>
      </w:pPr>
    </w:p>
    <w:p w:rsidR="000A5528" w:rsidRPr="000A5528" w:rsidRDefault="000A5528" w:rsidP="000A5528">
      <w:pPr>
        <w:widowControl/>
        <w:autoSpaceDE/>
        <w:adjustRightInd/>
        <w:jc w:val="both"/>
        <w:rPr>
          <w:rFonts w:ascii="Arial" w:hAnsi="Arial" w:cs="Arial"/>
          <w:sz w:val="22"/>
          <w:szCs w:val="17"/>
          <w:lang w:val="fr-FR"/>
        </w:rPr>
      </w:pPr>
      <w:r w:rsidRPr="000A5528">
        <w:rPr>
          <w:rFonts w:ascii="Arial" w:hAnsi="Arial" w:cs="Arial"/>
          <w:i/>
          <w:sz w:val="22"/>
          <w:szCs w:val="17"/>
          <w:lang w:val="fr-FR"/>
        </w:rPr>
        <w:lastRenderedPageBreak/>
        <w:t>Notant</w:t>
      </w:r>
      <w:r w:rsidRPr="000A5528">
        <w:rPr>
          <w:rFonts w:ascii="Arial" w:hAnsi="Arial" w:cs="Arial"/>
          <w:sz w:val="22"/>
          <w:szCs w:val="17"/>
          <w:lang w:val="fr-FR"/>
        </w:rPr>
        <w:t xml:space="preserve"> que les déversements accidentels et autres déversements de pétrole brut et raffiné ainsi que les déchets qui en résultent représentent un danger important qui a des effets négatifs bien connus sur la nature et sur les différents composants de la </w:t>
      </w:r>
      <w:proofErr w:type="gramStart"/>
      <w:r w:rsidRPr="000A5528">
        <w:rPr>
          <w:rFonts w:ascii="Arial" w:hAnsi="Arial" w:cs="Arial"/>
          <w:sz w:val="22"/>
          <w:szCs w:val="17"/>
          <w:lang w:val="fr-FR"/>
        </w:rPr>
        <w:t>biodiversité;</w:t>
      </w:r>
      <w:proofErr w:type="gramEnd"/>
    </w:p>
    <w:p w:rsidR="000A5528" w:rsidRPr="000A5528" w:rsidRDefault="000A5528" w:rsidP="000A5528">
      <w:pPr>
        <w:widowControl/>
        <w:autoSpaceDE/>
        <w:adjustRightInd/>
        <w:jc w:val="both"/>
        <w:rPr>
          <w:rFonts w:ascii="Arial" w:hAnsi="Arial" w:cs="Arial"/>
          <w:sz w:val="22"/>
          <w:szCs w:val="17"/>
          <w:lang w:val="fr-FR"/>
        </w:rPr>
      </w:pPr>
    </w:p>
    <w:p w:rsidR="000A5528" w:rsidRPr="000A5528" w:rsidRDefault="000A5528" w:rsidP="000A5528">
      <w:pPr>
        <w:widowControl/>
        <w:autoSpaceDE/>
        <w:adjustRightInd/>
        <w:jc w:val="both"/>
        <w:rPr>
          <w:rFonts w:ascii="Arial" w:hAnsi="Arial" w:cs="Arial"/>
          <w:sz w:val="22"/>
          <w:szCs w:val="17"/>
          <w:lang w:val="fr-FR"/>
        </w:rPr>
      </w:pPr>
      <w:r w:rsidRPr="000A5528">
        <w:rPr>
          <w:rFonts w:ascii="Arial" w:hAnsi="Arial" w:cs="Arial"/>
          <w:i/>
          <w:sz w:val="22"/>
          <w:szCs w:val="17"/>
          <w:lang w:val="fr-FR"/>
        </w:rPr>
        <w:t>Préoccupée</w:t>
      </w:r>
      <w:r w:rsidRPr="000A5528">
        <w:rPr>
          <w:rFonts w:ascii="Arial" w:hAnsi="Arial" w:cs="Arial"/>
          <w:sz w:val="22"/>
          <w:szCs w:val="17"/>
          <w:lang w:val="fr-FR"/>
        </w:rPr>
        <w:t xml:space="preserve"> des conséquences négatives constantes de tels accidents et d’autres déversements à l’encontre des espèces migratrices appartenant à la faune sauvage, ainsi que de leurs sources de nourriture, résultant des effets synergiques de la toxicité létale et chronique, de l’altération de la thermorégulation, de la souillure et de la dégradation de </w:t>
      </w:r>
      <w:proofErr w:type="gramStart"/>
      <w:r w:rsidRPr="000A5528">
        <w:rPr>
          <w:rFonts w:ascii="Arial" w:hAnsi="Arial" w:cs="Arial"/>
          <w:sz w:val="22"/>
          <w:szCs w:val="17"/>
          <w:lang w:val="fr-FR"/>
        </w:rPr>
        <w:t>l’habitat;</w:t>
      </w:r>
      <w:proofErr w:type="gramEnd"/>
    </w:p>
    <w:p w:rsidR="000A5528" w:rsidRPr="000A5528" w:rsidRDefault="000A5528" w:rsidP="000A5528">
      <w:pPr>
        <w:widowControl/>
        <w:autoSpaceDE/>
        <w:adjustRightInd/>
        <w:jc w:val="both"/>
        <w:rPr>
          <w:rFonts w:ascii="Arial" w:hAnsi="Arial" w:cs="Arial"/>
          <w:sz w:val="22"/>
          <w:szCs w:val="17"/>
          <w:lang w:val="fr-FR"/>
        </w:rPr>
      </w:pPr>
    </w:p>
    <w:p w:rsidR="000A5528" w:rsidRPr="000A5528" w:rsidRDefault="000A5528" w:rsidP="000A5528">
      <w:pPr>
        <w:widowControl/>
        <w:autoSpaceDE/>
        <w:adjustRightInd/>
        <w:jc w:val="both"/>
        <w:rPr>
          <w:rFonts w:ascii="Arial" w:hAnsi="Arial" w:cs="Arial"/>
          <w:sz w:val="22"/>
          <w:szCs w:val="17"/>
          <w:lang w:val="fr-FR"/>
        </w:rPr>
      </w:pPr>
      <w:r w:rsidRPr="000A5528">
        <w:rPr>
          <w:rFonts w:ascii="Arial" w:hAnsi="Arial" w:cs="Arial"/>
          <w:i/>
          <w:sz w:val="22"/>
          <w:szCs w:val="17"/>
          <w:lang w:val="fr-FR"/>
        </w:rPr>
        <w:t>Consciente</w:t>
      </w:r>
      <w:r w:rsidRPr="000A5528">
        <w:rPr>
          <w:rFonts w:ascii="Arial" w:hAnsi="Arial" w:cs="Arial"/>
          <w:sz w:val="22"/>
          <w:szCs w:val="17"/>
          <w:lang w:val="fr-FR"/>
        </w:rPr>
        <w:t xml:space="preserve"> de la nécessité de surveiller et d’évaluer régulièrement les impacts réels de la pollution pétrolière par l’échange d’expériences internationales et de programmes de surveillance </w:t>
      </w:r>
      <w:proofErr w:type="gramStart"/>
      <w:r w:rsidRPr="000A5528">
        <w:rPr>
          <w:rFonts w:ascii="Arial" w:hAnsi="Arial" w:cs="Arial"/>
          <w:sz w:val="22"/>
          <w:szCs w:val="17"/>
          <w:lang w:val="fr-FR"/>
        </w:rPr>
        <w:t>existants;</w:t>
      </w:r>
      <w:proofErr w:type="gramEnd"/>
      <w:r w:rsidRPr="000A5528">
        <w:rPr>
          <w:rFonts w:ascii="Arial" w:hAnsi="Arial" w:cs="Arial"/>
          <w:sz w:val="22"/>
          <w:szCs w:val="17"/>
          <w:lang w:val="fr-FR"/>
        </w:rPr>
        <w:t xml:space="preserve"> et</w:t>
      </w:r>
    </w:p>
    <w:p w:rsidR="000A5528" w:rsidRPr="000A5528" w:rsidRDefault="000A5528" w:rsidP="000A5528">
      <w:pPr>
        <w:widowControl/>
        <w:autoSpaceDE/>
        <w:adjustRightInd/>
        <w:jc w:val="both"/>
        <w:rPr>
          <w:rFonts w:ascii="Arial" w:hAnsi="Arial" w:cs="Arial"/>
          <w:sz w:val="22"/>
          <w:szCs w:val="17"/>
          <w:lang w:val="fr-FR"/>
        </w:rPr>
      </w:pPr>
    </w:p>
    <w:p w:rsidR="000A5528" w:rsidRPr="000A5528" w:rsidRDefault="000A5528" w:rsidP="000A5528">
      <w:pPr>
        <w:widowControl/>
        <w:autoSpaceDE/>
        <w:autoSpaceDN/>
        <w:adjustRightInd/>
        <w:jc w:val="both"/>
        <w:rPr>
          <w:rFonts w:ascii="Arial" w:hAnsi="Arial" w:cs="Arial"/>
          <w:sz w:val="22"/>
          <w:szCs w:val="17"/>
          <w:lang w:val="fr-FR"/>
        </w:rPr>
      </w:pPr>
      <w:r w:rsidRPr="000A5528">
        <w:rPr>
          <w:rFonts w:ascii="Arial" w:hAnsi="Arial" w:cs="Arial"/>
          <w:i/>
          <w:sz w:val="22"/>
          <w:szCs w:val="17"/>
          <w:lang w:val="fr-FR"/>
        </w:rPr>
        <w:t>Notant</w:t>
      </w:r>
      <w:r w:rsidRPr="000A5528">
        <w:rPr>
          <w:rFonts w:ascii="Arial" w:hAnsi="Arial" w:cs="Arial"/>
          <w:sz w:val="22"/>
          <w:szCs w:val="17"/>
          <w:lang w:val="fr-FR"/>
        </w:rPr>
        <w:t xml:space="preserve"> le risque potentiel qu’un nombre significatif d’espèces migratrices appartenant à la faune sauvage puisse être tué chaque année dans les milieux aquatique et terrestre sans qu’on s’en aperçoive et soucieuse de minimiser les effets adverses sur ces environnements par des mesures destinées à prévenir les rejets accidentels et à contrôler les rejets intentionnels de pétrole brut et</w:t>
      </w:r>
      <w:r w:rsidRPr="000A5528">
        <w:rPr>
          <w:rFonts w:ascii="Arial" w:hAnsi="Arial" w:cs="Arial"/>
          <w:sz w:val="17"/>
          <w:szCs w:val="17"/>
          <w:lang w:val="fr-FR"/>
        </w:rPr>
        <w:t xml:space="preserve"> </w:t>
      </w:r>
      <w:r w:rsidRPr="000A5528">
        <w:rPr>
          <w:rFonts w:ascii="Arial" w:hAnsi="Arial" w:cs="Arial"/>
          <w:sz w:val="22"/>
          <w:szCs w:val="17"/>
          <w:lang w:val="fr-FR"/>
        </w:rPr>
        <w:t xml:space="preserve">raffiné et des déchets qui en </w:t>
      </w:r>
      <w:proofErr w:type="gramStart"/>
      <w:r w:rsidRPr="000A5528">
        <w:rPr>
          <w:rFonts w:ascii="Arial" w:hAnsi="Arial" w:cs="Arial"/>
          <w:sz w:val="22"/>
          <w:szCs w:val="17"/>
          <w:lang w:val="fr-FR"/>
        </w:rPr>
        <w:t>résultent;</w:t>
      </w:r>
      <w:proofErr w:type="gramEnd"/>
    </w:p>
    <w:p w:rsidR="000A5528" w:rsidRPr="000A5528" w:rsidRDefault="000A5528" w:rsidP="000A5528">
      <w:pPr>
        <w:widowControl/>
        <w:autoSpaceDE/>
        <w:autoSpaceDN/>
        <w:adjustRightInd/>
        <w:jc w:val="both"/>
        <w:rPr>
          <w:rFonts w:ascii="Arial" w:hAnsi="Arial" w:cs="Arial"/>
          <w:sz w:val="22"/>
          <w:szCs w:val="17"/>
          <w:lang w:val="fr-FR"/>
        </w:rPr>
      </w:pPr>
    </w:p>
    <w:p w:rsidR="000A5528" w:rsidRPr="000A5528" w:rsidRDefault="000A5528" w:rsidP="000A5528">
      <w:pPr>
        <w:widowControl/>
        <w:autoSpaceDE/>
        <w:autoSpaceDN/>
        <w:adjustRightInd/>
        <w:jc w:val="both"/>
        <w:rPr>
          <w:rFonts w:ascii="Arial" w:hAnsi="Arial" w:cs="Arial"/>
          <w:sz w:val="22"/>
          <w:szCs w:val="17"/>
          <w:lang w:val="fr-FR"/>
        </w:rPr>
      </w:pPr>
    </w:p>
    <w:p w:rsidR="000A5528" w:rsidRPr="000A5528" w:rsidRDefault="000A5528" w:rsidP="000A5528">
      <w:pPr>
        <w:jc w:val="center"/>
        <w:rPr>
          <w:rFonts w:ascii="Arial" w:hAnsi="Arial" w:cs="Arial"/>
          <w:i/>
          <w:sz w:val="22"/>
          <w:szCs w:val="22"/>
          <w:lang w:val="fr-FR"/>
        </w:rPr>
      </w:pPr>
      <w:r w:rsidRPr="000A5528">
        <w:rPr>
          <w:rFonts w:ascii="Arial" w:hAnsi="Arial" w:cs="Arial"/>
          <w:i/>
          <w:sz w:val="22"/>
          <w:szCs w:val="22"/>
          <w:lang w:val="fr-FR"/>
        </w:rPr>
        <w:t>La Conférence des Parties à la Convention sur la conservation des espèces migratrices appartenant à la faune sauvage</w:t>
      </w:r>
    </w:p>
    <w:p w:rsidR="000A5528" w:rsidRPr="000A5528" w:rsidRDefault="000A5528" w:rsidP="000A5528">
      <w:pPr>
        <w:jc w:val="center"/>
        <w:rPr>
          <w:rFonts w:ascii="Arial" w:hAnsi="Arial" w:cs="Arial"/>
          <w:sz w:val="22"/>
          <w:szCs w:val="22"/>
          <w:lang w:val="fr-FR"/>
        </w:rPr>
      </w:pPr>
    </w:p>
    <w:p w:rsidR="000A5528" w:rsidRPr="000A5528" w:rsidRDefault="000A5528" w:rsidP="000A5528">
      <w:pPr>
        <w:widowControl/>
        <w:autoSpaceDE/>
        <w:adjustRightInd/>
        <w:ind w:left="360" w:hanging="360"/>
        <w:jc w:val="both"/>
        <w:rPr>
          <w:rFonts w:ascii="Arial" w:hAnsi="Arial" w:cs="Arial"/>
          <w:sz w:val="22"/>
          <w:szCs w:val="17"/>
        </w:rPr>
      </w:pPr>
      <w:r w:rsidRPr="000A5528">
        <w:rPr>
          <w:rFonts w:ascii="Arial" w:hAnsi="Arial" w:cs="Arial"/>
          <w:sz w:val="22"/>
          <w:szCs w:val="17"/>
        </w:rPr>
        <w:t xml:space="preserve">1. </w:t>
      </w:r>
      <w:r w:rsidRPr="000A5528">
        <w:rPr>
          <w:rFonts w:ascii="Arial" w:hAnsi="Arial" w:cs="Arial"/>
          <w:sz w:val="22"/>
          <w:szCs w:val="17"/>
        </w:rPr>
        <w:tab/>
      </w:r>
      <w:proofErr w:type="spellStart"/>
      <w:r w:rsidRPr="000A5528">
        <w:rPr>
          <w:rFonts w:ascii="Arial" w:hAnsi="Arial" w:cs="Arial"/>
          <w:i/>
          <w:sz w:val="22"/>
          <w:szCs w:val="17"/>
        </w:rPr>
        <w:t>Demande</w:t>
      </w:r>
      <w:proofErr w:type="spellEnd"/>
      <w:r w:rsidRPr="000A5528">
        <w:rPr>
          <w:rFonts w:ascii="Arial" w:hAnsi="Arial" w:cs="Arial"/>
          <w:sz w:val="22"/>
          <w:szCs w:val="17"/>
        </w:rPr>
        <w:t xml:space="preserve"> aux Parties:</w:t>
      </w:r>
    </w:p>
    <w:p w:rsidR="000A5528" w:rsidRPr="000A5528" w:rsidRDefault="000A5528" w:rsidP="000A5528">
      <w:pPr>
        <w:widowControl/>
        <w:autoSpaceDE/>
        <w:adjustRightInd/>
        <w:jc w:val="both"/>
        <w:rPr>
          <w:rFonts w:ascii="Arial" w:hAnsi="Arial" w:cs="Arial"/>
          <w:sz w:val="22"/>
          <w:szCs w:val="17"/>
        </w:rPr>
      </w:pPr>
    </w:p>
    <w:p w:rsidR="000A5528" w:rsidRPr="000A5528" w:rsidRDefault="000A5528" w:rsidP="000A5528">
      <w:pPr>
        <w:widowControl/>
        <w:autoSpaceDE/>
        <w:adjustRightInd/>
        <w:ind w:left="1440" w:hanging="720"/>
        <w:jc w:val="both"/>
        <w:rPr>
          <w:rFonts w:ascii="Arial" w:hAnsi="Arial" w:cs="Arial"/>
          <w:sz w:val="22"/>
          <w:szCs w:val="17"/>
          <w:lang w:val="fr-FR"/>
        </w:rPr>
      </w:pPr>
      <w:r w:rsidRPr="000A5528">
        <w:rPr>
          <w:rFonts w:ascii="Arial" w:hAnsi="Arial" w:cs="Arial"/>
          <w:sz w:val="22"/>
          <w:szCs w:val="17"/>
          <w:lang w:val="fr-FR"/>
        </w:rPr>
        <w:t xml:space="preserve">a) </w:t>
      </w:r>
      <w:r w:rsidRPr="000A5528">
        <w:rPr>
          <w:rFonts w:ascii="Arial" w:hAnsi="Arial" w:cs="Arial"/>
          <w:sz w:val="22"/>
          <w:szCs w:val="17"/>
          <w:lang w:val="fr-FR"/>
        </w:rPr>
        <w:tab/>
        <w:t xml:space="preserve">d’appliquer, s’il y a lieu et s’il se peut, un processus de surveillance afin d’évaluer les impacts écologiques cumulatifs d’une pollution pétrolière sur les espèces </w:t>
      </w:r>
      <w:proofErr w:type="gramStart"/>
      <w:r w:rsidRPr="000A5528">
        <w:rPr>
          <w:rFonts w:ascii="Arial" w:hAnsi="Arial" w:cs="Arial"/>
          <w:sz w:val="22"/>
          <w:szCs w:val="17"/>
          <w:lang w:val="fr-FR"/>
        </w:rPr>
        <w:t>migratrices;</w:t>
      </w:r>
      <w:proofErr w:type="gramEnd"/>
    </w:p>
    <w:p w:rsidR="000A5528" w:rsidRPr="000A5528" w:rsidRDefault="000A5528" w:rsidP="000A5528">
      <w:pPr>
        <w:widowControl/>
        <w:autoSpaceDE/>
        <w:adjustRightInd/>
        <w:ind w:left="1440" w:hanging="720"/>
        <w:jc w:val="both"/>
        <w:rPr>
          <w:rFonts w:ascii="Arial" w:hAnsi="Arial" w:cs="Arial"/>
          <w:sz w:val="22"/>
          <w:szCs w:val="17"/>
          <w:lang w:val="fr-FR"/>
        </w:rPr>
      </w:pPr>
    </w:p>
    <w:p w:rsidR="000A5528" w:rsidRPr="000A5528" w:rsidRDefault="000A5528" w:rsidP="000A5528">
      <w:pPr>
        <w:widowControl/>
        <w:autoSpaceDE/>
        <w:adjustRightInd/>
        <w:ind w:left="1440" w:hanging="720"/>
        <w:jc w:val="both"/>
        <w:rPr>
          <w:rFonts w:ascii="Arial" w:hAnsi="Arial" w:cs="Arial"/>
          <w:sz w:val="22"/>
          <w:szCs w:val="17"/>
          <w:lang w:val="fr-FR"/>
        </w:rPr>
      </w:pPr>
      <w:r w:rsidRPr="000A5528">
        <w:rPr>
          <w:rFonts w:ascii="Arial" w:hAnsi="Arial" w:cs="Arial"/>
          <w:sz w:val="22"/>
          <w:szCs w:val="17"/>
          <w:lang w:val="fr-FR"/>
        </w:rPr>
        <w:t xml:space="preserve">b) </w:t>
      </w:r>
      <w:r w:rsidRPr="000A5528">
        <w:rPr>
          <w:rFonts w:ascii="Arial" w:hAnsi="Arial" w:cs="Arial"/>
          <w:sz w:val="22"/>
          <w:szCs w:val="17"/>
          <w:lang w:val="fr-FR"/>
        </w:rPr>
        <w:tab/>
        <w:t xml:space="preserve">d’élaborer, d’appliquer et, le cas échéant, de renforcer une législation générale sur la protection de </w:t>
      </w:r>
      <w:proofErr w:type="gramStart"/>
      <w:r w:rsidRPr="000A5528">
        <w:rPr>
          <w:rFonts w:ascii="Arial" w:hAnsi="Arial" w:cs="Arial"/>
          <w:sz w:val="22"/>
          <w:szCs w:val="17"/>
          <w:lang w:val="fr-FR"/>
        </w:rPr>
        <w:t>l’environnement;</w:t>
      </w:r>
      <w:proofErr w:type="gramEnd"/>
    </w:p>
    <w:p w:rsidR="000A5528" w:rsidRPr="000A5528" w:rsidRDefault="000A5528" w:rsidP="000A5528">
      <w:pPr>
        <w:widowControl/>
        <w:autoSpaceDE/>
        <w:adjustRightInd/>
        <w:ind w:left="1440" w:hanging="720"/>
        <w:jc w:val="both"/>
        <w:rPr>
          <w:rFonts w:ascii="Arial" w:hAnsi="Arial" w:cs="Arial"/>
          <w:sz w:val="22"/>
          <w:szCs w:val="17"/>
          <w:lang w:val="fr-FR"/>
        </w:rPr>
      </w:pPr>
    </w:p>
    <w:p w:rsidR="000A5528" w:rsidRPr="000A5528" w:rsidRDefault="000A5528" w:rsidP="000A5528">
      <w:pPr>
        <w:widowControl/>
        <w:autoSpaceDE/>
        <w:adjustRightInd/>
        <w:ind w:left="1440" w:hanging="720"/>
        <w:jc w:val="both"/>
        <w:rPr>
          <w:rFonts w:ascii="Arial" w:hAnsi="Arial" w:cs="Arial"/>
          <w:sz w:val="22"/>
          <w:szCs w:val="17"/>
          <w:lang w:val="fr-FR"/>
        </w:rPr>
      </w:pPr>
      <w:r w:rsidRPr="000A5528">
        <w:rPr>
          <w:rFonts w:ascii="Arial" w:hAnsi="Arial" w:cs="Arial"/>
          <w:sz w:val="22"/>
          <w:szCs w:val="17"/>
          <w:lang w:val="fr-FR"/>
        </w:rPr>
        <w:t xml:space="preserve">c) </w:t>
      </w:r>
      <w:r w:rsidRPr="000A5528">
        <w:rPr>
          <w:rFonts w:ascii="Arial" w:hAnsi="Arial" w:cs="Arial"/>
          <w:sz w:val="22"/>
          <w:szCs w:val="17"/>
          <w:lang w:val="fr-FR"/>
        </w:rPr>
        <w:tab/>
        <w:t xml:space="preserve">d’élaborer, d’appliquer et, le cas échéant, de renforcer les mesures pour mettre en vigueur une telle législation en mer, dans les cours d’eau et sur </w:t>
      </w:r>
      <w:proofErr w:type="gramStart"/>
      <w:r w:rsidRPr="000A5528">
        <w:rPr>
          <w:rFonts w:ascii="Arial" w:hAnsi="Arial" w:cs="Arial"/>
          <w:sz w:val="22"/>
          <w:szCs w:val="17"/>
          <w:lang w:val="fr-FR"/>
        </w:rPr>
        <w:t>terre;</w:t>
      </w:r>
      <w:proofErr w:type="gramEnd"/>
    </w:p>
    <w:p w:rsidR="000A5528" w:rsidRPr="000A5528" w:rsidRDefault="000A5528" w:rsidP="000A5528">
      <w:pPr>
        <w:widowControl/>
        <w:autoSpaceDE/>
        <w:adjustRightInd/>
        <w:ind w:left="1440" w:hanging="720"/>
        <w:jc w:val="both"/>
        <w:rPr>
          <w:rFonts w:ascii="Arial" w:hAnsi="Arial" w:cs="Arial"/>
          <w:sz w:val="22"/>
          <w:szCs w:val="17"/>
          <w:lang w:val="fr-FR"/>
        </w:rPr>
      </w:pPr>
    </w:p>
    <w:p w:rsidR="000A5528" w:rsidRPr="000A5528" w:rsidRDefault="000A5528" w:rsidP="000A5528">
      <w:pPr>
        <w:widowControl/>
        <w:autoSpaceDE/>
        <w:adjustRightInd/>
        <w:ind w:left="1440" w:hanging="720"/>
        <w:jc w:val="both"/>
        <w:rPr>
          <w:rFonts w:ascii="Arial" w:hAnsi="Arial" w:cs="Arial"/>
          <w:sz w:val="22"/>
          <w:szCs w:val="17"/>
          <w:lang w:val="fr-FR"/>
        </w:rPr>
      </w:pPr>
      <w:r w:rsidRPr="000A5528">
        <w:rPr>
          <w:rFonts w:ascii="Arial" w:hAnsi="Arial" w:cs="Arial"/>
          <w:sz w:val="22"/>
          <w:szCs w:val="17"/>
          <w:lang w:val="fr-FR"/>
        </w:rPr>
        <w:t xml:space="preserve">d) </w:t>
      </w:r>
      <w:r w:rsidRPr="000A5528">
        <w:rPr>
          <w:rFonts w:ascii="Arial" w:hAnsi="Arial" w:cs="Arial"/>
          <w:sz w:val="22"/>
          <w:szCs w:val="17"/>
          <w:lang w:val="fr-FR"/>
        </w:rPr>
        <w:tab/>
        <w:t xml:space="preserve">d’élaborer, d’appliquer et de renforcer, si nécessaire, les préparatifs pour faire face aux marées noires, c’est-à-dire les équipements et le personnel </w:t>
      </w:r>
      <w:proofErr w:type="gramStart"/>
      <w:r w:rsidRPr="000A5528">
        <w:rPr>
          <w:rFonts w:ascii="Arial" w:hAnsi="Arial" w:cs="Arial"/>
          <w:sz w:val="22"/>
          <w:szCs w:val="17"/>
          <w:lang w:val="fr-FR"/>
        </w:rPr>
        <w:t>formé;</w:t>
      </w:r>
      <w:proofErr w:type="gramEnd"/>
    </w:p>
    <w:p w:rsidR="000A5528" w:rsidRPr="000A5528" w:rsidRDefault="000A5528" w:rsidP="000A5528">
      <w:pPr>
        <w:widowControl/>
        <w:autoSpaceDE/>
        <w:adjustRightInd/>
        <w:ind w:left="1440" w:hanging="720"/>
        <w:jc w:val="both"/>
        <w:rPr>
          <w:rFonts w:ascii="Arial" w:hAnsi="Arial" w:cs="Arial"/>
          <w:sz w:val="22"/>
          <w:szCs w:val="17"/>
          <w:lang w:val="fr-FR"/>
        </w:rPr>
      </w:pPr>
    </w:p>
    <w:p w:rsidR="000A5528" w:rsidRPr="000A5528" w:rsidRDefault="000A5528" w:rsidP="000A5528">
      <w:pPr>
        <w:widowControl/>
        <w:autoSpaceDE/>
        <w:adjustRightInd/>
        <w:ind w:left="1440" w:hanging="720"/>
        <w:jc w:val="both"/>
        <w:rPr>
          <w:rFonts w:ascii="Arial" w:hAnsi="Arial" w:cs="Arial"/>
          <w:sz w:val="22"/>
          <w:szCs w:val="17"/>
          <w:lang w:val="fr-FR"/>
        </w:rPr>
      </w:pPr>
      <w:r w:rsidRPr="000A5528">
        <w:rPr>
          <w:rFonts w:ascii="Arial" w:hAnsi="Arial" w:cs="Arial"/>
          <w:sz w:val="22"/>
          <w:szCs w:val="17"/>
          <w:lang w:val="fr-FR"/>
        </w:rPr>
        <w:t xml:space="preserve">e) </w:t>
      </w:r>
      <w:r w:rsidRPr="000A5528">
        <w:rPr>
          <w:rFonts w:ascii="Arial" w:hAnsi="Arial" w:cs="Arial"/>
          <w:sz w:val="22"/>
          <w:szCs w:val="17"/>
          <w:lang w:val="fr-FR"/>
        </w:rPr>
        <w:tab/>
        <w:t xml:space="preserve">d’appliquer, s’il y a lieu, les directives existantes et d’en affiner d’autres pour le traitement de la faune sauvage souillée afin de régénérer les espèces </w:t>
      </w:r>
      <w:proofErr w:type="gramStart"/>
      <w:r w:rsidRPr="000A5528">
        <w:rPr>
          <w:rFonts w:ascii="Arial" w:hAnsi="Arial" w:cs="Arial"/>
          <w:sz w:val="22"/>
          <w:szCs w:val="17"/>
          <w:lang w:val="fr-FR"/>
        </w:rPr>
        <w:t>touchées;</w:t>
      </w:r>
      <w:proofErr w:type="gramEnd"/>
    </w:p>
    <w:p w:rsidR="000A5528" w:rsidRPr="000A5528" w:rsidRDefault="000A5528" w:rsidP="000A5528">
      <w:pPr>
        <w:widowControl/>
        <w:autoSpaceDE/>
        <w:adjustRightInd/>
        <w:ind w:left="1440" w:hanging="720"/>
        <w:jc w:val="both"/>
        <w:rPr>
          <w:rFonts w:ascii="Arial" w:hAnsi="Arial" w:cs="Arial"/>
          <w:sz w:val="22"/>
          <w:szCs w:val="17"/>
          <w:lang w:val="fr-FR"/>
        </w:rPr>
      </w:pPr>
    </w:p>
    <w:p w:rsidR="000A5528" w:rsidRPr="000A5528" w:rsidRDefault="000A5528" w:rsidP="000A5528">
      <w:pPr>
        <w:widowControl/>
        <w:autoSpaceDE/>
        <w:adjustRightInd/>
        <w:ind w:left="1440" w:hanging="720"/>
        <w:jc w:val="both"/>
        <w:rPr>
          <w:rFonts w:ascii="Arial" w:hAnsi="Arial" w:cs="Arial"/>
          <w:sz w:val="22"/>
          <w:szCs w:val="17"/>
          <w:lang w:val="fr-FR"/>
        </w:rPr>
      </w:pPr>
      <w:r w:rsidRPr="000A5528">
        <w:rPr>
          <w:rFonts w:ascii="Arial" w:hAnsi="Arial" w:cs="Arial"/>
          <w:sz w:val="22"/>
          <w:szCs w:val="17"/>
          <w:lang w:val="fr-FR"/>
        </w:rPr>
        <w:t xml:space="preserve">f) </w:t>
      </w:r>
      <w:r w:rsidRPr="000A5528">
        <w:rPr>
          <w:rFonts w:ascii="Arial" w:hAnsi="Arial" w:cs="Arial"/>
          <w:sz w:val="22"/>
          <w:szCs w:val="17"/>
          <w:lang w:val="fr-FR"/>
        </w:rPr>
        <w:tab/>
        <w:t xml:space="preserve">de rechercher des partenariats judicieux avec le secteur industriel pour lutter contre les marées noires en appliquant rigoureusement le « principe du pollueur payeur </w:t>
      </w:r>
      <w:proofErr w:type="gramStart"/>
      <w:r w:rsidRPr="000A5528">
        <w:rPr>
          <w:rFonts w:ascii="Arial" w:hAnsi="Arial" w:cs="Arial"/>
          <w:sz w:val="22"/>
          <w:szCs w:val="17"/>
          <w:lang w:val="fr-FR"/>
        </w:rPr>
        <w:t>»;</w:t>
      </w:r>
      <w:proofErr w:type="gramEnd"/>
      <w:r w:rsidRPr="000A5528">
        <w:rPr>
          <w:rFonts w:ascii="Arial" w:hAnsi="Arial" w:cs="Arial"/>
          <w:sz w:val="22"/>
          <w:szCs w:val="17"/>
          <w:lang w:val="fr-FR"/>
        </w:rPr>
        <w:t xml:space="preserve"> et</w:t>
      </w:r>
    </w:p>
    <w:p w:rsidR="000A5528" w:rsidRPr="000A5528" w:rsidRDefault="000A5528" w:rsidP="000A5528">
      <w:pPr>
        <w:widowControl/>
        <w:autoSpaceDE/>
        <w:adjustRightInd/>
        <w:ind w:left="1440" w:hanging="720"/>
        <w:jc w:val="both"/>
        <w:rPr>
          <w:rFonts w:ascii="Arial" w:hAnsi="Arial" w:cs="Arial"/>
          <w:sz w:val="22"/>
          <w:szCs w:val="17"/>
          <w:lang w:val="fr-FR"/>
        </w:rPr>
      </w:pPr>
    </w:p>
    <w:p w:rsidR="000A5528" w:rsidRPr="000A5528" w:rsidRDefault="000A5528" w:rsidP="000A5528">
      <w:pPr>
        <w:widowControl/>
        <w:autoSpaceDE/>
        <w:adjustRightInd/>
        <w:ind w:left="1440" w:hanging="720"/>
        <w:jc w:val="both"/>
        <w:rPr>
          <w:rFonts w:ascii="Arial" w:hAnsi="Arial" w:cs="Arial"/>
          <w:sz w:val="22"/>
          <w:szCs w:val="17"/>
          <w:u w:val="single"/>
          <w:lang w:val="fr-FR"/>
        </w:rPr>
      </w:pPr>
      <w:r w:rsidRPr="000A5528">
        <w:rPr>
          <w:rFonts w:ascii="Arial" w:hAnsi="Arial" w:cs="Arial"/>
          <w:sz w:val="22"/>
          <w:szCs w:val="17"/>
          <w:lang w:val="fr-FR"/>
        </w:rPr>
        <w:t xml:space="preserve">g) </w:t>
      </w:r>
      <w:r w:rsidRPr="000A5528">
        <w:rPr>
          <w:rFonts w:ascii="Arial" w:hAnsi="Arial" w:cs="Arial"/>
          <w:sz w:val="22"/>
          <w:szCs w:val="17"/>
          <w:lang w:val="fr-FR"/>
        </w:rPr>
        <w:tab/>
        <w:t xml:space="preserve">de tenir compte pleinement du principe de précaution dans le lieu d’implantation d’installations pétrolières et le déplacement des réserves de pétrole par rapport aux habitats des espèces </w:t>
      </w:r>
      <w:proofErr w:type="gramStart"/>
      <w:r w:rsidRPr="000A5528">
        <w:rPr>
          <w:rFonts w:ascii="Arial" w:hAnsi="Arial" w:cs="Arial"/>
          <w:sz w:val="22"/>
          <w:szCs w:val="17"/>
          <w:lang w:val="fr-FR"/>
        </w:rPr>
        <w:t>migratrices;</w:t>
      </w:r>
      <w:proofErr w:type="gramEnd"/>
      <w:r w:rsidRPr="000A5528">
        <w:rPr>
          <w:rFonts w:ascii="Arial" w:hAnsi="Arial" w:cs="Arial"/>
          <w:sz w:val="22"/>
          <w:szCs w:val="17"/>
          <w:lang w:val="fr-FR"/>
        </w:rPr>
        <w:t xml:space="preserve"> et</w:t>
      </w:r>
    </w:p>
    <w:p w:rsidR="000A5528" w:rsidRPr="000A5528" w:rsidRDefault="000A5528" w:rsidP="000A5528">
      <w:pPr>
        <w:widowControl/>
        <w:autoSpaceDE/>
        <w:adjustRightInd/>
        <w:jc w:val="both"/>
        <w:rPr>
          <w:rFonts w:ascii="Arial" w:hAnsi="Arial" w:cs="Arial"/>
          <w:sz w:val="22"/>
          <w:szCs w:val="17"/>
          <w:lang w:val="fr-FR"/>
        </w:rPr>
      </w:pPr>
    </w:p>
    <w:p w:rsidR="000A5528" w:rsidRPr="000A5528" w:rsidRDefault="000A5528" w:rsidP="000A5528">
      <w:pPr>
        <w:widowControl/>
        <w:autoSpaceDE/>
        <w:adjustRightInd/>
        <w:ind w:left="360" w:hanging="360"/>
        <w:jc w:val="both"/>
        <w:rPr>
          <w:rFonts w:ascii="Arial" w:hAnsi="Arial" w:cs="Arial"/>
          <w:sz w:val="22"/>
          <w:szCs w:val="17"/>
          <w:lang w:val="fr-FR"/>
        </w:rPr>
      </w:pPr>
      <w:r w:rsidRPr="000A5528">
        <w:rPr>
          <w:rFonts w:ascii="Arial" w:hAnsi="Arial" w:cs="Arial"/>
          <w:sz w:val="22"/>
          <w:szCs w:val="17"/>
          <w:lang w:val="fr-FR"/>
        </w:rPr>
        <w:t xml:space="preserve">2. </w:t>
      </w:r>
      <w:r w:rsidRPr="000A5528">
        <w:rPr>
          <w:rFonts w:ascii="Arial" w:hAnsi="Arial" w:cs="Arial"/>
          <w:sz w:val="22"/>
          <w:szCs w:val="17"/>
          <w:lang w:val="fr-FR"/>
        </w:rPr>
        <w:tab/>
      </w:r>
      <w:r w:rsidRPr="000A5528">
        <w:rPr>
          <w:rFonts w:ascii="Arial" w:hAnsi="Arial" w:cs="Arial"/>
          <w:i/>
          <w:sz w:val="22"/>
          <w:szCs w:val="17"/>
          <w:lang w:val="fr-FR"/>
        </w:rPr>
        <w:t>Invite</w:t>
      </w:r>
      <w:r w:rsidRPr="000A5528">
        <w:rPr>
          <w:rFonts w:ascii="Arial" w:hAnsi="Arial" w:cs="Arial"/>
          <w:sz w:val="22"/>
          <w:szCs w:val="17"/>
          <w:lang w:val="fr-FR"/>
        </w:rPr>
        <w:t xml:space="preserve"> toutes les organisations et tous les organes internationaux, régionaux et nationaux pertinents à coopérer avec la CMS pour prévenir la pollution pétrolière et pour minimiser les impacts négatifs sur les espèces migratrices des déversements de pétrole brut et raffiné dans l’environnement.</w:t>
      </w:r>
    </w:p>
    <w:p w:rsidR="003F6700" w:rsidRPr="003F6700" w:rsidRDefault="003F6700" w:rsidP="000A5528">
      <w:pPr>
        <w:jc w:val="center"/>
        <w:rPr>
          <w:rFonts w:ascii="Arial" w:hAnsi="Arial" w:cs="Arial"/>
          <w:sz w:val="22"/>
          <w:szCs w:val="22"/>
          <w:lang w:val="fr-FR"/>
        </w:rPr>
      </w:pPr>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8527B5">
      <w:rPr>
        <w:rFonts w:asciiTheme="minorBidi" w:hAnsiTheme="minorBidi" w:cstheme="minorBidi"/>
        <w:noProof/>
        <w:sz w:val="18"/>
        <w:szCs w:val="18"/>
      </w:rPr>
      <w:t>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 w:id="1">
    <w:p w:rsidR="008527B5" w:rsidRDefault="008527B5" w:rsidP="008527B5">
      <w:pPr>
        <w:pStyle w:val="p1"/>
        <w:rPr>
          <w:sz w:val="22"/>
          <w:szCs w:val="15"/>
          <w:lang w:val="fr-FR"/>
        </w:rPr>
      </w:pPr>
      <w:r w:rsidRPr="008527B5">
        <w:rPr>
          <w:rStyle w:val="FootnoteReference"/>
          <w:sz w:val="18"/>
          <w:lang w:val="fr-FR"/>
        </w:rPr>
        <w:t>*</w:t>
      </w:r>
      <w:r w:rsidRPr="008527B5">
        <w:rPr>
          <w:sz w:val="18"/>
          <w:lang w:val="fr-FR"/>
        </w:rPr>
        <w:t xml:space="preserve"> </w:t>
      </w:r>
      <w:r w:rsidRPr="008527B5">
        <w:rPr>
          <w:sz w:val="18"/>
          <w:szCs w:val="15"/>
          <w:lang w:val="fr-FR"/>
        </w:rPr>
        <w:t> Le projet original de cette résolution, examiné par la Conférence des Parties, a été référencé 7.11.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3"/>
  </w:num>
  <w:num w:numId="3">
    <w:abstractNumId w:val="11"/>
  </w:num>
  <w:num w:numId="4">
    <w:abstractNumId w:val="23"/>
  </w:num>
  <w:num w:numId="5">
    <w:abstractNumId w:val="12"/>
  </w:num>
  <w:num w:numId="6">
    <w:abstractNumId w:val="35"/>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4"/>
  </w:num>
  <w:num w:numId="9">
    <w:abstractNumId w:val="7"/>
  </w:num>
  <w:num w:numId="10">
    <w:abstractNumId w:val="22"/>
  </w:num>
  <w:num w:numId="11">
    <w:abstractNumId w:val="39"/>
  </w:num>
  <w:num w:numId="12">
    <w:abstractNumId w:val="3"/>
  </w:num>
  <w:num w:numId="13">
    <w:abstractNumId w:val="19"/>
  </w:num>
  <w:num w:numId="14">
    <w:abstractNumId w:val="37"/>
  </w:num>
  <w:num w:numId="15">
    <w:abstractNumId w:val="2"/>
  </w:num>
  <w:num w:numId="16">
    <w:abstractNumId w:val="10"/>
  </w:num>
  <w:num w:numId="17">
    <w:abstractNumId w:val="40"/>
  </w:num>
  <w:num w:numId="18">
    <w:abstractNumId w:val="21"/>
  </w:num>
  <w:num w:numId="19">
    <w:abstractNumId w:val="38"/>
  </w:num>
  <w:num w:numId="20">
    <w:abstractNumId w:val="44"/>
  </w:num>
  <w:num w:numId="21">
    <w:abstractNumId w:val="4"/>
  </w:num>
  <w:num w:numId="22">
    <w:abstractNumId w:val="17"/>
  </w:num>
  <w:num w:numId="23">
    <w:abstractNumId w:val="26"/>
  </w:num>
  <w:num w:numId="24">
    <w:abstractNumId w:val="16"/>
  </w:num>
  <w:num w:numId="25">
    <w:abstractNumId w:val="31"/>
  </w:num>
  <w:num w:numId="26">
    <w:abstractNumId w:val="0"/>
  </w:num>
  <w:num w:numId="27">
    <w:abstractNumId w:val="41"/>
  </w:num>
  <w:num w:numId="28">
    <w:abstractNumId w:val="6"/>
  </w:num>
  <w:num w:numId="29">
    <w:abstractNumId w:val="20"/>
  </w:num>
  <w:num w:numId="30">
    <w:abstractNumId w:val="13"/>
  </w:num>
  <w:num w:numId="31">
    <w:abstractNumId w:val="29"/>
  </w:num>
  <w:num w:numId="32">
    <w:abstractNumId w:val="28"/>
  </w:num>
  <w:num w:numId="33">
    <w:abstractNumId w:val="5"/>
  </w:num>
  <w:num w:numId="34">
    <w:abstractNumId w:val="18"/>
  </w:num>
  <w:num w:numId="35">
    <w:abstractNumId w:val="15"/>
  </w:num>
  <w:num w:numId="36">
    <w:abstractNumId w:val="32"/>
  </w:num>
  <w:num w:numId="37">
    <w:abstractNumId w:val="36"/>
  </w:num>
  <w:num w:numId="38">
    <w:abstractNumId w:val="9"/>
  </w:num>
  <w:num w:numId="39">
    <w:abstractNumId w:val="30"/>
  </w:num>
  <w:num w:numId="40">
    <w:abstractNumId w:val="42"/>
  </w:num>
  <w:num w:numId="41">
    <w:abstractNumId w:val="24"/>
  </w:num>
  <w:num w:numId="42">
    <w:abstractNumId w:val="25"/>
  </w:num>
  <w:num w:numId="43">
    <w:abstractNumId w:val="33"/>
  </w:num>
  <w:num w:numId="44">
    <w:abstractNumId w:val="8"/>
  </w:num>
  <w:num w:numId="45">
    <w:abstractNumId w:val="2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A5528"/>
    <w:rsid w:val="000B6220"/>
    <w:rsid w:val="000C21B1"/>
    <w:rsid w:val="000C3C87"/>
    <w:rsid w:val="000C7460"/>
    <w:rsid w:val="000E01C1"/>
    <w:rsid w:val="000F1156"/>
    <w:rsid w:val="000F52BA"/>
    <w:rsid w:val="001000BB"/>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5A62"/>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1BB3"/>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527B5"/>
    <w:rsid w:val="008641D1"/>
    <w:rsid w:val="008708B3"/>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3F93"/>
    <w:rsid w:val="00A756EA"/>
    <w:rsid w:val="00A8316B"/>
    <w:rsid w:val="00A91596"/>
    <w:rsid w:val="00A93C52"/>
    <w:rsid w:val="00AA7368"/>
    <w:rsid w:val="00AA7A90"/>
    <w:rsid w:val="00AB4FF9"/>
    <w:rsid w:val="00AE7B21"/>
    <w:rsid w:val="00AF1980"/>
    <w:rsid w:val="00AF2021"/>
    <w:rsid w:val="00B471BD"/>
    <w:rsid w:val="00B50C2D"/>
    <w:rsid w:val="00B64904"/>
    <w:rsid w:val="00B87F4A"/>
    <w:rsid w:val="00BA60CE"/>
    <w:rsid w:val="00BC5607"/>
    <w:rsid w:val="00BC6025"/>
    <w:rsid w:val="00BE0D1D"/>
    <w:rsid w:val="00BE2448"/>
    <w:rsid w:val="00BE24D4"/>
    <w:rsid w:val="00BE4F2A"/>
    <w:rsid w:val="00BF1084"/>
    <w:rsid w:val="00BF13DA"/>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FC41E96"/>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paragraph" w:customStyle="1" w:styleId="p1">
    <w:name w:val="p1"/>
    <w:basedOn w:val="Normal"/>
    <w:rsid w:val="000A5528"/>
    <w:pPr>
      <w:widowControl/>
      <w:autoSpaceDE/>
      <w:autoSpaceDN/>
      <w:adjustRightInd/>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609506946">
      <w:bodyDiv w:val="1"/>
      <w:marLeft w:val="0"/>
      <w:marRight w:val="0"/>
      <w:marTop w:val="0"/>
      <w:marBottom w:val="0"/>
      <w:divBdr>
        <w:top w:val="none" w:sz="0" w:space="0" w:color="auto"/>
        <w:left w:val="none" w:sz="0" w:space="0" w:color="auto"/>
        <w:bottom w:val="none" w:sz="0" w:space="0" w:color="auto"/>
        <w:right w:val="none" w:sz="0" w:space="0" w:color="auto"/>
      </w:divBdr>
    </w:div>
    <w:div w:id="854079526">
      <w:bodyDiv w:val="1"/>
      <w:marLeft w:val="0"/>
      <w:marRight w:val="0"/>
      <w:marTop w:val="0"/>
      <w:marBottom w:val="0"/>
      <w:divBdr>
        <w:top w:val="none" w:sz="0" w:space="0" w:color="auto"/>
        <w:left w:val="none" w:sz="0" w:space="0" w:color="auto"/>
        <w:bottom w:val="none" w:sz="0" w:space="0" w:color="auto"/>
        <w:right w:val="none" w:sz="0" w:space="0" w:color="auto"/>
      </w:divBdr>
    </w:div>
    <w:div w:id="1072967227">
      <w:bodyDiv w:val="1"/>
      <w:marLeft w:val="0"/>
      <w:marRight w:val="0"/>
      <w:marTop w:val="0"/>
      <w:marBottom w:val="0"/>
      <w:divBdr>
        <w:top w:val="none" w:sz="0" w:space="0" w:color="auto"/>
        <w:left w:val="none" w:sz="0" w:space="0" w:color="auto"/>
        <w:bottom w:val="none" w:sz="0" w:space="0" w:color="auto"/>
        <w:right w:val="none" w:sz="0" w:space="0" w:color="auto"/>
      </w:divBdr>
    </w:div>
    <w:div w:id="20528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2</Pages>
  <Words>762</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2017-10-25T16:08:00Z</dcterms:created>
  <dcterms:modified xsi:type="dcterms:W3CDTF">2017-10-25T16:08:00Z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