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94"/>
        <w:tblW w:w="9374" w:type="dxa"/>
        <w:tblBorders>
          <w:bottom w:val="single" w:sz="12" w:space="0" w:color="auto"/>
          <w:insideH w:val="single" w:sz="12" w:space="0" w:color="auto"/>
        </w:tblBorders>
        <w:tblLayout w:type="fixed"/>
        <w:tblCellMar>
          <w:top w:w="198" w:type="dxa"/>
        </w:tblCellMar>
        <w:tblLook w:val="0000" w:firstRow="0" w:lastRow="0" w:firstColumn="0" w:lastColumn="0" w:noHBand="0" w:noVBand="0"/>
      </w:tblPr>
      <w:tblGrid>
        <w:gridCol w:w="1499"/>
        <w:gridCol w:w="4514"/>
        <w:gridCol w:w="3361"/>
      </w:tblGrid>
      <w:tr w:rsidR="00E966DE" w:rsidRPr="00FD56E6" w14:paraId="38D2A3B3" w14:textId="77777777" w:rsidTr="009750BD">
        <w:trPr>
          <w:cantSplit/>
          <w:trHeight w:val="745"/>
        </w:trPr>
        <w:tc>
          <w:tcPr>
            <w:tcW w:w="9374" w:type="dxa"/>
            <w:gridSpan w:val="3"/>
            <w:tcBorders>
              <w:bottom w:val="single" w:sz="4" w:space="0" w:color="auto"/>
            </w:tcBorders>
            <w:tcMar>
              <w:top w:w="85" w:type="dxa"/>
            </w:tcMar>
          </w:tcPr>
          <w:p w14:paraId="2337DB85" w14:textId="77777777" w:rsidR="00E966DE" w:rsidRDefault="00E966DE" w:rsidP="009750BD">
            <w:pPr>
              <w:tabs>
                <w:tab w:val="left" w:pos="-1057"/>
                <w:tab w:val="left" w:pos="-720"/>
                <w:tab w:val="left" w:pos="0"/>
                <w:tab w:val="left" w:pos="141"/>
                <w:tab w:val="left" w:pos="720"/>
                <w:tab w:val="right" w:pos="8955"/>
              </w:tabs>
              <w:jc w:val="both"/>
              <w:rPr>
                <w:lang w:val="en-GB"/>
              </w:rPr>
            </w:pPr>
            <w:r>
              <w:rPr>
                <w:noProof/>
              </w:rPr>
              <w:drawing>
                <wp:anchor distT="0" distB="0" distL="114300" distR="114300" simplePos="0" relativeHeight="251661312" behindDoc="1" locked="0" layoutInCell="1" allowOverlap="1" wp14:anchorId="7A9E7FA8" wp14:editId="2D9445F8">
                  <wp:simplePos x="0" y="0"/>
                  <wp:positionH relativeFrom="column">
                    <wp:posOffset>-50800</wp:posOffset>
                  </wp:positionH>
                  <wp:positionV relativeFrom="paragraph">
                    <wp:posOffset>188595</wp:posOffset>
                  </wp:positionV>
                  <wp:extent cx="636270" cy="466725"/>
                  <wp:effectExtent l="0" t="0" r="0" b="9525"/>
                  <wp:wrapTight wrapText="bothSides">
                    <wp:wrapPolygon edited="0">
                      <wp:start x="0" y="0"/>
                      <wp:lineTo x="0" y="21159"/>
                      <wp:lineTo x="20695" y="21159"/>
                      <wp:lineTo x="206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999" b="11667"/>
                          <a:stretch/>
                        </pic:blipFill>
                        <pic:spPr bwMode="auto">
                          <a:xfrm>
                            <a:off x="0" y="0"/>
                            <a:ext cx="63627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13E">
              <w:rPr>
                <w:noProof/>
              </w:rPr>
              <w:drawing>
                <wp:anchor distT="0" distB="0" distL="114300" distR="114300" simplePos="0" relativeHeight="251660288" behindDoc="0" locked="0" layoutInCell="1" allowOverlap="1" wp14:anchorId="2C4D1156" wp14:editId="239EECB5">
                  <wp:simplePos x="0" y="0"/>
                  <wp:positionH relativeFrom="column">
                    <wp:posOffset>654685</wp:posOffset>
                  </wp:positionH>
                  <wp:positionV relativeFrom="paragraph">
                    <wp:posOffset>207645</wp:posOffset>
                  </wp:positionV>
                  <wp:extent cx="255905" cy="359410"/>
                  <wp:effectExtent l="0" t="0" r="0" b="2540"/>
                  <wp:wrapNone/>
                  <wp:docPr id="7" name="Picture 8"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ms_logo-for_letterhea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9A3EE" w14:textId="25E6D2F6" w:rsidR="001A259F" w:rsidRPr="001A259F" w:rsidRDefault="001A259F" w:rsidP="001A259F">
            <w:pPr>
              <w:jc w:val="center"/>
              <w:rPr>
                <w:lang w:val="en-GB"/>
              </w:rPr>
            </w:pPr>
          </w:p>
        </w:tc>
      </w:tr>
      <w:tr w:rsidR="00E966DE" w:rsidRPr="00E66323" w14:paraId="2D85A1D7" w14:textId="77777777" w:rsidTr="00E966DE">
        <w:trPr>
          <w:trHeight w:val="1360"/>
        </w:trPr>
        <w:tc>
          <w:tcPr>
            <w:tcW w:w="1499" w:type="dxa"/>
            <w:tcBorders>
              <w:top w:val="single" w:sz="4" w:space="0" w:color="auto"/>
              <w:bottom w:val="single" w:sz="4" w:space="0" w:color="auto"/>
            </w:tcBorders>
            <w:tcMar>
              <w:top w:w="85" w:type="dxa"/>
            </w:tcMar>
          </w:tcPr>
          <w:p w14:paraId="03DED363" w14:textId="77777777" w:rsidR="00E966DE" w:rsidRPr="00FD56E6" w:rsidRDefault="00E966DE" w:rsidP="009750BD">
            <w:pPr>
              <w:jc w:val="both"/>
              <w:rPr>
                <w:lang w:val="en-GB"/>
              </w:rPr>
            </w:pPr>
            <w:r>
              <w:rPr>
                <w:noProof/>
              </w:rPr>
              <w:drawing>
                <wp:anchor distT="0" distB="0" distL="114300" distR="114300" simplePos="0" relativeHeight="251659264" behindDoc="0" locked="0" layoutInCell="1" allowOverlap="1" wp14:anchorId="22EB94C7" wp14:editId="42B75289">
                  <wp:simplePos x="0" y="0"/>
                  <wp:positionH relativeFrom="column">
                    <wp:posOffset>4445</wp:posOffset>
                  </wp:positionH>
                  <wp:positionV relativeFrom="paragraph">
                    <wp:posOffset>-50165</wp:posOffset>
                  </wp:positionV>
                  <wp:extent cx="1029970" cy="879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17097" t="4031" r="6290" b="3818"/>
                          <a:stretch>
                            <a:fillRect/>
                          </a:stretch>
                        </pic:blipFill>
                        <pic:spPr bwMode="auto">
                          <a:xfrm>
                            <a:off x="0" y="0"/>
                            <a:ext cx="102997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14" w:type="dxa"/>
            <w:tcBorders>
              <w:top w:val="single" w:sz="4" w:space="0" w:color="auto"/>
              <w:bottom w:val="single" w:sz="4" w:space="0" w:color="auto"/>
            </w:tcBorders>
            <w:tcMar>
              <w:top w:w="85" w:type="dxa"/>
            </w:tcMar>
          </w:tcPr>
          <w:p w14:paraId="166029C6" w14:textId="77777777" w:rsidR="00E966DE" w:rsidRPr="0081661F" w:rsidRDefault="00E966DE" w:rsidP="009750BD">
            <w:pPr>
              <w:spacing w:before="40"/>
              <w:ind w:left="274"/>
              <w:rPr>
                <w:rFonts w:ascii="Arial" w:hAnsi="Arial" w:cs="Arial"/>
                <w:b/>
                <w:bCs/>
                <w:sz w:val="10"/>
                <w:szCs w:val="10"/>
                <w:lang w:val="es-ES"/>
              </w:rPr>
            </w:pPr>
          </w:p>
          <w:p w14:paraId="022F5C3D" w14:textId="77777777" w:rsidR="00E966DE" w:rsidRPr="00F73717" w:rsidRDefault="00E966DE" w:rsidP="009750BD">
            <w:pPr>
              <w:spacing w:before="40"/>
              <w:ind w:left="274"/>
              <w:rPr>
                <w:rFonts w:ascii="Arial" w:hAnsi="Arial" w:cs="Arial"/>
                <w:b/>
                <w:bCs/>
                <w:lang w:val="es-ES"/>
              </w:rPr>
            </w:pPr>
            <w:r w:rsidRPr="00F73717">
              <w:rPr>
                <w:rFonts w:ascii="Arial" w:hAnsi="Arial" w:cs="Arial"/>
                <w:b/>
                <w:bCs/>
                <w:lang w:val="es-ES"/>
              </w:rPr>
              <w:t>MEMORANDO DE ENTENDIMIENTO SOBRE LA CONSERVACI</w:t>
            </w:r>
            <w:r w:rsidRPr="009A5554">
              <w:rPr>
                <w:rFonts w:ascii="Arial" w:hAnsi="Arial" w:cs="Arial"/>
                <w:b/>
                <w:bCs/>
                <w:lang w:val="es-ES"/>
              </w:rPr>
              <w:t>Ó</w:t>
            </w:r>
            <w:r w:rsidRPr="00F73717">
              <w:rPr>
                <w:rFonts w:ascii="Arial" w:hAnsi="Arial" w:cs="Arial"/>
                <w:b/>
                <w:bCs/>
                <w:lang w:val="es-ES"/>
              </w:rPr>
              <w:t>N DE TIBURONES MIGRATORIOS</w:t>
            </w:r>
          </w:p>
        </w:tc>
        <w:tc>
          <w:tcPr>
            <w:tcW w:w="3361" w:type="dxa"/>
            <w:tcBorders>
              <w:top w:val="single" w:sz="4" w:space="0" w:color="auto"/>
              <w:bottom w:val="single" w:sz="4" w:space="0" w:color="auto"/>
            </w:tcBorders>
            <w:tcMar>
              <w:top w:w="85" w:type="dxa"/>
            </w:tcMar>
          </w:tcPr>
          <w:p w14:paraId="6DF23253" w14:textId="77777777" w:rsidR="00E966DE" w:rsidRPr="0081661F" w:rsidRDefault="00E966DE" w:rsidP="009750BD">
            <w:pPr>
              <w:spacing w:before="40" w:after="40"/>
              <w:rPr>
                <w:rFonts w:ascii="Arial" w:hAnsi="Arial" w:cs="Arial"/>
                <w:sz w:val="10"/>
                <w:szCs w:val="10"/>
                <w:lang w:val="es-ES"/>
              </w:rPr>
            </w:pPr>
          </w:p>
          <w:p w14:paraId="7F8193C2" w14:textId="180B7FCC" w:rsidR="00E966DE" w:rsidRPr="00E66323" w:rsidRDefault="00E966DE" w:rsidP="009750BD">
            <w:pPr>
              <w:spacing w:before="40" w:after="40"/>
              <w:rPr>
                <w:rFonts w:ascii="Arial" w:hAnsi="Arial" w:cs="Arial"/>
                <w:lang w:val="es-ES"/>
              </w:rPr>
            </w:pPr>
            <w:r w:rsidRPr="00E66323">
              <w:rPr>
                <w:rFonts w:ascii="Arial" w:hAnsi="Arial" w:cs="Arial"/>
                <w:lang w:val="es-ES"/>
              </w:rPr>
              <w:t>CMS/Sharks/MOS</w:t>
            </w:r>
            <w:r>
              <w:rPr>
                <w:rFonts w:ascii="Arial" w:hAnsi="Arial" w:cs="Arial"/>
                <w:lang w:val="es-ES"/>
              </w:rPr>
              <w:t>4</w:t>
            </w:r>
            <w:r w:rsidRPr="00E66323">
              <w:rPr>
                <w:rFonts w:ascii="Arial" w:hAnsi="Arial" w:cs="Arial"/>
                <w:lang w:val="es-ES"/>
              </w:rPr>
              <w:t>/Doc.</w:t>
            </w:r>
            <w:r w:rsidR="004F717A">
              <w:rPr>
                <w:rFonts w:ascii="Arial" w:hAnsi="Arial" w:cs="Arial"/>
                <w:lang w:val="es-ES"/>
              </w:rPr>
              <w:t>10.4</w:t>
            </w:r>
          </w:p>
          <w:p w14:paraId="290E891E" w14:textId="09AFC60D" w:rsidR="00E966DE" w:rsidRPr="00323517" w:rsidRDefault="00F56D91" w:rsidP="009750BD">
            <w:pPr>
              <w:spacing w:before="40" w:after="40"/>
              <w:rPr>
                <w:rFonts w:ascii="Arial" w:hAnsi="Arial" w:cs="Arial"/>
                <w:lang w:val="es-ES"/>
              </w:rPr>
            </w:pPr>
            <w:r>
              <w:rPr>
                <w:rFonts w:ascii="Arial" w:hAnsi="Arial" w:cs="Arial"/>
                <w:lang w:val="es-ES"/>
              </w:rPr>
              <w:t>28 de noviembre</w:t>
            </w:r>
            <w:r w:rsidR="00FE1D65" w:rsidRPr="00FE1D65">
              <w:rPr>
                <w:rFonts w:ascii="Arial" w:hAnsi="Arial" w:cs="Arial"/>
                <w:lang w:val="es-ES"/>
              </w:rPr>
              <w:t xml:space="preserve"> de</w:t>
            </w:r>
            <w:r w:rsidR="00E966DE" w:rsidRPr="00FE1D65">
              <w:rPr>
                <w:rFonts w:ascii="Arial" w:hAnsi="Arial" w:cs="Arial"/>
                <w:lang w:val="es-ES"/>
              </w:rPr>
              <w:t xml:space="preserve"> 2022</w:t>
            </w:r>
          </w:p>
          <w:p w14:paraId="2DAEFF51" w14:textId="77777777" w:rsidR="00E966DE" w:rsidRPr="00E66323" w:rsidRDefault="00E966DE" w:rsidP="009750BD">
            <w:pPr>
              <w:spacing w:before="40" w:after="40"/>
              <w:rPr>
                <w:lang w:val="es-ES"/>
              </w:rPr>
            </w:pPr>
            <w:r w:rsidRPr="00F73871">
              <w:rPr>
                <w:rFonts w:ascii="Arial" w:hAnsi="Arial" w:cs="Arial"/>
                <w:lang w:val="es-ES"/>
              </w:rPr>
              <w:t>Original: Inglés</w:t>
            </w:r>
          </w:p>
        </w:tc>
      </w:tr>
    </w:tbl>
    <w:p w14:paraId="4E9B14C4" w14:textId="77777777" w:rsidR="00E966DE" w:rsidRPr="00E966DE" w:rsidRDefault="00E966DE" w:rsidP="00E966DE">
      <w:pPr>
        <w:widowControl w:val="0"/>
        <w:autoSpaceDE w:val="0"/>
        <w:autoSpaceDN w:val="0"/>
        <w:adjustRightInd w:val="0"/>
        <w:spacing w:before="40" w:after="0" w:line="240" w:lineRule="auto"/>
        <w:jc w:val="both"/>
        <w:rPr>
          <w:rFonts w:ascii="Arial" w:eastAsia="Times New Roman" w:hAnsi="Arial" w:cs="Arial"/>
          <w:spacing w:val="-4"/>
          <w:lang w:val="es-ES"/>
        </w:rPr>
      </w:pPr>
      <w:r w:rsidRPr="00E966DE">
        <w:rPr>
          <w:rFonts w:ascii="Arial" w:eastAsia="Times New Roman" w:hAnsi="Arial" w:cs="Arial"/>
          <w:spacing w:val="-4"/>
          <w:lang w:val="es-ES"/>
        </w:rPr>
        <w:t>4</w:t>
      </w:r>
      <w:r w:rsidRPr="00E966DE">
        <w:rPr>
          <w:rFonts w:ascii="Arial" w:eastAsia="Times New Roman" w:hAnsi="Arial" w:cs="Arial"/>
          <w:spacing w:val="-4"/>
          <w:vertAlign w:val="superscript"/>
          <w:lang w:val="es-ES"/>
        </w:rPr>
        <w:t xml:space="preserve">a </w:t>
      </w:r>
      <w:r w:rsidRPr="00E966DE">
        <w:rPr>
          <w:rFonts w:ascii="Arial" w:eastAsia="Times New Roman" w:hAnsi="Arial" w:cs="Arial"/>
          <w:spacing w:val="-4"/>
          <w:lang w:val="es-ES"/>
        </w:rPr>
        <w:t xml:space="preserve">Reunión de los Signatarios </w:t>
      </w:r>
    </w:p>
    <w:p w14:paraId="2E788E47" w14:textId="77777777" w:rsidR="00E966DE" w:rsidRPr="00E966DE" w:rsidRDefault="00E966DE" w:rsidP="00E966DE">
      <w:pPr>
        <w:widowControl w:val="0"/>
        <w:autoSpaceDE w:val="0"/>
        <w:autoSpaceDN w:val="0"/>
        <w:adjustRightInd w:val="0"/>
        <w:spacing w:after="0" w:line="240" w:lineRule="auto"/>
        <w:jc w:val="both"/>
        <w:rPr>
          <w:rFonts w:ascii="Arial" w:eastAsia="Times New Roman" w:hAnsi="Arial" w:cs="Arial"/>
          <w:iCs/>
          <w:lang w:val="es-ES"/>
        </w:rPr>
      </w:pPr>
      <w:r w:rsidRPr="00E966DE">
        <w:rPr>
          <w:rFonts w:ascii="Arial" w:eastAsia="Times New Roman" w:hAnsi="Arial" w:cs="Arial"/>
          <w:bCs/>
          <w:lang w:val="es-ES"/>
        </w:rPr>
        <w:t>Bonn,28 de febrero-2 de marzo 2023</w:t>
      </w:r>
    </w:p>
    <w:p w14:paraId="61F702EC" w14:textId="3D2ECB76" w:rsidR="00E966DE" w:rsidRDefault="00E966DE" w:rsidP="00E966DE">
      <w:pPr>
        <w:widowControl w:val="0"/>
        <w:autoSpaceDE w:val="0"/>
        <w:autoSpaceDN w:val="0"/>
        <w:adjustRightInd w:val="0"/>
        <w:spacing w:after="0" w:line="240" w:lineRule="auto"/>
        <w:jc w:val="both"/>
        <w:rPr>
          <w:rFonts w:ascii="Arial" w:eastAsia="Times New Roman" w:hAnsi="Arial" w:cs="Arial"/>
          <w:bCs/>
          <w:lang w:val="es-ES"/>
        </w:rPr>
      </w:pPr>
      <w:r w:rsidRPr="00E966DE">
        <w:rPr>
          <w:rFonts w:ascii="Arial" w:eastAsia="Times New Roman" w:hAnsi="Arial" w:cs="Arial"/>
          <w:bCs/>
          <w:lang w:val="es-ES"/>
        </w:rPr>
        <w:t xml:space="preserve">Orden del día </w:t>
      </w:r>
      <w:r w:rsidR="004F717A">
        <w:rPr>
          <w:rFonts w:ascii="Arial" w:eastAsia="Times New Roman" w:hAnsi="Arial" w:cs="Arial"/>
          <w:bCs/>
          <w:lang w:val="es-ES"/>
        </w:rPr>
        <w:t>10</w:t>
      </w:r>
    </w:p>
    <w:p w14:paraId="2CB64758" w14:textId="2E7699DE" w:rsidR="00E966DE" w:rsidRDefault="00E966DE" w:rsidP="00E966DE">
      <w:pPr>
        <w:widowControl w:val="0"/>
        <w:autoSpaceDE w:val="0"/>
        <w:autoSpaceDN w:val="0"/>
        <w:adjustRightInd w:val="0"/>
        <w:spacing w:after="0" w:line="240" w:lineRule="auto"/>
        <w:jc w:val="both"/>
        <w:rPr>
          <w:rFonts w:ascii="Arial" w:eastAsia="Times New Roman" w:hAnsi="Arial" w:cs="Arial"/>
          <w:bCs/>
          <w:lang w:val="es-ES"/>
        </w:rPr>
      </w:pPr>
    </w:p>
    <w:p w14:paraId="16F9A913" w14:textId="77777777" w:rsidR="00FA0A61" w:rsidRPr="00E966DE" w:rsidRDefault="00FA0A61" w:rsidP="00E966DE">
      <w:pPr>
        <w:widowControl w:val="0"/>
        <w:autoSpaceDE w:val="0"/>
        <w:autoSpaceDN w:val="0"/>
        <w:adjustRightInd w:val="0"/>
        <w:spacing w:after="0" w:line="240" w:lineRule="auto"/>
        <w:jc w:val="both"/>
        <w:rPr>
          <w:rFonts w:ascii="Arial" w:eastAsia="Times New Roman" w:hAnsi="Arial" w:cs="Arial"/>
          <w:bCs/>
          <w:lang w:val="es-ES"/>
        </w:rPr>
      </w:pPr>
    </w:p>
    <w:p w14:paraId="66EBF919" w14:textId="77777777" w:rsidR="004F717A" w:rsidRPr="004F717A" w:rsidRDefault="004F717A" w:rsidP="004F717A">
      <w:pPr>
        <w:widowControl w:val="0"/>
        <w:autoSpaceDE w:val="0"/>
        <w:autoSpaceDN w:val="0"/>
        <w:adjustRightInd w:val="0"/>
        <w:spacing w:after="120" w:line="240" w:lineRule="auto"/>
        <w:ind w:right="259"/>
        <w:jc w:val="center"/>
        <w:rPr>
          <w:rFonts w:ascii="Arial" w:eastAsia="Times New Roman" w:hAnsi="Arial" w:cs="Arial"/>
          <w:b/>
          <w:bCs/>
          <w:lang w:val="es-ES"/>
        </w:rPr>
      </w:pPr>
      <w:r w:rsidRPr="004F717A">
        <w:rPr>
          <w:rFonts w:ascii="Arial" w:eastAsia="Times New Roman" w:hAnsi="Arial" w:cs="Arial"/>
          <w:b/>
          <w:bCs/>
          <w:lang w:val="es-ES"/>
        </w:rPr>
        <w:t>ÁREAS IMPORTANTES DE TIBURONES Y RAYAS (ISRA, por sus siglas en inglés)</w:t>
      </w:r>
    </w:p>
    <w:p w14:paraId="05C01B1D" w14:textId="77777777" w:rsidR="004F717A" w:rsidRPr="004F717A" w:rsidRDefault="004F717A" w:rsidP="004F717A">
      <w:pPr>
        <w:widowControl w:val="0"/>
        <w:autoSpaceDE w:val="0"/>
        <w:autoSpaceDN w:val="0"/>
        <w:adjustRightInd w:val="0"/>
        <w:spacing w:after="0" w:line="240" w:lineRule="auto"/>
        <w:ind w:right="252"/>
        <w:jc w:val="center"/>
        <w:rPr>
          <w:rFonts w:ascii="Arial" w:eastAsia="Times New Roman" w:hAnsi="Arial" w:cs="Arial"/>
          <w:bCs/>
          <w:i/>
          <w:lang w:val="es-ES"/>
        </w:rPr>
      </w:pPr>
      <w:r w:rsidRPr="004F717A">
        <w:rPr>
          <w:rFonts w:ascii="Arial" w:eastAsia="Times New Roman" w:hAnsi="Arial" w:cs="Arial"/>
          <w:bCs/>
          <w:i/>
          <w:lang w:val="es-ES"/>
        </w:rPr>
        <w:t>(Preparado por el Comité Asesor y la Secretaría)</w:t>
      </w:r>
    </w:p>
    <w:p w14:paraId="35DCD1A5" w14:textId="77777777" w:rsidR="004F717A" w:rsidRPr="004F717A" w:rsidRDefault="004F717A" w:rsidP="004F717A">
      <w:pPr>
        <w:widowControl w:val="0"/>
        <w:autoSpaceDE w:val="0"/>
        <w:autoSpaceDN w:val="0"/>
        <w:adjustRightInd w:val="0"/>
        <w:spacing w:after="0" w:line="240" w:lineRule="auto"/>
        <w:ind w:right="252"/>
        <w:jc w:val="center"/>
        <w:rPr>
          <w:rFonts w:ascii="Arial" w:eastAsia="Times New Roman" w:hAnsi="Arial" w:cs="Arial"/>
          <w:bCs/>
          <w:i/>
          <w:lang w:val="es-ES"/>
        </w:rPr>
      </w:pPr>
    </w:p>
    <w:p w14:paraId="736383ED" w14:textId="77777777" w:rsidR="004F717A" w:rsidRPr="004F717A" w:rsidRDefault="004F717A" w:rsidP="004F717A">
      <w:pPr>
        <w:widowControl w:val="0"/>
        <w:autoSpaceDE w:val="0"/>
        <w:autoSpaceDN w:val="0"/>
        <w:adjustRightInd w:val="0"/>
        <w:spacing w:after="0" w:line="240" w:lineRule="auto"/>
        <w:ind w:right="252"/>
        <w:jc w:val="center"/>
        <w:rPr>
          <w:rFonts w:ascii="Arial" w:eastAsia="Times New Roman" w:hAnsi="Arial" w:cs="Arial"/>
          <w:bCs/>
          <w:i/>
          <w:lang w:val="es-ES"/>
        </w:rPr>
      </w:pPr>
    </w:p>
    <w:p w14:paraId="4BC904E5"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Este documento proporciona información sobre una iniciativa de la </w:t>
      </w:r>
      <w:bookmarkStart w:id="0" w:name="_Hlk118976143"/>
      <w:r w:rsidRPr="004F717A">
        <w:rPr>
          <w:rFonts w:ascii="Arial" w:eastAsia="Times New Roman" w:hAnsi="Arial" w:cs="Arial"/>
          <w:bCs/>
          <w:iCs/>
          <w:lang w:val="es-ES"/>
        </w:rPr>
        <w:t xml:space="preserve">Unión Internacional para la Conservación de la Naturaleza Comisión para la Supervivencia de Especies Grupo de Especialistas en Tiburones (IUCN SSC SSG, por sus siglas en inglés) </w:t>
      </w:r>
      <w:bookmarkEnd w:id="0"/>
      <w:r w:rsidRPr="004F717A">
        <w:rPr>
          <w:rFonts w:ascii="Arial" w:eastAsia="Times New Roman" w:hAnsi="Arial" w:cs="Arial"/>
          <w:bCs/>
          <w:iCs/>
          <w:lang w:val="es-ES"/>
        </w:rPr>
        <w:t>para identificar “</w:t>
      </w:r>
      <w:r w:rsidRPr="004F717A">
        <w:rPr>
          <w:rFonts w:ascii="Arial" w:eastAsia="Times New Roman" w:hAnsi="Arial" w:cs="Arial"/>
          <w:b/>
          <w:iCs/>
          <w:lang w:val="es-ES"/>
        </w:rPr>
        <w:t>Áreas Importantes de Tiburones y Rayas - ISRA</w:t>
      </w:r>
      <w:r w:rsidRPr="004F717A">
        <w:rPr>
          <w:rFonts w:ascii="Arial" w:eastAsia="Times New Roman" w:hAnsi="Arial" w:cs="Arial"/>
          <w:bCs/>
          <w:iCs/>
          <w:vertAlign w:val="superscript"/>
          <w:lang w:val="es-ES"/>
        </w:rPr>
        <w:footnoteReference w:id="1"/>
      </w:r>
      <w:r w:rsidRPr="004F717A">
        <w:rPr>
          <w:rFonts w:ascii="Arial" w:eastAsia="Times New Roman" w:hAnsi="Arial" w:cs="Arial"/>
          <w:bCs/>
          <w:iCs/>
          <w:lang w:val="es-ES"/>
        </w:rPr>
        <w:t xml:space="preserve">”. Desde el principio de la iniciativa en 2021, se han desarrollado criterios de selección y revisión y se ha establecido un proceso para identificar dichos hábitats críticos. Se proporcionan detalles en el </w:t>
      </w:r>
      <w:r w:rsidRPr="004F717A">
        <w:rPr>
          <w:rFonts w:ascii="Arial" w:eastAsia="Times New Roman" w:hAnsi="Arial" w:cs="Arial"/>
          <w:bCs/>
          <w:iCs/>
          <w:u w:val="single"/>
          <w:lang w:val="es-ES"/>
        </w:rPr>
        <w:t>Anexo 1</w:t>
      </w:r>
      <w:r w:rsidRPr="004F717A">
        <w:rPr>
          <w:rFonts w:ascii="Arial" w:eastAsia="Times New Roman" w:hAnsi="Arial" w:cs="Arial"/>
          <w:bCs/>
          <w:iCs/>
          <w:lang w:val="es-ES"/>
        </w:rPr>
        <w:t xml:space="preserve"> de este documento. </w:t>
      </w:r>
    </w:p>
    <w:p w14:paraId="79CDB14F"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63182805"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El concepto ISRA se basa en el éxito del ejemplo de identificación de Áreas importantes de mamíferos marinos (AIMM) desarrollado por el Grupo de trabajo de la UICN de Áreas protegidas de mamíferos marinos, respaldada por la Resolución 12.13 de la CMS.</w:t>
      </w:r>
    </w:p>
    <w:p w14:paraId="30C43FA1" w14:textId="77777777" w:rsidR="004F717A" w:rsidRPr="004F717A" w:rsidRDefault="004F717A" w:rsidP="004F717A">
      <w:pPr>
        <w:widowControl w:val="0"/>
        <w:autoSpaceDE w:val="0"/>
        <w:autoSpaceDN w:val="0"/>
        <w:adjustRightInd w:val="0"/>
        <w:spacing w:after="0" w:line="240" w:lineRule="auto"/>
        <w:ind w:left="540" w:right="252"/>
        <w:contextualSpacing/>
        <w:jc w:val="both"/>
        <w:rPr>
          <w:rFonts w:ascii="Arial" w:eastAsia="Times New Roman" w:hAnsi="Arial" w:cs="Arial"/>
          <w:bCs/>
          <w:iCs/>
          <w:lang w:val="es-ES"/>
        </w:rPr>
      </w:pPr>
    </w:p>
    <w:p w14:paraId="73C9C7F8" w14:textId="77777777" w:rsidR="004F717A" w:rsidRPr="003D64F4" w:rsidRDefault="004F717A" w:rsidP="003D64F4">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La iniciativa ISRA contribuirá de manera significativa a la implantación de varios mandatos del MdE sobre los Tiburones. Por tanto, la Secretaría sugiere respaldar la iniciativa como factible y adecuada mediante el MdE. Con este fin, la Secretaría ha incluido borradores de decisiones (</w:t>
      </w:r>
      <w:r w:rsidRPr="003D64F4">
        <w:rPr>
          <w:rFonts w:ascii="Arial" w:eastAsia="Times New Roman" w:hAnsi="Arial" w:cs="Arial"/>
          <w:bCs/>
          <w:iCs/>
          <w:u w:val="single"/>
          <w:lang w:val="es-ES"/>
        </w:rPr>
        <w:t>Anexo 2</w:t>
      </w:r>
      <w:r w:rsidRPr="003D64F4">
        <w:rPr>
          <w:rFonts w:ascii="Arial" w:eastAsia="Times New Roman" w:hAnsi="Arial" w:cs="Arial"/>
          <w:bCs/>
          <w:iCs/>
          <w:lang w:val="es-ES"/>
        </w:rPr>
        <w:t>)</w:t>
      </w:r>
      <w:r w:rsidRPr="004F717A">
        <w:rPr>
          <w:rFonts w:ascii="Arial" w:eastAsia="Times New Roman" w:hAnsi="Arial" w:cs="Arial"/>
          <w:bCs/>
          <w:iCs/>
          <w:lang w:val="es-ES"/>
        </w:rPr>
        <w:t xml:space="preserve"> y actividades propuestas que quizá los Signatarios deseen incluir en su nuevo Programa de Trabajo para el trienio 2023-2025 (</w:t>
      </w:r>
      <w:r w:rsidRPr="003D64F4">
        <w:rPr>
          <w:rFonts w:ascii="Arial" w:eastAsia="Times New Roman" w:hAnsi="Arial" w:cs="Arial"/>
          <w:bCs/>
          <w:iCs/>
          <w:u w:val="single"/>
          <w:lang w:val="es-ES"/>
        </w:rPr>
        <w:t>Anexo 3</w:t>
      </w:r>
      <w:r w:rsidRPr="004F717A">
        <w:rPr>
          <w:rFonts w:ascii="Arial" w:eastAsia="Times New Roman" w:hAnsi="Arial" w:cs="Arial"/>
          <w:bCs/>
          <w:iCs/>
          <w:lang w:val="es-ES"/>
        </w:rPr>
        <w:t xml:space="preserve">). </w:t>
      </w:r>
    </w:p>
    <w:p w14:paraId="1F09760C" w14:textId="77777777" w:rsidR="004F717A" w:rsidRPr="004F717A" w:rsidRDefault="004F717A" w:rsidP="004F717A">
      <w:pPr>
        <w:widowControl w:val="0"/>
        <w:autoSpaceDE w:val="0"/>
        <w:autoSpaceDN w:val="0"/>
        <w:adjustRightInd w:val="0"/>
        <w:spacing w:after="0" w:line="240" w:lineRule="auto"/>
        <w:ind w:right="259"/>
        <w:jc w:val="both"/>
        <w:rPr>
          <w:rFonts w:ascii="Arial" w:eastAsia="Times New Roman" w:hAnsi="Arial" w:cs="Arial"/>
          <w:b/>
          <w:iCs/>
          <w:lang w:val="es-ES"/>
        </w:rPr>
      </w:pPr>
    </w:p>
    <w:p w14:paraId="49027510" w14:textId="77777777" w:rsidR="004F717A" w:rsidRPr="004F717A" w:rsidRDefault="004F717A" w:rsidP="004F717A">
      <w:pPr>
        <w:widowControl w:val="0"/>
        <w:autoSpaceDE w:val="0"/>
        <w:autoSpaceDN w:val="0"/>
        <w:adjustRightInd w:val="0"/>
        <w:spacing w:after="0" w:line="240" w:lineRule="auto"/>
        <w:ind w:right="259"/>
        <w:jc w:val="both"/>
        <w:rPr>
          <w:rFonts w:ascii="Arial" w:eastAsia="Times New Roman" w:hAnsi="Arial" w:cs="Arial"/>
          <w:b/>
          <w:iCs/>
          <w:lang w:val="es-ES"/>
        </w:rPr>
      </w:pPr>
      <w:r w:rsidRPr="004F717A">
        <w:rPr>
          <w:rFonts w:ascii="Arial" w:eastAsia="Times New Roman" w:hAnsi="Arial" w:cs="Arial"/>
          <w:b/>
          <w:iCs/>
          <w:lang w:val="es-ES"/>
        </w:rPr>
        <w:t>Antecedentes</w:t>
      </w:r>
    </w:p>
    <w:p w14:paraId="7E51C452" w14:textId="77777777" w:rsidR="004F717A" w:rsidRPr="004F717A" w:rsidRDefault="004F717A" w:rsidP="004F717A">
      <w:pPr>
        <w:widowControl w:val="0"/>
        <w:autoSpaceDE w:val="0"/>
        <w:autoSpaceDN w:val="0"/>
        <w:adjustRightInd w:val="0"/>
        <w:spacing w:after="0" w:line="240" w:lineRule="auto"/>
        <w:ind w:left="540" w:right="259"/>
        <w:contextualSpacing/>
        <w:jc w:val="both"/>
        <w:rPr>
          <w:rFonts w:ascii="Arial" w:eastAsia="Times New Roman" w:hAnsi="Arial" w:cs="Arial"/>
          <w:bCs/>
          <w:iCs/>
          <w:lang w:val="es-ES"/>
        </w:rPr>
      </w:pPr>
    </w:p>
    <w:p w14:paraId="21E57201"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Los tiburones, las rayas y las quimeras (en adelante, tiburones) se enfrentan a una crisis de biodiversidad, con una estimación de un 37 % de las especies amenazadas con la extinción según los criterios de la UICN (Dulvy </w:t>
      </w:r>
      <w:r w:rsidRPr="004F717A">
        <w:rPr>
          <w:rFonts w:ascii="Arial" w:eastAsia="Times New Roman" w:hAnsi="Arial" w:cs="Arial"/>
          <w:bCs/>
          <w:i/>
          <w:lang w:val="es-ES"/>
        </w:rPr>
        <w:t>et al.</w:t>
      </w:r>
      <w:r w:rsidRPr="004F717A">
        <w:rPr>
          <w:rFonts w:ascii="Arial" w:eastAsia="Times New Roman" w:hAnsi="Arial" w:cs="Arial"/>
          <w:bCs/>
          <w:iCs/>
          <w:lang w:val="es-ES"/>
        </w:rPr>
        <w:t xml:space="preserve"> 2021</w:t>
      </w:r>
      <w:r w:rsidRPr="004F717A">
        <w:rPr>
          <w:rFonts w:ascii="Arial" w:eastAsia="Times New Roman" w:hAnsi="Arial" w:cs="Arial"/>
          <w:bCs/>
          <w:iCs/>
          <w:vertAlign w:val="superscript"/>
          <w:lang w:val="es-ES"/>
        </w:rPr>
        <w:footnoteReference w:id="2"/>
      </w:r>
      <w:r w:rsidRPr="004F717A">
        <w:rPr>
          <w:rFonts w:ascii="Arial" w:eastAsia="Times New Roman" w:hAnsi="Arial" w:cs="Arial"/>
          <w:bCs/>
          <w:iCs/>
          <w:lang w:val="es-ES"/>
        </w:rPr>
        <w:t>). Los descensos de población están impulsados por la sobrexplotación pesquera, pero la degradación del hábitat puede también afectar a algunas de las especies enumeradas en el Anexo 1 del MdE, como el pez sierra. El cambio climático también puede afectar a las especies longitudinalmente a medida que el calentamiento de los océanos puede cambiar la distribución de los tiburones debido a la tolerancia térmica y/o cambios en la disponibilidad y distribución de las presas.  Las herramientas de planificación longitudinal a menudo no tienen en cuenta las necesidades críticas del hábitat para la supervivencia de especies amenazadas. El planteamiento del Área Importante de Tiburones y Rayas (ISRA) se propone como una respuesta al estado desfavorable de conservación de muchos tiburones.</w:t>
      </w:r>
    </w:p>
    <w:p w14:paraId="7A535FB6"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6B8BB0AA"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lastRenderedPageBreak/>
        <w:t xml:space="preserve">La conservación basada en zona puede ser una herramienta de gestión importante para salvaguardar la biodiversidad. Se han desarrollado e implementado varios planteamientos para identificar redes de áreas importantes a nivel global basadas en la delineación de lugares o paisajes marinos de importancia para varios elementos de la biodiversidad (p. ej., pájaros, mamíferos marinos). </w:t>
      </w:r>
    </w:p>
    <w:p w14:paraId="69056B28" w14:textId="77777777" w:rsidR="004F717A" w:rsidRPr="004F717A" w:rsidRDefault="004F717A" w:rsidP="004F717A">
      <w:pPr>
        <w:widowControl w:val="0"/>
        <w:autoSpaceDE w:val="0"/>
        <w:autoSpaceDN w:val="0"/>
        <w:adjustRightInd w:val="0"/>
        <w:spacing w:after="0" w:line="240" w:lineRule="auto"/>
        <w:ind w:right="252"/>
        <w:jc w:val="both"/>
        <w:rPr>
          <w:rFonts w:ascii="Arial" w:eastAsia="Times New Roman" w:hAnsi="Arial" w:cs="Arial"/>
          <w:bCs/>
          <w:iCs/>
          <w:lang w:val="es-ES"/>
        </w:rPr>
      </w:pPr>
    </w:p>
    <w:p w14:paraId="0FECD20C"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lang w:val="es-ES"/>
        </w:rPr>
        <w:t xml:space="preserve">En la 12ª Conferencia de las Partes, las Partes de la CMS adoptaron </w:t>
      </w:r>
      <w:hyperlink r:id="rId11" w:history="1">
        <w:r w:rsidRPr="004F717A">
          <w:rPr>
            <w:rFonts w:ascii="Arial" w:eastAsia="Times New Roman" w:hAnsi="Arial" w:cs="Arial"/>
            <w:color w:val="0000FF"/>
            <w:u w:val="single"/>
            <w:lang w:val="es-ES"/>
          </w:rPr>
          <w:t>la Resolución 12.13</w:t>
        </w:r>
      </w:hyperlink>
      <w:r w:rsidRPr="004F717A">
        <w:rPr>
          <w:rFonts w:ascii="Arial" w:eastAsia="Times New Roman" w:hAnsi="Arial" w:cs="Arial"/>
          <w:lang w:val="es-ES"/>
        </w:rPr>
        <w:t xml:space="preserve"> “</w:t>
      </w:r>
      <w:r w:rsidRPr="004F717A">
        <w:rPr>
          <w:rFonts w:ascii="Arial" w:eastAsia="Times New Roman" w:hAnsi="Arial" w:cs="Arial"/>
          <w:i/>
          <w:iCs/>
          <w:lang w:val="es-ES"/>
        </w:rPr>
        <w:t>Áreas importantes de mamíferos marinos (AIMM)”</w:t>
      </w:r>
      <w:r w:rsidRPr="004F717A">
        <w:rPr>
          <w:rFonts w:ascii="Arial" w:eastAsia="Times New Roman" w:hAnsi="Arial" w:cs="Arial"/>
          <w:lang w:val="es-ES"/>
        </w:rPr>
        <w:t xml:space="preserve"> que, entre otras cosas reconoce los criterios de las AIMM y el proceso de identificación para mamíferos marinos listados por la CMS. También solicita a las Partes e invita a los Estados del área de distribución, Organizaciones intergubernamentales y socios que identifiquen áreas específicas donde la identificación de las AIMM podría ser particularmente beneficiosa. Esto podría ser, p. ej., promoviendo el diseño y conectividad de la red de áreas protegidas o abordando amenazas a los mamíferos acuáticos de una forma más integral".</w:t>
      </w:r>
      <w:r w:rsidRPr="004F717A">
        <w:rPr>
          <w:rFonts w:ascii="Arial" w:eastAsia="Times New Roman" w:hAnsi="Arial" w:cs="Arial"/>
          <w:bCs/>
          <w:iCs/>
          <w:lang w:val="es-ES"/>
        </w:rPr>
        <w:t xml:space="preserve"> La resolución 12.13 sentó un precedente por el cual la identificación de "áreas importantes" específicas de taxón pueden apoyar la consecución del objetivo de proteger especies listadas por la CMS y debe alentarse.</w:t>
      </w:r>
    </w:p>
    <w:p w14:paraId="0B42DB26"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1EDDEA8B"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r w:rsidRPr="004F717A">
        <w:rPr>
          <w:rFonts w:ascii="Arial" w:eastAsia="Times New Roman" w:hAnsi="Arial" w:cs="Arial"/>
          <w:b/>
          <w:iCs/>
          <w:lang w:val="es-ES"/>
        </w:rPr>
        <w:t xml:space="preserve">Propuestas del MdE </w:t>
      </w:r>
    </w:p>
    <w:p w14:paraId="427B90A4"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1968BB9F"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El MdE sobre los Tiburones incluye potentes propuestas instando a la identificación de hábitats críticos (incluyendo la agrupación conocida, lugares de alimentación y cría y corredores migratorios) y su conservación para mejorar el estado de conservación de especies listadas en el MdE sobre los Tiburones Anexo1: </w:t>
      </w:r>
    </w:p>
    <w:p w14:paraId="61F286A5"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30245783" w14:textId="1DA78E56" w:rsidR="004F717A" w:rsidRPr="004F717A" w:rsidRDefault="004F717A" w:rsidP="004F717A">
      <w:pPr>
        <w:widowControl w:val="0"/>
        <w:numPr>
          <w:ilvl w:val="0"/>
          <w:numId w:val="6"/>
        </w:numPr>
        <w:autoSpaceDE w:val="0"/>
        <w:autoSpaceDN w:val="0"/>
        <w:adjustRightInd w:val="0"/>
        <w:spacing w:after="80" w:line="240" w:lineRule="auto"/>
        <w:ind w:left="907"/>
        <w:jc w:val="both"/>
        <w:rPr>
          <w:rFonts w:ascii="Arial" w:eastAsia="Times New Roman" w:hAnsi="Arial" w:cs="Arial"/>
          <w:bCs/>
          <w:i/>
          <w:lang w:val="es-ES"/>
        </w:rPr>
      </w:pPr>
      <w:r w:rsidRPr="004F717A">
        <w:rPr>
          <w:rFonts w:ascii="Arial" w:eastAsia="Times New Roman" w:hAnsi="Arial" w:cs="Arial"/>
          <w:bCs/>
          <w:iCs/>
          <w:lang w:val="es-ES"/>
        </w:rPr>
        <w:t>La actividad</w:t>
      </w:r>
      <w:r w:rsidRPr="004F717A">
        <w:rPr>
          <w:rFonts w:ascii="Arial" w:eastAsia="Times New Roman" w:hAnsi="Arial" w:cs="Times New Roman"/>
          <w:bCs/>
          <w:iCs/>
          <w:sz w:val="18"/>
          <w:szCs w:val="24"/>
          <w:lang w:val="es-ES"/>
        </w:rPr>
        <w:t xml:space="preserve"> </w:t>
      </w:r>
      <w:r w:rsidRPr="004F717A">
        <w:rPr>
          <w:rFonts w:ascii="Arial" w:eastAsia="Times New Roman" w:hAnsi="Arial" w:cs="Arial"/>
          <w:bCs/>
          <w:iCs/>
          <w:lang w:val="es-ES"/>
        </w:rPr>
        <w:t>1.5 del Plan de Conservación (</w:t>
      </w:r>
      <w:hyperlink r:id="rId12" w:history="1">
        <w:r w:rsidRPr="004F717A">
          <w:rPr>
            <w:rFonts w:ascii="Arial" w:eastAsia="Times New Roman" w:hAnsi="Arial" w:cs="Arial"/>
            <w:bCs/>
            <w:iCs/>
            <w:color w:val="0000FF"/>
            <w:u w:val="single"/>
            <w:lang w:val="es-ES"/>
          </w:rPr>
          <w:t>MdE sobre los Tiburones Anexo 3</w:t>
        </w:r>
      </w:hyperlink>
      <w:r w:rsidRPr="004F717A">
        <w:rPr>
          <w:rFonts w:ascii="Arial" w:eastAsia="Times New Roman" w:hAnsi="Arial" w:cs="Arial"/>
          <w:bCs/>
          <w:iCs/>
          <w:lang w:val="es-ES"/>
        </w:rPr>
        <w:t>), que tiene la prioridad más alta, solicita a los Signatarios y a foros multilaterales entre otras cosas que identifiquen y prioricen (con vistas a desarrollar medidas de conservación) hábitats críticos de tiburones incluyendo rutas de migración críticas.</w:t>
      </w:r>
    </w:p>
    <w:p w14:paraId="7D3E01D2" w14:textId="77777777" w:rsidR="004F717A" w:rsidRPr="004F717A" w:rsidRDefault="004F717A" w:rsidP="004F717A">
      <w:pPr>
        <w:widowControl w:val="0"/>
        <w:numPr>
          <w:ilvl w:val="0"/>
          <w:numId w:val="6"/>
        </w:numPr>
        <w:autoSpaceDE w:val="0"/>
        <w:autoSpaceDN w:val="0"/>
        <w:adjustRightInd w:val="0"/>
        <w:spacing w:after="80" w:line="240" w:lineRule="auto"/>
        <w:ind w:left="907"/>
        <w:jc w:val="both"/>
        <w:rPr>
          <w:rFonts w:ascii="Arial" w:eastAsia="Times New Roman" w:hAnsi="Arial" w:cs="Arial"/>
          <w:bCs/>
          <w:iCs/>
          <w:lang w:val="es-ES"/>
        </w:rPr>
      </w:pPr>
      <w:r w:rsidRPr="004F717A">
        <w:rPr>
          <w:rFonts w:ascii="Arial" w:eastAsia="Times New Roman" w:hAnsi="Arial" w:cs="Arial"/>
          <w:bCs/>
          <w:iCs/>
          <w:lang w:val="es-ES"/>
        </w:rPr>
        <w:t>Además, uno de los cinco objetivos principales del Plan de Conservación es asegurar la “</w:t>
      </w:r>
      <w:r w:rsidRPr="004F717A">
        <w:rPr>
          <w:rFonts w:ascii="Arial" w:eastAsia="Times New Roman" w:hAnsi="Arial" w:cs="Arial"/>
          <w:bCs/>
          <w:i/>
          <w:lang w:val="es-ES"/>
        </w:rPr>
        <w:t>protección de hábitats críticos y corredores migratorios y estadios de vida crítica de especies”</w:t>
      </w:r>
      <w:r w:rsidRPr="004F717A">
        <w:rPr>
          <w:rFonts w:ascii="Arial" w:eastAsia="Times New Roman" w:hAnsi="Arial" w:cs="Arial"/>
          <w:bCs/>
          <w:iCs/>
          <w:lang w:val="es-ES"/>
        </w:rPr>
        <w:t xml:space="preserve"> listadas en el Anexo 1 del MdE.</w:t>
      </w:r>
    </w:p>
    <w:p w14:paraId="4ED8CF32" w14:textId="77777777" w:rsidR="004F717A" w:rsidRPr="004F717A" w:rsidRDefault="004F717A" w:rsidP="004F717A">
      <w:pPr>
        <w:widowControl w:val="0"/>
        <w:numPr>
          <w:ilvl w:val="0"/>
          <w:numId w:val="6"/>
        </w:numPr>
        <w:autoSpaceDE w:val="0"/>
        <w:autoSpaceDN w:val="0"/>
        <w:adjustRightInd w:val="0"/>
        <w:spacing w:after="0" w:line="240" w:lineRule="auto"/>
        <w:ind w:left="900"/>
        <w:contextualSpacing/>
        <w:jc w:val="both"/>
        <w:rPr>
          <w:rFonts w:ascii="Arial" w:eastAsia="Times New Roman" w:hAnsi="Arial" w:cs="Arial"/>
          <w:bCs/>
          <w:iCs/>
          <w:lang w:val="es-ES"/>
        </w:rPr>
      </w:pPr>
      <w:r w:rsidRPr="004F717A">
        <w:rPr>
          <w:rFonts w:ascii="Arial" w:eastAsia="Times New Roman" w:hAnsi="Arial" w:cs="Arial"/>
          <w:bCs/>
          <w:iCs/>
          <w:lang w:val="es-ES"/>
        </w:rPr>
        <w:t>Los Signatarios han acordado en el artículo 13 del MdE “</w:t>
      </w:r>
      <w:r w:rsidRPr="004F717A">
        <w:rPr>
          <w:rFonts w:ascii="Arial" w:eastAsia="Times New Roman" w:hAnsi="Arial" w:cs="Arial"/>
          <w:bCs/>
          <w:i/>
          <w:lang w:val="es-ES"/>
        </w:rPr>
        <w:t>Identificar y conducir estudios de migración de tiburones, agrupación, hábitats críticos, ecología, comportamiento y estadios de vida y, en la medida de lo posible, proteger estos lugares</w:t>
      </w:r>
      <w:r w:rsidRPr="004F717A">
        <w:rPr>
          <w:rFonts w:ascii="Arial" w:eastAsia="Times New Roman" w:hAnsi="Arial" w:cs="Arial"/>
          <w:bCs/>
          <w:iCs/>
          <w:lang w:val="es-ES"/>
        </w:rPr>
        <w:t xml:space="preserve">”.  </w:t>
      </w:r>
    </w:p>
    <w:p w14:paraId="6E919F62"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639C53DB"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r w:rsidRPr="004F717A">
        <w:rPr>
          <w:rFonts w:ascii="Arial" w:eastAsia="Times New Roman" w:hAnsi="Arial" w:cs="Arial"/>
          <w:b/>
          <w:iCs/>
          <w:lang w:val="es-ES"/>
        </w:rPr>
        <w:t>Iniciativa ISRA</w:t>
      </w:r>
    </w:p>
    <w:p w14:paraId="7F49F011"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528BB183"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Como se ha mencionado anteriormente, el concepto ISRA se basa en el éxito del ejemplo de identificar Áreas importantes de mamíferos marinos (AIMM) desarrollado por el Grupo de trabajo sobre áreas protegidas de mamíferos marinos de la UICN, apoyado por la Resolución 12.13 de la CMS. Las ISRA y AIMM se basaron en la orientación de otros planteamientos para identificar lugares o paisajes marinos de importancia de biodiversidad, incluyendo Áreas importantes para la Conservación de las Aves y la Biodiversidad (IBA, por sus siglas en inglés), Áreas marinas de importancia ecológica o biológica (EBSA), y Áreas clave de biodiversidad (KBA).</w:t>
      </w:r>
    </w:p>
    <w:p w14:paraId="5425D9D0"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4B21D7A1"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La identidad y marca del proyecto, incluyendo el sitio web (</w:t>
      </w:r>
      <w:hyperlink r:id="rId13" w:history="1">
        <w:r w:rsidRPr="004F717A">
          <w:rPr>
            <w:rFonts w:ascii="Arial" w:eastAsia="Times New Roman" w:hAnsi="Arial" w:cs="Arial"/>
            <w:bCs/>
            <w:iCs/>
            <w:color w:val="0000FF"/>
            <w:u w:val="single"/>
            <w:lang w:val="es-ES"/>
          </w:rPr>
          <w:t>www.sharkrayareas.org</w:t>
        </w:r>
      </w:hyperlink>
      <w:r w:rsidRPr="004F717A">
        <w:rPr>
          <w:rFonts w:ascii="Arial" w:eastAsia="Times New Roman" w:hAnsi="Arial" w:cs="Arial"/>
          <w:bCs/>
          <w:iCs/>
          <w:lang w:val="es-ES"/>
        </w:rPr>
        <w:t xml:space="preserve">), folletos, estrategia de implementación y otros materiales se desarrollaron con el apoyo del Ministerio Federal Alemán del Medio Ambiente, Conservación de la Naturaleza, Seguridad Nuclear y Protección del Consumidor. El equipo ISRA se ha establecido y ha estado trabajando hacia los objetivos del proyecto con el apoyo del Fondo para la conservación de los tiburones, una especialidad de agrupación colaborativa filantrópica </w:t>
      </w:r>
      <w:r w:rsidRPr="004F717A">
        <w:rPr>
          <w:rFonts w:ascii="Arial" w:eastAsia="Times New Roman" w:hAnsi="Arial" w:cs="Arial"/>
          <w:bCs/>
          <w:iCs/>
          <w:lang w:val="es-ES"/>
        </w:rPr>
        <w:lastRenderedPageBreak/>
        <w:t>y recursos para abordar las amenazas a las que se enfrentan los tiburones y rayas del mundo</w:t>
      </w:r>
      <w:r w:rsidRPr="003D64F4">
        <w:rPr>
          <w:rFonts w:ascii="Arial" w:eastAsia="Times New Roman" w:hAnsi="Arial" w:cs="Arial"/>
          <w:bCs/>
          <w:iCs/>
          <w:sz w:val="18"/>
          <w:szCs w:val="24"/>
          <w:vertAlign w:val="superscript"/>
          <w:lang w:val="es-ES"/>
        </w:rPr>
        <w:footnoteReference w:id="3"/>
      </w:r>
      <w:r w:rsidRPr="004F717A">
        <w:rPr>
          <w:rFonts w:ascii="Arial" w:eastAsia="Times New Roman" w:hAnsi="Arial" w:cs="Arial"/>
          <w:bCs/>
          <w:iCs/>
          <w:lang w:val="es-ES"/>
        </w:rPr>
        <w:t xml:space="preserve">. </w:t>
      </w:r>
    </w:p>
    <w:p w14:paraId="6C5A17DF"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5752C4CA" w14:textId="77777777" w:rsidR="004F717A" w:rsidRPr="004F717A" w:rsidRDefault="004F717A" w:rsidP="004F717A">
      <w:pPr>
        <w:widowControl w:val="0"/>
        <w:numPr>
          <w:ilvl w:val="0"/>
          <w:numId w:val="1"/>
        </w:numPr>
        <w:autoSpaceDE w:val="0"/>
        <w:autoSpaceDN w:val="0"/>
        <w:adjustRightInd w:val="0"/>
        <w:spacing w:after="0" w:line="240" w:lineRule="auto"/>
        <w:ind w:left="567" w:hanging="567"/>
        <w:contextualSpacing/>
        <w:jc w:val="both"/>
        <w:rPr>
          <w:rFonts w:ascii="Arial" w:eastAsia="Times New Roman" w:hAnsi="Arial" w:cs="Arial"/>
          <w:bCs/>
          <w:iCs/>
          <w:lang w:val="es-ES"/>
        </w:rPr>
      </w:pPr>
      <w:r w:rsidRPr="004F717A">
        <w:rPr>
          <w:rFonts w:ascii="Arial" w:eastAsia="Times New Roman" w:hAnsi="Arial" w:cs="Arial"/>
          <w:bCs/>
          <w:iCs/>
          <w:lang w:val="es-ES"/>
        </w:rPr>
        <w:t>Se han identificado trece regiones para delinear las ISRA en aguas globales. Se prevé que se pueden cubrir de una a dos regiones por año y tener todas las aguas globales evaluadas en 2027.</w:t>
      </w:r>
    </w:p>
    <w:p w14:paraId="1D54601D" w14:textId="77777777" w:rsidR="004F717A" w:rsidRPr="004F717A" w:rsidRDefault="004F717A" w:rsidP="004F717A">
      <w:pPr>
        <w:widowControl w:val="0"/>
        <w:autoSpaceDE w:val="0"/>
        <w:autoSpaceDN w:val="0"/>
        <w:adjustRightInd w:val="0"/>
        <w:spacing w:after="0" w:line="240" w:lineRule="auto"/>
        <w:ind w:right="252"/>
        <w:jc w:val="both"/>
        <w:rPr>
          <w:rFonts w:ascii="Arial" w:eastAsia="Times New Roman" w:hAnsi="Arial" w:cs="Arial"/>
          <w:b/>
          <w:iCs/>
          <w:lang w:val="es-ES"/>
        </w:rPr>
      </w:pPr>
    </w:p>
    <w:p w14:paraId="48F7ED22" w14:textId="25FFAEFD" w:rsidR="004F717A" w:rsidRPr="004F717A" w:rsidRDefault="004F717A" w:rsidP="004F717A">
      <w:pPr>
        <w:widowControl w:val="0"/>
        <w:autoSpaceDE w:val="0"/>
        <w:autoSpaceDN w:val="0"/>
        <w:adjustRightInd w:val="0"/>
        <w:spacing w:after="0" w:line="240" w:lineRule="auto"/>
        <w:ind w:right="252"/>
        <w:jc w:val="both"/>
        <w:rPr>
          <w:rFonts w:ascii="Arial" w:eastAsia="Times New Roman" w:hAnsi="Arial" w:cs="Arial"/>
          <w:b/>
          <w:iCs/>
          <w:lang w:val="es-ES"/>
        </w:rPr>
      </w:pPr>
      <w:r w:rsidRPr="004F717A">
        <w:rPr>
          <w:rFonts w:ascii="Arial" w:eastAsia="Times New Roman" w:hAnsi="Arial" w:cs="Arial"/>
          <w:b/>
          <w:iCs/>
          <w:lang w:val="es-ES"/>
        </w:rPr>
        <w:t>Criterios y proceso para la identificación de las ISRA</w:t>
      </w:r>
    </w:p>
    <w:p w14:paraId="6A511ED2" w14:textId="77777777" w:rsidR="004F717A" w:rsidRPr="004F717A" w:rsidRDefault="004F717A" w:rsidP="004F717A">
      <w:pPr>
        <w:widowControl w:val="0"/>
        <w:autoSpaceDE w:val="0"/>
        <w:autoSpaceDN w:val="0"/>
        <w:adjustRightInd w:val="0"/>
        <w:spacing w:after="0" w:line="240" w:lineRule="auto"/>
        <w:ind w:left="540" w:right="252"/>
        <w:contextualSpacing/>
        <w:jc w:val="both"/>
        <w:rPr>
          <w:rFonts w:ascii="Arial" w:eastAsia="Times New Roman" w:hAnsi="Arial" w:cs="Arial"/>
          <w:bCs/>
          <w:iCs/>
          <w:lang w:val="es-ES"/>
        </w:rPr>
      </w:pPr>
    </w:p>
    <w:p w14:paraId="45184697"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Se desarrollaron cuatro criterios científicos estandarizados globalmente, con siete subcriterios, basados en comentarios cotejados durante cuatro talleres de expertos en tiburones, biodiversidad y política realizados en 2022,</w:t>
      </w:r>
      <w:r w:rsidRPr="004F717A">
        <w:rPr>
          <w:rFonts w:ascii="Arial" w:eastAsia="Times New Roman" w:hAnsi="Arial" w:cs="Arial"/>
          <w:lang w:val="es-ES"/>
        </w:rPr>
        <w:t xml:space="preserve"> </w:t>
      </w:r>
      <w:r w:rsidRPr="004F717A">
        <w:rPr>
          <w:rFonts w:ascii="Arial" w:eastAsia="Times New Roman" w:hAnsi="Arial" w:cs="Arial"/>
          <w:bCs/>
          <w:iCs/>
          <w:lang w:val="es-ES"/>
        </w:rPr>
        <w:t xml:space="preserve">organizados por el Grupo Especialista de Tiburones (SSG) de la CSE de la UICN y el Equipo Océano de la UICN, con apoyo del Grupo de Acción sobre Áreas protegidas de mamíferos marinos de la UICN. </w:t>
      </w:r>
      <w:r w:rsidRPr="004F717A">
        <w:rPr>
          <w:rFonts w:ascii="Arial" w:eastAsia="Times New Roman" w:hAnsi="Arial" w:cs="Arial"/>
          <w:bCs/>
          <w:iCs/>
          <w:u w:val="single"/>
          <w:lang w:val="es-ES"/>
        </w:rPr>
        <w:t>El Anexo 1</w:t>
      </w:r>
      <w:r w:rsidRPr="004F717A">
        <w:rPr>
          <w:rFonts w:ascii="Arial" w:eastAsia="Times New Roman" w:hAnsi="Arial" w:cs="Arial"/>
          <w:bCs/>
          <w:iCs/>
          <w:lang w:val="es-ES"/>
        </w:rPr>
        <w:t xml:space="preserve"> de este documento proporciona información detallada sobre estos criterios y cómo deberían aplicarse según </w:t>
      </w:r>
      <w:hyperlink r:id="rId14" w:history="1">
        <w:r w:rsidRPr="004F717A">
          <w:rPr>
            <w:rFonts w:ascii="Arial" w:eastAsia="Times New Roman" w:hAnsi="Arial" w:cs="Arial"/>
            <w:bCs/>
            <w:iCs/>
            <w:color w:val="0000FF"/>
            <w:u w:val="single"/>
            <w:lang w:val="es-ES"/>
          </w:rPr>
          <w:t>Hyde et al. (2022</w:t>
        </w:r>
      </w:hyperlink>
      <w:r w:rsidRPr="004F717A">
        <w:rPr>
          <w:rFonts w:ascii="Arial" w:eastAsia="Times New Roman" w:hAnsi="Arial" w:cs="Arial"/>
          <w:bCs/>
          <w:iCs/>
          <w:lang w:val="es-ES"/>
        </w:rPr>
        <w:t>)</w:t>
      </w:r>
      <w:r w:rsidRPr="004F717A">
        <w:rPr>
          <w:rFonts w:ascii="Arial" w:eastAsia="Times New Roman" w:hAnsi="Arial" w:cs="Arial"/>
          <w:bCs/>
          <w:iCs/>
          <w:vertAlign w:val="superscript"/>
          <w:lang w:val="es-ES"/>
        </w:rPr>
        <w:footnoteReference w:id="4"/>
      </w:r>
      <w:r w:rsidRPr="004F717A">
        <w:rPr>
          <w:rFonts w:ascii="Arial" w:eastAsia="Times New Roman" w:hAnsi="Arial" w:cs="Arial"/>
          <w:bCs/>
          <w:iCs/>
          <w:lang w:val="es-ES"/>
        </w:rPr>
        <w:t xml:space="preserve"> .</w:t>
      </w:r>
    </w:p>
    <w:p w14:paraId="4F58E2B3"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1FFDD0AF" w14:textId="475249F1"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Los criterios ISRA proporcionan un marco de trabajo para identificar porciones de hábitat discretas y tridimensionales importantes para una o más especies de tiburones, que tienen el potencial para ser delineadas y gestionadas para la conservación. Los Criterios ISRA pueden aplicarse a todos los entornos donde puede haber tiburones (marino, estuarios y agua dulce) y consideran la diversidad de especies, sus comportamientos complejos y ecología y necesidades biológicas. La identificación de las ISRA guiará el desarrollo, diseño y aplicación de iniciativas de conservación para tiburones basadas en el área y contribuirá a la </w:t>
      </w:r>
      <w:r w:rsidR="003D64F4" w:rsidRPr="003D64F4">
        <w:rPr>
          <w:rFonts w:ascii="Arial" w:eastAsia="Times New Roman" w:hAnsi="Arial" w:cs="Arial"/>
          <w:bCs/>
          <w:iCs/>
          <w:lang w:val="es-ES"/>
        </w:rPr>
        <w:t xml:space="preserve"> reducción de la mortalidad y</w:t>
      </w:r>
      <w:r w:rsidR="003D64F4">
        <w:rPr>
          <w:rFonts w:ascii="Arial" w:eastAsia="Times New Roman" w:hAnsi="Arial" w:cs="Arial"/>
          <w:bCs/>
          <w:iCs/>
          <w:lang w:val="es-ES"/>
        </w:rPr>
        <w:t xml:space="preserve"> </w:t>
      </w:r>
      <w:r w:rsidRPr="004F717A">
        <w:rPr>
          <w:rFonts w:ascii="Arial" w:eastAsia="Times New Roman" w:hAnsi="Arial" w:cs="Arial"/>
          <w:bCs/>
          <w:iCs/>
          <w:lang w:val="es-ES"/>
        </w:rPr>
        <w:t>recuperación de la población.</w:t>
      </w:r>
    </w:p>
    <w:p w14:paraId="673B9360"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7391C6DA"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Se proporciona una descripción detallada de los Criterios ISRA y cómo deberían aplicarse en </w:t>
      </w:r>
      <w:r w:rsidRPr="004F717A">
        <w:rPr>
          <w:rFonts w:ascii="Arial" w:eastAsia="Times New Roman" w:hAnsi="Arial" w:cs="Arial"/>
          <w:bCs/>
          <w:iCs/>
          <w:u w:val="single"/>
          <w:lang w:val="es-ES"/>
        </w:rPr>
        <w:t>Anexo 1</w:t>
      </w:r>
      <w:r w:rsidRPr="004F717A">
        <w:rPr>
          <w:rFonts w:ascii="Arial" w:eastAsia="Times New Roman" w:hAnsi="Arial" w:cs="Arial"/>
          <w:bCs/>
          <w:iCs/>
          <w:lang w:val="es-ES"/>
        </w:rPr>
        <w:t xml:space="preserve"> de este documento. </w:t>
      </w:r>
    </w:p>
    <w:p w14:paraId="3A869880"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5895315A" w14:textId="5F743FAF"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 xml:space="preserve">La identificación de las ISRA se realiza región a región con 13 regiones globales identificadas. Se espera que </w:t>
      </w:r>
      <w:r w:rsidRPr="00B172E2">
        <w:rPr>
          <w:rFonts w:ascii="Arial" w:eastAsia="Times New Roman" w:hAnsi="Arial" w:cs="Arial"/>
          <w:bCs/>
          <w:iCs/>
          <w:lang w:val="es-ES"/>
        </w:rPr>
        <w:t xml:space="preserve">lleve entre 8-12 meses completar cada región. A través del proceso de identificación, el </w:t>
      </w:r>
      <w:r w:rsidR="003D64F4" w:rsidRPr="00B172E2">
        <w:rPr>
          <w:rFonts w:ascii="Arial" w:eastAsia="Times New Roman" w:hAnsi="Arial" w:cs="Arial"/>
          <w:bCs/>
          <w:iCs/>
          <w:lang w:val="es-ES"/>
        </w:rPr>
        <w:t>I</w:t>
      </w:r>
      <w:r w:rsidR="00B172E2">
        <w:rPr>
          <w:rFonts w:ascii="Arial" w:eastAsia="Times New Roman" w:hAnsi="Arial" w:cs="Arial"/>
          <w:bCs/>
          <w:iCs/>
          <w:lang w:val="es-ES"/>
        </w:rPr>
        <w:t>U</w:t>
      </w:r>
      <w:r w:rsidRPr="00B172E2">
        <w:rPr>
          <w:rFonts w:ascii="Arial" w:eastAsia="Times New Roman" w:hAnsi="Arial" w:cs="Arial"/>
          <w:bCs/>
          <w:iCs/>
          <w:lang w:val="es-ES"/>
        </w:rPr>
        <w:t>CN SSC SSG</w:t>
      </w:r>
      <w:r w:rsidRPr="004F717A">
        <w:rPr>
          <w:rFonts w:ascii="Arial" w:eastAsia="Times New Roman" w:hAnsi="Arial" w:cs="Arial"/>
          <w:bCs/>
          <w:iCs/>
          <w:lang w:val="es-ES"/>
        </w:rPr>
        <w:t xml:space="preserve"> participará con representantes de cada región para garantizar que se identifican expertos relevantes que tienen la experiencia y recursos necesarios para proponer las ISRA, cotejar y evaluar los datos disponibles y aplicar la evidencia en comparación con los Criterios ISRA. Las ISRA candidatas (cISRA) identificadas por el taller están sujetas a revisión por parte de un Panel de Revisión Independiente antes de que se muestren las ISRA en un e-Atlas de ISRA en línea.</w:t>
      </w:r>
    </w:p>
    <w:p w14:paraId="6E933524"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206A920D"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Examinando las regiones de forma rotativa (posiblemente dos por año, dependiendo de la disponibilidad de fondos y de personal) para la identificación de las ISRA, el proceso acabará cerrando el círculo, poniéndose en marcha una segunda evaluación de las regiones. Idealmente, dicha repetición tendrá lugar cada 10 años. En este tiempo, los cambios ambientales (p. ej., calentamiento, áreas de distribución de las especies), el estado de la Lista roja de la UICN, y la disponibilidad de datos implican que las revisiones a la configuración ISRA estarían garantizadas.</w:t>
      </w:r>
    </w:p>
    <w:p w14:paraId="3371CCD2" w14:textId="77777777" w:rsidR="004F717A" w:rsidRPr="004F717A" w:rsidRDefault="004F717A" w:rsidP="004F717A">
      <w:pPr>
        <w:widowControl w:val="0"/>
        <w:autoSpaceDE w:val="0"/>
        <w:autoSpaceDN w:val="0"/>
        <w:adjustRightInd w:val="0"/>
        <w:spacing w:after="0" w:line="240" w:lineRule="auto"/>
        <w:rPr>
          <w:rFonts w:ascii="Arial" w:eastAsia="Times New Roman" w:hAnsi="Arial" w:cs="Arial"/>
          <w:bCs/>
          <w:iCs/>
          <w:lang w:val="es-ES"/>
        </w:rPr>
      </w:pPr>
    </w:p>
    <w:p w14:paraId="06768DF7" w14:textId="77777777" w:rsidR="00B172E2" w:rsidRDefault="00B172E2" w:rsidP="004F717A">
      <w:pPr>
        <w:widowControl w:val="0"/>
        <w:autoSpaceDE w:val="0"/>
        <w:autoSpaceDN w:val="0"/>
        <w:adjustRightInd w:val="0"/>
        <w:spacing w:after="0" w:line="240" w:lineRule="auto"/>
        <w:rPr>
          <w:rFonts w:ascii="Arial" w:eastAsia="Times New Roman" w:hAnsi="Arial" w:cs="Arial"/>
          <w:b/>
          <w:iCs/>
          <w:lang w:val="es-ES"/>
        </w:rPr>
      </w:pPr>
      <w:r>
        <w:rPr>
          <w:rFonts w:ascii="Arial" w:eastAsia="Times New Roman" w:hAnsi="Arial" w:cs="Arial"/>
          <w:b/>
          <w:iCs/>
          <w:lang w:val="es-ES"/>
        </w:rPr>
        <w:br w:type="page"/>
      </w:r>
    </w:p>
    <w:p w14:paraId="2FCB74CC" w14:textId="6A136E2C" w:rsidR="004F717A" w:rsidRPr="004F717A" w:rsidRDefault="004F717A" w:rsidP="004F717A">
      <w:pPr>
        <w:widowControl w:val="0"/>
        <w:autoSpaceDE w:val="0"/>
        <w:autoSpaceDN w:val="0"/>
        <w:adjustRightInd w:val="0"/>
        <w:spacing w:after="0" w:line="240" w:lineRule="auto"/>
        <w:rPr>
          <w:rFonts w:ascii="Arial" w:eastAsia="Times New Roman" w:hAnsi="Arial" w:cs="Arial"/>
          <w:b/>
          <w:iCs/>
          <w:lang w:val="es-ES"/>
        </w:rPr>
      </w:pPr>
      <w:r w:rsidRPr="004F717A">
        <w:rPr>
          <w:rFonts w:ascii="Arial" w:eastAsia="Times New Roman" w:hAnsi="Arial" w:cs="Arial"/>
          <w:b/>
          <w:iCs/>
          <w:lang w:val="es-ES"/>
        </w:rPr>
        <w:lastRenderedPageBreak/>
        <w:t xml:space="preserve">Progresos en Implementación </w:t>
      </w:r>
    </w:p>
    <w:p w14:paraId="2B4C8E27" w14:textId="77777777" w:rsidR="004F717A" w:rsidRPr="004F717A" w:rsidRDefault="004F717A" w:rsidP="004F717A">
      <w:pPr>
        <w:widowControl w:val="0"/>
        <w:autoSpaceDE w:val="0"/>
        <w:autoSpaceDN w:val="0"/>
        <w:adjustRightInd w:val="0"/>
        <w:spacing w:after="0" w:line="240" w:lineRule="auto"/>
        <w:rPr>
          <w:rFonts w:ascii="Arial" w:eastAsia="Times New Roman" w:hAnsi="Arial" w:cs="Arial"/>
          <w:bCs/>
          <w:iCs/>
          <w:lang w:val="es-ES"/>
        </w:rPr>
      </w:pPr>
    </w:p>
    <w:p w14:paraId="32F6320E" w14:textId="77777777" w:rsidR="004F717A" w:rsidRPr="004F717A" w:rsidRDefault="004F717A" w:rsidP="004F717A">
      <w:pPr>
        <w:widowControl w:val="0"/>
        <w:numPr>
          <w:ilvl w:val="0"/>
          <w:numId w:val="1"/>
        </w:numPr>
        <w:autoSpaceDE w:val="0"/>
        <w:autoSpaceDN w:val="0"/>
        <w:adjustRightInd w:val="0"/>
        <w:spacing w:after="0" w:line="240" w:lineRule="auto"/>
        <w:ind w:left="567" w:hanging="567"/>
        <w:contextualSpacing/>
        <w:jc w:val="both"/>
        <w:rPr>
          <w:rFonts w:ascii="Arial" w:eastAsia="Times New Roman" w:hAnsi="Arial" w:cs="Arial"/>
          <w:bCs/>
          <w:iCs/>
          <w:lang w:val="es-ES"/>
        </w:rPr>
      </w:pPr>
      <w:r w:rsidRPr="004F717A">
        <w:rPr>
          <w:rFonts w:ascii="Arial" w:eastAsia="Times New Roman" w:hAnsi="Arial" w:cs="Arial"/>
          <w:bCs/>
          <w:iCs/>
          <w:lang w:val="es-ES"/>
        </w:rPr>
        <w:t>El primer taller regional de expertos sobre Áreas Importantes de Tiburones y Rayas (ISRA) se celebró en modalidad híbrida (presencial y en línea) en Bogotá, Colombia del 3 al 7 de octubre de 2022. El objetivo era identificar y delinear porciones tridimensionales y discretas de hábitat que son críticas para las poblaciones de tiburones y que tienen el potencial para ser gestionadas para la conservación. Esta era la Región 12 de ISRA, el Pacífico Central y de Sudamérica (CSAP, por sus siglas en inglés), desde la punta de Baja California en México hasta el sur de Chile. Las ISRA propuestas como candidatas en el taller pasarán por un proceso de revisión de pares antes de ser finalizadas.</w:t>
      </w:r>
    </w:p>
    <w:p w14:paraId="60F1D0A7" w14:textId="77777777" w:rsidR="004F717A" w:rsidRPr="004F717A" w:rsidRDefault="004F717A" w:rsidP="004F717A">
      <w:pPr>
        <w:widowControl w:val="0"/>
        <w:autoSpaceDE w:val="0"/>
        <w:autoSpaceDN w:val="0"/>
        <w:adjustRightInd w:val="0"/>
        <w:spacing w:after="0" w:line="240" w:lineRule="auto"/>
        <w:rPr>
          <w:rFonts w:ascii="Arial" w:eastAsia="Times New Roman" w:hAnsi="Arial" w:cs="Arial"/>
          <w:bCs/>
          <w:iCs/>
          <w:lang w:val="es-ES"/>
        </w:rPr>
      </w:pPr>
    </w:p>
    <w:p w14:paraId="39435E7B" w14:textId="74D1147C"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Se incluye más información en</w:t>
      </w:r>
      <w:r w:rsidR="003D64F4">
        <w:rPr>
          <w:rFonts w:ascii="Arial" w:eastAsia="Times New Roman" w:hAnsi="Arial" w:cs="Arial"/>
          <w:bCs/>
          <w:iCs/>
          <w:lang w:val="es-ES"/>
        </w:rPr>
        <w:t xml:space="preserve"> </w:t>
      </w:r>
      <w:r w:rsidR="003D64F4" w:rsidRPr="003D64F4">
        <w:rPr>
          <w:rFonts w:ascii="Arial" w:eastAsia="Times New Roman" w:hAnsi="Arial" w:cs="Arial"/>
          <w:bCs/>
          <w:iCs/>
          <w:lang w:val="es-ES"/>
        </w:rPr>
        <w:t>“Important Shark and Ray Area (ISRA): Guidance on Criteria Application”</w:t>
      </w:r>
      <w:r w:rsidR="003D64F4">
        <w:rPr>
          <w:rFonts w:ascii="Arial" w:eastAsia="Times New Roman" w:hAnsi="Arial" w:cs="Arial"/>
          <w:bCs/>
          <w:iCs/>
          <w:lang w:val="es-ES"/>
        </w:rPr>
        <w:t xml:space="preserve">, </w:t>
      </w:r>
      <w:r w:rsidRPr="004F717A">
        <w:rPr>
          <w:rFonts w:ascii="Arial" w:eastAsia="Times New Roman" w:hAnsi="Arial" w:cs="Arial"/>
          <w:bCs/>
          <w:iCs/>
          <w:lang w:val="es-ES"/>
        </w:rPr>
        <w:t xml:space="preserve">al que se puede acceder en la </w:t>
      </w:r>
      <w:hyperlink r:id="rId15" w:history="1">
        <w:r w:rsidRPr="004F717A">
          <w:rPr>
            <w:rFonts w:ascii="Arial" w:eastAsia="Times New Roman" w:hAnsi="Arial" w:cs="Arial"/>
            <w:bCs/>
            <w:iCs/>
            <w:lang w:val="es-ES"/>
          </w:rPr>
          <w:t>página de inicio de ISRA</w:t>
        </w:r>
      </w:hyperlink>
      <w:r w:rsidRPr="004F717A">
        <w:rPr>
          <w:rFonts w:ascii="Arial" w:eastAsia="Times New Roman" w:hAnsi="Arial" w:cs="Arial"/>
          <w:bCs/>
          <w:iCs/>
          <w:lang w:val="es-ES"/>
        </w:rPr>
        <w:t xml:space="preserve"> y que también se proporciona con un documento informativo, CMS/Sharks/MOS4/Inf.5. Su objeto es ayudar en un proceso independiente basado en expertos para informar sobre la identificación y selección de áreas que son críticas para las poblaciones de tiburones. Este documento de orientación pretende ser un recurso primario para informar la propuesta de las Áreas de Interés preliminares (pAoI) y el desarrollo de candidatas a Áreas Importantes de Tiburones y Rayas (cISRA) antes y durante los Talleres regionales impulsados por expertos.</w:t>
      </w:r>
    </w:p>
    <w:p w14:paraId="688C683A"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6D876736"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r w:rsidRPr="004F717A">
        <w:rPr>
          <w:rFonts w:ascii="Arial" w:eastAsia="Times New Roman" w:hAnsi="Arial" w:cs="Arial"/>
          <w:b/>
          <w:iCs/>
          <w:lang w:val="es-ES"/>
        </w:rPr>
        <w:t>Aprobación y apoyo a la iniciativa ISRA</w:t>
      </w:r>
    </w:p>
    <w:p w14:paraId="7E8F8344"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62ABC342"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u w:val="single"/>
          <w:lang w:val="es-ES"/>
        </w:rPr>
        <w:t>El Anexo 2</w:t>
      </w:r>
      <w:r w:rsidRPr="004F717A">
        <w:rPr>
          <w:rFonts w:ascii="Arial" w:eastAsia="Times New Roman" w:hAnsi="Arial" w:cs="Arial"/>
          <w:bCs/>
          <w:iCs/>
          <w:lang w:val="es-ES"/>
        </w:rPr>
        <w:t xml:space="preserve"> proporciona un borrador “Decisiones de la Reunión”, propuesto por el Comité Asesor y la Secretaría relacionado con la iniciativa ISRA.</w:t>
      </w:r>
    </w:p>
    <w:p w14:paraId="726EA90B"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1A5804AF" w14:textId="77777777" w:rsidR="004F717A" w:rsidRPr="004F717A" w:rsidRDefault="004F717A" w:rsidP="004F717A">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u w:val="single"/>
          <w:lang w:val="es-ES"/>
        </w:rPr>
        <w:t>El Anexo 3</w:t>
      </w:r>
      <w:r w:rsidRPr="004F717A">
        <w:rPr>
          <w:rFonts w:ascii="Arial" w:eastAsia="Times New Roman" w:hAnsi="Arial" w:cs="Arial"/>
          <w:bCs/>
          <w:iCs/>
          <w:lang w:val="es-ES"/>
        </w:rPr>
        <w:t xml:space="preserve"> incluye actividades sugeridas por el Comité Asesor y la Secretaría que puede que los Signatarios deseen incluir en el POW del MdE 2023-2025 para proporcionar apoyo al IUCN SSC SSG para implementar con éxito la iniciativa ISRA. </w:t>
      </w:r>
    </w:p>
    <w:p w14:paraId="3DB86073"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6559026D" w14:textId="23A83BCE" w:rsidR="004F717A" w:rsidRPr="004F717A" w:rsidRDefault="004F717A" w:rsidP="004F717A">
      <w:pPr>
        <w:autoSpaceDN w:val="0"/>
        <w:spacing w:after="0" w:line="240" w:lineRule="auto"/>
        <w:jc w:val="both"/>
        <w:rPr>
          <w:rFonts w:ascii="Arial" w:eastAsia="Times New Roman" w:hAnsi="Arial" w:cs="Arial"/>
          <w:u w:val="single"/>
          <w:lang w:val="es-ES"/>
        </w:rPr>
      </w:pPr>
      <w:r w:rsidRPr="004F717A">
        <w:rPr>
          <w:rFonts w:ascii="Arial" w:eastAsia="Times New Roman" w:hAnsi="Arial" w:cs="Arial"/>
          <w:u w:val="single"/>
          <w:lang w:val="es-ES"/>
        </w:rPr>
        <w:t>Acci</w:t>
      </w:r>
      <w:r w:rsidR="00FA0A61">
        <w:rPr>
          <w:rFonts w:ascii="Arial" w:eastAsia="Times New Roman" w:hAnsi="Arial" w:cs="Arial"/>
          <w:u w:val="single"/>
          <w:lang w:val="es-ES"/>
        </w:rPr>
        <w:t>ones recomendadas</w:t>
      </w:r>
      <w:r w:rsidRPr="004F717A">
        <w:rPr>
          <w:rFonts w:ascii="Arial" w:eastAsia="Times New Roman" w:hAnsi="Arial" w:cs="Arial"/>
          <w:u w:val="single"/>
          <w:lang w:val="es-ES"/>
        </w:rPr>
        <w:t>:</w:t>
      </w:r>
    </w:p>
    <w:p w14:paraId="22BF09F5"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p>
    <w:p w14:paraId="15EDC73C" w14:textId="168C993D" w:rsidR="004F717A" w:rsidRPr="004F717A" w:rsidRDefault="004F717A" w:rsidP="004F717A">
      <w:pPr>
        <w:pStyle w:val="ListParagraph"/>
        <w:widowControl w:val="0"/>
        <w:numPr>
          <w:ilvl w:val="0"/>
          <w:numId w:val="1"/>
        </w:numPr>
        <w:autoSpaceDE w:val="0"/>
        <w:autoSpaceDN w:val="0"/>
        <w:adjustRightInd w:val="0"/>
        <w:spacing w:after="0" w:line="240" w:lineRule="auto"/>
        <w:ind w:left="540" w:hanging="540"/>
        <w:jc w:val="both"/>
        <w:rPr>
          <w:rFonts w:ascii="Arial" w:eastAsia="Times New Roman" w:hAnsi="Arial" w:cs="Arial"/>
          <w:lang w:val="es-ES"/>
        </w:rPr>
      </w:pPr>
      <w:r w:rsidRPr="004F717A">
        <w:rPr>
          <w:rFonts w:ascii="Arial" w:eastAsia="Times New Roman" w:hAnsi="Arial" w:cs="Arial"/>
          <w:lang w:val="es-ES"/>
        </w:rPr>
        <w:t>Se solicita a la Reunión:</w:t>
      </w:r>
    </w:p>
    <w:p w14:paraId="5E010A5C"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p>
    <w:p w14:paraId="68F742C9" w14:textId="11A7DCD3" w:rsidR="004F717A" w:rsidRPr="004F717A" w:rsidRDefault="00FA0A61" w:rsidP="004F717A">
      <w:pPr>
        <w:widowControl w:val="0"/>
        <w:numPr>
          <w:ilvl w:val="0"/>
          <w:numId w:val="11"/>
        </w:numPr>
        <w:autoSpaceDE w:val="0"/>
        <w:autoSpaceDN w:val="0"/>
        <w:adjustRightInd w:val="0"/>
        <w:spacing w:after="0" w:line="240" w:lineRule="auto"/>
        <w:ind w:left="900"/>
        <w:contextualSpacing/>
        <w:jc w:val="both"/>
        <w:rPr>
          <w:rFonts w:ascii="Arial" w:eastAsia="Times New Roman" w:hAnsi="Arial" w:cs="Arial"/>
          <w:lang w:val="es-ES"/>
        </w:rPr>
      </w:pPr>
      <w:r>
        <w:rPr>
          <w:rFonts w:ascii="Arial" w:eastAsia="Times New Roman" w:hAnsi="Arial" w:cs="Arial"/>
          <w:lang w:val="es-ES"/>
        </w:rPr>
        <w:t xml:space="preserve">tomar </w:t>
      </w:r>
      <w:r w:rsidR="004F717A" w:rsidRPr="004F717A">
        <w:rPr>
          <w:rFonts w:ascii="Arial" w:eastAsia="Times New Roman" w:hAnsi="Arial" w:cs="Arial"/>
          <w:lang w:val="es-ES"/>
        </w:rPr>
        <w:t xml:space="preserve">nota de los criterios y el proceso para identificar ISRA, presentados en el </w:t>
      </w:r>
      <w:r w:rsidR="004F717A" w:rsidRPr="004F717A">
        <w:rPr>
          <w:rFonts w:ascii="Arial" w:eastAsia="Times New Roman" w:hAnsi="Arial" w:cs="Arial"/>
          <w:u w:val="single"/>
          <w:lang w:val="es-ES"/>
        </w:rPr>
        <w:t>Anexo 1</w:t>
      </w:r>
      <w:r w:rsidR="004F717A" w:rsidRPr="004F717A">
        <w:rPr>
          <w:rFonts w:ascii="Arial" w:eastAsia="Times New Roman" w:hAnsi="Arial" w:cs="Arial"/>
          <w:lang w:val="es-ES"/>
        </w:rPr>
        <w:t>;</w:t>
      </w:r>
    </w:p>
    <w:p w14:paraId="70CA1147" w14:textId="77777777" w:rsidR="004F717A" w:rsidRPr="004F717A" w:rsidRDefault="004F717A" w:rsidP="004F717A">
      <w:pPr>
        <w:autoSpaceDN w:val="0"/>
        <w:spacing w:after="0" w:line="240" w:lineRule="auto"/>
        <w:ind w:left="900" w:hanging="360"/>
        <w:contextualSpacing/>
        <w:jc w:val="both"/>
        <w:rPr>
          <w:rFonts w:ascii="Arial" w:eastAsia="Times New Roman" w:hAnsi="Arial" w:cs="Arial"/>
          <w:lang w:val="es-ES"/>
        </w:rPr>
      </w:pPr>
    </w:p>
    <w:p w14:paraId="1305BF17" w14:textId="2CC75B1E" w:rsidR="004F717A" w:rsidRPr="004F717A" w:rsidRDefault="00FA0A61" w:rsidP="004F717A">
      <w:pPr>
        <w:widowControl w:val="0"/>
        <w:numPr>
          <w:ilvl w:val="0"/>
          <w:numId w:val="11"/>
        </w:numPr>
        <w:autoSpaceDE w:val="0"/>
        <w:autoSpaceDN w:val="0"/>
        <w:adjustRightInd w:val="0"/>
        <w:spacing w:after="0" w:line="240" w:lineRule="auto"/>
        <w:ind w:left="900"/>
        <w:contextualSpacing/>
        <w:jc w:val="both"/>
        <w:rPr>
          <w:rFonts w:ascii="Arial" w:eastAsia="Times New Roman" w:hAnsi="Arial" w:cs="Arial"/>
          <w:lang w:val="es-ES"/>
        </w:rPr>
      </w:pPr>
      <w:r>
        <w:rPr>
          <w:rFonts w:ascii="Arial" w:eastAsia="Times New Roman" w:hAnsi="Arial" w:cs="Arial"/>
          <w:lang w:val="es-ES"/>
        </w:rPr>
        <w:t>revisar</w:t>
      </w:r>
      <w:r w:rsidR="004F717A" w:rsidRPr="004F717A">
        <w:rPr>
          <w:rFonts w:ascii="Arial" w:eastAsia="Times New Roman" w:hAnsi="Arial" w:cs="Arial"/>
          <w:lang w:val="es-ES"/>
        </w:rPr>
        <w:t xml:space="preserve"> y finali</w:t>
      </w:r>
      <w:r>
        <w:rPr>
          <w:rFonts w:ascii="Arial" w:eastAsia="Times New Roman" w:hAnsi="Arial" w:cs="Arial"/>
          <w:lang w:val="es-ES"/>
        </w:rPr>
        <w:t>zar</w:t>
      </w:r>
      <w:r w:rsidR="004F717A" w:rsidRPr="004F717A">
        <w:rPr>
          <w:rFonts w:ascii="Arial" w:eastAsia="Times New Roman" w:hAnsi="Arial" w:cs="Arial"/>
          <w:lang w:val="es-ES"/>
        </w:rPr>
        <w:t xml:space="preserve"> el borrador </w:t>
      </w:r>
      <w:r w:rsidR="004F717A" w:rsidRPr="004F717A">
        <w:rPr>
          <w:rFonts w:ascii="Arial" w:eastAsia="Times New Roman" w:hAnsi="Arial" w:cs="Arial"/>
          <w:bCs/>
          <w:iCs/>
          <w:lang w:val="es-ES"/>
        </w:rPr>
        <w:t xml:space="preserve">“Decisiones de la Reunión” </w:t>
      </w:r>
      <w:r w:rsidR="004F717A" w:rsidRPr="004F717A">
        <w:rPr>
          <w:rFonts w:ascii="Arial" w:eastAsia="Times New Roman" w:hAnsi="Arial" w:cs="Arial"/>
          <w:lang w:val="es-ES"/>
        </w:rPr>
        <w:t xml:space="preserve">relacionada con la Iniciativa ISRA, presentado en el </w:t>
      </w:r>
      <w:r w:rsidR="004F717A" w:rsidRPr="004F717A">
        <w:rPr>
          <w:rFonts w:ascii="Arial" w:eastAsia="Times New Roman" w:hAnsi="Arial" w:cs="Arial"/>
          <w:u w:val="single"/>
          <w:lang w:val="es-ES"/>
        </w:rPr>
        <w:t>Anexo 2</w:t>
      </w:r>
      <w:r w:rsidR="004F717A" w:rsidRPr="004F717A">
        <w:rPr>
          <w:rFonts w:ascii="Arial" w:eastAsia="Times New Roman" w:hAnsi="Arial" w:cs="Arial"/>
          <w:lang w:val="es-ES"/>
        </w:rPr>
        <w:t>;</w:t>
      </w:r>
    </w:p>
    <w:p w14:paraId="5E809737" w14:textId="77777777" w:rsidR="004F717A" w:rsidRPr="004F717A" w:rsidRDefault="004F717A" w:rsidP="004F717A">
      <w:pPr>
        <w:autoSpaceDN w:val="0"/>
        <w:spacing w:after="0" w:line="240" w:lineRule="auto"/>
        <w:ind w:left="900" w:hanging="360"/>
        <w:contextualSpacing/>
        <w:jc w:val="both"/>
        <w:rPr>
          <w:rFonts w:ascii="Arial" w:eastAsia="Times New Roman" w:hAnsi="Arial" w:cs="Arial"/>
          <w:lang w:val="es-ES"/>
        </w:rPr>
      </w:pPr>
    </w:p>
    <w:p w14:paraId="5C37FC5D" w14:textId="127F154D" w:rsidR="00E966DE" w:rsidRPr="004F717A" w:rsidRDefault="00FA0A61" w:rsidP="004F717A">
      <w:pPr>
        <w:pStyle w:val="ListParagraph"/>
        <w:widowControl w:val="0"/>
        <w:numPr>
          <w:ilvl w:val="0"/>
          <w:numId w:val="11"/>
        </w:numPr>
        <w:autoSpaceDE w:val="0"/>
        <w:autoSpaceDN w:val="0"/>
        <w:adjustRightInd w:val="0"/>
        <w:spacing w:after="0" w:line="240" w:lineRule="auto"/>
        <w:ind w:left="900"/>
        <w:jc w:val="both"/>
        <w:rPr>
          <w:rFonts w:ascii="Arial" w:eastAsia="Times New Roman" w:hAnsi="Arial" w:cs="Arial"/>
          <w:lang w:val="es-ES"/>
        </w:rPr>
      </w:pPr>
      <w:r>
        <w:rPr>
          <w:rFonts w:ascii="Arial" w:eastAsia="Times New Roman" w:hAnsi="Arial" w:cs="Arial"/>
          <w:lang w:val="es-ES"/>
        </w:rPr>
        <w:t>revisar</w:t>
      </w:r>
      <w:r w:rsidR="004F717A" w:rsidRPr="004F717A">
        <w:rPr>
          <w:rFonts w:ascii="Arial" w:eastAsia="Times New Roman" w:hAnsi="Arial" w:cs="Arial"/>
          <w:lang w:val="es-ES"/>
        </w:rPr>
        <w:t xml:space="preserve"> y final</w:t>
      </w:r>
      <w:r>
        <w:rPr>
          <w:rFonts w:ascii="Arial" w:eastAsia="Times New Roman" w:hAnsi="Arial" w:cs="Arial"/>
          <w:lang w:val="es-ES"/>
        </w:rPr>
        <w:t>izar</w:t>
      </w:r>
      <w:r w:rsidR="004F717A" w:rsidRPr="004F717A">
        <w:rPr>
          <w:rFonts w:ascii="Arial" w:eastAsia="Times New Roman" w:hAnsi="Arial" w:cs="Arial"/>
          <w:lang w:val="es-ES"/>
        </w:rPr>
        <w:t xml:space="preserve"> los borradores de actividades que se van a incluir en el Programa de Trabajo 2023-2025, para apoyar la iniciativa ISRA, presentada en el </w:t>
      </w:r>
      <w:r w:rsidR="004F717A" w:rsidRPr="004F717A">
        <w:rPr>
          <w:rFonts w:ascii="Arial" w:eastAsia="Times New Roman" w:hAnsi="Arial" w:cs="Arial"/>
          <w:u w:val="single"/>
          <w:lang w:val="es-ES"/>
        </w:rPr>
        <w:t>Anexo 3</w:t>
      </w:r>
    </w:p>
    <w:p w14:paraId="07EC1D2B" w14:textId="07ABF952" w:rsidR="002E7625" w:rsidRDefault="002E7625" w:rsidP="00E966DE">
      <w:pPr>
        <w:widowControl w:val="0"/>
        <w:autoSpaceDE w:val="0"/>
        <w:autoSpaceDN w:val="0"/>
        <w:adjustRightInd w:val="0"/>
        <w:spacing w:after="0" w:line="240" w:lineRule="auto"/>
        <w:jc w:val="both"/>
        <w:rPr>
          <w:rFonts w:ascii="Arial" w:eastAsia="Times New Roman" w:hAnsi="Arial" w:cs="Arial"/>
          <w:lang w:val="es-ES"/>
        </w:rPr>
      </w:pPr>
    </w:p>
    <w:p w14:paraId="29B9B3CD" w14:textId="77777777" w:rsidR="004F717A" w:rsidRDefault="004F717A" w:rsidP="00E966DE">
      <w:pPr>
        <w:widowControl w:val="0"/>
        <w:autoSpaceDE w:val="0"/>
        <w:autoSpaceDN w:val="0"/>
        <w:adjustRightInd w:val="0"/>
        <w:spacing w:after="0" w:line="240" w:lineRule="auto"/>
        <w:jc w:val="both"/>
        <w:rPr>
          <w:rFonts w:ascii="Arial" w:eastAsia="Times New Roman" w:hAnsi="Arial" w:cs="Arial"/>
          <w:lang w:val="es-ES"/>
        </w:rPr>
        <w:sectPr w:rsidR="004F717A" w:rsidSect="003D64F4">
          <w:headerReference w:type="even" r:id="rId16"/>
          <w:headerReference w:type="default" r:id="rId17"/>
          <w:footerReference w:type="even" r:id="rId18"/>
          <w:footerReference w:type="default" r:id="rId19"/>
          <w:footerReference w:type="first" r:id="rId20"/>
          <w:pgSz w:w="11906" w:h="16838" w:code="9"/>
          <w:pgMar w:top="1440" w:right="1440" w:bottom="1440" w:left="1440" w:header="708" w:footer="708" w:gutter="0"/>
          <w:cols w:space="708"/>
          <w:titlePg/>
          <w:docGrid w:linePitch="360"/>
        </w:sectPr>
      </w:pPr>
    </w:p>
    <w:p w14:paraId="2F629002" w14:textId="77777777" w:rsidR="004F717A" w:rsidRPr="004F717A" w:rsidRDefault="004F717A" w:rsidP="004F717A">
      <w:pPr>
        <w:widowControl w:val="0"/>
        <w:autoSpaceDE w:val="0"/>
        <w:autoSpaceDN w:val="0"/>
        <w:adjustRightInd w:val="0"/>
        <w:spacing w:after="0" w:line="240" w:lineRule="auto"/>
        <w:jc w:val="right"/>
        <w:rPr>
          <w:rFonts w:ascii="Arial" w:eastAsia="Times New Roman" w:hAnsi="Arial" w:cs="Arial"/>
          <w:b/>
          <w:iCs/>
          <w:lang w:val="es-ES"/>
        </w:rPr>
      </w:pPr>
      <w:r w:rsidRPr="004F717A">
        <w:rPr>
          <w:rFonts w:ascii="Arial" w:eastAsia="Times New Roman" w:hAnsi="Arial" w:cs="Arial"/>
          <w:b/>
          <w:iCs/>
          <w:lang w:val="es-ES"/>
        </w:rPr>
        <w:lastRenderedPageBreak/>
        <w:t>ANEXO 1</w:t>
      </w:r>
    </w:p>
    <w:p w14:paraId="733B755D"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4B126C6B"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1CD613A0" w14:textId="77777777" w:rsidR="004F717A" w:rsidRPr="004F717A" w:rsidRDefault="004F717A" w:rsidP="004F717A">
      <w:pPr>
        <w:widowControl w:val="0"/>
        <w:autoSpaceDE w:val="0"/>
        <w:autoSpaceDN w:val="0"/>
        <w:adjustRightInd w:val="0"/>
        <w:spacing w:after="0" w:line="240" w:lineRule="auto"/>
        <w:jc w:val="center"/>
        <w:rPr>
          <w:rFonts w:ascii="Arial" w:eastAsia="Times New Roman" w:hAnsi="Arial" w:cs="Arial"/>
          <w:b/>
          <w:iCs/>
          <w:lang w:val="es-ES"/>
        </w:rPr>
      </w:pPr>
      <w:r w:rsidRPr="004F717A">
        <w:rPr>
          <w:rFonts w:ascii="Arial" w:eastAsia="Times New Roman" w:hAnsi="Arial" w:cs="Arial"/>
          <w:b/>
          <w:iCs/>
          <w:lang w:val="es-ES"/>
        </w:rPr>
        <w:t xml:space="preserve">CRITERIOS Y PROCESO PARA LA IDENTIFICACIÓN DE </w:t>
      </w:r>
    </w:p>
    <w:p w14:paraId="5BBB90EE" w14:textId="77777777" w:rsidR="004F717A" w:rsidRPr="004F717A" w:rsidRDefault="004F717A" w:rsidP="004F717A">
      <w:pPr>
        <w:widowControl w:val="0"/>
        <w:autoSpaceDE w:val="0"/>
        <w:autoSpaceDN w:val="0"/>
        <w:adjustRightInd w:val="0"/>
        <w:spacing w:after="120" w:line="240" w:lineRule="auto"/>
        <w:jc w:val="center"/>
        <w:rPr>
          <w:rFonts w:ascii="Arial" w:eastAsia="Times New Roman" w:hAnsi="Arial" w:cs="Arial"/>
          <w:b/>
          <w:iCs/>
          <w:lang w:val="es-ES"/>
        </w:rPr>
      </w:pPr>
      <w:r w:rsidRPr="004F717A">
        <w:rPr>
          <w:rFonts w:ascii="Arial" w:eastAsia="Times New Roman" w:hAnsi="Arial" w:cs="Arial"/>
          <w:b/>
          <w:iCs/>
          <w:lang w:val="es-ES"/>
        </w:rPr>
        <w:t>ÁREAS IMPORTANTES DE TIBURONES Y RAYAS (ISRA)</w:t>
      </w:r>
    </w:p>
    <w:p w14:paraId="45B3CFF4" w14:textId="77777777" w:rsidR="004F717A" w:rsidRPr="004F717A" w:rsidRDefault="004F717A" w:rsidP="004F717A">
      <w:pPr>
        <w:widowControl w:val="0"/>
        <w:autoSpaceDE w:val="0"/>
        <w:autoSpaceDN w:val="0"/>
        <w:adjustRightInd w:val="0"/>
        <w:spacing w:after="0" w:line="240" w:lineRule="auto"/>
        <w:jc w:val="center"/>
        <w:rPr>
          <w:rFonts w:ascii="Arial" w:eastAsia="Times New Roman" w:hAnsi="Arial" w:cs="Arial"/>
          <w:bCs/>
          <w:iCs/>
          <w:lang w:val="es-ES"/>
        </w:rPr>
      </w:pPr>
      <w:r w:rsidRPr="004F717A">
        <w:rPr>
          <w:rFonts w:ascii="Arial" w:eastAsia="Times New Roman" w:hAnsi="Arial" w:cs="Arial"/>
          <w:bCs/>
          <w:iCs/>
          <w:lang w:val="es-ES"/>
        </w:rPr>
        <w:t>(</w:t>
      </w:r>
      <w:r w:rsidRPr="004F717A">
        <w:rPr>
          <w:rFonts w:ascii="Arial" w:eastAsia="Times New Roman" w:hAnsi="Arial" w:cs="Arial"/>
          <w:bCs/>
          <w:i/>
          <w:lang w:val="es-ES"/>
        </w:rPr>
        <w:t>Extraído de Hyde et al. 2022</w:t>
      </w:r>
      <w:r w:rsidRPr="004F717A">
        <w:rPr>
          <w:rFonts w:ascii="Arial" w:eastAsia="Times New Roman" w:hAnsi="Arial" w:cs="Arial"/>
          <w:bCs/>
          <w:iCs/>
          <w:lang w:val="es-ES"/>
        </w:rPr>
        <w:t>)</w:t>
      </w:r>
    </w:p>
    <w:p w14:paraId="1E3DA726"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3E4218AC"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08B95D59"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r w:rsidRPr="004F717A">
        <w:rPr>
          <w:rFonts w:ascii="Arial" w:eastAsia="Times New Roman" w:hAnsi="Arial" w:cs="Arial"/>
          <w:lang w:val="es-ES"/>
        </w:rPr>
        <w:t xml:space="preserve">La Unión Internacional para la Conservación de la Naturaleza Comisión para la Supervivencia de Especies Grupo Especialista en Tiburones (IUCN SSC SSG) ha desarrollado los siguientes criterios y un proceso para la identificación de Áreas Importantes de Tiburones y Rayas (ISRA), que se han publicado en </w:t>
      </w:r>
      <w:r w:rsidRPr="004F717A">
        <w:rPr>
          <w:rFonts w:ascii="Arial" w:eastAsia="Times New Roman" w:hAnsi="Arial" w:cs="Arial"/>
          <w:b/>
          <w:bCs/>
          <w:lang w:val="es-ES"/>
        </w:rPr>
        <w:t>Hyde et al. 2022</w:t>
      </w:r>
      <w:r w:rsidRPr="004F717A">
        <w:rPr>
          <w:rFonts w:ascii="Arial" w:eastAsia="Times New Roman" w:hAnsi="Arial" w:cs="Arial"/>
          <w:vertAlign w:val="superscript"/>
          <w:lang w:val="es-ES"/>
        </w:rPr>
        <w:footnoteReference w:id="5"/>
      </w:r>
      <w:r w:rsidRPr="004F717A">
        <w:rPr>
          <w:rFonts w:ascii="Arial" w:eastAsia="Times New Roman" w:hAnsi="Arial" w:cs="Arial"/>
          <w:lang w:val="es-ES"/>
        </w:rPr>
        <w:t xml:space="preserve"> y como </w:t>
      </w:r>
      <w:bookmarkStart w:id="10" w:name="_Hlk118647551"/>
      <w:r w:rsidRPr="004F717A">
        <w:rPr>
          <w:rFonts w:ascii="Arial" w:eastAsia="Times New Roman" w:hAnsi="Arial" w:cs="Arial"/>
          <w:b/>
          <w:bCs/>
          <w:lang w:val="es-ES"/>
        </w:rPr>
        <w:t>"ÁREA IMPORTANTE DE TIBURONES Y RAYAS (ISRA): ORIENTACIÓN SOBRE LA APLICACIÓN DE CRITERIOS</w:t>
      </w:r>
      <w:r w:rsidRPr="004F717A">
        <w:rPr>
          <w:rFonts w:ascii="Arial" w:eastAsia="Times New Roman" w:hAnsi="Arial" w:cs="Times New Roman"/>
          <w:sz w:val="18"/>
          <w:szCs w:val="24"/>
          <w:lang w:val="es-ES"/>
        </w:rPr>
        <w:t xml:space="preserve">” </w:t>
      </w:r>
      <w:r w:rsidRPr="004F717A">
        <w:rPr>
          <w:rFonts w:ascii="Arial" w:eastAsia="Times New Roman" w:hAnsi="Arial" w:cs="Arial"/>
          <w:lang w:val="es-ES"/>
        </w:rPr>
        <w:t xml:space="preserve">(CMS/Sharks/MOS4/Inf.5) </w:t>
      </w:r>
      <w:bookmarkEnd w:id="10"/>
      <w:r w:rsidRPr="004F717A">
        <w:rPr>
          <w:rFonts w:ascii="Arial" w:eastAsia="Times New Roman" w:hAnsi="Arial" w:cs="Arial"/>
          <w:lang w:val="es-ES"/>
        </w:rPr>
        <w:t>en el sitio web de la iniciativa.</w:t>
      </w:r>
    </w:p>
    <w:p w14:paraId="4A3ED129"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66EAE3B7" w14:textId="77777777" w:rsidR="004F717A" w:rsidRPr="004F717A" w:rsidRDefault="004F717A" w:rsidP="004F717A">
      <w:pPr>
        <w:widowControl w:val="0"/>
        <w:numPr>
          <w:ilvl w:val="0"/>
          <w:numId w:val="7"/>
        </w:numPr>
        <w:autoSpaceDE w:val="0"/>
        <w:autoSpaceDN w:val="0"/>
        <w:adjustRightInd w:val="0"/>
        <w:spacing w:after="0" w:line="240" w:lineRule="auto"/>
        <w:ind w:left="540" w:hanging="540"/>
        <w:contextualSpacing/>
        <w:jc w:val="both"/>
        <w:rPr>
          <w:rFonts w:ascii="Arial" w:eastAsia="Times New Roman" w:hAnsi="Arial" w:cs="Arial"/>
          <w:b/>
          <w:iCs/>
          <w:lang w:val="es-ES"/>
        </w:rPr>
      </w:pPr>
      <w:r w:rsidRPr="004F717A">
        <w:rPr>
          <w:rFonts w:ascii="Arial" w:eastAsia="Times New Roman" w:hAnsi="Arial" w:cs="Arial"/>
          <w:b/>
          <w:iCs/>
          <w:lang w:val="es-ES"/>
        </w:rPr>
        <w:t>Criterios para la identificación de la ISRA</w:t>
      </w:r>
    </w:p>
    <w:p w14:paraId="5C2ECACE"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0A272D30"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r w:rsidRPr="004F717A">
        <w:rPr>
          <w:rFonts w:ascii="Arial" w:eastAsia="Times New Roman" w:hAnsi="Arial" w:cs="Arial"/>
          <w:b/>
          <w:iCs/>
          <w:lang w:val="es-ES"/>
        </w:rPr>
        <w:t xml:space="preserve">Criterio A (Vulnerabilidad): </w:t>
      </w:r>
      <w:r w:rsidRPr="004F717A">
        <w:rPr>
          <w:rFonts w:ascii="Arial" w:eastAsia="Times New Roman" w:hAnsi="Arial" w:cs="Arial"/>
          <w:bCs/>
          <w:iCs/>
          <w:lang w:val="es-ES"/>
        </w:rPr>
        <w:t xml:space="preserve">El criterio A se refiere a áreas importantes para la persistencia y recuperación de tiburones amenazados. Los tiburones amenazados son aquellos enumerados en la Lista Roja de la UICN como En grave peligro de extinción, En peligro de extinción, o Vulnerable (Unión Internacional para la Conservación de la Naturaleza [UICN], 2022). Bajo este criterio, "amenazado" también podría referirse a tiburones en riesgo de extinción como se refleja en otras evaluaciones disponibles (p. ej., normativa nacional y marcos de trabajo legales que evalúan el riesgo de extinción de especies como la Ley de Especies en peligro de extinción [ESA, por sus siglas en inglés] de los Estados Unidos o la Ley de Protección del Entorno y Conservación de la Biodiversidad [EPBC, por sus siglas en inglés] de Australia. </w:t>
      </w:r>
    </w:p>
    <w:p w14:paraId="1BFD3094"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p>
    <w:p w14:paraId="5B3D62B3"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r w:rsidRPr="004F717A">
        <w:rPr>
          <w:rFonts w:ascii="Arial" w:eastAsia="Times New Roman" w:hAnsi="Arial" w:cs="Arial"/>
          <w:b/>
          <w:iCs/>
          <w:lang w:val="es-ES"/>
        </w:rPr>
        <w:t xml:space="preserve">Criterio B (restringido al Área de distribución): </w:t>
      </w:r>
      <w:r w:rsidRPr="004F717A">
        <w:rPr>
          <w:rFonts w:ascii="Arial" w:eastAsia="Times New Roman" w:hAnsi="Arial" w:cs="Arial"/>
          <w:bCs/>
          <w:iCs/>
          <w:lang w:val="es-ES"/>
        </w:rPr>
        <w:t xml:space="preserve">El criterio B se refiere a zonas con presencia regular y/o predecible de tiburones restringidos al área de distribución, que están ocupadas todo el año o de forma estacional. </w:t>
      </w:r>
    </w:p>
    <w:p w14:paraId="5D004B10"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p>
    <w:p w14:paraId="6F4C7D13"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r w:rsidRPr="004F717A">
        <w:rPr>
          <w:rFonts w:ascii="Arial" w:eastAsia="Times New Roman" w:hAnsi="Arial" w:cs="Arial"/>
          <w:b/>
          <w:iCs/>
          <w:lang w:val="es-ES"/>
        </w:rPr>
        <w:t xml:space="preserve">Criterio C (Ciclo biológico): </w:t>
      </w:r>
      <w:r w:rsidRPr="004F717A">
        <w:rPr>
          <w:rFonts w:ascii="Arial" w:eastAsia="Times New Roman" w:hAnsi="Arial" w:cs="Arial"/>
          <w:bCs/>
          <w:iCs/>
          <w:lang w:val="es-ES"/>
        </w:rPr>
        <w:t>El criterio C se refiere a áreas que son importantes para los tiburones para llevar a cabo funciones vitales durante su ciclo biológico (es decir, reproducción, alimentación, descanso, movimiento o agrupaciones indefinidas). Esto incluye cinco subcriterios para comprender la amplia variedad y complejidad de los ciclos vitales.</w:t>
      </w:r>
    </w:p>
    <w:p w14:paraId="6467410E"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p>
    <w:p w14:paraId="6837995D" w14:textId="77777777" w:rsidR="004F717A" w:rsidRPr="004F717A" w:rsidRDefault="004F717A" w:rsidP="004F717A">
      <w:pPr>
        <w:widowControl w:val="0"/>
        <w:autoSpaceDE w:val="0"/>
        <w:autoSpaceDN w:val="0"/>
        <w:adjustRightInd w:val="0"/>
        <w:spacing w:after="8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C (Áreas reproductivas): </w:t>
      </w:r>
      <w:r w:rsidRPr="004F717A">
        <w:rPr>
          <w:rFonts w:ascii="Arial" w:eastAsia="Times New Roman" w:hAnsi="Arial" w:cs="Arial"/>
          <w:bCs/>
          <w:iCs/>
          <w:lang w:val="es-ES"/>
        </w:rPr>
        <w:t xml:space="preserve">Las áreas reproductivas son importantes para el apareamiento, nacimiento, desove o para proporcionar refugio u otras ventajas para las crías (p. ej., evitar depredadores o acceder a fuentes de comida), y por tanto son críticas para el éxito reproductivo. Esto incluye lugares que pueden identificarse como "zonas de cría" que son importantes para los recién nacidos, las crías de un año, o jóvenes de especies vivíparas; o "zonas de cría de huevos" que son importantes para el desove y el desarrollo hasta la eclosión y el desarrollo de las crías y jóvenes de especies ovíparas. </w:t>
      </w:r>
    </w:p>
    <w:p w14:paraId="3803787A" w14:textId="77777777" w:rsidR="004F717A" w:rsidRPr="004F717A" w:rsidRDefault="004F717A" w:rsidP="004F717A">
      <w:pPr>
        <w:widowControl w:val="0"/>
        <w:autoSpaceDE w:val="0"/>
        <w:autoSpaceDN w:val="0"/>
        <w:adjustRightInd w:val="0"/>
        <w:spacing w:after="8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C2 (Áreas de alimentación): </w:t>
      </w:r>
      <w:r w:rsidRPr="004F717A">
        <w:rPr>
          <w:rFonts w:ascii="Arial" w:eastAsia="Times New Roman" w:hAnsi="Arial" w:cs="Arial"/>
          <w:bCs/>
          <w:iCs/>
          <w:lang w:val="es-ES"/>
        </w:rPr>
        <w:t xml:space="preserve">Las áreas de alimentación son importantes para la nutrición de los tiburones en uno o más estadios del ciclo vital. El subcriterio C2 se relaciona con las zonas donde se sabe que los tiburones derivan la nutrición, y que se sostienen por la existencia regular y predecible de presas. </w:t>
      </w:r>
    </w:p>
    <w:p w14:paraId="7831A52D" w14:textId="77777777" w:rsidR="004F717A" w:rsidRPr="004F717A" w:rsidRDefault="004F717A" w:rsidP="004F717A">
      <w:pPr>
        <w:widowControl w:val="0"/>
        <w:autoSpaceDE w:val="0"/>
        <w:autoSpaceDN w:val="0"/>
        <w:adjustRightInd w:val="0"/>
        <w:spacing w:after="8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C3 (Áreas de descanso): </w:t>
      </w:r>
      <w:r w:rsidRPr="004F717A">
        <w:rPr>
          <w:rFonts w:ascii="Arial" w:eastAsia="Times New Roman" w:hAnsi="Arial" w:cs="Arial"/>
          <w:bCs/>
          <w:iCs/>
          <w:lang w:val="es-ES"/>
        </w:rPr>
        <w:t xml:space="preserve">Las áreas de descanso son importantes para que los tiburones conserven la energía y a menudo están relacionadas con condiciones ambientales o factores temporales. Estas son áreas donde una agrupación o conjunto de tiburones pasa tiempo durante ciclos de actividad diaria y que pueden estar </w:t>
      </w:r>
      <w:r w:rsidRPr="004F717A">
        <w:rPr>
          <w:rFonts w:ascii="Arial" w:eastAsia="Times New Roman" w:hAnsi="Arial" w:cs="Arial"/>
          <w:bCs/>
          <w:iCs/>
          <w:lang w:val="es-ES"/>
        </w:rPr>
        <w:lastRenderedPageBreak/>
        <w:t xml:space="preserve">influenciadas por condiciones ambientales (p. ej., ciclo de marea) o factores temporales (p. ej., hora del día). </w:t>
      </w:r>
    </w:p>
    <w:p w14:paraId="239AACC8" w14:textId="77777777" w:rsidR="004F717A" w:rsidRPr="004F717A" w:rsidRDefault="004F717A" w:rsidP="004F717A">
      <w:pPr>
        <w:widowControl w:val="0"/>
        <w:autoSpaceDE w:val="0"/>
        <w:autoSpaceDN w:val="0"/>
        <w:adjustRightInd w:val="0"/>
        <w:spacing w:after="8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C4 (Movimiento): </w:t>
      </w:r>
      <w:r w:rsidRPr="004F717A">
        <w:rPr>
          <w:rFonts w:ascii="Arial" w:eastAsia="Times New Roman" w:hAnsi="Arial" w:cs="Arial"/>
          <w:bCs/>
          <w:iCs/>
          <w:lang w:val="es-ES"/>
        </w:rPr>
        <w:t xml:space="preserve">Este subcriterio identifica áreas usadas por los tiburones regularmente o de forma predecible durante sus movimientos, como las migraciones, que contribuyen a la conectividad de áreas importantes. El subcriterio C4 aborda los movimientos predecibles de los tiburones, agrupaciones o conjuntos de un lugar a otro, a menudo relacionados con una función vital o estacional como la reproducción o la alimentación. </w:t>
      </w:r>
    </w:p>
    <w:p w14:paraId="7FE32AD3" w14:textId="77777777" w:rsidR="004F717A" w:rsidRPr="004F717A" w:rsidRDefault="004F717A" w:rsidP="004F717A">
      <w:pPr>
        <w:widowControl w:val="0"/>
        <w:autoSpaceDE w:val="0"/>
        <w:autoSpaceDN w:val="0"/>
        <w:adjustRightInd w:val="0"/>
        <w:spacing w:after="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C5 (Agrupaciones indefinidas): </w:t>
      </w:r>
      <w:r w:rsidRPr="004F717A">
        <w:rPr>
          <w:rFonts w:ascii="Arial" w:eastAsia="Times New Roman" w:hAnsi="Arial" w:cs="Arial"/>
          <w:bCs/>
          <w:iCs/>
          <w:lang w:val="es-ES"/>
        </w:rPr>
        <w:t xml:space="preserve">Este subcriterio identifica áreas donde ocurre una agrupación o conjunto de tiburones de forma regular o predecible, todo el año o de forma estacional, pero la función de la agrupación se desconoce actualmente. El subcriterio C5 se refiere a agrupaciones o conjuntos de tiburones en un área donde participan, o muestran un comportamiento que se conoce, pero (aún) no se atribuye a una función vital conocida (p. ej., reproducción, alimentación, descanso o movimiento) o a evitar depredadores (p. ej., educación de las crías). </w:t>
      </w:r>
    </w:p>
    <w:p w14:paraId="48EEED5E" w14:textId="77777777" w:rsidR="004F717A" w:rsidRPr="004F717A" w:rsidRDefault="004F717A" w:rsidP="004F717A">
      <w:pPr>
        <w:widowControl w:val="0"/>
        <w:autoSpaceDE w:val="0"/>
        <w:autoSpaceDN w:val="0"/>
        <w:adjustRightInd w:val="0"/>
        <w:spacing w:after="0" w:line="240" w:lineRule="auto"/>
        <w:ind w:left="1080"/>
        <w:jc w:val="both"/>
        <w:rPr>
          <w:rFonts w:ascii="Arial" w:eastAsia="Times New Roman" w:hAnsi="Arial" w:cs="Arial"/>
          <w:bCs/>
          <w:iCs/>
          <w:lang w:val="es-ES"/>
        </w:rPr>
      </w:pPr>
    </w:p>
    <w:p w14:paraId="11150DC9"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r w:rsidRPr="004F717A">
        <w:rPr>
          <w:rFonts w:ascii="Arial" w:eastAsia="Times New Roman" w:hAnsi="Arial" w:cs="Arial"/>
          <w:b/>
          <w:iCs/>
          <w:lang w:val="es-ES"/>
        </w:rPr>
        <w:t xml:space="preserve">Criterio D (Atributos especiales): </w:t>
      </w:r>
      <w:r w:rsidRPr="004F717A">
        <w:rPr>
          <w:rFonts w:ascii="Arial" w:eastAsia="Times New Roman" w:hAnsi="Arial" w:cs="Arial"/>
          <w:bCs/>
          <w:iCs/>
          <w:lang w:val="es-ES"/>
        </w:rPr>
        <w:t xml:space="preserve">El Criterio D se refiere a áreas importantes para tiburones que son considerados por atributos distintivos biológicos, de comportamiento o ecológicos (únicos o asociados con un tipo de hábitat único) o que sostienen una importante diversidad de especies. Consiste en dos subcriterios relacionados con la notoriedad y la diversidad. </w:t>
      </w:r>
    </w:p>
    <w:p w14:paraId="6FBE9B4D" w14:textId="77777777" w:rsidR="004F717A" w:rsidRPr="004F717A" w:rsidRDefault="004F717A" w:rsidP="004F717A">
      <w:pPr>
        <w:widowControl w:val="0"/>
        <w:autoSpaceDE w:val="0"/>
        <w:autoSpaceDN w:val="0"/>
        <w:adjustRightInd w:val="0"/>
        <w:spacing w:after="0" w:line="240" w:lineRule="auto"/>
        <w:ind w:left="540"/>
        <w:jc w:val="both"/>
        <w:rPr>
          <w:rFonts w:ascii="Arial" w:eastAsia="Times New Roman" w:hAnsi="Arial" w:cs="Arial"/>
          <w:bCs/>
          <w:iCs/>
          <w:lang w:val="es-ES"/>
        </w:rPr>
      </w:pPr>
    </w:p>
    <w:p w14:paraId="7E58DD84" w14:textId="77777777" w:rsidR="004F717A" w:rsidRPr="004F717A" w:rsidRDefault="004F717A" w:rsidP="004F717A">
      <w:pPr>
        <w:widowControl w:val="0"/>
        <w:autoSpaceDE w:val="0"/>
        <w:autoSpaceDN w:val="0"/>
        <w:adjustRightInd w:val="0"/>
        <w:spacing w:after="8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D1 (Notoriedad): </w:t>
      </w:r>
      <w:r w:rsidRPr="004F717A">
        <w:rPr>
          <w:rFonts w:ascii="Arial" w:eastAsia="Times New Roman" w:hAnsi="Arial" w:cs="Arial"/>
          <w:bCs/>
          <w:iCs/>
          <w:lang w:val="es-ES"/>
        </w:rPr>
        <w:t xml:space="preserve">El subcriterio D1 identifica áreas donde los tiburones muestran características biológicas, de comportamiento o ecológicas distintivas. La variedad de tiburones, sus rasgos únicos y sus adaptaciones pueden dar como resultado características distintivas. </w:t>
      </w:r>
    </w:p>
    <w:p w14:paraId="32371D98" w14:textId="77777777" w:rsidR="004F717A" w:rsidRPr="004F717A" w:rsidRDefault="004F717A" w:rsidP="004F717A">
      <w:pPr>
        <w:widowControl w:val="0"/>
        <w:autoSpaceDE w:val="0"/>
        <w:autoSpaceDN w:val="0"/>
        <w:adjustRightInd w:val="0"/>
        <w:spacing w:after="0" w:line="240" w:lineRule="auto"/>
        <w:ind w:left="1080"/>
        <w:jc w:val="both"/>
        <w:rPr>
          <w:rFonts w:ascii="Arial" w:eastAsia="Times New Roman" w:hAnsi="Arial" w:cs="Arial"/>
          <w:bCs/>
          <w:iCs/>
          <w:lang w:val="es-ES"/>
        </w:rPr>
      </w:pPr>
      <w:r w:rsidRPr="004F717A">
        <w:rPr>
          <w:rFonts w:ascii="Arial" w:eastAsia="Times New Roman" w:hAnsi="Arial" w:cs="Arial"/>
          <w:b/>
          <w:iCs/>
          <w:lang w:val="es-ES"/>
        </w:rPr>
        <w:t xml:space="preserve">Subcriterio D2 (Diversidad): </w:t>
      </w:r>
      <w:r w:rsidRPr="004F717A">
        <w:rPr>
          <w:rFonts w:ascii="Arial" w:eastAsia="Times New Roman" w:hAnsi="Arial" w:cs="Arial"/>
          <w:bCs/>
          <w:iCs/>
          <w:lang w:val="es-ES"/>
        </w:rPr>
        <w:t xml:space="preserve">El subcriterio D2 identifica áreas que sostienen una importante diversidad de tiburones. Estas son áreas que pueden alojar una alta diversidad de tiburones (es decir, la diversidad del conjunto de tiburones que se da es alta o excepcional para esa región) y son críticas para la persistencia de la diversidad de tiburones. </w:t>
      </w:r>
    </w:p>
    <w:p w14:paraId="077727D0"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013F1701" w14:textId="77777777" w:rsidR="004F717A" w:rsidRPr="004F717A" w:rsidRDefault="004F717A" w:rsidP="004F717A">
      <w:pPr>
        <w:widowControl w:val="0"/>
        <w:numPr>
          <w:ilvl w:val="0"/>
          <w:numId w:val="7"/>
        </w:numPr>
        <w:autoSpaceDE w:val="0"/>
        <w:autoSpaceDN w:val="0"/>
        <w:adjustRightInd w:val="0"/>
        <w:spacing w:after="0" w:line="240" w:lineRule="auto"/>
        <w:ind w:left="540" w:hanging="540"/>
        <w:contextualSpacing/>
        <w:jc w:val="both"/>
        <w:rPr>
          <w:rFonts w:ascii="Arial" w:eastAsia="Times New Roman" w:hAnsi="Arial" w:cs="Arial"/>
          <w:b/>
          <w:iCs/>
          <w:lang w:val="es-ES"/>
        </w:rPr>
      </w:pPr>
      <w:r w:rsidRPr="004F717A">
        <w:rPr>
          <w:rFonts w:ascii="Arial" w:eastAsia="Times New Roman" w:hAnsi="Arial" w:cs="Arial"/>
          <w:b/>
          <w:iCs/>
          <w:lang w:val="es-ES"/>
        </w:rPr>
        <w:t>Proceso de identificación de las ISRA</w:t>
      </w:r>
    </w:p>
    <w:p w14:paraId="6C623CEE"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35341830" w14:textId="1225408F" w:rsidR="002E7625"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r w:rsidRPr="004F717A">
        <w:rPr>
          <w:rFonts w:ascii="Arial" w:eastAsia="Times New Roman" w:hAnsi="Arial" w:cs="Arial"/>
          <w:bCs/>
          <w:iCs/>
          <w:lang w:val="es-ES"/>
        </w:rPr>
        <w:t>Las ISRA se identifican mediante talleres regionales de expertos. Estos son organizados por el Grupo Especialista de Tiburones de la CSE de la UICN después de una consulta con sus Subdirectores regionales. Las invitaciones a talleres se extienden a miembros y no miembros regionales que tengan conocimiento y experiencia útil para la identificación de las ISRA. Las fuentes de información para la consideración y evaluación durante cada taller se buscan activamente durante un período de actuación anterior a cada taller regional y se convierten en parte del Inventario de Conocimiento de las ISRA. Basándose en los comentarios de expertos, se examinan Áreas de Interés preliminares (pAoI) por la presencia regular o predecible de especies a las cuales se les pueden aplicar los criterios. Las Especies Admisibles o Apoyadas evaluadas según cada uno de los Criterios ISRA dentro de las pAoI permiten que se justifique una candidata a Área Importante de Tiburones y Rayas (cISRA). Finalmente, después del taller, cada cISRA está sujeta a una revisión de pares mediante un Panel de Revisión Independiente. Este panel está formado por reconocidos expertos en tiburones que no han estado implicados en los talleres regionales, pero que conocen en profundidad las especies, los hábitats y los Criterios ISRA (Notarbartolo di Sciara, 2021</w:t>
      </w:r>
      <w:r w:rsidRPr="004F717A">
        <w:rPr>
          <w:rFonts w:ascii="Arial" w:eastAsia="Times New Roman" w:hAnsi="Arial" w:cs="Arial"/>
          <w:bCs/>
          <w:iCs/>
          <w:vertAlign w:val="superscript"/>
          <w:lang w:val="es-ES"/>
        </w:rPr>
        <w:footnoteReference w:id="6"/>
      </w:r>
      <w:r w:rsidRPr="004F717A">
        <w:rPr>
          <w:rFonts w:ascii="Arial" w:eastAsia="Times New Roman" w:hAnsi="Arial" w:cs="Arial"/>
          <w:bCs/>
          <w:iCs/>
          <w:lang w:val="es-ES"/>
        </w:rPr>
        <w:t>).</w:t>
      </w:r>
    </w:p>
    <w:p w14:paraId="3A2A7AD4" w14:textId="0AB6D86E" w:rsid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5C037F77" w14:textId="77777777" w:rsidR="004F717A" w:rsidRDefault="004F717A" w:rsidP="004F717A">
      <w:pPr>
        <w:widowControl w:val="0"/>
        <w:autoSpaceDE w:val="0"/>
        <w:autoSpaceDN w:val="0"/>
        <w:adjustRightInd w:val="0"/>
        <w:spacing w:after="0" w:line="240" w:lineRule="auto"/>
        <w:jc w:val="both"/>
        <w:rPr>
          <w:rFonts w:ascii="Arial" w:eastAsia="Times New Roman" w:hAnsi="Arial" w:cs="Arial"/>
          <w:lang w:val="es-ES"/>
        </w:rPr>
        <w:sectPr w:rsidR="004F717A" w:rsidSect="001A259F">
          <w:headerReference w:type="even" r:id="rId21"/>
          <w:headerReference w:type="first" r:id="rId22"/>
          <w:footerReference w:type="first" r:id="rId23"/>
          <w:pgSz w:w="11906" w:h="16838" w:code="9"/>
          <w:pgMar w:top="1138" w:right="1138" w:bottom="1138" w:left="1138" w:header="708" w:footer="708" w:gutter="0"/>
          <w:cols w:space="708"/>
          <w:titlePg/>
          <w:docGrid w:linePitch="360"/>
        </w:sectPr>
      </w:pPr>
    </w:p>
    <w:p w14:paraId="2399BD65" w14:textId="41276410" w:rsid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p>
    <w:p w14:paraId="5618F4E0" w14:textId="77777777" w:rsidR="004F717A" w:rsidRPr="004F717A" w:rsidRDefault="004F717A" w:rsidP="004F717A">
      <w:pPr>
        <w:widowControl w:val="0"/>
        <w:autoSpaceDE w:val="0"/>
        <w:autoSpaceDN w:val="0"/>
        <w:adjustRightInd w:val="0"/>
        <w:spacing w:after="0" w:line="240" w:lineRule="auto"/>
        <w:jc w:val="right"/>
        <w:rPr>
          <w:rFonts w:ascii="Arial" w:eastAsia="Times New Roman" w:hAnsi="Arial" w:cs="Arial"/>
          <w:b/>
          <w:iCs/>
          <w:lang w:val="es-ES"/>
        </w:rPr>
      </w:pPr>
      <w:r w:rsidRPr="004F717A">
        <w:rPr>
          <w:rFonts w:ascii="Arial" w:eastAsia="Times New Roman" w:hAnsi="Arial" w:cs="Arial"/>
          <w:b/>
          <w:iCs/>
          <w:lang w:val="es-ES"/>
        </w:rPr>
        <w:t>ANEXO 2</w:t>
      </w:r>
    </w:p>
    <w:p w14:paraId="16770CBF" w14:textId="77777777" w:rsidR="004F717A" w:rsidRPr="004F717A" w:rsidRDefault="004F717A" w:rsidP="004F717A">
      <w:pPr>
        <w:widowControl w:val="0"/>
        <w:autoSpaceDE w:val="0"/>
        <w:autoSpaceDN w:val="0"/>
        <w:adjustRightInd w:val="0"/>
        <w:spacing w:after="0" w:line="240" w:lineRule="auto"/>
        <w:rPr>
          <w:rFonts w:ascii="Arial" w:eastAsia="Times New Roman" w:hAnsi="Arial" w:cs="Arial"/>
          <w:b/>
          <w:iCs/>
          <w:lang w:val="es-ES"/>
        </w:rPr>
      </w:pPr>
    </w:p>
    <w:p w14:paraId="7030A6EB" w14:textId="124E8812" w:rsidR="004F717A" w:rsidRPr="004F717A" w:rsidRDefault="00B172E2" w:rsidP="004F717A">
      <w:pPr>
        <w:widowControl w:val="0"/>
        <w:autoSpaceDE w:val="0"/>
        <w:autoSpaceDN w:val="0"/>
        <w:adjustRightInd w:val="0"/>
        <w:spacing w:after="0" w:line="240" w:lineRule="auto"/>
        <w:jc w:val="center"/>
        <w:rPr>
          <w:rFonts w:ascii="Arial" w:eastAsia="Times New Roman" w:hAnsi="Arial" w:cs="Arial"/>
          <w:b/>
          <w:iCs/>
          <w:lang w:val="es-ES"/>
        </w:rPr>
      </w:pPr>
      <w:r w:rsidRPr="004F717A">
        <w:rPr>
          <w:rFonts w:ascii="Arial" w:eastAsia="Times New Roman" w:hAnsi="Arial" w:cs="Arial"/>
          <w:b/>
          <w:iCs/>
          <w:lang w:val="es-ES"/>
        </w:rPr>
        <w:t>BORRADOR DECISIONES DE LA REUNIÓN</w:t>
      </w:r>
    </w:p>
    <w:p w14:paraId="158073AB"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7BE228FB"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r w:rsidRPr="004F717A">
        <w:rPr>
          <w:rFonts w:ascii="Arial" w:eastAsia="Times New Roman" w:hAnsi="Arial" w:cs="Arial"/>
          <w:bCs/>
          <w:iCs/>
          <w:lang w:val="es-ES"/>
        </w:rPr>
        <w:t>Signatarios</w:t>
      </w:r>
    </w:p>
    <w:p w14:paraId="2E4B186D"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11F4CF2A" w14:textId="090A7CE7" w:rsidR="004F717A" w:rsidRPr="004F717A" w:rsidRDefault="00B172E2" w:rsidP="004F717A">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bCs/>
          <w:iCs/>
          <w:lang w:val="es-ES"/>
        </w:rPr>
      </w:pPr>
      <w:r>
        <w:rPr>
          <w:rFonts w:ascii="Arial" w:eastAsia="Times New Roman" w:hAnsi="Arial" w:cs="Arial"/>
          <w:bCs/>
          <w:iCs/>
          <w:lang w:val="es-ES"/>
        </w:rPr>
        <w:t>A</w:t>
      </w:r>
      <w:r w:rsidRPr="00B172E2">
        <w:rPr>
          <w:rFonts w:ascii="Arial" w:eastAsia="Times New Roman" w:hAnsi="Arial" w:cs="Arial"/>
          <w:bCs/>
          <w:iCs/>
          <w:lang w:val="es-ES"/>
        </w:rPr>
        <w:t>cogieron con satisfacción la iniciativa</w:t>
      </w:r>
      <w:r>
        <w:rPr>
          <w:rFonts w:ascii="Arial" w:eastAsia="Times New Roman" w:hAnsi="Arial" w:cs="Arial"/>
          <w:bCs/>
          <w:iCs/>
          <w:lang w:val="es-ES"/>
        </w:rPr>
        <w:t xml:space="preserve"> </w:t>
      </w:r>
      <w:r w:rsidR="004F717A" w:rsidRPr="004F717A">
        <w:rPr>
          <w:rFonts w:ascii="Arial" w:eastAsia="Times New Roman" w:hAnsi="Arial" w:cs="Arial"/>
          <w:bCs/>
          <w:iCs/>
          <w:lang w:val="es-ES"/>
        </w:rPr>
        <w:t xml:space="preserve">y progreso hecho por la Unión Internacional para la Conservación de la Naturaleza Comisión de Supervivencia de Especies Grupo Especialista de Tiburones (IUCN SSC SSG) en desarrollar una robusta selección y criterios de revisión para identificar “Áreas Importantes de Tiburones y Rayas (ISRA)” que complementan y contribuyen a la Convención sobre Diversidad Biológica (CBD) Áreas Ecológica o Biológicamente Significativas (EBSA) y las Áreas Clave de Biodiversidad (KBA).  </w:t>
      </w:r>
    </w:p>
    <w:p w14:paraId="77BC2F42" w14:textId="77777777" w:rsidR="004F717A" w:rsidRPr="004F717A" w:rsidRDefault="004F717A" w:rsidP="004F717A">
      <w:pPr>
        <w:widowControl w:val="0"/>
        <w:autoSpaceDE w:val="0"/>
        <w:autoSpaceDN w:val="0"/>
        <w:adjustRightInd w:val="0"/>
        <w:spacing w:after="0" w:line="240" w:lineRule="auto"/>
        <w:rPr>
          <w:rFonts w:ascii="Arial" w:eastAsia="Times New Roman" w:hAnsi="Arial" w:cs="Times New Roman"/>
          <w:sz w:val="18"/>
          <w:szCs w:val="24"/>
          <w:lang w:val="es-ES"/>
        </w:rPr>
      </w:pPr>
    </w:p>
    <w:p w14:paraId="096DEF3D" w14:textId="2BBF50C9" w:rsidR="004F717A" w:rsidRPr="004F717A" w:rsidRDefault="004F717A" w:rsidP="004F717A">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R</w:t>
      </w:r>
      <w:r w:rsidR="00B172E2" w:rsidRPr="00B172E2">
        <w:rPr>
          <w:rFonts w:ascii="Arial" w:eastAsia="Times New Roman" w:hAnsi="Arial" w:cs="Arial"/>
          <w:bCs/>
          <w:iCs/>
          <w:lang w:val="es-ES"/>
        </w:rPr>
        <w:t>econocen</w:t>
      </w:r>
      <w:r w:rsidRPr="004F717A">
        <w:rPr>
          <w:rFonts w:ascii="Arial" w:eastAsia="Times New Roman" w:hAnsi="Arial" w:cs="Arial"/>
          <w:bCs/>
          <w:iCs/>
          <w:lang w:val="es-ES"/>
        </w:rPr>
        <w:t xml:space="preserve"> los criterios de Áreas Importantes de Tiburones y Rayas (ISRA) y el proceso de identificación descrito en </w:t>
      </w:r>
      <w:r w:rsidRPr="004F717A">
        <w:rPr>
          <w:rFonts w:ascii="Arial" w:eastAsia="Times New Roman" w:hAnsi="Arial" w:cs="Arial"/>
          <w:b/>
          <w:i/>
          <w:lang w:val="es-ES"/>
        </w:rPr>
        <w:t>Hyde et al. 2022</w:t>
      </w:r>
      <w:r w:rsidRPr="004F717A">
        <w:rPr>
          <w:rFonts w:ascii="Arial" w:eastAsia="Times New Roman" w:hAnsi="Arial" w:cs="Arial"/>
          <w:bCs/>
          <w:iCs/>
          <w:lang w:val="es-ES"/>
        </w:rPr>
        <w:t xml:space="preserve"> y </w:t>
      </w:r>
      <w:r w:rsidRPr="004F717A">
        <w:rPr>
          <w:rFonts w:ascii="Arial" w:eastAsia="Times New Roman" w:hAnsi="Arial" w:cs="Arial"/>
          <w:b/>
          <w:i/>
          <w:lang w:val="es-ES"/>
        </w:rPr>
        <w:t>Notarbartolo di Sciara 2022</w:t>
      </w:r>
      <w:r w:rsidRPr="004F717A">
        <w:rPr>
          <w:rFonts w:ascii="Arial" w:eastAsia="Times New Roman" w:hAnsi="Arial" w:cs="Arial"/>
          <w:bCs/>
          <w:iCs/>
          <w:lang w:val="es-ES"/>
        </w:rPr>
        <w:t xml:space="preserve"> y el Documento de Orientación ISRA publicado en el sitio web ISRA (</w:t>
      </w:r>
      <w:hyperlink r:id="rId24" w:history="1">
        <w:r w:rsidRPr="004F717A">
          <w:rPr>
            <w:rFonts w:ascii="Arial" w:eastAsia="Times New Roman" w:hAnsi="Arial" w:cs="Arial"/>
            <w:bCs/>
            <w:iCs/>
            <w:color w:val="0000FF"/>
            <w:u w:val="single"/>
            <w:lang w:val="es-ES"/>
          </w:rPr>
          <w:t>sharkrayareas.org</w:t>
        </w:r>
      </w:hyperlink>
      <w:r w:rsidRPr="004F717A">
        <w:rPr>
          <w:rFonts w:ascii="Arial" w:eastAsia="Times New Roman" w:hAnsi="Arial" w:cs="Arial"/>
          <w:bCs/>
          <w:iCs/>
          <w:lang w:val="es-ES"/>
        </w:rPr>
        <w:t xml:space="preserve">) para el MdE sobre los Tiburones Anexo 1-especies en lista y proporcionar como </w:t>
      </w:r>
      <w:hyperlink r:id="rId25" w:history="1">
        <w:r w:rsidRPr="004F717A">
          <w:rPr>
            <w:rFonts w:ascii="Arial" w:eastAsia="Times New Roman" w:hAnsi="Arial" w:cs="Arial"/>
            <w:bCs/>
            <w:iCs/>
            <w:color w:val="0000FF"/>
            <w:u w:val="single"/>
            <w:lang w:val="es-ES"/>
          </w:rPr>
          <w:t>CMS/Sharks/MOS4/Inf.5</w:t>
        </w:r>
      </w:hyperlink>
      <w:r w:rsidRPr="004F717A">
        <w:rPr>
          <w:rFonts w:ascii="Arial" w:eastAsia="Times New Roman" w:hAnsi="Arial" w:cs="Arial"/>
          <w:bCs/>
          <w:iCs/>
          <w:lang w:val="es-ES"/>
        </w:rPr>
        <w:t>;</w:t>
      </w:r>
    </w:p>
    <w:p w14:paraId="597FBF2A" w14:textId="77777777" w:rsidR="004F717A" w:rsidRPr="004F717A" w:rsidRDefault="004F717A" w:rsidP="004F717A">
      <w:pPr>
        <w:widowControl w:val="0"/>
        <w:autoSpaceDE w:val="0"/>
        <w:autoSpaceDN w:val="0"/>
        <w:adjustRightInd w:val="0"/>
        <w:spacing w:after="0" w:line="240" w:lineRule="auto"/>
        <w:ind w:left="540"/>
        <w:contextualSpacing/>
        <w:jc w:val="both"/>
        <w:rPr>
          <w:rFonts w:ascii="Arial" w:eastAsia="Times New Roman" w:hAnsi="Arial" w:cs="Arial"/>
          <w:bCs/>
          <w:iCs/>
          <w:lang w:val="es-ES"/>
        </w:rPr>
      </w:pPr>
    </w:p>
    <w:p w14:paraId="14D59D74" w14:textId="00A91C3A" w:rsidR="004F717A" w:rsidRPr="004F717A" w:rsidRDefault="00B172E2" w:rsidP="004F717A">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4F717A">
        <w:rPr>
          <w:rFonts w:ascii="Arial" w:eastAsia="Times New Roman" w:hAnsi="Arial" w:cs="Arial"/>
          <w:bCs/>
          <w:iCs/>
          <w:lang w:val="es-ES"/>
        </w:rPr>
        <w:t>R</w:t>
      </w:r>
      <w:r w:rsidRPr="00B172E2">
        <w:rPr>
          <w:rFonts w:ascii="Arial" w:eastAsia="Times New Roman" w:hAnsi="Arial" w:cs="Arial"/>
          <w:bCs/>
          <w:iCs/>
          <w:lang w:val="es-ES"/>
        </w:rPr>
        <w:t>econocen</w:t>
      </w:r>
      <w:r w:rsidR="004F717A" w:rsidRPr="004F717A">
        <w:rPr>
          <w:rFonts w:ascii="Arial" w:eastAsia="Times New Roman" w:hAnsi="Arial" w:cs="Arial"/>
          <w:bCs/>
          <w:iCs/>
          <w:lang w:val="es-ES"/>
        </w:rPr>
        <w:t xml:space="preserve"> que las </w:t>
      </w:r>
      <w:r w:rsidR="004F717A" w:rsidRPr="004F717A">
        <w:rPr>
          <w:rFonts w:ascii="Arial" w:eastAsia="Times New Roman" w:hAnsi="Arial" w:cs="Arial"/>
          <w:b/>
          <w:iCs/>
          <w:lang w:val="es-ES"/>
        </w:rPr>
        <w:t>Áreas Importantes de Tiburones y Rayas (ISRA)</w:t>
      </w:r>
      <w:r w:rsidR="004F717A" w:rsidRPr="004F717A">
        <w:rPr>
          <w:rFonts w:ascii="Arial" w:eastAsia="Times New Roman" w:hAnsi="Arial" w:cs="Arial"/>
          <w:bCs/>
          <w:iCs/>
          <w:lang w:val="es-ES"/>
        </w:rPr>
        <w:t xml:space="preserve"> son una clasificación basada en expertos aplicada a los océanos del mundo, y cuerpos acuáticos terrestres relevantes, que consisten en porciones discretas de hábitat, importantes para las especies de tiburón, raya y quimera, que tienen el potencial de ser delineadas y gestionadas para la conservación.</w:t>
      </w:r>
    </w:p>
    <w:p w14:paraId="620633E5"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2301C058" w14:textId="322E2FD2" w:rsidR="004F717A" w:rsidRPr="004F717A" w:rsidRDefault="00B172E2" w:rsidP="004F717A">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bCs/>
          <w:iCs/>
          <w:lang w:val="es-ES"/>
        </w:rPr>
      </w:pPr>
      <w:r>
        <w:rPr>
          <w:rFonts w:ascii="Arial" w:eastAsia="Times New Roman" w:hAnsi="Arial" w:cs="Arial"/>
          <w:bCs/>
          <w:iCs/>
          <w:lang w:val="es-ES"/>
        </w:rPr>
        <w:t>A</w:t>
      </w:r>
      <w:r w:rsidRPr="00B172E2">
        <w:rPr>
          <w:rFonts w:ascii="Arial" w:eastAsia="Times New Roman" w:hAnsi="Arial" w:cs="Arial"/>
          <w:bCs/>
          <w:iCs/>
          <w:lang w:val="es-ES"/>
        </w:rPr>
        <w:t>cordaron</w:t>
      </w:r>
      <w:r w:rsidR="004F717A" w:rsidRPr="004F717A">
        <w:rPr>
          <w:rFonts w:ascii="Arial" w:eastAsia="Times New Roman" w:hAnsi="Arial" w:cs="Arial"/>
          <w:bCs/>
          <w:iCs/>
          <w:lang w:val="es-ES"/>
        </w:rPr>
        <w:t xml:space="preserve"> a: </w:t>
      </w:r>
    </w:p>
    <w:p w14:paraId="153CB5E1"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Cs/>
          <w:iCs/>
          <w:lang w:val="es-ES"/>
        </w:rPr>
      </w:pPr>
    </w:p>
    <w:p w14:paraId="551A3E45" w14:textId="77777777" w:rsidR="004F717A" w:rsidRPr="004F717A" w:rsidRDefault="004F717A" w:rsidP="004F717A">
      <w:pPr>
        <w:widowControl w:val="0"/>
        <w:numPr>
          <w:ilvl w:val="1"/>
          <w:numId w:val="9"/>
        </w:numPr>
        <w:autoSpaceDE w:val="0"/>
        <w:autoSpaceDN w:val="0"/>
        <w:adjustRightInd w:val="0"/>
        <w:spacing w:after="0" w:line="240" w:lineRule="auto"/>
        <w:ind w:left="900" w:hanging="333"/>
        <w:contextualSpacing/>
        <w:jc w:val="both"/>
        <w:rPr>
          <w:rFonts w:ascii="Arial" w:eastAsia="Times New Roman" w:hAnsi="Arial" w:cs="Times New Roman"/>
          <w:lang w:val="es-ES"/>
        </w:rPr>
      </w:pPr>
      <w:r w:rsidRPr="004F717A">
        <w:rPr>
          <w:rFonts w:ascii="Arial" w:eastAsia="Times New Roman" w:hAnsi="Arial" w:cs="Arial"/>
          <w:bCs/>
          <w:iCs/>
          <w:lang w:val="es-ES"/>
        </w:rPr>
        <w:t>apoyo del IUCN SSC SSG para avanzar en estos planteamientos y recomiendan que dicha labor para identificar áreas específicas involucre a las autoridades de los Signatarios y Estados del área de distribución en el espíritu de transparencia en un estadio temprano;</w:t>
      </w:r>
    </w:p>
    <w:p w14:paraId="6AD3CC7C" w14:textId="77777777" w:rsidR="004F717A" w:rsidRPr="004F717A" w:rsidRDefault="004F717A" w:rsidP="004F717A">
      <w:pPr>
        <w:widowControl w:val="0"/>
        <w:autoSpaceDE w:val="0"/>
        <w:autoSpaceDN w:val="0"/>
        <w:adjustRightInd w:val="0"/>
        <w:spacing w:after="0" w:line="240" w:lineRule="auto"/>
        <w:ind w:left="900" w:hanging="333"/>
        <w:contextualSpacing/>
        <w:jc w:val="both"/>
        <w:rPr>
          <w:rFonts w:ascii="Arial" w:eastAsia="Times New Roman" w:hAnsi="Arial" w:cs="Times New Roman"/>
          <w:lang w:val="es-ES"/>
        </w:rPr>
      </w:pPr>
    </w:p>
    <w:p w14:paraId="5A588EB5" w14:textId="77777777" w:rsidR="004F717A" w:rsidRPr="004F717A" w:rsidRDefault="004F717A" w:rsidP="004F717A">
      <w:pPr>
        <w:widowControl w:val="0"/>
        <w:numPr>
          <w:ilvl w:val="1"/>
          <w:numId w:val="9"/>
        </w:numPr>
        <w:autoSpaceDE w:val="0"/>
        <w:autoSpaceDN w:val="0"/>
        <w:adjustRightInd w:val="0"/>
        <w:spacing w:after="0" w:line="240" w:lineRule="auto"/>
        <w:ind w:left="900" w:hanging="333"/>
        <w:contextualSpacing/>
        <w:jc w:val="both"/>
        <w:rPr>
          <w:rFonts w:ascii="Arial" w:eastAsia="Times New Roman" w:hAnsi="Arial" w:cs="Arial"/>
          <w:bCs/>
          <w:iCs/>
          <w:lang w:val="es-ES"/>
        </w:rPr>
      </w:pPr>
      <w:r w:rsidRPr="004F717A">
        <w:rPr>
          <w:rFonts w:ascii="Arial" w:eastAsia="Times New Roman" w:hAnsi="Arial" w:cs="Arial"/>
          <w:bCs/>
          <w:iCs/>
          <w:lang w:val="es-ES"/>
        </w:rPr>
        <w:t>apoyar con la identificación de áreas específicas donde la delineación de las ISRA podría ser particularmente beneficiosa, por ejemplo estimulando el diseño y conectividad de la red de áreas protegidas, o abordando las amenazas a tiburones y rayas de una forma más integral;</w:t>
      </w:r>
    </w:p>
    <w:p w14:paraId="126791B2" w14:textId="77777777" w:rsidR="004F717A" w:rsidRPr="004F717A" w:rsidRDefault="004F717A" w:rsidP="004F717A">
      <w:pPr>
        <w:widowControl w:val="0"/>
        <w:autoSpaceDE w:val="0"/>
        <w:autoSpaceDN w:val="0"/>
        <w:adjustRightInd w:val="0"/>
        <w:spacing w:after="0" w:line="240" w:lineRule="auto"/>
        <w:ind w:left="720"/>
        <w:contextualSpacing/>
        <w:rPr>
          <w:rFonts w:ascii="Arial" w:eastAsia="Times New Roman" w:hAnsi="Arial" w:cs="Arial"/>
          <w:bCs/>
          <w:iCs/>
          <w:lang w:val="es-ES"/>
        </w:rPr>
      </w:pPr>
    </w:p>
    <w:p w14:paraId="2A4D0845" w14:textId="553C156B" w:rsidR="004F717A" w:rsidRPr="004F717A" w:rsidRDefault="00376C61" w:rsidP="004F717A">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bCs/>
          <w:iCs/>
          <w:lang w:val="es-ES"/>
        </w:rPr>
      </w:pPr>
      <w:r w:rsidRPr="00376C61">
        <w:rPr>
          <w:rFonts w:ascii="Arial" w:eastAsia="Times New Roman" w:hAnsi="Arial" w:cs="Arial"/>
          <w:bCs/>
          <w:iCs/>
          <w:lang w:val="es-ES"/>
        </w:rPr>
        <w:t xml:space="preserve">solicitaron a la Secretaría </w:t>
      </w:r>
      <w:r w:rsidR="004F717A" w:rsidRPr="004F717A">
        <w:rPr>
          <w:rFonts w:ascii="Arial" w:eastAsia="Times New Roman" w:hAnsi="Arial" w:cs="Arial"/>
          <w:bCs/>
          <w:iCs/>
          <w:lang w:val="es-ES"/>
        </w:rPr>
        <w:t>que continúe en contacto con el IUCN SSC SSG e informar sobre el progreso a MOS5.</w:t>
      </w:r>
    </w:p>
    <w:p w14:paraId="1F3694A1" w14:textId="0C2A9BE9" w:rsid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p>
    <w:p w14:paraId="59ABEE18" w14:textId="33D9EE41" w:rsidR="004F717A" w:rsidRDefault="004F717A" w:rsidP="004F717A">
      <w:pPr>
        <w:widowControl w:val="0"/>
        <w:autoSpaceDE w:val="0"/>
        <w:autoSpaceDN w:val="0"/>
        <w:adjustRightInd w:val="0"/>
        <w:spacing w:after="0" w:line="240" w:lineRule="auto"/>
        <w:jc w:val="both"/>
        <w:rPr>
          <w:rFonts w:ascii="Arial" w:eastAsia="Times New Roman" w:hAnsi="Arial" w:cs="Arial"/>
          <w:lang w:val="es-ES"/>
        </w:rPr>
      </w:pPr>
    </w:p>
    <w:p w14:paraId="773627D7" w14:textId="77777777" w:rsidR="004F717A" w:rsidRDefault="004F717A" w:rsidP="004F717A">
      <w:pPr>
        <w:widowControl w:val="0"/>
        <w:autoSpaceDE w:val="0"/>
        <w:autoSpaceDN w:val="0"/>
        <w:adjustRightInd w:val="0"/>
        <w:spacing w:after="0" w:line="240" w:lineRule="auto"/>
        <w:jc w:val="both"/>
        <w:rPr>
          <w:rFonts w:ascii="Arial" w:eastAsia="Times New Roman" w:hAnsi="Arial" w:cs="Arial"/>
          <w:lang w:val="es-ES"/>
        </w:rPr>
        <w:sectPr w:rsidR="004F717A" w:rsidSect="001A259F">
          <w:headerReference w:type="first" r:id="rId26"/>
          <w:footerReference w:type="first" r:id="rId27"/>
          <w:pgSz w:w="11906" w:h="16838" w:code="9"/>
          <w:pgMar w:top="1138" w:right="1138" w:bottom="1138" w:left="1138" w:header="708" w:footer="708" w:gutter="0"/>
          <w:cols w:space="708"/>
          <w:titlePg/>
          <w:docGrid w:linePitch="360"/>
        </w:sectPr>
      </w:pPr>
    </w:p>
    <w:p w14:paraId="15F5C48C" w14:textId="77777777" w:rsidR="004F717A" w:rsidRPr="004F717A" w:rsidRDefault="004F717A" w:rsidP="004F717A">
      <w:pPr>
        <w:widowControl w:val="0"/>
        <w:autoSpaceDE w:val="0"/>
        <w:autoSpaceDN w:val="0"/>
        <w:adjustRightInd w:val="0"/>
        <w:spacing w:after="0" w:line="240" w:lineRule="auto"/>
        <w:jc w:val="right"/>
        <w:rPr>
          <w:rFonts w:ascii="Arial" w:eastAsia="Times New Roman" w:hAnsi="Arial" w:cs="Arial"/>
          <w:b/>
          <w:iCs/>
          <w:lang w:val="es-ES"/>
        </w:rPr>
      </w:pPr>
      <w:r w:rsidRPr="004F717A">
        <w:rPr>
          <w:rFonts w:ascii="Arial" w:eastAsia="Times New Roman" w:hAnsi="Arial" w:cs="Arial"/>
          <w:b/>
          <w:iCs/>
          <w:lang w:val="es-ES"/>
        </w:rPr>
        <w:lastRenderedPageBreak/>
        <w:t>ANEXO 3</w:t>
      </w:r>
    </w:p>
    <w:p w14:paraId="1081E4F6" w14:textId="77777777" w:rsidR="004F717A" w:rsidRPr="004F717A" w:rsidRDefault="004F717A" w:rsidP="004F717A">
      <w:pPr>
        <w:widowControl w:val="0"/>
        <w:autoSpaceDE w:val="0"/>
        <w:autoSpaceDN w:val="0"/>
        <w:adjustRightInd w:val="0"/>
        <w:spacing w:after="0" w:line="240" w:lineRule="auto"/>
        <w:jc w:val="both"/>
        <w:rPr>
          <w:rFonts w:ascii="Arial" w:eastAsia="Times New Roman" w:hAnsi="Arial" w:cs="Arial"/>
          <w:b/>
          <w:iCs/>
          <w:lang w:val="es-ES"/>
        </w:rPr>
      </w:pPr>
    </w:p>
    <w:p w14:paraId="62396A63" w14:textId="77777777" w:rsidR="004F717A" w:rsidRPr="004F717A" w:rsidRDefault="004F717A" w:rsidP="004F717A">
      <w:pPr>
        <w:widowControl w:val="0"/>
        <w:autoSpaceDE w:val="0"/>
        <w:autoSpaceDN w:val="0"/>
        <w:adjustRightInd w:val="0"/>
        <w:spacing w:after="0" w:line="240" w:lineRule="auto"/>
        <w:jc w:val="center"/>
        <w:rPr>
          <w:rFonts w:ascii="Arial" w:eastAsia="Times New Roman" w:hAnsi="Arial" w:cs="Arial"/>
          <w:b/>
          <w:bCs/>
          <w:lang w:val="es-ES"/>
        </w:rPr>
      </w:pPr>
      <w:r w:rsidRPr="004F717A">
        <w:rPr>
          <w:rFonts w:ascii="Arial" w:eastAsia="Times New Roman" w:hAnsi="Arial" w:cs="Arial"/>
          <w:b/>
          <w:bCs/>
          <w:lang w:val="es-ES"/>
        </w:rPr>
        <w:t>BORRADOR DE ACTIVIDADES PARA LA INCLUSIÓN EN EL PROGRAMA DE TRABAJO 2023-2025</w:t>
      </w:r>
    </w:p>
    <w:p w14:paraId="4FB33A92" w14:textId="77777777" w:rsidR="004F717A" w:rsidRPr="004F717A" w:rsidRDefault="004F717A" w:rsidP="004F717A">
      <w:pPr>
        <w:widowControl w:val="0"/>
        <w:autoSpaceDE w:val="0"/>
        <w:autoSpaceDN w:val="0"/>
        <w:adjustRightInd w:val="0"/>
        <w:spacing w:after="0" w:line="240" w:lineRule="auto"/>
        <w:jc w:val="center"/>
        <w:rPr>
          <w:rFonts w:ascii="Arial" w:eastAsia="Times New Roman" w:hAnsi="Arial" w:cs="Arial"/>
          <w:b/>
          <w:bCs/>
          <w:lang w:val="es-ES"/>
        </w:rPr>
      </w:pPr>
    </w:p>
    <w:tbl>
      <w:tblPr>
        <w:tblStyle w:val="PlainTable23"/>
        <w:tblW w:w="12944" w:type="dxa"/>
        <w:tblLook w:val="04A0" w:firstRow="1" w:lastRow="0" w:firstColumn="1" w:lastColumn="0" w:noHBand="0" w:noVBand="1"/>
      </w:tblPr>
      <w:tblGrid>
        <w:gridCol w:w="538"/>
        <w:gridCol w:w="3238"/>
        <w:gridCol w:w="1267"/>
        <w:gridCol w:w="1489"/>
        <w:gridCol w:w="1228"/>
        <w:gridCol w:w="1577"/>
        <w:gridCol w:w="1868"/>
        <w:gridCol w:w="1739"/>
      </w:tblGrid>
      <w:tr w:rsidR="004F717A" w:rsidRPr="00F56D91" w14:paraId="6AC99073" w14:textId="77777777" w:rsidTr="008B7D9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000" w:firstRow="0" w:lastRow="0" w:firstColumn="1" w:lastColumn="0" w:oddVBand="0" w:evenVBand="0" w:oddHBand="0" w:evenHBand="0" w:firstRowFirstColumn="0" w:firstRowLastColumn="0" w:lastRowFirstColumn="0" w:lastRowLastColumn="0"/>
            <w:tcW w:w="560" w:type="dxa"/>
            <w:vAlign w:val="center"/>
            <w:hideMark/>
          </w:tcPr>
          <w:p w14:paraId="29DACE61"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Nº</w:t>
            </w:r>
          </w:p>
        </w:tc>
        <w:tc>
          <w:tcPr>
            <w:tcW w:w="4071" w:type="dxa"/>
            <w:vAlign w:val="center"/>
            <w:hideMark/>
          </w:tcPr>
          <w:p w14:paraId="4A2C22D3"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color w:val="000000"/>
                <w:sz w:val="20"/>
                <w:szCs w:val="20"/>
                <w:lang w:val="es-ES" w:eastAsia="es-ES"/>
              </w:rPr>
              <w:t>Actividad</w:t>
            </w:r>
          </w:p>
        </w:tc>
        <w:tc>
          <w:tcPr>
            <w:tcW w:w="1134" w:type="dxa"/>
            <w:vAlign w:val="center"/>
            <w:hideMark/>
          </w:tcPr>
          <w:p w14:paraId="1A40CC5A"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Propuesta</w:t>
            </w:r>
            <w:r w:rsidRPr="004F717A">
              <w:rPr>
                <w:rFonts w:ascii="Arial" w:eastAsia="Calibri" w:hAnsi="Arial" w:cs="Arial"/>
                <w:sz w:val="20"/>
                <w:szCs w:val="20"/>
                <w:vertAlign w:val="superscript"/>
                <w:lang w:val="es-ES"/>
              </w:rPr>
              <w:footnoteReference w:id="7"/>
            </w:r>
          </w:p>
        </w:tc>
        <w:tc>
          <w:tcPr>
            <w:tcW w:w="1132" w:type="dxa"/>
            <w:vAlign w:val="center"/>
            <w:hideMark/>
          </w:tcPr>
          <w:p w14:paraId="42EC480D"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Prioridad </w:t>
            </w:r>
          </w:p>
          <w:p w14:paraId="7D94ECC4"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clasificación</w:t>
            </w:r>
            <w:r w:rsidRPr="004F717A">
              <w:rPr>
                <w:rFonts w:ascii="Arial" w:eastAsia="Calibri" w:hAnsi="Arial" w:cs="Arial"/>
                <w:sz w:val="20"/>
                <w:szCs w:val="20"/>
                <w:vertAlign w:val="superscript"/>
                <w:lang w:val="es-ES"/>
              </w:rPr>
              <w:footnoteReference w:id="8"/>
            </w:r>
          </w:p>
        </w:tc>
        <w:tc>
          <w:tcPr>
            <w:tcW w:w="834" w:type="dxa"/>
            <w:vAlign w:val="center"/>
            <w:hideMark/>
          </w:tcPr>
          <w:p w14:paraId="554C176F"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Marco temporal</w:t>
            </w:r>
            <w:r w:rsidRPr="004F717A">
              <w:rPr>
                <w:rFonts w:ascii="Arial" w:eastAsia="Calibri" w:hAnsi="Arial" w:cs="Arial"/>
                <w:sz w:val="20"/>
                <w:szCs w:val="20"/>
                <w:vertAlign w:val="superscript"/>
                <w:lang w:val="es-ES"/>
              </w:rPr>
              <w:footnoteReference w:id="9"/>
            </w:r>
          </w:p>
        </w:tc>
        <w:tc>
          <w:tcPr>
            <w:tcW w:w="1584" w:type="dxa"/>
            <w:vAlign w:val="center"/>
            <w:hideMark/>
          </w:tcPr>
          <w:p w14:paraId="632BDD75"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Entidad responsable</w:t>
            </w:r>
            <w:r w:rsidRPr="004F717A">
              <w:rPr>
                <w:rFonts w:ascii="Arial" w:eastAsia="Calibri" w:hAnsi="Arial" w:cs="Arial"/>
                <w:sz w:val="20"/>
                <w:szCs w:val="20"/>
                <w:vertAlign w:val="superscript"/>
                <w:lang w:val="es-ES"/>
              </w:rPr>
              <w:footnoteReference w:id="10"/>
            </w:r>
          </w:p>
        </w:tc>
        <w:tc>
          <w:tcPr>
            <w:tcW w:w="1935" w:type="dxa"/>
            <w:vAlign w:val="center"/>
            <w:hideMark/>
          </w:tcPr>
          <w:p w14:paraId="24DBAD11"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Necesidades de financiación para la implementación</w:t>
            </w:r>
          </w:p>
        </w:tc>
        <w:tc>
          <w:tcPr>
            <w:tcW w:w="1694" w:type="dxa"/>
            <w:vAlign w:val="center"/>
            <w:hideMark/>
          </w:tcPr>
          <w:p w14:paraId="1A8B3DAB" w14:textId="77777777" w:rsidR="004F717A" w:rsidRPr="004F717A" w:rsidRDefault="004F717A" w:rsidP="004F717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Personal de la Secretaría necesario para la implementación (días laborables)</w:t>
            </w:r>
          </w:p>
        </w:tc>
      </w:tr>
      <w:tr w:rsidR="004F717A" w:rsidRPr="00F56D91" w14:paraId="090EF31B" w14:textId="77777777" w:rsidTr="008B7D9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44" w:type="dxa"/>
            <w:gridSpan w:val="8"/>
            <w:hideMark/>
          </w:tcPr>
          <w:p w14:paraId="51B788FB"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Conservación de Especies/Conservación del Hábitat </w:t>
            </w:r>
          </w:p>
        </w:tc>
      </w:tr>
      <w:tr w:rsidR="004F717A" w:rsidRPr="00F56D91" w14:paraId="6259F148" w14:textId="77777777" w:rsidTr="008B7D90">
        <w:trPr>
          <w:trHeight w:val="270"/>
        </w:trPr>
        <w:tc>
          <w:tcPr>
            <w:cnfStyle w:val="001000000000" w:firstRow="0" w:lastRow="0" w:firstColumn="1" w:lastColumn="0" w:oddVBand="0" w:evenVBand="0" w:oddHBand="0" w:evenHBand="0" w:firstRowFirstColumn="0" w:firstRowLastColumn="0" w:lastRowFirstColumn="0" w:lastRowLastColumn="0"/>
            <w:tcW w:w="12944" w:type="dxa"/>
            <w:gridSpan w:val="8"/>
            <w:hideMark/>
          </w:tcPr>
          <w:p w14:paraId="1D911832" w14:textId="20092BFF" w:rsidR="004F717A" w:rsidRPr="004F717A" w:rsidRDefault="004F717A" w:rsidP="004F717A">
            <w:pPr>
              <w:widowControl w:val="0"/>
              <w:autoSpaceDE w:val="0"/>
              <w:autoSpaceDN w:val="0"/>
              <w:adjustRightInd w:val="0"/>
              <w:ind w:right="252"/>
              <w:rPr>
                <w:rFonts w:ascii="Arial" w:eastAsia="Times New Roman" w:hAnsi="Arial" w:cs="Arial"/>
                <w:sz w:val="20"/>
                <w:szCs w:val="20"/>
                <w:lang w:val="es-ES"/>
              </w:rPr>
            </w:pPr>
            <w:r w:rsidRPr="004F717A">
              <w:rPr>
                <w:rFonts w:ascii="Arial" w:eastAsia="Times New Roman" w:hAnsi="Arial" w:cs="Arial"/>
                <w:sz w:val="20"/>
                <w:szCs w:val="20"/>
                <w:lang w:val="es-ES" w:eastAsia="es-ES"/>
              </w:rPr>
              <w:t>X. Desarrollo de una Estrategia de Conservación y Planes de Acción para Tiburones y Rayas</w:t>
            </w:r>
            <w:r w:rsidR="00D42F88" w:rsidRPr="004F717A">
              <w:rPr>
                <w:rFonts w:ascii="Arial" w:eastAsia="Times New Roman" w:hAnsi="Arial" w:cs="Arial"/>
                <w:sz w:val="20"/>
                <w:szCs w:val="20"/>
                <w:lang w:val="es-ES" w:eastAsia="es-ES"/>
              </w:rPr>
              <w:t xml:space="preserve"> Pelágicos</w:t>
            </w:r>
          </w:p>
        </w:tc>
      </w:tr>
      <w:tr w:rsidR="004F717A" w:rsidRPr="00F56D91" w14:paraId="7CAD15A8" w14:textId="77777777" w:rsidTr="008B7D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0" w:type="dxa"/>
          </w:tcPr>
          <w:p w14:paraId="2F8A3D0F"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x.1</w:t>
            </w:r>
          </w:p>
        </w:tc>
        <w:tc>
          <w:tcPr>
            <w:tcW w:w="4071" w:type="dxa"/>
          </w:tcPr>
          <w:p w14:paraId="6555437C"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rPr>
            </w:pPr>
            <w:r w:rsidRPr="004F717A">
              <w:rPr>
                <w:rFonts w:ascii="Arial" w:eastAsia="Times New Roman" w:hAnsi="Arial" w:cs="Arial"/>
                <w:bCs/>
                <w:iCs/>
                <w:sz w:val="20"/>
                <w:szCs w:val="20"/>
                <w:lang w:val="es-ES"/>
              </w:rPr>
              <w:t>Promover la iniciativa ISRA en foros relevantes, incluyendo, sin limitación, CMS, CBD, FAO, RFMO, RSC y AP.</w:t>
            </w:r>
          </w:p>
        </w:tc>
        <w:tc>
          <w:tcPr>
            <w:tcW w:w="1134" w:type="dxa"/>
          </w:tcPr>
          <w:p w14:paraId="130AE07D"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Decisiones MOS4 </w:t>
            </w:r>
          </w:p>
          <w:p w14:paraId="2352D93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(CP 1.5)</w:t>
            </w:r>
          </w:p>
        </w:tc>
        <w:tc>
          <w:tcPr>
            <w:tcW w:w="1132" w:type="dxa"/>
          </w:tcPr>
          <w:p w14:paraId="3C645A4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834" w:type="dxa"/>
          </w:tcPr>
          <w:p w14:paraId="70E8A903"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1584" w:type="dxa"/>
          </w:tcPr>
          <w:p w14:paraId="28A8DA04"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SEC, SIG, CooP</w:t>
            </w:r>
          </w:p>
        </w:tc>
        <w:tc>
          <w:tcPr>
            <w:tcW w:w="1935" w:type="dxa"/>
            <w:shd w:val="clear" w:color="auto" w:fill="auto"/>
          </w:tcPr>
          <w:p w14:paraId="70C0A417"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00"/>
                <w:lang w:val="es-ES" w:eastAsia="en-GB"/>
              </w:rPr>
            </w:pPr>
          </w:p>
        </w:tc>
        <w:tc>
          <w:tcPr>
            <w:tcW w:w="1694" w:type="dxa"/>
          </w:tcPr>
          <w:p w14:paraId="296401FD"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 personal: 3 (p. ej., desarrollando documentos de política)</w:t>
            </w:r>
          </w:p>
        </w:tc>
      </w:tr>
      <w:tr w:rsidR="004F717A" w:rsidRPr="004F717A" w14:paraId="04EFD0BC" w14:textId="77777777" w:rsidTr="008B7D90">
        <w:trPr>
          <w:trHeight w:val="420"/>
        </w:trPr>
        <w:tc>
          <w:tcPr>
            <w:cnfStyle w:val="001000000000" w:firstRow="0" w:lastRow="0" w:firstColumn="1" w:lastColumn="0" w:oddVBand="0" w:evenVBand="0" w:oddHBand="0" w:evenHBand="0" w:firstRowFirstColumn="0" w:firstRowLastColumn="0" w:lastRowFirstColumn="0" w:lastRowLastColumn="0"/>
            <w:tcW w:w="560" w:type="dxa"/>
          </w:tcPr>
          <w:p w14:paraId="1724CA91"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x.2</w:t>
            </w:r>
          </w:p>
        </w:tc>
        <w:tc>
          <w:tcPr>
            <w:tcW w:w="4071" w:type="dxa"/>
          </w:tcPr>
          <w:p w14:paraId="797BCBF4"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rPr>
            </w:pPr>
            <w:r w:rsidRPr="004F717A">
              <w:rPr>
                <w:rFonts w:ascii="Arial" w:eastAsia="Times New Roman" w:hAnsi="Arial" w:cs="Arial"/>
                <w:bCs/>
                <w:iCs/>
                <w:sz w:val="20"/>
                <w:szCs w:val="20"/>
                <w:lang w:val="es-ES"/>
              </w:rPr>
              <w:t>Colaborar con el IUCN SSC SSG en la implementación de la iniciativa ISRA.</w:t>
            </w:r>
          </w:p>
        </w:tc>
        <w:tc>
          <w:tcPr>
            <w:tcW w:w="1134" w:type="dxa"/>
          </w:tcPr>
          <w:p w14:paraId="1D4C4116"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Decisiones MOS4 </w:t>
            </w:r>
          </w:p>
          <w:p w14:paraId="11699CC5"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(CP 1.5)</w:t>
            </w:r>
          </w:p>
        </w:tc>
        <w:tc>
          <w:tcPr>
            <w:tcW w:w="1132" w:type="dxa"/>
          </w:tcPr>
          <w:p w14:paraId="1BAFF8C0"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834" w:type="dxa"/>
          </w:tcPr>
          <w:p w14:paraId="48E6A6A8"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1584" w:type="dxa"/>
          </w:tcPr>
          <w:p w14:paraId="53944AC1"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SEC</w:t>
            </w:r>
          </w:p>
        </w:tc>
        <w:tc>
          <w:tcPr>
            <w:tcW w:w="1935" w:type="dxa"/>
          </w:tcPr>
          <w:p w14:paraId="7B04B224"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00"/>
                <w:lang w:val="es-ES" w:eastAsia="en-GB"/>
              </w:rPr>
            </w:pPr>
          </w:p>
        </w:tc>
        <w:tc>
          <w:tcPr>
            <w:tcW w:w="1694" w:type="dxa"/>
          </w:tcPr>
          <w:p w14:paraId="7E32FBB8"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 personal: 2</w:t>
            </w:r>
          </w:p>
        </w:tc>
      </w:tr>
      <w:tr w:rsidR="004F717A" w:rsidRPr="00F56D91" w14:paraId="46FA78DF" w14:textId="77777777" w:rsidTr="008B7D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0" w:type="dxa"/>
          </w:tcPr>
          <w:p w14:paraId="7F277EC1"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x.3</w:t>
            </w:r>
          </w:p>
        </w:tc>
        <w:tc>
          <w:tcPr>
            <w:tcW w:w="4071" w:type="dxa"/>
          </w:tcPr>
          <w:p w14:paraId="2936B6BD"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shd w:val="clear" w:color="auto" w:fill="FFFFFF"/>
                <w:lang w:val="es-ES"/>
              </w:rPr>
            </w:pPr>
            <w:r w:rsidRPr="004F717A">
              <w:rPr>
                <w:rFonts w:ascii="Arial" w:eastAsia="Times New Roman" w:hAnsi="Arial" w:cs="Arial"/>
                <w:bCs/>
                <w:iCs/>
                <w:sz w:val="20"/>
                <w:szCs w:val="20"/>
                <w:lang w:val="es-ES"/>
              </w:rPr>
              <w:t>Proporcionar apoyo al IUCN SSC SSG como adecuado y como factible con la identificación de las ISRA incluyendo compartir información y experiencia relevantes.</w:t>
            </w:r>
          </w:p>
        </w:tc>
        <w:tc>
          <w:tcPr>
            <w:tcW w:w="1134" w:type="dxa"/>
          </w:tcPr>
          <w:p w14:paraId="330D379E"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Decisiones MOS4 </w:t>
            </w:r>
          </w:p>
          <w:p w14:paraId="1D1B82C4"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(CP 1.5)</w:t>
            </w:r>
          </w:p>
        </w:tc>
        <w:tc>
          <w:tcPr>
            <w:tcW w:w="1132" w:type="dxa"/>
          </w:tcPr>
          <w:p w14:paraId="43744EED"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834" w:type="dxa"/>
          </w:tcPr>
          <w:p w14:paraId="6004BD00"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1584" w:type="dxa"/>
          </w:tcPr>
          <w:p w14:paraId="30D3A036"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SIG, AC, CWG</w:t>
            </w:r>
          </w:p>
        </w:tc>
        <w:tc>
          <w:tcPr>
            <w:tcW w:w="1935" w:type="dxa"/>
            <w:shd w:val="clear" w:color="auto" w:fill="auto"/>
          </w:tcPr>
          <w:p w14:paraId="41B61115"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00"/>
                <w:lang w:val="es-ES" w:eastAsia="en-GB"/>
              </w:rPr>
            </w:pPr>
            <w:r w:rsidRPr="004F717A">
              <w:rPr>
                <w:rFonts w:ascii="Arial" w:eastAsia="Times New Roman" w:hAnsi="Arial" w:cs="Arial"/>
                <w:sz w:val="20"/>
                <w:szCs w:val="20"/>
                <w:lang w:val="es-ES" w:eastAsia="es-ES"/>
              </w:rPr>
              <w:t>21 000 € por viajes del CA y CWG a talleres y reuniones (ca. 7 misiones)</w:t>
            </w:r>
          </w:p>
        </w:tc>
        <w:tc>
          <w:tcPr>
            <w:tcW w:w="1694" w:type="dxa"/>
          </w:tcPr>
          <w:p w14:paraId="00BA27D4"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 personal: 2</w:t>
            </w:r>
          </w:p>
          <w:p w14:paraId="0096914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G personal: 2</w:t>
            </w:r>
          </w:p>
          <w:p w14:paraId="2B5069E0"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(reunir fondos, gestionar acuerdos de donaciones, gestionar viajes)</w:t>
            </w:r>
          </w:p>
        </w:tc>
      </w:tr>
      <w:tr w:rsidR="004F717A" w:rsidRPr="00F56D91" w14:paraId="64B2D04D" w14:textId="77777777" w:rsidTr="008B7D90">
        <w:trPr>
          <w:trHeight w:val="420"/>
        </w:trPr>
        <w:tc>
          <w:tcPr>
            <w:cnfStyle w:val="001000000000" w:firstRow="0" w:lastRow="0" w:firstColumn="1" w:lastColumn="0" w:oddVBand="0" w:evenVBand="0" w:oddHBand="0" w:evenHBand="0" w:firstRowFirstColumn="0" w:firstRowLastColumn="0" w:lastRowFirstColumn="0" w:lastRowLastColumn="0"/>
            <w:tcW w:w="560" w:type="dxa"/>
          </w:tcPr>
          <w:p w14:paraId="11FBE0F0"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x.4</w:t>
            </w:r>
          </w:p>
        </w:tc>
        <w:tc>
          <w:tcPr>
            <w:tcW w:w="4071" w:type="dxa"/>
          </w:tcPr>
          <w:p w14:paraId="06F111C9"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rPr>
            </w:pPr>
            <w:r w:rsidRPr="004F717A">
              <w:rPr>
                <w:rFonts w:ascii="Arial" w:eastAsia="Times New Roman" w:hAnsi="Arial" w:cs="Arial"/>
                <w:bCs/>
                <w:iCs/>
                <w:sz w:val="20"/>
                <w:szCs w:val="20"/>
                <w:lang w:val="es-ES"/>
              </w:rPr>
              <w:t>Proporcionar recursos financieros al IUCN SSC SSG para la implementación de talleres de expertos y hacer seguimiento de misiones.</w:t>
            </w:r>
          </w:p>
        </w:tc>
        <w:tc>
          <w:tcPr>
            <w:tcW w:w="1134" w:type="dxa"/>
          </w:tcPr>
          <w:p w14:paraId="69440124"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Decisiones MOS4 </w:t>
            </w:r>
          </w:p>
          <w:p w14:paraId="70ECB9F6"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(CP 1.5)</w:t>
            </w:r>
          </w:p>
        </w:tc>
        <w:tc>
          <w:tcPr>
            <w:tcW w:w="1132" w:type="dxa"/>
          </w:tcPr>
          <w:p w14:paraId="44A7042F"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834" w:type="dxa"/>
          </w:tcPr>
          <w:p w14:paraId="5658559E"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 </w:t>
            </w:r>
          </w:p>
        </w:tc>
        <w:tc>
          <w:tcPr>
            <w:tcW w:w="1584" w:type="dxa"/>
          </w:tcPr>
          <w:p w14:paraId="15D9605F"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 xml:space="preserve">SIG, (SEC </w:t>
            </w:r>
            <w:r w:rsidRPr="004F717A">
              <w:rPr>
                <w:rFonts w:ascii="Arial" w:eastAsia="Times New Roman" w:hAnsi="Arial" w:cs="Arial"/>
                <w:sz w:val="20"/>
                <w:szCs w:val="20"/>
                <w:lang w:val="es-ES" w:eastAsia="es-ES"/>
              </w:rPr>
              <w:br/>
              <w:t>(si se proporcionaron fondos a través de la Secretaría)</w:t>
            </w:r>
          </w:p>
        </w:tc>
        <w:tc>
          <w:tcPr>
            <w:tcW w:w="1935" w:type="dxa"/>
            <w:shd w:val="clear" w:color="auto" w:fill="auto"/>
          </w:tcPr>
          <w:p w14:paraId="4F52EB69"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00"/>
                <w:lang w:val="es-ES" w:eastAsia="en-GB"/>
              </w:rPr>
            </w:pPr>
            <w:r w:rsidRPr="004F717A">
              <w:rPr>
                <w:rFonts w:ascii="Arial" w:eastAsia="Times New Roman" w:hAnsi="Arial" w:cs="Arial"/>
                <w:sz w:val="20"/>
                <w:szCs w:val="20"/>
                <w:lang w:val="es-ES" w:eastAsia="es-ES"/>
              </w:rPr>
              <w:t>45 000 € para viajes a talleres y reuniones (ca. 15 misiones)</w:t>
            </w:r>
          </w:p>
        </w:tc>
        <w:tc>
          <w:tcPr>
            <w:tcW w:w="1694" w:type="dxa"/>
          </w:tcPr>
          <w:p w14:paraId="3B1DFF40"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 personal: 4</w:t>
            </w:r>
          </w:p>
          <w:p w14:paraId="08D60781"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G personal: 2</w:t>
            </w:r>
          </w:p>
          <w:p w14:paraId="15EA9DC2" w14:textId="77777777" w:rsidR="004F717A" w:rsidRPr="004F717A" w:rsidRDefault="004F717A" w:rsidP="004F717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(reunir fondos, gestionar acuerdos de donaciones, gestionar viajes)</w:t>
            </w:r>
          </w:p>
        </w:tc>
      </w:tr>
      <w:tr w:rsidR="004F717A" w:rsidRPr="004F717A" w14:paraId="72E80B06" w14:textId="77777777" w:rsidTr="008B7D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0" w:type="dxa"/>
          </w:tcPr>
          <w:p w14:paraId="3AEDF5FC" w14:textId="77777777" w:rsidR="004F717A" w:rsidRPr="004F717A" w:rsidRDefault="004F717A" w:rsidP="004F717A">
            <w:pPr>
              <w:textAlignment w:val="baseline"/>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lastRenderedPageBreak/>
              <w:t>x.5</w:t>
            </w:r>
          </w:p>
        </w:tc>
        <w:tc>
          <w:tcPr>
            <w:tcW w:w="4071" w:type="dxa"/>
          </w:tcPr>
          <w:p w14:paraId="5602A07C"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val="es-ES"/>
              </w:rPr>
            </w:pPr>
            <w:r w:rsidRPr="004F717A">
              <w:rPr>
                <w:rFonts w:ascii="Arial" w:eastAsia="Times New Roman" w:hAnsi="Arial" w:cs="Arial"/>
                <w:bCs/>
                <w:iCs/>
                <w:sz w:val="20"/>
                <w:szCs w:val="20"/>
                <w:lang w:val="es-ES"/>
              </w:rPr>
              <w:t>Considerar las ISRA como áreas de alta prioridad para la implementación de medidas de gestión para conservar tiburones y rayas, listadas en el Anexo 1 del MdE, en sus áreas de jurisdicciones nacionales.</w:t>
            </w:r>
          </w:p>
        </w:tc>
        <w:tc>
          <w:tcPr>
            <w:tcW w:w="1134" w:type="dxa"/>
          </w:tcPr>
          <w:p w14:paraId="3DD38A04"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Decisiones MOS4 </w:t>
            </w:r>
          </w:p>
          <w:p w14:paraId="7762948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(CP 1.5)</w:t>
            </w:r>
          </w:p>
        </w:tc>
        <w:tc>
          <w:tcPr>
            <w:tcW w:w="1132" w:type="dxa"/>
          </w:tcPr>
          <w:p w14:paraId="1BE97137"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w:t>
            </w:r>
          </w:p>
        </w:tc>
        <w:tc>
          <w:tcPr>
            <w:tcW w:w="834" w:type="dxa"/>
          </w:tcPr>
          <w:p w14:paraId="65A900D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Por determinar</w:t>
            </w:r>
          </w:p>
        </w:tc>
        <w:tc>
          <w:tcPr>
            <w:tcW w:w="1584" w:type="dxa"/>
          </w:tcPr>
          <w:p w14:paraId="1F929C0A"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r w:rsidRPr="004F717A">
              <w:rPr>
                <w:rFonts w:ascii="Arial" w:eastAsia="Times New Roman" w:hAnsi="Arial" w:cs="Arial"/>
                <w:sz w:val="20"/>
                <w:szCs w:val="20"/>
                <w:lang w:val="es-ES" w:eastAsia="es-ES"/>
              </w:rPr>
              <w:t>SIG</w:t>
            </w:r>
          </w:p>
        </w:tc>
        <w:tc>
          <w:tcPr>
            <w:tcW w:w="1935" w:type="dxa"/>
            <w:shd w:val="clear" w:color="auto" w:fill="auto"/>
          </w:tcPr>
          <w:p w14:paraId="5678F43D"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p>
        </w:tc>
        <w:tc>
          <w:tcPr>
            <w:tcW w:w="1694" w:type="dxa"/>
          </w:tcPr>
          <w:p w14:paraId="793EA25F" w14:textId="77777777" w:rsidR="004F717A" w:rsidRPr="004F717A" w:rsidRDefault="004F717A" w:rsidP="004F717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n-GB"/>
              </w:rPr>
            </w:pPr>
          </w:p>
        </w:tc>
      </w:tr>
    </w:tbl>
    <w:p w14:paraId="4AFBD067" w14:textId="77777777" w:rsidR="004F717A" w:rsidRPr="004F717A" w:rsidRDefault="004F717A" w:rsidP="004F717A">
      <w:pPr>
        <w:widowControl w:val="0"/>
        <w:autoSpaceDE w:val="0"/>
        <w:autoSpaceDN w:val="0"/>
        <w:adjustRightInd w:val="0"/>
        <w:spacing w:after="0" w:line="240" w:lineRule="auto"/>
        <w:rPr>
          <w:rFonts w:ascii="Arial" w:eastAsia="Times New Roman" w:hAnsi="Arial" w:cs="Arial"/>
          <w:b/>
          <w:iCs/>
          <w:lang w:val="es-ES"/>
        </w:rPr>
      </w:pPr>
    </w:p>
    <w:p w14:paraId="4A95FDCB" w14:textId="77777777" w:rsidR="004F717A" w:rsidRPr="00E966DE" w:rsidRDefault="004F717A" w:rsidP="004F717A">
      <w:pPr>
        <w:widowControl w:val="0"/>
        <w:autoSpaceDE w:val="0"/>
        <w:autoSpaceDN w:val="0"/>
        <w:adjustRightInd w:val="0"/>
        <w:spacing w:after="0" w:line="240" w:lineRule="auto"/>
        <w:jc w:val="both"/>
        <w:rPr>
          <w:rFonts w:ascii="Arial" w:eastAsia="Times New Roman" w:hAnsi="Arial" w:cs="Arial"/>
          <w:lang w:val="es-ES"/>
        </w:rPr>
      </w:pPr>
    </w:p>
    <w:sectPr w:rsidR="004F717A" w:rsidRPr="00E966DE" w:rsidSect="00AA5739">
      <w:headerReference w:type="default" r:id="rId28"/>
      <w:headerReference w:type="first" r:id="rId29"/>
      <w:footerReference w:type="first" r:id="rId30"/>
      <w:pgSz w:w="15840" w:h="12240" w:orient="landscape"/>
      <w:pgMar w:top="1440" w:right="1440" w:bottom="1440" w:left="1440" w:header="706" w:footer="706"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9892" w14:textId="77777777" w:rsidR="00E966DE" w:rsidRDefault="00E966DE" w:rsidP="00E966DE">
      <w:pPr>
        <w:spacing w:after="0" w:line="240" w:lineRule="auto"/>
      </w:pPr>
      <w:r>
        <w:separator/>
      </w:r>
    </w:p>
  </w:endnote>
  <w:endnote w:type="continuationSeparator" w:id="0">
    <w:p w14:paraId="06AB7F87" w14:textId="77777777" w:rsidR="00E966DE" w:rsidRDefault="00E966DE" w:rsidP="00E9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40849"/>
      <w:docPartObj>
        <w:docPartGallery w:val="Page Numbers (Bottom of Page)"/>
        <w:docPartUnique/>
      </w:docPartObj>
    </w:sdtPr>
    <w:sdtEndPr>
      <w:rPr>
        <w:rFonts w:ascii="Arial" w:hAnsi="Arial" w:cs="Arial"/>
        <w:noProof/>
        <w:sz w:val="18"/>
        <w:szCs w:val="18"/>
      </w:rPr>
    </w:sdtEndPr>
    <w:sdtContent>
      <w:p w14:paraId="7FF59FB6" w14:textId="5F562366" w:rsidR="002E7625" w:rsidRPr="002E7625" w:rsidRDefault="002E7625">
        <w:pPr>
          <w:pStyle w:val="Footer"/>
          <w:jc w:val="center"/>
          <w:rPr>
            <w:rFonts w:ascii="Arial" w:hAnsi="Arial" w:cs="Arial"/>
            <w:sz w:val="18"/>
            <w:szCs w:val="18"/>
          </w:rPr>
        </w:pPr>
        <w:r w:rsidRPr="002E7625">
          <w:rPr>
            <w:rFonts w:ascii="Arial" w:hAnsi="Arial" w:cs="Arial"/>
            <w:sz w:val="18"/>
            <w:szCs w:val="18"/>
          </w:rPr>
          <w:fldChar w:fldCharType="begin"/>
        </w:r>
        <w:r w:rsidRPr="002E7625">
          <w:rPr>
            <w:rFonts w:ascii="Arial" w:hAnsi="Arial" w:cs="Arial"/>
            <w:sz w:val="18"/>
            <w:szCs w:val="18"/>
          </w:rPr>
          <w:instrText xml:space="preserve"> PAGE   \* MERGEFORMAT </w:instrText>
        </w:r>
        <w:r w:rsidRPr="002E7625">
          <w:rPr>
            <w:rFonts w:ascii="Arial" w:hAnsi="Arial" w:cs="Arial"/>
            <w:sz w:val="18"/>
            <w:szCs w:val="18"/>
          </w:rPr>
          <w:fldChar w:fldCharType="separate"/>
        </w:r>
        <w:r w:rsidRPr="002E7625">
          <w:rPr>
            <w:rFonts w:ascii="Arial" w:hAnsi="Arial" w:cs="Arial"/>
            <w:noProof/>
            <w:sz w:val="18"/>
            <w:szCs w:val="18"/>
          </w:rPr>
          <w:t>2</w:t>
        </w:r>
        <w:r w:rsidRPr="002E762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74001"/>
      <w:docPartObj>
        <w:docPartGallery w:val="Page Numbers (Bottom of Page)"/>
        <w:docPartUnique/>
      </w:docPartObj>
    </w:sdtPr>
    <w:sdtEndPr>
      <w:rPr>
        <w:rFonts w:ascii="Arial" w:hAnsi="Arial" w:cs="Arial"/>
        <w:noProof/>
        <w:sz w:val="18"/>
        <w:szCs w:val="18"/>
      </w:rPr>
    </w:sdtEndPr>
    <w:sdtContent>
      <w:p w14:paraId="1D3B48F7" w14:textId="4E29EF9C" w:rsidR="002E7625" w:rsidRPr="002E7625" w:rsidRDefault="002E7625">
        <w:pPr>
          <w:pStyle w:val="Footer"/>
          <w:jc w:val="center"/>
          <w:rPr>
            <w:rFonts w:ascii="Arial" w:hAnsi="Arial" w:cs="Arial"/>
            <w:sz w:val="18"/>
            <w:szCs w:val="18"/>
          </w:rPr>
        </w:pPr>
        <w:r w:rsidRPr="002E7625">
          <w:rPr>
            <w:rFonts w:ascii="Arial" w:hAnsi="Arial" w:cs="Arial"/>
            <w:sz w:val="18"/>
            <w:szCs w:val="18"/>
          </w:rPr>
          <w:fldChar w:fldCharType="begin"/>
        </w:r>
        <w:r w:rsidRPr="002E7625">
          <w:rPr>
            <w:rFonts w:ascii="Arial" w:hAnsi="Arial" w:cs="Arial"/>
            <w:sz w:val="18"/>
            <w:szCs w:val="18"/>
          </w:rPr>
          <w:instrText xml:space="preserve"> PAGE   \* MERGEFORMAT </w:instrText>
        </w:r>
        <w:r w:rsidRPr="002E7625">
          <w:rPr>
            <w:rFonts w:ascii="Arial" w:hAnsi="Arial" w:cs="Arial"/>
            <w:sz w:val="18"/>
            <w:szCs w:val="18"/>
          </w:rPr>
          <w:fldChar w:fldCharType="separate"/>
        </w:r>
        <w:r w:rsidRPr="002E7625">
          <w:rPr>
            <w:rFonts w:ascii="Arial" w:hAnsi="Arial" w:cs="Arial"/>
            <w:noProof/>
            <w:sz w:val="18"/>
            <w:szCs w:val="18"/>
          </w:rPr>
          <w:t>2</w:t>
        </w:r>
        <w:r w:rsidRPr="002E762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746" w14:textId="0EF203E2" w:rsidR="003E6A17" w:rsidRPr="003E6A17" w:rsidRDefault="003E6A17">
    <w:pPr>
      <w:pStyle w:val="Footer"/>
      <w:jc w:val="cen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91724"/>
      <w:docPartObj>
        <w:docPartGallery w:val="Page Numbers (Bottom of Page)"/>
        <w:docPartUnique/>
      </w:docPartObj>
    </w:sdtPr>
    <w:sdtEndPr>
      <w:rPr>
        <w:rFonts w:ascii="Arial" w:hAnsi="Arial" w:cs="Arial"/>
        <w:noProof/>
        <w:sz w:val="18"/>
        <w:szCs w:val="18"/>
      </w:rPr>
    </w:sdtEndPr>
    <w:sdtContent>
      <w:p w14:paraId="68E83931" w14:textId="4C91C08E" w:rsidR="000812A4" w:rsidRPr="000812A4" w:rsidRDefault="000812A4">
        <w:pPr>
          <w:pStyle w:val="Footer"/>
          <w:jc w:val="center"/>
          <w:rPr>
            <w:rFonts w:ascii="Arial" w:hAnsi="Arial" w:cs="Arial"/>
            <w:sz w:val="18"/>
            <w:szCs w:val="18"/>
          </w:rPr>
        </w:pPr>
        <w:r w:rsidRPr="000812A4">
          <w:rPr>
            <w:rFonts w:ascii="Arial" w:hAnsi="Arial" w:cs="Arial"/>
            <w:sz w:val="18"/>
            <w:szCs w:val="18"/>
          </w:rPr>
          <w:fldChar w:fldCharType="begin"/>
        </w:r>
        <w:r w:rsidRPr="000812A4">
          <w:rPr>
            <w:rFonts w:ascii="Arial" w:hAnsi="Arial" w:cs="Arial"/>
            <w:sz w:val="18"/>
            <w:szCs w:val="18"/>
          </w:rPr>
          <w:instrText xml:space="preserve"> PAGE   \* MERGEFORMAT </w:instrText>
        </w:r>
        <w:r w:rsidRPr="000812A4">
          <w:rPr>
            <w:rFonts w:ascii="Arial" w:hAnsi="Arial" w:cs="Arial"/>
            <w:sz w:val="18"/>
            <w:szCs w:val="18"/>
          </w:rPr>
          <w:fldChar w:fldCharType="separate"/>
        </w:r>
        <w:r w:rsidRPr="000812A4">
          <w:rPr>
            <w:rFonts w:ascii="Arial" w:hAnsi="Arial" w:cs="Arial"/>
            <w:noProof/>
            <w:sz w:val="18"/>
            <w:szCs w:val="18"/>
          </w:rPr>
          <w:t>2</w:t>
        </w:r>
        <w:r w:rsidRPr="000812A4">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41624"/>
      <w:docPartObj>
        <w:docPartGallery w:val="Page Numbers (Bottom of Page)"/>
        <w:docPartUnique/>
      </w:docPartObj>
    </w:sdtPr>
    <w:sdtEndPr>
      <w:rPr>
        <w:rFonts w:ascii="Arial" w:hAnsi="Arial" w:cs="Arial"/>
        <w:noProof/>
        <w:sz w:val="18"/>
        <w:szCs w:val="18"/>
      </w:rPr>
    </w:sdtEndPr>
    <w:sdtContent>
      <w:p w14:paraId="42E9E000" w14:textId="2B25BDBF" w:rsidR="000812A4" w:rsidRPr="000812A4" w:rsidRDefault="000812A4">
        <w:pPr>
          <w:pStyle w:val="Footer"/>
          <w:jc w:val="center"/>
          <w:rPr>
            <w:rFonts w:ascii="Arial" w:hAnsi="Arial" w:cs="Arial"/>
            <w:sz w:val="18"/>
            <w:szCs w:val="18"/>
          </w:rPr>
        </w:pPr>
        <w:r w:rsidRPr="000812A4">
          <w:rPr>
            <w:rFonts w:ascii="Arial" w:hAnsi="Arial" w:cs="Arial"/>
            <w:sz w:val="18"/>
            <w:szCs w:val="18"/>
          </w:rPr>
          <w:fldChar w:fldCharType="begin"/>
        </w:r>
        <w:r w:rsidRPr="000812A4">
          <w:rPr>
            <w:rFonts w:ascii="Arial" w:hAnsi="Arial" w:cs="Arial"/>
            <w:sz w:val="18"/>
            <w:szCs w:val="18"/>
          </w:rPr>
          <w:instrText xml:space="preserve"> PAGE   \* MERGEFORMAT </w:instrText>
        </w:r>
        <w:r w:rsidRPr="000812A4">
          <w:rPr>
            <w:rFonts w:ascii="Arial" w:hAnsi="Arial" w:cs="Arial"/>
            <w:sz w:val="18"/>
            <w:szCs w:val="18"/>
          </w:rPr>
          <w:fldChar w:fldCharType="separate"/>
        </w:r>
        <w:r w:rsidRPr="000812A4">
          <w:rPr>
            <w:rFonts w:ascii="Arial" w:hAnsi="Arial" w:cs="Arial"/>
            <w:noProof/>
            <w:sz w:val="18"/>
            <w:szCs w:val="18"/>
          </w:rPr>
          <w:t>2</w:t>
        </w:r>
        <w:r w:rsidRPr="000812A4">
          <w:rPr>
            <w:rFonts w:ascii="Arial" w:hAnsi="Arial" w:cs="Arial"/>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16526"/>
      <w:docPartObj>
        <w:docPartGallery w:val="Page Numbers (Bottom of Page)"/>
        <w:docPartUnique/>
      </w:docPartObj>
    </w:sdtPr>
    <w:sdtEndPr>
      <w:rPr>
        <w:rFonts w:ascii="Arial" w:hAnsi="Arial" w:cs="Arial"/>
        <w:noProof/>
        <w:sz w:val="18"/>
        <w:szCs w:val="18"/>
      </w:rPr>
    </w:sdtEndPr>
    <w:sdtContent>
      <w:p w14:paraId="268590FC" w14:textId="46296C9C" w:rsidR="000812A4" w:rsidRPr="000812A4" w:rsidRDefault="000812A4">
        <w:pPr>
          <w:pStyle w:val="Footer"/>
          <w:jc w:val="center"/>
          <w:rPr>
            <w:rFonts w:ascii="Arial" w:hAnsi="Arial" w:cs="Arial"/>
            <w:sz w:val="18"/>
            <w:szCs w:val="18"/>
          </w:rPr>
        </w:pPr>
        <w:r w:rsidRPr="000812A4">
          <w:rPr>
            <w:rFonts w:ascii="Arial" w:hAnsi="Arial" w:cs="Arial"/>
            <w:sz w:val="18"/>
            <w:szCs w:val="18"/>
          </w:rPr>
          <w:fldChar w:fldCharType="begin"/>
        </w:r>
        <w:r w:rsidRPr="000812A4">
          <w:rPr>
            <w:rFonts w:ascii="Arial" w:hAnsi="Arial" w:cs="Arial"/>
            <w:sz w:val="18"/>
            <w:szCs w:val="18"/>
          </w:rPr>
          <w:instrText xml:space="preserve"> PAGE   \* MERGEFORMAT </w:instrText>
        </w:r>
        <w:r w:rsidRPr="000812A4">
          <w:rPr>
            <w:rFonts w:ascii="Arial" w:hAnsi="Arial" w:cs="Arial"/>
            <w:sz w:val="18"/>
            <w:szCs w:val="18"/>
          </w:rPr>
          <w:fldChar w:fldCharType="separate"/>
        </w:r>
        <w:r w:rsidRPr="000812A4">
          <w:rPr>
            <w:rFonts w:ascii="Arial" w:hAnsi="Arial" w:cs="Arial"/>
            <w:noProof/>
            <w:sz w:val="18"/>
            <w:szCs w:val="18"/>
          </w:rPr>
          <w:t>2</w:t>
        </w:r>
        <w:r w:rsidRPr="000812A4">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1A9F" w14:textId="77777777" w:rsidR="00E966DE" w:rsidRDefault="00E966DE" w:rsidP="00E966DE">
      <w:pPr>
        <w:spacing w:after="0" w:line="240" w:lineRule="auto"/>
      </w:pPr>
      <w:r>
        <w:separator/>
      </w:r>
    </w:p>
  </w:footnote>
  <w:footnote w:type="continuationSeparator" w:id="0">
    <w:p w14:paraId="25854B90" w14:textId="77777777" w:rsidR="00E966DE" w:rsidRDefault="00E966DE" w:rsidP="00E966DE">
      <w:pPr>
        <w:spacing w:after="0" w:line="240" w:lineRule="auto"/>
      </w:pPr>
      <w:r>
        <w:continuationSeparator/>
      </w:r>
    </w:p>
  </w:footnote>
  <w:footnote w:id="1">
    <w:p w14:paraId="627FA81E" w14:textId="77777777" w:rsidR="004F717A" w:rsidRPr="00FA0A61" w:rsidRDefault="004F717A" w:rsidP="004F717A">
      <w:pPr>
        <w:ind w:right="252"/>
        <w:jc w:val="both"/>
        <w:rPr>
          <w:rFonts w:cs="Arial"/>
          <w:bCs/>
          <w:iCs/>
          <w:sz w:val="16"/>
          <w:szCs w:val="16"/>
          <w:lang w:val="es-ES"/>
        </w:rPr>
      </w:pPr>
      <w:bookmarkStart w:id="1" w:name="_Hlk117176097"/>
      <w:r w:rsidRPr="00992485">
        <w:rPr>
          <w:rStyle w:val="FootnoteReference"/>
          <w:sz w:val="16"/>
          <w:szCs w:val="16"/>
        </w:rPr>
        <w:footnoteRef/>
      </w:r>
      <w:r w:rsidRPr="00FA0A61">
        <w:rPr>
          <w:sz w:val="16"/>
          <w:szCs w:val="16"/>
          <w:lang w:val="es-ES"/>
        </w:rPr>
        <w:t xml:space="preserve"> </w:t>
      </w:r>
      <w:hyperlink r:id="rId1" w:history="1">
        <w:r w:rsidRPr="00FA0A61">
          <w:rPr>
            <w:rStyle w:val="Hyperlink"/>
            <w:rFonts w:cs="Arial"/>
            <w:bCs/>
            <w:iCs/>
            <w:sz w:val="16"/>
            <w:szCs w:val="16"/>
            <w:lang w:val="es-ES"/>
          </w:rPr>
          <w:t>https://sharkrayareas.org/isra/</w:t>
        </w:r>
      </w:hyperlink>
      <w:bookmarkEnd w:id="1"/>
    </w:p>
  </w:footnote>
  <w:footnote w:id="2">
    <w:p w14:paraId="566176B1" w14:textId="77777777" w:rsidR="004F717A" w:rsidRPr="004F717A" w:rsidRDefault="004F717A" w:rsidP="004F717A">
      <w:pPr>
        <w:pStyle w:val="FootnoteText"/>
        <w:jc w:val="both"/>
        <w:rPr>
          <w:rFonts w:ascii="Arial" w:hAnsi="Arial" w:cs="Arial"/>
          <w:sz w:val="16"/>
          <w:szCs w:val="16"/>
          <w:lang w:val="es-ES"/>
        </w:rPr>
      </w:pPr>
      <w:r w:rsidRPr="004F717A">
        <w:rPr>
          <w:rStyle w:val="FootnoteReference"/>
          <w:rFonts w:ascii="Arial" w:hAnsi="Arial" w:cs="Arial"/>
          <w:sz w:val="16"/>
          <w:szCs w:val="16"/>
        </w:rPr>
        <w:footnoteRef/>
      </w:r>
      <w:r w:rsidRPr="00FA0A61">
        <w:rPr>
          <w:rFonts w:ascii="Arial" w:hAnsi="Arial" w:cs="Arial"/>
          <w:sz w:val="16"/>
          <w:szCs w:val="16"/>
          <w:lang w:val="es-ES"/>
        </w:rPr>
        <w:t xml:space="preserve"> </w:t>
      </w:r>
      <w:r w:rsidRPr="00FA0A61">
        <w:rPr>
          <w:rFonts w:ascii="Arial" w:hAnsi="Arial" w:cs="Arial"/>
          <w:b/>
          <w:bCs/>
          <w:sz w:val="16"/>
          <w:szCs w:val="16"/>
          <w:lang w:val="es-ES"/>
        </w:rPr>
        <w:t>Dulvy NK, Pacoureau N, Rigby CL, Pollom RA, Jabado RW, Ebert DA, Finucci B</w:t>
      </w:r>
      <w:r w:rsidRPr="00FA0A61">
        <w:rPr>
          <w:rFonts w:ascii="Arial" w:hAnsi="Arial" w:cs="Arial"/>
          <w:b/>
          <w:bCs/>
          <w:i/>
          <w:iCs/>
          <w:sz w:val="16"/>
          <w:szCs w:val="16"/>
          <w:lang w:val="es-ES"/>
        </w:rPr>
        <w:t>. et al.</w:t>
      </w:r>
      <w:r w:rsidRPr="00FA0A61">
        <w:rPr>
          <w:rFonts w:ascii="Arial" w:hAnsi="Arial" w:cs="Arial"/>
          <w:b/>
          <w:bCs/>
          <w:sz w:val="16"/>
          <w:szCs w:val="16"/>
          <w:lang w:val="es-ES"/>
        </w:rPr>
        <w:t xml:space="preserve"> </w:t>
      </w:r>
      <w:r w:rsidRPr="003D64F4">
        <w:rPr>
          <w:rFonts w:ascii="Arial" w:hAnsi="Arial" w:cs="Arial"/>
          <w:b/>
          <w:bCs/>
          <w:sz w:val="16"/>
          <w:szCs w:val="16"/>
          <w:lang w:val="es-ES"/>
        </w:rPr>
        <w:t xml:space="preserve">(2021) </w:t>
      </w:r>
      <w:r w:rsidRPr="004F717A">
        <w:rPr>
          <w:rFonts w:ascii="Arial" w:hAnsi="Arial" w:cs="Arial"/>
          <w:sz w:val="16"/>
          <w:szCs w:val="16"/>
          <w:lang w:val="es-ES"/>
        </w:rPr>
        <w:t xml:space="preserve">La sobreexplotación pesquera aboca a más de un tercio de todos los tiburones y rayas a una crisis de extinción global. Curr. Biol. 31(21): 4773-4787. doi: 10.1016/j.cub.2021.08.062 </w:t>
      </w:r>
      <w:hyperlink r:id="rId2" w:history="1">
        <w:r w:rsidRPr="004F717A">
          <w:rPr>
            <w:rStyle w:val="Hyperlink"/>
            <w:rFonts w:ascii="Arial" w:hAnsi="Arial" w:cs="Arial"/>
            <w:sz w:val="16"/>
            <w:szCs w:val="16"/>
            <w:lang w:val="es-ES"/>
          </w:rPr>
          <w:t>https://pubmed.ncbi.nlm.nih.gov/34492229/</w:t>
        </w:r>
      </w:hyperlink>
    </w:p>
  </w:footnote>
  <w:footnote w:id="3">
    <w:p w14:paraId="74133E70" w14:textId="77777777" w:rsidR="004F717A" w:rsidRPr="004F717A" w:rsidRDefault="004F717A" w:rsidP="004F717A">
      <w:pPr>
        <w:pStyle w:val="pf0"/>
        <w:spacing w:before="0" w:beforeAutospacing="0" w:after="0" w:afterAutospacing="0"/>
        <w:jc w:val="both"/>
        <w:rPr>
          <w:rFonts w:ascii="Arial" w:hAnsi="Arial" w:cs="Arial"/>
          <w:sz w:val="16"/>
          <w:szCs w:val="16"/>
          <w:lang w:val="es-ES"/>
        </w:rPr>
      </w:pPr>
      <w:r w:rsidRPr="004F717A">
        <w:rPr>
          <w:rStyle w:val="FootnoteReference"/>
          <w:rFonts w:ascii="Arial" w:hAnsi="Arial" w:cs="Arial"/>
          <w:sz w:val="16"/>
          <w:szCs w:val="16"/>
        </w:rPr>
        <w:footnoteRef/>
      </w:r>
      <w:r w:rsidRPr="004F717A">
        <w:rPr>
          <w:rFonts w:ascii="Arial" w:hAnsi="Arial" w:cs="Arial"/>
          <w:sz w:val="16"/>
          <w:szCs w:val="16"/>
          <w:lang w:val="es-ES"/>
        </w:rPr>
        <w:t xml:space="preserve"> El Fondo de Conservación de Tiburones es un proyecto de Rockefeller Philanthropy Advisors.</w:t>
      </w:r>
    </w:p>
  </w:footnote>
  <w:footnote w:id="4">
    <w:p w14:paraId="17FC92DC" w14:textId="21E87D9D" w:rsidR="004F717A" w:rsidRPr="005F4C1A" w:rsidRDefault="004F717A" w:rsidP="004F717A">
      <w:pPr>
        <w:jc w:val="both"/>
        <w:rPr>
          <w:lang w:val="fr-FR"/>
        </w:rPr>
      </w:pPr>
      <w:r w:rsidRPr="004F717A">
        <w:rPr>
          <w:rStyle w:val="FootnoteReference"/>
          <w:rFonts w:ascii="Arial" w:hAnsi="Arial" w:cs="Arial"/>
          <w:sz w:val="16"/>
          <w:szCs w:val="16"/>
        </w:rPr>
        <w:footnoteRef/>
      </w:r>
      <w:r w:rsidRPr="003D64F4">
        <w:rPr>
          <w:rFonts w:ascii="Arial" w:hAnsi="Arial" w:cs="Arial"/>
          <w:sz w:val="16"/>
          <w:szCs w:val="16"/>
          <w:lang w:val="es-ES"/>
        </w:rPr>
        <w:t xml:space="preserve"> </w:t>
      </w:r>
      <w:r w:rsidRPr="003D64F4">
        <w:rPr>
          <w:rFonts w:ascii="Arial" w:hAnsi="Arial" w:cs="Arial"/>
          <w:b/>
          <w:iCs/>
          <w:sz w:val="16"/>
          <w:szCs w:val="16"/>
          <w:lang w:val="es-ES"/>
        </w:rPr>
        <w:t>Hyde CA, Notarbartolo di Sciara G, Sorrentino L, Boyd C, Finucci B, Fowler SL, Kyne PM, Leurs G, Simpfendorfer CA, Tetley MJ, Womersley F and Jabado RW (2022</w:t>
      </w:r>
      <w:r w:rsidRPr="003D64F4">
        <w:rPr>
          <w:rFonts w:ascii="Arial" w:hAnsi="Arial" w:cs="Arial"/>
          <w:bCs/>
          <w:iCs/>
          <w:sz w:val="16"/>
          <w:szCs w:val="16"/>
          <w:lang w:val="es-ES"/>
        </w:rPr>
        <w:t>) Situando a los tiburones en el mapa: Una norma global para mejorar la conservación de los tiburones basada en zonas. </w:t>
      </w:r>
      <w:r w:rsidRPr="003D64F4">
        <w:rPr>
          <w:rFonts w:ascii="Arial" w:hAnsi="Arial" w:cs="Arial"/>
          <w:bCs/>
          <w:iCs/>
          <w:sz w:val="16"/>
          <w:szCs w:val="16"/>
          <w:lang w:val="fr-FR"/>
        </w:rPr>
        <w:t>Front. Mar. Sci. 9:968853. doi: 10.3389/fmars.2022.968853</w:t>
      </w:r>
      <w:r w:rsidRPr="003D64F4">
        <w:rPr>
          <w:rFonts w:ascii="Arial" w:hAnsi="Arial" w:cs="Arial"/>
          <w:b/>
          <w:iCs/>
          <w:sz w:val="16"/>
          <w:szCs w:val="16"/>
          <w:lang w:val="fr-FR"/>
        </w:rPr>
        <w:t>​</w:t>
      </w:r>
      <w:hyperlink r:id="rId3" w:history="1">
        <w:r w:rsidRPr="004F717A">
          <w:rPr>
            <w:rStyle w:val="Hyperlink"/>
            <w:rFonts w:ascii="Arial" w:hAnsi="Arial" w:cs="Arial"/>
            <w:bCs/>
            <w:iCs/>
            <w:sz w:val="16"/>
            <w:szCs w:val="16"/>
            <w:lang w:val="fr-FR"/>
          </w:rPr>
          <w:t>https://www.frontiersin.org/articles/10.3389/fmars.2022.968853/full</w:t>
        </w:r>
      </w:hyperlink>
    </w:p>
  </w:footnote>
  <w:footnote w:id="5">
    <w:p w14:paraId="15107C6A" w14:textId="77777777" w:rsidR="004F717A" w:rsidRPr="000812A4" w:rsidRDefault="004F717A" w:rsidP="000812A4">
      <w:pPr>
        <w:spacing w:after="0" w:line="240" w:lineRule="auto"/>
        <w:jc w:val="both"/>
        <w:rPr>
          <w:rFonts w:ascii="Arial" w:hAnsi="Arial" w:cs="Arial"/>
          <w:bCs/>
          <w:iCs/>
          <w:sz w:val="16"/>
          <w:szCs w:val="16"/>
          <w:lang w:val="fr-FR"/>
        </w:rPr>
      </w:pPr>
      <w:r w:rsidRPr="000812A4">
        <w:rPr>
          <w:rStyle w:val="FootnoteReference"/>
          <w:rFonts w:ascii="Arial" w:hAnsi="Arial" w:cs="Arial"/>
          <w:sz w:val="16"/>
          <w:szCs w:val="16"/>
        </w:rPr>
        <w:footnoteRef/>
      </w:r>
      <w:r w:rsidRPr="000812A4">
        <w:rPr>
          <w:rFonts w:ascii="Arial" w:hAnsi="Arial" w:cs="Arial"/>
          <w:sz w:val="16"/>
          <w:szCs w:val="16"/>
          <w:lang w:val="es-ES"/>
        </w:rPr>
        <w:t xml:space="preserve"> </w:t>
      </w:r>
      <w:r w:rsidRPr="000812A4">
        <w:rPr>
          <w:rFonts w:ascii="Arial" w:hAnsi="Arial" w:cs="Arial"/>
          <w:b/>
          <w:iCs/>
          <w:sz w:val="16"/>
          <w:szCs w:val="16"/>
          <w:lang w:val="es-ES"/>
        </w:rPr>
        <w:t>Hyde CA, Notarbartolo di Sciara G, Sorrentino L, Boyd C, Finucci B, Fowler SL, Kyne PM, Leurs G, Simpfendorfer CA, Tetley MJ, Womersley F and Jabado RW (2022</w:t>
      </w:r>
      <w:r w:rsidRPr="000812A4">
        <w:rPr>
          <w:rFonts w:ascii="Arial" w:hAnsi="Arial" w:cs="Arial"/>
          <w:bCs/>
          <w:iCs/>
          <w:sz w:val="16"/>
          <w:szCs w:val="16"/>
          <w:lang w:val="es-ES"/>
        </w:rPr>
        <w:t>) Situando a los tiburones en el mapa: Una norma global para mejorar la conservación de los tiburones basada en zonas. </w:t>
      </w:r>
      <w:r w:rsidRPr="000812A4">
        <w:rPr>
          <w:rFonts w:ascii="Arial" w:hAnsi="Arial" w:cs="Arial"/>
          <w:bCs/>
          <w:iCs/>
          <w:sz w:val="16"/>
          <w:szCs w:val="16"/>
          <w:lang w:val="fr-FR"/>
        </w:rPr>
        <w:t>Front. Mar. Sci. 9 :968853.Doi : 10.3389/fmars.2022.968853</w:t>
      </w:r>
    </w:p>
    <w:p w14:paraId="3481BDC8" w14:textId="77777777" w:rsidR="004F717A" w:rsidRPr="00992485" w:rsidRDefault="00F56D91" w:rsidP="004F717A">
      <w:pPr>
        <w:spacing w:line="276" w:lineRule="auto"/>
        <w:jc w:val="both"/>
        <w:rPr>
          <w:rFonts w:cs="Arial"/>
          <w:bCs/>
          <w:iCs/>
          <w:sz w:val="16"/>
          <w:szCs w:val="16"/>
          <w:lang w:val="fr-FR"/>
        </w:rPr>
      </w:pPr>
      <w:hyperlink r:id="rId4" w:history="1">
        <w:r w:rsidR="004F717A" w:rsidRPr="000812A4">
          <w:rPr>
            <w:rStyle w:val="Hyperlink"/>
            <w:rFonts w:ascii="Arial" w:hAnsi="Arial" w:cs="Arial"/>
            <w:bCs/>
            <w:iCs/>
            <w:sz w:val="16"/>
            <w:szCs w:val="16"/>
            <w:lang w:val="fr-FR"/>
          </w:rPr>
          <w:t>https ://www.frontiersin.org/articles/10.3389/fmars.2022.968853/full</w:t>
        </w:r>
      </w:hyperlink>
      <w:r w:rsidR="004F717A" w:rsidRPr="00992485">
        <w:rPr>
          <w:rFonts w:cs="Arial"/>
          <w:bCs/>
          <w:iCs/>
          <w:sz w:val="16"/>
          <w:szCs w:val="16"/>
          <w:lang w:val="fr-FR"/>
        </w:rPr>
        <w:t xml:space="preserve"> </w:t>
      </w:r>
    </w:p>
  </w:footnote>
  <w:footnote w:id="6">
    <w:p w14:paraId="705A823C" w14:textId="77777777" w:rsidR="004F717A" w:rsidRPr="003D64F4" w:rsidRDefault="004F717A" w:rsidP="004F717A">
      <w:pPr>
        <w:pStyle w:val="FootnoteText"/>
        <w:jc w:val="both"/>
        <w:rPr>
          <w:rFonts w:ascii="Arial" w:hAnsi="Arial" w:cs="Arial"/>
          <w:sz w:val="16"/>
          <w:szCs w:val="16"/>
          <w:lang w:val="es-ES"/>
        </w:rPr>
      </w:pPr>
      <w:r w:rsidRPr="00D42F88">
        <w:rPr>
          <w:rStyle w:val="FootnoteReference"/>
          <w:rFonts w:ascii="Arial" w:hAnsi="Arial" w:cs="Arial"/>
          <w:sz w:val="16"/>
          <w:szCs w:val="16"/>
        </w:rPr>
        <w:footnoteRef/>
      </w:r>
      <w:r w:rsidRPr="003D64F4">
        <w:rPr>
          <w:rFonts w:ascii="Arial" w:hAnsi="Arial" w:cs="Arial"/>
          <w:sz w:val="16"/>
          <w:szCs w:val="16"/>
          <w:lang w:val="es-ES"/>
        </w:rPr>
        <w:t xml:space="preserve"> </w:t>
      </w:r>
      <w:r w:rsidRPr="003D64F4">
        <w:rPr>
          <w:rFonts w:ascii="Arial" w:hAnsi="Arial" w:cs="Arial"/>
          <w:b/>
          <w:bCs/>
          <w:sz w:val="16"/>
          <w:szCs w:val="16"/>
          <w:lang w:val="es-ES"/>
        </w:rPr>
        <w:t>Notarbartolo di Sciara, G. (2021)</w:t>
      </w:r>
      <w:r w:rsidRPr="003D64F4">
        <w:rPr>
          <w:rFonts w:ascii="Arial" w:hAnsi="Arial" w:cs="Arial"/>
          <w:sz w:val="16"/>
          <w:szCs w:val="16"/>
          <w:lang w:val="es-ES"/>
        </w:rPr>
        <w:t xml:space="preserve"> Hacia un proceso de Áreas Importantes de Tiburones y Rayas (ISRA): estrategia de implementación (Facilitación de información al Grupo Especialista de Tiburones Comisión de Supervivencia de Especies de la UICN). </w:t>
      </w:r>
    </w:p>
    <w:p w14:paraId="5B433D2B" w14:textId="77777777" w:rsidR="004F717A" w:rsidRPr="00992485" w:rsidRDefault="004F717A" w:rsidP="004F717A">
      <w:pPr>
        <w:pStyle w:val="FootnoteText"/>
        <w:jc w:val="both"/>
        <w:rPr>
          <w:rFonts w:ascii="Arial" w:hAnsi="Arial" w:cs="Arial"/>
          <w:sz w:val="16"/>
          <w:szCs w:val="16"/>
        </w:rPr>
      </w:pPr>
      <w:r w:rsidRPr="00D42F88">
        <w:rPr>
          <w:rFonts w:ascii="Arial" w:hAnsi="Arial" w:cs="Arial"/>
          <w:sz w:val="16"/>
          <w:szCs w:val="16"/>
        </w:rPr>
        <w:t xml:space="preserve">Disponible en: </w:t>
      </w:r>
      <w:hyperlink r:id="rId5" w:history="1">
        <w:r w:rsidRPr="00D42F88">
          <w:rPr>
            <w:rStyle w:val="Hyperlink"/>
            <w:rFonts w:ascii="Arial" w:hAnsi="Arial" w:cs="Arial"/>
            <w:sz w:val="16"/>
            <w:szCs w:val="16"/>
          </w:rPr>
          <w:t>https://sharkrayareas.org/ resources/meeting-workshop-reports/</w:t>
        </w:r>
      </w:hyperlink>
      <w:r w:rsidRPr="00992485">
        <w:rPr>
          <w:rFonts w:ascii="Arial" w:hAnsi="Arial" w:cs="Arial"/>
          <w:sz w:val="16"/>
          <w:szCs w:val="16"/>
        </w:rPr>
        <w:t>.</w:t>
      </w:r>
    </w:p>
  </w:footnote>
  <w:footnote w:id="7">
    <w:p w14:paraId="3976D68F" w14:textId="77777777" w:rsidR="004F717A" w:rsidRPr="003D64F4" w:rsidRDefault="004F717A" w:rsidP="00D42F88">
      <w:pPr>
        <w:pStyle w:val="FootnoteText"/>
        <w:jc w:val="both"/>
        <w:rPr>
          <w:rFonts w:ascii="Arial" w:hAnsi="Arial" w:cs="Arial"/>
          <w:sz w:val="16"/>
          <w:szCs w:val="16"/>
          <w:lang w:val="es-ES"/>
        </w:rPr>
      </w:pPr>
      <w:r w:rsidRPr="00170E17">
        <w:rPr>
          <w:rFonts w:ascii="Arial" w:hAnsi="Arial" w:cs="Arial"/>
          <w:sz w:val="16"/>
          <w:szCs w:val="16"/>
        </w:rPr>
        <w:footnoteRef/>
      </w:r>
      <w:r w:rsidRPr="003D64F4">
        <w:rPr>
          <w:rFonts w:ascii="Arial" w:hAnsi="Arial" w:cs="Arial"/>
          <w:sz w:val="16"/>
          <w:szCs w:val="16"/>
          <w:lang w:val="es-ES"/>
        </w:rPr>
        <w:t xml:space="preserve"> Plan de Conservación (CP), Términos de Referencia del Comité Asesor (AC TOR), Términos de Referencia de la Secretaría (SEC TOR)</w:t>
      </w:r>
    </w:p>
  </w:footnote>
  <w:footnote w:id="8">
    <w:p w14:paraId="1F120F4E" w14:textId="77777777" w:rsidR="004F717A" w:rsidRPr="003D64F4" w:rsidRDefault="004F717A" w:rsidP="00D42F88">
      <w:pPr>
        <w:pStyle w:val="FootnoteText"/>
        <w:jc w:val="both"/>
        <w:rPr>
          <w:rFonts w:ascii="Arial" w:hAnsi="Arial" w:cs="Arial"/>
          <w:sz w:val="16"/>
          <w:szCs w:val="16"/>
          <w:lang w:val="es-ES"/>
        </w:rPr>
      </w:pPr>
      <w:r w:rsidRPr="00170E17">
        <w:rPr>
          <w:rFonts w:ascii="Arial" w:hAnsi="Arial" w:cs="Arial"/>
          <w:sz w:val="16"/>
          <w:szCs w:val="16"/>
        </w:rPr>
        <w:footnoteRef/>
      </w:r>
      <w:r w:rsidRPr="003D64F4">
        <w:rPr>
          <w:rFonts w:ascii="Arial" w:hAnsi="Arial" w:cs="Arial"/>
          <w:sz w:val="16"/>
          <w:szCs w:val="16"/>
          <w:lang w:val="es-ES"/>
        </w:rPr>
        <w:t xml:space="preserve"> Actividades Básicas de la Secretaría y prioridades sugeridas (Alta, Media)</w:t>
      </w:r>
    </w:p>
  </w:footnote>
  <w:footnote w:id="9">
    <w:p w14:paraId="12E1F7A2" w14:textId="77777777" w:rsidR="004F717A" w:rsidRPr="003D64F4" w:rsidRDefault="004F717A" w:rsidP="00D42F88">
      <w:pPr>
        <w:pStyle w:val="FootnoteText"/>
        <w:jc w:val="both"/>
        <w:rPr>
          <w:rFonts w:ascii="Arial" w:hAnsi="Arial" w:cs="Arial"/>
          <w:sz w:val="16"/>
          <w:szCs w:val="16"/>
          <w:lang w:val="es-ES"/>
        </w:rPr>
      </w:pPr>
      <w:r w:rsidRPr="00170E17">
        <w:rPr>
          <w:rFonts w:ascii="Arial" w:hAnsi="Arial" w:cs="Arial"/>
          <w:sz w:val="16"/>
          <w:szCs w:val="16"/>
        </w:rPr>
        <w:footnoteRef/>
      </w:r>
      <w:r w:rsidRPr="003D64F4">
        <w:rPr>
          <w:rFonts w:ascii="Arial" w:hAnsi="Arial" w:cs="Arial"/>
          <w:sz w:val="16"/>
          <w:szCs w:val="16"/>
          <w:lang w:val="es-ES"/>
        </w:rPr>
        <w:t xml:space="preserve"> Año(s) durante el(los) cual(es) debería implementarse la actividad</w:t>
      </w:r>
    </w:p>
  </w:footnote>
  <w:footnote w:id="10">
    <w:p w14:paraId="01E5C298" w14:textId="77777777" w:rsidR="004F717A" w:rsidRPr="003D64F4" w:rsidRDefault="004F717A" w:rsidP="00D42F88">
      <w:pPr>
        <w:pStyle w:val="FootnoteText"/>
        <w:jc w:val="both"/>
        <w:rPr>
          <w:sz w:val="16"/>
          <w:szCs w:val="16"/>
          <w:lang w:val="es-ES"/>
        </w:rPr>
      </w:pPr>
      <w:r w:rsidRPr="00170E17">
        <w:rPr>
          <w:rFonts w:ascii="Arial" w:hAnsi="Arial" w:cs="Arial"/>
          <w:sz w:val="16"/>
          <w:szCs w:val="16"/>
        </w:rPr>
        <w:footnoteRef/>
      </w:r>
      <w:r w:rsidRPr="003D64F4">
        <w:rPr>
          <w:rFonts w:ascii="Arial" w:hAnsi="Arial" w:cs="Arial"/>
          <w:sz w:val="16"/>
          <w:szCs w:val="16"/>
          <w:lang w:val="es-ES"/>
        </w:rPr>
        <w:t xml:space="preserve"> Signatarios (SIG), Comité Asesor (CA), Secretaría (SEC), Grupo de Trabajo de Conservación (CWS), Consultores, Socios Cooperadores (CooP)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1E03" w14:textId="5CD9B3A9" w:rsidR="00093A40" w:rsidRPr="004F717A" w:rsidRDefault="003E6A17" w:rsidP="002E7625">
    <w:pPr>
      <w:pStyle w:val="Heading11"/>
      <w:keepNext w:val="0"/>
      <w:pBdr>
        <w:bottom w:val="single" w:sz="4" w:space="1" w:color="auto"/>
      </w:pBdr>
      <w:spacing w:before="0"/>
      <w:rPr>
        <w:rFonts w:ascii="Arial" w:hAnsi="Arial" w:cs="Arial"/>
        <w:color w:val="auto"/>
        <w:sz w:val="18"/>
        <w:szCs w:val="18"/>
      </w:rPr>
    </w:pPr>
    <w:bookmarkStart w:id="2" w:name="_Hlk122083411"/>
    <w:bookmarkStart w:id="3" w:name="_Hlk122083412"/>
    <w:bookmarkStart w:id="4" w:name="_Hlk122083413"/>
    <w:bookmarkStart w:id="5" w:name="_Hlk122083414"/>
    <w:bookmarkStart w:id="6" w:name="_Hlk122083415"/>
    <w:bookmarkStart w:id="7" w:name="_Hlk122083416"/>
    <w:bookmarkStart w:id="8" w:name="_Hlk122083417"/>
    <w:bookmarkStart w:id="9" w:name="_Hlk122083418"/>
    <w:r>
      <w:rPr>
        <w:rFonts w:ascii="Arial" w:hAnsi="Arial" w:cs="Arial"/>
        <w:i/>
        <w:color w:val="auto"/>
        <w:sz w:val="18"/>
        <w:szCs w:val="18"/>
      </w:rPr>
      <w:t>CMS/Sharks/MOS</w:t>
    </w:r>
    <w:r w:rsidR="002E7625">
      <w:rPr>
        <w:rFonts w:ascii="Arial" w:hAnsi="Arial" w:cs="Arial"/>
        <w:i/>
        <w:color w:val="auto"/>
        <w:sz w:val="18"/>
        <w:szCs w:val="18"/>
      </w:rPr>
      <w:t>4</w:t>
    </w:r>
    <w:r>
      <w:rPr>
        <w:rFonts w:ascii="Arial" w:hAnsi="Arial" w:cs="Arial"/>
        <w:i/>
        <w:color w:val="auto"/>
        <w:sz w:val="18"/>
        <w:szCs w:val="18"/>
      </w:rPr>
      <w:t>/Doc.</w:t>
    </w:r>
    <w:r w:rsidR="004F717A">
      <w:rPr>
        <w:rFonts w:ascii="Arial" w:hAnsi="Arial" w:cs="Arial"/>
        <w:i/>
        <w:color w:val="auto"/>
        <w:sz w:val="18"/>
        <w:szCs w:val="18"/>
      </w:rPr>
      <w:t>10.4</w:t>
    </w:r>
    <w:bookmarkEnd w:id="2"/>
    <w:bookmarkEnd w:id="3"/>
    <w:bookmarkEnd w:id="4"/>
    <w:bookmarkEnd w:id="5"/>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0BD6" w14:textId="17C10E82" w:rsidR="002E7625" w:rsidRPr="000812A4" w:rsidRDefault="002E7625" w:rsidP="002E7625">
    <w:pPr>
      <w:pStyle w:val="Heading11"/>
      <w:keepNext w:val="0"/>
      <w:pBdr>
        <w:bottom w:val="single" w:sz="4" w:space="1" w:color="auto"/>
      </w:pBdr>
      <w:spacing w:before="0"/>
      <w:jc w:val="right"/>
      <w:rPr>
        <w:rFonts w:ascii="Arial" w:hAnsi="Arial" w:cs="Arial"/>
        <w:color w:val="auto"/>
        <w:sz w:val="18"/>
        <w:szCs w:val="18"/>
      </w:rPr>
    </w:pPr>
    <w:r>
      <w:rPr>
        <w:rFonts w:ascii="Arial" w:hAnsi="Arial" w:cs="Arial"/>
        <w:i/>
        <w:color w:val="auto"/>
        <w:sz w:val="18"/>
        <w:szCs w:val="18"/>
      </w:rPr>
      <w:t>CMS/Sharks/MOS4/Doc.</w:t>
    </w:r>
    <w:r w:rsidR="004F717A">
      <w:rPr>
        <w:rFonts w:ascii="Arial" w:hAnsi="Arial" w:cs="Arial"/>
        <w:i/>
        <w:color w:val="auto"/>
        <w:sz w:val="18"/>
        <w:szCs w:val="18"/>
      </w:rPr>
      <w:t>10.4</w:t>
    </w:r>
  </w:p>
  <w:p w14:paraId="0A4D9E42" w14:textId="77777777" w:rsidR="002E7625" w:rsidRDefault="002E7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9FB1" w14:textId="36B88C74" w:rsidR="004F717A" w:rsidRPr="000812A4" w:rsidRDefault="004F717A" w:rsidP="002E7625">
    <w:pPr>
      <w:pStyle w:val="Heading11"/>
      <w:keepNext w:val="0"/>
      <w:pBdr>
        <w:bottom w:val="single" w:sz="4" w:space="1" w:color="auto"/>
      </w:pBdr>
      <w:spacing w:before="0"/>
      <w:rPr>
        <w:rFonts w:ascii="Arial" w:hAnsi="Arial" w:cs="Arial"/>
        <w:color w:val="auto"/>
        <w:sz w:val="18"/>
        <w:szCs w:val="18"/>
      </w:rPr>
    </w:pPr>
    <w:r>
      <w:rPr>
        <w:rFonts w:ascii="Arial" w:hAnsi="Arial" w:cs="Arial"/>
        <w:i/>
        <w:color w:val="auto"/>
        <w:sz w:val="18"/>
        <w:szCs w:val="18"/>
      </w:rPr>
      <w:t>CMS/Sharks/MOS4/Doc.10.4/Anexo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8875" w14:textId="50131695" w:rsidR="004F717A" w:rsidRPr="000812A4" w:rsidRDefault="004F717A" w:rsidP="000812A4">
    <w:pPr>
      <w:pStyle w:val="Heading11"/>
      <w:keepNext w:val="0"/>
      <w:pBdr>
        <w:bottom w:val="single" w:sz="4" w:space="1" w:color="auto"/>
      </w:pBdr>
      <w:spacing w:before="0"/>
      <w:jc w:val="right"/>
      <w:rPr>
        <w:rFonts w:ascii="Arial" w:hAnsi="Arial" w:cs="Arial"/>
        <w:color w:val="auto"/>
        <w:sz w:val="18"/>
        <w:szCs w:val="18"/>
      </w:rPr>
    </w:pPr>
    <w:r>
      <w:rPr>
        <w:rFonts w:ascii="Arial" w:hAnsi="Arial" w:cs="Arial"/>
        <w:i/>
        <w:color w:val="auto"/>
        <w:sz w:val="18"/>
        <w:szCs w:val="18"/>
      </w:rPr>
      <w:t>CMS/Sharks/MOS4/Doc.10.4/Anexo 1</w:t>
    </w:r>
  </w:p>
  <w:p w14:paraId="36CF54E2" w14:textId="77777777" w:rsidR="004F717A" w:rsidRDefault="004F71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FEE1" w14:textId="5D75E47E" w:rsidR="004F717A" w:rsidRPr="000812A4" w:rsidRDefault="004F717A" w:rsidP="004F717A">
    <w:pPr>
      <w:pStyle w:val="Heading11"/>
      <w:keepNext w:val="0"/>
      <w:pBdr>
        <w:bottom w:val="single" w:sz="4" w:space="1" w:color="auto"/>
      </w:pBdr>
      <w:spacing w:before="0"/>
      <w:rPr>
        <w:rFonts w:ascii="Arial" w:hAnsi="Arial" w:cs="Arial"/>
        <w:color w:val="auto"/>
        <w:sz w:val="18"/>
        <w:szCs w:val="18"/>
      </w:rPr>
    </w:pPr>
    <w:r>
      <w:rPr>
        <w:rFonts w:ascii="Arial" w:hAnsi="Arial" w:cs="Arial"/>
        <w:i/>
        <w:color w:val="auto"/>
        <w:sz w:val="18"/>
        <w:szCs w:val="18"/>
      </w:rPr>
      <w:t>CMS/Sharks/MOS4/Doc.10.</w:t>
    </w:r>
    <w:r w:rsidRPr="000812A4">
      <w:rPr>
        <w:rFonts w:ascii="Arial" w:hAnsi="Arial" w:cs="Arial"/>
        <w:i/>
        <w:color w:val="auto"/>
        <w:sz w:val="18"/>
        <w:szCs w:val="18"/>
      </w:rPr>
      <w:t>4</w:t>
    </w:r>
    <w:r w:rsidR="000812A4">
      <w:rPr>
        <w:rFonts w:ascii="Arial" w:hAnsi="Arial" w:cs="Arial"/>
        <w:i/>
        <w:color w:val="auto"/>
        <w:sz w:val="18"/>
        <w:szCs w:val="18"/>
      </w:rPr>
      <w:t>/Anexo 2</w:t>
    </w:r>
  </w:p>
  <w:p w14:paraId="19CF4F71" w14:textId="77777777" w:rsidR="004F717A" w:rsidRDefault="004F71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F24B" w14:textId="6D1AA184" w:rsidR="00550AB5" w:rsidRPr="009E2F56" w:rsidRDefault="00D42F88" w:rsidP="00AF0BF8">
    <w:pPr>
      <w:pStyle w:val="Heading1"/>
      <w:keepNext w:val="0"/>
      <w:pBdr>
        <w:bottom w:val="single" w:sz="4" w:space="1" w:color="auto"/>
      </w:pBdr>
      <w:spacing w:before="0"/>
      <w:jc w:val="right"/>
      <w:rPr>
        <w:rFonts w:ascii="Arial" w:hAnsi="Arial" w:cs="Arial"/>
        <w:b/>
        <w:i/>
        <w:color w:val="auto"/>
        <w:sz w:val="18"/>
        <w:szCs w:val="18"/>
      </w:rPr>
    </w:pPr>
    <w:r>
      <w:rPr>
        <w:rFonts w:ascii="Arial" w:hAnsi="Arial" w:cs="Arial"/>
        <w:i/>
        <w:color w:val="auto"/>
        <w:sz w:val="18"/>
        <w:szCs w:val="18"/>
      </w:rPr>
      <w:t>CMS/Sharks/MOS4/Doc.10.4/Anex</w:t>
    </w:r>
    <w:r w:rsidR="000812A4" w:rsidRPr="000812A4">
      <w:rPr>
        <w:rFonts w:ascii="Arial" w:hAnsi="Arial" w:cs="Arial"/>
        <w:i/>
        <w:color w:val="auto"/>
        <w:sz w:val="18"/>
        <w:szCs w:val="18"/>
      </w:rPr>
      <w:t>o</w:t>
    </w:r>
    <w:r>
      <w:rPr>
        <w:rFonts w:ascii="Arial" w:hAnsi="Arial" w:cs="Arial"/>
        <w:i/>
        <w:color w:val="auto"/>
        <w:sz w:val="18"/>
        <w:szCs w:val="18"/>
      </w:rPr>
      <w:t xml:space="preserve"> 3</w:t>
    </w:r>
  </w:p>
  <w:p w14:paraId="166A267B" w14:textId="77777777" w:rsidR="00550AB5" w:rsidRDefault="00F56D91" w:rsidP="00D87D1E">
    <w:pPr>
      <w:pStyle w:val="Header"/>
    </w:pPr>
  </w:p>
  <w:p w14:paraId="0152F123" w14:textId="77777777" w:rsidR="00550AB5" w:rsidRDefault="00F56D91" w:rsidP="00F9613E">
    <w:pPr>
      <w:pStyle w:val="Header"/>
      <w:tabs>
        <w:tab w:val="left" w:pos="271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2A5" w14:textId="34F7AD30" w:rsidR="002D52C1" w:rsidRPr="009E2F56" w:rsidRDefault="00D42F88" w:rsidP="00AF0BF8">
    <w:pPr>
      <w:pStyle w:val="Heading1"/>
      <w:keepNext w:val="0"/>
      <w:pBdr>
        <w:bottom w:val="single" w:sz="4" w:space="1" w:color="auto"/>
      </w:pBdr>
      <w:spacing w:before="0"/>
      <w:rPr>
        <w:rFonts w:ascii="Arial" w:hAnsi="Arial" w:cs="Arial"/>
        <w:b/>
        <w:i/>
        <w:color w:val="auto"/>
        <w:sz w:val="18"/>
        <w:szCs w:val="18"/>
      </w:rPr>
    </w:pPr>
    <w:r>
      <w:rPr>
        <w:rFonts w:ascii="Arial" w:hAnsi="Arial" w:cs="Arial"/>
        <w:i/>
        <w:color w:val="auto"/>
        <w:sz w:val="18"/>
        <w:szCs w:val="18"/>
      </w:rPr>
      <w:t>CMS/Sharks/MOS4/Doc.10.4/Anex</w:t>
    </w:r>
    <w:r w:rsidR="000812A4" w:rsidRPr="000812A4">
      <w:rPr>
        <w:rFonts w:ascii="Arial" w:hAnsi="Arial" w:cs="Arial"/>
        <w:i/>
        <w:color w:val="auto"/>
        <w:sz w:val="18"/>
        <w:szCs w:val="18"/>
      </w:rPr>
      <w:t>o</w:t>
    </w:r>
    <w:r>
      <w:rPr>
        <w:rFonts w:ascii="Arial" w:hAnsi="Arial" w:cs="Arial"/>
        <w:i/>
        <w:color w:val="auto"/>
        <w:sz w:val="18"/>
        <w:szCs w:val="18"/>
      </w:rPr>
      <w:t xml:space="preserve"> 3</w:t>
    </w:r>
  </w:p>
  <w:p w14:paraId="31171281" w14:textId="77777777" w:rsidR="002D52C1" w:rsidRDefault="00F56D91" w:rsidP="00F9613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27D"/>
    <w:multiLevelType w:val="hybridMultilevel"/>
    <w:tmpl w:val="F9C4765C"/>
    <w:lvl w:ilvl="0" w:tplc="FFFFFFFF">
      <w:start w:val="1"/>
      <w:numFmt w:val="decimal"/>
      <w:lvlText w:val="%1."/>
      <w:lvlJc w:val="left"/>
      <w:pPr>
        <w:ind w:left="0" w:hanging="360"/>
      </w:pPr>
      <w:rPr>
        <w:rFonts w:hint="default"/>
        <w:b w:val="0"/>
        <w:bCs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38129A6"/>
    <w:multiLevelType w:val="hybridMultilevel"/>
    <w:tmpl w:val="DA22CC70"/>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85E4033"/>
    <w:multiLevelType w:val="hybridMultilevel"/>
    <w:tmpl w:val="C9AE9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E2B92"/>
    <w:multiLevelType w:val="hybridMultilevel"/>
    <w:tmpl w:val="4406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2183D"/>
    <w:multiLevelType w:val="hybridMultilevel"/>
    <w:tmpl w:val="851E59C4"/>
    <w:lvl w:ilvl="0" w:tplc="FFFFFFFF">
      <w:start w:val="1"/>
      <w:numFmt w:val="decimal"/>
      <w:lvlText w:val="%1."/>
      <w:lvlJc w:val="left"/>
      <w:pPr>
        <w:ind w:left="0" w:hanging="360"/>
      </w:pPr>
      <w:rPr>
        <w:rFonts w:hint="default"/>
        <w:b w:val="0"/>
        <w:bCs w:val="0"/>
      </w:rPr>
    </w:lvl>
    <w:lvl w:ilvl="1" w:tplc="04090017">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50692561"/>
    <w:multiLevelType w:val="hybridMultilevel"/>
    <w:tmpl w:val="7C2079D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DD164BE"/>
    <w:multiLevelType w:val="hybridMultilevel"/>
    <w:tmpl w:val="2AAC884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F876DE2"/>
    <w:multiLevelType w:val="hybridMultilevel"/>
    <w:tmpl w:val="784C63E0"/>
    <w:lvl w:ilvl="0" w:tplc="82DA62CE">
      <w:start w:val="1"/>
      <w:numFmt w:val="decimal"/>
      <w:lvlText w:val="%1."/>
      <w:lvlJc w:val="left"/>
      <w:pPr>
        <w:ind w:left="360" w:hanging="360"/>
      </w:pPr>
      <w:rPr>
        <w:b w:val="0"/>
        <w:bCs/>
      </w:rPr>
    </w:lvl>
    <w:lvl w:ilvl="1" w:tplc="08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1C653E"/>
    <w:multiLevelType w:val="hybridMultilevel"/>
    <w:tmpl w:val="09323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20CFC"/>
    <w:multiLevelType w:val="hybridMultilevel"/>
    <w:tmpl w:val="4BB012E4"/>
    <w:lvl w:ilvl="0" w:tplc="F99EEE46">
      <w:start w:val="1"/>
      <w:numFmt w:val="lowerLetter"/>
      <w:lvlText w:val="%1)"/>
      <w:lvlJc w:val="left"/>
      <w:pPr>
        <w:ind w:left="0" w:hanging="360"/>
      </w:pPr>
      <w:rPr>
        <w:rFonts w:hint="default"/>
        <w:b w:val="0"/>
        <w:bCs w:val="0"/>
        <w:i w:val="0"/>
        <w:iCs/>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7FA117A6"/>
    <w:multiLevelType w:val="hybridMultilevel"/>
    <w:tmpl w:val="E1D8D7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2"/>
  </w:num>
  <w:num w:numId="6">
    <w:abstractNumId w:val="9"/>
  </w:num>
  <w:num w:numId="7">
    <w:abstractNumId w:val="3"/>
  </w:num>
  <w:num w:numId="8">
    <w:abstractNumId w:val="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DE"/>
    <w:rsid w:val="000812A4"/>
    <w:rsid w:val="001A259F"/>
    <w:rsid w:val="002E7625"/>
    <w:rsid w:val="00376C61"/>
    <w:rsid w:val="003D64F4"/>
    <w:rsid w:val="003E32B7"/>
    <w:rsid w:val="003E6A17"/>
    <w:rsid w:val="004F717A"/>
    <w:rsid w:val="0056535F"/>
    <w:rsid w:val="00B172E2"/>
    <w:rsid w:val="00B36D40"/>
    <w:rsid w:val="00D42F88"/>
    <w:rsid w:val="00E966DE"/>
    <w:rsid w:val="00F56D91"/>
    <w:rsid w:val="00FA0A61"/>
    <w:rsid w:val="00FD1AEB"/>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34810"/>
  <w15:chartTrackingRefBased/>
  <w15:docId w15:val="{5BA2E732-AE75-484A-A12D-FD465AE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A17"/>
    <w:pPr>
      <w:keepNext/>
      <w:keepLines/>
      <w:spacing w:before="240" w:after="0"/>
      <w:outlineLvl w:val="0"/>
    </w:pPr>
    <w:rPr>
      <w:rFonts w:ascii="Calibri Light" w:eastAsia="MS Gothic"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6DE"/>
  </w:style>
  <w:style w:type="paragraph" w:styleId="Footer">
    <w:name w:val="footer"/>
    <w:basedOn w:val="Normal"/>
    <w:link w:val="FooterChar"/>
    <w:uiPriority w:val="99"/>
    <w:unhideWhenUsed/>
    <w:rsid w:val="00E9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6DE"/>
  </w:style>
  <w:style w:type="paragraph" w:styleId="FootnoteText">
    <w:name w:val="footnote text"/>
    <w:basedOn w:val="Normal"/>
    <w:link w:val="FootnoteTextChar"/>
    <w:uiPriority w:val="99"/>
    <w:semiHidden/>
    <w:unhideWhenUsed/>
    <w:rsid w:val="00FE1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D65"/>
    <w:rPr>
      <w:sz w:val="20"/>
      <w:szCs w:val="20"/>
    </w:rPr>
  </w:style>
  <w:style w:type="character" w:styleId="Hyperlink">
    <w:name w:val="Hyperlink"/>
    <w:uiPriority w:val="99"/>
    <w:rsid w:val="00FE1D65"/>
    <w:rPr>
      <w:rFonts w:cs="Times New Roman"/>
      <w:color w:val="0000FF"/>
      <w:u w:val="single"/>
    </w:rPr>
  </w:style>
  <w:style w:type="character" w:styleId="FootnoteReference">
    <w:name w:val="footnote reference"/>
    <w:basedOn w:val="DefaultParagraphFont"/>
    <w:uiPriority w:val="99"/>
    <w:unhideWhenUsed/>
    <w:rsid w:val="00FE1D65"/>
    <w:rPr>
      <w:vertAlign w:val="superscript"/>
    </w:rPr>
  </w:style>
  <w:style w:type="table" w:customStyle="1" w:styleId="PlainTable21">
    <w:name w:val="Plain Table 21"/>
    <w:basedOn w:val="TableNormal"/>
    <w:next w:val="PlainTable2"/>
    <w:uiPriority w:val="42"/>
    <w:rsid w:val="00FE1D65"/>
    <w:pPr>
      <w:spacing w:after="0" w:line="240" w:lineRule="auto"/>
    </w:pPr>
    <w:rPr>
      <w:rFonts w:ascii="Trebuchet MS" w:hAnsi="Trebuchet MS" w:cs="Times New Roman"/>
      <w:sz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FE1D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E1D65"/>
    <w:pPr>
      <w:ind w:left="720"/>
      <w:contextualSpacing/>
    </w:pPr>
  </w:style>
  <w:style w:type="paragraph" w:customStyle="1" w:styleId="Heading11">
    <w:name w:val="Heading 11"/>
    <w:basedOn w:val="Normal"/>
    <w:next w:val="Normal"/>
    <w:uiPriority w:val="9"/>
    <w:qFormat/>
    <w:rsid w:val="003E6A17"/>
    <w:pPr>
      <w:keepNext/>
      <w:keepLines/>
      <w:widowControl w:val="0"/>
      <w:autoSpaceDE w:val="0"/>
      <w:autoSpaceDN w:val="0"/>
      <w:adjustRightInd w:val="0"/>
      <w:spacing w:before="240" w:after="0" w:line="240" w:lineRule="auto"/>
      <w:outlineLvl w:val="0"/>
    </w:pPr>
    <w:rPr>
      <w:rFonts w:ascii="Calibri Light" w:eastAsia="MS Gothic" w:hAnsi="Calibri Light" w:cs="Times New Roman"/>
      <w:color w:val="2F5496"/>
      <w:sz w:val="32"/>
      <w:szCs w:val="32"/>
    </w:rPr>
  </w:style>
  <w:style w:type="character" w:customStyle="1" w:styleId="Heading1Char">
    <w:name w:val="Heading 1 Char"/>
    <w:basedOn w:val="DefaultParagraphFont"/>
    <w:link w:val="Heading1"/>
    <w:uiPriority w:val="9"/>
    <w:rsid w:val="003E6A17"/>
    <w:rPr>
      <w:rFonts w:ascii="Calibri Light" w:eastAsia="MS Gothic" w:hAnsi="Calibri Light" w:cs="Times New Roman"/>
      <w:color w:val="2F5496"/>
      <w:sz w:val="32"/>
      <w:szCs w:val="32"/>
    </w:rPr>
  </w:style>
  <w:style w:type="table" w:customStyle="1" w:styleId="PlainTable22">
    <w:name w:val="Plain Table 22"/>
    <w:basedOn w:val="TableNormal"/>
    <w:next w:val="PlainTable2"/>
    <w:uiPriority w:val="42"/>
    <w:rsid w:val="003E6A17"/>
    <w:pPr>
      <w:spacing w:after="0" w:line="240" w:lineRule="auto"/>
    </w:pPr>
    <w:rPr>
      <w:rFonts w:ascii="Trebuchet MS" w:hAnsi="Trebuchet MS" w:cs="Times New Roman"/>
      <w:sz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1">
    <w:name w:val="Heading 1 Char1"/>
    <w:basedOn w:val="DefaultParagraphFont"/>
    <w:uiPriority w:val="9"/>
    <w:rsid w:val="003E6A17"/>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4F71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3">
    <w:name w:val="Plain Table 23"/>
    <w:basedOn w:val="TableNormal"/>
    <w:next w:val="PlainTable2"/>
    <w:uiPriority w:val="42"/>
    <w:rsid w:val="004F717A"/>
    <w:pPr>
      <w:spacing w:after="0" w:line="240" w:lineRule="auto"/>
    </w:pPr>
    <w:rPr>
      <w:rFonts w:ascii="Trebuchet MS" w:hAnsi="Trebuchet MS" w:cs="Times New Roman"/>
      <w:sz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3D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ndrea.pauly\AppData\Local\Microsoft\Windows\INetCache\Content.Outlook\W4CT5R61\www.sharkrayareas.org"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ms.int/sharks/sites/default/files/document/cms_sharks-mos4_inf.3_MOU%20text_s.pdf" TargetMode="External"/><Relationship Id="rId17" Type="http://schemas.openxmlformats.org/officeDocument/2006/relationships/header" Target="header2.xml"/><Relationship Id="rId25" Type="http://schemas.openxmlformats.org/officeDocument/2006/relationships/hyperlink" Target="https://www.cms.int/sharks/en/document/important-shark-and-ray-area-isra-guidance-criteria-applicatio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int/en/document/important-marine-mammal-areas-immas-1" TargetMode="External"/><Relationship Id="rId24" Type="http://schemas.openxmlformats.org/officeDocument/2006/relationships/hyperlink" Target="file:///C:\Users\andrea.pauly\AppData\Local\Microsoft\Windows\INetCache\Content.Outlook\W4CT5R61\sharkrayarea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arkrayareas.org/"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rontiersin.org/articles/10.3389/fmars.2022.968853/full"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frontiersin.org/articles/10.3389/fmars.2022.968853/full" TargetMode="External"/><Relationship Id="rId2" Type="http://schemas.openxmlformats.org/officeDocument/2006/relationships/hyperlink" Target="https://pubmed.ncbi.nlm.nih.gov/34492229/" TargetMode="External"/><Relationship Id="rId1" Type="http://schemas.openxmlformats.org/officeDocument/2006/relationships/hyperlink" Target="https://sharkrayareas.org/isra/" TargetMode="External"/><Relationship Id="rId5" Type="http://schemas.openxmlformats.org/officeDocument/2006/relationships/hyperlink" Target="https://sharkrayareas.org/%20resources/meeting-workshop-reports/" TargetMode="External"/><Relationship Id="rId4" Type="http://schemas.openxmlformats.org/officeDocument/2006/relationships/hyperlink" Target="https://www.frontiersin.org/articles/10.3389/fmars.2022.968853/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70F3-44C0-4298-8EDB-37E2472D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3612</Words>
  <Characters>19325</Characters>
  <Application>Microsoft Office Word</Application>
  <DocSecurity>0</DocSecurity>
  <Lines>603</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Victoria Cancino Ordenes</dc:creator>
  <cp:keywords/>
  <dc:description/>
  <cp:lastModifiedBy>Ximena Victoria Cancino Ordenes</cp:lastModifiedBy>
  <cp:revision>4</cp:revision>
  <dcterms:created xsi:type="dcterms:W3CDTF">2022-12-16T14:59:00Z</dcterms:created>
  <dcterms:modified xsi:type="dcterms:W3CDTF">2022-12-23T08:56:00Z</dcterms:modified>
</cp:coreProperties>
</file>