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512815E0"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4C3B94E" w14:textId="77777777" w:rsidR="002E0DE9" w:rsidRPr="002E0DE9"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bookmarkStart w:id="0" w:name="_GoBack"/>
            <w:bookmarkEnd w:id="0"/>
            <w:r>
              <w:rPr>
                <w:noProof/>
                <w:lang w:eastAsia="fr-FR"/>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13A8D8BB" w14:textId="77777777" w:rsidR="002E0DE9" w:rsidRPr="002E0DE9" w:rsidRDefault="002E0DE9" w:rsidP="003C34C1">
            <w:pPr>
              <w:keepNext/>
              <w:widowControl w:val="0"/>
              <w:suppressAutoHyphens/>
              <w:autoSpaceDE w:val="0"/>
              <w:autoSpaceDN w:val="0"/>
              <w:spacing w:after="0" w:line="240" w:lineRule="auto"/>
              <w:jc w:val="both"/>
              <w:textAlignment w:val="baseline"/>
              <w:outlineLvl w:val="1"/>
              <w:rPr>
                <w:rFonts w:eastAsia="Times New Roman" w:cs="Arial"/>
                <w:sz w:val="12"/>
                <w:szCs w:val="12"/>
              </w:rPr>
            </w:pPr>
          </w:p>
          <w:p w14:paraId="4F8F26EB" w14:textId="77777777"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Pr>
                <w:b/>
                <w:sz w:val="32"/>
                <w:szCs w:val="32"/>
              </w:rPr>
              <w:t>CONVENTION SUR</w:t>
            </w:r>
          </w:p>
          <w:p w14:paraId="41D4ECEC" w14:textId="77777777"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rPr>
            </w:pPr>
            <w:r>
              <w:rPr>
                <w:b/>
                <w:sz w:val="32"/>
                <w:szCs w:val="32"/>
              </w:rPr>
              <w:t>LES ESPÈCES</w:t>
            </w:r>
          </w:p>
          <w:p w14:paraId="2091F4A0" w14:textId="77777777" w:rsidR="002E0DE9" w:rsidRPr="002E0DE9" w:rsidRDefault="002E0DE9" w:rsidP="003C34C1">
            <w:pPr>
              <w:keepNext/>
              <w:widowControl w:val="0"/>
              <w:suppressAutoHyphens/>
              <w:autoSpaceDE w:val="0"/>
              <w:autoSpaceDN w:val="0"/>
              <w:spacing w:after="0" w:line="240" w:lineRule="auto"/>
              <w:ind w:left="-108"/>
              <w:jc w:val="both"/>
              <w:textAlignment w:val="baseline"/>
              <w:outlineLvl w:val="1"/>
              <w:rPr>
                <w:rFonts w:ascii="Calibri" w:eastAsia="Calibri" w:hAnsi="Calibri" w:cs="Times New Roman"/>
              </w:rPr>
            </w:pPr>
            <w:r>
              <w:rPr>
                <w:b/>
                <w:sz w:val="32"/>
                <w:szCs w:val="32"/>
              </w:rPr>
              <w:t xml:space="preserve">MIGRATOIRES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A625E44" w14:textId="15C0E1B6" w:rsidR="00A34291" w:rsidRPr="00A6349B" w:rsidRDefault="002E0DE9" w:rsidP="003C34C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pPr>
            <w:r>
              <w:t>UNEP/CMS/COP13/Doc.</w:t>
            </w:r>
            <w:r w:rsidR="00A6349B">
              <w:t>28.1.4</w:t>
            </w:r>
          </w:p>
          <w:p w14:paraId="675EC18D" w14:textId="77777777" w:rsidR="00E81416" w:rsidRPr="00A6349B" w:rsidRDefault="002E0DE9" w:rsidP="00E81416">
            <w:pPr>
              <w:tabs>
                <w:tab w:val="left" w:pos="5040"/>
                <w:tab w:val="left" w:pos="5760"/>
                <w:tab w:val="left" w:pos="6008"/>
                <w:tab w:val="left" w:pos="6480"/>
                <w:tab w:val="left" w:pos="7200"/>
                <w:tab w:val="left" w:pos="7920"/>
                <w:tab w:val="left" w:pos="8640"/>
              </w:tabs>
              <w:jc w:val="both"/>
            </w:pPr>
            <w:r w:rsidRPr="00A6349B">
              <w:t>JJ Mois</w:t>
            </w:r>
            <w:r>
              <w:t xml:space="preserve"> 2019</w:t>
            </w:r>
          </w:p>
          <w:p w14:paraId="53A7384F" w14:textId="5F84091F" w:rsidR="002E0DE9" w:rsidRPr="00EC4F04" w:rsidRDefault="002E0DE9" w:rsidP="00E81416">
            <w:pPr>
              <w:tabs>
                <w:tab w:val="left" w:pos="5040"/>
                <w:tab w:val="left" w:pos="5760"/>
                <w:tab w:val="left" w:pos="6008"/>
                <w:tab w:val="left" w:pos="6480"/>
                <w:tab w:val="left" w:pos="7200"/>
                <w:tab w:val="left" w:pos="7920"/>
                <w:tab w:val="left" w:pos="8640"/>
              </w:tabs>
              <w:jc w:val="both"/>
              <w:rPr>
                <w:rFonts w:eastAsia="Times New Roman" w:cs="Arial"/>
              </w:rPr>
            </w:pPr>
            <w:r>
              <w:t>Original : anglais</w:t>
            </w:r>
          </w:p>
        </w:tc>
      </w:tr>
    </w:tbl>
    <w:p w14:paraId="09DC10CA" w14:textId="77777777" w:rsidR="002E0DE9" w:rsidRPr="002E0DE9" w:rsidRDefault="002E0DE9" w:rsidP="003C34C1">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rPr>
      </w:pPr>
    </w:p>
    <w:p w14:paraId="5A7CC3C3" w14:textId="77777777" w:rsidR="002E0DE9" w:rsidRPr="002E0DE9" w:rsidRDefault="002E0DE9" w:rsidP="003C34C1">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rPr>
      </w:pPr>
      <w:r>
        <w:t>13</w:t>
      </w:r>
      <w:r>
        <w:rPr>
          <w:vertAlign w:val="superscript"/>
        </w:rPr>
        <w:t>ème</w:t>
      </w:r>
      <w:r>
        <w:t> SESSION DE LA CONFÉRENCE DES PARTIES</w:t>
      </w:r>
    </w:p>
    <w:p w14:paraId="7F6EFA62" w14:textId="77777777" w:rsidR="002E0DE9" w:rsidRPr="002E0DE9" w:rsidRDefault="002E0DE9" w:rsidP="003C34C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proofErr w:type="spellStart"/>
      <w:r>
        <w:t>Gandhinagar</w:t>
      </w:r>
      <w:proofErr w:type="spellEnd"/>
      <w:r>
        <w:t>, Inde, 17 – 22 février 2020</w:t>
      </w:r>
    </w:p>
    <w:p w14:paraId="5F888D0B" w14:textId="2A5A1F60" w:rsidR="002E0DE9" w:rsidRPr="00A6349B" w:rsidRDefault="002E0DE9" w:rsidP="003C34C1">
      <w:pPr>
        <w:tabs>
          <w:tab w:val="left" w:pos="7020"/>
        </w:tabs>
        <w:jc w:val="both"/>
      </w:pPr>
      <w:r>
        <w:t>Point </w:t>
      </w:r>
      <w:r w:rsidR="00A6349B">
        <w:t>28.1</w:t>
      </w:r>
      <w:r>
        <w:t xml:space="preserve"> de l’ordre du jour</w:t>
      </w:r>
      <w:r w:rsidRPr="00A6349B">
        <w:t xml:space="preserve"> </w:t>
      </w:r>
    </w:p>
    <w:p w14:paraId="1497BA30" w14:textId="77777777" w:rsidR="002E0DE9" w:rsidRPr="002E0DE9" w:rsidRDefault="002E0DE9" w:rsidP="003C34C1">
      <w:pPr>
        <w:widowControl w:val="0"/>
        <w:suppressAutoHyphens/>
        <w:autoSpaceDE w:val="0"/>
        <w:autoSpaceDN w:val="0"/>
        <w:spacing w:after="0" w:line="240" w:lineRule="auto"/>
        <w:jc w:val="both"/>
        <w:textAlignment w:val="baseline"/>
        <w:rPr>
          <w:rFonts w:eastAsia="Times New Roman" w:cs="Arial"/>
        </w:rPr>
      </w:pPr>
    </w:p>
    <w:p w14:paraId="1BCE7917" w14:textId="77777777" w:rsidR="002E0DE9" w:rsidRPr="002E0DE9" w:rsidRDefault="002E0DE9" w:rsidP="00A6349B">
      <w:pPr>
        <w:widowControl w:val="0"/>
        <w:suppressAutoHyphens/>
        <w:autoSpaceDE w:val="0"/>
        <w:autoSpaceDN w:val="0"/>
        <w:spacing w:after="0" w:line="240" w:lineRule="auto"/>
        <w:jc w:val="both"/>
        <w:textAlignment w:val="baseline"/>
        <w:rPr>
          <w:rFonts w:eastAsia="Times New Roman" w:cs="Arial"/>
        </w:rPr>
      </w:pPr>
    </w:p>
    <w:p w14:paraId="5B081CEE" w14:textId="77777777" w:rsidR="00FA4481" w:rsidRPr="00E81416" w:rsidRDefault="00FA4481" w:rsidP="00A6349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r>
        <w:rPr>
          <w:b/>
          <w:bCs/>
        </w:rPr>
        <w:t xml:space="preserve">RAPPORT SUR LA MISE EN ŒUVRE DE </w:t>
      </w:r>
    </w:p>
    <w:p w14:paraId="089F740E" w14:textId="3D9CD23C" w:rsidR="00FA4481" w:rsidRPr="00E81416" w:rsidRDefault="00FA4481" w:rsidP="00A6349B">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rPr>
      </w:pPr>
      <w:r>
        <w:rPr>
          <w:b/>
          <w:bCs/>
        </w:rPr>
        <w:t xml:space="preserve">L’ACTION CONCERTÉE </w:t>
      </w:r>
      <w:r w:rsidR="00584B8E">
        <w:rPr>
          <w:b/>
          <w:bCs/>
        </w:rPr>
        <w:t>POUR</w:t>
      </w:r>
    </w:p>
    <w:p w14:paraId="6833EF70" w14:textId="09A7F23B" w:rsidR="005D2148" w:rsidRPr="00E81416" w:rsidRDefault="00584B8E" w:rsidP="00A6349B">
      <w:pPr>
        <w:widowControl w:val="0"/>
        <w:suppressAutoHyphens/>
        <w:autoSpaceDE w:val="0"/>
        <w:autoSpaceDN w:val="0"/>
        <w:spacing w:after="0" w:line="240" w:lineRule="auto"/>
        <w:jc w:val="center"/>
        <w:textAlignment w:val="baseline"/>
        <w:rPr>
          <w:rFonts w:eastAsia="Times New Roman" w:cs="Arial"/>
          <w:b/>
          <w:caps/>
        </w:rPr>
      </w:pPr>
      <w:r>
        <w:rPr>
          <w:b/>
          <w:bCs/>
        </w:rPr>
        <w:t>L</w:t>
      </w:r>
      <w:r w:rsidR="00A6349B">
        <w:rPr>
          <w:b/>
          <w:bCs/>
        </w:rPr>
        <w:t>E MEGAPTÈRE</w:t>
      </w:r>
      <w:r w:rsidR="005D2148">
        <w:rPr>
          <w:b/>
          <w:caps/>
        </w:rPr>
        <w:t xml:space="preserve"> (</w:t>
      </w:r>
      <w:proofErr w:type="spellStart"/>
      <w:r w:rsidR="005D2148">
        <w:rPr>
          <w:b/>
          <w:i/>
        </w:rPr>
        <w:t>Megaptera</w:t>
      </w:r>
      <w:proofErr w:type="spellEnd"/>
      <w:r w:rsidR="005D2148">
        <w:rPr>
          <w:b/>
        </w:rPr>
        <w:t xml:space="preserve"> </w:t>
      </w:r>
      <w:proofErr w:type="spellStart"/>
      <w:r w:rsidR="005D2148">
        <w:rPr>
          <w:b/>
          <w:i/>
        </w:rPr>
        <w:t>novaeangliae</w:t>
      </w:r>
      <w:proofErr w:type="spellEnd"/>
      <w:r w:rsidR="005D2148">
        <w:rPr>
          <w:b/>
          <w:caps/>
        </w:rPr>
        <w:t>) de la mer d’Arabie</w:t>
      </w:r>
    </w:p>
    <w:p w14:paraId="677839B9" w14:textId="77777777" w:rsidR="00A6349B" w:rsidRDefault="00A6349B" w:rsidP="00A6349B">
      <w:pPr>
        <w:spacing w:after="0" w:line="240" w:lineRule="auto"/>
        <w:jc w:val="center"/>
      </w:pPr>
    </w:p>
    <w:p w14:paraId="2B7577ED" w14:textId="5E72717A" w:rsidR="005D2148" w:rsidRPr="00E81416" w:rsidRDefault="005D2148" w:rsidP="00A6349B">
      <w:pPr>
        <w:spacing w:after="0" w:line="240" w:lineRule="auto"/>
        <w:jc w:val="center"/>
        <w:rPr>
          <w:rFonts w:cs="Arial"/>
        </w:rPr>
      </w:pPr>
      <w:r>
        <w:t>UNEP/CMS/ CONCERTED ACTION 12.4</w:t>
      </w:r>
    </w:p>
    <w:p w14:paraId="54868993" w14:textId="77777777" w:rsidR="005D2148" w:rsidRPr="00E81416" w:rsidRDefault="005D2148" w:rsidP="00A6349B">
      <w:pPr>
        <w:widowControl w:val="0"/>
        <w:suppressAutoHyphens/>
        <w:autoSpaceDE w:val="0"/>
        <w:autoSpaceDN w:val="0"/>
        <w:spacing w:after="0" w:line="240" w:lineRule="auto"/>
        <w:jc w:val="center"/>
        <w:textAlignment w:val="baseline"/>
        <w:rPr>
          <w:rFonts w:eastAsia="Times New Roman" w:cs="Arial"/>
        </w:rPr>
      </w:pPr>
    </w:p>
    <w:p w14:paraId="4858BB5F" w14:textId="77777777" w:rsidR="002E0DE9" w:rsidRPr="00E81416" w:rsidRDefault="008B0AC3" w:rsidP="00A6349B">
      <w:pPr>
        <w:widowControl w:val="0"/>
        <w:suppressAutoHyphens/>
        <w:autoSpaceDE w:val="0"/>
        <w:autoSpaceDN w:val="0"/>
        <w:spacing w:after="0" w:line="240" w:lineRule="auto"/>
        <w:jc w:val="center"/>
        <w:textAlignment w:val="baseline"/>
      </w:pPr>
      <w:r>
        <w:rPr>
          <w:i/>
          <w:iCs/>
        </w:rPr>
        <w:t>(Préparé par le Groupe de travail sur les mammifères aquatiques)</w:t>
      </w:r>
    </w:p>
    <w:p w14:paraId="0F1905BB" w14:textId="77777777" w:rsidR="002E0DE9" w:rsidRPr="00E81416" w:rsidRDefault="002E0DE9" w:rsidP="00A6349B">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DFD7EB8" w14:textId="788A54CD" w:rsidR="002E0DE9" w:rsidRPr="00E81416" w:rsidRDefault="002E0DE9" w:rsidP="003C34C1">
      <w:pPr>
        <w:widowControl w:val="0"/>
        <w:suppressAutoHyphens/>
        <w:autoSpaceDE w:val="0"/>
        <w:autoSpaceDN w:val="0"/>
        <w:spacing w:after="0" w:line="240" w:lineRule="auto"/>
        <w:jc w:val="both"/>
        <w:textAlignment w:val="baseline"/>
        <w:rPr>
          <w:rFonts w:ascii="Calibri" w:eastAsia="Calibri" w:hAnsi="Calibri" w:cs="Times New Roman"/>
        </w:rPr>
      </w:pPr>
    </w:p>
    <w:p w14:paraId="10F343FF" w14:textId="6DE44703" w:rsidR="002E0DE9" w:rsidRPr="00E81416" w:rsidRDefault="00D35619" w:rsidP="003C34C1">
      <w:pPr>
        <w:widowControl w:val="0"/>
        <w:suppressAutoHyphens/>
        <w:autoSpaceDE w:val="0"/>
        <w:autoSpaceDN w:val="0"/>
        <w:spacing w:after="0" w:line="240" w:lineRule="auto"/>
        <w:jc w:val="both"/>
        <w:textAlignment w:val="baseline"/>
        <w:rPr>
          <w:rFonts w:eastAsia="Times New Roman" w:cs="Arial"/>
          <w:sz w:val="21"/>
          <w:szCs w:val="21"/>
        </w:rPr>
      </w:pPr>
      <w:r>
        <w:rPr>
          <w:noProof/>
          <w:sz w:val="21"/>
          <w:szCs w:val="21"/>
          <w:lang w:eastAsia="fr-FR"/>
        </w:rPr>
        <mc:AlternateContent>
          <mc:Choice Requires="wps">
            <w:drawing>
              <wp:anchor distT="0" distB="0" distL="114300" distR="114300" simplePos="0" relativeHeight="251659264" behindDoc="0" locked="0" layoutInCell="1" allowOverlap="1" wp14:anchorId="2864913F" wp14:editId="2D7628E3">
                <wp:simplePos x="0" y="0"/>
                <wp:positionH relativeFrom="column">
                  <wp:posOffset>763270</wp:posOffset>
                </wp:positionH>
                <wp:positionV relativeFrom="paragraph">
                  <wp:posOffset>78740</wp:posOffset>
                </wp:positionV>
                <wp:extent cx="4629150" cy="1522730"/>
                <wp:effectExtent l="0" t="0" r="19050" b="20320"/>
                <wp:wrapNone/>
                <wp:docPr id="5" name="Text Box 4"/>
                <wp:cNvGraphicFramePr/>
                <a:graphic xmlns:a="http://schemas.openxmlformats.org/drawingml/2006/main">
                  <a:graphicData uri="http://schemas.microsoft.com/office/word/2010/wordprocessingShape">
                    <wps:wsp>
                      <wps:cNvSpPr txBox="1"/>
                      <wps:spPr>
                        <a:xfrm>
                          <a:off x="0" y="0"/>
                          <a:ext cx="4629150" cy="1522730"/>
                        </a:xfrm>
                        <a:prstGeom prst="rect">
                          <a:avLst/>
                        </a:prstGeom>
                        <a:solidFill>
                          <a:srgbClr val="FFFFFF"/>
                        </a:solidFill>
                        <a:ln w="3172">
                          <a:solidFill>
                            <a:srgbClr val="000000"/>
                          </a:solidFill>
                          <a:prstDash val="solid"/>
                        </a:ln>
                      </wps:spPr>
                      <wps:txbx>
                        <w:txbxContent>
                          <w:p w14:paraId="34E9DB14" w14:textId="77777777" w:rsidR="002E0DE9" w:rsidRPr="00E81416" w:rsidRDefault="002E0DE9" w:rsidP="00A6349B">
                            <w:pPr>
                              <w:spacing w:after="0" w:line="240" w:lineRule="auto"/>
                              <w:jc w:val="both"/>
                              <w:rPr>
                                <w:rFonts w:cs="Arial"/>
                              </w:rPr>
                            </w:pPr>
                            <w:r>
                              <w:t>Résumé :</w:t>
                            </w:r>
                          </w:p>
                          <w:p w14:paraId="0A866CFB" w14:textId="77777777" w:rsidR="002E0DE9" w:rsidRPr="00E81416" w:rsidRDefault="002E0DE9" w:rsidP="00A6349B">
                            <w:pPr>
                              <w:spacing w:after="0" w:line="240" w:lineRule="auto"/>
                              <w:jc w:val="both"/>
                              <w:rPr>
                                <w:rFonts w:cs="Arial"/>
                              </w:rPr>
                            </w:pPr>
                          </w:p>
                          <w:p w14:paraId="420CCC42" w14:textId="77777777" w:rsidR="00944847" w:rsidRDefault="00D35619" w:rsidP="00A6349B">
                            <w:pPr>
                              <w:widowControl w:val="0"/>
                              <w:autoSpaceDE w:val="0"/>
                              <w:spacing w:after="0" w:line="240" w:lineRule="auto"/>
                              <w:jc w:val="both"/>
                            </w:pPr>
                            <w:r>
                              <w:t>Le Groupe de travail sur les mammifères aquatiques du Conseil scientifique a soumis le rapport ci-joint sur la mise en œuvre de l’Action concertée pour l</w:t>
                            </w:r>
                            <w:r w:rsidR="00A6349B">
                              <w:t>e mégaptère</w:t>
                            </w:r>
                            <w:r w:rsidR="00944847">
                              <w:t xml:space="preserve"> ou baleine à bosse</w:t>
                            </w:r>
                            <w:r>
                              <w:t xml:space="preserve"> (</w:t>
                            </w:r>
                            <w:proofErr w:type="spellStart"/>
                            <w:r>
                              <w:rPr>
                                <w:i/>
                              </w:rPr>
                              <w:t>Megaptera</w:t>
                            </w:r>
                            <w:proofErr w:type="spellEnd"/>
                            <w:r>
                              <w:rPr>
                                <w:i/>
                              </w:rPr>
                              <w:t xml:space="preserve"> </w:t>
                            </w:r>
                            <w:proofErr w:type="spellStart"/>
                            <w:r>
                              <w:rPr>
                                <w:i/>
                              </w:rPr>
                              <w:t>novaeangliae</w:t>
                            </w:r>
                            <w:proofErr w:type="spellEnd"/>
                            <w:r>
                              <w:t xml:space="preserve">) de la mer d’Arabie </w:t>
                            </w:r>
                          </w:p>
                          <w:p w14:paraId="620F7D13" w14:textId="1BF93256" w:rsidR="009C1079" w:rsidRPr="00FA4481" w:rsidRDefault="00D35619" w:rsidP="00A6349B">
                            <w:pPr>
                              <w:widowControl w:val="0"/>
                              <w:autoSpaceDE w:val="0"/>
                              <w:spacing w:after="0" w:line="240" w:lineRule="auto"/>
                              <w:jc w:val="both"/>
                              <w:rPr>
                                <w:rFonts w:cs="Arial"/>
                              </w:rPr>
                            </w:pPr>
                            <w:r>
                              <w:t>(UNEP/CMS/ CONCERTED ACTION 12.4).</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left:0;text-align:left;margin-left:60.1pt;margin-top:6.2pt;width:364.5pt;height:1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" strokeweight=".08811mm">
                <v:textbox>
                  <w:txbxContent>
                    <w:p w14:paraId="34E9DB14" w14:textId="77777777" w:rsidR="002E0DE9" w:rsidRPr="00E81416" w:rsidRDefault="002E0DE9" w:rsidP="00A6349B">
                      <w:pPr>
                        <w:spacing w:after="0" w:line="240" w:lineRule="auto"/>
                        <w:jc w:val="both"/>
                        <w:rPr>
                          <w:rFonts w:cs="Arial"/>
                        </w:rPr>
                      </w:pPr>
                      <w:r>
                        <w:t>Résumé :</w:t>
                      </w:r>
                    </w:p>
                    <w:p w14:paraId="0A866CFB" w14:textId="77777777" w:rsidR="002E0DE9" w:rsidRPr="00E81416" w:rsidRDefault="002E0DE9" w:rsidP="00A6349B">
                      <w:pPr>
                        <w:spacing w:after="0" w:line="240" w:lineRule="auto"/>
                        <w:jc w:val="both"/>
                        <w:rPr>
                          <w:rFonts w:cs="Arial"/>
                        </w:rPr>
                      </w:pPr>
                    </w:p>
                    <w:p w14:paraId="420CCC42" w14:textId="77777777" w:rsidR="00944847" w:rsidRDefault="00D35619" w:rsidP="00A6349B">
                      <w:pPr>
                        <w:widowControl w:val="0"/>
                        <w:autoSpaceDE w:val="0"/>
                        <w:spacing w:after="0" w:line="240" w:lineRule="auto"/>
                        <w:jc w:val="both"/>
                      </w:pPr>
                      <w:r>
                        <w:t>Le Groupe de travail sur les mammifères aquatiques du Conseil scientifique a soumis le rapport ci-joint sur la mise en œuvre de l’Action concertée pour l</w:t>
                      </w:r>
                      <w:r w:rsidR="00A6349B">
                        <w:t>e mégaptère</w:t>
                      </w:r>
                      <w:r w:rsidR="00944847">
                        <w:t xml:space="preserve"> ou baleine à bosse</w:t>
                      </w:r>
                      <w:r>
                        <w:t xml:space="preserve"> (</w:t>
                      </w:r>
                      <w:proofErr w:type="spellStart"/>
                      <w:r>
                        <w:rPr>
                          <w:i/>
                        </w:rPr>
                        <w:t>Megaptera</w:t>
                      </w:r>
                      <w:proofErr w:type="spellEnd"/>
                      <w:r>
                        <w:rPr>
                          <w:i/>
                        </w:rPr>
                        <w:t xml:space="preserve"> </w:t>
                      </w:r>
                      <w:proofErr w:type="spellStart"/>
                      <w:r>
                        <w:rPr>
                          <w:i/>
                        </w:rPr>
                        <w:t>novaeangliae</w:t>
                      </w:r>
                      <w:proofErr w:type="spellEnd"/>
                      <w:r>
                        <w:t xml:space="preserve">) de la mer d’Arabie </w:t>
                      </w:r>
                    </w:p>
                    <w:p w14:paraId="620F7D13" w14:textId="1BF93256" w:rsidR="009C1079" w:rsidRPr="00FA4481" w:rsidRDefault="00D35619" w:rsidP="00A6349B">
                      <w:pPr>
                        <w:widowControl w:val="0"/>
                        <w:autoSpaceDE w:val="0"/>
                        <w:spacing w:after="0" w:line="240" w:lineRule="auto"/>
                        <w:jc w:val="both"/>
                        <w:rPr>
                          <w:rFonts w:cs="Arial"/>
                        </w:rPr>
                      </w:pPr>
                      <w:r>
                        <w:t>(UNEP/CMS/ CONCERTED ACTION 12.4).</w:t>
                      </w:r>
                    </w:p>
                  </w:txbxContent>
                </v:textbox>
              </v:shape>
            </w:pict>
          </mc:Fallback>
        </mc:AlternateContent>
      </w:r>
    </w:p>
    <w:p w14:paraId="5F84375F"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E4D1804"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E9F4FDC"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0C76EE1"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5DF5A446"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33ABF8E8"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778B033"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C0C7F27"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2676C0DA"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34D14230"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5AE500DB"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E5EAE19"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3149B512"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73B45205"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67BB8BE4"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20F29042"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sz w:val="21"/>
          <w:szCs w:val="21"/>
        </w:rPr>
      </w:pPr>
    </w:p>
    <w:p w14:paraId="1494F312" w14:textId="77777777" w:rsidR="002E0DE9" w:rsidRPr="00E81416" w:rsidRDefault="002E0DE9" w:rsidP="003C34C1">
      <w:pPr>
        <w:widowControl w:val="0"/>
        <w:tabs>
          <w:tab w:val="left" w:pos="7245"/>
        </w:tabs>
        <w:suppressAutoHyphens/>
        <w:autoSpaceDE w:val="0"/>
        <w:autoSpaceDN w:val="0"/>
        <w:spacing w:after="0" w:line="240" w:lineRule="auto"/>
        <w:jc w:val="both"/>
        <w:textAlignment w:val="baseline"/>
        <w:rPr>
          <w:rFonts w:eastAsia="Times New Roman" w:cs="Arial"/>
          <w:sz w:val="21"/>
          <w:szCs w:val="21"/>
        </w:rPr>
      </w:pPr>
    </w:p>
    <w:p w14:paraId="313DAAC5"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rPr>
      </w:pPr>
    </w:p>
    <w:p w14:paraId="25CD0802" w14:textId="77777777" w:rsidR="002E0DE9" w:rsidRPr="00E81416" w:rsidRDefault="002E0DE9" w:rsidP="003C34C1">
      <w:pPr>
        <w:widowControl w:val="0"/>
        <w:suppressAutoHyphens/>
        <w:autoSpaceDE w:val="0"/>
        <w:autoSpaceDN w:val="0"/>
        <w:spacing w:after="0" w:line="240" w:lineRule="auto"/>
        <w:jc w:val="both"/>
        <w:textAlignment w:val="baseline"/>
        <w:rPr>
          <w:rFonts w:eastAsia="Times New Roman" w:cs="Arial"/>
        </w:rPr>
      </w:pPr>
    </w:p>
    <w:p w14:paraId="45B8F04B" w14:textId="77777777" w:rsidR="005330F7" w:rsidRPr="00E81416" w:rsidRDefault="005330F7" w:rsidP="003C34C1">
      <w:pPr>
        <w:spacing w:after="0" w:line="240" w:lineRule="auto"/>
        <w:jc w:val="both"/>
      </w:pPr>
    </w:p>
    <w:p w14:paraId="62E75698" w14:textId="77777777" w:rsidR="002E0DE9" w:rsidRPr="00E81416" w:rsidRDefault="002E0DE9" w:rsidP="003C34C1">
      <w:pPr>
        <w:spacing w:after="0" w:line="240" w:lineRule="auto"/>
        <w:jc w:val="both"/>
      </w:pPr>
    </w:p>
    <w:p w14:paraId="5FF1EDE4" w14:textId="77777777" w:rsidR="002E0DE9" w:rsidRPr="00E81416" w:rsidRDefault="002E0DE9" w:rsidP="003C34C1">
      <w:pPr>
        <w:spacing w:after="0" w:line="240" w:lineRule="auto"/>
        <w:jc w:val="both"/>
      </w:pPr>
    </w:p>
    <w:p w14:paraId="5F403A83" w14:textId="77777777" w:rsidR="002E0DE9" w:rsidRPr="00E81416" w:rsidRDefault="002E0DE9" w:rsidP="003C34C1">
      <w:pPr>
        <w:spacing w:after="0" w:line="240" w:lineRule="auto"/>
        <w:jc w:val="both"/>
      </w:pPr>
    </w:p>
    <w:p w14:paraId="3E11A901" w14:textId="77777777" w:rsidR="00661875" w:rsidRPr="00E81416" w:rsidRDefault="00661875" w:rsidP="003C34C1">
      <w:pPr>
        <w:spacing w:after="0" w:line="240" w:lineRule="auto"/>
        <w:jc w:val="both"/>
        <w:sectPr w:rsidR="00661875" w:rsidRPr="00E81416"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14:paraId="468D570A" w14:textId="77777777" w:rsidR="005D2148" w:rsidRPr="00E81416" w:rsidRDefault="005D2148" w:rsidP="005D2148">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Pr>
          <w:b/>
          <w:bCs/>
        </w:rPr>
        <w:lastRenderedPageBreak/>
        <w:t xml:space="preserve">RAPPORT SUR LA MISE EN ŒUVRE DE </w:t>
      </w:r>
    </w:p>
    <w:p w14:paraId="3A60395E" w14:textId="4C73ADFF" w:rsidR="005D2148" w:rsidRPr="00E81416" w:rsidRDefault="005D2148" w:rsidP="005D2148">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rPr>
      </w:pPr>
      <w:r>
        <w:rPr>
          <w:b/>
          <w:bCs/>
        </w:rPr>
        <w:t xml:space="preserve">L’ACTION CONCERTÉE </w:t>
      </w:r>
      <w:r w:rsidR="00584B8E">
        <w:rPr>
          <w:b/>
          <w:bCs/>
        </w:rPr>
        <w:t xml:space="preserve">POUR </w:t>
      </w:r>
    </w:p>
    <w:p w14:paraId="18859F4C" w14:textId="4A6FD121" w:rsidR="005D2148" w:rsidRPr="00E81416" w:rsidRDefault="00584B8E" w:rsidP="005D2148">
      <w:pPr>
        <w:widowControl w:val="0"/>
        <w:suppressAutoHyphens/>
        <w:autoSpaceDE w:val="0"/>
        <w:autoSpaceDN w:val="0"/>
        <w:spacing w:after="0" w:line="240" w:lineRule="auto"/>
        <w:jc w:val="center"/>
        <w:textAlignment w:val="baseline"/>
        <w:rPr>
          <w:rFonts w:eastAsia="Times New Roman" w:cs="Arial"/>
        </w:rPr>
      </w:pPr>
      <w:r>
        <w:rPr>
          <w:b/>
          <w:bCs/>
        </w:rPr>
        <w:t>L</w:t>
      </w:r>
      <w:r w:rsidR="006D298F">
        <w:rPr>
          <w:b/>
          <w:bCs/>
        </w:rPr>
        <w:t>E</w:t>
      </w:r>
      <w:r>
        <w:rPr>
          <w:b/>
          <w:caps/>
        </w:rPr>
        <w:t xml:space="preserve"> </w:t>
      </w:r>
      <w:r w:rsidR="006D298F">
        <w:rPr>
          <w:b/>
          <w:caps/>
        </w:rPr>
        <w:t>mégaptÈre</w:t>
      </w:r>
      <w:r w:rsidR="005D2148">
        <w:rPr>
          <w:b/>
          <w:caps/>
        </w:rPr>
        <w:t xml:space="preserve"> (</w:t>
      </w:r>
      <w:proofErr w:type="spellStart"/>
      <w:r w:rsidR="005D2148">
        <w:rPr>
          <w:b/>
          <w:i/>
        </w:rPr>
        <w:t>Megaptera</w:t>
      </w:r>
      <w:proofErr w:type="spellEnd"/>
      <w:r w:rsidR="005D2148">
        <w:rPr>
          <w:b/>
        </w:rPr>
        <w:t xml:space="preserve"> </w:t>
      </w:r>
      <w:proofErr w:type="spellStart"/>
      <w:r w:rsidR="005D2148">
        <w:rPr>
          <w:b/>
        </w:rPr>
        <w:t>novaeangliae</w:t>
      </w:r>
      <w:proofErr w:type="spellEnd"/>
      <w:r w:rsidR="005D2148">
        <w:rPr>
          <w:b/>
          <w:caps/>
        </w:rPr>
        <w:t>) de la mer d’Arabie</w:t>
      </w:r>
    </w:p>
    <w:p w14:paraId="02C0AFFC" w14:textId="77777777" w:rsidR="006D298F" w:rsidRDefault="006D298F" w:rsidP="006D298F">
      <w:pPr>
        <w:spacing w:after="0" w:line="240" w:lineRule="auto"/>
        <w:jc w:val="center"/>
      </w:pPr>
    </w:p>
    <w:p w14:paraId="593CD969" w14:textId="3EB6B814" w:rsidR="00FA4481" w:rsidRPr="00E81416" w:rsidRDefault="00FA4481" w:rsidP="006D298F">
      <w:pPr>
        <w:spacing w:after="0" w:line="240" w:lineRule="auto"/>
        <w:jc w:val="center"/>
        <w:rPr>
          <w:rFonts w:cs="Arial"/>
        </w:rPr>
      </w:pPr>
      <w:r>
        <w:t>UNEP/CMS/ CONCERTED ACTION 12.4</w:t>
      </w:r>
    </w:p>
    <w:p w14:paraId="0E6D70D5" w14:textId="279CCFEA" w:rsidR="00FA4481" w:rsidRDefault="00FA4481" w:rsidP="006D298F">
      <w:pPr>
        <w:spacing w:after="0" w:line="240" w:lineRule="auto"/>
        <w:jc w:val="both"/>
        <w:rPr>
          <w:rFonts w:eastAsia="Times New Roman" w:cs="Arial"/>
          <w:b/>
          <w:caps/>
        </w:rPr>
      </w:pPr>
    </w:p>
    <w:p w14:paraId="45E10FAF" w14:textId="77777777" w:rsidR="006D298F" w:rsidRPr="00E81416" w:rsidRDefault="006D298F" w:rsidP="006D298F">
      <w:pPr>
        <w:spacing w:after="0" w:line="240" w:lineRule="auto"/>
        <w:jc w:val="both"/>
        <w:rPr>
          <w:rFonts w:eastAsia="Times New Roman" w:cs="Arial"/>
          <w:b/>
          <w:caps/>
        </w:rPr>
      </w:pPr>
    </w:p>
    <w:p w14:paraId="178E4D22" w14:textId="2FA5676E" w:rsidR="00800433" w:rsidRDefault="00645ED1" w:rsidP="006D298F">
      <w:pPr>
        <w:spacing w:after="0" w:line="240" w:lineRule="auto"/>
        <w:rPr>
          <w:bCs/>
          <w:u w:val="single"/>
        </w:rPr>
      </w:pPr>
      <w:r>
        <w:rPr>
          <w:bCs/>
          <w:u w:val="single"/>
        </w:rPr>
        <w:t>Contexte</w:t>
      </w:r>
    </w:p>
    <w:p w14:paraId="777DA84C" w14:textId="77777777" w:rsidR="006D298F" w:rsidRPr="00E81416" w:rsidRDefault="006D298F" w:rsidP="006D298F">
      <w:pPr>
        <w:spacing w:after="0" w:line="240" w:lineRule="auto"/>
        <w:rPr>
          <w:rFonts w:cs="Arial"/>
          <w:bCs/>
          <w:u w:val="single"/>
        </w:rPr>
      </w:pPr>
    </w:p>
    <w:p w14:paraId="4931DC34" w14:textId="35EEA50F" w:rsidR="00645ED1" w:rsidRPr="00E81416" w:rsidRDefault="00645ED1" w:rsidP="006D298F">
      <w:pPr>
        <w:widowControl w:val="0"/>
        <w:numPr>
          <w:ilvl w:val="0"/>
          <w:numId w:val="6"/>
        </w:numPr>
        <w:autoSpaceDE w:val="0"/>
        <w:autoSpaceDN w:val="0"/>
        <w:adjustRightInd w:val="0"/>
        <w:spacing w:after="0" w:line="240" w:lineRule="auto"/>
        <w:ind w:left="567" w:hanging="567"/>
        <w:contextualSpacing/>
        <w:jc w:val="both"/>
        <w:rPr>
          <w:rFonts w:cs="Arial"/>
        </w:rPr>
      </w:pPr>
      <w:r>
        <w:t>L’Action concertée 12.4 pour l</w:t>
      </w:r>
      <w:r w:rsidR="006D298F">
        <w:t>e</w:t>
      </w:r>
      <w:r>
        <w:t xml:space="preserve"> </w:t>
      </w:r>
      <w:r w:rsidR="006D298F">
        <w:t>mégaptère</w:t>
      </w:r>
      <w:r>
        <w:t xml:space="preserve"> (</w:t>
      </w:r>
      <w:proofErr w:type="spellStart"/>
      <w:r>
        <w:rPr>
          <w:i/>
          <w:iCs/>
        </w:rPr>
        <w:t>Megaptera</w:t>
      </w:r>
      <w:proofErr w:type="spellEnd"/>
      <w:r>
        <w:rPr>
          <w:i/>
          <w:iCs/>
        </w:rPr>
        <w:t xml:space="preserve"> </w:t>
      </w:r>
      <w:proofErr w:type="spellStart"/>
      <w:r>
        <w:rPr>
          <w:i/>
          <w:iCs/>
        </w:rPr>
        <w:t>novaeangliae</w:t>
      </w:r>
      <w:proofErr w:type="spellEnd"/>
      <w:r>
        <w:t>) de la mer d’Arabie a été adoptée lors de la 12</w:t>
      </w:r>
      <w:r>
        <w:rPr>
          <w:vertAlign w:val="superscript"/>
        </w:rPr>
        <w:t>ème</w:t>
      </w:r>
      <w:r>
        <w:t xml:space="preserve"> session de la Conférence des Parties à la CMS. Les activités de l’Action concertée pour la </w:t>
      </w:r>
      <w:r w:rsidR="006D298F">
        <w:t>mégaptère</w:t>
      </w:r>
      <w:r>
        <w:t xml:space="preserve"> de la mer d’Arabie portent sur :</w:t>
      </w:r>
    </w:p>
    <w:p w14:paraId="18D9A257" w14:textId="77777777" w:rsidR="00800433" w:rsidRPr="00E81416" w:rsidRDefault="00800433" w:rsidP="006D298F">
      <w:pPr>
        <w:pStyle w:val="ListParagraph"/>
        <w:spacing w:after="0" w:line="240" w:lineRule="auto"/>
        <w:ind w:left="567" w:hanging="567"/>
        <w:rPr>
          <w:rFonts w:cs="Arial"/>
        </w:rPr>
      </w:pPr>
    </w:p>
    <w:p w14:paraId="7035A936" w14:textId="377FE95A" w:rsidR="00645ED1" w:rsidRPr="006D298F" w:rsidRDefault="00584B8E" w:rsidP="006D298F">
      <w:pPr>
        <w:pStyle w:val="ListParagraph"/>
        <w:numPr>
          <w:ilvl w:val="2"/>
          <w:numId w:val="19"/>
        </w:numPr>
        <w:spacing w:after="0" w:line="240" w:lineRule="auto"/>
        <w:ind w:left="1134" w:hanging="567"/>
        <w:rPr>
          <w:rFonts w:cs="Arial"/>
        </w:rPr>
      </w:pPr>
      <w:r>
        <w:t>l</w:t>
      </w:r>
      <w:r w:rsidR="00645ED1">
        <w:t>a correction des lacunes en matière de connaissances relatives à la conservation des baleines à bosse de la mer d’Arabie ;</w:t>
      </w:r>
    </w:p>
    <w:p w14:paraId="4127F9F6" w14:textId="77777777" w:rsidR="006D298F" w:rsidRPr="00E81416" w:rsidRDefault="006D298F" w:rsidP="006D298F">
      <w:pPr>
        <w:pStyle w:val="ListParagraph"/>
        <w:spacing w:after="0" w:line="240" w:lineRule="auto"/>
        <w:ind w:left="1134"/>
        <w:rPr>
          <w:rFonts w:cs="Arial"/>
        </w:rPr>
      </w:pPr>
    </w:p>
    <w:p w14:paraId="55A97301" w14:textId="35AD2B28" w:rsidR="00645ED1" w:rsidRPr="006D298F" w:rsidRDefault="00584B8E" w:rsidP="006D298F">
      <w:pPr>
        <w:pStyle w:val="ListParagraph"/>
        <w:numPr>
          <w:ilvl w:val="2"/>
          <w:numId w:val="19"/>
        </w:numPr>
        <w:spacing w:after="0" w:line="240" w:lineRule="auto"/>
        <w:ind w:left="1134" w:hanging="567"/>
        <w:rPr>
          <w:rFonts w:cs="Arial"/>
        </w:rPr>
      </w:pPr>
      <w:r>
        <w:t>l</w:t>
      </w:r>
      <w:r w:rsidR="00645ED1">
        <w:t xml:space="preserve">e partage de l’information et la sensibilisation ; et </w:t>
      </w:r>
    </w:p>
    <w:p w14:paraId="4F5D80BC" w14:textId="77777777" w:rsidR="006D298F" w:rsidRPr="00E81416" w:rsidRDefault="006D298F" w:rsidP="006D298F">
      <w:pPr>
        <w:pStyle w:val="ListParagraph"/>
        <w:spacing w:after="0" w:line="240" w:lineRule="auto"/>
        <w:ind w:left="1134"/>
        <w:rPr>
          <w:rFonts w:cs="Arial"/>
        </w:rPr>
      </w:pPr>
    </w:p>
    <w:p w14:paraId="60ADC6E7" w14:textId="51209904" w:rsidR="00645ED1" w:rsidRPr="006D298F" w:rsidRDefault="00584B8E" w:rsidP="006D298F">
      <w:pPr>
        <w:pStyle w:val="ListParagraph"/>
        <w:numPr>
          <w:ilvl w:val="2"/>
          <w:numId w:val="19"/>
        </w:numPr>
        <w:spacing w:after="0" w:line="240" w:lineRule="auto"/>
        <w:ind w:left="1134" w:hanging="567"/>
        <w:rPr>
          <w:rFonts w:cs="Arial"/>
        </w:rPr>
      </w:pPr>
      <w:r>
        <w:t>l</w:t>
      </w:r>
      <w:r w:rsidR="00645ED1">
        <w:t>e renforcement des capacités et l’élaboration et la mise en œuvre de stratégies d’atténuation.</w:t>
      </w:r>
    </w:p>
    <w:p w14:paraId="6A9B1DCB" w14:textId="77777777" w:rsidR="006D298F" w:rsidRPr="00E81416" w:rsidRDefault="006D298F" w:rsidP="006D298F">
      <w:pPr>
        <w:pStyle w:val="ListParagraph"/>
        <w:spacing w:after="0" w:line="240" w:lineRule="auto"/>
        <w:ind w:left="1134"/>
        <w:rPr>
          <w:rFonts w:cs="Arial"/>
        </w:rPr>
      </w:pPr>
    </w:p>
    <w:p w14:paraId="05B46815" w14:textId="1AEE33E7" w:rsidR="00645ED1" w:rsidRPr="00E81416" w:rsidRDefault="00645ED1" w:rsidP="006D298F">
      <w:pPr>
        <w:widowControl w:val="0"/>
        <w:numPr>
          <w:ilvl w:val="0"/>
          <w:numId w:val="6"/>
        </w:numPr>
        <w:autoSpaceDE w:val="0"/>
        <w:autoSpaceDN w:val="0"/>
        <w:adjustRightInd w:val="0"/>
        <w:spacing w:after="0" w:line="240" w:lineRule="auto"/>
        <w:ind w:left="567" w:hanging="567"/>
        <w:contextualSpacing/>
        <w:jc w:val="both"/>
        <w:rPr>
          <w:rFonts w:cs="Arial"/>
        </w:rPr>
      </w:pPr>
      <w:r>
        <w:t>L’Action concertée pour l</w:t>
      </w:r>
      <w:r w:rsidR="006D298F">
        <w:t>e</w:t>
      </w:r>
      <w:r>
        <w:t xml:space="preserve"> </w:t>
      </w:r>
      <w:r w:rsidR="006D298F">
        <w:t>mégaptère</w:t>
      </w:r>
      <w:r>
        <w:t xml:space="preserve"> de la mer d’Arabie est définie par une liste d’activités prioritaires qui, sur une période initiale de trois ans, aboutiront à une meilleure compréhension de la population de baleines à bosse de la mer d’Arabie et de ses besoins de conservation et au développement d’un plan régional de conservation et de gestion, avec le soutien et la participation des gouvernements des États de l’aire de répartition.  Ces actions rentrent dans trois grandes catégories : 1) correction des lacunes dans les connaissances ; 2) partage de l’information et sensibilisation ; et 3) renforcement des capacités et élaboration et mise en œuvre des stratégies d’atténuation. Ces activités et leurs résultats escomptés sont précisés dans </w:t>
      </w:r>
      <w:hyperlink r:id="rId13" w:history="1">
        <w:r>
          <w:rPr>
            <w:rStyle w:val="Hyperlink"/>
          </w:rPr>
          <w:t>l</w:t>
        </w:r>
        <w:r w:rsidR="003A1457">
          <w:rPr>
            <w:rStyle w:val="Hyperlink"/>
          </w:rPr>
          <w:t xml:space="preserve">es </w:t>
        </w:r>
        <w:r>
          <w:rPr>
            <w:rStyle w:val="Hyperlink"/>
          </w:rPr>
          <w:t>document</w:t>
        </w:r>
        <w:r w:rsidR="003A1457">
          <w:rPr>
            <w:rStyle w:val="Hyperlink"/>
          </w:rPr>
          <w:t>s relatifs à l</w:t>
        </w:r>
        <w:r>
          <w:rPr>
            <w:rStyle w:val="Hyperlink"/>
          </w:rPr>
          <w:t>’Action co</w:t>
        </w:r>
        <w:r>
          <w:rPr>
            <w:rStyle w:val="Hyperlink"/>
          </w:rPr>
          <w:t>n</w:t>
        </w:r>
        <w:r>
          <w:rPr>
            <w:rStyle w:val="Hyperlink"/>
          </w:rPr>
          <w:t>certée pour l</w:t>
        </w:r>
        <w:r w:rsidR="006D298F">
          <w:rPr>
            <w:rStyle w:val="Hyperlink"/>
          </w:rPr>
          <w:t>e</w:t>
        </w:r>
        <w:r>
          <w:rPr>
            <w:rStyle w:val="Hyperlink"/>
          </w:rPr>
          <w:t xml:space="preserve"> </w:t>
        </w:r>
        <w:r w:rsidR="006D298F">
          <w:rPr>
            <w:rStyle w:val="Hyperlink"/>
          </w:rPr>
          <w:t>mégaptère</w:t>
        </w:r>
        <w:r>
          <w:rPr>
            <w:rStyle w:val="Hyperlink"/>
          </w:rPr>
          <w:t xml:space="preserve"> de la mer d’Arabie</w:t>
        </w:r>
      </w:hyperlink>
      <w:r>
        <w:t xml:space="preserve"> issu</w:t>
      </w:r>
      <w:r w:rsidR="003A1457">
        <w:t xml:space="preserve">s </w:t>
      </w:r>
      <w:r>
        <w:t>de la C</w:t>
      </w:r>
      <w:r w:rsidR="006D298F">
        <w:t>O</w:t>
      </w:r>
      <w:r>
        <w:t>P12.</w:t>
      </w:r>
    </w:p>
    <w:p w14:paraId="7509B123" w14:textId="77777777" w:rsidR="00800433" w:rsidRPr="00E81416" w:rsidRDefault="00800433" w:rsidP="006D298F">
      <w:pPr>
        <w:widowControl w:val="0"/>
        <w:autoSpaceDE w:val="0"/>
        <w:autoSpaceDN w:val="0"/>
        <w:adjustRightInd w:val="0"/>
        <w:spacing w:after="0" w:line="240" w:lineRule="auto"/>
        <w:ind w:left="567" w:hanging="567"/>
        <w:contextualSpacing/>
        <w:jc w:val="both"/>
        <w:rPr>
          <w:rFonts w:cs="Arial"/>
        </w:rPr>
      </w:pPr>
    </w:p>
    <w:p w14:paraId="0FDD7ECF" w14:textId="447FE08B" w:rsidR="00645ED1" w:rsidRPr="00E81416" w:rsidRDefault="00645ED1" w:rsidP="006D298F">
      <w:pPr>
        <w:widowControl w:val="0"/>
        <w:numPr>
          <w:ilvl w:val="0"/>
          <w:numId w:val="6"/>
        </w:numPr>
        <w:autoSpaceDE w:val="0"/>
        <w:autoSpaceDN w:val="0"/>
        <w:adjustRightInd w:val="0"/>
        <w:spacing w:after="0" w:line="240" w:lineRule="auto"/>
        <w:ind w:left="567" w:hanging="567"/>
        <w:contextualSpacing/>
        <w:jc w:val="both"/>
        <w:rPr>
          <w:rFonts w:cs="Arial"/>
        </w:rPr>
      </w:pPr>
      <w:r>
        <w:t>Un rapport intérimaire sur les progrès accomplis depuis la 12</w:t>
      </w:r>
      <w:r>
        <w:rPr>
          <w:vertAlign w:val="superscript"/>
        </w:rPr>
        <w:t>ème</w:t>
      </w:r>
      <w:r>
        <w:t xml:space="preserve"> réunion de la Conférence des Parties à la CMS </w:t>
      </w:r>
      <w:r w:rsidR="00512132">
        <w:t>est annexé au présent document.</w:t>
      </w:r>
    </w:p>
    <w:p w14:paraId="3F567EAD" w14:textId="77777777" w:rsidR="00800433" w:rsidRPr="00E81416" w:rsidRDefault="00800433" w:rsidP="006D298F">
      <w:pPr>
        <w:widowControl w:val="0"/>
        <w:autoSpaceDE w:val="0"/>
        <w:autoSpaceDN w:val="0"/>
        <w:adjustRightInd w:val="0"/>
        <w:spacing w:after="0" w:line="240" w:lineRule="auto"/>
        <w:ind w:left="567" w:hanging="567"/>
        <w:contextualSpacing/>
        <w:jc w:val="both"/>
        <w:rPr>
          <w:rFonts w:cs="Arial"/>
        </w:rPr>
      </w:pPr>
    </w:p>
    <w:p w14:paraId="74468484" w14:textId="0FC2E393" w:rsidR="00645ED1" w:rsidRPr="00E81416" w:rsidRDefault="00645ED1" w:rsidP="006D298F">
      <w:pPr>
        <w:widowControl w:val="0"/>
        <w:numPr>
          <w:ilvl w:val="0"/>
          <w:numId w:val="6"/>
        </w:numPr>
        <w:autoSpaceDE w:val="0"/>
        <w:autoSpaceDN w:val="0"/>
        <w:adjustRightInd w:val="0"/>
        <w:spacing w:after="0" w:line="240" w:lineRule="auto"/>
        <w:ind w:left="567" w:hanging="567"/>
        <w:contextualSpacing/>
        <w:jc w:val="both"/>
        <w:rPr>
          <w:rFonts w:cs="Arial"/>
        </w:rPr>
      </w:pPr>
      <w:r>
        <w:t>L’Action concertée pour l</w:t>
      </w:r>
      <w:r w:rsidR="006D298F">
        <w:t>e</w:t>
      </w:r>
      <w:r>
        <w:t xml:space="preserve"> </w:t>
      </w:r>
      <w:r w:rsidR="006D298F">
        <w:t>mégaptère</w:t>
      </w:r>
      <w:r>
        <w:t xml:space="preserve"> de la mer d’Arabie complète également les travaux soumis à d’autres forums, notamment à la Commission baleinière internationale. De nombreux chercheurs travaillant sur les baleines à bosse de la mer d’Arabie ont également participé à l’atelier de l’UICN sur les aires importantes pour les mammifères marins de l’océan Indien occidental et de la mer d’Arabie. La mise à jour régionale sur les baleines à bosse de la mer d’Arabie a donc été rédigée afin de s’appliquer à chacun de ces processus.</w:t>
      </w:r>
    </w:p>
    <w:p w14:paraId="5056BBB5" w14:textId="77777777" w:rsidR="00645ED1" w:rsidRPr="00E81416" w:rsidRDefault="00645ED1" w:rsidP="006D298F">
      <w:pPr>
        <w:pStyle w:val="ListParagraph"/>
        <w:spacing w:after="0" w:line="240" w:lineRule="auto"/>
        <w:ind w:left="360"/>
        <w:rPr>
          <w:rFonts w:cs="Arial"/>
          <w:noProof/>
        </w:rPr>
      </w:pPr>
    </w:p>
    <w:p w14:paraId="2A6BDD0E" w14:textId="42A125BD" w:rsidR="00645ED1" w:rsidRDefault="00645ED1" w:rsidP="006D298F">
      <w:pPr>
        <w:spacing w:after="0" w:line="240" w:lineRule="auto"/>
        <w:rPr>
          <w:u w:val="single"/>
        </w:rPr>
      </w:pPr>
      <w:r>
        <w:rPr>
          <w:u w:val="single"/>
        </w:rPr>
        <w:t>Progrès réalisés</w:t>
      </w:r>
    </w:p>
    <w:p w14:paraId="3B31AB5D" w14:textId="77777777" w:rsidR="006D298F" w:rsidRPr="00E81416" w:rsidRDefault="006D298F" w:rsidP="006D298F">
      <w:pPr>
        <w:spacing w:after="0" w:line="240" w:lineRule="auto"/>
        <w:rPr>
          <w:rFonts w:cs="Arial"/>
          <w:noProof/>
          <w:u w:val="single"/>
        </w:rPr>
      </w:pPr>
    </w:p>
    <w:p w14:paraId="070C34D0" w14:textId="3A8031DB" w:rsidR="00645ED1" w:rsidRPr="00E81416" w:rsidRDefault="00645ED1" w:rsidP="006D298F">
      <w:pPr>
        <w:widowControl w:val="0"/>
        <w:numPr>
          <w:ilvl w:val="0"/>
          <w:numId w:val="6"/>
        </w:numPr>
        <w:autoSpaceDE w:val="0"/>
        <w:autoSpaceDN w:val="0"/>
        <w:adjustRightInd w:val="0"/>
        <w:spacing w:after="0" w:line="240" w:lineRule="auto"/>
        <w:ind w:left="567" w:hanging="567"/>
        <w:contextualSpacing/>
        <w:jc w:val="both"/>
        <w:rPr>
          <w:rFonts w:cs="Arial"/>
        </w:rPr>
      </w:pPr>
      <w:r>
        <w:t>Les Émirats arabes unis et Oman, ainsi que le Réseau des baleines de la mer d’Arabie</w:t>
      </w:r>
      <w:r w:rsidRPr="00E81416">
        <w:rPr>
          <w:rStyle w:val="FootnoteReference"/>
          <w:rFonts w:cs="Arial"/>
        </w:rPr>
        <w:footnoteReference w:id="1"/>
      </w:r>
      <w:r>
        <w:t xml:space="preserve"> (un réseau informel de chercheurs et d’organisations de conservation travaillant ensemble pour étudier et protéger les populations uniques de baleines du nord de l’océan Indien), ont accompli des progrès considérables, dont il y a lieu de se féliciter.</w:t>
      </w:r>
    </w:p>
    <w:p w14:paraId="7A52B10D" w14:textId="24733C26" w:rsidR="006D298F" w:rsidRDefault="006D298F" w:rsidP="006D298F">
      <w:pPr>
        <w:widowControl w:val="0"/>
        <w:autoSpaceDE w:val="0"/>
        <w:autoSpaceDN w:val="0"/>
        <w:adjustRightInd w:val="0"/>
        <w:spacing w:after="0" w:line="240" w:lineRule="auto"/>
        <w:ind w:left="567"/>
        <w:contextualSpacing/>
        <w:jc w:val="both"/>
        <w:rPr>
          <w:rFonts w:cs="Arial"/>
        </w:rPr>
      </w:pPr>
      <w:r>
        <w:rPr>
          <w:rFonts w:cs="Arial"/>
        </w:rPr>
        <w:br w:type="page"/>
      </w:r>
    </w:p>
    <w:p w14:paraId="73D744C2" w14:textId="77777777" w:rsidR="00800433" w:rsidRPr="00E81416" w:rsidRDefault="00800433" w:rsidP="006D298F">
      <w:pPr>
        <w:widowControl w:val="0"/>
        <w:autoSpaceDE w:val="0"/>
        <w:autoSpaceDN w:val="0"/>
        <w:adjustRightInd w:val="0"/>
        <w:spacing w:after="0" w:line="240" w:lineRule="auto"/>
        <w:ind w:left="567"/>
        <w:contextualSpacing/>
        <w:jc w:val="both"/>
        <w:rPr>
          <w:rFonts w:cs="Arial"/>
        </w:rPr>
      </w:pPr>
    </w:p>
    <w:p w14:paraId="515F4758" w14:textId="1C569C04" w:rsidR="00645ED1" w:rsidRPr="00E81416" w:rsidRDefault="00645ED1" w:rsidP="006D298F">
      <w:pPr>
        <w:widowControl w:val="0"/>
        <w:numPr>
          <w:ilvl w:val="0"/>
          <w:numId w:val="6"/>
        </w:numPr>
        <w:autoSpaceDE w:val="0"/>
        <w:autoSpaceDN w:val="0"/>
        <w:adjustRightInd w:val="0"/>
        <w:spacing w:after="0" w:line="240" w:lineRule="auto"/>
        <w:ind w:left="567" w:hanging="567"/>
        <w:contextualSpacing/>
        <w:jc w:val="both"/>
        <w:rPr>
          <w:rFonts w:cs="Arial"/>
        </w:rPr>
      </w:pPr>
      <w:r>
        <w:t xml:space="preserve">Au cours de l’année écoulée, le Réseau des baleines de la mer d’Arabie (ASWN) a maintenu la communication entre ses membres et avec des organisations externes par le biais d’un site Web et  d’un groupe de discussion par courriel. De nombreux membres de l’ASWN ont contribué à l’identification des aires importantes pour les mammifères marins (IMMA) en rédigeant des propositions et en participant à l’atelier sur les IMMA tenu à Oman en mars 2019. Le Réseau a lancé une plateforme régionale de données en ligne qui facilite l’archivage normalisé des données dans la région et l’appariement des catalogues de photo-identification entre les projets de recherche menés dans la mer d’Oman. Les membres ont commencé à utiliser cette plateforme pour effectuer des comparaisons et des analyses de données. </w:t>
      </w:r>
    </w:p>
    <w:p w14:paraId="4F40CC1E" w14:textId="77777777" w:rsidR="00645ED1" w:rsidRPr="00E81416" w:rsidRDefault="00645ED1" w:rsidP="006D298F">
      <w:pPr>
        <w:spacing w:after="0" w:line="240" w:lineRule="auto"/>
        <w:rPr>
          <w:rFonts w:cs="Arial"/>
        </w:rPr>
      </w:pPr>
    </w:p>
    <w:p w14:paraId="46617B16" w14:textId="78ACA7E0" w:rsidR="00645ED1" w:rsidRDefault="00645ED1" w:rsidP="006D298F">
      <w:pPr>
        <w:spacing w:after="0" w:line="240" w:lineRule="auto"/>
        <w:rPr>
          <w:bCs/>
          <w:u w:val="single"/>
        </w:rPr>
      </w:pPr>
      <w:r>
        <w:rPr>
          <w:bCs/>
          <w:u w:val="single"/>
        </w:rPr>
        <w:t>Actions recommandées</w:t>
      </w:r>
    </w:p>
    <w:p w14:paraId="12B1378F" w14:textId="77777777" w:rsidR="006D298F" w:rsidRPr="00E81416" w:rsidRDefault="006D298F" w:rsidP="006D298F">
      <w:pPr>
        <w:spacing w:after="0" w:line="240" w:lineRule="auto"/>
        <w:rPr>
          <w:rFonts w:cs="Arial"/>
          <w:bCs/>
          <w:u w:val="single"/>
        </w:rPr>
      </w:pPr>
    </w:p>
    <w:p w14:paraId="24BBC420" w14:textId="0A16B71E" w:rsidR="00645ED1" w:rsidRPr="00E81416" w:rsidRDefault="006D298F" w:rsidP="006D298F">
      <w:pPr>
        <w:widowControl w:val="0"/>
        <w:numPr>
          <w:ilvl w:val="0"/>
          <w:numId w:val="6"/>
        </w:numPr>
        <w:autoSpaceDE w:val="0"/>
        <w:autoSpaceDN w:val="0"/>
        <w:adjustRightInd w:val="0"/>
        <w:spacing w:after="0" w:line="240" w:lineRule="auto"/>
        <w:ind w:left="567" w:hanging="567"/>
        <w:contextualSpacing/>
        <w:jc w:val="both"/>
        <w:rPr>
          <w:rFonts w:cs="Arial"/>
        </w:rPr>
      </w:pPr>
      <w:r>
        <w:t>Il est recommandé à l</w:t>
      </w:r>
      <w:r w:rsidR="00645ED1">
        <w:t>a Conférence des Partie:</w:t>
      </w:r>
    </w:p>
    <w:p w14:paraId="525FBDE4" w14:textId="77777777" w:rsidR="00800433" w:rsidRPr="00E81416" w:rsidRDefault="00800433" w:rsidP="006D298F">
      <w:pPr>
        <w:widowControl w:val="0"/>
        <w:autoSpaceDE w:val="0"/>
        <w:autoSpaceDN w:val="0"/>
        <w:adjustRightInd w:val="0"/>
        <w:spacing w:after="0" w:line="240" w:lineRule="auto"/>
        <w:ind w:left="567"/>
        <w:contextualSpacing/>
        <w:jc w:val="both"/>
        <w:rPr>
          <w:rFonts w:cs="Arial"/>
        </w:rPr>
      </w:pPr>
    </w:p>
    <w:p w14:paraId="3E04AB7F" w14:textId="3969A942" w:rsidR="00831DC2" w:rsidRPr="006D298F" w:rsidRDefault="006D298F" w:rsidP="006D298F">
      <w:pPr>
        <w:pStyle w:val="ListParagraph"/>
        <w:numPr>
          <w:ilvl w:val="0"/>
          <w:numId w:val="21"/>
        </w:numPr>
        <w:spacing w:after="0" w:line="240" w:lineRule="auto"/>
        <w:ind w:left="1134" w:hanging="567"/>
        <w:rPr>
          <w:rFonts w:cs="Arial"/>
        </w:rPr>
      </w:pPr>
      <w:r>
        <w:t>de p</w:t>
      </w:r>
      <w:r w:rsidR="00645ED1">
        <w:t>rendre note du rapport intérimaire et des progrès réalisés par l’Action concertée pour l</w:t>
      </w:r>
      <w:r>
        <w:t>e</w:t>
      </w:r>
      <w:r w:rsidR="00645ED1">
        <w:t xml:space="preserve"> </w:t>
      </w:r>
      <w:r>
        <w:t>mégaptère</w:t>
      </w:r>
      <w:r w:rsidR="00645ED1">
        <w:t xml:space="preserve"> (</w:t>
      </w:r>
      <w:proofErr w:type="spellStart"/>
      <w:r w:rsidR="00645ED1">
        <w:rPr>
          <w:i/>
          <w:iCs/>
        </w:rPr>
        <w:t>Megaptera</w:t>
      </w:r>
      <w:proofErr w:type="spellEnd"/>
      <w:r w:rsidR="00645ED1">
        <w:rPr>
          <w:i/>
          <w:iCs/>
        </w:rPr>
        <w:t xml:space="preserve"> </w:t>
      </w:r>
      <w:proofErr w:type="spellStart"/>
      <w:r w:rsidR="00645ED1">
        <w:rPr>
          <w:i/>
          <w:iCs/>
        </w:rPr>
        <w:t>novaeangliae</w:t>
      </w:r>
      <w:proofErr w:type="spellEnd"/>
      <w:r w:rsidR="00645ED1">
        <w:t>) de la mer d’Arabie.</w:t>
      </w:r>
    </w:p>
    <w:p w14:paraId="0FC8C91E" w14:textId="77777777" w:rsidR="006D298F" w:rsidRDefault="006D298F" w:rsidP="006D298F">
      <w:pPr>
        <w:pStyle w:val="ListParagraph"/>
        <w:spacing w:after="0" w:line="240" w:lineRule="auto"/>
        <w:ind w:left="1134"/>
        <w:rPr>
          <w:rFonts w:cs="Arial"/>
        </w:rPr>
        <w:sectPr w:rsidR="006D298F" w:rsidSect="00D40C4C">
          <w:headerReference w:type="even" r:id="rId14"/>
          <w:headerReference w:type="default" r:id="rId15"/>
          <w:footerReference w:type="default" r:id="rId16"/>
          <w:pgSz w:w="11906" w:h="16838" w:code="9"/>
          <w:pgMar w:top="1417" w:right="1417" w:bottom="1417" w:left="1417" w:header="720" w:footer="720" w:gutter="0"/>
          <w:cols w:space="720"/>
          <w:docGrid w:linePitch="360"/>
        </w:sectPr>
      </w:pPr>
    </w:p>
    <w:p w14:paraId="2814FC7A" w14:textId="17D3113E" w:rsidR="006D298F" w:rsidRPr="00944847" w:rsidRDefault="006D298F" w:rsidP="00944847">
      <w:pPr>
        <w:pStyle w:val="ListParagraph"/>
        <w:spacing w:after="0" w:line="240" w:lineRule="auto"/>
        <w:ind w:left="0"/>
        <w:jc w:val="right"/>
        <w:rPr>
          <w:rFonts w:cs="Arial"/>
          <w:b/>
        </w:rPr>
      </w:pPr>
      <w:r w:rsidRPr="006D298F">
        <w:rPr>
          <w:rFonts w:cs="Arial"/>
          <w:b/>
        </w:rPr>
        <w:lastRenderedPageBreak/>
        <w:t>ANNEXE</w:t>
      </w:r>
    </w:p>
    <w:p w14:paraId="76C94006" w14:textId="77777777" w:rsidR="00944847" w:rsidRDefault="00944847" w:rsidP="00944847">
      <w:pPr>
        <w:pStyle w:val="Heading1"/>
        <w:jc w:val="center"/>
        <w:rPr>
          <w:rFonts w:eastAsia="Times New Roman"/>
        </w:rPr>
      </w:pPr>
      <w:r>
        <w:t>Mise à jour régionale sur les baleines à bosse de la mer d’Arabie : Bref rapport de situation établi par le Réseau des baleines de la mer d’Arabie</w:t>
      </w:r>
    </w:p>
    <w:p w14:paraId="21AA2F00" w14:textId="77777777" w:rsidR="00944847" w:rsidRDefault="00944847" w:rsidP="00944847">
      <w:pPr>
        <w:spacing w:after="0" w:line="240" w:lineRule="auto"/>
        <w:jc w:val="center"/>
        <w:rPr>
          <w:rFonts w:ascii="Times New Roman" w:eastAsia="Times New Roman" w:hAnsi="Times New Roman" w:cs="Times New Roman"/>
          <w:sz w:val="24"/>
          <w:szCs w:val="24"/>
          <w:vertAlign w:val="superscript"/>
        </w:rPr>
      </w:pPr>
      <w:proofErr w:type="spellStart"/>
      <w:r>
        <w:rPr>
          <w:rFonts w:ascii="Times New Roman" w:hAnsi="Times New Roman"/>
          <w:sz w:val="24"/>
          <w:szCs w:val="24"/>
        </w:rPr>
        <w:t>Gianna</w:t>
      </w:r>
      <w:proofErr w:type="spellEnd"/>
      <w:r>
        <w:rPr>
          <w:rFonts w:ascii="Times New Roman" w:hAnsi="Times New Roman"/>
          <w:sz w:val="24"/>
          <w:szCs w:val="24"/>
        </w:rPr>
        <w:t xml:space="preserve"> Minton</w:t>
      </w:r>
      <w:r>
        <w:rPr>
          <w:rFonts w:ascii="Times New Roman" w:hAnsi="Times New Roman"/>
          <w:sz w:val="24"/>
          <w:szCs w:val="24"/>
          <w:vertAlign w:val="superscript"/>
        </w:rPr>
        <w:t>1</w:t>
      </w:r>
      <w:r>
        <w:rPr>
          <w:rFonts w:ascii="Times New Roman" w:hAnsi="Times New Roman"/>
          <w:sz w:val="24"/>
          <w:szCs w:val="24"/>
        </w:rPr>
        <w:t xml:space="preserve"> et Marina Antonopoulou</w:t>
      </w:r>
      <w:r>
        <w:rPr>
          <w:rFonts w:ascii="Times New Roman" w:hAnsi="Times New Roman"/>
          <w:sz w:val="24"/>
          <w:szCs w:val="24"/>
          <w:vertAlign w:val="superscript"/>
        </w:rPr>
        <w:t>2</w:t>
      </w:r>
    </w:p>
    <w:p w14:paraId="18D9E08E" w14:textId="77777777" w:rsidR="00944847" w:rsidRDefault="00944847" w:rsidP="00944847">
      <w:pPr>
        <w:numPr>
          <w:ilvl w:val="0"/>
          <w:numId w:val="27"/>
        </w:numPr>
        <w:spacing w:after="0" w:line="240" w:lineRule="auto"/>
        <w:contextualSpacing/>
        <w:rPr>
          <w:rFonts w:ascii="Times New Roman" w:hAnsi="Times New Roman" w:cs="Times New Roman"/>
          <w:sz w:val="20"/>
          <w:szCs w:val="20"/>
        </w:rPr>
      </w:pPr>
      <w:r>
        <w:rPr>
          <w:rFonts w:ascii="Times New Roman" w:hAnsi="Times New Roman"/>
          <w:sz w:val="20"/>
          <w:szCs w:val="20"/>
        </w:rPr>
        <w:t xml:space="preserve">Consultante indépendante et coordonnatrice à temps partiel de l’ASWN. </w:t>
      </w:r>
      <w:hyperlink r:id="rId17" w:history="1">
        <w:r>
          <w:rPr>
            <w:rStyle w:val="Hyperlink"/>
            <w:rFonts w:ascii="Times New Roman" w:hAnsi="Times New Roman"/>
            <w:color w:val="00728F"/>
            <w:sz w:val="20"/>
            <w:szCs w:val="20"/>
          </w:rPr>
          <w:t>Gianna.minton@gmail.com</w:t>
        </w:r>
      </w:hyperlink>
    </w:p>
    <w:p w14:paraId="79885AFC" w14:textId="77777777" w:rsidR="00944847" w:rsidRDefault="00944847" w:rsidP="00944847">
      <w:pPr>
        <w:numPr>
          <w:ilvl w:val="0"/>
          <w:numId w:val="27"/>
        </w:numPr>
        <w:spacing w:after="0" w:line="240" w:lineRule="auto"/>
        <w:contextualSpacing/>
        <w:rPr>
          <w:rFonts w:ascii="Times New Roman" w:hAnsi="Times New Roman" w:cs="Times New Roman"/>
          <w:sz w:val="20"/>
          <w:szCs w:val="20"/>
        </w:rPr>
      </w:pPr>
      <w:r>
        <w:rPr>
          <w:rFonts w:ascii="Times New Roman" w:hAnsi="Times New Roman"/>
          <w:sz w:val="20"/>
          <w:szCs w:val="20"/>
        </w:rPr>
        <w:t xml:space="preserve">Responsable du programme marin, Emirates </w:t>
      </w:r>
      <w:proofErr w:type="spellStart"/>
      <w:r>
        <w:rPr>
          <w:rFonts w:ascii="Times New Roman" w:hAnsi="Times New Roman"/>
          <w:sz w:val="20"/>
          <w:szCs w:val="20"/>
        </w:rPr>
        <w:t>Wildlife</w:t>
      </w:r>
      <w:proofErr w:type="spellEnd"/>
      <w:r>
        <w:rPr>
          <w:rFonts w:ascii="Times New Roman" w:hAnsi="Times New Roman"/>
          <w:sz w:val="20"/>
          <w:szCs w:val="20"/>
        </w:rPr>
        <w:t xml:space="preserve">-WWF, coordonnatrice de l’ASWN. </w:t>
      </w:r>
      <w:hyperlink r:id="rId18" w:history="1">
        <w:r>
          <w:rPr>
            <w:rStyle w:val="Hyperlink"/>
            <w:rFonts w:ascii="Times New Roman" w:hAnsi="Times New Roman"/>
            <w:sz w:val="20"/>
            <w:szCs w:val="20"/>
          </w:rPr>
          <w:t>mantonopoulou@ewswwf.ae</w:t>
        </w:r>
      </w:hyperlink>
      <w:r>
        <w:rPr>
          <w:rFonts w:ascii="Times New Roman" w:hAnsi="Times New Roman"/>
          <w:sz w:val="20"/>
          <w:szCs w:val="20"/>
        </w:rPr>
        <w:t xml:space="preserve"> </w:t>
      </w:r>
    </w:p>
    <w:p w14:paraId="7F17669C" w14:textId="77777777" w:rsidR="00944847" w:rsidRDefault="00944847" w:rsidP="00944847">
      <w:pPr>
        <w:spacing w:before="120" w:after="120" w:line="266" w:lineRule="auto"/>
        <w:jc w:val="both"/>
        <w:rPr>
          <w:rFonts w:ascii="Times New Roman" w:eastAsia="Times New Roman" w:hAnsi="Times New Roman" w:cs="Times New Roman"/>
          <w:b/>
          <w:bCs/>
          <w:sz w:val="24"/>
          <w:szCs w:val="24"/>
          <w:lang w:val="en-GB" w:eastAsia="en-GB"/>
        </w:rPr>
      </w:pPr>
    </w:p>
    <w:p w14:paraId="3FC8729F"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
          <w:bCs/>
          <w:sz w:val="24"/>
          <w:szCs w:val="24"/>
        </w:rPr>
        <w:t xml:space="preserve">Résumé : </w:t>
      </w:r>
      <w:r>
        <w:rPr>
          <w:rFonts w:ascii="Times New Roman" w:hAnsi="Times New Roman"/>
          <w:bCs/>
          <w:sz w:val="24"/>
          <w:szCs w:val="24"/>
        </w:rPr>
        <w:t>Au cours de l’année écoulée, le Réseau des baleines de la mer d’Arabie (ASWN) a maintenu la communication entre ses membres et avec des organisations externes par le biais d’un site Web et d’un groupe de discussion par courriel. De nombreux membres de l’ASWN ont contribué à identifier les aires importantes pour les mammifères marins (IMMA) en rédigeant des propositions et en participant à l’atelier sur les IMMA tenu à Oman en mars 2019. Le Réseau a lancé une plateforme régionale de données en ligne qui facilite l’archivage normalisé des données dans la région et l’appariement des catalogues de photo-identification entre les projets de recherche menés dans la mer d’Oman. Les membres ont commencé à utiliser cette plateforme pour effectuer des comparaisons et des analyses de données. Ce rapport met également en lumière les travaux menés au niveau national ou à l’échelle des projets par des membres basés aux Émirats arabes unis et à Oman, et fournit un aperçu des progrès accomplis par rapport aux mesures énoncées dans l’Action concertée de la CMS pour la baleine à bosse de la mer d’Arabie.</w:t>
      </w:r>
    </w:p>
    <w:p w14:paraId="07E212A9" w14:textId="77777777" w:rsidR="00944847" w:rsidRPr="00944847" w:rsidRDefault="00944847" w:rsidP="00944847">
      <w:pPr>
        <w:spacing w:before="120" w:after="120" w:line="266" w:lineRule="auto"/>
        <w:jc w:val="both"/>
        <w:rPr>
          <w:rFonts w:ascii="Times New Roman" w:eastAsia="Times New Roman" w:hAnsi="Times New Roman" w:cs="Times New Roman"/>
          <w:b/>
          <w:bCs/>
          <w:sz w:val="24"/>
          <w:szCs w:val="24"/>
          <w:lang w:eastAsia="en-GB"/>
        </w:rPr>
      </w:pPr>
    </w:p>
    <w:p w14:paraId="06F28928" w14:textId="77777777" w:rsidR="00944847" w:rsidRDefault="00944847" w:rsidP="00944847">
      <w:pPr>
        <w:pStyle w:val="ListParagraph"/>
        <w:numPr>
          <w:ilvl w:val="0"/>
          <w:numId w:val="28"/>
        </w:numPr>
        <w:spacing w:before="120" w:after="120" w:line="266" w:lineRule="auto"/>
        <w:jc w:val="both"/>
        <w:rPr>
          <w:rFonts w:ascii="Times New Roman" w:eastAsia="Times New Roman" w:hAnsi="Times New Roman" w:cs="Times New Roman"/>
          <w:b/>
          <w:bCs/>
          <w:sz w:val="28"/>
          <w:szCs w:val="28"/>
        </w:rPr>
      </w:pPr>
      <w:r>
        <w:rPr>
          <w:rFonts w:ascii="Times New Roman" w:hAnsi="Times New Roman"/>
          <w:b/>
          <w:bCs/>
          <w:sz w:val="28"/>
          <w:szCs w:val="28"/>
        </w:rPr>
        <w:t>Introduction et contexte</w:t>
      </w:r>
    </w:p>
    <w:p w14:paraId="21847A02"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Le Réseau des baleines de la mer d’Arabie </w:t>
      </w:r>
      <w:r w:rsidRPr="00944847">
        <w:rPr>
          <w:rFonts w:ascii="Times New Roman" w:eastAsia="Times New Roman" w:hAnsi="Times New Roman" w:cs="Times New Roman"/>
          <w:bCs/>
          <w:sz w:val="24"/>
          <w:szCs w:val="24"/>
          <w:lang w:eastAsia="en-GB"/>
        </w:rPr>
        <w:t xml:space="preserve">(ASWN) </w:t>
      </w:r>
      <w:r>
        <w:rPr>
          <w:rFonts w:ascii="Times New Roman" w:hAnsi="Times New Roman"/>
          <w:bCs/>
          <w:sz w:val="24"/>
          <w:szCs w:val="24"/>
        </w:rPr>
        <w:t xml:space="preserve">est une collaboration informelle de chercheurs et d’organismes de conservation intéressés par la conservation des populations de baleines dans le nord de l’océan Indien. La baleine à bosse de la mer d’Arabie (BBMA) est l’espèce phare de l’ASWN, mais toutes les grandes espèces de baleines présentent un intérêt pour le Réseau. Le Réseau des baleines de la mer d’Arabie a été formé à l’issue d’un atelier organisé en janvier 2015 à Dubaï. Il n’a pas de statut juridique officiel et n’est pas reconnu par le gouvernement. Un </w:t>
      </w:r>
      <w:hyperlink r:id="rId19" w:history="1">
        <w:r>
          <w:rPr>
            <w:rStyle w:val="Hyperlink"/>
            <w:rFonts w:ascii="Times New Roman" w:hAnsi="Times New Roman"/>
            <w:bCs/>
            <w:color w:val="00728F"/>
            <w:sz w:val="24"/>
            <w:szCs w:val="24"/>
          </w:rPr>
          <w:t>site Web</w:t>
        </w:r>
      </w:hyperlink>
      <w:r>
        <w:rPr>
          <w:rFonts w:ascii="Times New Roman" w:hAnsi="Times New Roman"/>
          <w:bCs/>
          <w:sz w:val="24"/>
          <w:szCs w:val="24"/>
        </w:rPr>
        <w:t xml:space="preserve"> et un logo créent un sentiment d’unité dans les objectifs et facilitent la communication, la collecte de fonds, la recherche collaborative, la gestion et l’analyse des données. Le Réseau compte parmi</w:t>
      </w:r>
      <w:r>
        <w:t xml:space="preserve"> </w:t>
      </w:r>
      <w:hyperlink r:id="rId20" w:history="1">
        <w:r>
          <w:rPr>
            <w:rStyle w:val="Hyperlink"/>
            <w:rFonts w:ascii="Times New Roman" w:hAnsi="Times New Roman"/>
            <w:bCs/>
            <w:color w:val="00728F"/>
            <w:sz w:val="24"/>
            <w:szCs w:val="24"/>
          </w:rPr>
          <w:t>ses membres</w:t>
        </w:r>
      </w:hyperlink>
      <w:r>
        <w:rPr>
          <w:rFonts w:ascii="Times New Roman" w:hAnsi="Times New Roman"/>
          <w:bCs/>
          <w:sz w:val="24"/>
          <w:szCs w:val="24"/>
        </w:rPr>
        <w:t xml:space="preserve">, des chercheurs et consultants indépendants, des chercheurs rattachés à des institutions universitaires, et des représentants d’ONG locales, nationales et internationales, d’organisations intergouvernementales et d’organismes gouvernementaux. De plus amples informations sur le Réseau sont disponibles sur le site Web, </w:t>
      </w:r>
      <w:hyperlink r:id="rId21" w:history="1">
        <w:r>
          <w:rPr>
            <w:rStyle w:val="Hyperlink"/>
            <w:rFonts w:ascii="Times New Roman" w:hAnsi="Times New Roman"/>
            <w:bCs/>
            <w:color w:val="00728F"/>
            <w:sz w:val="24"/>
            <w:szCs w:val="24"/>
          </w:rPr>
          <w:t>dans le rapport de l’atelier inaugural de 2015</w:t>
        </w:r>
      </w:hyperlink>
      <w:r>
        <w:rPr>
          <w:rFonts w:ascii="Times New Roman" w:hAnsi="Times New Roman"/>
          <w:bCs/>
          <w:sz w:val="24"/>
          <w:szCs w:val="24"/>
        </w:rPr>
        <w:t xml:space="preserve">, et dans d’autres documents soumis lors de cette rencontre et </w:t>
      </w:r>
      <w:hyperlink r:id="rId22" w:history="1">
        <w:r>
          <w:rPr>
            <w:rStyle w:val="Hyperlink"/>
            <w:rFonts w:ascii="Times New Roman" w:hAnsi="Times New Roman"/>
            <w:bCs/>
            <w:color w:val="00728F"/>
            <w:sz w:val="24"/>
            <w:szCs w:val="24"/>
          </w:rPr>
          <w:t>au cours des réunions précédentes</w:t>
        </w:r>
      </w:hyperlink>
      <w:r>
        <w:rPr>
          <w:rFonts w:ascii="Times New Roman" w:hAnsi="Times New Roman"/>
          <w:bCs/>
          <w:sz w:val="24"/>
          <w:szCs w:val="24"/>
        </w:rPr>
        <w:t xml:space="preserve"> (voir ci-dessous). Les travaux de recherche et de conservation sur le terrain sont menés par des membres individuels au niveau du projet ou à l’échelle nationale dans la région de la mer d’Arabie, mais le Réseau contribue à promouvoir l’échange d’informations et à inscrire les connaissances et les </w:t>
      </w:r>
      <w:r>
        <w:rPr>
          <w:rFonts w:ascii="Times New Roman" w:hAnsi="Times New Roman"/>
          <w:bCs/>
          <w:sz w:val="24"/>
          <w:szCs w:val="24"/>
        </w:rPr>
        <w:lastRenderedPageBreak/>
        <w:t>expériences acquises sur le plan local dans un cadre régional. Cette mesure permet également de défendre le travail accompli par différents membres.</w:t>
      </w:r>
    </w:p>
    <w:p w14:paraId="72495439" w14:textId="77777777" w:rsidR="00944847" w:rsidRPr="00944847" w:rsidRDefault="00944847" w:rsidP="00944847">
      <w:pPr>
        <w:spacing w:before="120" w:after="120" w:line="266" w:lineRule="auto"/>
        <w:jc w:val="both"/>
        <w:rPr>
          <w:rFonts w:ascii="Times New Roman" w:eastAsia="Times New Roman" w:hAnsi="Times New Roman" w:cs="Times New Roman"/>
          <w:bCs/>
          <w:sz w:val="24"/>
          <w:szCs w:val="24"/>
          <w:lang w:eastAsia="en-GB"/>
        </w:rPr>
      </w:pPr>
    </w:p>
    <w:p w14:paraId="02310313" w14:textId="77777777" w:rsidR="00944847" w:rsidRDefault="00944847" w:rsidP="00944847">
      <w:pPr>
        <w:pStyle w:val="ListParagraph"/>
        <w:numPr>
          <w:ilvl w:val="0"/>
          <w:numId w:val="28"/>
        </w:numPr>
        <w:spacing w:before="120" w:after="120" w:line="266" w:lineRule="auto"/>
        <w:jc w:val="both"/>
        <w:rPr>
          <w:rFonts w:ascii="Times New Roman" w:eastAsia="Times New Roman" w:hAnsi="Times New Roman" w:cs="Times New Roman"/>
          <w:b/>
          <w:bCs/>
          <w:sz w:val="28"/>
          <w:szCs w:val="28"/>
        </w:rPr>
      </w:pPr>
      <w:r>
        <w:rPr>
          <w:rFonts w:ascii="Times New Roman" w:hAnsi="Times New Roman"/>
          <w:b/>
          <w:bCs/>
          <w:sz w:val="28"/>
          <w:szCs w:val="28"/>
        </w:rPr>
        <w:t>Contributions des États de l’aire de répartition de la mer d’Arabie au Comité scientifique de la Commission baleinière internationale</w:t>
      </w:r>
    </w:p>
    <w:p w14:paraId="2D4FA6D4"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En 2018, l’ASWN a soumis un bref rapport de situation à la réunion du Comité scientifique de la Commission baleinière internationale (SC_67B_CMP_10_rev1), et les membres du Réseau ont présenté une série de documents au sous-comité sur les plans de gestion de la conservation (CMP) et aux autres sous-comités. Ces contributions ont permis de constater que des progrès considérables ont été accomplis dans la collecte de données et le renforcement des capacités en matière de recherche et de conservation des baleines dans toute la mer d’Arabie. Le présent rapport fait le point sur les activités menées depuis avril 2018. Un certain nombre de documents supplémentaires sur la conservation des baleines dans la mer d’Arabie ont été soumis lors de la réunion de cette année. Ces documents sont les suivants :</w:t>
      </w:r>
    </w:p>
    <w:p w14:paraId="63BFCBF6" w14:textId="77777777" w:rsidR="00944847" w:rsidRDefault="00944847" w:rsidP="00944847">
      <w:pPr>
        <w:spacing w:before="120" w:after="120" w:line="266" w:lineRule="auto"/>
        <w:jc w:val="both"/>
        <w:rPr>
          <w:rFonts w:ascii="Times New Roman" w:eastAsia="Times New Roman" w:hAnsi="Times New Roman" w:cs="Times New Roman"/>
          <w:bCs/>
          <w:sz w:val="24"/>
          <w:szCs w:val="24"/>
          <w:lang w:val="en-GB" w:eastAsia="en-GB"/>
        </w:rPr>
      </w:pPr>
    </w:p>
    <w:tbl>
      <w:tblPr>
        <w:tblW w:w="4849" w:type="pct"/>
        <w:shd w:val="clear" w:color="auto" w:fill="FFFFFF"/>
        <w:tblCellMar>
          <w:left w:w="0" w:type="dxa"/>
          <w:right w:w="0" w:type="dxa"/>
        </w:tblCellMar>
        <w:tblLook w:val="04A0" w:firstRow="1" w:lastRow="0" w:firstColumn="1" w:lastColumn="0" w:noHBand="0" w:noVBand="1"/>
      </w:tblPr>
      <w:tblGrid>
        <w:gridCol w:w="1640"/>
        <w:gridCol w:w="1505"/>
        <w:gridCol w:w="5634"/>
      </w:tblGrid>
      <w:tr w:rsidR="00944847" w14:paraId="6FE3A5C0"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0008F02" w14:textId="77777777" w:rsidR="00944847" w:rsidRDefault="00944847" w:rsidP="00944847">
            <w:pPr>
              <w:spacing w:after="0" w:line="240" w:lineRule="auto"/>
              <w:ind w:left="-99"/>
              <w:jc w:val="center"/>
              <w:rPr>
                <w:rFonts w:ascii="Times New Roman" w:eastAsia="Times New Roman" w:hAnsi="Times New Roman" w:cs="Times New Roman"/>
                <w:color w:val="222222"/>
                <w:sz w:val="20"/>
                <w:szCs w:val="20"/>
              </w:rPr>
            </w:pPr>
            <w:r>
              <w:rPr>
                <w:rFonts w:ascii="Times New Roman" w:hAnsi="Times New Roman"/>
                <w:b/>
                <w:bCs/>
                <w:color w:val="222222"/>
                <w:sz w:val="20"/>
                <w:szCs w:val="20"/>
              </w:rPr>
              <w:t>Numéro du document</w:t>
            </w:r>
          </w:p>
        </w:tc>
        <w:tc>
          <w:tcPr>
            <w:tcW w:w="857" w:type="pct"/>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407B161F"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r>
              <w:rPr>
                <w:rFonts w:ascii="Times New Roman" w:hAnsi="Times New Roman"/>
                <w:b/>
                <w:bCs/>
                <w:color w:val="222222"/>
                <w:sz w:val="20"/>
                <w:szCs w:val="20"/>
              </w:rPr>
              <w:t>Auteur principal ou représentant de l’ASWN dans la liste des auteurs</w:t>
            </w:r>
          </w:p>
        </w:tc>
        <w:tc>
          <w:tcPr>
            <w:tcW w:w="3209" w:type="pct"/>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vAlign w:val="center"/>
            <w:hideMark/>
          </w:tcPr>
          <w:p w14:paraId="4D0C674C" w14:textId="77777777" w:rsidR="00944847" w:rsidRDefault="00944847" w:rsidP="00944847">
            <w:pPr>
              <w:spacing w:after="0" w:line="240" w:lineRule="auto"/>
              <w:ind w:left="-99"/>
              <w:jc w:val="center"/>
              <w:rPr>
                <w:rFonts w:ascii="Times New Roman" w:eastAsia="Times New Roman" w:hAnsi="Times New Roman" w:cs="Times New Roman"/>
                <w:color w:val="222222"/>
                <w:sz w:val="20"/>
                <w:szCs w:val="20"/>
              </w:rPr>
            </w:pPr>
            <w:r>
              <w:rPr>
                <w:rFonts w:ascii="Times New Roman" w:hAnsi="Times New Roman"/>
                <w:b/>
                <w:bCs/>
                <w:color w:val="222222"/>
                <w:sz w:val="20"/>
                <w:szCs w:val="20"/>
              </w:rPr>
              <w:t>Titre</w:t>
            </w:r>
          </w:p>
        </w:tc>
      </w:tr>
      <w:tr w:rsidR="00944847" w14:paraId="0FC5A416"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0B5A9A1C" w14:textId="77777777" w:rsidR="00944847" w:rsidRDefault="00944847" w:rsidP="00944847">
            <w:pPr>
              <w:spacing w:after="0" w:line="240" w:lineRule="auto"/>
              <w:ind w:left="-99"/>
              <w:rPr>
                <w:rFonts w:ascii="Times New Roman" w:eastAsia="Times New Roman" w:hAnsi="Times New Roman" w:cs="Times New Roman"/>
                <w:b/>
                <w:color w:val="222222"/>
                <w:sz w:val="20"/>
                <w:szCs w:val="20"/>
              </w:rPr>
            </w:pPr>
            <w:r>
              <w:rPr>
                <w:rFonts w:ascii="Times New Roman" w:hAnsi="Times New Roman"/>
                <w:b/>
                <w:color w:val="222222"/>
                <w:sz w:val="20"/>
                <w:szCs w:val="20"/>
              </w:rPr>
              <w:t>Oman</w:t>
            </w:r>
          </w:p>
        </w:tc>
        <w:tc>
          <w:tcPr>
            <w:tcW w:w="857"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2DD6D241" w14:textId="77777777" w:rsidR="00944847" w:rsidRDefault="00944847" w:rsidP="00944847">
            <w:pPr>
              <w:spacing w:after="0" w:line="240" w:lineRule="auto"/>
              <w:ind w:left="-99"/>
              <w:rPr>
                <w:rFonts w:ascii="Times New Roman" w:eastAsia="Times New Roman" w:hAnsi="Times New Roman" w:cs="Times New Roman"/>
                <w:color w:val="222222"/>
                <w:sz w:val="20"/>
                <w:szCs w:val="20"/>
                <w:lang w:val="nl-NL"/>
              </w:rPr>
            </w:pPr>
          </w:p>
        </w:tc>
        <w:tc>
          <w:tcPr>
            <w:tcW w:w="3209"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254CD64A" w14:textId="77777777" w:rsidR="00944847" w:rsidRDefault="00944847" w:rsidP="00944847">
            <w:pPr>
              <w:spacing w:after="0" w:line="240" w:lineRule="auto"/>
              <w:ind w:left="-99"/>
              <w:rPr>
                <w:rFonts w:ascii="Times New Roman" w:eastAsia="Times New Roman" w:hAnsi="Times New Roman" w:cs="Times New Roman"/>
                <w:color w:val="222222"/>
                <w:sz w:val="20"/>
                <w:szCs w:val="20"/>
                <w:lang w:val="nl-NL"/>
              </w:rPr>
            </w:pPr>
          </w:p>
        </w:tc>
      </w:tr>
      <w:tr w:rsidR="00944847" w14:paraId="686CEC7C" w14:textId="77777777" w:rsidTr="00944847">
        <w:tc>
          <w:tcPr>
            <w:tcW w:w="93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34933F"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r>
              <w:rPr>
                <w:rFonts w:ascii="Times New Roman" w:hAnsi="Times New Roman"/>
                <w:color w:val="222222"/>
                <w:sz w:val="20"/>
                <w:szCs w:val="20"/>
              </w:rPr>
              <w:t>SC/68A/CMP/08</w:t>
            </w:r>
          </w:p>
        </w:tc>
        <w:tc>
          <w:tcPr>
            <w:tcW w:w="8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194A7"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roofErr w:type="spellStart"/>
            <w:r>
              <w:rPr>
                <w:rFonts w:ascii="Times New Roman" w:hAnsi="Times New Roman"/>
                <w:color w:val="222222"/>
                <w:sz w:val="20"/>
                <w:szCs w:val="20"/>
              </w:rPr>
              <w:t>Willson</w:t>
            </w:r>
            <w:proofErr w:type="spellEnd"/>
            <w:r>
              <w:rPr>
                <w:rFonts w:ascii="Times New Roman" w:hAnsi="Times New Roman"/>
                <w:color w:val="222222"/>
                <w:sz w:val="20"/>
                <w:szCs w:val="20"/>
              </w:rPr>
              <w:t xml:space="preserve"> et al.</w:t>
            </w:r>
          </w:p>
        </w:tc>
        <w:tc>
          <w:tcPr>
            <w:tcW w:w="320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0B06B" w14:textId="77777777" w:rsidR="00944847" w:rsidRPr="00944847" w:rsidRDefault="00944847" w:rsidP="00944847">
            <w:pPr>
              <w:spacing w:after="0" w:line="240" w:lineRule="auto"/>
              <w:ind w:left="-99"/>
              <w:rPr>
                <w:rFonts w:ascii="Times New Roman" w:eastAsia="Times New Roman" w:hAnsi="Times New Roman" w:cs="Times New Roman"/>
                <w:i/>
                <w:color w:val="222222"/>
                <w:sz w:val="20"/>
                <w:szCs w:val="20"/>
                <w:lang w:val="en-GB"/>
              </w:rPr>
            </w:pPr>
            <w:r w:rsidRPr="00944847">
              <w:rPr>
                <w:rFonts w:ascii="Times New Roman" w:hAnsi="Times New Roman"/>
                <w:i/>
                <w:color w:val="222222"/>
                <w:sz w:val="20"/>
                <w:szCs w:val="20"/>
                <w:lang w:val="en-GB"/>
              </w:rPr>
              <w:t>Oman research update; documenting cetacean diversity and blue whale feeding habitat in Dhofar, southern Oman</w:t>
            </w:r>
          </w:p>
        </w:tc>
      </w:tr>
      <w:tr w:rsidR="00944847" w14:paraId="5721466C"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35B93560" w14:textId="77777777" w:rsidR="00944847" w:rsidRDefault="00944847" w:rsidP="00944847">
            <w:pPr>
              <w:spacing w:after="0" w:line="240" w:lineRule="auto"/>
              <w:ind w:left="-99"/>
              <w:rPr>
                <w:rFonts w:ascii="Times New Roman" w:eastAsia="Times New Roman" w:hAnsi="Times New Roman" w:cs="Times New Roman"/>
                <w:bCs/>
                <w:sz w:val="20"/>
                <w:szCs w:val="20"/>
              </w:rPr>
            </w:pPr>
            <w:r>
              <w:rPr>
                <w:rFonts w:ascii="Times New Roman" w:hAnsi="Times New Roman"/>
                <w:b/>
                <w:color w:val="222222"/>
                <w:sz w:val="20"/>
                <w:szCs w:val="20"/>
              </w:rPr>
              <w:t>Pakistan</w:t>
            </w:r>
          </w:p>
        </w:tc>
        <w:tc>
          <w:tcPr>
            <w:tcW w:w="857"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1D418609"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
        </w:tc>
        <w:tc>
          <w:tcPr>
            <w:tcW w:w="3209"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75BFB8CB"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
        </w:tc>
      </w:tr>
      <w:tr w:rsidR="00944847" w14:paraId="3F6F5056"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76EAF" w14:textId="77777777" w:rsidR="00944847" w:rsidRDefault="00944847" w:rsidP="00944847">
            <w:pPr>
              <w:spacing w:after="0" w:line="240" w:lineRule="auto"/>
              <w:ind w:left="-99"/>
              <w:rPr>
                <w:rFonts w:ascii="Times New Roman" w:eastAsia="Times New Roman" w:hAnsi="Times New Roman" w:cs="Times New Roman"/>
                <w:bCs/>
                <w:sz w:val="20"/>
                <w:szCs w:val="20"/>
              </w:rPr>
            </w:pPr>
            <w:r>
              <w:rPr>
                <w:rFonts w:ascii="Times New Roman" w:hAnsi="Times New Roman"/>
                <w:color w:val="222222"/>
                <w:sz w:val="20"/>
                <w:szCs w:val="20"/>
              </w:rPr>
              <w:t>SC/68A/CMP/07</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DF40E"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roofErr w:type="spellStart"/>
            <w:r>
              <w:rPr>
                <w:rFonts w:ascii="Times New Roman" w:hAnsi="Times New Roman"/>
                <w:color w:val="222222"/>
                <w:sz w:val="20"/>
                <w:szCs w:val="20"/>
              </w:rPr>
              <w:t>Moazzam</w:t>
            </w:r>
            <w:proofErr w:type="spellEnd"/>
            <w:r>
              <w:rPr>
                <w:rFonts w:ascii="Times New Roman" w:hAnsi="Times New Roman"/>
                <w:color w:val="222222"/>
                <w:sz w:val="20"/>
                <w:szCs w:val="20"/>
              </w:rPr>
              <w:t xml:space="preserve"> Khan et </w:t>
            </w:r>
            <w:proofErr w:type="spellStart"/>
            <w:r>
              <w:rPr>
                <w:rFonts w:ascii="Times New Roman" w:hAnsi="Times New Roman"/>
                <w:color w:val="222222"/>
                <w:sz w:val="20"/>
                <w:szCs w:val="20"/>
              </w:rPr>
              <w:t>Nawaz</w:t>
            </w:r>
            <w:proofErr w:type="spellEnd"/>
          </w:p>
        </w:tc>
        <w:tc>
          <w:tcPr>
            <w:tcW w:w="32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8BE09" w14:textId="77777777" w:rsidR="00944847" w:rsidRPr="00944847" w:rsidRDefault="00944847" w:rsidP="00944847">
            <w:pPr>
              <w:spacing w:after="0" w:line="240" w:lineRule="auto"/>
              <w:ind w:left="-99"/>
              <w:rPr>
                <w:rFonts w:ascii="Times New Roman" w:eastAsia="Times New Roman" w:hAnsi="Times New Roman" w:cs="Times New Roman"/>
                <w:i/>
                <w:color w:val="222222"/>
                <w:sz w:val="20"/>
                <w:szCs w:val="20"/>
                <w:lang w:val="en-GB"/>
              </w:rPr>
            </w:pPr>
            <w:r w:rsidRPr="00944847">
              <w:rPr>
                <w:rFonts w:ascii="Times New Roman" w:hAnsi="Times New Roman"/>
                <w:i/>
                <w:color w:val="222222"/>
                <w:sz w:val="20"/>
                <w:szCs w:val="20"/>
                <w:lang w:val="en-GB"/>
              </w:rPr>
              <w:t>The distribution of whales in the northern Arabian Sea along the coast of Pakistan obtained through crew-based observer programme - results of the 2018 fishing season</w:t>
            </w:r>
          </w:p>
        </w:tc>
      </w:tr>
      <w:tr w:rsidR="00944847" w14:paraId="0260FF1A"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69D0C1" w14:textId="77777777" w:rsidR="00944847" w:rsidRDefault="00944847" w:rsidP="00944847">
            <w:pPr>
              <w:spacing w:after="0" w:line="240" w:lineRule="auto"/>
              <w:ind w:left="-99"/>
              <w:rPr>
                <w:rFonts w:ascii="Times New Roman" w:eastAsia="Times New Roman" w:hAnsi="Times New Roman" w:cs="Times New Roman"/>
                <w:bCs/>
                <w:sz w:val="20"/>
                <w:szCs w:val="20"/>
              </w:rPr>
            </w:pPr>
            <w:hyperlink r:id="rId23" w:history="1">
              <w:r>
                <w:rPr>
                  <w:rStyle w:val="Hyperlink"/>
                  <w:rFonts w:ascii="Times New Roman" w:hAnsi="Times New Roman"/>
                  <w:sz w:val="20"/>
                  <w:szCs w:val="20"/>
                </w:rPr>
                <w:t>SC/68A/HIM/12</w:t>
              </w:r>
            </w:hyperlink>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7A49F6"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roofErr w:type="spellStart"/>
            <w:r>
              <w:rPr>
                <w:rFonts w:ascii="Times New Roman" w:hAnsi="Times New Roman"/>
                <w:color w:val="222222"/>
                <w:sz w:val="20"/>
                <w:szCs w:val="20"/>
              </w:rPr>
              <w:t>Moazzam</w:t>
            </w:r>
            <w:proofErr w:type="spellEnd"/>
            <w:r>
              <w:rPr>
                <w:rFonts w:ascii="Times New Roman" w:hAnsi="Times New Roman"/>
                <w:color w:val="222222"/>
                <w:sz w:val="20"/>
                <w:szCs w:val="20"/>
              </w:rPr>
              <w:t xml:space="preserve"> Khan et al.</w:t>
            </w:r>
          </w:p>
        </w:tc>
        <w:tc>
          <w:tcPr>
            <w:tcW w:w="32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45801" w14:textId="77777777" w:rsidR="00944847" w:rsidRPr="00944847" w:rsidRDefault="00944847" w:rsidP="00944847">
            <w:pPr>
              <w:spacing w:after="0" w:line="240" w:lineRule="auto"/>
              <w:ind w:left="-99"/>
              <w:rPr>
                <w:rFonts w:ascii="Times New Roman" w:eastAsia="Times New Roman" w:hAnsi="Times New Roman" w:cs="Times New Roman"/>
                <w:i/>
                <w:color w:val="222222"/>
                <w:sz w:val="20"/>
                <w:szCs w:val="20"/>
                <w:lang w:val="en-GB"/>
              </w:rPr>
            </w:pPr>
            <w:r w:rsidRPr="00944847">
              <w:rPr>
                <w:rFonts w:ascii="Times New Roman" w:hAnsi="Times New Roman"/>
                <w:i/>
                <w:color w:val="222222"/>
                <w:sz w:val="20"/>
                <w:szCs w:val="20"/>
                <w:lang w:val="en-GB"/>
              </w:rPr>
              <w:t>Crew based observer programme of WWF-Pakistan – A source of data collection on cetacean bycatch</w:t>
            </w:r>
          </w:p>
        </w:tc>
      </w:tr>
      <w:tr w:rsidR="00944847" w14:paraId="7B1BBB64"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5E2728AA" w14:textId="77777777" w:rsidR="00944847" w:rsidRDefault="00944847" w:rsidP="00944847">
            <w:pPr>
              <w:spacing w:after="0" w:line="240" w:lineRule="auto"/>
              <w:ind w:left="-99"/>
              <w:rPr>
                <w:rFonts w:ascii="Times New Roman" w:eastAsia="Times New Roman" w:hAnsi="Times New Roman" w:cs="Times New Roman"/>
                <w:b/>
                <w:color w:val="222222"/>
                <w:sz w:val="20"/>
                <w:szCs w:val="20"/>
              </w:rPr>
            </w:pPr>
            <w:r>
              <w:rPr>
                <w:rFonts w:ascii="Times New Roman" w:hAnsi="Times New Roman"/>
                <w:b/>
                <w:color w:val="222222"/>
                <w:sz w:val="20"/>
                <w:szCs w:val="20"/>
              </w:rPr>
              <w:t>Inde</w:t>
            </w:r>
          </w:p>
        </w:tc>
        <w:tc>
          <w:tcPr>
            <w:tcW w:w="857"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1F4FDFA6"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
        </w:tc>
        <w:tc>
          <w:tcPr>
            <w:tcW w:w="3209"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56439E46"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
        </w:tc>
      </w:tr>
      <w:tr w:rsidR="00944847" w14:paraId="3E850B51"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0F4F8"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hyperlink r:id="rId24" w:history="1">
              <w:r>
                <w:rPr>
                  <w:rStyle w:val="Hyperlink"/>
                  <w:rFonts w:ascii="Times New Roman" w:hAnsi="Times New Roman"/>
                  <w:sz w:val="20"/>
                  <w:szCs w:val="20"/>
                </w:rPr>
                <w:t>SC/68A/CMP/10</w:t>
              </w:r>
            </w:hyperlink>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2C1DC"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roofErr w:type="spellStart"/>
            <w:r>
              <w:rPr>
                <w:rFonts w:ascii="Times New Roman" w:hAnsi="Times New Roman"/>
                <w:color w:val="222222"/>
                <w:sz w:val="20"/>
                <w:szCs w:val="20"/>
              </w:rPr>
              <w:t>Sutaria</w:t>
            </w:r>
            <w:proofErr w:type="spellEnd"/>
            <w:r>
              <w:rPr>
                <w:rFonts w:ascii="Times New Roman" w:hAnsi="Times New Roman"/>
                <w:color w:val="222222"/>
                <w:sz w:val="20"/>
                <w:szCs w:val="20"/>
              </w:rPr>
              <w:t xml:space="preserve"> </w:t>
            </w:r>
          </w:p>
        </w:tc>
        <w:tc>
          <w:tcPr>
            <w:tcW w:w="32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3E0D3" w14:textId="77777777" w:rsidR="00944847" w:rsidRPr="00944847" w:rsidRDefault="00944847" w:rsidP="00944847">
            <w:pPr>
              <w:spacing w:after="0" w:line="240" w:lineRule="auto"/>
              <w:ind w:left="-99"/>
              <w:rPr>
                <w:rFonts w:ascii="Times New Roman" w:eastAsia="Times New Roman" w:hAnsi="Times New Roman" w:cs="Times New Roman"/>
                <w:i/>
                <w:color w:val="222222"/>
                <w:sz w:val="20"/>
                <w:szCs w:val="20"/>
                <w:lang w:val="en-GB"/>
              </w:rPr>
            </w:pPr>
            <w:r w:rsidRPr="00944847">
              <w:rPr>
                <w:rFonts w:ascii="Times New Roman" w:hAnsi="Times New Roman"/>
                <w:i/>
                <w:color w:val="222222"/>
                <w:sz w:val="20"/>
                <w:szCs w:val="20"/>
                <w:lang w:val="en-GB"/>
              </w:rPr>
              <w:t>A report on baleen whale records and recent developments in marine mammal research and conservation policy - update from India</w:t>
            </w:r>
          </w:p>
        </w:tc>
      </w:tr>
      <w:tr w:rsidR="00944847" w14:paraId="7B6F2C8E"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hideMark/>
          </w:tcPr>
          <w:p w14:paraId="110FF7B3" w14:textId="77777777" w:rsidR="00944847" w:rsidRDefault="00944847" w:rsidP="00944847">
            <w:pPr>
              <w:spacing w:after="0" w:line="240" w:lineRule="auto"/>
              <w:ind w:left="-99"/>
              <w:rPr>
                <w:rFonts w:ascii="Times New Roman" w:eastAsia="Times New Roman" w:hAnsi="Times New Roman" w:cs="Times New Roman"/>
                <w:b/>
                <w:color w:val="222222"/>
                <w:sz w:val="20"/>
                <w:szCs w:val="20"/>
              </w:rPr>
            </w:pPr>
            <w:r>
              <w:rPr>
                <w:rFonts w:ascii="Times New Roman" w:hAnsi="Times New Roman"/>
                <w:b/>
                <w:color w:val="222222"/>
                <w:sz w:val="20"/>
                <w:szCs w:val="20"/>
              </w:rPr>
              <w:t>Régional</w:t>
            </w:r>
          </w:p>
        </w:tc>
        <w:tc>
          <w:tcPr>
            <w:tcW w:w="857"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2C9E3644"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
        </w:tc>
        <w:tc>
          <w:tcPr>
            <w:tcW w:w="3209" w:type="pct"/>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vAlign w:val="center"/>
          </w:tcPr>
          <w:p w14:paraId="4C9496EF" w14:textId="77777777" w:rsidR="00944847" w:rsidRDefault="00944847" w:rsidP="00944847">
            <w:pPr>
              <w:spacing w:after="0" w:line="240" w:lineRule="auto"/>
              <w:ind w:left="-99"/>
              <w:rPr>
                <w:rFonts w:ascii="Times New Roman" w:eastAsia="Times New Roman" w:hAnsi="Times New Roman" w:cs="Times New Roman"/>
                <w:i/>
                <w:sz w:val="20"/>
                <w:szCs w:val="20"/>
              </w:rPr>
            </w:pPr>
          </w:p>
        </w:tc>
      </w:tr>
      <w:tr w:rsidR="00944847" w14:paraId="2EEC5A54"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D4CB4"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r>
              <w:rPr>
                <w:rFonts w:ascii="Times New Roman" w:hAnsi="Times New Roman"/>
                <w:color w:val="222222"/>
                <w:sz w:val="20"/>
                <w:szCs w:val="20"/>
              </w:rPr>
              <w:t>SC/68A/INFO/16</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47ED0"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roofErr w:type="spellStart"/>
            <w:r>
              <w:rPr>
                <w:rFonts w:ascii="Times New Roman" w:hAnsi="Times New Roman"/>
                <w:color w:val="222222"/>
                <w:sz w:val="20"/>
                <w:szCs w:val="20"/>
              </w:rPr>
              <w:t>Minton</w:t>
            </w:r>
            <w:proofErr w:type="spellEnd"/>
          </w:p>
        </w:tc>
        <w:tc>
          <w:tcPr>
            <w:tcW w:w="32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C1E148" w14:textId="77777777" w:rsidR="00944847" w:rsidRDefault="00944847" w:rsidP="00944847">
            <w:pPr>
              <w:spacing w:after="0" w:line="240" w:lineRule="auto"/>
              <w:ind w:left="-99"/>
              <w:rPr>
                <w:rFonts w:ascii="Times New Roman" w:eastAsia="Times New Roman" w:hAnsi="Times New Roman" w:cs="Times New Roman"/>
                <w:bCs/>
                <w:i/>
                <w:sz w:val="20"/>
                <w:szCs w:val="20"/>
              </w:rPr>
            </w:pPr>
            <w:r>
              <w:rPr>
                <w:rFonts w:ascii="Times New Roman" w:hAnsi="Times New Roman"/>
                <w:bCs/>
                <w:i/>
                <w:sz w:val="20"/>
                <w:szCs w:val="20"/>
              </w:rPr>
              <w:t xml:space="preserve">ASWN Newsletter, Issue 3, </w:t>
            </w:r>
            <w:proofErr w:type="spellStart"/>
            <w:r>
              <w:rPr>
                <w:rFonts w:ascii="Times New Roman" w:hAnsi="Times New Roman"/>
                <w:bCs/>
                <w:i/>
                <w:sz w:val="20"/>
                <w:szCs w:val="20"/>
              </w:rPr>
              <w:t>October</w:t>
            </w:r>
            <w:proofErr w:type="spellEnd"/>
            <w:r>
              <w:rPr>
                <w:rFonts w:ascii="Times New Roman" w:hAnsi="Times New Roman"/>
                <w:bCs/>
                <w:i/>
                <w:sz w:val="20"/>
                <w:szCs w:val="20"/>
              </w:rPr>
              <w:t xml:space="preserve"> 2018</w:t>
            </w:r>
          </w:p>
        </w:tc>
      </w:tr>
      <w:tr w:rsidR="00944847" w14:paraId="43CB380A" w14:textId="77777777" w:rsidTr="00944847">
        <w:tc>
          <w:tcPr>
            <w:tcW w:w="93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213D2"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hyperlink r:id="rId25" w:history="1">
              <w:r>
                <w:rPr>
                  <w:rStyle w:val="Hyperlink"/>
                  <w:rFonts w:ascii="Times New Roman" w:hAnsi="Times New Roman"/>
                  <w:sz w:val="20"/>
                  <w:szCs w:val="20"/>
                </w:rPr>
                <w:t>SC/68A/SH/07</w:t>
              </w:r>
            </w:hyperlink>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F27D2" w14:textId="77777777" w:rsidR="00944847" w:rsidRDefault="00944847" w:rsidP="00944847">
            <w:pPr>
              <w:spacing w:after="0" w:line="240" w:lineRule="auto"/>
              <w:ind w:left="-99"/>
              <w:rPr>
                <w:rFonts w:ascii="Times New Roman" w:eastAsia="Times New Roman" w:hAnsi="Times New Roman" w:cs="Times New Roman"/>
                <w:color w:val="222222"/>
                <w:sz w:val="20"/>
                <w:szCs w:val="20"/>
              </w:rPr>
            </w:pPr>
            <w:proofErr w:type="spellStart"/>
            <w:r>
              <w:rPr>
                <w:rFonts w:ascii="Times New Roman" w:hAnsi="Times New Roman"/>
                <w:color w:val="222222"/>
                <w:sz w:val="20"/>
                <w:szCs w:val="20"/>
              </w:rPr>
              <w:t>Holmberg</w:t>
            </w:r>
            <w:proofErr w:type="spellEnd"/>
            <w:r>
              <w:rPr>
                <w:rFonts w:ascii="Times New Roman" w:hAnsi="Times New Roman"/>
                <w:color w:val="222222"/>
                <w:sz w:val="20"/>
                <w:szCs w:val="20"/>
              </w:rPr>
              <w:t xml:space="preserve"> et al.</w:t>
            </w:r>
          </w:p>
        </w:tc>
        <w:tc>
          <w:tcPr>
            <w:tcW w:w="320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77689" w14:textId="77777777" w:rsidR="00944847" w:rsidRPr="00944847" w:rsidRDefault="00944847" w:rsidP="00944847">
            <w:pPr>
              <w:spacing w:after="0" w:line="240" w:lineRule="auto"/>
              <w:ind w:left="-99"/>
              <w:rPr>
                <w:rFonts w:ascii="Times New Roman" w:eastAsia="Times New Roman" w:hAnsi="Times New Roman" w:cs="Times New Roman"/>
                <w:i/>
                <w:sz w:val="20"/>
                <w:szCs w:val="20"/>
                <w:lang w:val="en-GB"/>
              </w:rPr>
            </w:pPr>
            <w:proofErr w:type="spellStart"/>
            <w:r w:rsidRPr="00944847">
              <w:rPr>
                <w:rFonts w:ascii="Times New Roman" w:hAnsi="Times New Roman"/>
                <w:i/>
                <w:sz w:val="20"/>
                <w:szCs w:val="20"/>
                <w:lang w:val="en-GB"/>
              </w:rPr>
              <w:t>Flukebook</w:t>
            </w:r>
            <w:proofErr w:type="spellEnd"/>
            <w:r w:rsidRPr="00944847">
              <w:rPr>
                <w:rFonts w:ascii="Times New Roman" w:hAnsi="Times New Roman"/>
                <w:i/>
                <w:sz w:val="20"/>
                <w:szCs w:val="20"/>
                <w:lang w:val="en-GB"/>
              </w:rPr>
              <w:t xml:space="preserve"> – A tool for cetacean photo identification, data archiving and automated fluke matching</w:t>
            </w:r>
          </w:p>
        </w:tc>
      </w:tr>
    </w:tbl>
    <w:p w14:paraId="6631C267" w14:textId="77777777" w:rsidR="00944847" w:rsidRPr="00944847" w:rsidRDefault="00944847" w:rsidP="00944847">
      <w:pPr>
        <w:shd w:val="clear" w:color="auto" w:fill="FFFFFF"/>
        <w:spacing w:after="0" w:line="240" w:lineRule="auto"/>
        <w:rPr>
          <w:rFonts w:ascii="Times New Roman" w:eastAsia="Times New Roman" w:hAnsi="Times New Roman" w:cstheme="minorHAnsi"/>
          <w:color w:val="222222"/>
          <w:sz w:val="20"/>
          <w:szCs w:val="20"/>
          <w:lang w:val="en-GB"/>
        </w:rPr>
      </w:pPr>
      <w:r w:rsidRPr="00944847">
        <w:rPr>
          <w:rFonts w:ascii="Times New Roman" w:hAnsi="Times New Roman"/>
          <w:color w:val="222222"/>
          <w:sz w:val="20"/>
          <w:szCs w:val="20"/>
          <w:lang w:val="en-GB"/>
        </w:rPr>
        <w:t> </w:t>
      </w:r>
    </w:p>
    <w:p w14:paraId="1DFBE367" w14:textId="77777777" w:rsidR="00944847" w:rsidRDefault="00944847" w:rsidP="00944847">
      <w:pPr>
        <w:pStyle w:val="ListParagraph"/>
        <w:numPr>
          <w:ilvl w:val="0"/>
          <w:numId w:val="28"/>
        </w:numPr>
        <w:spacing w:before="120" w:after="120" w:line="266" w:lineRule="auto"/>
        <w:rPr>
          <w:rFonts w:ascii="Times New Roman" w:eastAsia="Times New Roman" w:hAnsi="Times New Roman" w:cs="Times New Roman"/>
          <w:b/>
          <w:sz w:val="28"/>
          <w:szCs w:val="28"/>
        </w:rPr>
      </w:pPr>
      <w:r>
        <w:rPr>
          <w:rFonts w:ascii="Times New Roman" w:hAnsi="Times New Roman"/>
          <w:b/>
          <w:sz w:val="28"/>
          <w:szCs w:val="28"/>
        </w:rPr>
        <w:t>Activités et faits nouveaux à l’échelle régionale</w:t>
      </w:r>
    </w:p>
    <w:p w14:paraId="634FB52A" w14:textId="77777777" w:rsidR="00944847" w:rsidRDefault="00944847" w:rsidP="00944847">
      <w:pPr>
        <w:spacing w:before="120" w:after="120" w:line="266" w:lineRule="auto"/>
        <w:rPr>
          <w:rFonts w:ascii="Times New Roman" w:eastAsia="Times New Roman" w:hAnsi="Times New Roman" w:cs="Times New Roman"/>
          <w:b/>
          <w:sz w:val="24"/>
          <w:szCs w:val="24"/>
        </w:rPr>
      </w:pPr>
      <w:r>
        <w:rPr>
          <w:rFonts w:ascii="Times New Roman" w:hAnsi="Times New Roman"/>
          <w:b/>
          <w:sz w:val="24"/>
          <w:szCs w:val="24"/>
        </w:rPr>
        <w:t>3.1 Communication au sein du Réseau</w:t>
      </w:r>
    </w:p>
    <w:p w14:paraId="03E608CB"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Les membres de l’ASWN restent assez régulièrement en contact grâce à une liste de diffusion de groupe, qui permet de partager des nouvelles entre les membres, ainsi que pour annoncer des réunions importantes, des opportunités de financement, de nouvelles publications et ressources, etc.</w:t>
      </w:r>
    </w:p>
    <w:p w14:paraId="2AEC02E1" w14:textId="77777777" w:rsidR="00944847" w:rsidRDefault="00944847" w:rsidP="00944847">
      <w:pPr>
        <w:jc w:val="both"/>
        <w:rPr>
          <w:rFonts w:ascii="Times New Roman" w:eastAsia="Times New Roman" w:hAnsi="Times New Roman" w:cs="Times New Roman"/>
          <w:bCs/>
          <w:sz w:val="24"/>
          <w:szCs w:val="24"/>
        </w:rPr>
      </w:pPr>
      <w:r>
        <w:rPr>
          <w:rFonts w:ascii="Times New Roman" w:hAnsi="Times New Roman"/>
          <w:bCs/>
          <w:sz w:val="24"/>
          <w:szCs w:val="24"/>
        </w:rPr>
        <w:t xml:space="preserve">Le </w:t>
      </w:r>
      <w:r>
        <w:rPr>
          <w:rStyle w:val="Hyperlink"/>
          <w:rFonts w:ascii="Times New Roman" w:hAnsi="Times New Roman"/>
          <w:bCs/>
          <w:sz w:val="24"/>
          <w:szCs w:val="24"/>
        </w:rPr>
        <w:t>site Web de l’ASWN</w:t>
      </w:r>
      <w:r>
        <w:rPr>
          <w:rFonts w:ascii="Times New Roman" w:hAnsi="Times New Roman"/>
          <w:bCs/>
          <w:sz w:val="24"/>
          <w:szCs w:val="24"/>
        </w:rPr>
        <w:t xml:space="preserve"> est mis à jour régulièrement (environ une fois par mois) par l’ajout de </w:t>
      </w:r>
      <w:hyperlink r:id="rId26" w:history="1">
        <w:r>
          <w:rPr>
            <w:rStyle w:val="Hyperlink"/>
            <w:rFonts w:ascii="Times New Roman" w:hAnsi="Times New Roman"/>
            <w:bCs/>
            <w:sz w:val="24"/>
            <w:szCs w:val="24"/>
          </w:rPr>
          <w:t>nouveaux éléments</w:t>
        </w:r>
      </w:hyperlink>
      <w:r>
        <w:rPr>
          <w:rFonts w:ascii="Times New Roman" w:hAnsi="Times New Roman"/>
          <w:bCs/>
          <w:sz w:val="24"/>
          <w:szCs w:val="24"/>
        </w:rPr>
        <w:t xml:space="preserve">, notamment les nouvelles publications, les résultats des ateliers, et les faits </w:t>
      </w:r>
      <w:r>
        <w:rPr>
          <w:rFonts w:ascii="Times New Roman" w:hAnsi="Times New Roman"/>
          <w:bCs/>
          <w:sz w:val="24"/>
          <w:szCs w:val="24"/>
        </w:rPr>
        <w:lastRenderedPageBreak/>
        <w:t xml:space="preserve">nouveaux dignes d’intérêt dans les États de l’aire de répartition de baleine à bosse de la mer d’Arabie (déclarations de nouvelles aires marines protégées, observations inhabituelles de baleines à bosse de la mer d’Arabie, autres espèces, etc.). Un </w:t>
      </w:r>
      <w:hyperlink r:id="rId27" w:history="1">
        <w:r>
          <w:rPr>
            <w:rStyle w:val="Hyperlink"/>
            <w:rFonts w:ascii="Times New Roman" w:hAnsi="Times New Roman"/>
            <w:bCs/>
            <w:sz w:val="24"/>
            <w:szCs w:val="24"/>
          </w:rPr>
          <w:t>bulletin d’information</w:t>
        </w:r>
      </w:hyperlink>
      <w:r>
        <w:rPr>
          <w:rFonts w:ascii="Times New Roman" w:hAnsi="Times New Roman"/>
          <w:bCs/>
          <w:sz w:val="24"/>
          <w:szCs w:val="24"/>
        </w:rPr>
        <w:t xml:space="preserve"> résumant les activités de nombreux membres de l’ASWN a été produit en octobre 2018. Ce document a été soumis sous la cote SC/68A/INFO/16. </w:t>
      </w:r>
    </w:p>
    <w:p w14:paraId="3B372EE1"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Ce travail est facilité par un coordonnateur à temps partiel, dont le poste a été financé tour à tour par Emirates </w:t>
      </w:r>
      <w:proofErr w:type="spellStart"/>
      <w:r>
        <w:rPr>
          <w:rFonts w:ascii="Times New Roman" w:hAnsi="Times New Roman"/>
          <w:bCs/>
          <w:sz w:val="24"/>
          <w:szCs w:val="24"/>
        </w:rPr>
        <w:t>Wildlife</w:t>
      </w:r>
      <w:proofErr w:type="spellEnd"/>
      <w:r>
        <w:rPr>
          <w:rFonts w:ascii="Times New Roman" w:hAnsi="Times New Roman"/>
          <w:bCs/>
          <w:sz w:val="24"/>
          <w:szCs w:val="24"/>
        </w:rPr>
        <w:t>/WWF UAE et WWF Pakistan au cours des quatre dernières années.</w:t>
      </w:r>
    </w:p>
    <w:p w14:paraId="4F0E4FF8" w14:textId="77777777" w:rsidR="00944847" w:rsidRDefault="00944847" w:rsidP="00944847">
      <w:pPr>
        <w:spacing w:before="120" w:after="120" w:line="266" w:lineRule="auto"/>
        <w:jc w:val="both"/>
        <w:rPr>
          <w:rFonts w:ascii="Times New Roman" w:eastAsia="Times New Roman" w:hAnsi="Times New Roman" w:cs="Times New Roman"/>
          <w:b/>
          <w:bCs/>
          <w:sz w:val="24"/>
          <w:szCs w:val="24"/>
        </w:rPr>
      </w:pPr>
      <w:r>
        <w:rPr>
          <w:rFonts w:ascii="Times New Roman" w:hAnsi="Times New Roman"/>
          <w:b/>
          <w:bCs/>
          <w:sz w:val="24"/>
          <w:szCs w:val="24"/>
        </w:rPr>
        <w:t>3.2 Base de données régionale</w:t>
      </w:r>
    </w:p>
    <w:p w14:paraId="731EBBF3"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En janvier, le Réseau des baleines de la mer d’Arabie a pu déployer complètement </w:t>
      </w:r>
      <w:r>
        <w:rPr>
          <w:rFonts w:ascii="Times New Roman" w:hAnsi="Times New Roman"/>
          <w:b/>
          <w:bCs/>
          <w:sz w:val="24"/>
          <w:szCs w:val="24"/>
        </w:rPr>
        <w:t>la base de données régionale</w:t>
      </w:r>
      <w:r>
        <w:rPr>
          <w:rFonts w:ascii="Times New Roman" w:hAnsi="Times New Roman"/>
          <w:bCs/>
          <w:sz w:val="24"/>
          <w:szCs w:val="24"/>
        </w:rPr>
        <w:t xml:space="preserve"> en ligne développée au moyen de la plateforme </w:t>
      </w:r>
      <w:hyperlink r:id="rId28" w:history="1">
        <w:proofErr w:type="spellStart"/>
        <w:r>
          <w:rPr>
            <w:rStyle w:val="Hyperlink"/>
            <w:rFonts w:ascii="Times New Roman" w:hAnsi="Times New Roman"/>
            <w:bCs/>
            <w:sz w:val="24"/>
            <w:szCs w:val="24"/>
          </w:rPr>
          <w:t>Flukebook</w:t>
        </w:r>
        <w:proofErr w:type="spellEnd"/>
      </w:hyperlink>
      <w:r>
        <w:rPr>
          <w:rFonts w:ascii="Times New Roman" w:hAnsi="Times New Roman"/>
          <w:bCs/>
          <w:sz w:val="24"/>
          <w:szCs w:val="24"/>
        </w:rPr>
        <w:t xml:space="preserve"> et financée en partie par le Comité scientifique de la Commission baleinière internationale (CBI). Cette base de données est accessible via </w:t>
      </w:r>
      <w:hyperlink r:id="rId29" w:history="1">
        <w:r>
          <w:rPr>
            <w:rStyle w:val="Hyperlink"/>
            <w:rFonts w:ascii="Times New Roman" w:hAnsi="Times New Roman"/>
            <w:bCs/>
            <w:sz w:val="24"/>
            <w:szCs w:val="24"/>
          </w:rPr>
          <w:t>une page dédiée</w:t>
        </w:r>
      </w:hyperlink>
      <w:r>
        <w:rPr>
          <w:rFonts w:ascii="Times New Roman" w:hAnsi="Times New Roman"/>
          <w:bCs/>
          <w:sz w:val="24"/>
          <w:szCs w:val="24"/>
        </w:rPr>
        <w:t xml:space="preserve"> figurant sur le site Web de l’ASWN. Cette page fournit des instructions pour la création d’un compte, ainsi que des liens vers des vidéos qui indiquent comment effectuer des recherches de données et des appariements sur la plateforme. À ce jour, les ensembles de données suivants ont été importés sur la plateforme et sont entièrement consultables, et seuls les propriétaires de données et les personnes avec lesquelles ils choisissent de conclure des accords de partage de données peuvent y avoir accès :</w:t>
      </w:r>
    </w:p>
    <w:p w14:paraId="7D1D57D4" w14:textId="77777777" w:rsidR="00944847" w:rsidRDefault="00944847" w:rsidP="00944847">
      <w:pPr>
        <w:pStyle w:val="ListParagraph"/>
        <w:numPr>
          <w:ilvl w:val="0"/>
          <w:numId w:val="29"/>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La base de données sur les observations de cétacés d’Oman, avec toutes les observations de cétacés en direct documentées par des chercheurs indépendants et des chercheurs affiliés à l’</w:t>
      </w:r>
      <w:proofErr w:type="spellStart"/>
      <w:r>
        <w:rPr>
          <w:rFonts w:ascii="Times New Roman" w:hAnsi="Times New Roman"/>
          <w:bCs/>
          <w:sz w:val="24"/>
          <w:szCs w:val="24"/>
        </w:rPr>
        <w:t>Environment</w:t>
      </w:r>
      <w:proofErr w:type="spellEnd"/>
      <w:r>
        <w:rPr>
          <w:rFonts w:ascii="Times New Roman" w:hAnsi="Times New Roman"/>
          <w:bCs/>
          <w:sz w:val="24"/>
          <w:szCs w:val="24"/>
        </w:rPr>
        <w:t xml:space="preserve"> Society of Oman jusqu’en 2017. Cette base de données regroupe plus de 2 300 observations et métadonnées connexes (lieu, date, heure, espèce, taille du groupe, comportement, profondeur de l’eau, etc.) ;</w:t>
      </w:r>
    </w:p>
    <w:p w14:paraId="69BF5846" w14:textId="77777777" w:rsidR="00944847" w:rsidRDefault="00944847" w:rsidP="00944847">
      <w:pPr>
        <w:pStyle w:val="ListParagraph"/>
        <w:numPr>
          <w:ilvl w:val="0"/>
          <w:numId w:val="29"/>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Le catalogue de photo-identification des baleines à bosse d’Oman, qui est rattaché aux observations ci-dessus. Toujours placé sous la responsabilité de l’</w:t>
      </w:r>
      <w:proofErr w:type="spellStart"/>
      <w:r>
        <w:rPr>
          <w:rFonts w:ascii="Times New Roman" w:hAnsi="Times New Roman"/>
          <w:bCs/>
          <w:sz w:val="24"/>
          <w:szCs w:val="24"/>
        </w:rPr>
        <w:t>Environment</w:t>
      </w:r>
      <w:proofErr w:type="spellEnd"/>
      <w:r>
        <w:rPr>
          <w:rFonts w:ascii="Times New Roman" w:hAnsi="Times New Roman"/>
          <w:bCs/>
          <w:sz w:val="24"/>
          <w:szCs w:val="24"/>
        </w:rPr>
        <w:t xml:space="preserve"> Society of Oman, cet ensemble de données comprend des images d’au plus 133 individus qui ont été photographiés entre 1985 et 2017, et dont 83 ont été représentés par une photo de bonne ou d’excellente qualité à un moment donné pendant l’observation. Il s’agit du décompte le plus prudent du nombre d’individus figurant dans le catalogue, car les « individus » représentés par des photographies de mauvaise qualité de la nageoire caudale ou avec des nageoires dorsales non distinctes pourraient en théorie être similaires aux autres individus. Les algorithmes de vision par ordinateur disponibles sur </w:t>
      </w:r>
      <w:proofErr w:type="spellStart"/>
      <w:r>
        <w:rPr>
          <w:rFonts w:ascii="Times New Roman" w:hAnsi="Times New Roman"/>
          <w:bCs/>
          <w:sz w:val="24"/>
          <w:szCs w:val="24"/>
        </w:rPr>
        <w:t>Flukebook</w:t>
      </w:r>
      <w:proofErr w:type="spellEnd"/>
      <w:r>
        <w:rPr>
          <w:rFonts w:ascii="Times New Roman" w:hAnsi="Times New Roman"/>
          <w:bCs/>
          <w:sz w:val="24"/>
          <w:szCs w:val="24"/>
        </w:rPr>
        <w:t xml:space="preserve"> ont été utilisés pour valider la correspondance manuelle effectuée avec les photos de la queue dans le catalogue d’origine, et aucun faux négatif n’a été détecté.</w:t>
      </w:r>
    </w:p>
    <w:p w14:paraId="6CAA63CC" w14:textId="77777777" w:rsidR="00944847" w:rsidRDefault="00944847" w:rsidP="00944847">
      <w:pPr>
        <w:pStyle w:val="ListParagraph"/>
        <w:numPr>
          <w:ilvl w:val="0"/>
          <w:numId w:val="29"/>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Toutes les observations de cétacés enregistrées dans </w:t>
      </w:r>
      <w:hyperlink r:id="rId30" w:history="1">
        <w:r>
          <w:rPr>
            <w:rStyle w:val="Hyperlink"/>
            <w:rFonts w:ascii="Times New Roman" w:hAnsi="Times New Roman"/>
            <w:bCs/>
            <w:sz w:val="24"/>
            <w:szCs w:val="24"/>
          </w:rPr>
          <w:t>la base de données sur les mammifères marins de l’Inde</w:t>
        </w:r>
      </w:hyperlink>
      <w:r>
        <w:rPr>
          <w:rFonts w:ascii="Times New Roman" w:hAnsi="Times New Roman"/>
          <w:bCs/>
          <w:sz w:val="24"/>
          <w:szCs w:val="24"/>
        </w:rPr>
        <w:t>.</w:t>
      </w:r>
    </w:p>
    <w:p w14:paraId="5FC3784D" w14:textId="77777777" w:rsidR="00944847" w:rsidRDefault="00944847" w:rsidP="00944847">
      <w:pPr>
        <w:pStyle w:val="ListParagraph"/>
        <w:numPr>
          <w:ilvl w:val="0"/>
          <w:numId w:val="29"/>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Un petit nombre de photos opportunistes de la nageoire dorsale et de la queue de baleine à bosse du Sri Lanka, rassemblées par </w:t>
      </w:r>
      <w:proofErr w:type="spellStart"/>
      <w:r>
        <w:rPr>
          <w:rFonts w:ascii="Times New Roman" w:hAnsi="Times New Roman"/>
          <w:bCs/>
          <w:sz w:val="24"/>
          <w:szCs w:val="24"/>
        </w:rPr>
        <w:t>Asha</w:t>
      </w:r>
      <w:proofErr w:type="spellEnd"/>
      <w:r>
        <w:rPr>
          <w:rFonts w:ascii="Times New Roman" w:hAnsi="Times New Roman"/>
          <w:bCs/>
          <w:sz w:val="24"/>
          <w:szCs w:val="24"/>
        </w:rPr>
        <w:t xml:space="preserve"> de Vos. La chronologie de la plupart des observations représentées sur ces photos correspondait à celle des populations de l’hémisphère sud, et aucune des photos ne correspondait à celles du catalogue omanais.</w:t>
      </w:r>
    </w:p>
    <w:p w14:paraId="68EB1117" w14:textId="77777777" w:rsidR="00944847" w:rsidRDefault="00944847" w:rsidP="00944847">
      <w:pPr>
        <w:pStyle w:val="ListParagraph"/>
        <w:numPr>
          <w:ilvl w:val="0"/>
          <w:numId w:val="29"/>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Toutes les observations de grandes baleines compilées dans le cadre du </w:t>
      </w:r>
      <w:hyperlink r:id="rId31" w:history="1">
        <w:r>
          <w:rPr>
            <w:rStyle w:val="Hyperlink"/>
            <w:rFonts w:ascii="Times New Roman" w:hAnsi="Times New Roman"/>
            <w:bCs/>
            <w:sz w:val="24"/>
            <w:szCs w:val="24"/>
          </w:rPr>
          <w:t>programme d’observation basé sur l’équipage du WWF Pakistan</w:t>
        </w:r>
      </w:hyperlink>
      <w:r>
        <w:rPr>
          <w:rFonts w:ascii="Times New Roman" w:hAnsi="Times New Roman"/>
          <w:bCs/>
          <w:sz w:val="24"/>
          <w:szCs w:val="24"/>
        </w:rPr>
        <w:t>.</w:t>
      </w:r>
    </w:p>
    <w:p w14:paraId="1CFB8782"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Les faits nouveaux du Réseau des baleines de la mer d’Arabie disponible sur </w:t>
      </w:r>
      <w:proofErr w:type="spellStart"/>
      <w:r>
        <w:rPr>
          <w:rFonts w:ascii="Times New Roman" w:hAnsi="Times New Roman"/>
          <w:bCs/>
          <w:sz w:val="24"/>
          <w:szCs w:val="24"/>
        </w:rPr>
        <w:t>Flukebook</w:t>
      </w:r>
      <w:proofErr w:type="spellEnd"/>
      <w:r>
        <w:rPr>
          <w:rFonts w:ascii="Times New Roman" w:hAnsi="Times New Roman"/>
          <w:bCs/>
          <w:sz w:val="24"/>
          <w:szCs w:val="24"/>
        </w:rPr>
        <w:t xml:space="preserve"> ont été étroitement coordonnés avec le Réseau de recherche sur les cétacés de l’océan Indien (</w:t>
      </w:r>
      <w:proofErr w:type="spellStart"/>
      <w:r>
        <w:rPr>
          <w:rStyle w:val="Hyperlink"/>
          <w:rFonts w:ascii="Times New Roman" w:eastAsia="Times New Roman" w:hAnsi="Times New Roman" w:cs="Times New Roman"/>
          <w:bCs/>
          <w:sz w:val="24"/>
          <w:szCs w:val="24"/>
        </w:rPr>
        <w:fldChar w:fldCharType="begin"/>
      </w:r>
      <w:r>
        <w:rPr>
          <w:rStyle w:val="Hyperlink"/>
          <w:rFonts w:ascii="Times New Roman" w:eastAsia="Times New Roman" w:hAnsi="Times New Roman" w:cs="Times New Roman"/>
          <w:bCs/>
          <w:sz w:val="24"/>
          <w:szCs w:val="24"/>
        </w:rPr>
        <w:instrText xml:space="preserve"> HYPERLINK "http://indocet.org/" </w:instrText>
      </w:r>
      <w:r>
        <w:rPr>
          <w:rStyle w:val="Hyperlink"/>
          <w:rFonts w:ascii="Times New Roman" w:eastAsia="Times New Roman" w:hAnsi="Times New Roman" w:cs="Times New Roman"/>
          <w:bCs/>
          <w:sz w:val="24"/>
          <w:szCs w:val="24"/>
        </w:rPr>
        <w:fldChar w:fldCharType="separate"/>
      </w:r>
      <w:r>
        <w:rPr>
          <w:rStyle w:val="Hyperlink"/>
          <w:rFonts w:ascii="Times New Roman" w:hAnsi="Times New Roman"/>
          <w:bCs/>
          <w:sz w:val="24"/>
          <w:szCs w:val="24"/>
        </w:rPr>
        <w:t>Indocet</w:t>
      </w:r>
      <w:proofErr w:type="spellEnd"/>
      <w:r>
        <w:rPr>
          <w:rStyle w:val="Hyperlink"/>
          <w:rFonts w:ascii="Times New Roman" w:eastAsia="Times New Roman" w:hAnsi="Times New Roman" w:cs="Times New Roman"/>
          <w:bCs/>
          <w:sz w:val="24"/>
          <w:szCs w:val="24"/>
        </w:rPr>
        <w:fldChar w:fldCharType="end"/>
      </w:r>
      <w:r>
        <w:rPr>
          <w:rFonts w:ascii="Times New Roman" w:hAnsi="Times New Roman"/>
          <w:bCs/>
          <w:sz w:val="24"/>
          <w:szCs w:val="24"/>
        </w:rPr>
        <w:t xml:space="preserve">), </w:t>
      </w:r>
      <w:r>
        <w:rPr>
          <w:rFonts w:ascii="Times New Roman" w:hAnsi="Times New Roman"/>
          <w:bCs/>
          <w:sz w:val="24"/>
          <w:szCs w:val="24"/>
        </w:rPr>
        <w:lastRenderedPageBreak/>
        <w:t xml:space="preserve">qui a également collaboré avec </w:t>
      </w:r>
      <w:proofErr w:type="spellStart"/>
      <w:r>
        <w:rPr>
          <w:rFonts w:ascii="Times New Roman" w:hAnsi="Times New Roman"/>
          <w:bCs/>
          <w:sz w:val="24"/>
          <w:szCs w:val="24"/>
        </w:rPr>
        <w:t>Flukebook</w:t>
      </w:r>
      <w:proofErr w:type="spellEnd"/>
      <w:r>
        <w:rPr>
          <w:rFonts w:ascii="Times New Roman" w:hAnsi="Times New Roman"/>
          <w:bCs/>
          <w:sz w:val="24"/>
          <w:szCs w:val="24"/>
        </w:rPr>
        <w:t xml:space="preserve"> pour développer sa base de données régionale et sa plateforme d’appariement des baleines à bosse. Le document </w:t>
      </w:r>
      <w:hyperlink r:id="rId32" w:history="1">
        <w:r>
          <w:rPr>
            <w:rStyle w:val="Hyperlink"/>
            <w:rFonts w:ascii="Times New Roman" w:hAnsi="Times New Roman"/>
            <w:sz w:val="20"/>
            <w:szCs w:val="20"/>
          </w:rPr>
          <w:t>SC/68A/SH/07</w:t>
        </w:r>
      </w:hyperlink>
      <w:r>
        <w:rPr>
          <w:rFonts w:ascii="Times New Roman" w:hAnsi="Times New Roman"/>
          <w:bCs/>
          <w:sz w:val="24"/>
          <w:szCs w:val="24"/>
        </w:rPr>
        <w:t xml:space="preserve"> fournit plus de détails sur la plateforme de données d’ASWN sur </w:t>
      </w:r>
      <w:proofErr w:type="spellStart"/>
      <w:r>
        <w:rPr>
          <w:rFonts w:ascii="Times New Roman" w:hAnsi="Times New Roman"/>
          <w:bCs/>
          <w:sz w:val="24"/>
          <w:szCs w:val="24"/>
        </w:rPr>
        <w:t>Flukebook</w:t>
      </w:r>
      <w:proofErr w:type="spellEnd"/>
      <w:r>
        <w:rPr>
          <w:rFonts w:ascii="Times New Roman" w:hAnsi="Times New Roman"/>
          <w:bCs/>
          <w:sz w:val="24"/>
          <w:szCs w:val="24"/>
        </w:rPr>
        <w:t>.</w:t>
      </w:r>
    </w:p>
    <w:p w14:paraId="788A4C22" w14:textId="77777777" w:rsidR="00944847" w:rsidRPr="00944847" w:rsidRDefault="00944847" w:rsidP="00944847">
      <w:pPr>
        <w:spacing w:before="120" w:after="120" w:line="266" w:lineRule="auto"/>
        <w:jc w:val="both"/>
        <w:rPr>
          <w:rFonts w:ascii="Times New Roman" w:eastAsia="Times New Roman" w:hAnsi="Times New Roman" w:cs="Times New Roman"/>
          <w:bCs/>
          <w:sz w:val="24"/>
          <w:szCs w:val="24"/>
          <w:lang w:eastAsia="en-GB"/>
        </w:rPr>
      </w:pPr>
    </w:p>
    <w:p w14:paraId="6C97A03F" w14:textId="77777777" w:rsidR="00944847" w:rsidRDefault="00944847" w:rsidP="00944847">
      <w:pPr>
        <w:spacing w:before="120" w:after="120" w:line="266" w:lineRule="auto"/>
        <w:jc w:val="both"/>
        <w:rPr>
          <w:rFonts w:ascii="Times New Roman" w:eastAsia="Times New Roman" w:hAnsi="Times New Roman" w:cs="Times New Roman"/>
          <w:b/>
          <w:bCs/>
          <w:sz w:val="24"/>
          <w:szCs w:val="24"/>
        </w:rPr>
      </w:pPr>
      <w:r>
        <w:rPr>
          <w:rFonts w:ascii="Times New Roman" w:hAnsi="Times New Roman"/>
          <w:b/>
          <w:bCs/>
          <w:sz w:val="24"/>
          <w:szCs w:val="24"/>
        </w:rPr>
        <w:t>3.3 Analyse systématique de photographies afin de rechercher des indications sur la santé et les menaces</w:t>
      </w:r>
    </w:p>
    <w:p w14:paraId="0FEB804F"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Au cours de la SC/67b de la Commission baleinière internationale, le sous-comité sur les plans de gestion de la conservation a soutenu une proposition de recherche portant sur une évaluation quantitative des menaces pesant sur les baleines à bosse de la mer d’Arabie, à l’aide de données photographiques et de données capturées par drone existantes. Le projet évaluera la prévalence des menaces anthropiques et naturelles chez les baleines à bosse de la mer d’Arabie au moyen d’une évaluation rigoureuse et quantitative des données photographiques disponibles. Ces données sont constituées de l’intégralité du catalogue de photo-identification d’Oman, des images capturées par drones (UAV) en 2017, et des images fournies par des tiers, qui comprennent plusieurs photos provenant d’autres zones de l’aire de répartition des populations. Le projet fournira une évaluation de la prévalence relative d’une série d’indices généralement associés à des menaces majeures (emmêlement dans les engins de pêche, collisions avec des navires, autres cicatrices), ainsi que des cicatrices associées à des sources naturelles (balanes, cyamidés, </w:t>
      </w:r>
      <w:proofErr w:type="spellStart"/>
      <w:r>
        <w:rPr>
          <w:rFonts w:ascii="Times New Roman" w:hAnsi="Times New Roman"/>
          <w:bCs/>
          <w:i/>
          <w:iCs/>
          <w:sz w:val="24"/>
          <w:szCs w:val="24"/>
        </w:rPr>
        <w:t>Penella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sp</w:t>
      </w:r>
      <w:proofErr w:type="spellEnd"/>
      <w:r>
        <w:rPr>
          <w:rFonts w:ascii="Times New Roman" w:hAnsi="Times New Roman"/>
          <w:bCs/>
          <w:sz w:val="24"/>
          <w:szCs w:val="24"/>
        </w:rPr>
        <w:t>., épaulards). Les résultats du projet comprendront l’évaluation des risques liés à chaque menace, ainsi que l’élaboration d’un ensemble de paramètres permettant de suivre les changements opérés.</w:t>
      </w:r>
    </w:p>
    <w:p w14:paraId="58A60E12"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On espérait au départ que les résultats du projet pourraient être communiqués à cette réunion. Seulement, des retards dans la passation des marchés et des circonstances personnelles imprévues connues par les principales personnes impliquées dans le projet ont retardé le transfert des données et le début des analyses, qui démarreront maintenant les 24 et 25 juin 2019, lorsque les deux enquêteurs principaux se réuniront aux Pays-Bas. L’ensemble des résultats seront présentés à la SC/68b, mais seront également soumis à une revue à comité de lecture d’ici le premier trimestre de 2020. Les résultats de l’analyse éclaireront aussi les futures études d’évaluation de la santé et des risques, et contribueront au plan de gestion de la conservation de la baleine à bosse de la mer d’Arabie.</w:t>
      </w:r>
    </w:p>
    <w:p w14:paraId="7576AB4B" w14:textId="77777777" w:rsidR="00944847" w:rsidRPr="00944847" w:rsidRDefault="00944847" w:rsidP="00944847">
      <w:pPr>
        <w:spacing w:before="120" w:after="120" w:line="266" w:lineRule="auto"/>
        <w:jc w:val="both"/>
        <w:rPr>
          <w:rFonts w:ascii="Times New Roman" w:eastAsia="Times New Roman" w:hAnsi="Times New Roman" w:cs="Times New Roman"/>
          <w:bCs/>
          <w:sz w:val="24"/>
          <w:szCs w:val="24"/>
          <w:lang w:eastAsia="en-GB"/>
        </w:rPr>
      </w:pPr>
    </w:p>
    <w:p w14:paraId="64964585" w14:textId="77777777" w:rsidR="00944847" w:rsidRDefault="00944847" w:rsidP="00944847">
      <w:pPr>
        <w:spacing w:before="120" w:after="120" w:line="266" w:lineRule="auto"/>
        <w:jc w:val="both"/>
        <w:rPr>
          <w:rFonts w:ascii="Times New Roman" w:eastAsia="Times New Roman" w:hAnsi="Times New Roman" w:cs="Times New Roman"/>
          <w:b/>
          <w:bCs/>
          <w:sz w:val="24"/>
          <w:szCs w:val="24"/>
        </w:rPr>
      </w:pPr>
      <w:r>
        <w:rPr>
          <w:rFonts w:ascii="Times New Roman" w:hAnsi="Times New Roman"/>
          <w:b/>
          <w:bCs/>
          <w:sz w:val="24"/>
          <w:szCs w:val="24"/>
        </w:rPr>
        <w:t>3.4 Participation aux réunions et initiatives de conservation régionales</w:t>
      </w:r>
    </w:p>
    <w:p w14:paraId="73F5E118"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Du 4 au 8 mars 2019, quinze membres du réseau ASWN ont participé à l’atelier régional visant à identifier d’importantes aires de mammifères marins dans l’océan Indien occidental et dans la mer d’Arabie. L’atelier a accueilli 38 scientifiques et observateurs de mammifères marins issus de 15 pays. Au terme de la réunion, un total de 55 aires importantes pour les mammifères marins a été identifié, ainsi que 13 zones d’intérêt qui pourraient être considérées comme de futures IMMA potentielles en attendant de nouvelles recherches. Un certain nombre d’entre elles se trouvaient dans la mer d’Oman et dans les eaux environnantes, et se concentrent sur un habitat important pour les baleines à bosse de la mer d’Arabie, ainsi que d’autres espèces menacées et vulnérables comme les dauphins à bosse de l’océan Indien et les rorquals bleus. Les IMMA candidates identifiées principalement pour la BBMA comprenaient des zones situées au large des côtes d’Oman et du Pakistan, avec des concentrations documentées </w:t>
      </w:r>
      <w:r>
        <w:rPr>
          <w:rFonts w:ascii="Times New Roman" w:hAnsi="Times New Roman"/>
          <w:bCs/>
          <w:sz w:val="24"/>
          <w:szCs w:val="24"/>
        </w:rPr>
        <w:lastRenderedPageBreak/>
        <w:t xml:space="preserve">d’observations confirmées de baleines à bosse de la mer d’Arabie (Dhofar, golfe de </w:t>
      </w:r>
      <w:proofErr w:type="spellStart"/>
      <w:r>
        <w:rPr>
          <w:rFonts w:ascii="Times New Roman" w:hAnsi="Times New Roman"/>
          <w:bCs/>
          <w:sz w:val="24"/>
          <w:szCs w:val="24"/>
        </w:rPr>
        <w:t>Masirah</w:t>
      </w:r>
      <w:proofErr w:type="spellEnd"/>
      <w:r>
        <w:rPr>
          <w:rFonts w:ascii="Times New Roman" w:hAnsi="Times New Roman"/>
          <w:bCs/>
          <w:sz w:val="24"/>
          <w:szCs w:val="24"/>
        </w:rPr>
        <w:t xml:space="preserve"> et zone située au large de Karachi où les équipes de pêche ont signalé des observations), ainsi que des zones plus vastes qui sont réputées englober des aires importantes pour les baleines à bosse, sur la base de la télémétrie par satellite, de la modélisation et des données historiques sur la chasse à la baleine (une zone plus large du littoral de la mer d’Oman et des étendues des eaux côtières de l’Inde et du Pakistan). Les IMMA candidates ont maintenant été envoyées à un comité d’examen indépendant, qui les soumet à un processus d’examen par des pairs très semblable à celui utilisé dans les revues scientifiques. Les IMMA candidates retenues figureront dans l’</w:t>
      </w:r>
      <w:hyperlink r:id="rId33" w:history="1">
        <w:r>
          <w:rPr>
            <w:rStyle w:val="Hyperlink"/>
            <w:rFonts w:ascii="Times New Roman" w:hAnsi="Times New Roman"/>
            <w:bCs/>
            <w:sz w:val="24"/>
            <w:szCs w:val="24"/>
          </w:rPr>
          <w:t>Atlas électronique</w:t>
        </w:r>
      </w:hyperlink>
      <w:r>
        <w:rPr>
          <w:rFonts w:ascii="Times New Roman" w:hAnsi="Times New Roman"/>
          <w:bCs/>
          <w:sz w:val="24"/>
          <w:szCs w:val="24"/>
        </w:rPr>
        <w:t xml:space="preserve"> des IMMA, et pourront être utilisées pour la planification de la conservation. Les résultats définitifs du panel devraient être affichés en ligne au plus tard en 2019. Un bref rapport de synthèse de l’atelier est disponible </w:t>
      </w:r>
      <w:hyperlink r:id="rId34" w:history="1">
        <w:r>
          <w:rPr>
            <w:rStyle w:val="Hyperlink"/>
            <w:rFonts w:ascii="Times New Roman" w:hAnsi="Times New Roman"/>
            <w:bCs/>
            <w:sz w:val="24"/>
            <w:szCs w:val="24"/>
          </w:rPr>
          <w:t>ici</w:t>
        </w:r>
      </w:hyperlink>
      <w:r>
        <w:rPr>
          <w:rFonts w:ascii="Times New Roman" w:hAnsi="Times New Roman"/>
          <w:bCs/>
          <w:sz w:val="24"/>
          <w:szCs w:val="24"/>
        </w:rPr>
        <w:t>.</w:t>
      </w:r>
    </w:p>
    <w:p w14:paraId="3AC9577F"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Au cours de l’atelier sur les IMMA, une réunion ponctuelle de l’ASWN s’est tenue afin de discuter de l’avancement de </w:t>
      </w:r>
      <w:hyperlink r:id="rId35" w:history="1">
        <w:r>
          <w:rPr>
            <w:rStyle w:val="Hyperlink"/>
            <w:rFonts w:ascii="Times New Roman" w:hAnsi="Times New Roman"/>
            <w:bCs/>
            <w:sz w:val="24"/>
            <w:szCs w:val="24"/>
          </w:rPr>
          <w:t>l’Action concertée de la CMS pour la baleine à bosse de la mer d’Arabie</w:t>
        </w:r>
      </w:hyperlink>
      <w:r>
        <w:rPr>
          <w:rFonts w:ascii="Times New Roman" w:hAnsi="Times New Roman"/>
          <w:bCs/>
          <w:sz w:val="24"/>
          <w:szCs w:val="24"/>
        </w:rPr>
        <w:t xml:space="preserve">. Les progrès accomplis au regard </w:t>
      </w:r>
      <w:proofErr w:type="spellStart"/>
      <w:r>
        <w:rPr>
          <w:rFonts w:ascii="Times New Roman" w:hAnsi="Times New Roman"/>
          <w:bCs/>
          <w:sz w:val="24"/>
          <w:szCs w:val="24"/>
        </w:rPr>
        <w:t>dux</w:t>
      </w:r>
      <w:proofErr w:type="spellEnd"/>
      <w:r>
        <w:rPr>
          <w:rFonts w:ascii="Times New Roman" w:hAnsi="Times New Roman"/>
          <w:bCs/>
          <w:sz w:val="24"/>
          <w:szCs w:val="24"/>
        </w:rPr>
        <w:t xml:space="preserve"> activités prioritaires décrites dans l’Action concertée sont résumés dans le tableau figurant à l’annexe 1 du présent rapport. Ces progrès seront rapportés à la réunion du Conseil scientifique de la CMS en octobre 2019 et de nouvelles mises à jour seront présentées à la Conférence des Parties à la CMS en février 2020.</w:t>
      </w:r>
    </w:p>
    <w:p w14:paraId="592E6DB0"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Les débats autour de la décision d’œuvrer en faveur d’un plan de conservation et de gestion de la Commission baleinière internationale approuvé conjointement par la CBI et la CMS en tant que contribution et complément à l’Action concertée sont toujours en cours.</w:t>
      </w:r>
    </w:p>
    <w:p w14:paraId="6E02DD77" w14:textId="77777777" w:rsidR="00944847" w:rsidRDefault="00944847" w:rsidP="00944847">
      <w:pPr>
        <w:pStyle w:val="ListParagraph"/>
        <w:numPr>
          <w:ilvl w:val="1"/>
          <w:numId w:val="30"/>
        </w:numPr>
        <w:spacing w:before="120" w:after="120" w:line="266" w:lineRule="auto"/>
        <w:jc w:val="both"/>
        <w:rPr>
          <w:rFonts w:ascii="Times New Roman" w:eastAsia="Times New Roman" w:hAnsi="Times New Roman" w:cs="Times New Roman"/>
          <w:b/>
          <w:bCs/>
          <w:sz w:val="24"/>
          <w:szCs w:val="24"/>
        </w:rPr>
      </w:pPr>
      <w:r>
        <w:rPr>
          <w:rFonts w:ascii="Times New Roman" w:hAnsi="Times New Roman"/>
          <w:b/>
          <w:bCs/>
          <w:sz w:val="24"/>
          <w:szCs w:val="24"/>
        </w:rPr>
        <w:t>Évaluation des progrès accomplis au niveau régional</w:t>
      </w:r>
    </w:p>
    <w:p w14:paraId="7EF7131D"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Un questionnaire a été envoyé aux membres de l’ASWN afin qu’ils donnent leur perception des progrès réalisés par rapport aux objectifs initiaux fixés lors de la réunion inaugurale tenue à Dubaï en 2015. Le nombre relativement faible de réponses et d’observations reçues indiquait que les répondants estimaient que le Réseau et/ou ses membres avaient entièrement ou en grande partie atteint les objectifs plus généraux de mise en place d’un réseau opérationnel et coordonné, de points focaux actifs dans chaque État de l’aire de répartition, d’un site Web, d’outils de communication, d’une liaison régulière avec les organisations intergouvernementales et les cadres de conservation, ainsi que de constitution d’une plateforme régionale de données. Tous les six objectifs spécifiques de ces catégories ont reçu un niveau d’atteinte moyen perçu supérieur ou égal à 80 % (ce qui signifie que la majorité des répondants ont choisi 75 à 99 % ou 100 % comme réponse au niveau d’atteinte de ces objectifs). Cependant, les objectifs suivants ont reçu un taux moyen de réalisation de 60 % ou moins :</w:t>
      </w:r>
    </w:p>
    <w:p w14:paraId="67A54D86" w14:textId="77777777" w:rsidR="00944847" w:rsidRDefault="00944847" w:rsidP="00944847">
      <w:pPr>
        <w:pStyle w:val="ListParagraph"/>
        <w:numPr>
          <w:ilvl w:val="0"/>
          <w:numId w:val="31"/>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i/>
          <w:iCs/>
          <w:sz w:val="24"/>
          <w:szCs w:val="24"/>
        </w:rPr>
        <w:t>« Mettre en œuvre des activités de recherche régionales qui comprennent la surveillance acoustique passive à des endroits stratégiques, des études en bateau pour l’échantillonnage génétique, la photo-identification et la collecte de données sur la répartition et le nombre, ainsi que des analyses supplémentaires des données acoustiques et génétiques déjà obtenues d’Oman et d’autres endroits. »</w:t>
      </w:r>
      <w:r>
        <w:rPr>
          <w:rFonts w:ascii="Times New Roman" w:hAnsi="Times New Roman"/>
          <w:bCs/>
          <w:sz w:val="24"/>
          <w:szCs w:val="24"/>
        </w:rPr>
        <w:t xml:space="preserve"> Les personnes interrogées ont estimé que même si des activités remarquables sont menées au niveau des projets et à l’échelle nationale, le travail de terrain au niveau régional reste un défi à relever, tant que le plan politique qu’en termes de ressources nécessaires pour y parvenir.</w:t>
      </w:r>
    </w:p>
    <w:p w14:paraId="4B9BEF9C" w14:textId="77777777" w:rsidR="00944847" w:rsidRDefault="00944847" w:rsidP="00944847">
      <w:pPr>
        <w:pStyle w:val="ListParagraph"/>
        <w:numPr>
          <w:ilvl w:val="0"/>
          <w:numId w:val="31"/>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i/>
          <w:iCs/>
          <w:sz w:val="24"/>
          <w:szCs w:val="24"/>
        </w:rPr>
        <w:lastRenderedPageBreak/>
        <w:t>« Encourager les candidats à la maîtrise et au doctorat des États de l’aire de répartition à mener des travaux de recherche et de conservation sur les baleines à bosse de la mer d’Arabie. »</w:t>
      </w:r>
      <w:r>
        <w:rPr>
          <w:rFonts w:ascii="Times New Roman" w:hAnsi="Times New Roman"/>
          <w:bCs/>
          <w:sz w:val="24"/>
          <w:szCs w:val="24"/>
        </w:rPr>
        <w:t xml:space="preserve"> Les personnes interrogées ont estimé que même si un certain nombre de recherches ont été menées dans les États de l’aire de répartition de la BBMA, et que les travaux réalisés en Inde, en particulier, impliquent un certain nombre de jeunes scientifiques travaillant en vue de l’obtention de diplômes, il a été difficile dans certains pays d’inciter les jeunes étudiants locaux à rejoindre les rangs, en partie en raison des difficultés financières énoncées plus haut.</w:t>
      </w:r>
    </w:p>
    <w:p w14:paraId="38441D06" w14:textId="77777777" w:rsidR="00944847" w:rsidRDefault="00944847" w:rsidP="00944847">
      <w:pPr>
        <w:pStyle w:val="ListParagraph"/>
        <w:numPr>
          <w:ilvl w:val="0"/>
          <w:numId w:val="31"/>
        </w:numPr>
        <w:spacing w:before="120" w:after="120" w:line="266" w:lineRule="auto"/>
        <w:jc w:val="both"/>
        <w:rPr>
          <w:rFonts w:ascii="Times New Roman" w:eastAsia="Times New Roman" w:hAnsi="Times New Roman" w:cs="Times New Roman"/>
          <w:bCs/>
          <w:sz w:val="24"/>
          <w:szCs w:val="24"/>
        </w:rPr>
      </w:pPr>
      <w:r>
        <w:rPr>
          <w:rFonts w:ascii="Times New Roman" w:hAnsi="Times New Roman"/>
          <w:bCs/>
          <w:i/>
          <w:iCs/>
          <w:sz w:val="24"/>
          <w:szCs w:val="24"/>
        </w:rPr>
        <w:t>« Mener un exercice de cartographie (SIG) à grande échelle – cartographier toutes les observations connues ou confirmées de la BBMA (avec les indices d’effort si disponibles) et les échouages en vue d’analyser les tendances spatiales ou temporelles, ainsi que le chevauchement avec les menaces connues (exemple : voies maritimes, pêcheries à haute densité qui utilisent des filets maillants ou des lignes verticales, sites d’exploration et développement pétroliers et gaziers). »</w:t>
      </w:r>
      <w:r>
        <w:rPr>
          <w:rFonts w:ascii="Times New Roman" w:hAnsi="Times New Roman"/>
          <w:bCs/>
          <w:sz w:val="24"/>
          <w:szCs w:val="24"/>
        </w:rPr>
        <w:t xml:space="preserve"> Même si les répondants soupçonnaient que cela constituerait un élément important de la thèse de doctorat d’Andy </w:t>
      </w:r>
      <w:proofErr w:type="spellStart"/>
      <w:r>
        <w:rPr>
          <w:rFonts w:ascii="Times New Roman" w:hAnsi="Times New Roman"/>
          <w:bCs/>
          <w:sz w:val="24"/>
          <w:szCs w:val="24"/>
        </w:rPr>
        <w:t>Willson</w:t>
      </w:r>
      <w:proofErr w:type="spellEnd"/>
      <w:r>
        <w:rPr>
          <w:rFonts w:ascii="Times New Roman" w:hAnsi="Times New Roman"/>
          <w:bCs/>
          <w:sz w:val="24"/>
          <w:szCs w:val="24"/>
        </w:rPr>
        <w:t>, tout le monde n’était pas encore au fait des résultats, et les membres attendent avec impatience d’en voir davantage. De plus, les données sur la présence actuelle des baleines à bosse à l’extérieur d’Oman ne sont disponibles que depuis deux à quatre ans. Ces nouvelles données rendront les futures analyses à grande échelle beaucoup plus pertinentes et utiles.</w:t>
      </w:r>
    </w:p>
    <w:p w14:paraId="281A317E"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Dans l’ensemble, les répondants semblaient penser que les choses allaient dans la bonne direction, mais ils ont reconnu qu’une grande partie des travaux de fond liés à la recherche et à la conservation devront se dérouler au niveau du projet ou national, et nécessiteront des efforts continus de la part des chercheurs individuels et des organismes de conservation des États de l’aire de répartition, ainsi qu’un soutien de ces efforts au niveau gouvernemental.</w:t>
      </w:r>
    </w:p>
    <w:p w14:paraId="0FE97F1A" w14:textId="77777777" w:rsid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Certains des travaux plus concentrés au niveau des projets/au niveau national qui ne figurent pas dans les autres documents présentés à cette réunion sont résumés dans la section ci-dessous.</w:t>
      </w:r>
    </w:p>
    <w:p w14:paraId="07413108" w14:textId="77777777" w:rsidR="00944847" w:rsidRDefault="00944847" w:rsidP="00944847">
      <w:pPr>
        <w:pStyle w:val="ListParagraph"/>
        <w:numPr>
          <w:ilvl w:val="0"/>
          <w:numId w:val="30"/>
        </w:numPr>
        <w:spacing w:before="120" w:after="120" w:line="266" w:lineRule="auto"/>
        <w:jc w:val="both"/>
        <w:rPr>
          <w:rFonts w:ascii="Times New Roman" w:eastAsia="Times New Roman" w:hAnsi="Times New Roman" w:cs="Times New Roman"/>
          <w:b/>
          <w:bCs/>
          <w:sz w:val="28"/>
          <w:szCs w:val="28"/>
        </w:rPr>
      </w:pPr>
      <w:r>
        <w:rPr>
          <w:rFonts w:ascii="Times New Roman" w:hAnsi="Times New Roman"/>
          <w:b/>
          <w:bCs/>
          <w:sz w:val="28"/>
          <w:szCs w:val="28"/>
        </w:rPr>
        <w:t>Progrès accomplis au niveau des projets ou à l’échelle nationale</w:t>
      </w:r>
    </w:p>
    <w:p w14:paraId="6B02C4EA" w14:textId="77777777" w:rsidR="00944847" w:rsidRDefault="00944847" w:rsidP="00944847">
      <w:pPr>
        <w:spacing w:before="120" w:after="120" w:line="266" w:lineRule="auto"/>
        <w:ind w:left="360"/>
        <w:jc w:val="both"/>
        <w:rPr>
          <w:rFonts w:ascii="Times New Roman" w:eastAsia="Times New Roman" w:hAnsi="Times New Roman" w:cs="Times New Roman"/>
          <w:b/>
          <w:bCs/>
          <w:sz w:val="24"/>
          <w:szCs w:val="24"/>
        </w:rPr>
      </w:pPr>
      <w:r>
        <w:rPr>
          <w:rFonts w:ascii="Times New Roman" w:hAnsi="Times New Roman"/>
          <w:b/>
          <w:bCs/>
          <w:sz w:val="24"/>
          <w:szCs w:val="24"/>
        </w:rPr>
        <w:t>4.1 Projet de recherche sur les baleines de Fujairah</w:t>
      </w:r>
    </w:p>
    <w:p w14:paraId="65DD893B" w14:textId="28145FEF" w:rsidR="00944847" w:rsidRP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Depuis son lancement en février 2017, le projet de recherche sur les baleines de Fujairah a effectué huit relevés par navires spécialisés et un relevé aérien de cétacés. Les relevés en bateau suivent des transects de levés préétablis qui sont couverts sur une période de trois à cinq jours environ tous les trois à quatre mois. Le levé aérien de mars 2018 a couvert 2 414 kilomètres. Ces observations ont permis d’identifier trois nouvelles espèces pour les Émirats arabes unis : le dauphin tacheté pantropical (</w:t>
      </w:r>
      <w:proofErr w:type="spellStart"/>
      <w:r>
        <w:rPr>
          <w:rFonts w:ascii="Times New Roman" w:hAnsi="Times New Roman"/>
          <w:bCs/>
          <w:i/>
          <w:iCs/>
          <w:sz w:val="24"/>
          <w:szCs w:val="24"/>
        </w:rPr>
        <w:t>Stenella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attenuata</w:t>
      </w:r>
      <w:proofErr w:type="spellEnd"/>
      <w:r>
        <w:rPr>
          <w:rFonts w:ascii="Times New Roman" w:hAnsi="Times New Roman"/>
          <w:bCs/>
          <w:sz w:val="24"/>
          <w:szCs w:val="24"/>
        </w:rPr>
        <w:t>), le dauphin rayé (</w:t>
      </w:r>
      <w:r>
        <w:rPr>
          <w:rFonts w:ascii="Times New Roman" w:hAnsi="Times New Roman"/>
          <w:bCs/>
          <w:i/>
          <w:iCs/>
          <w:sz w:val="24"/>
          <w:szCs w:val="24"/>
        </w:rPr>
        <w:t xml:space="preserve">S. </w:t>
      </w:r>
      <w:proofErr w:type="spellStart"/>
      <w:r>
        <w:rPr>
          <w:rFonts w:ascii="Times New Roman" w:hAnsi="Times New Roman"/>
          <w:bCs/>
          <w:i/>
          <w:iCs/>
          <w:sz w:val="24"/>
          <w:szCs w:val="24"/>
        </w:rPr>
        <w:t>coeruleoalba</w:t>
      </w:r>
      <w:proofErr w:type="spellEnd"/>
      <w:r>
        <w:rPr>
          <w:rFonts w:ascii="Times New Roman" w:hAnsi="Times New Roman"/>
          <w:bCs/>
          <w:sz w:val="24"/>
          <w:szCs w:val="24"/>
        </w:rPr>
        <w:t>) et le dauphin à dents rugueuses (</w:t>
      </w:r>
      <w:proofErr w:type="spellStart"/>
      <w:r>
        <w:rPr>
          <w:rFonts w:ascii="Times New Roman" w:hAnsi="Times New Roman"/>
          <w:bCs/>
          <w:i/>
          <w:iCs/>
          <w:sz w:val="24"/>
          <w:szCs w:val="24"/>
        </w:rPr>
        <w:t>Steno</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bredanensis</w:t>
      </w:r>
      <w:proofErr w:type="spellEnd"/>
      <w:r>
        <w:rPr>
          <w:rFonts w:ascii="Times New Roman" w:hAnsi="Times New Roman"/>
          <w:bCs/>
          <w:sz w:val="24"/>
          <w:szCs w:val="24"/>
        </w:rPr>
        <w:t>). Parmi les autres espèces recensées figurent le grand dauphin souffleur (</w:t>
      </w:r>
      <w:proofErr w:type="spellStart"/>
      <w:r>
        <w:rPr>
          <w:rFonts w:ascii="Times New Roman" w:hAnsi="Times New Roman"/>
          <w:bCs/>
          <w:i/>
          <w:iCs/>
          <w:sz w:val="24"/>
          <w:szCs w:val="24"/>
        </w:rPr>
        <w:t>Tursiops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truncatus</w:t>
      </w:r>
      <w:proofErr w:type="spellEnd"/>
      <w:r>
        <w:rPr>
          <w:rFonts w:ascii="Times New Roman" w:hAnsi="Times New Roman"/>
          <w:bCs/>
          <w:sz w:val="24"/>
          <w:szCs w:val="24"/>
        </w:rPr>
        <w:t>), le dauphin commun de l’</w:t>
      </w:r>
      <w:proofErr w:type="spellStart"/>
      <w:r>
        <w:rPr>
          <w:rFonts w:ascii="Times New Roman" w:hAnsi="Times New Roman"/>
          <w:bCs/>
          <w:sz w:val="24"/>
          <w:szCs w:val="24"/>
        </w:rPr>
        <w:t>Indo-Pacifique</w:t>
      </w:r>
      <w:proofErr w:type="spellEnd"/>
      <w:r>
        <w:rPr>
          <w:rFonts w:ascii="Times New Roman" w:hAnsi="Times New Roman"/>
          <w:bCs/>
          <w:sz w:val="24"/>
          <w:szCs w:val="24"/>
        </w:rPr>
        <w:t xml:space="preserve"> (</w:t>
      </w:r>
      <w:proofErr w:type="spellStart"/>
      <w:r>
        <w:rPr>
          <w:rFonts w:ascii="Times New Roman" w:hAnsi="Times New Roman"/>
          <w:bCs/>
          <w:i/>
          <w:iCs/>
          <w:sz w:val="24"/>
          <w:szCs w:val="24"/>
        </w:rPr>
        <w:t>Delphinus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delphis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tropicalis</w:t>
      </w:r>
      <w:proofErr w:type="spellEnd"/>
      <w:r>
        <w:rPr>
          <w:rFonts w:ascii="Times New Roman" w:hAnsi="Times New Roman"/>
          <w:bCs/>
          <w:sz w:val="24"/>
          <w:szCs w:val="24"/>
        </w:rPr>
        <w:t xml:space="preserve">), le dauphin de </w:t>
      </w:r>
      <w:proofErr w:type="spellStart"/>
      <w:r>
        <w:rPr>
          <w:rFonts w:ascii="Times New Roman" w:hAnsi="Times New Roman"/>
          <w:bCs/>
          <w:sz w:val="24"/>
          <w:szCs w:val="24"/>
        </w:rPr>
        <w:t>Risso</w:t>
      </w:r>
      <w:proofErr w:type="spellEnd"/>
      <w:r>
        <w:rPr>
          <w:rFonts w:ascii="Times New Roman" w:hAnsi="Times New Roman"/>
          <w:bCs/>
          <w:sz w:val="24"/>
          <w:szCs w:val="24"/>
        </w:rPr>
        <w:t xml:space="preserve"> (</w:t>
      </w:r>
      <w:proofErr w:type="spellStart"/>
      <w:r>
        <w:rPr>
          <w:rFonts w:ascii="Times New Roman" w:hAnsi="Times New Roman"/>
          <w:bCs/>
          <w:i/>
          <w:iCs/>
          <w:sz w:val="24"/>
          <w:szCs w:val="24"/>
        </w:rPr>
        <w:t>Grampus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griseus</w:t>
      </w:r>
      <w:proofErr w:type="spellEnd"/>
      <w:r>
        <w:rPr>
          <w:rFonts w:ascii="Times New Roman" w:hAnsi="Times New Roman"/>
          <w:bCs/>
          <w:sz w:val="24"/>
          <w:szCs w:val="24"/>
        </w:rPr>
        <w:t>) et le dauphin à long bec (</w:t>
      </w:r>
      <w:proofErr w:type="spellStart"/>
      <w:r>
        <w:rPr>
          <w:rFonts w:ascii="Times New Roman" w:hAnsi="Times New Roman"/>
          <w:bCs/>
          <w:i/>
          <w:iCs/>
          <w:sz w:val="24"/>
          <w:szCs w:val="24"/>
        </w:rPr>
        <w:t>Stenella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longirostris</w:t>
      </w:r>
      <w:proofErr w:type="spellEnd"/>
      <w:r>
        <w:rPr>
          <w:rFonts w:ascii="Times New Roman" w:hAnsi="Times New Roman"/>
          <w:bCs/>
          <w:sz w:val="24"/>
          <w:szCs w:val="24"/>
        </w:rPr>
        <w:t>). D’autres observations de tiers rapportées au projet (avec des preuves photographiques) comprennent des cachalots (</w:t>
      </w:r>
      <w:proofErr w:type="spellStart"/>
      <w:r>
        <w:rPr>
          <w:rFonts w:ascii="Times New Roman" w:hAnsi="Times New Roman"/>
          <w:bCs/>
          <w:i/>
          <w:iCs/>
          <w:sz w:val="24"/>
          <w:szCs w:val="24"/>
        </w:rPr>
        <w:t>Physeter</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macrocephalus</w:t>
      </w:r>
      <w:proofErr w:type="spellEnd"/>
      <w:r>
        <w:rPr>
          <w:rFonts w:ascii="Times New Roman" w:hAnsi="Times New Roman"/>
          <w:bCs/>
          <w:sz w:val="24"/>
          <w:szCs w:val="24"/>
        </w:rPr>
        <w:t xml:space="preserve">) et des rorquals de </w:t>
      </w:r>
      <w:proofErr w:type="spellStart"/>
      <w:r>
        <w:rPr>
          <w:rFonts w:ascii="Times New Roman" w:hAnsi="Times New Roman"/>
          <w:bCs/>
          <w:sz w:val="24"/>
          <w:szCs w:val="24"/>
        </w:rPr>
        <w:t>Bryde</w:t>
      </w:r>
      <w:proofErr w:type="spellEnd"/>
      <w:r>
        <w:rPr>
          <w:rFonts w:ascii="Times New Roman" w:hAnsi="Times New Roman"/>
          <w:bCs/>
          <w:sz w:val="24"/>
          <w:szCs w:val="24"/>
        </w:rPr>
        <w:t xml:space="preserve"> (</w:t>
      </w:r>
      <w:proofErr w:type="spellStart"/>
      <w:r>
        <w:rPr>
          <w:rFonts w:ascii="Times New Roman" w:hAnsi="Times New Roman"/>
          <w:bCs/>
          <w:i/>
          <w:iCs/>
          <w:sz w:val="24"/>
          <w:szCs w:val="24"/>
        </w:rPr>
        <w:t>Balaenoptera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edeni</w:t>
      </w:r>
      <w:proofErr w:type="spellEnd"/>
      <w:r>
        <w:rPr>
          <w:rFonts w:ascii="Times New Roman" w:hAnsi="Times New Roman"/>
          <w:bCs/>
          <w:sz w:val="24"/>
          <w:szCs w:val="24"/>
        </w:rPr>
        <w:t>).</w:t>
      </w:r>
      <w:r>
        <w:rPr>
          <w:rFonts w:ascii="Times New Roman" w:hAnsi="Times New Roman"/>
          <w:bCs/>
          <w:i/>
          <w:sz w:val="24"/>
          <w:szCs w:val="24"/>
        </w:rPr>
        <w:t xml:space="preserve"> </w:t>
      </w:r>
      <w:r>
        <w:rPr>
          <w:rFonts w:ascii="Times New Roman" w:hAnsi="Times New Roman"/>
          <w:bCs/>
          <w:sz w:val="24"/>
          <w:szCs w:val="24"/>
        </w:rPr>
        <w:t xml:space="preserve">Le projet est géré en partenariat entre Five </w:t>
      </w:r>
      <w:proofErr w:type="spellStart"/>
      <w:r>
        <w:rPr>
          <w:rFonts w:ascii="Times New Roman" w:hAnsi="Times New Roman"/>
          <w:bCs/>
          <w:sz w:val="24"/>
          <w:szCs w:val="24"/>
        </w:rPr>
        <w:t>Oceans</w:t>
      </w:r>
      <w:proofErr w:type="spellEnd"/>
      <w:r>
        <w:rPr>
          <w:rFonts w:ascii="Times New Roman" w:hAnsi="Times New Roman"/>
          <w:bCs/>
          <w:sz w:val="24"/>
          <w:szCs w:val="24"/>
        </w:rPr>
        <w:t xml:space="preserve"> </w:t>
      </w:r>
      <w:proofErr w:type="spellStart"/>
      <w:r>
        <w:rPr>
          <w:rFonts w:ascii="Times New Roman" w:hAnsi="Times New Roman"/>
          <w:bCs/>
          <w:sz w:val="24"/>
          <w:szCs w:val="24"/>
        </w:rPr>
        <w:t>Environmental</w:t>
      </w:r>
      <w:proofErr w:type="spellEnd"/>
      <w:r>
        <w:rPr>
          <w:rFonts w:ascii="Times New Roman" w:hAnsi="Times New Roman"/>
          <w:bCs/>
          <w:sz w:val="24"/>
          <w:szCs w:val="24"/>
        </w:rPr>
        <w:t xml:space="preserve"> Services (5OES) et le port de Fujairah, et est soutenu par Son Altesse Sheikh Mohammed bin Hamad bin Mohammed Al </w:t>
      </w:r>
      <w:proofErr w:type="spellStart"/>
      <w:r>
        <w:rPr>
          <w:rFonts w:ascii="Times New Roman" w:hAnsi="Times New Roman"/>
          <w:bCs/>
          <w:sz w:val="24"/>
          <w:szCs w:val="24"/>
        </w:rPr>
        <w:t>Sharqi</w:t>
      </w:r>
      <w:proofErr w:type="spellEnd"/>
      <w:r>
        <w:rPr>
          <w:rFonts w:ascii="Times New Roman" w:hAnsi="Times New Roman"/>
          <w:bCs/>
          <w:sz w:val="24"/>
          <w:szCs w:val="24"/>
        </w:rPr>
        <w:t>, Prince héritier de l’Émirat de Fujairah (Émirats arabes unis).</w:t>
      </w:r>
    </w:p>
    <w:p w14:paraId="7EE69BF5" w14:textId="77777777" w:rsidR="00944847" w:rsidRDefault="00944847" w:rsidP="00944847">
      <w:pPr>
        <w:spacing w:before="120" w:after="120" w:line="266"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4.2 UAE </w:t>
      </w:r>
      <w:proofErr w:type="spellStart"/>
      <w:r>
        <w:rPr>
          <w:rFonts w:ascii="Times New Roman" w:hAnsi="Times New Roman"/>
          <w:b/>
          <w:bCs/>
          <w:sz w:val="24"/>
          <w:szCs w:val="24"/>
        </w:rPr>
        <w:t>Dolphin</w:t>
      </w:r>
      <w:proofErr w:type="spellEnd"/>
      <w:r>
        <w:rPr>
          <w:rFonts w:ascii="Times New Roman" w:hAnsi="Times New Roman"/>
          <w:b/>
          <w:bCs/>
          <w:sz w:val="24"/>
          <w:szCs w:val="24"/>
        </w:rPr>
        <w:t xml:space="preserve"> Project (Émirats arabes unis)</w:t>
      </w:r>
    </w:p>
    <w:p w14:paraId="66AD26E9" w14:textId="17493185" w:rsidR="00944847" w:rsidRPr="00944847" w:rsidRDefault="00944847" w:rsidP="00944847">
      <w:pPr>
        <w:spacing w:before="120" w:after="120" w:line="266"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L’UAE </w:t>
      </w:r>
      <w:proofErr w:type="spellStart"/>
      <w:r>
        <w:rPr>
          <w:rFonts w:ascii="Times New Roman" w:hAnsi="Times New Roman"/>
          <w:bCs/>
          <w:sz w:val="24"/>
          <w:szCs w:val="24"/>
        </w:rPr>
        <w:t>Dolphin</w:t>
      </w:r>
      <w:proofErr w:type="spellEnd"/>
      <w:r>
        <w:rPr>
          <w:rFonts w:ascii="Times New Roman" w:hAnsi="Times New Roman"/>
          <w:bCs/>
          <w:sz w:val="24"/>
          <w:szCs w:val="24"/>
        </w:rPr>
        <w:t xml:space="preserve"> Project est une initiative personnelle sans statut juridique formel, lancée dans le but de recueillir des informations scientifiques sur les populations de cétacés vivant aux Émirats arabes unis et dans les eaux avoisinantes en vue de promouvoir leur conservation. Au cours des sept dernières années, des bénévoles et des acteurs privés ont encouragé la collecte de données sur les cétacés par le biais d’un réseau d’information (sur les médias sociaux) et ont pris en charge les coûts et la logistique des études dédiées aux dauphins. Des relevés sur les navires et à terre et 1 302 observations opportunistes confirment la présence régulière de trois espèces de dauphins (</w:t>
      </w:r>
      <w:r>
        <w:rPr>
          <w:rFonts w:ascii="Times New Roman" w:hAnsi="Times New Roman"/>
          <w:bCs/>
          <w:i/>
          <w:iCs/>
          <w:sz w:val="24"/>
          <w:szCs w:val="24"/>
        </w:rPr>
        <w:t xml:space="preserve">Sousa </w:t>
      </w:r>
      <w:proofErr w:type="spellStart"/>
      <w:r>
        <w:rPr>
          <w:rFonts w:ascii="Times New Roman" w:hAnsi="Times New Roman"/>
          <w:bCs/>
          <w:i/>
          <w:iCs/>
          <w:sz w:val="24"/>
          <w:szCs w:val="24"/>
        </w:rPr>
        <w:t>plumbea</w:t>
      </w:r>
      <w:proofErr w:type="spellEnd"/>
      <w:r>
        <w:rPr>
          <w:rFonts w:ascii="Times New Roman" w:hAnsi="Times New Roman"/>
          <w:bCs/>
          <w:sz w:val="24"/>
          <w:szCs w:val="24"/>
        </w:rPr>
        <w:t xml:space="preserve">, </w:t>
      </w:r>
      <w:proofErr w:type="spellStart"/>
      <w:r>
        <w:rPr>
          <w:rFonts w:ascii="Times New Roman" w:hAnsi="Times New Roman"/>
          <w:bCs/>
          <w:i/>
          <w:iCs/>
          <w:sz w:val="24"/>
          <w:szCs w:val="24"/>
        </w:rPr>
        <w:t>Tursiops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aduncus</w:t>
      </w:r>
      <w:proofErr w:type="spellEnd"/>
      <w:r>
        <w:rPr>
          <w:rFonts w:ascii="Times New Roman" w:hAnsi="Times New Roman"/>
          <w:bCs/>
          <w:sz w:val="24"/>
          <w:szCs w:val="24"/>
        </w:rPr>
        <w:t xml:space="preserve"> et </w:t>
      </w:r>
      <w:proofErr w:type="spellStart"/>
      <w:r>
        <w:rPr>
          <w:rFonts w:ascii="Times New Roman" w:hAnsi="Times New Roman"/>
          <w:bCs/>
          <w:i/>
          <w:iCs/>
          <w:sz w:val="24"/>
          <w:szCs w:val="24"/>
        </w:rPr>
        <w:t>Neophocaena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phocaenoides</w:t>
      </w:r>
      <w:proofErr w:type="spellEnd"/>
      <w:r>
        <w:rPr>
          <w:rFonts w:ascii="Times New Roman" w:hAnsi="Times New Roman"/>
          <w:bCs/>
          <w:sz w:val="24"/>
          <w:szCs w:val="24"/>
        </w:rPr>
        <w:t xml:space="preserve">) dans les eaux côtières des Émirats arabes unis. Le projet détient maintenant des catalogues de photo-identification de dauphins souffleurs et de dauphins à bosse. Les grandes baleines sont rarement vues ou signalées et aucune information n’est disponible sur l’utilisation des eaux du Golfe par ces espèces. Depuis 2018, le projet a enregistré cinq échouages de baleines dans les eaux des Émirats arabes unis, dont quatre ont été confirmées comme étant des rorquals de </w:t>
      </w:r>
      <w:proofErr w:type="spellStart"/>
      <w:r>
        <w:rPr>
          <w:rFonts w:ascii="Times New Roman" w:hAnsi="Times New Roman"/>
          <w:bCs/>
          <w:sz w:val="24"/>
          <w:szCs w:val="24"/>
        </w:rPr>
        <w:t>Bryde</w:t>
      </w:r>
      <w:proofErr w:type="spellEnd"/>
      <w:r>
        <w:rPr>
          <w:rFonts w:ascii="Times New Roman" w:hAnsi="Times New Roman"/>
          <w:bCs/>
          <w:sz w:val="24"/>
          <w:szCs w:val="24"/>
        </w:rPr>
        <w:t>, tandis que les trois autres étaient non identifiées au niveau de l’espèce. Un rapport non officiel, mais apparemment fiable d’une source anonyme, a indiqué l’échouage d’une baleine à bosse sur la côte du golfe Arabique en Arabie saoudite en mars 2019.</w:t>
      </w:r>
    </w:p>
    <w:p w14:paraId="1BBAB0E8" w14:textId="77777777" w:rsidR="00944847" w:rsidRDefault="00944847" w:rsidP="00944847">
      <w:pPr>
        <w:spacing w:before="120" w:after="120" w:line="266" w:lineRule="auto"/>
        <w:jc w:val="both"/>
        <w:rPr>
          <w:rFonts w:ascii="Times New Roman" w:eastAsia="Times New Roman" w:hAnsi="Times New Roman" w:cs="Times New Roman"/>
          <w:b/>
          <w:bCs/>
          <w:sz w:val="24"/>
          <w:szCs w:val="24"/>
        </w:rPr>
      </w:pPr>
      <w:r>
        <w:rPr>
          <w:rFonts w:ascii="Times New Roman" w:hAnsi="Times New Roman"/>
          <w:b/>
          <w:bCs/>
          <w:sz w:val="24"/>
          <w:szCs w:val="24"/>
        </w:rPr>
        <w:t>4.3 Société environnementale d’Oman : le marketing social au service de la réduction de l’enchevêtrement de la faune marine dans les filets</w:t>
      </w:r>
    </w:p>
    <w:p w14:paraId="64217C36" w14:textId="30B11829" w:rsidR="00944847" w:rsidRDefault="00944847" w:rsidP="00944847">
      <w:pPr>
        <w:jc w:val="both"/>
        <w:rPr>
          <w:rFonts w:asciiTheme="minorHAnsi" w:hAnsiTheme="minorHAnsi"/>
        </w:rPr>
      </w:pPr>
      <w:r>
        <w:rPr>
          <w:rFonts w:ascii="Times New Roman" w:hAnsi="Times New Roman"/>
          <w:bCs/>
          <w:sz w:val="24"/>
          <w:szCs w:val="24"/>
        </w:rPr>
        <w:t xml:space="preserve">La Société environnementale d’Oman mène actuellement une étude sur le changement de comportement auprès de pêcheurs de l’île de </w:t>
      </w:r>
      <w:proofErr w:type="spellStart"/>
      <w:r>
        <w:rPr>
          <w:rFonts w:ascii="Times New Roman" w:hAnsi="Times New Roman"/>
          <w:bCs/>
          <w:sz w:val="24"/>
          <w:szCs w:val="24"/>
        </w:rPr>
        <w:t>Masirah</w:t>
      </w:r>
      <w:proofErr w:type="spellEnd"/>
      <w:r>
        <w:rPr>
          <w:rFonts w:ascii="Times New Roman" w:hAnsi="Times New Roman"/>
          <w:bCs/>
          <w:sz w:val="24"/>
          <w:szCs w:val="24"/>
        </w:rPr>
        <w:t xml:space="preserve">, dans le prolongement de ses recherches dans le cadre du projet « Renaissance des baleines et des dauphins ». L’objectif global de l’étude est de réduire l’élimination non réglementée des filets de pêche par les pêcheurs afin de lutter contre la mortalité due à la « pêche fantôme » des mammifères marins et autres taxons marins. L’île de </w:t>
      </w:r>
      <w:proofErr w:type="spellStart"/>
      <w:r>
        <w:rPr>
          <w:rFonts w:ascii="Times New Roman" w:hAnsi="Times New Roman"/>
          <w:bCs/>
          <w:sz w:val="24"/>
          <w:szCs w:val="24"/>
        </w:rPr>
        <w:t>Masirah</w:t>
      </w:r>
      <w:proofErr w:type="spellEnd"/>
      <w:r>
        <w:rPr>
          <w:rFonts w:ascii="Times New Roman" w:hAnsi="Times New Roman"/>
          <w:bCs/>
          <w:sz w:val="24"/>
          <w:szCs w:val="24"/>
        </w:rPr>
        <w:t xml:space="preserve"> abrite la deuxième plus grande colonie de tortues caouannes au monde et un ensemble diversifié de mammifères marins en voie de disparition associés à l’environnement côtier et océanique profond, dont les baleines à bosse de la mer d’Arabie. L’étude recourt au marketing social communautaire pour encourager les pêcheurs à jeter les filets, engins de pêche et autres déchets anciens ou endommagés dans des bacs prévus à cet effet plutôt qu’en mer. Trois bennes ont été déployées dans trois sites de pêche, avec des panneaux d’accompagnement dans les cinq langues les plus parlées par les pêcheurs. À ce jour, les premiers résultats de 11 semaines d’observations ont montré un taux d’adoption de comportement de 25 %. Les bacs étaient vides lors de 40 % des visites d’inspection (94 visites ont été menées). Le contenu documenté dans les poubelles comprenait du plastique (estimé à 25 %), des déchets généraux provenant des sorties de pêche au boutre (17 %), des filets (10 %) et des déchets de la pêche (8 %). L’élimination des filets dans les bennes à ordures a été observée pour la première fois au cours de la sixième semaine de surveillance, avec une récurrence au cours des semaines 9, 10 et 11, pour un total estimé à ce jour à 214 kg de filets déposés dans les bennes. La surveillance se poursuivra jusqu’à la fin du mois de juin 2019. L’adoption tardive de l’utilisation appropriée des bacs pourrait signifier que la visibilité et la présence des bacs au fil du temps ont fini par inciter les pêcheurs à adopter le comportement souhaité. Des analyses supplémentaires sont nécessaires pour mieux comprendre ce qui empêche les pêcheurs d’utiliser les bacs pour l’élimination de leurs filets, pour évaluer les avantages potentiels de ce comportement (démontrer les impacts économiques et écologiques des filets fantômes, par exemple) et pour augmenter le taux d’utilisation. </w:t>
      </w:r>
    </w:p>
    <w:p w14:paraId="73A70BD7" w14:textId="77777777" w:rsidR="00944847" w:rsidRDefault="00944847" w:rsidP="00944847">
      <w:pPr>
        <w:pStyle w:val="Heading2"/>
      </w:pPr>
      <w:r>
        <w:rPr>
          <w:b/>
        </w:rPr>
        <w:lastRenderedPageBreak/>
        <w:t>Annexe 1.</w:t>
      </w:r>
      <w:r>
        <w:t xml:space="preserve"> État d’avancement des activités identifiées dans l’Action concertée de la CMS pour la baleine à bosse de la mer d’Arabie</w:t>
      </w:r>
    </w:p>
    <w:p w14:paraId="6A7E2A58" w14:textId="77777777" w:rsidR="00944847" w:rsidRPr="00944847" w:rsidRDefault="00944847" w:rsidP="00944847"/>
    <w:tbl>
      <w:tblPr>
        <w:tblW w:w="9395" w:type="dxa"/>
        <w:tblInd w:w="93" w:type="dxa"/>
        <w:tblLook w:val="04A0" w:firstRow="1" w:lastRow="0" w:firstColumn="1" w:lastColumn="0" w:noHBand="0" w:noVBand="1"/>
      </w:tblPr>
      <w:tblGrid>
        <w:gridCol w:w="3016"/>
        <w:gridCol w:w="1984"/>
        <w:gridCol w:w="4395"/>
      </w:tblGrid>
      <w:tr w:rsidR="00944847" w:rsidRPr="00944847" w14:paraId="71F1A8D8" w14:textId="77777777" w:rsidTr="00944847">
        <w:trPr>
          <w:trHeight w:val="392"/>
        </w:trPr>
        <w:tc>
          <w:tcPr>
            <w:tcW w:w="9395" w:type="dxa"/>
            <w:gridSpan w:val="3"/>
            <w:tcBorders>
              <w:top w:val="single" w:sz="8" w:space="0" w:color="auto"/>
              <w:left w:val="single" w:sz="8" w:space="0" w:color="auto"/>
              <w:bottom w:val="single" w:sz="8" w:space="0" w:color="auto"/>
              <w:right w:val="single" w:sz="8" w:space="0" w:color="auto"/>
            </w:tcBorders>
            <w:noWrap/>
            <w:vAlign w:val="bottom"/>
            <w:hideMark/>
          </w:tcPr>
          <w:p w14:paraId="052B59E6" w14:textId="77777777" w:rsidR="00944847" w:rsidRDefault="00944847">
            <w:pPr>
              <w:spacing w:after="0" w:line="240" w:lineRule="auto"/>
              <w:rPr>
                <w:rFonts w:ascii="Calibri" w:eastAsia="Times New Roman" w:hAnsi="Calibri" w:cs="Calibri"/>
                <w:b/>
                <w:bCs/>
                <w:color w:val="44546A" w:themeColor="text2"/>
                <w:sz w:val="24"/>
                <w:szCs w:val="24"/>
              </w:rPr>
            </w:pPr>
            <w:r>
              <w:rPr>
                <w:rFonts w:ascii="Calibri" w:hAnsi="Calibri"/>
                <w:b/>
                <w:bCs/>
                <w:color w:val="44546A" w:themeColor="text2"/>
                <w:sz w:val="24"/>
                <w:szCs w:val="24"/>
              </w:rPr>
              <w:t>Action concertée de la CMS pour la baleine à bosse de la mer d’Arabie : Activités prioritaires et résultats</w:t>
            </w:r>
          </w:p>
          <w:p w14:paraId="6B247D8E" w14:textId="6DFD856B" w:rsidR="00944847" w:rsidRDefault="00944847">
            <w:pPr>
              <w:spacing w:after="0" w:line="240" w:lineRule="auto"/>
              <w:rPr>
                <w:rFonts w:ascii="Calibri" w:eastAsia="Times New Roman" w:hAnsi="Calibri" w:cs="Calibri"/>
                <w:color w:val="000000"/>
              </w:rPr>
            </w:pPr>
          </w:p>
        </w:tc>
      </w:tr>
      <w:tr w:rsidR="00944847" w14:paraId="06007698" w14:textId="77777777" w:rsidTr="00944847">
        <w:trPr>
          <w:trHeight w:val="385"/>
        </w:trPr>
        <w:tc>
          <w:tcPr>
            <w:tcW w:w="3016" w:type="dxa"/>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14:paraId="5EE754D6" w14:textId="77777777" w:rsidR="00944847" w:rsidRDefault="00944847">
            <w:pPr>
              <w:spacing w:after="0" w:line="240" w:lineRule="auto"/>
              <w:rPr>
                <w:rFonts w:ascii="Calibri" w:eastAsia="Times New Roman" w:hAnsi="Calibri" w:cs="Calibri"/>
                <w:b/>
                <w:bCs/>
                <w:sz w:val="20"/>
                <w:szCs w:val="20"/>
              </w:rPr>
            </w:pPr>
            <w:r>
              <w:rPr>
                <w:rFonts w:ascii="Calibri" w:hAnsi="Calibri"/>
                <w:b/>
                <w:bCs/>
                <w:sz w:val="20"/>
                <w:szCs w:val="20"/>
              </w:rPr>
              <w:t>Activité</w:t>
            </w:r>
          </w:p>
        </w:tc>
        <w:tc>
          <w:tcPr>
            <w:tcW w:w="1984"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6BAE8502" w14:textId="77777777" w:rsidR="00944847" w:rsidRDefault="00944847">
            <w:pPr>
              <w:spacing w:after="0" w:line="240" w:lineRule="auto"/>
              <w:jc w:val="center"/>
              <w:rPr>
                <w:rFonts w:ascii="Calibri" w:eastAsia="Times New Roman" w:hAnsi="Calibri" w:cs="Calibri"/>
                <w:b/>
                <w:bCs/>
                <w:sz w:val="20"/>
                <w:szCs w:val="20"/>
              </w:rPr>
            </w:pPr>
            <w:r>
              <w:rPr>
                <w:rFonts w:ascii="Calibri" w:hAnsi="Calibri"/>
                <w:b/>
                <w:bCs/>
                <w:sz w:val="20"/>
                <w:szCs w:val="20"/>
              </w:rPr>
              <w:t>Résultats escomptés</w:t>
            </w:r>
          </w:p>
        </w:tc>
        <w:tc>
          <w:tcPr>
            <w:tcW w:w="4395"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213193D1" w14:textId="77777777" w:rsidR="00944847" w:rsidRDefault="00944847">
            <w:pPr>
              <w:spacing w:after="0" w:line="240" w:lineRule="auto"/>
              <w:jc w:val="center"/>
              <w:rPr>
                <w:rFonts w:ascii="Calibri" w:eastAsia="Times New Roman" w:hAnsi="Calibri" w:cs="Calibri"/>
                <w:b/>
                <w:bCs/>
                <w:sz w:val="20"/>
                <w:szCs w:val="20"/>
              </w:rPr>
            </w:pPr>
            <w:r>
              <w:rPr>
                <w:rFonts w:ascii="Calibri" w:hAnsi="Calibri"/>
                <w:b/>
                <w:bCs/>
                <w:sz w:val="20"/>
                <w:szCs w:val="20"/>
              </w:rPr>
              <w:t>Progrès réalisés en avril 2019</w:t>
            </w:r>
          </w:p>
        </w:tc>
      </w:tr>
      <w:tr w:rsidR="00944847" w:rsidRPr="00944847" w14:paraId="201CA9F9" w14:textId="77777777" w:rsidTr="00944847">
        <w:trPr>
          <w:trHeight w:val="262"/>
        </w:trPr>
        <w:tc>
          <w:tcPr>
            <w:tcW w:w="301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5AD26B80" w14:textId="77777777" w:rsidR="00944847" w:rsidRDefault="00944847">
            <w:pPr>
              <w:spacing w:after="0" w:line="240" w:lineRule="auto"/>
              <w:rPr>
                <w:rFonts w:ascii="Calibri" w:eastAsia="Times New Roman" w:hAnsi="Calibri" w:cs="Calibri"/>
                <w:b/>
                <w:bCs/>
                <w:i/>
                <w:iCs/>
                <w:color w:val="1F497D"/>
                <w:sz w:val="18"/>
                <w:szCs w:val="18"/>
              </w:rPr>
            </w:pPr>
            <w:r>
              <w:rPr>
                <w:rFonts w:ascii="Calibri" w:hAnsi="Calibri"/>
                <w:b/>
                <w:bCs/>
                <w:i/>
                <w:iCs/>
                <w:color w:val="1F497D"/>
                <w:sz w:val="18"/>
                <w:szCs w:val="18"/>
              </w:rPr>
              <w:t>Correction des lacunes en matière de connaissances</w:t>
            </w:r>
          </w:p>
        </w:tc>
        <w:tc>
          <w:tcPr>
            <w:tcW w:w="198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5572F5E0"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w:t>
            </w:r>
          </w:p>
        </w:tc>
        <w:tc>
          <w:tcPr>
            <w:tcW w:w="4395"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364F6D30"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w:t>
            </w:r>
          </w:p>
        </w:tc>
      </w:tr>
      <w:tr w:rsidR="00944847" w:rsidRPr="00944847" w14:paraId="29EEEDB5" w14:textId="77777777" w:rsidTr="00944847">
        <w:trPr>
          <w:trHeight w:val="930"/>
        </w:trPr>
        <w:tc>
          <w:tcPr>
            <w:tcW w:w="3016" w:type="dxa"/>
            <w:tcBorders>
              <w:top w:val="nil"/>
              <w:left w:val="single" w:sz="8" w:space="0" w:color="auto"/>
              <w:bottom w:val="single" w:sz="8" w:space="0" w:color="auto"/>
              <w:right w:val="single" w:sz="8" w:space="0" w:color="auto"/>
            </w:tcBorders>
            <w:vAlign w:val="center"/>
            <w:hideMark/>
          </w:tcPr>
          <w:p w14:paraId="06B17FA4"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Mise au point d’une application de notification de la présence de mammifères marins pour smartphones et d’outils scientifiques à l’intention des citoyens pour permettre aux équipages des bateaux et des traversiers de pêche, à la garde-côte et aux navires d’observation des baleines d’enregistrer et de signaler les observations des baleines et des dauphins.</w:t>
            </w:r>
          </w:p>
        </w:tc>
        <w:tc>
          <w:tcPr>
            <w:tcW w:w="1984" w:type="dxa"/>
            <w:tcBorders>
              <w:top w:val="nil"/>
              <w:left w:val="nil"/>
              <w:bottom w:val="single" w:sz="8" w:space="0" w:color="auto"/>
              <w:right w:val="single" w:sz="8" w:space="0" w:color="auto"/>
            </w:tcBorders>
            <w:vAlign w:val="center"/>
            <w:hideMark/>
          </w:tcPr>
          <w:p w14:paraId="627A634F"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Amélioration des données et des modèles sur la répartition actuelle des baleines à bosse dans toute la mer d’Arabie</w:t>
            </w:r>
          </w:p>
        </w:tc>
        <w:tc>
          <w:tcPr>
            <w:tcW w:w="4395" w:type="dxa"/>
            <w:tcBorders>
              <w:top w:val="nil"/>
              <w:left w:val="nil"/>
              <w:bottom w:val="single" w:sz="8" w:space="0" w:color="auto"/>
              <w:right w:val="single" w:sz="8" w:space="0" w:color="auto"/>
            </w:tcBorders>
            <w:vAlign w:val="center"/>
            <w:hideMark/>
          </w:tcPr>
          <w:p w14:paraId="4712D109" w14:textId="77777777" w:rsidR="00944847" w:rsidRDefault="00944847">
            <w:pPr>
              <w:spacing w:after="0" w:line="240" w:lineRule="auto"/>
              <w:rPr>
                <w:rFonts w:ascii="Calibri" w:hAnsi="Calibri"/>
                <w:sz w:val="16"/>
                <w:szCs w:val="16"/>
              </w:rPr>
            </w:pPr>
            <w:r>
              <w:rPr>
                <w:rFonts w:ascii="Calibri" w:hAnsi="Calibri"/>
                <w:sz w:val="16"/>
                <w:szCs w:val="16"/>
              </w:rPr>
              <w:t xml:space="preserve">Les membres de l’ASWN à Oman testent des applications qui peuvent être utilisées par les compagnies maritimes, et d’autres membres étudient et testent d’autres applications susceptibles d’être employées par les compagnies touristiques et le public, ainsi que pour la recherche (exemple : </w:t>
            </w:r>
            <w:hyperlink r:id="rId36" w:history="1">
              <w:proofErr w:type="spellStart"/>
              <w:r>
                <w:rPr>
                  <w:rStyle w:val="Hyperlink"/>
                  <w:rFonts w:ascii="Calibri" w:hAnsi="Calibri"/>
                  <w:sz w:val="16"/>
                  <w:szCs w:val="16"/>
                </w:rPr>
                <w:t>Spotter</w:t>
              </w:r>
              <w:proofErr w:type="spellEnd"/>
              <w:r>
                <w:rPr>
                  <w:rStyle w:val="Hyperlink"/>
                  <w:rFonts w:ascii="Calibri" w:hAnsi="Calibri"/>
                  <w:sz w:val="16"/>
                  <w:szCs w:val="16"/>
                </w:rPr>
                <w:t xml:space="preserve"> Pro</w:t>
              </w:r>
            </w:hyperlink>
            <w:r>
              <w:rPr>
                <w:rFonts w:ascii="Calibri" w:hAnsi="Calibri"/>
                <w:sz w:val="16"/>
                <w:szCs w:val="16"/>
              </w:rPr>
              <w:t xml:space="preserve">, </w:t>
            </w:r>
            <w:hyperlink r:id="rId37" w:history="1">
              <w:proofErr w:type="spellStart"/>
              <w:r>
                <w:rPr>
                  <w:rStyle w:val="Hyperlink"/>
                  <w:rFonts w:ascii="Calibri" w:hAnsi="Calibri"/>
                  <w:sz w:val="16"/>
                  <w:szCs w:val="16"/>
                </w:rPr>
                <w:t>Whale</w:t>
              </w:r>
              <w:proofErr w:type="spellEnd"/>
              <w:r>
                <w:rPr>
                  <w:rStyle w:val="Hyperlink"/>
                  <w:rFonts w:ascii="Calibri" w:hAnsi="Calibri"/>
                  <w:sz w:val="16"/>
                  <w:szCs w:val="16"/>
                </w:rPr>
                <w:t xml:space="preserve"> </w:t>
              </w:r>
              <w:proofErr w:type="spellStart"/>
              <w:r>
                <w:rPr>
                  <w:rStyle w:val="Hyperlink"/>
                  <w:rFonts w:ascii="Calibri" w:hAnsi="Calibri"/>
                  <w:sz w:val="16"/>
                  <w:szCs w:val="16"/>
                </w:rPr>
                <w:t>Alert</w:t>
              </w:r>
              <w:proofErr w:type="spellEnd"/>
            </w:hyperlink>
            <w:r>
              <w:rPr>
                <w:rFonts w:ascii="Calibri" w:hAnsi="Calibri"/>
                <w:sz w:val="16"/>
                <w:szCs w:val="16"/>
              </w:rPr>
              <w:t xml:space="preserve">, </w:t>
            </w:r>
            <w:hyperlink r:id="rId38" w:history="1">
              <w:proofErr w:type="spellStart"/>
              <w:r>
                <w:rPr>
                  <w:rStyle w:val="Hyperlink"/>
                  <w:rFonts w:ascii="Calibri" w:hAnsi="Calibri"/>
                  <w:sz w:val="16"/>
                  <w:szCs w:val="16"/>
                </w:rPr>
                <w:t>Seafari</w:t>
              </w:r>
              <w:proofErr w:type="spellEnd"/>
            </w:hyperlink>
            <w:r>
              <w:rPr>
                <w:rFonts w:ascii="Calibri" w:hAnsi="Calibri"/>
                <w:sz w:val="16"/>
                <w:szCs w:val="16"/>
              </w:rPr>
              <w:t>). Cependant, aucune application n’est encore utilisée régulièrement ni traduite dans les langues employées par les États de l’aire de répartition. Un financement serait nécessaire pour les rendre plus largement accessibles et utilisables, idéalement pour les observateurs des pêches formés par le WWF-Pakistan.</w:t>
            </w:r>
          </w:p>
          <w:p w14:paraId="0C40B867" w14:textId="09E8E7D7" w:rsidR="00944847" w:rsidRDefault="00944847">
            <w:pPr>
              <w:spacing w:after="0" w:line="240" w:lineRule="auto"/>
              <w:rPr>
                <w:rFonts w:ascii="Calibri" w:eastAsia="Times New Roman" w:hAnsi="Calibri" w:cs="Calibri"/>
                <w:sz w:val="16"/>
                <w:szCs w:val="16"/>
              </w:rPr>
            </w:pPr>
          </w:p>
        </w:tc>
      </w:tr>
      <w:tr w:rsidR="00944847" w:rsidRPr="00944847" w14:paraId="3BED35B6" w14:textId="77777777" w:rsidTr="00944847">
        <w:trPr>
          <w:trHeight w:val="960"/>
        </w:trPr>
        <w:tc>
          <w:tcPr>
            <w:tcW w:w="3016" w:type="dxa"/>
            <w:tcBorders>
              <w:top w:val="nil"/>
              <w:left w:val="single" w:sz="8" w:space="0" w:color="auto"/>
              <w:bottom w:val="single" w:sz="8" w:space="0" w:color="auto"/>
              <w:right w:val="single" w:sz="8" w:space="0" w:color="auto"/>
            </w:tcBorders>
            <w:vAlign w:val="center"/>
            <w:hideMark/>
          </w:tcPr>
          <w:p w14:paraId="4E220BA0"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Recherche collaborative en bateau pour poursuivre les études de photo-identification, recueillir des échantillons génétiques et identifier l’habitat essentiel. La participation de scientifiques locaux à ces recherches renforcera les capacités de conservation future dans la région.</w:t>
            </w:r>
          </w:p>
        </w:tc>
        <w:tc>
          <w:tcPr>
            <w:tcW w:w="1984" w:type="dxa"/>
            <w:tcBorders>
              <w:top w:val="nil"/>
              <w:left w:val="nil"/>
              <w:bottom w:val="single" w:sz="8" w:space="0" w:color="auto"/>
              <w:right w:val="single" w:sz="8" w:space="0" w:color="auto"/>
            </w:tcBorders>
            <w:vAlign w:val="center"/>
            <w:hideMark/>
          </w:tcPr>
          <w:p w14:paraId="0B24CEEC"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Amélioration des données sur la répartition des baleines, l’utilisation de l’habitat, l’identité des populations et la connectivité entre les régions, et augmentation du nombre de chercheurs qualifiés sur les cétacés dans la région.</w:t>
            </w:r>
          </w:p>
        </w:tc>
        <w:tc>
          <w:tcPr>
            <w:tcW w:w="4395" w:type="dxa"/>
            <w:tcBorders>
              <w:top w:val="nil"/>
              <w:left w:val="nil"/>
              <w:bottom w:val="single" w:sz="8" w:space="0" w:color="auto"/>
              <w:right w:val="single" w:sz="8" w:space="0" w:color="auto"/>
            </w:tcBorders>
            <w:vAlign w:val="center"/>
            <w:hideMark/>
          </w:tcPr>
          <w:p w14:paraId="1E22E663"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La recherche en bateau s’est poursuivie à Oman et implique parfois des participants d’autres États de l’aire de répartition. Toutefois, aucun financement pour les efforts de recherche concertée à grande échelle n’a encore été obtenu.</w:t>
            </w:r>
          </w:p>
        </w:tc>
      </w:tr>
      <w:tr w:rsidR="00944847" w:rsidRPr="00944847" w14:paraId="25C6CA07" w14:textId="77777777" w:rsidTr="00944847">
        <w:trPr>
          <w:trHeight w:val="765"/>
        </w:trPr>
        <w:tc>
          <w:tcPr>
            <w:tcW w:w="3016" w:type="dxa"/>
            <w:tcBorders>
              <w:top w:val="nil"/>
              <w:left w:val="single" w:sz="8" w:space="0" w:color="auto"/>
              <w:bottom w:val="single" w:sz="8" w:space="0" w:color="auto"/>
              <w:right w:val="single" w:sz="8" w:space="0" w:color="auto"/>
            </w:tcBorders>
            <w:vAlign w:val="center"/>
            <w:hideMark/>
          </w:tcPr>
          <w:p w14:paraId="1632677A"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Utilisation d’</w:t>
            </w:r>
            <w:r>
              <w:rPr>
                <w:rFonts w:ascii="Calibri" w:hAnsi="Calibri"/>
                <w:b/>
                <w:bCs/>
                <w:color w:val="000000"/>
                <w:sz w:val="16"/>
                <w:szCs w:val="16"/>
              </w:rPr>
              <w:t>enregistreurs acoustiques passifs</w:t>
            </w:r>
            <w:r>
              <w:rPr>
                <w:rFonts w:ascii="Calibri" w:hAnsi="Calibri"/>
                <w:color w:val="000000"/>
                <w:sz w:val="16"/>
                <w:szCs w:val="16"/>
              </w:rPr>
              <w:t xml:space="preserve"> pour détecter la présence de baleines et surveiller le bruit introduit par l’homme dans des zones difficiles à étudier sur le plan logistique ou dangereuses.</w:t>
            </w:r>
          </w:p>
        </w:tc>
        <w:tc>
          <w:tcPr>
            <w:tcW w:w="1984" w:type="dxa"/>
            <w:tcBorders>
              <w:top w:val="nil"/>
              <w:left w:val="nil"/>
              <w:bottom w:val="single" w:sz="8" w:space="0" w:color="auto"/>
              <w:right w:val="single" w:sz="8" w:space="0" w:color="auto"/>
            </w:tcBorders>
            <w:vAlign w:val="center"/>
            <w:hideMark/>
          </w:tcPr>
          <w:p w14:paraId="26B87D6D"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Meilleure compréhension de la répartition des baleines dans l’est de la mer d’Arabie (exemple : Gujarat et </w:t>
            </w:r>
            <w:proofErr w:type="spellStart"/>
            <w:r>
              <w:rPr>
                <w:rFonts w:ascii="Calibri" w:hAnsi="Calibri"/>
                <w:sz w:val="16"/>
                <w:szCs w:val="16"/>
              </w:rPr>
              <w:t>Rann</w:t>
            </w:r>
            <w:proofErr w:type="spellEnd"/>
            <w:r>
              <w:rPr>
                <w:rFonts w:ascii="Calibri" w:hAnsi="Calibri"/>
                <w:sz w:val="16"/>
                <w:szCs w:val="16"/>
              </w:rPr>
              <w:t xml:space="preserve"> of Kutch)</w:t>
            </w:r>
          </w:p>
        </w:tc>
        <w:tc>
          <w:tcPr>
            <w:tcW w:w="4395" w:type="dxa"/>
            <w:tcBorders>
              <w:top w:val="nil"/>
              <w:left w:val="nil"/>
              <w:bottom w:val="single" w:sz="8" w:space="0" w:color="auto"/>
              <w:right w:val="single" w:sz="8" w:space="0" w:color="auto"/>
            </w:tcBorders>
            <w:vAlign w:val="center"/>
            <w:hideMark/>
          </w:tcPr>
          <w:p w14:paraId="2DDB6CF4" w14:textId="77777777" w:rsidR="00944847" w:rsidRDefault="00944847">
            <w:pPr>
              <w:spacing w:after="0" w:line="240" w:lineRule="auto"/>
              <w:rPr>
                <w:rFonts w:ascii="Calibri" w:hAnsi="Calibri"/>
                <w:sz w:val="16"/>
                <w:szCs w:val="16"/>
              </w:rPr>
            </w:pPr>
            <w:r>
              <w:rPr>
                <w:rFonts w:ascii="Calibri" w:hAnsi="Calibri"/>
                <w:sz w:val="16"/>
                <w:szCs w:val="16"/>
              </w:rPr>
              <w:t xml:space="preserve">Les enregistrements réalisés à Oman en 2012-2013 ont été analysés et les précieux résultats ont été présentés à la CBI </w:t>
            </w:r>
            <w:r>
              <w:rPr>
                <w:rFonts w:ascii="Calibri" w:eastAsia="Times New Roman" w:hAnsi="Calibri" w:cs="Calibri"/>
                <w:sz w:val="16"/>
                <w:szCs w:val="16"/>
              </w:rPr>
              <w:fldChar w:fldCharType="begin">
                <w:fldData xml:space="preserve">PEVuZE5vdGU+PENpdGU+PEF1dGhvcj5DZXJjaGlvPC9BdXRob3I+PFllYXI+MjAxODwvWWVhcj48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PEVuZE5vdGU+PENpdGU+PEF1dGhvcj5DZXJjaGlvPC9BdXRob3I+PFllYXI+MjAxODwvWWVhcj48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sz w:val="16"/>
                <w:szCs w:val="16"/>
              </w:rPr>
              <w:t>(</w:t>
            </w:r>
            <w:hyperlink r:id="rId39" w:anchor="_ENREF_1" w:tooltip="Cerchio, 2018 #8933" w:history="1">
              <w:r>
                <w:rPr>
                  <w:rStyle w:val="Hyperlink"/>
                  <w:rFonts w:ascii="Calibri" w:eastAsia="Times New Roman" w:hAnsi="Calibri" w:cs="Calibri"/>
                  <w:sz w:val="16"/>
                  <w:szCs w:val="16"/>
                </w:rPr>
                <w:t>Cerchio et al., 2018</w:t>
              </w:r>
            </w:hyperlink>
            <w:r>
              <w:rPr>
                <w:rFonts w:ascii="Calibri" w:eastAsia="Times New Roman" w:hAnsi="Calibri" w:cs="Calibri"/>
                <w:sz w:val="16"/>
                <w:szCs w:val="16"/>
              </w:rPr>
              <w:t xml:space="preserve">; </w:t>
            </w:r>
            <w:hyperlink r:id="rId40" w:anchor="_ENREF_2" w:tooltip="Cerchio, 2016 #3145" w:history="1">
              <w:r>
                <w:rPr>
                  <w:rStyle w:val="Hyperlink"/>
                  <w:rFonts w:ascii="Calibri" w:eastAsia="Times New Roman" w:hAnsi="Calibri" w:cs="Calibri"/>
                  <w:sz w:val="16"/>
                  <w:szCs w:val="16"/>
                </w:rPr>
                <w:t>Cerchio et al., 2016</w:t>
              </w:r>
            </w:hyperlink>
            <w:r>
              <w:rPr>
                <w:rFonts w:ascii="Calibri" w:eastAsia="Times New Roman" w:hAnsi="Calibri" w:cs="Calibri"/>
                <w:sz w:val="16"/>
                <w:szCs w:val="16"/>
              </w:rPr>
              <w:t>)</w:t>
            </w:r>
            <w:r>
              <w:rPr>
                <w:rFonts w:ascii="Calibri" w:eastAsia="Times New Roman" w:hAnsi="Calibri" w:cs="Calibri"/>
                <w:sz w:val="16"/>
                <w:szCs w:val="16"/>
              </w:rPr>
              <w:fldChar w:fldCharType="end"/>
            </w:r>
            <w:r>
              <w:rPr>
                <w:rFonts w:ascii="Calibri" w:hAnsi="Calibri"/>
                <w:sz w:val="16"/>
                <w:szCs w:val="16"/>
              </w:rPr>
              <w:t xml:space="preserve">. Des enregistrements opportunistes ont également été analysés en Inde </w:t>
            </w:r>
            <w:r>
              <w:rPr>
                <w:rFonts w:ascii="Calibri" w:eastAsia="Times New Roman" w:hAnsi="Calibri" w:cs="Calibri"/>
                <w:sz w:val="16"/>
                <w:szCs w:val="16"/>
              </w:rPr>
              <w:fldChar w:fldCharType="begin">
                <w:fldData xml:space="preserve">PEVuZE5vdGU+PENpdGU+PEF1dGhvcj5NYWRodXN1ZGhhbmE8L0F1dGhvcj48WWVhcj4yMDE4PC9Z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PEVuZE5vdGU+PENpdGU+PEF1dGhvcj5NYWRodXN1ZGhhbmE8L0F1dGhvcj48WWVhcj4yMDE4PC9Z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Pr>
                <w:rFonts w:ascii="Calibri" w:eastAsia="Times New Roman" w:hAnsi="Calibri" w:cs="Calibri"/>
                <w:sz w:val="16"/>
                <w:szCs w:val="16"/>
              </w:rPr>
              <w:t>(</w:t>
            </w:r>
            <w:hyperlink r:id="rId41" w:anchor="_ENREF_3" w:tooltip="Madhusudhana, 2018 #8844" w:history="1">
              <w:r>
                <w:rPr>
                  <w:rStyle w:val="Hyperlink"/>
                  <w:rFonts w:ascii="Calibri" w:eastAsia="Times New Roman" w:hAnsi="Calibri" w:cs="Calibri"/>
                  <w:sz w:val="16"/>
                  <w:szCs w:val="16"/>
                </w:rPr>
                <w:t>Madhusudhana, Chakraborty, &amp; Latha, 2018</w:t>
              </w:r>
            </w:hyperlink>
            <w:r>
              <w:rPr>
                <w:rFonts w:ascii="Calibri" w:eastAsia="Times New Roman" w:hAnsi="Calibri" w:cs="Calibri"/>
                <w:sz w:val="16"/>
                <w:szCs w:val="16"/>
              </w:rPr>
              <w:t xml:space="preserve">; </w:t>
            </w:r>
            <w:hyperlink r:id="rId42" w:anchor="_ENREF_4" w:tooltip="Mahanty, 2015 #3150" w:history="1">
              <w:r>
                <w:rPr>
                  <w:rStyle w:val="Hyperlink"/>
                  <w:rFonts w:ascii="Calibri" w:eastAsia="Times New Roman" w:hAnsi="Calibri" w:cs="Calibri"/>
                  <w:sz w:val="16"/>
                  <w:szCs w:val="16"/>
                </w:rPr>
                <w:t>Mahanty, Latha, &amp; Thirunavukkarasu, 2015</w:t>
              </w:r>
            </w:hyperlink>
            <w:r>
              <w:rPr>
                <w:rFonts w:ascii="Calibri" w:eastAsia="Times New Roman" w:hAnsi="Calibri" w:cs="Calibri"/>
                <w:sz w:val="16"/>
                <w:szCs w:val="16"/>
              </w:rPr>
              <w:t>)</w:t>
            </w:r>
            <w:r>
              <w:rPr>
                <w:rFonts w:ascii="Calibri" w:eastAsia="Times New Roman" w:hAnsi="Calibri" w:cs="Calibri"/>
                <w:sz w:val="16"/>
                <w:szCs w:val="16"/>
              </w:rPr>
              <w:fldChar w:fldCharType="end"/>
            </w:r>
            <w:r>
              <w:rPr>
                <w:rFonts w:ascii="Calibri" w:hAnsi="Calibri"/>
                <w:sz w:val="16"/>
                <w:szCs w:val="16"/>
              </w:rPr>
              <w:t>. Le financement et la logistique nécessaires à la réalisation d’enquêtes acoustiques passives à grande échelle au Pakistan et en Inde n’ont pas encore été mis en place. Il est toutefois prévu d’acheter et de placer des unités au large de la côte sud-ouest de l’Inde.</w:t>
            </w:r>
          </w:p>
          <w:p w14:paraId="0EB08ABA" w14:textId="37EA2D5F" w:rsidR="00944847" w:rsidRDefault="00944847">
            <w:pPr>
              <w:spacing w:after="0" w:line="240" w:lineRule="auto"/>
              <w:rPr>
                <w:rFonts w:ascii="Calibri" w:eastAsia="Times New Roman" w:hAnsi="Calibri" w:cs="Calibri"/>
                <w:sz w:val="16"/>
                <w:szCs w:val="16"/>
              </w:rPr>
            </w:pPr>
          </w:p>
        </w:tc>
      </w:tr>
      <w:tr w:rsidR="00944847" w:rsidRPr="00944847" w14:paraId="71D180D0" w14:textId="77777777" w:rsidTr="00944847">
        <w:trPr>
          <w:trHeight w:val="915"/>
        </w:trPr>
        <w:tc>
          <w:tcPr>
            <w:tcW w:w="3016" w:type="dxa"/>
            <w:tcBorders>
              <w:top w:val="nil"/>
              <w:left w:val="single" w:sz="8" w:space="0" w:color="auto"/>
              <w:bottom w:val="single" w:sz="8" w:space="0" w:color="auto"/>
              <w:right w:val="single" w:sz="8" w:space="0" w:color="auto"/>
            </w:tcBorders>
            <w:vAlign w:val="center"/>
            <w:hideMark/>
          </w:tcPr>
          <w:p w14:paraId="56413AD2" w14:textId="77777777" w:rsidR="00944847" w:rsidRDefault="00944847">
            <w:pPr>
              <w:spacing w:after="0" w:line="240" w:lineRule="auto"/>
              <w:jc w:val="both"/>
              <w:rPr>
                <w:rFonts w:ascii="Calibri" w:eastAsia="Times New Roman" w:hAnsi="Calibri" w:cs="Calibri"/>
                <w:b/>
                <w:bCs/>
                <w:color w:val="000000"/>
                <w:sz w:val="16"/>
                <w:szCs w:val="16"/>
              </w:rPr>
            </w:pPr>
            <w:r>
              <w:rPr>
                <w:rFonts w:ascii="Calibri" w:hAnsi="Calibri"/>
                <w:b/>
                <w:bCs/>
                <w:color w:val="000000"/>
                <w:sz w:val="16"/>
                <w:szCs w:val="16"/>
              </w:rPr>
              <w:t>Analyse génétique</w:t>
            </w:r>
            <w:r>
              <w:rPr>
                <w:rFonts w:ascii="Calibri" w:hAnsi="Calibri"/>
                <w:color w:val="000000"/>
                <w:sz w:val="16"/>
                <w:szCs w:val="16"/>
              </w:rPr>
              <w:t xml:space="preserve"> d’échantillons prélevés sur des échouages et lors de relevés spécifiques aux baleines afin de déterminer si les baleines à bosse de la mer d’Arabie constituent une nouvelle sous-espèce.</w:t>
            </w:r>
          </w:p>
        </w:tc>
        <w:tc>
          <w:tcPr>
            <w:tcW w:w="1984" w:type="dxa"/>
            <w:tcBorders>
              <w:top w:val="nil"/>
              <w:left w:val="nil"/>
              <w:bottom w:val="single" w:sz="8" w:space="0" w:color="auto"/>
              <w:right w:val="single" w:sz="8" w:space="0" w:color="auto"/>
            </w:tcBorders>
            <w:vAlign w:val="center"/>
            <w:hideMark/>
          </w:tcPr>
          <w:p w14:paraId="1F7A60AF"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Désignation probable de la BBMA comme nouvelle espèce ou sous-espèce, compréhension du lien de parenté entre les baleines échantillonnées et de leur filiation.</w:t>
            </w:r>
          </w:p>
        </w:tc>
        <w:tc>
          <w:tcPr>
            <w:tcW w:w="4395" w:type="dxa"/>
            <w:tcBorders>
              <w:top w:val="nil"/>
              <w:left w:val="nil"/>
              <w:bottom w:val="single" w:sz="8" w:space="0" w:color="auto"/>
              <w:right w:val="single" w:sz="8" w:space="0" w:color="auto"/>
            </w:tcBorders>
            <w:vAlign w:val="center"/>
            <w:hideMark/>
          </w:tcPr>
          <w:p w14:paraId="34DBDD9C"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Howard </w:t>
            </w:r>
            <w:proofErr w:type="spellStart"/>
            <w:r>
              <w:rPr>
                <w:rFonts w:ascii="Calibri" w:hAnsi="Calibri"/>
                <w:sz w:val="16"/>
                <w:szCs w:val="16"/>
              </w:rPr>
              <w:t>Rosenbaum</w:t>
            </w:r>
            <w:proofErr w:type="spellEnd"/>
            <w:r>
              <w:rPr>
                <w:rFonts w:ascii="Calibri" w:hAnsi="Calibri"/>
                <w:sz w:val="16"/>
                <w:szCs w:val="16"/>
              </w:rPr>
              <w:t xml:space="preserve"> et son laboratoire y travaillent encore, et utilisent des échantillons prélevés à Oman jusqu’en 2015.</w:t>
            </w:r>
          </w:p>
        </w:tc>
      </w:tr>
      <w:tr w:rsidR="00944847" w:rsidRPr="00944847" w14:paraId="4018EC25" w14:textId="77777777" w:rsidTr="00944847">
        <w:trPr>
          <w:trHeight w:val="915"/>
        </w:trPr>
        <w:tc>
          <w:tcPr>
            <w:tcW w:w="3016" w:type="dxa"/>
            <w:tcBorders>
              <w:top w:val="nil"/>
              <w:left w:val="single" w:sz="8" w:space="0" w:color="auto"/>
              <w:bottom w:val="single" w:sz="8" w:space="0" w:color="auto"/>
              <w:right w:val="single" w:sz="8" w:space="0" w:color="auto"/>
            </w:tcBorders>
            <w:vAlign w:val="center"/>
          </w:tcPr>
          <w:p w14:paraId="0D478EEC" w14:textId="77777777" w:rsidR="00944847" w:rsidRDefault="00944847">
            <w:pPr>
              <w:spacing w:after="0" w:line="240" w:lineRule="auto"/>
              <w:jc w:val="both"/>
              <w:rPr>
                <w:rFonts w:ascii="Calibri" w:eastAsia="Times New Roman" w:hAnsi="Calibri" w:cs="Calibri"/>
                <w:b/>
                <w:bCs/>
                <w:color w:val="000000"/>
                <w:sz w:val="16"/>
                <w:szCs w:val="16"/>
              </w:rPr>
            </w:pPr>
          </w:p>
        </w:tc>
        <w:tc>
          <w:tcPr>
            <w:tcW w:w="1984" w:type="dxa"/>
            <w:tcBorders>
              <w:top w:val="nil"/>
              <w:left w:val="nil"/>
              <w:bottom w:val="single" w:sz="8" w:space="0" w:color="auto"/>
              <w:right w:val="single" w:sz="8" w:space="0" w:color="auto"/>
            </w:tcBorders>
            <w:vAlign w:val="center"/>
          </w:tcPr>
          <w:p w14:paraId="0D42A1D2" w14:textId="77777777" w:rsidR="00944847" w:rsidRDefault="00944847">
            <w:pPr>
              <w:spacing w:after="0" w:line="240" w:lineRule="auto"/>
              <w:rPr>
                <w:rFonts w:ascii="Calibri" w:eastAsia="Times New Roman" w:hAnsi="Calibri" w:cs="Calibri"/>
                <w:sz w:val="16"/>
                <w:szCs w:val="16"/>
              </w:rPr>
            </w:pPr>
          </w:p>
        </w:tc>
        <w:tc>
          <w:tcPr>
            <w:tcW w:w="4395" w:type="dxa"/>
            <w:tcBorders>
              <w:top w:val="nil"/>
              <w:left w:val="nil"/>
              <w:bottom w:val="single" w:sz="8" w:space="0" w:color="auto"/>
              <w:right w:val="single" w:sz="8" w:space="0" w:color="auto"/>
            </w:tcBorders>
            <w:vAlign w:val="center"/>
            <w:hideMark/>
          </w:tcPr>
          <w:p w14:paraId="65AD3009" w14:textId="77777777" w:rsidR="00944847" w:rsidRDefault="00944847">
            <w:pPr>
              <w:spacing w:after="0" w:line="240" w:lineRule="auto"/>
              <w:rPr>
                <w:rFonts w:ascii="Calibri" w:hAnsi="Calibri"/>
                <w:sz w:val="16"/>
                <w:szCs w:val="16"/>
              </w:rPr>
            </w:pPr>
            <w:r>
              <w:rPr>
                <w:rFonts w:ascii="Calibri" w:hAnsi="Calibri"/>
                <w:sz w:val="16"/>
                <w:szCs w:val="16"/>
              </w:rPr>
              <w:t>Bien qu’elle ne figure pas sur la liste des activités ciblées par l’Action concertée, cet aspect se justifie par la nécessité d’étudier la santé et les menaces qui pèsent sur les baleines à bosse, et la Commission baleinière internationale a accordé une subvention qui permettra aux chercheurs d’examiner et de noter toutes les photos de baleines à bosse d’Oman à la recherche de signes de maladie et cicatrices/blessures induites par l’homme. Ces travaux débuteront en mai 2019 et devraient s’achever d’ici à décembre 2019.</w:t>
            </w:r>
          </w:p>
          <w:p w14:paraId="50469D9A" w14:textId="55EFA581" w:rsidR="00944847" w:rsidRDefault="00944847">
            <w:pPr>
              <w:spacing w:after="0" w:line="240" w:lineRule="auto"/>
              <w:rPr>
                <w:rFonts w:ascii="Calibri" w:eastAsia="Times New Roman" w:hAnsi="Calibri" w:cs="Calibri"/>
                <w:sz w:val="16"/>
                <w:szCs w:val="16"/>
              </w:rPr>
            </w:pPr>
          </w:p>
        </w:tc>
      </w:tr>
      <w:tr w:rsidR="00944847" w14:paraId="269EAC1E" w14:textId="77777777" w:rsidTr="00944847">
        <w:trPr>
          <w:trHeight w:val="915"/>
        </w:trPr>
        <w:tc>
          <w:tcPr>
            <w:tcW w:w="3016" w:type="dxa"/>
            <w:tcBorders>
              <w:top w:val="nil"/>
              <w:left w:val="single" w:sz="8" w:space="0" w:color="auto"/>
              <w:bottom w:val="single" w:sz="8" w:space="0" w:color="auto"/>
              <w:right w:val="single" w:sz="8" w:space="0" w:color="auto"/>
            </w:tcBorders>
            <w:vAlign w:val="center"/>
          </w:tcPr>
          <w:p w14:paraId="1728210F" w14:textId="77777777" w:rsidR="00944847" w:rsidRDefault="00944847">
            <w:pPr>
              <w:spacing w:after="0" w:line="240" w:lineRule="auto"/>
              <w:jc w:val="both"/>
              <w:rPr>
                <w:rFonts w:ascii="Calibri" w:eastAsia="Times New Roman" w:hAnsi="Calibri" w:cs="Calibri"/>
                <w:b/>
                <w:bCs/>
                <w:color w:val="000000"/>
                <w:sz w:val="16"/>
                <w:szCs w:val="16"/>
              </w:rPr>
            </w:pPr>
          </w:p>
        </w:tc>
        <w:tc>
          <w:tcPr>
            <w:tcW w:w="1984" w:type="dxa"/>
            <w:tcBorders>
              <w:top w:val="nil"/>
              <w:left w:val="nil"/>
              <w:bottom w:val="single" w:sz="8" w:space="0" w:color="auto"/>
              <w:right w:val="single" w:sz="8" w:space="0" w:color="auto"/>
            </w:tcBorders>
            <w:vAlign w:val="center"/>
          </w:tcPr>
          <w:p w14:paraId="7988F936" w14:textId="77777777" w:rsidR="00944847" w:rsidRDefault="00944847">
            <w:pPr>
              <w:spacing w:after="0" w:line="240" w:lineRule="auto"/>
              <w:rPr>
                <w:rFonts w:ascii="Calibri" w:eastAsia="Times New Roman" w:hAnsi="Calibri" w:cs="Calibri"/>
                <w:sz w:val="16"/>
                <w:szCs w:val="16"/>
              </w:rPr>
            </w:pPr>
          </w:p>
        </w:tc>
        <w:tc>
          <w:tcPr>
            <w:tcW w:w="4395" w:type="dxa"/>
            <w:tcBorders>
              <w:top w:val="nil"/>
              <w:left w:val="nil"/>
              <w:bottom w:val="single" w:sz="8" w:space="0" w:color="auto"/>
              <w:right w:val="single" w:sz="8" w:space="0" w:color="auto"/>
            </w:tcBorders>
            <w:vAlign w:val="center"/>
          </w:tcPr>
          <w:p w14:paraId="16CD98BC"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Les travaux régionaux de modélisation des niches écologiques de la baleine à bosse de la mer d’Arabie présentés précédemment à la CBI (</w:t>
            </w:r>
            <w:proofErr w:type="spellStart"/>
            <w:r>
              <w:rPr>
                <w:rFonts w:ascii="Calibri" w:hAnsi="Calibri"/>
                <w:sz w:val="16"/>
                <w:szCs w:val="16"/>
              </w:rPr>
              <w:t>Willson</w:t>
            </w:r>
            <w:proofErr w:type="spellEnd"/>
            <w:r>
              <w:rPr>
                <w:rFonts w:ascii="Calibri" w:hAnsi="Calibri"/>
                <w:sz w:val="16"/>
                <w:szCs w:val="16"/>
              </w:rPr>
              <w:t xml:space="preserve"> et al. 2017) ont été mis à jour par l’ajout des résultats de travaux de télémétrie par satellite plus récents, ainsi que l’adoption d’une méthode perfectionnée. Les couches d’adéquation de l’habitat sont en cours de </w:t>
            </w:r>
            <w:r>
              <w:rPr>
                <w:rFonts w:ascii="Calibri" w:hAnsi="Calibri"/>
                <w:sz w:val="16"/>
                <w:szCs w:val="16"/>
              </w:rPr>
              <w:lastRenderedPageBreak/>
              <w:t>préparation en vue d’une évaluation des risques de collision avec les navires en examinant la cooccurrence entre les habitats de baleines identifiés et la cartographie de la densité du trafic maritime (dérivée des données AIS obtenues par satellite). Cette étude devrait être terminée d’ici fin 2019.</w:t>
            </w:r>
          </w:p>
          <w:p w14:paraId="6869318C" w14:textId="77777777" w:rsidR="00944847" w:rsidRDefault="00944847">
            <w:pPr>
              <w:spacing w:after="0" w:line="240" w:lineRule="auto"/>
              <w:rPr>
                <w:rFonts w:ascii="Calibri" w:eastAsia="Times New Roman" w:hAnsi="Calibri" w:cs="Calibri"/>
                <w:sz w:val="16"/>
                <w:szCs w:val="16"/>
                <w:highlight w:val="yellow"/>
              </w:rPr>
            </w:pPr>
          </w:p>
        </w:tc>
      </w:tr>
      <w:tr w:rsidR="00944847" w:rsidRPr="00944847" w14:paraId="6C1A471F" w14:textId="77777777" w:rsidTr="00944847">
        <w:trPr>
          <w:trHeight w:val="240"/>
        </w:trPr>
        <w:tc>
          <w:tcPr>
            <w:tcW w:w="301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303DAFB9" w14:textId="77777777" w:rsidR="00944847" w:rsidRDefault="00944847">
            <w:pPr>
              <w:spacing w:after="0" w:line="240" w:lineRule="auto"/>
              <w:jc w:val="both"/>
              <w:rPr>
                <w:rFonts w:ascii="Calibri" w:eastAsia="Times New Roman" w:hAnsi="Calibri" w:cs="Calibri"/>
                <w:b/>
                <w:bCs/>
                <w:i/>
                <w:iCs/>
                <w:color w:val="1F497D"/>
                <w:sz w:val="18"/>
                <w:szCs w:val="18"/>
              </w:rPr>
            </w:pPr>
            <w:r>
              <w:rPr>
                <w:rFonts w:ascii="Calibri" w:hAnsi="Calibri"/>
                <w:b/>
                <w:bCs/>
                <w:i/>
                <w:iCs/>
                <w:color w:val="1F497D"/>
                <w:sz w:val="18"/>
                <w:szCs w:val="18"/>
              </w:rPr>
              <w:lastRenderedPageBreak/>
              <w:t>Partage de l’information et sensibilisation</w:t>
            </w:r>
          </w:p>
        </w:tc>
        <w:tc>
          <w:tcPr>
            <w:tcW w:w="1984"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498B2838"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w:t>
            </w:r>
          </w:p>
        </w:tc>
        <w:tc>
          <w:tcPr>
            <w:tcW w:w="4395"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7A92C847"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w:t>
            </w:r>
          </w:p>
        </w:tc>
      </w:tr>
      <w:tr w:rsidR="00944847" w:rsidRPr="00944847" w14:paraId="23C84E32" w14:textId="77777777" w:rsidTr="00944847">
        <w:trPr>
          <w:trHeight w:val="1155"/>
        </w:trPr>
        <w:tc>
          <w:tcPr>
            <w:tcW w:w="3016" w:type="dxa"/>
            <w:tcBorders>
              <w:top w:val="nil"/>
              <w:left w:val="single" w:sz="8" w:space="0" w:color="auto"/>
              <w:bottom w:val="single" w:sz="8" w:space="0" w:color="auto"/>
              <w:right w:val="single" w:sz="8" w:space="0" w:color="auto"/>
            </w:tcBorders>
            <w:vAlign w:val="center"/>
            <w:hideMark/>
          </w:tcPr>
          <w:p w14:paraId="47276FDD"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 xml:space="preserve">L’élaboration d’une </w:t>
            </w:r>
            <w:r>
              <w:rPr>
                <w:rFonts w:ascii="Calibri" w:hAnsi="Calibri"/>
                <w:b/>
                <w:bCs/>
                <w:color w:val="000000"/>
                <w:sz w:val="16"/>
                <w:szCs w:val="16"/>
              </w:rPr>
              <w:t>plateforme régionale de données en ligne partagée</w:t>
            </w:r>
            <w:r>
              <w:rPr>
                <w:rFonts w:ascii="Calibri" w:hAnsi="Calibri"/>
                <w:color w:val="000000"/>
                <w:sz w:val="16"/>
                <w:szCs w:val="16"/>
              </w:rPr>
              <w:t xml:space="preserve"> pour promouvoir la normalisation, la comparabilité et l’analyse opportune des données recueillies dans l’ensemble de la région. Cette plateforme servira à faciliter la création de cartes de sensibilité et aidera les parties prenantes à concevoir des stratégies de conservation locales, nationales et régionales, notamment des aires protégées.</w:t>
            </w:r>
          </w:p>
        </w:tc>
        <w:tc>
          <w:tcPr>
            <w:tcW w:w="1984" w:type="dxa"/>
            <w:tcBorders>
              <w:top w:val="nil"/>
              <w:left w:val="nil"/>
              <w:bottom w:val="single" w:sz="8" w:space="0" w:color="auto"/>
              <w:right w:val="single" w:sz="8" w:space="0" w:color="auto"/>
            </w:tcBorders>
            <w:vAlign w:val="center"/>
            <w:hideMark/>
          </w:tcPr>
          <w:p w14:paraId="4EFB5803"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Meilleure compréhension de la répartition et de la connectivité des baleines à bosse de la mer d’Arabie entre les zones d’étude.</w:t>
            </w:r>
          </w:p>
        </w:tc>
        <w:tc>
          <w:tcPr>
            <w:tcW w:w="4395" w:type="dxa"/>
            <w:tcBorders>
              <w:top w:val="nil"/>
              <w:left w:val="nil"/>
              <w:bottom w:val="single" w:sz="8" w:space="0" w:color="auto"/>
              <w:right w:val="single" w:sz="8" w:space="0" w:color="auto"/>
            </w:tcBorders>
            <w:vAlign w:val="center"/>
            <w:hideMark/>
          </w:tcPr>
          <w:p w14:paraId="1B6C460E"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Deux années de développement en collaboration entre les membres de l’ASWN, </w:t>
            </w:r>
            <w:hyperlink r:id="rId43" w:history="1">
              <w:proofErr w:type="spellStart"/>
              <w:r>
                <w:rPr>
                  <w:rStyle w:val="Hyperlink"/>
                  <w:rFonts w:ascii="Calibri" w:hAnsi="Calibri"/>
                  <w:sz w:val="16"/>
                  <w:szCs w:val="16"/>
                </w:rPr>
                <w:t>Flukebook</w:t>
              </w:r>
              <w:proofErr w:type="spellEnd"/>
            </w:hyperlink>
            <w:r>
              <w:rPr>
                <w:rFonts w:ascii="Calibri" w:hAnsi="Calibri"/>
                <w:sz w:val="16"/>
                <w:szCs w:val="16"/>
              </w:rPr>
              <w:t xml:space="preserve">, et </w:t>
            </w:r>
            <w:hyperlink r:id="rId44" w:history="1">
              <w:proofErr w:type="spellStart"/>
              <w:r>
                <w:rPr>
                  <w:rStyle w:val="Hyperlink"/>
                  <w:rFonts w:ascii="Calibri" w:hAnsi="Calibri"/>
                  <w:sz w:val="16"/>
                  <w:szCs w:val="16"/>
                </w:rPr>
                <w:t>Indocet</w:t>
              </w:r>
              <w:proofErr w:type="spellEnd"/>
            </w:hyperlink>
            <w:r>
              <w:rPr>
                <w:rFonts w:ascii="Calibri" w:hAnsi="Calibri"/>
                <w:sz w:val="16"/>
                <w:szCs w:val="16"/>
              </w:rPr>
              <w:t xml:space="preserve"> ont abouti à la création d’une </w:t>
            </w:r>
            <w:hyperlink r:id="rId45" w:history="1">
              <w:r>
                <w:rPr>
                  <w:rStyle w:val="Hyperlink"/>
                  <w:rFonts w:ascii="Calibri" w:hAnsi="Calibri"/>
                  <w:sz w:val="16"/>
                  <w:szCs w:val="16"/>
                </w:rPr>
                <w:t>base de données de l’ASWN en ligne</w:t>
              </w:r>
            </w:hyperlink>
            <w:r>
              <w:rPr>
                <w:rFonts w:ascii="Calibri" w:hAnsi="Calibri"/>
                <w:sz w:val="16"/>
                <w:szCs w:val="16"/>
              </w:rPr>
              <w:t xml:space="preserve"> qui repose sur la plateforme </w:t>
            </w:r>
            <w:proofErr w:type="spellStart"/>
            <w:r>
              <w:rPr>
                <w:rFonts w:ascii="Calibri" w:hAnsi="Calibri"/>
                <w:sz w:val="16"/>
                <w:szCs w:val="16"/>
              </w:rPr>
              <w:t>Flukebook</w:t>
            </w:r>
            <w:proofErr w:type="spellEnd"/>
            <w:r>
              <w:rPr>
                <w:rFonts w:ascii="Calibri" w:hAnsi="Calibri"/>
                <w:sz w:val="16"/>
                <w:szCs w:val="16"/>
              </w:rPr>
              <w:t>. Cette nouvelle plateforme de données permet le téléchargement, l’archivage et l’analyse des données d’observation des cétacés, ainsi que l’utilisation de la « vision par ordinateur » pour effectuer des appariements automatisés des queues de baleines à bosse au sein et entre les projets de recherche menés dans la mer d’Arabie et dans l’océan Indien occidental dans son ensemble.</w:t>
            </w:r>
          </w:p>
        </w:tc>
      </w:tr>
      <w:tr w:rsidR="00944847" w:rsidRPr="00944847" w14:paraId="48F878F0" w14:textId="77777777" w:rsidTr="00944847">
        <w:trPr>
          <w:trHeight w:val="1125"/>
        </w:trPr>
        <w:tc>
          <w:tcPr>
            <w:tcW w:w="3016" w:type="dxa"/>
            <w:tcBorders>
              <w:top w:val="nil"/>
              <w:left w:val="single" w:sz="8" w:space="0" w:color="auto"/>
              <w:bottom w:val="single" w:sz="8" w:space="0" w:color="auto"/>
              <w:right w:val="single" w:sz="8" w:space="0" w:color="auto"/>
            </w:tcBorders>
            <w:vAlign w:val="center"/>
            <w:hideMark/>
          </w:tcPr>
          <w:p w14:paraId="566C961A"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 xml:space="preserve">Un </w:t>
            </w:r>
            <w:r>
              <w:rPr>
                <w:rFonts w:ascii="Calibri" w:hAnsi="Calibri"/>
                <w:b/>
                <w:bCs/>
                <w:color w:val="000000"/>
                <w:sz w:val="16"/>
                <w:szCs w:val="16"/>
              </w:rPr>
              <w:t>site Web</w:t>
            </w:r>
            <w:r>
              <w:rPr>
                <w:rFonts w:ascii="Calibri" w:hAnsi="Calibri"/>
                <w:color w:val="000000"/>
                <w:sz w:val="16"/>
                <w:szCs w:val="16"/>
              </w:rPr>
              <w:t xml:space="preserve"> amélioré qui fournit un portail vers la base de données partagée (voir ci-dessus), informe le grand public des besoins en matière de conservation des baleines et fournit aux membres une série d’</w:t>
            </w:r>
            <w:r>
              <w:rPr>
                <w:rFonts w:ascii="Calibri" w:hAnsi="Calibri"/>
                <w:b/>
                <w:bCs/>
                <w:color w:val="000000"/>
                <w:sz w:val="16"/>
                <w:szCs w:val="16"/>
              </w:rPr>
              <w:t>outils de sensibilisation</w:t>
            </w:r>
            <w:r>
              <w:rPr>
                <w:rFonts w:ascii="Calibri" w:hAnsi="Calibri"/>
                <w:color w:val="000000"/>
                <w:sz w:val="16"/>
                <w:szCs w:val="16"/>
              </w:rPr>
              <w:t xml:space="preserve"> pour impliquer les gouvernements et les autres intervenants dans leur région et les faire participer aux efforts de conservation des baleines.</w:t>
            </w:r>
          </w:p>
        </w:tc>
        <w:tc>
          <w:tcPr>
            <w:tcW w:w="1984" w:type="dxa"/>
            <w:tcBorders>
              <w:top w:val="nil"/>
              <w:left w:val="nil"/>
              <w:bottom w:val="single" w:sz="8" w:space="0" w:color="auto"/>
              <w:right w:val="single" w:sz="8" w:space="0" w:color="auto"/>
            </w:tcBorders>
            <w:vAlign w:val="center"/>
            <w:hideMark/>
          </w:tcPr>
          <w:p w14:paraId="1EC7374B"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Sensibilisation accrue des parties prenantes aux besoins en matière de conservation de la BBMA</w:t>
            </w:r>
          </w:p>
        </w:tc>
        <w:tc>
          <w:tcPr>
            <w:tcW w:w="4395" w:type="dxa"/>
            <w:tcBorders>
              <w:top w:val="nil"/>
              <w:left w:val="nil"/>
              <w:bottom w:val="single" w:sz="8" w:space="0" w:color="auto"/>
              <w:right w:val="single" w:sz="8" w:space="0" w:color="auto"/>
            </w:tcBorders>
            <w:vAlign w:val="center"/>
            <w:hideMark/>
          </w:tcPr>
          <w:p w14:paraId="5BA0F589"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Le </w:t>
            </w:r>
            <w:hyperlink r:id="rId46" w:history="1">
              <w:r>
                <w:rPr>
                  <w:rStyle w:val="Hyperlink"/>
                  <w:rFonts w:ascii="Calibri" w:hAnsi="Calibri"/>
                  <w:sz w:val="16"/>
                  <w:szCs w:val="16"/>
                </w:rPr>
                <w:t>site Web du Réseau des baleines de la mer d’Arabie</w:t>
              </w:r>
            </w:hyperlink>
            <w:r>
              <w:rPr>
                <w:rFonts w:ascii="Calibri" w:hAnsi="Calibri"/>
                <w:sz w:val="16"/>
                <w:szCs w:val="16"/>
              </w:rPr>
              <w:t xml:space="preserve"> a fait l’objet de quelques améliorations et est maintenu avec des mises à jour et </w:t>
            </w:r>
            <w:hyperlink r:id="rId47" w:history="1">
              <w:r>
                <w:rPr>
                  <w:rStyle w:val="Hyperlink"/>
                  <w:rFonts w:ascii="Calibri" w:hAnsi="Calibri"/>
                  <w:sz w:val="16"/>
                  <w:szCs w:val="16"/>
                </w:rPr>
                <w:t>des articles</w:t>
              </w:r>
            </w:hyperlink>
            <w:r>
              <w:rPr>
                <w:rFonts w:ascii="Calibri" w:hAnsi="Calibri"/>
                <w:sz w:val="16"/>
                <w:szCs w:val="16"/>
              </w:rPr>
              <w:t xml:space="preserve">, outre </w:t>
            </w:r>
            <w:hyperlink r:id="rId48" w:history="1">
              <w:r>
                <w:rPr>
                  <w:rStyle w:val="Hyperlink"/>
                  <w:rFonts w:ascii="Calibri" w:hAnsi="Calibri"/>
                  <w:sz w:val="16"/>
                  <w:szCs w:val="16"/>
                </w:rPr>
                <w:t>une page consacrée à la nouvelle plateforme de données</w:t>
              </w:r>
            </w:hyperlink>
            <w:r>
              <w:rPr>
                <w:rFonts w:ascii="Calibri" w:hAnsi="Calibri"/>
                <w:sz w:val="16"/>
                <w:szCs w:val="16"/>
              </w:rPr>
              <w:t xml:space="preserve">. L’ASWN a produit une </w:t>
            </w:r>
            <w:hyperlink r:id="rId49" w:history="1">
              <w:r>
                <w:rPr>
                  <w:rStyle w:val="Hyperlink"/>
                  <w:rFonts w:ascii="Calibri" w:hAnsi="Calibri"/>
                  <w:sz w:val="16"/>
                  <w:szCs w:val="16"/>
                </w:rPr>
                <w:t>infographie</w:t>
              </w:r>
            </w:hyperlink>
            <w:r>
              <w:rPr>
                <w:rFonts w:ascii="Calibri" w:hAnsi="Calibri"/>
                <w:sz w:val="16"/>
                <w:szCs w:val="16"/>
              </w:rPr>
              <w:t xml:space="preserve"> à utiliser pour contacter les parties prenantes, ainsi que trois numéros d’un </w:t>
            </w:r>
            <w:hyperlink r:id="rId50" w:history="1">
              <w:r>
                <w:rPr>
                  <w:rStyle w:val="Hyperlink"/>
                  <w:rFonts w:ascii="Calibri" w:hAnsi="Calibri"/>
                  <w:sz w:val="16"/>
                  <w:szCs w:val="16"/>
                </w:rPr>
                <w:t>bulletin d’information</w:t>
              </w:r>
            </w:hyperlink>
            <w:r>
              <w:rPr>
                <w:rFonts w:ascii="Calibri" w:hAnsi="Calibri"/>
                <w:sz w:val="16"/>
                <w:szCs w:val="16"/>
              </w:rPr>
              <w:t>. Cependant, davantage pourrait être fait pour créer une plus grande variété d’outils de sensibilisation, y compris des présentations PowerPoint, des vidéos ou d’autres outils en plusieurs langues.</w:t>
            </w:r>
          </w:p>
        </w:tc>
      </w:tr>
      <w:tr w:rsidR="00944847" w:rsidRPr="00944847" w14:paraId="1B8727F7" w14:textId="77777777" w:rsidTr="00944847">
        <w:trPr>
          <w:trHeight w:val="469"/>
        </w:trPr>
        <w:tc>
          <w:tcPr>
            <w:tcW w:w="3016" w:type="dxa"/>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hideMark/>
          </w:tcPr>
          <w:p w14:paraId="7F4465CD" w14:textId="77777777" w:rsidR="00944847" w:rsidRDefault="00944847">
            <w:pPr>
              <w:spacing w:after="0" w:line="240" w:lineRule="auto"/>
              <w:jc w:val="both"/>
              <w:rPr>
                <w:rFonts w:ascii="Calibri" w:eastAsia="Times New Roman" w:hAnsi="Calibri" w:cs="Calibri"/>
                <w:b/>
                <w:bCs/>
                <w:i/>
                <w:iCs/>
                <w:color w:val="1F497D"/>
                <w:sz w:val="18"/>
                <w:szCs w:val="18"/>
              </w:rPr>
            </w:pPr>
            <w:r>
              <w:rPr>
                <w:rFonts w:ascii="Calibri" w:hAnsi="Calibri"/>
                <w:b/>
                <w:bCs/>
                <w:i/>
                <w:iCs/>
                <w:color w:val="1F497D"/>
                <w:sz w:val="18"/>
                <w:szCs w:val="18"/>
              </w:rPr>
              <w:t>Renforcement des capacités et élaboration et mise en œuvre de stratégies d’atténuation</w:t>
            </w:r>
          </w:p>
        </w:tc>
        <w:tc>
          <w:tcPr>
            <w:tcW w:w="1984" w:type="dxa"/>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7E0268C6"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w:t>
            </w:r>
          </w:p>
        </w:tc>
        <w:tc>
          <w:tcPr>
            <w:tcW w:w="4395" w:type="dxa"/>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3D7A6526"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w:t>
            </w:r>
          </w:p>
        </w:tc>
      </w:tr>
      <w:tr w:rsidR="00944847" w:rsidRPr="00944847" w14:paraId="38FE2395" w14:textId="77777777" w:rsidTr="00944847">
        <w:trPr>
          <w:trHeight w:val="2704"/>
        </w:trPr>
        <w:tc>
          <w:tcPr>
            <w:tcW w:w="3016" w:type="dxa"/>
            <w:tcBorders>
              <w:top w:val="nil"/>
              <w:left w:val="single" w:sz="8" w:space="0" w:color="auto"/>
              <w:bottom w:val="single" w:sz="4" w:space="0" w:color="auto"/>
              <w:right w:val="single" w:sz="4" w:space="0" w:color="auto"/>
            </w:tcBorders>
            <w:vAlign w:val="center"/>
            <w:hideMark/>
          </w:tcPr>
          <w:p w14:paraId="2B14FB4F"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Organisation d’</w:t>
            </w:r>
            <w:r>
              <w:rPr>
                <w:rFonts w:ascii="Calibri" w:hAnsi="Calibri"/>
                <w:b/>
                <w:bCs/>
                <w:color w:val="000000"/>
                <w:sz w:val="16"/>
                <w:szCs w:val="16"/>
              </w:rPr>
              <w:t>ateliers régionaux</w:t>
            </w:r>
            <w:r>
              <w:rPr>
                <w:rFonts w:ascii="Calibri" w:hAnsi="Calibri"/>
                <w:color w:val="000000"/>
                <w:sz w:val="16"/>
                <w:szCs w:val="16"/>
              </w:rPr>
              <w:t xml:space="preserve"> ciblés, de </w:t>
            </w:r>
            <w:r>
              <w:rPr>
                <w:rFonts w:ascii="Calibri" w:hAnsi="Calibri"/>
                <w:b/>
                <w:bCs/>
                <w:color w:val="000000"/>
                <w:sz w:val="16"/>
                <w:szCs w:val="16"/>
              </w:rPr>
              <w:t>réunions</w:t>
            </w:r>
            <w:r>
              <w:rPr>
                <w:rFonts w:ascii="Calibri" w:hAnsi="Calibri"/>
                <w:color w:val="000000"/>
                <w:sz w:val="16"/>
                <w:szCs w:val="16"/>
              </w:rPr>
              <w:t xml:space="preserve"> et d’opportunités de </w:t>
            </w:r>
            <w:r>
              <w:rPr>
                <w:rFonts w:ascii="Calibri" w:hAnsi="Calibri"/>
                <w:b/>
                <w:bCs/>
                <w:color w:val="000000"/>
                <w:sz w:val="16"/>
                <w:szCs w:val="16"/>
              </w:rPr>
              <w:t>formation</w:t>
            </w:r>
            <w:r>
              <w:rPr>
                <w:rFonts w:ascii="Calibri" w:hAnsi="Calibri"/>
                <w:color w:val="000000"/>
                <w:sz w:val="16"/>
                <w:szCs w:val="16"/>
              </w:rPr>
              <w:t xml:space="preserve"> qui impliqueront les organismes gouvernementaux locaux et nationaux et de jeunes scientifiques, renforceront les capacités, et développeront des stratégies d’atténuation et des mesures de conservation multipartites dans les États clés de l’aire de répartition.</w:t>
            </w:r>
          </w:p>
        </w:tc>
        <w:tc>
          <w:tcPr>
            <w:tcW w:w="1984" w:type="dxa"/>
            <w:tcBorders>
              <w:top w:val="nil"/>
              <w:left w:val="nil"/>
              <w:bottom w:val="single" w:sz="4" w:space="0" w:color="auto"/>
              <w:right w:val="single" w:sz="4" w:space="0" w:color="auto"/>
            </w:tcBorders>
            <w:vAlign w:val="center"/>
            <w:hideMark/>
          </w:tcPr>
          <w:p w14:paraId="5EF9D19A"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Une réponse plus efficace en cas d’échouage ou d’enchevêtrement conduisant à une meilleure survie des cétacés affectés, de meilleures données sur les taux de prises accidentelles ou d’enchevêtrement dans toute la région, une participation accrue du gouvernement.</w:t>
            </w:r>
          </w:p>
        </w:tc>
        <w:tc>
          <w:tcPr>
            <w:tcW w:w="4395" w:type="dxa"/>
            <w:tcBorders>
              <w:top w:val="nil"/>
              <w:left w:val="nil"/>
              <w:bottom w:val="single" w:sz="4" w:space="0" w:color="auto"/>
              <w:right w:val="single" w:sz="4" w:space="0" w:color="auto"/>
            </w:tcBorders>
            <w:vAlign w:val="center"/>
            <w:hideMark/>
          </w:tcPr>
          <w:p w14:paraId="30EADADC"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Un atelier s’est tenu à Oman, en janvier 2018, sur les dernières étapes du développement de la plateforme de données </w:t>
            </w:r>
            <w:proofErr w:type="spellStart"/>
            <w:r>
              <w:rPr>
                <w:rFonts w:ascii="Calibri" w:hAnsi="Calibri"/>
                <w:sz w:val="16"/>
                <w:szCs w:val="16"/>
              </w:rPr>
              <w:t>Flukebook</w:t>
            </w:r>
            <w:proofErr w:type="spellEnd"/>
            <w:r>
              <w:rPr>
                <w:rFonts w:ascii="Calibri" w:hAnsi="Calibri"/>
                <w:sz w:val="16"/>
                <w:szCs w:val="16"/>
              </w:rPr>
              <w:t xml:space="preserve"> de l’ASWN, ainsi que sur la question de la collecte de données sur les pêcheries dans la région. Cet atelier a réuni des membres d’ASWN et un certain nombre de représentants d’organismes gouvernementaux d’Oman responsables de la gestion et de la conservation des cétacés. Le rapport complet de l’atelier est disponible </w:t>
            </w:r>
            <w:hyperlink r:id="rId51" w:history="1">
              <w:r>
                <w:rPr>
                  <w:rStyle w:val="Hyperlink"/>
                  <w:rFonts w:ascii="Calibri" w:hAnsi="Calibri"/>
                  <w:sz w:val="16"/>
                  <w:szCs w:val="16"/>
                </w:rPr>
                <w:t>ici</w:t>
              </w:r>
            </w:hyperlink>
            <w:r>
              <w:rPr>
                <w:rFonts w:ascii="Calibri" w:hAnsi="Calibri"/>
                <w:sz w:val="16"/>
                <w:szCs w:val="16"/>
              </w:rPr>
              <w:t>.</w:t>
            </w:r>
          </w:p>
          <w:p w14:paraId="3CDB0290"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De nombreux chercheurs travaillant sur les baleines à bosse de la mer d’Arabie ont également participé à l’atelier de l’UICN sur </w:t>
            </w:r>
            <w:hyperlink r:id="rId52" w:history="1">
              <w:r>
                <w:rPr>
                  <w:rStyle w:val="Hyperlink"/>
                  <w:rFonts w:ascii="Calibri" w:hAnsi="Calibri"/>
                  <w:sz w:val="16"/>
                  <w:szCs w:val="16"/>
                </w:rPr>
                <w:t>les aires importantes pour les mammifères marins de l’océan Indien occidental et de la mer d’Arabie</w:t>
              </w:r>
            </w:hyperlink>
            <w:r>
              <w:rPr>
                <w:rFonts w:ascii="Calibri" w:hAnsi="Calibri"/>
                <w:sz w:val="16"/>
                <w:szCs w:val="16"/>
              </w:rPr>
              <w:t>. Bien qu’organisé avec d’autres objectifs, cet atelier a également permis de renforcer les capacités régionales et d’impliquer les parties prenantes, en particulier les représentants du gouvernement omanais qui y ont pris part.</w:t>
            </w:r>
          </w:p>
        </w:tc>
      </w:tr>
      <w:tr w:rsidR="00944847" w:rsidRPr="00944847" w14:paraId="5995DAA2" w14:textId="77777777" w:rsidTr="00944847">
        <w:trPr>
          <w:trHeight w:val="645"/>
        </w:trPr>
        <w:tc>
          <w:tcPr>
            <w:tcW w:w="3016" w:type="dxa"/>
            <w:tcBorders>
              <w:top w:val="nil"/>
              <w:left w:val="single" w:sz="8" w:space="0" w:color="auto"/>
              <w:bottom w:val="single" w:sz="4" w:space="0" w:color="auto"/>
              <w:right w:val="single" w:sz="4" w:space="0" w:color="auto"/>
            </w:tcBorders>
            <w:vAlign w:val="bottom"/>
            <w:hideMark/>
          </w:tcPr>
          <w:p w14:paraId="08A7D9BB"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t>Transposition des stratégies d’atténuation des impacts de navires d’Oman et de réduction des prises accessoires du Pakistan dans d’autres zones de la mer d’Arabie.</w:t>
            </w:r>
          </w:p>
        </w:tc>
        <w:tc>
          <w:tcPr>
            <w:tcW w:w="1984" w:type="dxa"/>
            <w:tcBorders>
              <w:top w:val="nil"/>
              <w:left w:val="nil"/>
              <w:bottom w:val="single" w:sz="4" w:space="0" w:color="auto"/>
              <w:right w:val="single" w:sz="4" w:space="0" w:color="auto"/>
            </w:tcBorders>
            <w:vAlign w:val="center"/>
            <w:hideMark/>
          </w:tcPr>
          <w:p w14:paraId="2A58A32B"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Réduction du risque de collision avec des navires dans toute la région, et amélioration des chances de survie en cas d’enchevêtrement.</w:t>
            </w:r>
          </w:p>
        </w:tc>
        <w:tc>
          <w:tcPr>
            <w:tcW w:w="4395" w:type="dxa"/>
            <w:tcBorders>
              <w:top w:val="nil"/>
              <w:left w:val="nil"/>
              <w:bottom w:val="single" w:sz="4" w:space="0" w:color="auto"/>
              <w:right w:val="single" w:sz="4" w:space="0" w:color="auto"/>
            </w:tcBorders>
            <w:vAlign w:val="center"/>
          </w:tcPr>
          <w:p w14:paraId="25785FFF"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 xml:space="preserve">Deux des principaux partisans du programme pakistanais d’observation des prises accessoires basé sur l’équipage présenteront leurs travaux lors d’un atelier organisé par la CBI sur la réduction des prises accidentelles dans l’océan Indien en mai 2019. L’atelier est conçu pour encourager l’échange d’expériences et de techniques, et aboutira à la sélection de projets pilotes et de projets affiliés dans le cadre desquels les méthodes pakistanaises pourront, espérons-le, être testées dans d’autres sites de l’océan Indien. Trois représentants de la Commission des thons de l’océan Indien, ainsi qu’un représentant du projet Common </w:t>
            </w:r>
            <w:proofErr w:type="spellStart"/>
            <w:r>
              <w:rPr>
                <w:rFonts w:ascii="Calibri" w:hAnsi="Calibri"/>
                <w:sz w:val="16"/>
                <w:szCs w:val="16"/>
              </w:rPr>
              <w:t>oceans</w:t>
            </w:r>
            <w:proofErr w:type="spellEnd"/>
            <w:r>
              <w:rPr>
                <w:rFonts w:ascii="Calibri" w:hAnsi="Calibri"/>
                <w:sz w:val="16"/>
                <w:szCs w:val="16"/>
              </w:rPr>
              <w:t xml:space="preserve"> de la FAO, participeront à cet atelier et devraient être bien placés pour promouvoir et faciliter la transposition à grande échelle du travail du Pakistan dans la région.</w:t>
            </w:r>
          </w:p>
          <w:p w14:paraId="16077608" w14:textId="77777777" w:rsidR="00944847" w:rsidRDefault="00944847">
            <w:pPr>
              <w:spacing w:after="0" w:line="240" w:lineRule="auto"/>
              <w:rPr>
                <w:rFonts w:ascii="Calibri" w:eastAsia="Times New Roman" w:hAnsi="Calibri" w:cs="Calibri"/>
                <w:sz w:val="16"/>
                <w:szCs w:val="16"/>
              </w:rPr>
            </w:pPr>
          </w:p>
          <w:p w14:paraId="3747D3D1" w14:textId="77777777" w:rsidR="00944847" w:rsidRDefault="00944847">
            <w:pPr>
              <w:spacing w:after="0" w:line="240" w:lineRule="auto"/>
              <w:rPr>
                <w:rFonts w:ascii="Calibri" w:eastAsia="Times New Roman" w:hAnsi="Calibri" w:cs="Calibri"/>
                <w:sz w:val="16"/>
                <w:szCs w:val="16"/>
              </w:rPr>
            </w:pPr>
            <w:r>
              <w:rPr>
                <w:rFonts w:ascii="Calibri" w:hAnsi="Calibri"/>
                <w:iCs/>
                <w:sz w:val="16"/>
                <w:szCs w:val="16"/>
              </w:rPr>
              <w:t>L’élaboration d’une approche régionale de l’atténuation des risques de collision avec les navires devrait s’appuyer en partie sur l’évaluation des risques de collision avec les navires actuellement en cours (et dont il est question dans la section « Correction des lacunes en matière de connaissances » ci-dessus).</w:t>
            </w:r>
          </w:p>
        </w:tc>
      </w:tr>
      <w:tr w:rsidR="00944847" w:rsidRPr="00944847" w14:paraId="5DEA9275" w14:textId="77777777" w:rsidTr="00944847">
        <w:trPr>
          <w:trHeight w:val="540"/>
        </w:trPr>
        <w:tc>
          <w:tcPr>
            <w:tcW w:w="3016" w:type="dxa"/>
            <w:tcBorders>
              <w:top w:val="nil"/>
              <w:left w:val="single" w:sz="8" w:space="0" w:color="auto"/>
              <w:bottom w:val="single" w:sz="8" w:space="0" w:color="auto"/>
              <w:right w:val="single" w:sz="4" w:space="0" w:color="auto"/>
            </w:tcBorders>
            <w:noWrap/>
            <w:vAlign w:val="bottom"/>
            <w:hideMark/>
          </w:tcPr>
          <w:p w14:paraId="64F14D4B" w14:textId="77777777" w:rsidR="00944847" w:rsidRDefault="00944847">
            <w:pPr>
              <w:spacing w:after="0" w:line="240" w:lineRule="auto"/>
              <w:jc w:val="both"/>
              <w:rPr>
                <w:rFonts w:ascii="Calibri" w:eastAsia="Times New Roman" w:hAnsi="Calibri" w:cs="Calibri"/>
                <w:color w:val="000000"/>
                <w:sz w:val="16"/>
                <w:szCs w:val="16"/>
              </w:rPr>
            </w:pPr>
            <w:r>
              <w:rPr>
                <w:rFonts w:ascii="Calibri" w:hAnsi="Calibri"/>
                <w:color w:val="000000"/>
                <w:sz w:val="16"/>
                <w:szCs w:val="16"/>
              </w:rPr>
              <w:lastRenderedPageBreak/>
              <w:t>Élaboration d’un plan régional de conservation et de gestion de la baleine à bosse de la mer d’Arabie approuvé par les États de l’aire de répartition</w:t>
            </w:r>
          </w:p>
        </w:tc>
        <w:tc>
          <w:tcPr>
            <w:tcW w:w="1984" w:type="dxa"/>
            <w:tcBorders>
              <w:top w:val="nil"/>
              <w:left w:val="nil"/>
              <w:bottom w:val="single" w:sz="8" w:space="0" w:color="auto"/>
              <w:right w:val="single" w:sz="4" w:space="0" w:color="auto"/>
            </w:tcBorders>
            <w:vAlign w:val="center"/>
            <w:hideMark/>
          </w:tcPr>
          <w:p w14:paraId="182F2B49"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Plan régional de conservation et de gestion pour promouvoir la conservation et la gestion coordonnées et concertées à long terme dans l’ensemble de l’aire de répartition de la baleine à bosse de la mer d’Arabie.</w:t>
            </w:r>
          </w:p>
        </w:tc>
        <w:tc>
          <w:tcPr>
            <w:tcW w:w="4395" w:type="dxa"/>
            <w:tcBorders>
              <w:top w:val="nil"/>
              <w:left w:val="nil"/>
              <w:bottom w:val="single" w:sz="8" w:space="0" w:color="auto"/>
              <w:right w:val="single" w:sz="4" w:space="0" w:color="auto"/>
            </w:tcBorders>
            <w:vAlign w:val="center"/>
            <w:hideMark/>
          </w:tcPr>
          <w:p w14:paraId="649C5EB8" w14:textId="77777777" w:rsidR="00944847" w:rsidRDefault="00944847">
            <w:pPr>
              <w:spacing w:after="0" w:line="240" w:lineRule="auto"/>
              <w:rPr>
                <w:rFonts w:ascii="Calibri" w:eastAsia="Times New Roman" w:hAnsi="Calibri" w:cs="Calibri"/>
                <w:sz w:val="16"/>
                <w:szCs w:val="16"/>
              </w:rPr>
            </w:pPr>
            <w:r>
              <w:rPr>
                <w:rFonts w:ascii="Calibri" w:hAnsi="Calibri"/>
                <w:sz w:val="16"/>
                <w:szCs w:val="16"/>
              </w:rPr>
              <w:t>Des discussions sont en cours entre le Conseiller nommé par la CMS pour les mammifères aquatiques, le représentant régional du Bureau de la CMS d’Abu Dhabi, et les divers représentants de la Commission baleinière internationale et de ses États membres. Ces débats portent sur l’élaboration d’un Plan de la CBI pour la gestion de la conservation de la baleine à bosse de la mer d’Arabie qui serait, une fois finalisé, approuvé conjointement par la CBI et la CMS. L’approbation par les gouvernements de l’Inde et d’Oman, les deux seuls États de l’aire de répartition de la baleine à bosse de la mer d’Arabie qui sont membres de la CBI, reste à confirmer et les discussions sont toujours en cours.</w:t>
            </w:r>
          </w:p>
        </w:tc>
      </w:tr>
    </w:tbl>
    <w:p w14:paraId="5605E00A" w14:textId="77777777" w:rsidR="00944847" w:rsidRPr="006D298F" w:rsidRDefault="00944847" w:rsidP="006D298F">
      <w:pPr>
        <w:pStyle w:val="ListParagraph"/>
        <w:spacing w:after="0" w:line="240" w:lineRule="auto"/>
        <w:ind w:left="0"/>
        <w:jc w:val="both"/>
        <w:rPr>
          <w:rFonts w:cs="Arial"/>
        </w:rPr>
      </w:pPr>
    </w:p>
    <w:sectPr w:rsidR="00944847" w:rsidRPr="006D298F" w:rsidSect="00D40C4C">
      <w:headerReference w:type="even" r:id="rId53"/>
      <w:headerReference w:type="default" r:id="rId54"/>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D2DF" w14:textId="77777777" w:rsidR="00C17EC9" w:rsidRDefault="00C17EC9" w:rsidP="002E0DE9">
      <w:pPr>
        <w:spacing w:after="0" w:line="240" w:lineRule="auto"/>
      </w:pPr>
      <w:r>
        <w:separator/>
      </w:r>
    </w:p>
  </w:endnote>
  <w:endnote w:type="continuationSeparator" w:id="0">
    <w:p w14:paraId="5F09FD24" w14:textId="77777777" w:rsidR="00C17EC9" w:rsidRDefault="00C17EC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13E5E94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512132">
          <w:rPr>
            <w:noProof/>
            <w:sz w:val="18"/>
            <w:szCs w:val="18"/>
          </w:rPr>
          <w:t>2</w:t>
        </w:r>
        <w:r w:rsidRPr="002E0DE9">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4482107"/>
      <w:docPartObj>
        <w:docPartGallery w:val="Page Numbers (Bottom of Page)"/>
        <w:docPartUnique/>
      </w:docPartObj>
    </w:sdtPr>
    <w:sdtEndPr/>
    <w:sdtContent>
      <w:p w14:paraId="77D4206D" w14:textId="7935CFDD" w:rsidR="00F94D0C" w:rsidRPr="00944847" w:rsidRDefault="00C17EC9" w:rsidP="00944847">
        <w:pPr>
          <w:pStyle w:val="Footer"/>
          <w:jc w:val="center"/>
          <w:rPr>
            <w:sz w:val="18"/>
            <w:szCs w:val="18"/>
          </w:rPr>
        </w:pPr>
        <w:r w:rsidRPr="00944847">
          <w:rPr>
            <w:sz w:val="18"/>
            <w:szCs w:val="18"/>
          </w:rPr>
          <w:fldChar w:fldCharType="begin"/>
        </w:r>
        <w:r w:rsidRPr="00944847">
          <w:rPr>
            <w:sz w:val="18"/>
            <w:szCs w:val="18"/>
          </w:rPr>
          <w:instrText>PAGE   \* MERGEFORMAT</w:instrText>
        </w:r>
        <w:r w:rsidRPr="00944847">
          <w:rPr>
            <w:sz w:val="18"/>
            <w:szCs w:val="18"/>
          </w:rPr>
          <w:fldChar w:fldCharType="separate"/>
        </w:r>
        <w:r w:rsidR="003A1457" w:rsidRPr="00944847">
          <w:rPr>
            <w:noProof/>
            <w:sz w:val="18"/>
            <w:szCs w:val="18"/>
          </w:rPr>
          <w:t>3</w:t>
        </w:r>
        <w:r w:rsidRPr="00944847">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01E6" w14:textId="77777777" w:rsidR="00C17EC9" w:rsidRDefault="00C17EC9" w:rsidP="002E0DE9">
      <w:pPr>
        <w:spacing w:after="0" w:line="240" w:lineRule="auto"/>
      </w:pPr>
      <w:r>
        <w:separator/>
      </w:r>
    </w:p>
  </w:footnote>
  <w:footnote w:type="continuationSeparator" w:id="0">
    <w:p w14:paraId="2B19A5B6" w14:textId="77777777" w:rsidR="00C17EC9" w:rsidRDefault="00C17EC9" w:rsidP="002E0DE9">
      <w:pPr>
        <w:spacing w:after="0" w:line="240" w:lineRule="auto"/>
      </w:pPr>
      <w:r>
        <w:continuationSeparator/>
      </w:r>
    </w:p>
  </w:footnote>
  <w:footnote w:id="1">
    <w:p w14:paraId="3A32C600" w14:textId="287A58C8" w:rsidR="006D298F" w:rsidRPr="006D298F" w:rsidRDefault="00645ED1" w:rsidP="00645ED1">
      <w:pPr>
        <w:pStyle w:val="FootnoteText"/>
        <w:rPr>
          <w:rFonts w:ascii="Arial" w:hAnsi="Arial" w:cs="Arial"/>
          <w:sz w:val="16"/>
          <w:szCs w:val="16"/>
        </w:rPr>
      </w:pPr>
      <w:r w:rsidRPr="006D298F">
        <w:rPr>
          <w:rStyle w:val="FootnoteReference"/>
          <w:rFonts w:ascii="Arial" w:hAnsi="Arial" w:cs="Arial"/>
          <w:sz w:val="16"/>
          <w:szCs w:val="16"/>
        </w:rPr>
        <w:footnoteRef/>
      </w:r>
      <w:r w:rsidRPr="006D298F">
        <w:rPr>
          <w:rFonts w:ascii="Arial" w:hAnsi="Arial" w:cs="Arial"/>
          <w:sz w:val="16"/>
          <w:szCs w:val="16"/>
        </w:rPr>
        <w:t xml:space="preserve"> </w:t>
      </w:r>
      <w:hyperlink r:id="rId1" w:history="1">
        <w:r w:rsidR="006D298F" w:rsidRPr="00BB739C">
          <w:rPr>
            <w:rStyle w:val="Hyperlink"/>
            <w:rFonts w:ascii="Arial" w:hAnsi="Arial" w:cs="Arial"/>
            <w:sz w:val="16"/>
            <w:szCs w:val="16"/>
          </w:rPr>
          <w:t>https://arabianseawhalenetwork.org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284E" w14:textId="77777777" w:rsidR="002E0DE9" w:rsidRPr="002E0DE9" w:rsidRDefault="002E0DE9" w:rsidP="002E0DE9">
    <w:pPr>
      <w:pStyle w:val="Header"/>
      <w:pBdr>
        <w:bottom w:val="single" w:sz="4" w:space="1" w:color="auto"/>
      </w:pBdr>
      <w:rPr>
        <w:i/>
        <w:sz w:val="18"/>
        <w:szCs w:val="18"/>
      </w:rPr>
    </w:pPr>
    <w:r>
      <w:rPr>
        <w:i/>
        <w:sz w:val="18"/>
        <w:szCs w:val="18"/>
      </w:rPr>
      <w:t>UNEP/CMS/COP13/</w:t>
    </w:r>
    <w:proofErr w:type="spellStart"/>
    <w:r>
      <w:rPr>
        <w:i/>
        <w:sz w:val="18"/>
        <w:szCs w:val="18"/>
      </w:rPr>
      <w:t>Doc.</w:t>
    </w:r>
    <w:r>
      <w:rPr>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7E99" w14:textId="77777777" w:rsidR="002E0DE9" w:rsidRPr="002E0DE9" w:rsidRDefault="002E0DE9" w:rsidP="002E0DE9">
    <w:pPr>
      <w:pStyle w:val="Header"/>
      <w:pBdr>
        <w:bottom w:val="single" w:sz="4" w:space="1" w:color="auto"/>
      </w:pBdr>
      <w:rPr>
        <w:i/>
        <w:sz w:val="18"/>
        <w:szCs w:val="18"/>
      </w:rPr>
    </w:pPr>
    <w:r>
      <w:rPr>
        <w:i/>
        <w:sz w:val="18"/>
        <w:szCs w:val="18"/>
      </w:rPr>
      <w:t>UNEP/CMS/COP13/</w:t>
    </w:r>
    <w:proofErr w:type="spellStart"/>
    <w:r>
      <w:rPr>
        <w:i/>
        <w:sz w:val="18"/>
        <w:szCs w:val="18"/>
      </w:rPr>
      <w:t>Doc.</w:t>
    </w:r>
    <w:r>
      <w:rPr>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2700"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rFonts w:ascii="Calibri" w:hAnsi="Calibri"/>
        <w:noProof/>
        <w:lang w:eastAsia="fr-FR"/>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rFonts w:ascii="Calibri" w:hAnsi="Calibri"/>
        <w:noProof/>
        <w:sz w:val="2"/>
        <w:szCs w:val="2"/>
        <w:lang w:eastAsia="fr-FR"/>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rFonts w:ascii="Calibri" w:hAnsi="Calibri"/>
        <w:noProof/>
        <w:sz w:val="2"/>
        <w:szCs w:val="2"/>
        <w:lang w:eastAsia="fr-FR"/>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60BE85D"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499D" w14:textId="1B3434A8" w:rsidR="006D298F" w:rsidRPr="002E0DE9" w:rsidRDefault="006D298F" w:rsidP="002E0DE9">
    <w:pPr>
      <w:pStyle w:val="Header"/>
      <w:pBdr>
        <w:bottom w:val="single" w:sz="4" w:space="1" w:color="auto"/>
      </w:pBdr>
      <w:rPr>
        <w:i/>
        <w:sz w:val="18"/>
        <w:szCs w:val="18"/>
      </w:rPr>
    </w:pPr>
    <w:r>
      <w:rPr>
        <w:i/>
        <w:sz w:val="18"/>
        <w:szCs w:val="18"/>
      </w:rPr>
      <w:t>UNEP/CMS/COP13/</w:t>
    </w:r>
    <w:r w:rsidRPr="006D298F">
      <w:rPr>
        <w:i/>
        <w:sz w:val="18"/>
        <w:szCs w:val="18"/>
      </w:rPr>
      <w:t>Doc.28.1.4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EE5" w14:textId="77777777" w:rsidR="006D298F" w:rsidRPr="002E0DE9" w:rsidRDefault="006D298F" w:rsidP="002E0DE9">
    <w:pPr>
      <w:pStyle w:val="Header"/>
      <w:pBdr>
        <w:bottom w:val="single" w:sz="4" w:space="1" w:color="auto"/>
      </w:pBdr>
      <w:rPr>
        <w:i/>
        <w:sz w:val="18"/>
        <w:szCs w:val="18"/>
      </w:rPr>
    </w:pPr>
    <w:r>
      <w:rPr>
        <w:i/>
        <w:sz w:val="18"/>
        <w:szCs w:val="18"/>
      </w:rPr>
      <w:t>UNEP/CMS/COP13/</w:t>
    </w:r>
    <w:proofErr w:type="spellStart"/>
    <w:r>
      <w:rPr>
        <w:i/>
        <w:sz w:val="18"/>
        <w:szCs w:val="18"/>
      </w:rPr>
      <w:t>Doc.</w:t>
    </w:r>
    <w:r w:rsidRPr="006D298F">
      <w:rPr>
        <w:i/>
        <w:sz w:val="18"/>
        <w:szCs w:val="18"/>
      </w:rPr>
      <w:t>XX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11AD" w14:textId="398AEC1F" w:rsidR="006D298F" w:rsidRPr="002E0DE9" w:rsidRDefault="006D298F" w:rsidP="002E0DE9">
    <w:pPr>
      <w:pStyle w:val="Header"/>
      <w:pBdr>
        <w:bottom w:val="single" w:sz="4" w:space="1" w:color="auto"/>
      </w:pBdr>
      <w:rPr>
        <w:i/>
        <w:sz w:val="18"/>
        <w:szCs w:val="18"/>
      </w:rPr>
    </w:pPr>
    <w:r>
      <w:rPr>
        <w:i/>
        <w:sz w:val="18"/>
        <w:szCs w:val="18"/>
      </w:rPr>
      <w:t>UNEP/CMS/COP13/</w:t>
    </w:r>
    <w:r w:rsidRPr="006D298F">
      <w:rPr>
        <w:i/>
        <w:sz w:val="18"/>
        <w:szCs w:val="18"/>
      </w:rPr>
      <w:t>Doc.28.1.4</w:t>
    </w:r>
    <w:r>
      <w:rPr>
        <w:i/>
        <w:sz w:val="18"/>
        <w:szCs w:val="18"/>
      </w:rPr>
      <w:t>/Annexe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E94C" w14:textId="77777777" w:rsidR="00944847" w:rsidRPr="002E0DE9" w:rsidRDefault="00944847" w:rsidP="00944847">
    <w:pPr>
      <w:pStyle w:val="Header"/>
      <w:pBdr>
        <w:bottom w:val="single" w:sz="4" w:space="1" w:color="auto"/>
      </w:pBdr>
      <w:jc w:val="right"/>
      <w:rPr>
        <w:i/>
        <w:sz w:val="18"/>
        <w:szCs w:val="18"/>
      </w:rPr>
    </w:pPr>
    <w:r>
      <w:rPr>
        <w:i/>
        <w:sz w:val="18"/>
        <w:szCs w:val="18"/>
      </w:rPr>
      <w:t>UNEP/CMS/COP13/</w:t>
    </w:r>
    <w:r w:rsidRPr="006D298F">
      <w:rPr>
        <w:i/>
        <w:sz w:val="18"/>
        <w:szCs w:val="18"/>
      </w:rPr>
      <w:t>Doc.28.1.4</w:t>
    </w:r>
    <w:r>
      <w:rPr>
        <w:i/>
        <w:sz w:val="18"/>
        <w:szCs w:val="18"/>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C4"/>
    <w:multiLevelType w:val="hybridMultilevel"/>
    <w:tmpl w:val="43244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DE0714A"/>
    <w:multiLevelType w:val="hybridMultilevel"/>
    <w:tmpl w:val="F25AF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D40C8C"/>
    <w:multiLevelType w:val="multilevel"/>
    <w:tmpl w:val="80BE8D6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7F0F4F"/>
    <w:multiLevelType w:val="hybridMultilevel"/>
    <w:tmpl w:val="60C4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F62DAB"/>
    <w:multiLevelType w:val="hybridMultilevel"/>
    <w:tmpl w:val="4CF496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FF24F06"/>
    <w:multiLevelType w:val="hybridMultilevel"/>
    <w:tmpl w:val="B6C65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7924C0"/>
    <w:multiLevelType w:val="multilevel"/>
    <w:tmpl w:val="13AADE4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653B48F7"/>
    <w:multiLevelType w:val="multilevel"/>
    <w:tmpl w:val="725E051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452C78"/>
    <w:multiLevelType w:val="multilevel"/>
    <w:tmpl w:val="6E60E8C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D582E"/>
    <w:multiLevelType w:val="hybridMultilevel"/>
    <w:tmpl w:val="29400A80"/>
    <w:lvl w:ilvl="0" w:tplc="C75E08C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5"/>
  </w:num>
  <w:num w:numId="2">
    <w:abstractNumId w:val="21"/>
  </w:num>
  <w:num w:numId="3">
    <w:abstractNumId w:val="6"/>
  </w:num>
  <w:num w:numId="4">
    <w:abstractNumId w:val="12"/>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6"/>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4"/>
  </w:num>
  <w:num w:numId="20">
    <w:abstractNumId w:val="10"/>
  </w:num>
  <w:num w:numId="21">
    <w:abstractNumId w:val="22"/>
  </w:num>
  <w:num w:numId="22">
    <w:abstractNumId w:val="5"/>
  </w:num>
  <w:num w:numId="23">
    <w:abstractNumId w:val="11"/>
  </w:num>
  <w:num w:numId="24">
    <w:abstractNumId w:val="17"/>
  </w:num>
  <w:num w:numId="25">
    <w:abstractNumId w:val="3"/>
  </w:num>
  <w:num w:numId="26">
    <w:abstractNumId w:val="2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lvlOverride w:ilvl="3"/>
    <w:lvlOverride w:ilvl="4"/>
    <w:lvlOverride w:ilvl="5"/>
    <w:lvlOverride w:ilvl="6"/>
    <w:lvlOverride w:ilvl="7"/>
    <w:lvlOverride w:ilvl="8"/>
  </w:num>
  <w:num w:numId="30">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166CD5"/>
    <w:rsid w:val="0017266D"/>
    <w:rsid w:val="001A2ED9"/>
    <w:rsid w:val="002E0DE9"/>
    <w:rsid w:val="00360838"/>
    <w:rsid w:val="00371DE1"/>
    <w:rsid w:val="00383651"/>
    <w:rsid w:val="003A1457"/>
    <w:rsid w:val="003C34C1"/>
    <w:rsid w:val="00404169"/>
    <w:rsid w:val="00481AA2"/>
    <w:rsid w:val="0049191D"/>
    <w:rsid w:val="004B7071"/>
    <w:rsid w:val="00512132"/>
    <w:rsid w:val="005330F7"/>
    <w:rsid w:val="00563598"/>
    <w:rsid w:val="00584B8E"/>
    <w:rsid w:val="005D2148"/>
    <w:rsid w:val="00645ED1"/>
    <w:rsid w:val="00652364"/>
    <w:rsid w:val="00661875"/>
    <w:rsid w:val="006846DC"/>
    <w:rsid w:val="0069797E"/>
    <w:rsid w:val="006C0CEA"/>
    <w:rsid w:val="006D298F"/>
    <w:rsid w:val="007C666D"/>
    <w:rsid w:val="00800433"/>
    <w:rsid w:val="00803CE1"/>
    <w:rsid w:val="008156DF"/>
    <w:rsid w:val="008226C3"/>
    <w:rsid w:val="00831DC2"/>
    <w:rsid w:val="00851206"/>
    <w:rsid w:val="008B0AC3"/>
    <w:rsid w:val="008B1B57"/>
    <w:rsid w:val="008C3546"/>
    <w:rsid w:val="008D66E6"/>
    <w:rsid w:val="00944847"/>
    <w:rsid w:val="0095330B"/>
    <w:rsid w:val="009C1079"/>
    <w:rsid w:val="00A34291"/>
    <w:rsid w:val="00A44A80"/>
    <w:rsid w:val="00A6349B"/>
    <w:rsid w:val="00AA35A0"/>
    <w:rsid w:val="00B5747A"/>
    <w:rsid w:val="00B57E93"/>
    <w:rsid w:val="00BE41C1"/>
    <w:rsid w:val="00C15318"/>
    <w:rsid w:val="00C15971"/>
    <w:rsid w:val="00C17EC9"/>
    <w:rsid w:val="00C2719B"/>
    <w:rsid w:val="00C71A89"/>
    <w:rsid w:val="00CD3F7C"/>
    <w:rsid w:val="00D35619"/>
    <w:rsid w:val="00D40C4C"/>
    <w:rsid w:val="00DD07FD"/>
    <w:rsid w:val="00DD3E44"/>
    <w:rsid w:val="00E40B70"/>
    <w:rsid w:val="00E81416"/>
    <w:rsid w:val="00EC4F04"/>
    <w:rsid w:val="00EC6EE1"/>
    <w:rsid w:val="00F81B4A"/>
    <w:rsid w:val="00FA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2F13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1C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1C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fr-FR"/>
    </w:rPr>
  </w:style>
  <w:style w:type="character" w:customStyle="1" w:styleId="FirstnumberingChar">
    <w:name w:val="First numbering Char"/>
    <w:basedOn w:val="ListParagraphChar"/>
    <w:link w:val="Firstnumbering"/>
    <w:rsid w:val="008C3546"/>
    <w:rPr>
      <w:lang w:val="fr-FR"/>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fr-FR"/>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fr-FR"/>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fr-FR"/>
    </w:rPr>
  </w:style>
  <w:style w:type="character" w:customStyle="1" w:styleId="TITLEChar">
    <w:name w:val="TITLE Char"/>
    <w:basedOn w:val="DefaultParagraphFont"/>
    <w:link w:val="Title1"/>
    <w:rsid w:val="004B7071"/>
    <w:rPr>
      <w:rFonts w:eastAsia="Times New Roman" w:cs="Arial"/>
      <w:b/>
      <w:caps/>
      <w:lang w:val="fr-FR"/>
    </w:rPr>
  </w:style>
  <w:style w:type="character" w:styleId="Hyperlink">
    <w:name w:val="Hyperlink"/>
    <w:basedOn w:val="DefaultParagraphFont"/>
    <w:uiPriority w:val="99"/>
    <w:unhideWhenUsed/>
    <w:rsid w:val="00645ED1"/>
    <w:rPr>
      <w:color w:val="0563C1" w:themeColor="hyperlink"/>
      <w:u w:val="single"/>
    </w:rPr>
  </w:style>
  <w:style w:type="paragraph" w:styleId="FootnoteText">
    <w:name w:val="footnote text"/>
    <w:basedOn w:val="Normal"/>
    <w:link w:val="FootnoteTextChar"/>
    <w:uiPriority w:val="99"/>
    <w:unhideWhenUsed/>
    <w:rsid w:val="00645ED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645ED1"/>
    <w:rPr>
      <w:rFonts w:ascii="Times New Roman" w:hAnsi="Times New Roman"/>
      <w:sz w:val="20"/>
      <w:szCs w:val="20"/>
      <w:lang w:val="fr-FR"/>
    </w:rPr>
  </w:style>
  <w:style w:type="character" w:styleId="FootnoteReference">
    <w:name w:val="footnote reference"/>
    <w:basedOn w:val="DefaultParagraphFont"/>
    <w:uiPriority w:val="99"/>
    <w:unhideWhenUsed/>
    <w:rsid w:val="00645ED1"/>
    <w:rPr>
      <w:vertAlign w:val="superscript"/>
    </w:rPr>
  </w:style>
  <w:style w:type="character" w:styleId="CommentReference">
    <w:name w:val="annotation reference"/>
    <w:basedOn w:val="DefaultParagraphFont"/>
    <w:uiPriority w:val="99"/>
    <w:semiHidden/>
    <w:unhideWhenUsed/>
    <w:rsid w:val="00C71A89"/>
    <w:rPr>
      <w:sz w:val="16"/>
      <w:szCs w:val="16"/>
    </w:rPr>
  </w:style>
  <w:style w:type="paragraph" w:styleId="CommentText">
    <w:name w:val="annotation text"/>
    <w:basedOn w:val="Normal"/>
    <w:link w:val="CommentTextChar"/>
    <w:uiPriority w:val="99"/>
    <w:semiHidden/>
    <w:unhideWhenUsed/>
    <w:rsid w:val="00C71A89"/>
    <w:pPr>
      <w:spacing w:line="240" w:lineRule="auto"/>
    </w:pPr>
    <w:rPr>
      <w:sz w:val="20"/>
      <w:szCs w:val="20"/>
    </w:rPr>
  </w:style>
  <w:style w:type="character" w:customStyle="1" w:styleId="CommentTextChar">
    <w:name w:val="Comment Text Char"/>
    <w:basedOn w:val="DefaultParagraphFont"/>
    <w:link w:val="CommentText"/>
    <w:uiPriority w:val="99"/>
    <w:semiHidden/>
    <w:rsid w:val="00C71A89"/>
    <w:rPr>
      <w:sz w:val="20"/>
      <w:szCs w:val="20"/>
      <w:lang w:val="fr-FR"/>
    </w:rPr>
  </w:style>
  <w:style w:type="paragraph" w:styleId="CommentSubject">
    <w:name w:val="annotation subject"/>
    <w:basedOn w:val="CommentText"/>
    <w:next w:val="CommentText"/>
    <w:link w:val="CommentSubjectChar"/>
    <w:uiPriority w:val="99"/>
    <w:semiHidden/>
    <w:unhideWhenUsed/>
    <w:rsid w:val="00C71A89"/>
    <w:rPr>
      <w:b/>
      <w:bCs/>
    </w:rPr>
  </w:style>
  <w:style w:type="character" w:customStyle="1" w:styleId="CommentSubjectChar">
    <w:name w:val="Comment Subject Char"/>
    <w:basedOn w:val="CommentTextChar"/>
    <w:link w:val="CommentSubject"/>
    <w:uiPriority w:val="99"/>
    <w:semiHidden/>
    <w:rsid w:val="00C71A89"/>
    <w:rPr>
      <w:b/>
      <w:bCs/>
      <w:sz w:val="20"/>
      <w:szCs w:val="20"/>
      <w:lang w:val="fr-FR"/>
    </w:rPr>
  </w:style>
  <w:style w:type="character" w:customStyle="1" w:styleId="Heading1Char">
    <w:name w:val="Heading 1 Char"/>
    <w:basedOn w:val="DefaultParagraphFont"/>
    <w:link w:val="Heading1"/>
    <w:uiPriority w:val="9"/>
    <w:rsid w:val="00BE41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1C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D298F"/>
    <w:rPr>
      <w:color w:val="954F72" w:themeColor="followedHyperlink"/>
      <w:u w:val="single"/>
    </w:rPr>
  </w:style>
  <w:style w:type="character" w:styleId="UnresolvedMention">
    <w:name w:val="Unresolved Mention"/>
    <w:basedOn w:val="DefaultParagraphFont"/>
    <w:uiPriority w:val="99"/>
    <w:semiHidden/>
    <w:unhideWhenUsed/>
    <w:rsid w:val="006D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7184">
      <w:bodyDiv w:val="1"/>
      <w:marLeft w:val="0"/>
      <w:marRight w:val="0"/>
      <w:marTop w:val="0"/>
      <w:marBottom w:val="0"/>
      <w:divBdr>
        <w:top w:val="none" w:sz="0" w:space="0" w:color="auto"/>
        <w:left w:val="none" w:sz="0" w:space="0" w:color="auto"/>
        <w:bottom w:val="none" w:sz="0" w:space="0" w:color="auto"/>
        <w:right w:val="none" w:sz="0" w:space="0" w:color="auto"/>
      </w:divBdr>
    </w:div>
    <w:div w:id="13828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ites/default/files/document/cms_cop12_ca.12.4_humpback-whales-arabian-sea_e.pdf" TargetMode="External"/><Relationship Id="rId18" Type="http://schemas.openxmlformats.org/officeDocument/2006/relationships/hyperlink" Target="mailto:mantonopoulou@ewswwf.ae" TargetMode="External"/><Relationship Id="rId26" Type="http://schemas.openxmlformats.org/officeDocument/2006/relationships/hyperlink" Target="https://arabianseawhalenetwork.org/posts/" TargetMode="External"/><Relationship Id="rId39" Type="http://schemas.openxmlformats.org/officeDocument/2006/relationships/hyperlink" Target="file:///S:\CMS%20Body%20-%20COP\COP13\DOCUMENTS\Pre-session\4.Concerted%20Actions\3.Cleared%20&amp;amp;%20ready%20for%20formatting\13.a_RECEIVED%20FR_annex%20to%20cop13%20doc.28.1.X%20CA%20on%20Arabian%20Humpback%20Annex_to%20translate....docx" TargetMode="External"/><Relationship Id="rId21" Type="http://schemas.openxmlformats.org/officeDocument/2006/relationships/hyperlink" Target="https://arabianseawhalenetworkdotorg.files.wordpress.com/2015/09/arabian-sea-humpback-whale-workshop-report-_final2.pdf" TargetMode="External"/><Relationship Id="rId34" Type="http://schemas.openxmlformats.org/officeDocument/2006/relationships/hyperlink" Target="https://arabianseawhalenetwork.org/2019/03/18/aswn-members-participate-in-workshop-to-identify-important-marine-mammal-areas-in-the-western-indian-ocean-and-arabian-seas/" TargetMode="External"/><Relationship Id="rId42" Type="http://schemas.openxmlformats.org/officeDocument/2006/relationships/hyperlink" Target="file:///S:\CMS%20Body%20-%20COP\COP13\DOCUMENTS\Pre-session\4.Concerted%20Actions\3.Cleared%20&amp;amp;%20ready%20for%20formatting\13.a_RECEIVED%20FR_annex%20to%20cop13%20doc.28.1.X%20CA%20on%20Arabian%20Humpback%20Annex_to%20translate....docx" TargetMode="External"/><Relationship Id="rId47" Type="http://schemas.openxmlformats.org/officeDocument/2006/relationships/hyperlink" Target="https://arabianseawhalenetwork.org/posts/" TargetMode="External"/><Relationship Id="rId50" Type="http://schemas.openxmlformats.org/officeDocument/2006/relationships/hyperlink" Target="https://arabianseawhalenetworkdotorg.files.wordpress.com/2018/10/aswn-2018_10-newsletter_final.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arabianseawhalenetwork.org/aswn-flukebook-data-platform/" TargetMode="External"/><Relationship Id="rId11" Type="http://schemas.openxmlformats.org/officeDocument/2006/relationships/footer" Target="footer1.xml"/><Relationship Id="rId24" Type="http://schemas.openxmlformats.org/officeDocument/2006/relationships/hyperlink" Target="https://portal.iwc.int/event_document_files/download/7583" TargetMode="External"/><Relationship Id="rId32" Type="http://schemas.openxmlformats.org/officeDocument/2006/relationships/hyperlink" Target="https://portal.iwc.int/event_document_files/download/7326" TargetMode="External"/><Relationship Id="rId37" Type="http://schemas.openxmlformats.org/officeDocument/2006/relationships/hyperlink" Target="http://www.whalealert.org/" TargetMode="External"/><Relationship Id="rId40" Type="http://schemas.openxmlformats.org/officeDocument/2006/relationships/hyperlink" Target="file:///S:\CMS%20Body%20-%20COP\COP13\DOCUMENTS\Pre-session\4.Concerted%20Actions\3.Cleared%20&amp;amp;%20ready%20for%20formatting\13.a_RECEIVED%20FR_annex%20to%20cop13%20doc.28.1.X%20CA%20on%20Arabian%20Humpback%20Annex_to%20translate....docx" TargetMode="External"/><Relationship Id="rId45" Type="http://schemas.openxmlformats.org/officeDocument/2006/relationships/hyperlink" Target="https://arabianseawhalenetwork.org/aswn-flukebook-data-platform/" TargetMode="External"/><Relationship Id="rId53"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arabianseawhalenetwork.org/" TargetMode="External"/><Relationship Id="rId31" Type="http://schemas.openxmlformats.org/officeDocument/2006/relationships/hyperlink" Target="https://arabianseawhalenetworkdotorg.files.wordpress.com/2018/05/pakistan-whale-sightings-2017-18_for-submission_final2.pdf" TargetMode="External"/><Relationship Id="rId44" Type="http://schemas.openxmlformats.org/officeDocument/2006/relationships/hyperlink" Target="http://indocet.org/" TargetMode="External"/><Relationship Id="rId52" Type="http://schemas.openxmlformats.org/officeDocument/2006/relationships/hyperlink" Target="https://arabianseawhalenetwork.org/2019/03/18/aswn-members-participate-in-workshop-to-identify-important-marine-mammal-areas-in-the-western-indian-ocean-and-arabian-se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arabianseawhalenetwork.org/2018/05/08/aswn-at-the-2018-international-whaling-commission-scientific-committee-meeting/" TargetMode="External"/><Relationship Id="rId27" Type="http://schemas.openxmlformats.org/officeDocument/2006/relationships/hyperlink" Target="https://arabianseawhalenetwork.org/2018/10/08/back-from-the-blue-the-latest-aswn-newsletter/" TargetMode="External"/><Relationship Id="rId30" Type="http://schemas.openxmlformats.org/officeDocument/2006/relationships/hyperlink" Target="http://www.marinemammals.in/database/sightings-strandings" TargetMode="External"/><Relationship Id="rId35" Type="http://schemas.openxmlformats.org/officeDocument/2006/relationships/hyperlink" Target="https://www.cms.int/en/document/concerted-action-humpback-whales-megaptera-novaeangliae-arabian-sea" TargetMode="External"/><Relationship Id="rId43" Type="http://schemas.openxmlformats.org/officeDocument/2006/relationships/hyperlink" Target="https://www.flukebook.org/" TargetMode="External"/><Relationship Id="rId48" Type="http://schemas.openxmlformats.org/officeDocument/2006/relationships/hyperlink" Target="https://arabianseawhalenetwork.org/aswn-flukebook-data-platform/"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arabianseawhalenetworkdotorg.files.wordpress.com/2018/03/aswn-data-platform-workshop-report-final2.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Gianna.minton@gmail.com" TargetMode="External"/><Relationship Id="rId25" Type="http://schemas.openxmlformats.org/officeDocument/2006/relationships/hyperlink" Target="https://portal.iwc.int/event_document_files/download/7326" TargetMode="External"/><Relationship Id="rId33" Type="http://schemas.openxmlformats.org/officeDocument/2006/relationships/hyperlink" Target="https://www.marinemammalhabitat.org/imma-eatlas/" TargetMode="External"/><Relationship Id="rId38" Type="http://schemas.openxmlformats.org/officeDocument/2006/relationships/hyperlink" Target="http://www.seafariapp.org/" TargetMode="External"/><Relationship Id="rId46" Type="http://schemas.openxmlformats.org/officeDocument/2006/relationships/hyperlink" Target="https://arabianseawhalenetwork.org/aswn-flukebook-data-platform/" TargetMode="External"/><Relationship Id="rId20" Type="http://schemas.openxmlformats.org/officeDocument/2006/relationships/hyperlink" Target="https://arabianseawhalenetwork.org/about-2/aswn-participation-and-support/" TargetMode="External"/><Relationship Id="rId41" Type="http://schemas.openxmlformats.org/officeDocument/2006/relationships/hyperlink" Target="file:///S:\CMS%20Body%20-%20COP\COP13\DOCUMENTS\Pre-session\4.Concerted%20Actions\3.Cleared%20&amp;amp;%20ready%20for%20formatting\13.a_RECEIVED%20FR_annex%20to%20cop13%20doc.28.1.X%20CA%20on%20Arabian%20Humpback%20Annex_to%20translate....docx"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portal.iwc.int/event_document_files/download/7691" TargetMode="External"/><Relationship Id="rId28" Type="http://schemas.openxmlformats.org/officeDocument/2006/relationships/hyperlink" Target="https://www.flukebook.org/" TargetMode="External"/><Relationship Id="rId36" Type="http://schemas.openxmlformats.org/officeDocument/2006/relationships/hyperlink" Target="https://itunes.apple.com/us/app/spotter-pro-field-data-capture-sync/id651453350?mt=8" TargetMode="External"/><Relationship Id="rId49" Type="http://schemas.openxmlformats.org/officeDocument/2006/relationships/hyperlink" Target="https://arabianseawhalenetwork.org/downloadable-resources/regional-arabian-sea-humpback-wha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abianseawhalenetwork.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36FB-52D0-4160-A180-330503E2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6503</Words>
  <Characters>37073</Characters>
  <Application>Microsoft Office Word</Application>
  <DocSecurity>0</DocSecurity>
  <Lines>308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2019-10-17T10:27:00Z</dcterms:created>
  <dcterms:modified xsi:type="dcterms:W3CDTF">2019-10-17T10:27:00Z</dcterms:modified>
</cp:coreProperties>
</file>