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9F30AA">
              <w:rPr>
                <w:rFonts w:eastAsia="Arial" w:cs="Arial"/>
                <w:lang w:val="fr-FR"/>
              </w:rPr>
              <w:t>27.2</w:t>
            </w:r>
          </w:p>
          <w:p w:rsidR="00EC2A58" w:rsidRPr="00A02506" w:rsidRDefault="009F30AA"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17 décembre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9F30AA">
        <w:rPr>
          <w:rFonts w:eastAsia="Arial" w:cs="Arial"/>
          <w:iCs/>
          <w:lang w:val="fr-FR"/>
        </w:rPr>
        <w:t>27.2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9F30AA" w:rsidRDefault="009F30AA" w:rsidP="009F30AA">
      <w:pPr>
        <w:widowControl w:val="0"/>
        <w:suppressAutoHyphens/>
        <w:autoSpaceDE w:val="0"/>
        <w:autoSpaceDN w:val="0"/>
        <w:spacing w:after="120" w:line="240" w:lineRule="auto"/>
        <w:jc w:val="center"/>
        <w:textAlignment w:val="baseline"/>
        <w:rPr>
          <w:rFonts w:cs="Arial"/>
          <w:b/>
          <w:lang w:val="fr-FR"/>
        </w:rPr>
      </w:pPr>
      <w:r w:rsidRPr="009F30AA">
        <w:rPr>
          <w:rFonts w:cs="Arial"/>
          <w:b/>
          <w:lang w:val="fr-FR"/>
        </w:rPr>
        <w:t>LIGNES DIRECTRICES POUR LA PR</w:t>
      </w:r>
      <w:r w:rsidR="00E8148B">
        <w:rPr>
          <w:rFonts w:cs="Arial"/>
          <w:b/>
          <w:lang w:val="fr-FR"/>
        </w:rPr>
        <w:t>É</w:t>
      </w:r>
      <w:r w:rsidRPr="009F30AA">
        <w:rPr>
          <w:rFonts w:cs="Arial"/>
          <w:b/>
          <w:lang w:val="fr-FR"/>
        </w:rPr>
        <w:t>PARATION ET L’</w:t>
      </w:r>
      <w:r w:rsidR="00E8148B">
        <w:rPr>
          <w:rFonts w:cs="Arial"/>
          <w:b/>
          <w:lang w:val="fr-FR"/>
        </w:rPr>
        <w:t>É</w:t>
      </w:r>
      <w:r w:rsidRPr="009F30AA">
        <w:rPr>
          <w:rFonts w:cs="Arial"/>
          <w:b/>
          <w:lang w:val="fr-FR"/>
        </w:rPr>
        <w:t>VALUATION DES PROPOSITIONS D'AMENDEMENT DES ANNEXES DE LA CONVENTIO</w:t>
      </w:r>
      <w:r>
        <w:rPr>
          <w:rFonts w:cs="Arial"/>
          <w:b/>
          <w:lang w:val="fr-FR"/>
        </w:rPr>
        <w:t>N</w:t>
      </w:r>
    </w:p>
    <w:p w:rsidR="00EC2A58" w:rsidRPr="009F30AA" w:rsidRDefault="009F30AA" w:rsidP="00D71837">
      <w:pPr>
        <w:widowControl w:val="0"/>
        <w:suppressAutoHyphens/>
        <w:autoSpaceDE w:val="0"/>
        <w:autoSpaceDN w:val="0"/>
        <w:spacing w:after="0" w:line="240" w:lineRule="auto"/>
        <w:jc w:val="center"/>
        <w:textAlignment w:val="baseline"/>
        <w:rPr>
          <w:rFonts w:eastAsia="Times New Roman" w:cs="Times New Roman"/>
          <w:lang w:val="fr-FR"/>
        </w:rPr>
      </w:pPr>
      <w:r w:rsidRPr="009F30AA">
        <w:rPr>
          <w:rFonts w:eastAsia="Arial" w:cs="Arial"/>
          <w:i/>
          <w:iCs/>
          <w:lang w:val="fr-FR"/>
        </w:rPr>
        <w:t xml:space="preserve"> </w:t>
      </w:r>
      <w:r w:rsidR="00EC2A58" w:rsidRPr="009F30AA">
        <w:rPr>
          <w:rFonts w:eastAsia="Arial" w:cs="Arial"/>
          <w:i/>
          <w:iCs/>
          <w:lang w:val="fr-FR"/>
        </w:rPr>
        <w:t>(</w:t>
      </w:r>
      <w:r>
        <w:rPr>
          <w:rFonts w:eastAsia="Arial" w:cs="Arial"/>
          <w:i/>
          <w:iCs/>
          <w:lang w:val="fr-FR"/>
        </w:rPr>
        <w:t>Soumis par le Conseil scientifique</w:t>
      </w:r>
      <w:r w:rsidR="00EC2A58" w:rsidRPr="009F30AA">
        <w:rPr>
          <w:rFonts w:eastAsia="Arial" w:cs="Arial"/>
          <w:i/>
          <w:iCs/>
          <w:lang w:val="fr-FR"/>
        </w:rPr>
        <w:t xml:space="preserve">)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145415</wp:posOffset>
                </wp:positionV>
                <wp:extent cx="4543425" cy="27051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543425" cy="2705100"/>
                        </a:xfrm>
                        <a:prstGeom prst="rect">
                          <a:avLst/>
                        </a:prstGeom>
                        <a:solidFill>
                          <a:srgbClr val="FFFFFF"/>
                        </a:solidFill>
                        <a:ln w="3172">
                          <a:solidFill>
                            <a:srgbClr val="000000"/>
                          </a:solidFill>
                          <a:prstDash val="solid"/>
                        </a:ln>
                      </wps:spPr>
                      <wps:txbx>
                        <w:txbxContent>
                          <w:p w:rsidR="00EC2A58" w:rsidRPr="004D64D9" w:rsidRDefault="00EC2A58" w:rsidP="009F30AA">
                            <w:pPr>
                              <w:spacing w:after="0" w:line="240" w:lineRule="auto"/>
                              <w:rPr>
                                <w:lang w:val="fr-FR"/>
                              </w:rPr>
                            </w:pPr>
                            <w:r>
                              <w:rPr>
                                <w:rFonts w:eastAsia="Arial" w:cs="Arial"/>
                                <w:lang w:val="fr-FR"/>
                              </w:rPr>
                              <w:t>Résumé:</w:t>
                            </w:r>
                          </w:p>
                          <w:p w:rsidR="00EC2A58" w:rsidRDefault="00EC2A58" w:rsidP="009F30AA">
                            <w:pPr>
                              <w:spacing w:after="0" w:line="240" w:lineRule="auto"/>
                              <w:rPr>
                                <w:rFonts w:cs="Arial"/>
                                <w:lang w:val="fr-FR"/>
                              </w:rPr>
                            </w:pPr>
                          </w:p>
                          <w:p w:rsidR="009F30AA" w:rsidRDefault="009F30AA" w:rsidP="009F30AA">
                            <w:pPr>
                              <w:spacing w:after="0" w:line="240" w:lineRule="auto"/>
                              <w:jc w:val="both"/>
                              <w:rPr>
                                <w:rFonts w:cs="Arial"/>
                                <w:lang w:val="fr-FR"/>
                              </w:rPr>
                            </w:pPr>
                            <w:r>
                              <w:rPr>
                                <w:rFonts w:cs="Arial"/>
                                <w:lang w:val="fr-FR"/>
                              </w:rPr>
                              <w:t>Ce document vise à aider le Conseil scientifique</w:t>
                            </w:r>
                            <w:r>
                              <w:rPr>
                                <w:lang w:val="fr-FR"/>
                              </w:rPr>
                              <w:t xml:space="preserve"> </w:t>
                            </w:r>
                            <w:r>
                              <w:rPr>
                                <w:rFonts w:cs="Arial"/>
                                <w:lang w:val="fr-FR"/>
                              </w:rPr>
                              <w:t>dans l'accomplissement des mandats fournis par la</w:t>
                            </w:r>
                            <w:r>
                              <w:rPr>
                                <w:lang w:val="fr-FR"/>
                              </w:rPr>
                              <w:t xml:space="preserve"> </w:t>
                            </w:r>
                            <w:r>
                              <w:rPr>
                                <w:rFonts w:cs="Arial"/>
                                <w:lang w:val="fr-FR"/>
                              </w:rPr>
                              <w:t xml:space="preserve">Décision 12.10 </w:t>
                            </w:r>
                            <w:r>
                              <w:rPr>
                                <w:rFonts w:cs="Arial"/>
                                <w:i/>
                                <w:lang w:val="fr-FR"/>
                              </w:rPr>
                              <w:t>Liste des espèces énumérées aux Annexes à la Convention</w:t>
                            </w:r>
                            <w:r>
                              <w:rPr>
                                <w:rFonts w:cs="Arial"/>
                                <w:lang w:val="fr-FR"/>
                              </w:rPr>
                              <w:t xml:space="preserve"> et la Décision 12.101 </w:t>
                            </w:r>
                            <w:r>
                              <w:rPr>
                                <w:rFonts w:cs="Arial"/>
                                <w:i/>
                                <w:lang w:val="fr-FR"/>
                              </w:rPr>
                              <w:t>Lignes directrices pour l’évaluation des propositions d’inscription aux Annexes I et II de la Convention</w:t>
                            </w:r>
                            <w:r>
                              <w:rPr>
                                <w:rFonts w:cs="Arial"/>
                                <w:lang w:val="fr-FR"/>
                              </w:rPr>
                              <w:t>.</w:t>
                            </w:r>
                          </w:p>
                          <w:p w:rsidR="009F30AA" w:rsidRDefault="009F30AA" w:rsidP="009F30AA">
                            <w:pPr>
                              <w:spacing w:after="0" w:line="240" w:lineRule="auto"/>
                              <w:jc w:val="both"/>
                              <w:rPr>
                                <w:rFonts w:cs="Arial"/>
                                <w:lang w:val="fr-FR"/>
                              </w:rPr>
                            </w:pPr>
                          </w:p>
                          <w:p w:rsidR="009F30AA" w:rsidRDefault="009F30AA" w:rsidP="009F30AA">
                            <w:pPr>
                              <w:spacing w:after="0" w:line="240" w:lineRule="auto"/>
                              <w:jc w:val="both"/>
                              <w:rPr>
                                <w:rFonts w:cs="Arial"/>
                                <w:lang w:val="fr-FR"/>
                              </w:rPr>
                            </w:pPr>
                            <w:r>
                              <w:rPr>
                                <w:rFonts w:cs="Arial"/>
                                <w:lang w:val="fr-FR"/>
                              </w:rPr>
                              <w:t xml:space="preserve">Le document comprend une proposition visant à regrouper la Résolution 3.1 (Rev.COP12) </w:t>
                            </w:r>
                            <w:r>
                              <w:rPr>
                                <w:rFonts w:cs="Arial"/>
                                <w:i/>
                                <w:lang w:val="fr-FR"/>
                              </w:rPr>
                              <w:t>Liste des espèces énumérées aux Annexes à la Convention</w:t>
                            </w:r>
                            <w:r>
                              <w:rPr>
                                <w:rFonts w:cs="Arial"/>
                                <w:lang w:val="fr-FR"/>
                              </w:rPr>
                              <w:t xml:space="preserve"> et la Résolution 11.33 (Rev.COP12) </w:t>
                            </w:r>
                            <w:r>
                              <w:rPr>
                                <w:rFonts w:cs="Arial"/>
                                <w:i/>
                                <w:lang w:val="fr-FR"/>
                              </w:rPr>
                              <w:t xml:space="preserve">Lignes directrices pour l’évaluation des propositions d’inscription aux Annexes I et II de la Convention </w:t>
                            </w:r>
                            <w:r w:rsidRPr="009F30AA">
                              <w:rPr>
                                <w:rFonts w:cs="Arial"/>
                                <w:lang w:val="fr-FR"/>
                              </w:rPr>
                              <w:t xml:space="preserve">et un projet de </w:t>
                            </w:r>
                            <w:r>
                              <w:rPr>
                                <w:rFonts w:cs="Arial"/>
                                <w:lang w:val="fr-FR"/>
                              </w:rPr>
                              <w:t>D</w:t>
                            </w:r>
                            <w:r w:rsidRPr="009F30AA">
                              <w:rPr>
                                <w:rFonts w:cs="Arial"/>
                                <w:lang w:val="fr-FR"/>
                              </w:rPr>
                              <w:t>écision visant à élaborer des définitions pour certains des termes utilisés dans les résolutions</w:t>
                            </w:r>
                            <w:r>
                              <w:rPr>
                                <w:rFonts w:cs="Arial"/>
                                <w:lang w:val="fr-FR"/>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45pt;width:357.7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uJ+wEAAPkDAAAOAAAAZHJzL2Uyb0RvYy54bWysU9uO2yAQfa/Uf0C8N76s07RWyKrdKFWl&#10;VVspux+AMcRIGCiQ2OnXd8DebLbdp6p+wAwznDlzZljfjr1CJ+68NJrgYpFjxDUzrdQHgh8fdu8+&#10;YOQD1S1VRnOCz9zj283bN+vB1rw0nVEtdwhAtK8HS3AXgq2zzLOO99QvjOUanMK4ngYw3SFrHR0A&#10;vVdZmefvs8G41jrDuPdwup2ceJPwheAsfBfC84AUwcAtpNWltYlrtlnT+uCo7SSbadB/YNFTqSHp&#10;BWpLA0VHJ/+C6iVzxhsRFsz0mRFCMp5qgGqK/I9q9h21PNUC4nh7kcn/P1j27fTDIdkSvMRI0x5a&#10;9MDHgD6bEVVRncH6GoL2FsLCCMfQ5adzD4ex6FG4Pv6hHAR+0Pl80TaCMTisltVNVUISBr5ylS+L&#10;PKmfPV+3zocv3PQobgh20LykKT3d+wBUIPQpJGbzRsl2J5VKhjs0d8qhE4VG79IXWcKVF2FKo4Hg&#10;m2JVJuQXPn8NkafvNYhIYUt9N6VKCHOY0pAw6jXpEndhbMZZxMa0Z9AQ3grU1hn3C6MB5o5g//NI&#10;HcdIfdXQ2I9FVcVBTUa1XJVguGtPc+2hmgEUwQGjaXsXpuGG6bI03Ou9ZbEVUSJtPh2DETJJGclN&#10;jGbOMF9JrvktxAG+tlPU84vd/AYAAP//AwBQSwMEFAAGAAgAAAAhAIePmO3gAAAACgEAAA8AAABk&#10;cnMvZG93bnJldi54bWxMj8tOwzAQRfdI/IM1SOyoE9NHGuJUCISUBZsUFizd2CSBeBzZbhP69Qyr&#10;sryao3vPFLvZDuxkfOgdSkgXCTCDjdM9thLe317uMmAhKtRqcGgk/JgAu/L6qlC5dhPW5rSPLaMS&#10;DLmS0MU45pyHpjNWhYUbDdLt03mrIkXfcu3VROV24CJJ1tyqHmmhU6N56kzzvT9aCV/niALr19U4&#10;+Y9Ntaqfq7Q6S3l7Mz8+AItmjhcY/vRJHUpyOrgj6sAGykKkhEoQYguMgOx+swZ2kLBcZlvgZcH/&#10;v1D+AgAA//8DAFBLAQItABQABgAIAAAAIQC2gziS/gAAAOEBAAATAAAAAAAAAAAAAAAAAAAAAABb&#10;Q29udGVudF9UeXBlc10ueG1sUEsBAi0AFAAGAAgAAAAhADj9If/WAAAAlAEAAAsAAAAAAAAAAAAA&#10;AAAALwEAAF9yZWxzLy5yZWxzUEsBAi0AFAAGAAgAAAAhAJBOi4n7AQAA+QMAAA4AAAAAAAAAAAAA&#10;AAAALgIAAGRycy9lMm9Eb2MueG1sUEsBAi0AFAAGAAgAAAAhAIePmO3gAAAACgEAAA8AAAAAAAAA&#10;AAAAAAAAVQQAAGRycy9kb3ducmV2LnhtbFBLBQYAAAAABAAEAPMAAABiBQAAAAA=&#10;" strokeweight=".08811mm">
                <v:textbox>
                  <w:txbxContent>
                    <w:p w:rsidR="00EC2A58" w:rsidRPr="004D64D9" w:rsidRDefault="00EC2A58" w:rsidP="009F30AA">
                      <w:pPr>
                        <w:spacing w:after="0" w:line="240" w:lineRule="auto"/>
                        <w:rPr>
                          <w:lang w:val="fr-FR"/>
                        </w:rPr>
                      </w:pPr>
                      <w:r>
                        <w:rPr>
                          <w:rFonts w:eastAsia="Arial" w:cs="Arial"/>
                          <w:lang w:val="fr-FR"/>
                        </w:rPr>
                        <w:t>Résumé:</w:t>
                      </w:r>
                    </w:p>
                    <w:p w:rsidR="00EC2A58" w:rsidRDefault="00EC2A58" w:rsidP="009F30AA">
                      <w:pPr>
                        <w:spacing w:after="0" w:line="240" w:lineRule="auto"/>
                        <w:rPr>
                          <w:rFonts w:cs="Arial"/>
                          <w:lang w:val="fr-FR"/>
                        </w:rPr>
                      </w:pPr>
                    </w:p>
                    <w:p w:rsidR="009F30AA" w:rsidRDefault="009F30AA" w:rsidP="009F30AA">
                      <w:pPr>
                        <w:spacing w:after="0" w:line="240" w:lineRule="auto"/>
                        <w:jc w:val="both"/>
                        <w:rPr>
                          <w:rFonts w:cs="Arial"/>
                          <w:lang w:val="fr-FR"/>
                        </w:rPr>
                      </w:pPr>
                      <w:r>
                        <w:rPr>
                          <w:rFonts w:cs="Arial"/>
                          <w:lang w:val="fr-FR"/>
                        </w:rPr>
                        <w:t>Ce document vise à aider le Conseil scientifique</w:t>
                      </w:r>
                      <w:r>
                        <w:rPr>
                          <w:lang w:val="fr-FR"/>
                        </w:rPr>
                        <w:t xml:space="preserve"> </w:t>
                      </w:r>
                      <w:r>
                        <w:rPr>
                          <w:rFonts w:cs="Arial"/>
                          <w:lang w:val="fr-FR"/>
                        </w:rPr>
                        <w:t>dans l'accomplissement des mandats fournis par la</w:t>
                      </w:r>
                      <w:r>
                        <w:rPr>
                          <w:lang w:val="fr-FR"/>
                        </w:rPr>
                        <w:t xml:space="preserve"> </w:t>
                      </w:r>
                      <w:r>
                        <w:rPr>
                          <w:rFonts w:cs="Arial"/>
                          <w:lang w:val="fr-FR"/>
                        </w:rPr>
                        <w:t xml:space="preserve">Décision 12.10 </w:t>
                      </w:r>
                      <w:r>
                        <w:rPr>
                          <w:rFonts w:cs="Arial"/>
                          <w:i/>
                          <w:lang w:val="fr-FR"/>
                        </w:rPr>
                        <w:t>Liste des espèces énumérées aux Annexes à la Convention</w:t>
                      </w:r>
                      <w:r>
                        <w:rPr>
                          <w:rFonts w:cs="Arial"/>
                          <w:lang w:val="fr-FR"/>
                        </w:rPr>
                        <w:t xml:space="preserve"> et la Décision 12.101 </w:t>
                      </w:r>
                      <w:r>
                        <w:rPr>
                          <w:rFonts w:cs="Arial"/>
                          <w:i/>
                          <w:lang w:val="fr-FR"/>
                        </w:rPr>
                        <w:t>Lignes directrices pour l’évaluation des propositions d’inscription aux Annexes I et II de la Convention</w:t>
                      </w:r>
                      <w:r>
                        <w:rPr>
                          <w:rFonts w:cs="Arial"/>
                          <w:lang w:val="fr-FR"/>
                        </w:rPr>
                        <w:t>.</w:t>
                      </w:r>
                    </w:p>
                    <w:p w:rsidR="009F30AA" w:rsidRDefault="009F30AA" w:rsidP="009F30AA">
                      <w:pPr>
                        <w:spacing w:after="0" w:line="240" w:lineRule="auto"/>
                        <w:jc w:val="both"/>
                        <w:rPr>
                          <w:rFonts w:cs="Arial"/>
                          <w:lang w:val="fr-FR"/>
                        </w:rPr>
                      </w:pPr>
                    </w:p>
                    <w:p w:rsidR="009F30AA" w:rsidRDefault="009F30AA" w:rsidP="009F30AA">
                      <w:pPr>
                        <w:spacing w:after="0" w:line="240" w:lineRule="auto"/>
                        <w:jc w:val="both"/>
                        <w:rPr>
                          <w:rFonts w:cs="Arial"/>
                          <w:lang w:val="fr-FR"/>
                        </w:rPr>
                      </w:pPr>
                      <w:r>
                        <w:rPr>
                          <w:rFonts w:cs="Arial"/>
                          <w:lang w:val="fr-FR"/>
                        </w:rPr>
                        <w:t xml:space="preserve">Le document comprend une proposition visant à regrouper la Résolution 3.1 (Rev.COP12) </w:t>
                      </w:r>
                      <w:r>
                        <w:rPr>
                          <w:rFonts w:cs="Arial"/>
                          <w:i/>
                          <w:lang w:val="fr-FR"/>
                        </w:rPr>
                        <w:t>Liste des espèces énumérées aux Annexes à la Convention</w:t>
                      </w:r>
                      <w:r>
                        <w:rPr>
                          <w:rFonts w:cs="Arial"/>
                          <w:lang w:val="fr-FR"/>
                        </w:rPr>
                        <w:t xml:space="preserve"> et la Résolution 11.33 (Rev.COP12) </w:t>
                      </w:r>
                      <w:r>
                        <w:rPr>
                          <w:rFonts w:cs="Arial"/>
                          <w:i/>
                          <w:lang w:val="fr-FR"/>
                        </w:rPr>
                        <w:t xml:space="preserve">Lignes directrices pour l’évaluation des propositions d’inscription aux Annexes I et II de la Convention </w:t>
                      </w:r>
                      <w:r w:rsidRPr="009F30AA">
                        <w:rPr>
                          <w:rFonts w:cs="Arial"/>
                          <w:lang w:val="fr-FR"/>
                        </w:rPr>
                        <w:t xml:space="preserve">et un projet de </w:t>
                      </w:r>
                      <w:r>
                        <w:rPr>
                          <w:rFonts w:cs="Arial"/>
                          <w:lang w:val="fr-FR"/>
                        </w:rPr>
                        <w:t>D</w:t>
                      </w:r>
                      <w:r w:rsidRPr="009F30AA">
                        <w:rPr>
                          <w:rFonts w:cs="Arial"/>
                          <w:lang w:val="fr-FR"/>
                        </w:rPr>
                        <w:t>écision visant à élaborer des définitions pour certains des termes utilisés dans les résolutions</w:t>
                      </w:r>
                      <w:r>
                        <w:rPr>
                          <w:rFonts w:cs="Arial"/>
                          <w:lang w:val="fr-FR"/>
                        </w:rPr>
                        <w:t>.</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293B2E" w:rsidRDefault="00293B2E" w:rsidP="00EF7FC8">
      <w:pPr>
        <w:pStyle w:val="FourthnumberingA"/>
        <w:numPr>
          <w:ilvl w:val="0"/>
          <w:numId w:val="0"/>
        </w:numPr>
      </w:pPr>
    </w:p>
    <w:p w:rsidR="009F30AA" w:rsidRDefault="009F30AA" w:rsidP="009F30AA">
      <w:pPr>
        <w:pStyle w:val="Heading2"/>
        <w:keepNext w:val="0"/>
        <w:ind w:left="-86" w:right="-360"/>
        <w:jc w:val="center"/>
        <w:rPr>
          <w:rFonts w:ascii="Arial" w:hAnsi="Arial" w:cs="Arial"/>
          <w:sz w:val="22"/>
          <w:szCs w:val="22"/>
          <w:lang w:val="fr-FR"/>
        </w:rPr>
      </w:pPr>
      <w:r>
        <w:rPr>
          <w:rFonts w:ascii="Arial" w:hAnsi="Arial" w:cs="Arial"/>
          <w:sz w:val="22"/>
          <w:szCs w:val="22"/>
          <w:lang w:val="fr-FR"/>
        </w:rPr>
        <w:t>LIGNES DIRECTRICES POUR LA PREPARATION ET L’EVALUATION DES PROPOSITIONS D'AMENDEMENT DES ANNEXES DE LA CONVENTION</w:t>
      </w:r>
    </w:p>
    <w:p w:rsidR="009F30AA" w:rsidRDefault="009F30AA" w:rsidP="009F30AA">
      <w:pPr>
        <w:jc w:val="both"/>
        <w:rPr>
          <w:rFonts w:cs="Arial"/>
          <w:lang w:val="fr-FR"/>
        </w:rPr>
      </w:pPr>
    </w:p>
    <w:p w:rsidR="009F30AA" w:rsidRDefault="009F30AA" w:rsidP="009F30AA">
      <w:pPr>
        <w:tabs>
          <w:tab w:val="left" w:pos="-720"/>
          <w:tab w:val="left" w:pos="310"/>
          <w:tab w:val="left" w:pos="835"/>
        </w:tabs>
        <w:spacing w:after="0" w:line="240" w:lineRule="auto"/>
        <w:jc w:val="both"/>
        <w:rPr>
          <w:rFonts w:cs="Arial"/>
          <w:iCs/>
          <w:u w:val="single"/>
          <w:lang w:val="fr-FR"/>
        </w:rPr>
      </w:pPr>
      <w:r>
        <w:rPr>
          <w:rFonts w:cs="Arial"/>
          <w:iCs/>
          <w:u w:val="single"/>
          <w:lang w:val="fr-FR"/>
        </w:rPr>
        <w:t>Contexte</w:t>
      </w:r>
    </w:p>
    <w:p w:rsidR="009F30AA" w:rsidRDefault="009F30AA" w:rsidP="009F30AA">
      <w:pPr>
        <w:tabs>
          <w:tab w:val="left" w:pos="-720"/>
          <w:tab w:val="left" w:pos="310"/>
          <w:tab w:val="left" w:pos="835"/>
        </w:tabs>
        <w:spacing w:after="0" w:line="240" w:lineRule="auto"/>
        <w:jc w:val="both"/>
        <w:rPr>
          <w:rFonts w:cs="Arial"/>
          <w:iCs/>
          <w:u w:val="single"/>
          <w:lang w:val="fr-FR"/>
        </w:rPr>
      </w:pPr>
    </w:p>
    <w:p w:rsidR="009F30AA" w:rsidRDefault="009F30AA" w:rsidP="009F30AA">
      <w:pPr>
        <w:pStyle w:val="Firstnumbering"/>
        <w:numPr>
          <w:ilvl w:val="0"/>
          <w:numId w:val="8"/>
        </w:numPr>
        <w:ind w:left="567" w:hanging="567"/>
        <w:contextualSpacing w:val="0"/>
        <w:rPr>
          <w:rFonts w:ascii="Times New Roman" w:hAnsi="Times New Roman" w:cs="Arial"/>
          <w:iCs/>
          <w:sz w:val="24"/>
          <w:szCs w:val="24"/>
          <w:u w:val="single"/>
        </w:rPr>
      </w:pPr>
      <w:r>
        <w:rPr>
          <w:iCs/>
        </w:rPr>
        <w:t xml:space="preserve">La Conférence des Parties à sa 12ème réunion (COP12, Manille, 2017) a adopté la </w:t>
      </w:r>
      <w:r>
        <w:t xml:space="preserve">Décision 12.10 </w:t>
      </w:r>
      <w:r w:rsidRPr="009F30AA">
        <w:rPr>
          <w:i/>
        </w:rPr>
        <w:t>Liste des espèces énumérées aux Annexes à la Convention</w:t>
      </w:r>
      <w:r>
        <w:t xml:space="preserve"> et la Décision 12.101 </w:t>
      </w:r>
      <w:r w:rsidRPr="009F30AA">
        <w:rPr>
          <w:i/>
        </w:rPr>
        <w:t>Lignes directrices pour l’évaluation des propositions d’inscription aux Annexes I et II de la Convention</w:t>
      </w:r>
      <w:r>
        <w:t xml:space="preserve">. Ces décisions stipulent :  </w:t>
      </w:r>
    </w:p>
    <w:p w:rsidR="009F30AA" w:rsidRPr="009F30AA" w:rsidRDefault="009F30AA" w:rsidP="009F30AA">
      <w:pPr>
        <w:tabs>
          <w:tab w:val="left" w:pos="-720"/>
          <w:tab w:val="left" w:pos="310"/>
          <w:tab w:val="left" w:pos="835"/>
        </w:tabs>
        <w:spacing w:after="0" w:line="240" w:lineRule="auto"/>
        <w:ind w:left="720"/>
        <w:jc w:val="both"/>
        <w:rPr>
          <w:rFonts w:cs="Arial"/>
          <w:iCs/>
          <w:sz w:val="20"/>
          <w:szCs w:val="20"/>
          <w:lang w:val="fr-FR"/>
        </w:rPr>
      </w:pPr>
    </w:p>
    <w:p w:rsidR="009F30AA" w:rsidRDefault="009F30AA" w:rsidP="009F30AA">
      <w:pPr>
        <w:tabs>
          <w:tab w:val="left" w:pos="-720"/>
          <w:tab w:val="left" w:pos="567"/>
          <w:tab w:val="left" w:pos="835"/>
        </w:tabs>
        <w:spacing w:after="0" w:line="240" w:lineRule="auto"/>
        <w:ind w:left="567"/>
        <w:jc w:val="both"/>
        <w:rPr>
          <w:rFonts w:cs="Arial"/>
          <w:b/>
          <w:iCs/>
          <w:sz w:val="20"/>
          <w:szCs w:val="20"/>
          <w:lang w:val="fr-FR"/>
        </w:rPr>
      </w:pPr>
      <w:r>
        <w:rPr>
          <w:rFonts w:cs="Arial"/>
          <w:b/>
          <w:iCs/>
          <w:sz w:val="20"/>
          <w:szCs w:val="20"/>
          <w:lang w:val="fr-FR"/>
        </w:rPr>
        <w:t>12.10 Adressée au Conseil scientifique</w:t>
      </w:r>
    </w:p>
    <w:p w:rsidR="009F30AA" w:rsidRDefault="009F30AA" w:rsidP="009F30AA">
      <w:pPr>
        <w:tabs>
          <w:tab w:val="left" w:pos="-720"/>
          <w:tab w:val="left" w:pos="310"/>
          <w:tab w:val="left" w:pos="835"/>
        </w:tabs>
        <w:spacing w:after="0" w:line="240" w:lineRule="auto"/>
        <w:ind w:left="720"/>
        <w:jc w:val="both"/>
        <w:rPr>
          <w:rFonts w:cs="Arial"/>
          <w:b/>
          <w:iCs/>
          <w:sz w:val="20"/>
          <w:szCs w:val="20"/>
          <w:lang w:val="fr-FR"/>
        </w:rPr>
      </w:pPr>
    </w:p>
    <w:p w:rsidR="009F30AA" w:rsidRDefault="009F30AA" w:rsidP="009F30AA">
      <w:pPr>
        <w:tabs>
          <w:tab w:val="left" w:pos="-720"/>
          <w:tab w:val="left" w:pos="310"/>
          <w:tab w:val="left" w:pos="1134"/>
        </w:tabs>
        <w:spacing w:after="0" w:line="240" w:lineRule="auto"/>
        <w:ind w:left="1134"/>
        <w:jc w:val="both"/>
        <w:rPr>
          <w:rFonts w:cs="Arial"/>
          <w:iCs/>
          <w:sz w:val="20"/>
          <w:szCs w:val="20"/>
          <w:lang w:val="fr-FR"/>
        </w:rPr>
      </w:pPr>
      <w:r>
        <w:rPr>
          <w:rFonts w:cs="Arial"/>
          <w:i/>
          <w:iCs/>
          <w:sz w:val="20"/>
          <w:szCs w:val="20"/>
          <w:lang w:val="fr-FR"/>
        </w:rPr>
        <w:t>Le Conseil scientifique devrait proposer comment intégrer les dispositions de la Résolution UNEP/CMS/Résolution 3.1 (Rev.COP12) sur la Liste des espèces énumérées aux Annexes à la Convention dans la Résolution UNEP/CMS/Résolution 11.33 (Rev.COP12) sur les lignes directrices pour l’évaluation des propositions d’inscription aux Annexes I et II de la Convention</w:t>
      </w:r>
      <w:r>
        <w:rPr>
          <w:rStyle w:val="FootnoteReference"/>
          <w:i/>
          <w:iCs/>
          <w:sz w:val="20"/>
          <w:szCs w:val="20"/>
        </w:rPr>
        <w:footnoteReference w:id="1"/>
      </w:r>
      <w:r>
        <w:rPr>
          <w:rFonts w:cs="Arial"/>
          <w:i/>
          <w:iCs/>
          <w:sz w:val="20"/>
          <w:szCs w:val="20"/>
          <w:lang w:val="fr-FR"/>
        </w:rPr>
        <w:t xml:space="preserve"> afin que ces Résolutions puissent être rationnalisées en une à la 13e Session de la Conférence des Parties</w:t>
      </w:r>
      <w:r>
        <w:rPr>
          <w:rFonts w:cs="Arial"/>
          <w:iCs/>
          <w:sz w:val="20"/>
          <w:szCs w:val="20"/>
          <w:lang w:val="fr-FR"/>
        </w:rPr>
        <w:t>.</w:t>
      </w:r>
    </w:p>
    <w:p w:rsidR="009F30AA" w:rsidRDefault="009F30AA" w:rsidP="009F30AA">
      <w:pPr>
        <w:tabs>
          <w:tab w:val="left" w:pos="-720"/>
          <w:tab w:val="left" w:pos="310"/>
          <w:tab w:val="left" w:pos="835"/>
        </w:tabs>
        <w:spacing w:after="0" w:line="240" w:lineRule="auto"/>
        <w:ind w:left="720"/>
        <w:jc w:val="both"/>
        <w:rPr>
          <w:rFonts w:cs="Arial"/>
          <w:iCs/>
          <w:sz w:val="20"/>
          <w:szCs w:val="20"/>
          <w:lang w:val="fr-FR"/>
        </w:rPr>
      </w:pPr>
    </w:p>
    <w:p w:rsidR="009F30AA" w:rsidRDefault="009F30AA" w:rsidP="009F30AA">
      <w:pPr>
        <w:tabs>
          <w:tab w:val="left" w:pos="-720"/>
          <w:tab w:val="left" w:pos="426"/>
          <w:tab w:val="left" w:pos="835"/>
        </w:tabs>
        <w:spacing w:after="0" w:line="240" w:lineRule="auto"/>
        <w:ind w:left="426"/>
        <w:jc w:val="both"/>
        <w:rPr>
          <w:rFonts w:cs="Arial"/>
          <w:b/>
          <w:iCs/>
          <w:sz w:val="20"/>
          <w:szCs w:val="20"/>
          <w:lang w:val="fr-FR"/>
        </w:rPr>
      </w:pPr>
      <w:r>
        <w:rPr>
          <w:rFonts w:cs="Arial"/>
          <w:b/>
          <w:iCs/>
          <w:sz w:val="20"/>
          <w:szCs w:val="20"/>
          <w:lang w:val="fr-FR"/>
        </w:rPr>
        <w:t>12.101 Adressée au Conseil scientifique</w:t>
      </w:r>
    </w:p>
    <w:p w:rsidR="009F30AA" w:rsidRDefault="009F30AA" w:rsidP="009F30AA">
      <w:pPr>
        <w:tabs>
          <w:tab w:val="left" w:pos="-720"/>
          <w:tab w:val="left" w:pos="310"/>
          <w:tab w:val="left" w:pos="835"/>
        </w:tabs>
        <w:spacing w:after="0" w:line="240" w:lineRule="auto"/>
        <w:ind w:left="720"/>
        <w:jc w:val="both"/>
        <w:rPr>
          <w:rFonts w:cs="Arial"/>
          <w:b/>
          <w:iCs/>
          <w:sz w:val="20"/>
          <w:szCs w:val="20"/>
          <w:lang w:val="fr-FR"/>
        </w:rPr>
      </w:pPr>
    </w:p>
    <w:p w:rsidR="009F30AA" w:rsidRDefault="009F30AA" w:rsidP="009F30AA">
      <w:pPr>
        <w:tabs>
          <w:tab w:val="left" w:pos="-720"/>
          <w:tab w:val="left" w:pos="310"/>
          <w:tab w:val="left" w:pos="1134"/>
        </w:tabs>
        <w:spacing w:after="0" w:line="240" w:lineRule="auto"/>
        <w:ind w:left="1134"/>
        <w:jc w:val="both"/>
        <w:rPr>
          <w:rFonts w:cs="Arial"/>
          <w:i/>
          <w:iCs/>
          <w:sz w:val="20"/>
          <w:szCs w:val="20"/>
          <w:lang w:val="fr-FR"/>
        </w:rPr>
      </w:pPr>
      <w:r>
        <w:rPr>
          <w:rFonts w:cs="Arial"/>
          <w:i/>
          <w:iCs/>
          <w:sz w:val="20"/>
          <w:szCs w:val="20"/>
          <w:lang w:val="fr-FR"/>
        </w:rPr>
        <w:t>Le Conseil scientifique teste l’utilisation des lignes directrices figurant en annexe de la Résolution UNEP/CMS/Résolution 11.33 (Rev.COP12) sur les lignes directrices pour l’évaluation des propositions d’inscription aux Annexes I et II de la Convention, en tant que guide pour l’évaluation des propositions d’inscription d’espèces migratrices aux Annexes I et II et de faire rapport à la 13e Session de la Conférence des Parties sur son efficacité.</w:t>
      </w:r>
    </w:p>
    <w:p w:rsidR="009F30AA" w:rsidRDefault="009F30AA" w:rsidP="009F30AA">
      <w:pPr>
        <w:tabs>
          <w:tab w:val="left" w:pos="-720"/>
          <w:tab w:val="left" w:pos="310"/>
          <w:tab w:val="left" w:pos="835"/>
        </w:tabs>
        <w:spacing w:after="0" w:line="240" w:lineRule="auto"/>
        <w:ind w:left="720"/>
        <w:jc w:val="both"/>
        <w:rPr>
          <w:rFonts w:cs="Arial"/>
          <w:b/>
          <w:iCs/>
          <w:lang w:val="fr-FR"/>
        </w:rPr>
      </w:pPr>
    </w:p>
    <w:p w:rsidR="009F30AA" w:rsidRDefault="009F30AA" w:rsidP="009F30AA">
      <w:pPr>
        <w:tabs>
          <w:tab w:val="left" w:pos="-720"/>
          <w:tab w:val="left" w:pos="310"/>
          <w:tab w:val="left" w:pos="835"/>
        </w:tabs>
        <w:spacing w:after="0" w:line="240" w:lineRule="auto"/>
        <w:jc w:val="both"/>
        <w:rPr>
          <w:rFonts w:cs="Arial"/>
          <w:iCs/>
          <w:u w:val="single"/>
          <w:lang w:val="fr-FR"/>
        </w:rPr>
      </w:pPr>
      <w:r>
        <w:rPr>
          <w:rFonts w:cs="Arial"/>
          <w:iCs/>
          <w:u w:val="single"/>
          <w:lang w:val="fr-FR"/>
        </w:rPr>
        <w:t>Intégration des dispositions de la Résolution 3.1 (Rev.COP12) dans la Résolution 11.33 (Rev.COP12)</w:t>
      </w:r>
    </w:p>
    <w:p w:rsidR="009F30AA" w:rsidRDefault="009F30AA" w:rsidP="009F30AA">
      <w:pPr>
        <w:tabs>
          <w:tab w:val="left" w:pos="-720"/>
          <w:tab w:val="left" w:pos="310"/>
          <w:tab w:val="left" w:pos="835"/>
        </w:tabs>
        <w:spacing w:after="0" w:line="240" w:lineRule="auto"/>
        <w:jc w:val="both"/>
        <w:rPr>
          <w:rFonts w:cs="Arial"/>
          <w:iCs/>
          <w:lang w:val="fr-FR"/>
        </w:rPr>
      </w:pPr>
    </w:p>
    <w:p w:rsidR="002E7BD6" w:rsidRPr="002E7BD6" w:rsidRDefault="009F30AA" w:rsidP="009F30AA">
      <w:pPr>
        <w:pStyle w:val="Firstnumbering"/>
        <w:numPr>
          <w:ilvl w:val="0"/>
          <w:numId w:val="8"/>
        </w:numPr>
        <w:ind w:left="567" w:hanging="567"/>
        <w:contextualSpacing w:val="0"/>
        <w:rPr>
          <w:rFonts w:ascii="Times New Roman" w:hAnsi="Times New Roman" w:cs="Arial"/>
          <w:sz w:val="24"/>
          <w:szCs w:val="24"/>
        </w:rPr>
      </w:pPr>
      <w:r w:rsidRPr="009F30AA">
        <w:t>Le Comité de session du Conseil scientifique à sa 4e réunion (ScC-SC4, Bonn, 12-15 novembre 2019) a examiné une proposition pour l</w:t>
      </w:r>
      <w:r>
        <w:t>e regroupement</w:t>
      </w:r>
      <w:r w:rsidRPr="009F30AA">
        <w:t xml:space="preserve"> </w:t>
      </w:r>
      <w:r>
        <w:t xml:space="preserve">de la </w:t>
      </w:r>
      <w:hyperlink r:id="rId8" w:history="1">
        <w:r>
          <w:rPr>
            <w:rStyle w:val="Hyperlink"/>
            <w:iCs/>
          </w:rPr>
          <w:t>Résolution 3.1 (Rev.COP12)</w:t>
        </w:r>
      </w:hyperlink>
      <w:r>
        <w:t xml:space="preserve"> et de la </w:t>
      </w:r>
      <w:hyperlink r:id="rId9" w:history="1">
        <w:r>
          <w:rPr>
            <w:rStyle w:val="Hyperlink"/>
            <w:iCs/>
          </w:rPr>
          <w:t>Résolution 11.33 (Rev.COP12)</w:t>
        </w:r>
      </w:hyperlink>
      <w:r>
        <w:t xml:space="preserve">, </w:t>
      </w:r>
      <w:r w:rsidR="002E7BD6">
        <w:t xml:space="preserve">préparée par le Secrétariat </w:t>
      </w:r>
    </w:p>
    <w:p w:rsidR="009F30AA" w:rsidRDefault="002E7BD6" w:rsidP="002E7BD6">
      <w:pPr>
        <w:pStyle w:val="Firstnumbering"/>
        <w:numPr>
          <w:ilvl w:val="0"/>
          <w:numId w:val="0"/>
        </w:numPr>
        <w:ind w:left="567"/>
        <w:contextualSpacing w:val="0"/>
        <w:rPr>
          <w:rFonts w:ascii="Times New Roman" w:hAnsi="Times New Roman" w:cs="Arial"/>
          <w:sz w:val="24"/>
          <w:szCs w:val="24"/>
        </w:rPr>
      </w:pPr>
      <w:r>
        <w:t xml:space="preserve"> (</w:t>
      </w:r>
      <w:hyperlink r:id="rId10" w:history="1">
        <w:r w:rsidRPr="002E7BD6">
          <w:rPr>
            <w:rStyle w:val="Hyperlink"/>
          </w:rPr>
          <w:t>UNEP/CMS/ScC-SC4/Doc.11.2</w:t>
        </w:r>
      </w:hyperlink>
      <w:r>
        <w:t xml:space="preserve">). </w:t>
      </w:r>
      <w:r w:rsidRPr="002E7BD6">
        <w:t xml:space="preserve">La proposition, telle que finalisée et approuvée par le Comité de session, est transmise à la COP13 pour examen en </w:t>
      </w:r>
      <w:r>
        <w:t>A</w:t>
      </w:r>
      <w:r w:rsidRPr="002E7BD6">
        <w:t>nnexe au présent document.</w:t>
      </w:r>
    </w:p>
    <w:p w:rsidR="009F30AA" w:rsidRDefault="009F30AA" w:rsidP="009F30AA">
      <w:pPr>
        <w:tabs>
          <w:tab w:val="left" w:pos="-720"/>
          <w:tab w:val="left" w:pos="310"/>
          <w:tab w:val="left" w:pos="835"/>
        </w:tabs>
        <w:spacing w:after="0" w:line="240" w:lineRule="auto"/>
        <w:ind w:left="720"/>
        <w:jc w:val="both"/>
        <w:rPr>
          <w:rFonts w:cs="Arial"/>
          <w:iCs/>
          <w:lang w:val="fr-FR"/>
        </w:rPr>
      </w:pPr>
    </w:p>
    <w:p w:rsidR="009F30AA" w:rsidRDefault="009F30AA" w:rsidP="009F30AA">
      <w:pPr>
        <w:pStyle w:val="Firstnumbering"/>
        <w:numPr>
          <w:ilvl w:val="0"/>
          <w:numId w:val="8"/>
        </w:numPr>
        <w:ind w:left="567" w:hanging="567"/>
        <w:contextualSpacing w:val="0"/>
        <w:rPr>
          <w:rFonts w:ascii="Times New Roman" w:hAnsi="Times New Roman" w:cs="Arial"/>
          <w:sz w:val="24"/>
          <w:szCs w:val="24"/>
        </w:rPr>
      </w:pPr>
      <w:r>
        <w:t>Conformément à la pratique suivie à la COP12, l'annexe 1 présente un projet de résolution regroupée qui comprend, dans la colonne de gauche, la version original du corps et du préambule des Résolutions de manière groupée. La colonne de droite indique la source du texte ainsi que des observations sur toute modification proposée.</w:t>
      </w:r>
    </w:p>
    <w:p w:rsidR="009F30AA" w:rsidRDefault="009F30AA" w:rsidP="009F30AA">
      <w:pPr>
        <w:pStyle w:val="ListParagraph"/>
        <w:spacing w:after="0" w:line="240" w:lineRule="auto"/>
        <w:contextualSpacing w:val="0"/>
        <w:rPr>
          <w:rFonts w:cs="Arial"/>
          <w:iCs/>
          <w:lang w:val="fr-FR"/>
        </w:rPr>
      </w:pPr>
    </w:p>
    <w:p w:rsidR="009F30AA" w:rsidRDefault="009F30AA" w:rsidP="009F30AA">
      <w:pPr>
        <w:pStyle w:val="Firstnumbering"/>
        <w:numPr>
          <w:ilvl w:val="0"/>
          <w:numId w:val="8"/>
        </w:numPr>
        <w:ind w:left="567" w:hanging="567"/>
        <w:contextualSpacing w:val="0"/>
        <w:rPr>
          <w:rFonts w:ascii="Times New Roman" w:hAnsi="Times New Roman" w:cs="Arial"/>
          <w:sz w:val="24"/>
          <w:szCs w:val="24"/>
        </w:rPr>
      </w:pPr>
      <w:r>
        <w:t>L'</w:t>
      </w:r>
      <w:r w:rsidR="002E7BD6">
        <w:t>A</w:t>
      </w:r>
      <w:r>
        <w:t>nnexe 2 contient la version propre du projet de Résolution regroupée, en tenant compte des commentaires figurant à l'</w:t>
      </w:r>
      <w:r w:rsidR="002E7BD6">
        <w:t>A</w:t>
      </w:r>
      <w:r>
        <w:t>nnexe 1.</w:t>
      </w:r>
    </w:p>
    <w:p w:rsidR="009F30AA" w:rsidRDefault="009F30AA" w:rsidP="009F30AA">
      <w:pPr>
        <w:pStyle w:val="ListParagraph"/>
        <w:spacing w:after="0" w:line="240" w:lineRule="auto"/>
        <w:contextualSpacing w:val="0"/>
        <w:rPr>
          <w:rFonts w:cs="Arial"/>
          <w:iCs/>
          <w:lang w:val="fr-FR"/>
        </w:rPr>
      </w:pPr>
    </w:p>
    <w:p w:rsidR="009F30AA" w:rsidRPr="002E7BD6" w:rsidRDefault="009F30AA" w:rsidP="002E7BD6">
      <w:pPr>
        <w:pStyle w:val="Firstnumbering"/>
        <w:numPr>
          <w:ilvl w:val="0"/>
          <w:numId w:val="8"/>
        </w:numPr>
        <w:ind w:left="567" w:hanging="567"/>
        <w:contextualSpacing w:val="0"/>
        <w:rPr>
          <w:rFonts w:ascii="Times New Roman" w:hAnsi="Times New Roman" w:cs="Arial"/>
          <w:sz w:val="24"/>
          <w:szCs w:val="24"/>
        </w:rPr>
      </w:pPr>
      <w:r>
        <w:t>Il est proposé de maintenir intacts dans la nouvelle Résolution regroupée, les deux annexes incluses dans la Résolution 11.33 (Rev.COP12). Ces annexes ne sont pas reproduites dans le présent document pour en réduire la longueur et éviter toute confusion.</w:t>
      </w:r>
    </w:p>
    <w:p w:rsidR="002E7BD6" w:rsidRDefault="002E7BD6" w:rsidP="002E7BD6">
      <w:pPr>
        <w:pStyle w:val="Firstnumbering"/>
        <w:numPr>
          <w:ilvl w:val="0"/>
          <w:numId w:val="0"/>
        </w:numPr>
        <w:ind w:left="567"/>
        <w:contextualSpacing w:val="0"/>
      </w:pPr>
      <w:r>
        <w:br w:type="page"/>
      </w:r>
    </w:p>
    <w:p w:rsidR="002E7BD6" w:rsidRPr="002E7BD6" w:rsidRDefault="002E7BD6" w:rsidP="002E7BD6">
      <w:pPr>
        <w:pStyle w:val="Firstnumbering"/>
        <w:numPr>
          <w:ilvl w:val="0"/>
          <w:numId w:val="0"/>
        </w:numPr>
        <w:ind w:left="567"/>
        <w:contextualSpacing w:val="0"/>
        <w:rPr>
          <w:rFonts w:ascii="Times New Roman" w:hAnsi="Times New Roman" w:cs="Arial"/>
          <w:sz w:val="24"/>
          <w:szCs w:val="24"/>
        </w:rPr>
      </w:pPr>
    </w:p>
    <w:p w:rsidR="002E7BD6" w:rsidRDefault="002E7BD6" w:rsidP="002E7BD6">
      <w:pPr>
        <w:pStyle w:val="Firstnumbering"/>
        <w:numPr>
          <w:ilvl w:val="0"/>
          <w:numId w:val="8"/>
        </w:numPr>
        <w:ind w:left="567" w:hanging="567"/>
        <w:contextualSpacing w:val="0"/>
        <w:rPr>
          <w:rFonts w:ascii="Times New Roman" w:hAnsi="Times New Roman" w:cs="Arial"/>
        </w:rPr>
      </w:pPr>
      <w:r w:rsidRPr="002E7BD6">
        <w:rPr>
          <w:rFonts w:cs="Arial"/>
        </w:rPr>
        <w:t xml:space="preserve">Lors de l'examen de la proposition de </w:t>
      </w:r>
      <w:r>
        <w:rPr>
          <w:rFonts w:cs="Arial"/>
        </w:rPr>
        <w:t>regroupement</w:t>
      </w:r>
      <w:r w:rsidRPr="002E7BD6">
        <w:rPr>
          <w:rFonts w:cs="Arial"/>
        </w:rPr>
        <w:t xml:space="preserve">, le Comité de session a noté qu'il était souhaitable de clarifier ou d'interpréter certains termes utilisés dans les résolutions, en vue de renforcer la cohérence dans l'application de la résolution </w:t>
      </w:r>
      <w:r>
        <w:rPr>
          <w:rFonts w:cs="Arial"/>
        </w:rPr>
        <w:t>regroupée</w:t>
      </w:r>
      <w:r w:rsidRPr="002E7BD6">
        <w:rPr>
          <w:rFonts w:cs="Arial"/>
        </w:rPr>
        <w:t xml:space="preserve"> à l'avenir.  En particulier, le Comité de session a recommandé l'élaboration de définitions pour les termes "Etat de l'aire de répartition" et "</w:t>
      </w:r>
      <w:r w:rsidR="007B2E70">
        <w:rPr>
          <w:rFonts w:cs="Arial"/>
        </w:rPr>
        <w:t>erratique</w:t>
      </w:r>
      <w:r w:rsidRPr="002E7BD6">
        <w:rPr>
          <w:rFonts w:cs="Arial"/>
        </w:rPr>
        <w:t xml:space="preserve">" et s'est déclaré prêt à travailler sur ces définitions pendant la période intersessions entre la COP13 et la COP14 en vue de soumettre des propositions à la COP14 pour examen.  A cet effet, un projet de </w:t>
      </w:r>
      <w:r>
        <w:rPr>
          <w:rFonts w:cs="Arial"/>
        </w:rPr>
        <w:t>D</w:t>
      </w:r>
      <w:r w:rsidRPr="002E7BD6">
        <w:rPr>
          <w:rFonts w:cs="Arial"/>
        </w:rPr>
        <w:t>écision est soumis à la COP13 pour examen à l'</w:t>
      </w:r>
      <w:r>
        <w:rPr>
          <w:rFonts w:cs="Arial"/>
        </w:rPr>
        <w:t>A</w:t>
      </w:r>
      <w:r w:rsidRPr="002E7BD6">
        <w:rPr>
          <w:rFonts w:cs="Arial"/>
        </w:rPr>
        <w:t>nnexe 3 du présent document.</w:t>
      </w:r>
    </w:p>
    <w:p w:rsidR="002E7BD6" w:rsidRPr="002E7BD6" w:rsidRDefault="002E7BD6" w:rsidP="002E7BD6">
      <w:pPr>
        <w:pStyle w:val="Firstnumbering"/>
        <w:numPr>
          <w:ilvl w:val="0"/>
          <w:numId w:val="0"/>
        </w:numPr>
        <w:ind w:left="567"/>
        <w:contextualSpacing w:val="0"/>
        <w:rPr>
          <w:rFonts w:cs="Arial"/>
        </w:rPr>
      </w:pPr>
    </w:p>
    <w:p w:rsidR="009F30AA" w:rsidRPr="002E7BD6" w:rsidRDefault="009F30AA" w:rsidP="009F30AA">
      <w:pPr>
        <w:tabs>
          <w:tab w:val="left" w:pos="-720"/>
          <w:tab w:val="left" w:pos="310"/>
          <w:tab w:val="left" w:pos="835"/>
        </w:tabs>
        <w:spacing w:after="0" w:line="240" w:lineRule="auto"/>
        <w:jc w:val="both"/>
        <w:rPr>
          <w:rFonts w:cs="Arial"/>
          <w:iCs/>
          <w:u w:val="single"/>
          <w:lang w:val="fr-FR"/>
        </w:rPr>
      </w:pPr>
      <w:r w:rsidRPr="002E7BD6">
        <w:rPr>
          <w:rFonts w:cs="Arial"/>
          <w:iCs/>
          <w:u w:val="single"/>
          <w:lang w:val="fr-FR"/>
        </w:rPr>
        <w:t xml:space="preserve">Rapport du Conseil scientifique à la 13e Réunion de la Conférence des Parties sur l'efficacité des lignes directrices pour l’évaluation des propositions d’inscription d'espèces migratrices aux Annexes I et II </w:t>
      </w:r>
    </w:p>
    <w:p w:rsidR="009F30AA" w:rsidRDefault="009F30AA" w:rsidP="009F30AA">
      <w:pPr>
        <w:tabs>
          <w:tab w:val="left" w:pos="-720"/>
          <w:tab w:val="left" w:pos="310"/>
          <w:tab w:val="left" w:pos="835"/>
        </w:tabs>
        <w:spacing w:after="0" w:line="240" w:lineRule="auto"/>
        <w:jc w:val="both"/>
        <w:rPr>
          <w:rFonts w:cs="Arial"/>
          <w:i/>
          <w:iCs/>
          <w:u w:val="single"/>
          <w:lang w:val="fr-FR"/>
        </w:rPr>
      </w:pPr>
    </w:p>
    <w:p w:rsidR="009F30AA" w:rsidRPr="002E7BD6" w:rsidRDefault="002E7BD6" w:rsidP="009F30AA">
      <w:pPr>
        <w:pStyle w:val="Firstnumbering"/>
        <w:numPr>
          <w:ilvl w:val="0"/>
          <w:numId w:val="8"/>
        </w:numPr>
        <w:tabs>
          <w:tab w:val="left" w:pos="-720"/>
          <w:tab w:val="left" w:pos="310"/>
          <w:tab w:val="left" w:pos="567"/>
        </w:tabs>
        <w:ind w:left="567" w:hanging="567"/>
        <w:contextualSpacing w:val="0"/>
        <w:rPr>
          <w:rFonts w:cs="Arial"/>
          <w:iCs/>
        </w:rPr>
      </w:pPr>
      <w:r>
        <w:tab/>
      </w:r>
      <w:r w:rsidR="009F30AA">
        <w:t xml:space="preserve">Depuis leur adoption par la 11ème réunion de la Conférence des Parties (COP11, Quito, 2014) par la Résolution 11.33, les Lignes directrices ont servi de référence </w:t>
      </w:r>
      <w:r w:rsidRPr="002E7BD6">
        <w:t>aux Parties pour l'élaboration de propositions d'amendement des Annexes de la CMS et au Comité de session du Conseil scientifique pour évaluer ces propositions et formuler ses avis à la Conférence des Parties.</w:t>
      </w:r>
    </w:p>
    <w:p w:rsidR="002E7BD6" w:rsidRPr="002E7BD6" w:rsidRDefault="002E7BD6" w:rsidP="002E7BD6">
      <w:pPr>
        <w:pStyle w:val="Firstnumbering"/>
        <w:numPr>
          <w:ilvl w:val="0"/>
          <w:numId w:val="0"/>
        </w:numPr>
        <w:tabs>
          <w:tab w:val="left" w:pos="-720"/>
          <w:tab w:val="left" w:pos="310"/>
          <w:tab w:val="left" w:pos="567"/>
        </w:tabs>
        <w:ind w:left="567"/>
        <w:contextualSpacing w:val="0"/>
        <w:rPr>
          <w:rFonts w:cs="Arial"/>
          <w:iCs/>
        </w:rPr>
      </w:pPr>
    </w:p>
    <w:p w:rsidR="002E7BD6" w:rsidRDefault="002E7BD6" w:rsidP="009F30AA">
      <w:pPr>
        <w:pStyle w:val="Firstnumbering"/>
        <w:numPr>
          <w:ilvl w:val="0"/>
          <w:numId w:val="8"/>
        </w:numPr>
        <w:tabs>
          <w:tab w:val="left" w:pos="-720"/>
          <w:tab w:val="left" w:pos="310"/>
          <w:tab w:val="left" w:pos="567"/>
        </w:tabs>
        <w:ind w:left="567" w:hanging="567"/>
        <w:contextualSpacing w:val="0"/>
        <w:rPr>
          <w:rFonts w:cs="Arial"/>
          <w:iCs/>
        </w:rPr>
      </w:pPr>
      <w:r>
        <w:rPr>
          <w:rFonts w:cs="Arial"/>
          <w:iCs/>
        </w:rPr>
        <w:tab/>
      </w:r>
      <w:r w:rsidRPr="002E7BD6">
        <w:rPr>
          <w:rFonts w:cs="Arial"/>
          <w:iCs/>
        </w:rPr>
        <w:t xml:space="preserve">Le ScC-SC4 a discuté de l'efficacité des lignes directrices après son évaluation des propositions d'inscription soumises par la COP13 pour examen.  Le Comité de session a exprimé son soutien général aux Lignes directrices en tant qu'outil utile à la fois au Comité de session pour évaluer les propositions d'inscription et aux Parties pour élaborer des propositions solides. </w:t>
      </w:r>
      <w:r>
        <w:rPr>
          <w:rFonts w:cs="Arial"/>
          <w:iCs/>
        </w:rPr>
        <w:t>À</w:t>
      </w:r>
      <w:r w:rsidRPr="002E7BD6">
        <w:rPr>
          <w:rFonts w:cs="Arial"/>
          <w:iCs/>
        </w:rPr>
        <w:t xml:space="preserve"> cet égard, une nette amélioration de la qualité des propositions a été constatée depuis l'adoption des Directives.  Un élément des Lignes directrices qui recevait encore peu d'attention de la part des Parties lors de l'élaboration des propositions d'inscription était la recommandation aux </w:t>
      </w:r>
      <w:r w:rsidR="00E03D4B">
        <w:rPr>
          <w:rFonts w:cs="Arial"/>
          <w:iCs/>
        </w:rPr>
        <w:t>auteurs</w:t>
      </w:r>
      <w:r w:rsidRPr="002E7BD6">
        <w:rPr>
          <w:rFonts w:cs="Arial"/>
          <w:iCs/>
        </w:rPr>
        <w:t xml:space="preserve"> de consulter les autorités de conservation de la nature des autres Etats de l'aire de répartition du taxon concerné avant que la proposition soit soumise.  À de très rares exceptions près, ce n'était pas le cas. Il a été suggéré que, si cela devait continuer d'être le cas à l'avenir, la Conférence des Parties pourrait envisager de réviser le libellé pertinent des lignes directrices et/ou d'envisager certains ajustements au processus de soumission. On trouvera plus de détails sur l'examen de cette question par le Comité de session dans le rapport du ScC-SC4.</w:t>
      </w:r>
    </w:p>
    <w:p w:rsidR="00E03D4B" w:rsidRPr="002E7BD6" w:rsidRDefault="00E03D4B" w:rsidP="00E03D4B">
      <w:pPr>
        <w:pStyle w:val="Firstnumbering"/>
        <w:numPr>
          <w:ilvl w:val="0"/>
          <w:numId w:val="0"/>
        </w:numPr>
        <w:tabs>
          <w:tab w:val="left" w:pos="-720"/>
          <w:tab w:val="left" w:pos="310"/>
          <w:tab w:val="left" w:pos="567"/>
        </w:tabs>
        <w:ind w:left="567"/>
        <w:contextualSpacing w:val="0"/>
        <w:rPr>
          <w:rFonts w:cs="Arial"/>
          <w:iCs/>
        </w:rPr>
      </w:pPr>
    </w:p>
    <w:p w:rsidR="009F30AA" w:rsidRDefault="009F30AA" w:rsidP="009F30AA">
      <w:pPr>
        <w:tabs>
          <w:tab w:val="left" w:pos="-720"/>
          <w:tab w:val="left" w:pos="310"/>
          <w:tab w:val="left" w:pos="835"/>
        </w:tabs>
        <w:spacing w:after="0" w:line="240" w:lineRule="auto"/>
        <w:jc w:val="both"/>
        <w:rPr>
          <w:rFonts w:cs="Arial"/>
          <w:iCs/>
          <w:lang w:val="fr-FR"/>
        </w:rPr>
      </w:pPr>
      <w:r>
        <w:rPr>
          <w:rFonts w:cs="Arial"/>
          <w:iCs/>
          <w:u w:val="single"/>
          <w:lang w:val="fr-FR"/>
        </w:rPr>
        <w:t>Actions recommandées</w:t>
      </w:r>
      <w:r>
        <w:rPr>
          <w:rFonts w:cs="Arial"/>
          <w:iCs/>
          <w:lang w:val="fr-FR"/>
        </w:rPr>
        <w:t xml:space="preserve"> :</w:t>
      </w:r>
    </w:p>
    <w:p w:rsidR="009F30AA" w:rsidRDefault="009F30AA" w:rsidP="009F30AA">
      <w:pPr>
        <w:tabs>
          <w:tab w:val="left" w:pos="-720"/>
          <w:tab w:val="left" w:pos="310"/>
          <w:tab w:val="left" w:pos="835"/>
        </w:tabs>
        <w:spacing w:after="0" w:line="240" w:lineRule="auto"/>
        <w:jc w:val="both"/>
        <w:rPr>
          <w:rFonts w:cs="Arial"/>
          <w:iCs/>
          <w:lang w:val="fr-FR"/>
        </w:rPr>
      </w:pPr>
    </w:p>
    <w:p w:rsidR="009F30AA" w:rsidRDefault="009F30AA" w:rsidP="009F30AA">
      <w:pPr>
        <w:pStyle w:val="Firstnumbering"/>
        <w:numPr>
          <w:ilvl w:val="0"/>
          <w:numId w:val="8"/>
        </w:numPr>
        <w:ind w:left="567" w:hanging="567"/>
        <w:contextualSpacing w:val="0"/>
        <w:rPr>
          <w:rFonts w:ascii="Times New Roman" w:hAnsi="Times New Roman" w:cs="Arial"/>
          <w:sz w:val="24"/>
          <w:szCs w:val="24"/>
        </w:rPr>
      </w:pPr>
      <w:r>
        <w:t xml:space="preserve">Il est recommandé </w:t>
      </w:r>
      <w:r w:rsidR="00E03D4B">
        <w:t>à la Conférence des Parties</w:t>
      </w:r>
      <w:r>
        <w:t xml:space="preserve"> :</w:t>
      </w:r>
    </w:p>
    <w:p w:rsidR="009F30AA" w:rsidRDefault="009F30AA" w:rsidP="009F30AA">
      <w:pPr>
        <w:tabs>
          <w:tab w:val="left" w:pos="-720"/>
          <w:tab w:val="left" w:pos="310"/>
          <w:tab w:val="left" w:pos="835"/>
        </w:tabs>
        <w:spacing w:after="0" w:line="240" w:lineRule="auto"/>
        <w:ind w:left="360"/>
        <w:jc w:val="both"/>
        <w:rPr>
          <w:rFonts w:cs="Arial"/>
          <w:iCs/>
          <w:lang w:val="fr-FR"/>
        </w:rPr>
      </w:pPr>
    </w:p>
    <w:p w:rsidR="009F30AA" w:rsidRDefault="00E03D4B" w:rsidP="00E03D4B">
      <w:pPr>
        <w:pStyle w:val="Secondnumberinga0"/>
        <w:ind w:left="1134" w:hanging="425"/>
        <w:jc w:val="both"/>
        <w:rPr>
          <w:rFonts w:ascii="Arial" w:hAnsi="Arial" w:cs="Arial"/>
          <w:sz w:val="22"/>
          <w:szCs w:val="22"/>
          <w:lang w:val="fr-FR"/>
        </w:rPr>
      </w:pPr>
      <w:r>
        <w:rPr>
          <w:rFonts w:ascii="Arial" w:hAnsi="Arial" w:cs="Arial"/>
          <w:sz w:val="22"/>
          <w:szCs w:val="22"/>
          <w:lang w:val="fr-FR"/>
        </w:rPr>
        <w:t>d’adopter la</w:t>
      </w:r>
      <w:r w:rsidR="009F30AA">
        <w:rPr>
          <w:rFonts w:ascii="Arial" w:hAnsi="Arial" w:cs="Arial"/>
          <w:sz w:val="22"/>
          <w:szCs w:val="22"/>
          <w:lang w:val="fr-FR"/>
        </w:rPr>
        <w:t xml:space="preserve"> proposition de regroupement des Résolutions 3.1 (Rev.COP12) et 11.33 (Rev.COP12) </w:t>
      </w:r>
      <w:r>
        <w:rPr>
          <w:rFonts w:ascii="Arial" w:hAnsi="Arial" w:cs="Arial"/>
          <w:sz w:val="22"/>
          <w:szCs w:val="22"/>
          <w:lang w:val="fr-FR"/>
        </w:rPr>
        <w:t>figurant à l’A</w:t>
      </w:r>
      <w:r w:rsidR="009F30AA">
        <w:rPr>
          <w:rFonts w:ascii="Arial" w:hAnsi="Arial" w:cs="Arial"/>
          <w:sz w:val="22"/>
          <w:szCs w:val="22"/>
          <w:lang w:val="fr-FR"/>
        </w:rPr>
        <w:t xml:space="preserve">nnexe 1 </w:t>
      </w:r>
      <w:r>
        <w:rPr>
          <w:rFonts w:ascii="Arial" w:hAnsi="Arial" w:cs="Arial"/>
          <w:sz w:val="22"/>
          <w:szCs w:val="22"/>
          <w:lang w:val="fr-FR"/>
        </w:rPr>
        <w:t>et à l’Annexe 2 du présent document</w:t>
      </w:r>
      <w:r w:rsidR="009F30AA">
        <w:rPr>
          <w:rFonts w:ascii="Arial" w:hAnsi="Arial" w:cs="Arial"/>
          <w:sz w:val="22"/>
          <w:szCs w:val="22"/>
          <w:lang w:val="fr-FR"/>
        </w:rPr>
        <w:t xml:space="preserve">; </w:t>
      </w:r>
    </w:p>
    <w:p w:rsidR="00E03D4B" w:rsidRDefault="00E03D4B" w:rsidP="00E03D4B">
      <w:pPr>
        <w:pStyle w:val="Secondnumberinga0"/>
        <w:numPr>
          <w:ilvl w:val="0"/>
          <w:numId w:val="0"/>
        </w:numPr>
        <w:ind w:left="993" w:hanging="425"/>
        <w:jc w:val="both"/>
        <w:rPr>
          <w:rFonts w:ascii="Arial" w:hAnsi="Arial" w:cs="Arial"/>
          <w:sz w:val="22"/>
          <w:szCs w:val="22"/>
          <w:lang w:val="fr-FR"/>
        </w:rPr>
      </w:pPr>
    </w:p>
    <w:p w:rsidR="00E03D4B" w:rsidRPr="00E03D4B" w:rsidRDefault="00E03D4B" w:rsidP="00E03D4B">
      <w:pPr>
        <w:pStyle w:val="Secondnumberinga0"/>
        <w:ind w:left="1134" w:hanging="425"/>
        <w:jc w:val="both"/>
        <w:rPr>
          <w:rFonts w:ascii="Arial" w:hAnsi="Arial" w:cs="Arial"/>
          <w:sz w:val="22"/>
          <w:szCs w:val="22"/>
          <w:lang w:val="fr-FR"/>
        </w:rPr>
      </w:pPr>
      <w:r>
        <w:rPr>
          <w:rFonts w:ascii="Arial" w:hAnsi="Arial" w:cs="Arial"/>
          <w:sz w:val="22"/>
          <w:szCs w:val="22"/>
          <w:lang w:val="fr-FR"/>
        </w:rPr>
        <w:t>d’</w:t>
      </w:r>
      <w:r w:rsidRPr="00E03D4B">
        <w:rPr>
          <w:rFonts w:ascii="Arial" w:hAnsi="Arial" w:cs="Arial"/>
          <w:sz w:val="22"/>
          <w:szCs w:val="22"/>
          <w:lang w:val="fr-FR"/>
        </w:rPr>
        <w:t xml:space="preserve">adopter le projet de </w:t>
      </w:r>
      <w:r>
        <w:rPr>
          <w:rFonts w:ascii="Arial" w:hAnsi="Arial" w:cs="Arial"/>
          <w:sz w:val="22"/>
          <w:szCs w:val="22"/>
          <w:lang w:val="fr-FR"/>
        </w:rPr>
        <w:t>D</w:t>
      </w:r>
      <w:r w:rsidRPr="00E03D4B">
        <w:rPr>
          <w:rFonts w:ascii="Arial" w:hAnsi="Arial" w:cs="Arial"/>
          <w:sz w:val="22"/>
          <w:szCs w:val="22"/>
          <w:lang w:val="fr-FR"/>
        </w:rPr>
        <w:t>écision figurant à l'</w:t>
      </w:r>
      <w:r>
        <w:rPr>
          <w:rFonts w:ascii="Arial" w:hAnsi="Arial" w:cs="Arial"/>
          <w:sz w:val="22"/>
          <w:szCs w:val="22"/>
          <w:lang w:val="fr-FR"/>
        </w:rPr>
        <w:t>A</w:t>
      </w:r>
      <w:r w:rsidRPr="00E03D4B">
        <w:rPr>
          <w:rFonts w:ascii="Arial" w:hAnsi="Arial" w:cs="Arial"/>
          <w:sz w:val="22"/>
          <w:szCs w:val="22"/>
          <w:lang w:val="fr-FR"/>
        </w:rPr>
        <w:t xml:space="preserve">nnexe 3 du présent document ; </w:t>
      </w:r>
    </w:p>
    <w:p w:rsidR="00E03D4B" w:rsidRPr="00E03D4B" w:rsidRDefault="00E03D4B" w:rsidP="00E03D4B">
      <w:pPr>
        <w:pStyle w:val="Secondnumberinga0"/>
        <w:numPr>
          <w:ilvl w:val="0"/>
          <w:numId w:val="0"/>
        </w:numPr>
        <w:ind w:left="1134" w:hanging="425"/>
        <w:rPr>
          <w:rFonts w:ascii="Arial" w:hAnsi="Arial" w:cs="Arial"/>
          <w:sz w:val="22"/>
          <w:szCs w:val="22"/>
          <w:lang w:val="fr-FR"/>
        </w:rPr>
      </w:pPr>
    </w:p>
    <w:p w:rsidR="00E03D4B" w:rsidRPr="00E03D4B" w:rsidRDefault="00E03D4B" w:rsidP="00E03D4B">
      <w:pPr>
        <w:pStyle w:val="Secondnumberinga0"/>
        <w:ind w:left="1134" w:hanging="425"/>
        <w:rPr>
          <w:rFonts w:ascii="Arial" w:hAnsi="Arial" w:cs="Arial"/>
          <w:sz w:val="22"/>
          <w:szCs w:val="22"/>
          <w:lang w:val="fr-FR"/>
        </w:rPr>
      </w:pPr>
      <w:r>
        <w:rPr>
          <w:rFonts w:ascii="Arial" w:hAnsi="Arial" w:cs="Arial"/>
          <w:sz w:val="22"/>
          <w:szCs w:val="22"/>
          <w:lang w:val="fr-FR"/>
        </w:rPr>
        <w:t xml:space="preserve">de </w:t>
      </w:r>
      <w:r w:rsidRPr="00E03D4B">
        <w:rPr>
          <w:rFonts w:ascii="Arial" w:hAnsi="Arial" w:cs="Arial"/>
          <w:sz w:val="22"/>
          <w:szCs w:val="22"/>
          <w:lang w:val="fr-FR"/>
        </w:rPr>
        <w:t>prendre note du rapport du Conseil scientifique sur l'efficacité des lignes directrices pour évaluer les propositions d'inscription d'espèces migratrices aux Annexes I et II ;</w:t>
      </w:r>
    </w:p>
    <w:p w:rsidR="00E03D4B" w:rsidRPr="00E03D4B" w:rsidRDefault="00E03D4B" w:rsidP="00E03D4B">
      <w:pPr>
        <w:pStyle w:val="Secondnumberinga0"/>
        <w:numPr>
          <w:ilvl w:val="0"/>
          <w:numId w:val="0"/>
        </w:numPr>
        <w:ind w:left="1134" w:hanging="425"/>
        <w:rPr>
          <w:rFonts w:ascii="Arial" w:hAnsi="Arial" w:cs="Arial"/>
          <w:sz w:val="22"/>
          <w:szCs w:val="22"/>
          <w:lang w:val="fr-FR"/>
        </w:rPr>
      </w:pPr>
    </w:p>
    <w:p w:rsidR="00E03D4B" w:rsidRPr="00E03D4B" w:rsidRDefault="00E03D4B" w:rsidP="00E03D4B">
      <w:pPr>
        <w:pStyle w:val="Secondnumberinga0"/>
        <w:ind w:left="1134" w:hanging="425"/>
        <w:rPr>
          <w:rFonts w:ascii="Arial" w:hAnsi="Arial" w:cs="Arial"/>
          <w:sz w:val="22"/>
          <w:szCs w:val="22"/>
          <w:lang w:val="fr-FR"/>
        </w:rPr>
      </w:pPr>
      <w:r>
        <w:rPr>
          <w:rFonts w:ascii="Arial" w:hAnsi="Arial" w:cs="Arial"/>
          <w:sz w:val="22"/>
          <w:szCs w:val="22"/>
          <w:lang w:val="fr-FR"/>
        </w:rPr>
        <w:t xml:space="preserve">de </w:t>
      </w:r>
      <w:r w:rsidRPr="00E03D4B">
        <w:rPr>
          <w:rFonts w:ascii="Arial" w:hAnsi="Arial" w:cs="Arial"/>
          <w:sz w:val="22"/>
          <w:szCs w:val="22"/>
          <w:lang w:val="fr-FR"/>
        </w:rPr>
        <w:t xml:space="preserve">supprimer les </w:t>
      </w:r>
      <w:r>
        <w:rPr>
          <w:rFonts w:ascii="Arial" w:hAnsi="Arial" w:cs="Arial"/>
          <w:sz w:val="22"/>
          <w:szCs w:val="22"/>
          <w:lang w:val="fr-FR"/>
        </w:rPr>
        <w:t>D</w:t>
      </w:r>
      <w:r w:rsidRPr="00E03D4B">
        <w:rPr>
          <w:rFonts w:ascii="Arial" w:hAnsi="Arial" w:cs="Arial"/>
          <w:sz w:val="22"/>
          <w:szCs w:val="22"/>
          <w:lang w:val="fr-FR"/>
        </w:rPr>
        <w:t>écisions 12.10 et 12.101 ;</w:t>
      </w:r>
    </w:p>
    <w:p w:rsidR="00E03D4B" w:rsidRPr="00E03D4B" w:rsidRDefault="00E03D4B" w:rsidP="00E03D4B">
      <w:pPr>
        <w:pStyle w:val="Secondnumberinga0"/>
        <w:numPr>
          <w:ilvl w:val="0"/>
          <w:numId w:val="0"/>
        </w:numPr>
        <w:ind w:left="1134" w:hanging="425"/>
        <w:rPr>
          <w:rFonts w:ascii="Arial" w:hAnsi="Arial" w:cs="Arial"/>
          <w:sz w:val="22"/>
          <w:szCs w:val="22"/>
          <w:lang w:val="fr-FR"/>
        </w:rPr>
      </w:pPr>
    </w:p>
    <w:p w:rsidR="00E03D4B" w:rsidRDefault="00E03D4B" w:rsidP="00E03D4B">
      <w:pPr>
        <w:pStyle w:val="Secondnumberinga0"/>
        <w:ind w:left="1134" w:hanging="425"/>
        <w:rPr>
          <w:rFonts w:ascii="Arial" w:hAnsi="Arial" w:cs="Arial"/>
          <w:sz w:val="22"/>
          <w:szCs w:val="22"/>
          <w:lang w:val="fr-FR"/>
        </w:rPr>
      </w:pPr>
      <w:r>
        <w:rPr>
          <w:rFonts w:ascii="Arial" w:hAnsi="Arial" w:cs="Arial"/>
          <w:sz w:val="22"/>
          <w:szCs w:val="22"/>
          <w:lang w:val="fr-FR"/>
        </w:rPr>
        <w:t>d’a</w:t>
      </w:r>
      <w:r w:rsidRPr="00E03D4B">
        <w:rPr>
          <w:rFonts w:ascii="Arial" w:hAnsi="Arial" w:cs="Arial"/>
          <w:sz w:val="22"/>
          <w:szCs w:val="22"/>
          <w:lang w:val="fr-FR"/>
        </w:rPr>
        <w:t xml:space="preserve">broger les </w:t>
      </w:r>
      <w:r>
        <w:rPr>
          <w:rFonts w:ascii="Arial" w:hAnsi="Arial" w:cs="Arial"/>
          <w:sz w:val="22"/>
          <w:szCs w:val="22"/>
          <w:lang w:val="fr-FR"/>
        </w:rPr>
        <w:t>R</w:t>
      </w:r>
      <w:r w:rsidRPr="00E03D4B">
        <w:rPr>
          <w:rFonts w:ascii="Arial" w:hAnsi="Arial" w:cs="Arial"/>
          <w:sz w:val="22"/>
          <w:szCs w:val="22"/>
          <w:lang w:val="fr-FR"/>
        </w:rPr>
        <w:t>ésolutions 3.1 (Rev.COP12) et 11.33 (Rev.COP12).</w:t>
      </w:r>
    </w:p>
    <w:p w:rsidR="009F30AA" w:rsidRDefault="009F30AA" w:rsidP="00E03D4B">
      <w:pPr>
        <w:spacing w:after="0" w:line="240" w:lineRule="auto"/>
        <w:ind w:left="1134" w:hanging="425"/>
        <w:jc w:val="both"/>
        <w:rPr>
          <w:rFonts w:cs="Arial"/>
          <w:iCs/>
          <w:lang w:val="fr-FR"/>
        </w:rPr>
      </w:pPr>
    </w:p>
    <w:p w:rsidR="009F30AA" w:rsidRDefault="009F30AA" w:rsidP="00EF7FC8">
      <w:pPr>
        <w:pStyle w:val="FourthnumberingA"/>
        <w:numPr>
          <w:ilvl w:val="0"/>
          <w:numId w:val="0"/>
        </w:numPr>
        <w:sectPr w:rsidR="009F30AA" w:rsidSect="00D71837">
          <w:headerReference w:type="even" r:id="rId11"/>
          <w:headerReference w:type="default" r:id="rId12"/>
          <w:footerReference w:type="even" r:id="rId13"/>
          <w:footerReference w:type="default" r:id="rId14"/>
          <w:headerReference w:type="first" r:id="rId15"/>
          <w:pgSz w:w="11906" w:h="16838" w:code="9"/>
          <w:pgMar w:top="1134" w:right="1134" w:bottom="1134" w:left="1134" w:header="720" w:footer="720" w:gutter="0"/>
          <w:cols w:space="720"/>
          <w:titlePg/>
          <w:docGrid w:linePitch="360"/>
        </w:sectPr>
      </w:pPr>
    </w:p>
    <w:p w:rsidR="009F30AA" w:rsidRDefault="009F30AA" w:rsidP="00EF7FC8">
      <w:pPr>
        <w:pStyle w:val="FourthnumberingA"/>
        <w:numPr>
          <w:ilvl w:val="0"/>
          <w:numId w:val="0"/>
        </w:numPr>
      </w:pPr>
    </w:p>
    <w:p w:rsidR="009F30AA" w:rsidRPr="00EF38E8" w:rsidRDefault="009F30AA" w:rsidP="00EF38E8">
      <w:pPr>
        <w:pBdr>
          <w:top w:val="single" w:sz="6" w:space="0" w:color="FFFFFF"/>
          <w:left w:val="single" w:sz="6" w:space="0" w:color="FFFFFF"/>
          <w:bottom w:val="single" w:sz="6" w:space="0" w:color="FFFFFF"/>
          <w:right w:val="single" w:sz="6" w:space="0" w:color="FFFFFF"/>
        </w:pBdr>
        <w:jc w:val="right"/>
        <w:outlineLvl w:val="1"/>
        <w:rPr>
          <w:rFonts w:cs="Arial"/>
          <w:b/>
          <w:caps/>
          <w:lang w:val="fr-FR"/>
        </w:rPr>
      </w:pPr>
      <w:r>
        <w:rPr>
          <w:rFonts w:cs="Arial"/>
          <w:b/>
          <w:caps/>
          <w:lang w:val="fr-FR"/>
        </w:rPr>
        <w:t>AnnexE 1</w:t>
      </w:r>
    </w:p>
    <w:p w:rsidR="009F30AA" w:rsidRPr="00EF38E8" w:rsidRDefault="009F30AA" w:rsidP="00EF38E8">
      <w:pPr>
        <w:tabs>
          <w:tab w:val="left" w:pos="-720"/>
          <w:tab w:val="left" w:pos="310"/>
          <w:tab w:val="left" w:pos="835"/>
        </w:tabs>
        <w:jc w:val="center"/>
        <w:rPr>
          <w:rFonts w:cs="Arial"/>
          <w:b/>
          <w:iCs/>
          <w:lang w:val="fr-FR"/>
        </w:rPr>
      </w:pPr>
      <w:r>
        <w:rPr>
          <w:rFonts w:cs="Arial"/>
          <w:b/>
          <w:iCs/>
          <w:lang w:val="fr-FR"/>
        </w:rPr>
        <w:t>PROJET DE RÉSOLUTION REGROUPÉE</w:t>
      </w:r>
      <w:r>
        <w:rPr>
          <w:rFonts w:cs="Arial"/>
          <w:b/>
          <w:iCs/>
          <w:lang w:val="fr-FR"/>
        </w:rPr>
        <w:br/>
        <w:t>LIGNES DIRECTRICES POUR LA PREPARATION ET L’EVALUATION DES PROPOSITIONS D'AMENDEMENT AUX ANNEXES DE LA CMS</w:t>
      </w:r>
    </w:p>
    <w:p w:rsidR="009F30AA" w:rsidRDefault="009F30AA" w:rsidP="00EF38E8">
      <w:pPr>
        <w:rPr>
          <w:rFonts w:cs="Arial"/>
          <w:iCs/>
          <w:lang w:val="fr-FR"/>
        </w:rPr>
      </w:pPr>
      <w:r>
        <w:rPr>
          <w:rFonts w:cs="Arial"/>
          <w:iCs/>
          <w:lang w:val="fr-FR"/>
        </w:rPr>
        <w:t xml:space="preserve">NB : </w:t>
      </w:r>
      <w:r>
        <w:rPr>
          <w:rFonts w:cs="Arial"/>
          <w:iCs/>
          <w:lang w:val="fr-FR"/>
        </w:rPr>
        <w:tab/>
        <w:t xml:space="preserve">Le nouveau texte proposé est </w:t>
      </w:r>
      <w:r>
        <w:rPr>
          <w:rFonts w:cs="Arial"/>
          <w:iCs/>
          <w:u w:val="single"/>
          <w:lang w:val="fr-FR"/>
        </w:rPr>
        <w:t>souligné</w:t>
      </w:r>
      <w:r>
        <w:rPr>
          <w:rFonts w:cs="Arial"/>
          <w:iCs/>
          <w:lang w:val="fr-FR"/>
        </w:rPr>
        <w:t xml:space="preserve">. Le texte à supprimer est </w:t>
      </w:r>
      <w:r>
        <w:rPr>
          <w:rFonts w:cs="Arial"/>
          <w:iCs/>
          <w:strike/>
          <w:lang w:val="fr-FR"/>
        </w:rPr>
        <w:t>barré</w:t>
      </w:r>
      <w:r>
        <w:rPr>
          <w:rFonts w:cs="Arial"/>
          <w:iCs/>
          <w:lang w:val="fr-F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99"/>
      </w:tblGrid>
      <w:tr w:rsidR="009F30AA" w:rsidTr="009F30AA">
        <w:trPr>
          <w:tblHeader/>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hideMark/>
          </w:tcPr>
          <w:p w:rsidR="009F30AA" w:rsidRDefault="009F30AA">
            <w:pPr>
              <w:spacing w:line="252" w:lineRule="auto"/>
              <w:rPr>
                <w:rFonts w:cs="Arial"/>
                <w:b/>
                <w:lang w:val="fr-FR"/>
              </w:rPr>
            </w:pPr>
            <w:r>
              <w:rPr>
                <w:rFonts w:cs="Arial"/>
                <w:b/>
                <w:lang w:val="fr-FR"/>
              </w:rPr>
              <w:t>Texte de Résolutions existantes</w:t>
            </w:r>
          </w:p>
        </w:tc>
        <w:tc>
          <w:tcPr>
            <w:tcW w:w="2699" w:type="dxa"/>
            <w:tcBorders>
              <w:top w:val="single" w:sz="4" w:space="0" w:color="auto"/>
              <w:left w:val="single" w:sz="4" w:space="0" w:color="auto"/>
              <w:bottom w:val="single" w:sz="4" w:space="0" w:color="auto"/>
              <w:right w:val="single" w:sz="4" w:space="0" w:color="auto"/>
            </w:tcBorders>
            <w:shd w:val="clear" w:color="auto" w:fill="D9D9D9"/>
            <w:hideMark/>
          </w:tcPr>
          <w:p w:rsidR="009F30AA" w:rsidRDefault="009F30AA">
            <w:pPr>
              <w:spacing w:line="252" w:lineRule="auto"/>
              <w:jc w:val="center"/>
              <w:rPr>
                <w:rFonts w:cs="Arial"/>
                <w:b/>
                <w:lang w:val="fr-FR"/>
              </w:rPr>
            </w:pPr>
            <w:r>
              <w:rPr>
                <w:rFonts w:cs="Arial"/>
                <w:b/>
                <w:lang w:val="fr-FR"/>
              </w:rPr>
              <w:t>Source/</w:t>
            </w:r>
            <w:r>
              <w:rPr>
                <w:lang w:val="fr-FR"/>
              </w:rPr>
              <w:t xml:space="preserve"> </w:t>
            </w:r>
            <w:r>
              <w:rPr>
                <w:rFonts w:cs="Arial"/>
                <w:b/>
                <w:lang w:val="fr-FR"/>
              </w:rPr>
              <w:t>Commentaires</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jc w:val="both"/>
              <w:rPr>
                <w:rFonts w:cs="Arial"/>
                <w:lang w:val="fr-FR"/>
              </w:rPr>
            </w:pPr>
            <w:r>
              <w:rPr>
                <w:rFonts w:cs="Arial"/>
                <w:i/>
                <w:iCs/>
                <w:szCs w:val="17"/>
                <w:lang w:val="fr-FR"/>
              </w:rPr>
              <w:t xml:space="preserve">Rappelant </w:t>
            </w:r>
            <w:r>
              <w:rPr>
                <w:rFonts w:cs="Arial"/>
                <w:szCs w:val="17"/>
                <w:lang w:val="fr-FR"/>
              </w:rPr>
              <w:t>que les exigences de la CMS pour l’inscription d’espèces migratrices à l’Annexe I sont énoncées aux paragraphes 1 et 2 de l’Article III de la Convention, et que les exigences pour l’inscription des espèces migratrices à l’Annexe II sont énoncées au paragraphe 1 de l’Article IV de la Convention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Soulignant </w:t>
            </w:r>
            <w:r>
              <w:rPr>
                <w:rFonts w:cs="Arial"/>
                <w:szCs w:val="17"/>
                <w:lang w:val="fr-FR"/>
              </w:rPr>
              <w:t>que les espèces proposées pour une inscription à l’Annexe I ou à l’Annexe II de la Convention doivent être des espèces migratrices, selon la définition donnée au paragraphe 1a) de l’Article premier,</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lang w:val="fr-FR"/>
              </w:rPr>
            </w:pPr>
            <w:r>
              <w:rPr>
                <w:rFonts w:cs="Arial"/>
                <w:i/>
                <w:lang w:val="fr-FR"/>
              </w:rPr>
              <w:t>Rappelant</w:t>
            </w:r>
            <w:r>
              <w:rPr>
                <w:rFonts w:cs="Arial"/>
                <w:lang w:val="fr-FR"/>
              </w:rPr>
              <w:t xml:space="preserve"> que par sa Résolution 1.4 adoptée à sa première session elle chargeait le Conseil scientifique de formuler des directives pour l’application des termes de la Convention et de revoir la liste des espèces figurant aux Annexes à la Convention,</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RPr="004D64D9"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jc w:val="both"/>
              <w:rPr>
                <w:rFonts w:cs="Arial"/>
                <w:strike/>
                <w:lang w:val="fr-FR"/>
              </w:rPr>
            </w:pPr>
            <w:r>
              <w:rPr>
                <w:rFonts w:cs="Arial"/>
                <w:i/>
                <w:strike/>
                <w:lang w:val="fr-FR"/>
              </w:rPr>
              <w:t>Notant</w:t>
            </w:r>
            <w:r>
              <w:rPr>
                <w:rFonts w:cs="Arial"/>
                <w:strike/>
                <w:lang w:val="fr-FR"/>
              </w:rPr>
              <w:t xml:space="preserve"> avec satisfaction que le Conseil a fait rapport à la Conférence des Parties sur ces questions et a formulé un certain nombre de recommandations à son intention,</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Abroger ; périmé</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jc w:val="both"/>
              <w:rPr>
                <w:rFonts w:cs="Arial"/>
                <w:lang w:val="fr-FR"/>
              </w:rPr>
            </w:pPr>
            <w:r>
              <w:rPr>
                <w:rFonts w:cs="Arial"/>
                <w:i/>
                <w:iCs/>
                <w:lang w:val="fr-FR"/>
              </w:rPr>
              <w:t>Notant</w:t>
            </w:r>
            <w:r>
              <w:rPr>
                <w:rFonts w:cs="Arial"/>
                <w:iCs/>
                <w:lang w:val="fr-FR"/>
              </w:rPr>
              <w:t xml:space="preserve"> que, dans la Résolution 5.3, la Conférence des Parties a décidé d’interpréter l’expression « en danger » du paragraphe 1e) de l’Article premier de la Convention comme signifiant « exposé à l’état sauvage à un risque d’extinction très élevé et à court terme », et considérant que cette interprétation doit être maintenue,</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lastRenderedPageBreak/>
              <w:t xml:space="preserve">Notant en outre </w:t>
            </w:r>
            <w:r>
              <w:rPr>
                <w:rFonts w:cs="Arial"/>
                <w:szCs w:val="17"/>
                <w:lang w:val="fr-FR"/>
              </w:rPr>
              <w:t>que, dans le paragraphe 1a) de la Résolution 2.2, la Conférence des Parties a adopté des lignes directrices pour l’interprétation du terme ‘cycliquement’ et de l’expression ‘de façon prévisible’ utilisés dans la définition d’ « espèce migratrice », et considérant que ces interprétations doivent être maintenues,</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Notant avec satisfaction </w:t>
            </w:r>
            <w:r>
              <w:rPr>
                <w:rFonts w:cs="Arial"/>
                <w:szCs w:val="17"/>
                <w:lang w:val="fr-FR"/>
              </w:rPr>
              <w:t>les travaux entrepris par le Conseil scientifique de la CMS à travers le document PNUE/CMS/COP11/Doc.24.2/Rev.1 pour élaborer des lignes directrices aidant le Conseil scientifique et la Conférence des Parties à évaluer les propositions d’inscription et de retrait d’espèces des Annexes de la Convention,</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RPr="004D64D9" w:rsidTr="009F30AA">
        <w:trPr>
          <w:trHeight w:val="1492"/>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Considérant </w:t>
            </w:r>
            <w:r>
              <w:rPr>
                <w:rFonts w:cs="Arial"/>
                <w:szCs w:val="17"/>
                <w:lang w:val="fr-FR"/>
              </w:rPr>
              <w:t xml:space="preserve">que les meilleures données scientifiques disponibles doivent être utilisées pour </w:t>
            </w:r>
            <w:r>
              <w:rPr>
                <w:rFonts w:cs="Arial"/>
                <w:szCs w:val="17"/>
                <w:u w:val="single"/>
                <w:lang w:val="fr-FR"/>
              </w:rPr>
              <w:t>préparer et</w:t>
            </w:r>
            <w:r>
              <w:rPr>
                <w:rFonts w:cs="Arial"/>
                <w:szCs w:val="17"/>
                <w:lang w:val="fr-FR"/>
              </w:rPr>
              <w:t xml:space="preserve"> évaluer les propositions d’inscription,</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 et amender pour tenir pour refléter la portée élargie de la résolution</w:t>
            </w:r>
          </w:p>
        </w:tc>
      </w:tr>
      <w:tr w:rsidR="009F30AA" w:rsidTr="009F30AA">
        <w:trPr>
          <w:trHeight w:val="1032"/>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Considérant </w:t>
            </w:r>
            <w:r>
              <w:rPr>
                <w:rFonts w:cs="Arial"/>
                <w:szCs w:val="17"/>
                <w:lang w:val="fr-FR"/>
              </w:rPr>
              <w:t>les caractéristiques uniques et le phénomène des espèces migratrices et l'importance des réseaux écologiques en ce qui les concerne,</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trHeight w:val="990"/>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Considérant en outre </w:t>
            </w:r>
            <w:r>
              <w:rPr>
                <w:rFonts w:cs="Arial"/>
                <w:szCs w:val="17"/>
                <w:lang w:val="fr-FR"/>
              </w:rPr>
              <w:t>que des résultats devraient être attendus en matière de conservation lorsqu’une proposition d’inscription est adoptée,</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trHeight w:val="1351"/>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Rappelant </w:t>
            </w:r>
            <w:r>
              <w:rPr>
                <w:rFonts w:cs="Arial"/>
                <w:szCs w:val="17"/>
                <w:lang w:val="fr-FR"/>
              </w:rPr>
              <w:t>que</w:t>
            </w:r>
            <w:r>
              <w:rPr>
                <w:rFonts w:cs="Arial"/>
                <w:i/>
                <w:iCs/>
                <w:szCs w:val="17"/>
                <w:lang w:val="fr-FR"/>
              </w:rPr>
              <w:t xml:space="preserve">, </w:t>
            </w:r>
            <w:r>
              <w:rPr>
                <w:rFonts w:cs="Arial"/>
                <w:szCs w:val="17"/>
                <w:lang w:val="fr-FR"/>
              </w:rPr>
              <w:t>dans la Résolution 3.1, la Conférence des Parties a décidé que les nouvelles inscriptions aux Annexes de la Convention doivent être limitées aux espèces ou aux taxons inférieurs, et que</w:t>
            </w:r>
            <w:r>
              <w:rPr>
                <w:rFonts w:cs="Arial"/>
                <w:lang w:val="fr-FR"/>
              </w:rPr>
              <w:t xml:space="preserve"> les espèces migratrices regroupées sous un taxon supérieur figurant déjà à l’Annexe II ne devront être identifiées qu’au moment de l’élaboration des accords,</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trHeight w:val="1351"/>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lang w:val="fr-FR"/>
              </w:rPr>
            </w:pPr>
            <w:r>
              <w:rPr>
                <w:rFonts w:cs="Arial"/>
                <w:i/>
                <w:iCs/>
                <w:szCs w:val="17"/>
                <w:lang w:val="fr-FR"/>
              </w:rPr>
              <w:lastRenderedPageBreak/>
              <w:t xml:space="preserve">Rappelant en outre </w:t>
            </w:r>
            <w:r>
              <w:rPr>
                <w:rFonts w:cs="Arial"/>
                <w:szCs w:val="17"/>
                <w:lang w:val="fr-FR"/>
              </w:rPr>
              <w:t>que de nombreuses espèces sont inscrites à la fois aux Annexes de la Convention sur le commerce international des espèces de faune et de flore sauvages menacées d'extinction (CITES) et à celles de la CMS, et que pour les États qui sont Parties à ces deux conventions, il est souhaitable que les actions des conventions soient complémentaires,</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trHeight w:val="1351"/>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Rappelant en outre </w:t>
            </w:r>
            <w:r>
              <w:rPr>
                <w:rFonts w:cs="Arial"/>
                <w:szCs w:val="17"/>
                <w:lang w:val="fr-FR"/>
              </w:rPr>
              <w:t>que les Organisations régionales de gestion des pêches (ORGP) établissent des mesures de conservation et de gestion pour de nombreuses espèces marines (cibles ou accessoires) gérées dans le cadre de leur compétence, applicables à tous les navires de pêche opérant dans la zone de la Convention des ORGP, sur la base des avis des comités scientifiques de ces organismes, et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trHeight w:val="960"/>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6" w:lineRule="auto"/>
              <w:jc w:val="both"/>
              <w:rPr>
                <w:rFonts w:cs="Arial"/>
                <w:szCs w:val="17"/>
                <w:lang w:val="fr-FR"/>
              </w:rPr>
            </w:pPr>
            <w:r>
              <w:rPr>
                <w:rFonts w:cs="Arial"/>
                <w:i/>
                <w:iCs/>
                <w:szCs w:val="17"/>
                <w:lang w:val="fr-FR"/>
              </w:rPr>
              <w:t xml:space="preserve">Reconnaissant </w:t>
            </w:r>
            <w:r>
              <w:rPr>
                <w:rFonts w:cs="Arial"/>
                <w:szCs w:val="17"/>
                <w:lang w:val="fr-FR"/>
              </w:rPr>
              <w:t>l’intérêt de solliciter l’avis d’autres organes intergouvernementaux à l’égard des propositions d’amendement des Annexes,</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RPr="004D64D9" w:rsidTr="009F30AA">
        <w:trPr>
          <w:trHeight w:val="606"/>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hideMark/>
          </w:tcPr>
          <w:p w:rsidR="009F30AA" w:rsidRDefault="009F30AA">
            <w:pPr>
              <w:spacing w:line="256" w:lineRule="auto"/>
              <w:jc w:val="center"/>
              <w:rPr>
                <w:rFonts w:cs="Arial"/>
                <w:i/>
                <w:lang w:val="fr-FR"/>
              </w:rPr>
            </w:pPr>
            <w:r>
              <w:rPr>
                <w:rFonts w:cs="Arial"/>
                <w:i/>
                <w:lang w:val="fr-FR"/>
              </w:rPr>
              <w:t>La Conférence des Parties à la Convention sur la conservation des espèces migratrices appartenant à la faune sauvage</w:t>
            </w:r>
          </w:p>
        </w:tc>
        <w:tc>
          <w:tcPr>
            <w:tcW w:w="2699" w:type="dxa"/>
            <w:tcBorders>
              <w:top w:val="single" w:sz="4" w:space="0" w:color="auto"/>
              <w:left w:val="single" w:sz="4" w:space="0" w:color="auto"/>
              <w:bottom w:val="single" w:sz="4" w:space="0" w:color="auto"/>
              <w:right w:val="single" w:sz="4" w:space="0" w:color="auto"/>
            </w:tcBorders>
            <w:shd w:val="clear" w:color="auto" w:fill="D9D9D9"/>
          </w:tcPr>
          <w:p w:rsidR="009F30AA" w:rsidRDefault="009F30AA">
            <w:pPr>
              <w:spacing w:line="252" w:lineRule="auto"/>
              <w:rPr>
                <w:rFonts w:cs="Arial"/>
                <w:lang w:val="fr-FR"/>
              </w:rPr>
            </w:pP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tcPr>
          <w:p w:rsidR="009F30AA" w:rsidRDefault="009F30AA" w:rsidP="009F30AA">
            <w:pPr>
              <w:numPr>
                <w:ilvl w:val="0"/>
                <w:numId w:val="10"/>
              </w:numPr>
              <w:autoSpaceDN w:val="0"/>
              <w:spacing w:after="0" w:line="256" w:lineRule="auto"/>
              <w:ind w:left="360"/>
              <w:contextualSpacing/>
              <w:jc w:val="both"/>
              <w:rPr>
                <w:rFonts w:cs="Arial"/>
                <w:szCs w:val="17"/>
                <w:lang w:val="fr-FR"/>
              </w:rPr>
            </w:pPr>
            <w:r>
              <w:rPr>
                <w:rFonts w:cs="Arial"/>
                <w:i/>
                <w:iCs/>
                <w:szCs w:val="17"/>
                <w:lang w:val="fr-FR"/>
              </w:rPr>
              <w:t xml:space="preserve">Décide </w:t>
            </w:r>
            <w:r>
              <w:rPr>
                <w:rFonts w:cs="Arial"/>
                <w:szCs w:val="17"/>
                <w:lang w:val="fr-FR"/>
              </w:rPr>
              <w:t>d’interpréter l’expression « en danger » au paragraphe 1(a) de l’Article premier de la Convention, au sens de:</w:t>
            </w:r>
          </w:p>
          <w:p w:rsidR="009F30AA" w:rsidRDefault="009F30AA">
            <w:pPr>
              <w:spacing w:line="256" w:lineRule="auto"/>
              <w:jc w:val="both"/>
              <w:rPr>
                <w:rFonts w:cs="Arial"/>
                <w:szCs w:val="17"/>
                <w:lang w:val="fr-FR"/>
              </w:rPr>
            </w:pPr>
          </w:p>
          <w:p w:rsidR="009F30AA" w:rsidRDefault="009F30AA">
            <w:pPr>
              <w:spacing w:line="256" w:lineRule="auto"/>
              <w:ind w:left="360"/>
              <w:jc w:val="both"/>
              <w:rPr>
                <w:rFonts w:cs="Arial"/>
                <w:szCs w:val="17"/>
                <w:lang w:val="fr-FR"/>
              </w:rPr>
            </w:pPr>
            <w:r>
              <w:rPr>
                <w:rFonts w:cs="Arial"/>
                <w:szCs w:val="17"/>
                <w:lang w:val="fr-FR"/>
              </w:rPr>
              <w:t>« exposé à l’état sauvage à un risque d’extinction très élevé et à court terme »; </w:t>
            </w:r>
          </w:p>
          <w:p w:rsidR="009F30AA" w:rsidRDefault="009F30AA">
            <w:pPr>
              <w:spacing w:line="252" w:lineRule="auto"/>
              <w:ind w:left="1080" w:hanging="540"/>
              <w:jc w:val="both"/>
              <w:rPr>
                <w:rFonts w:cs="Arial"/>
                <w:lang w:val="fr-FR"/>
              </w:rPr>
            </w:pP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RPr="004D64D9" w:rsidTr="009F30AA">
        <w:trPr>
          <w:jc w:val="center"/>
        </w:trPr>
        <w:tc>
          <w:tcPr>
            <w:tcW w:w="6374" w:type="dxa"/>
            <w:tcBorders>
              <w:top w:val="single" w:sz="4" w:space="0" w:color="auto"/>
              <w:left w:val="single" w:sz="4" w:space="0" w:color="auto"/>
              <w:bottom w:val="single" w:sz="4" w:space="0" w:color="auto"/>
              <w:right w:val="single" w:sz="4" w:space="0" w:color="auto"/>
            </w:tcBorders>
          </w:tcPr>
          <w:p w:rsidR="009F30AA" w:rsidRDefault="009F30AA">
            <w:pPr>
              <w:spacing w:line="256" w:lineRule="auto"/>
              <w:ind w:left="593" w:hanging="567"/>
              <w:jc w:val="both"/>
              <w:rPr>
                <w:rFonts w:cs="Arial"/>
                <w:i/>
                <w:iCs/>
                <w:lang w:val="fr-FR"/>
              </w:rPr>
            </w:pPr>
            <w:r>
              <w:rPr>
                <w:rFonts w:cs="Arial"/>
                <w:strike/>
                <w:lang w:val="fr-FR"/>
              </w:rPr>
              <w:t>1.</w:t>
            </w:r>
            <w:r>
              <w:rPr>
                <w:rFonts w:cs="Arial"/>
                <w:u w:val="single"/>
                <w:lang w:val="fr-FR"/>
              </w:rPr>
              <w:t>2</w:t>
            </w:r>
            <w:r>
              <w:rPr>
                <w:rFonts w:cs="Arial"/>
                <w:i/>
                <w:u w:val="single"/>
                <w:lang w:val="fr-FR"/>
              </w:rPr>
              <w:t>.</w:t>
            </w:r>
            <w:r>
              <w:rPr>
                <w:rFonts w:cs="Arial"/>
                <w:i/>
                <w:lang w:val="fr-FR"/>
              </w:rPr>
              <w:t xml:space="preserve"> Convient</w:t>
            </w:r>
            <w:r>
              <w:rPr>
                <w:rFonts w:cs="Arial"/>
                <w:lang w:val="fr-FR"/>
              </w:rPr>
              <w:t xml:space="preserve"> qu’en appliquant </w:t>
            </w:r>
            <w:r>
              <w:rPr>
                <w:rFonts w:cs="Arial"/>
                <w:strike/>
                <w:lang w:val="fr-FR"/>
              </w:rPr>
              <w:t>les directives relatives à</w:t>
            </w:r>
            <w:r>
              <w:rPr>
                <w:rFonts w:cs="Arial"/>
                <w:lang w:val="fr-FR"/>
              </w:rPr>
              <w:t xml:space="preserve"> l’interprétation de l’expression « espèces menacées » </w:t>
            </w:r>
            <w:r>
              <w:rPr>
                <w:rFonts w:cs="Arial"/>
                <w:strike/>
                <w:lang w:val="fr-FR"/>
              </w:rPr>
              <w:t>adopté dans la Résolution 2.2 adoptée par la Conférence des Parties à sa deuxième session</w:t>
            </w:r>
            <w:r>
              <w:rPr>
                <w:rFonts w:cs="Arial"/>
                <w:lang w:val="fr-FR"/>
              </w:rPr>
              <w:t xml:space="preserve"> les principes généraux suivants seront suivis :</w:t>
            </w:r>
          </w:p>
          <w:p w:rsidR="009F30AA" w:rsidRDefault="009F30AA">
            <w:pPr>
              <w:pStyle w:val="ListParagraph"/>
              <w:spacing w:line="256" w:lineRule="auto"/>
              <w:ind w:left="0"/>
              <w:jc w:val="both"/>
              <w:rPr>
                <w:rFonts w:cs="Arial"/>
                <w:lang w:val="fr-FR"/>
              </w:rPr>
            </w:pPr>
          </w:p>
          <w:p w:rsidR="009F30AA" w:rsidRDefault="009F30AA" w:rsidP="009F30AA">
            <w:pPr>
              <w:pStyle w:val="ListParagraph"/>
              <w:numPr>
                <w:ilvl w:val="0"/>
                <w:numId w:val="11"/>
              </w:numPr>
              <w:autoSpaceDN w:val="0"/>
              <w:spacing w:after="0" w:line="256" w:lineRule="auto"/>
              <w:ind w:left="993" w:hanging="426"/>
              <w:jc w:val="both"/>
              <w:rPr>
                <w:rFonts w:cs="Arial"/>
                <w:sz w:val="24"/>
                <w:szCs w:val="24"/>
                <w:lang w:val="fr-FR"/>
              </w:rPr>
            </w:pPr>
            <w:r>
              <w:rPr>
                <w:rFonts w:cs="Arial"/>
                <w:lang w:val="fr-FR"/>
              </w:rPr>
              <w:t>La restriction imposée à l’inscription d’espèces à l’Annexe I, qui correspond aux espèces « en danger », vaut pour les futures propositions d’inscription mais pas nécessairement rétroactivement pour les espèces déjà inscrites ;</w:t>
            </w:r>
          </w:p>
          <w:p w:rsidR="009F30AA" w:rsidRDefault="009F30AA">
            <w:pPr>
              <w:pStyle w:val="ListParagraph"/>
              <w:spacing w:line="256" w:lineRule="auto"/>
              <w:ind w:left="1440"/>
              <w:jc w:val="both"/>
              <w:rPr>
                <w:rFonts w:cs="Arial"/>
                <w:lang w:val="fr-FR"/>
              </w:rPr>
            </w:pPr>
          </w:p>
          <w:p w:rsidR="009F30AA" w:rsidRDefault="009F30AA" w:rsidP="009F30AA">
            <w:pPr>
              <w:pStyle w:val="ListParagraph"/>
              <w:numPr>
                <w:ilvl w:val="0"/>
                <w:numId w:val="11"/>
              </w:numPr>
              <w:autoSpaceDN w:val="0"/>
              <w:spacing w:after="0" w:line="256" w:lineRule="auto"/>
              <w:ind w:left="993" w:hanging="426"/>
              <w:jc w:val="both"/>
              <w:rPr>
                <w:rFonts w:cs="Arial"/>
                <w:lang w:val="fr-FR"/>
              </w:rPr>
            </w:pPr>
            <w:r>
              <w:rPr>
                <w:rFonts w:cs="Arial"/>
                <w:lang w:val="fr-FR"/>
              </w:rPr>
              <w:t>Sachant que l’alinéa b) du paragraphe 3 de l’Article III de la Convention dispose qu’une espèce migratrice peut être supprimée de l’Annexe I</w:t>
            </w:r>
            <w:r>
              <w:rPr>
                <w:rFonts w:cs="Arial"/>
                <w:sz w:val="23"/>
                <w:szCs w:val="23"/>
                <w:shd w:val="clear" w:color="auto" w:fill="FFFFFF"/>
                <w:lang w:val="fr-FR"/>
              </w:rPr>
              <w:t xml:space="preserve"> </w:t>
            </w:r>
            <w:r>
              <w:rPr>
                <w:rFonts w:cs="Arial"/>
                <w:lang w:val="fr-FR"/>
              </w:rPr>
              <w:t xml:space="preserve">lorsque l’on est assuré que ladite espèce ne risque pas d’être à nouveau mise en danger en raison du défaut de protection résultant de sa suppression de l’Annexe I, </w:t>
            </w:r>
            <w:r>
              <w:rPr>
                <w:rFonts w:cs="Arial"/>
                <w:u w:val="single"/>
                <w:lang w:val="fr-FR"/>
              </w:rPr>
              <w:t>et se référant à l'interprétation du terme « en danger » figurant dans la présente Résolution</w:t>
            </w:r>
            <w:r>
              <w:rPr>
                <w:rFonts w:cs="Arial"/>
                <w:lang w:val="fr-FR"/>
              </w:rPr>
              <w:t xml:space="preserve"> </w:t>
            </w:r>
            <w:r>
              <w:rPr>
                <w:rFonts w:cs="Arial"/>
                <w:strike/>
                <w:lang w:val="fr-FR"/>
              </w:rPr>
              <w:t>et reconnaissant que les espèces inscrites à l'Annexe I de la CMS sont largement définies comme «en danger», définie par la Convention dans la Résolution 11.33 [(</w:t>
            </w:r>
            <w:proofErr w:type="spellStart"/>
            <w:r>
              <w:rPr>
                <w:rFonts w:cs="Arial"/>
                <w:strike/>
                <w:lang w:val="fr-FR"/>
              </w:rPr>
              <w:t>rev</w:t>
            </w:r>
            <w:proofErr w:type="spellEnd"/>
            <w:r>
              <w:rPr>
                <w:rFonts w:cs="Arial"/>
                <w:strike/>
                <w:lang w:val="fr-FR"/>
              </w:rPr>
              <w:t xml:space="preserve"> CoP12)] comme «très menacée d'extinction dans la nature dans un proche avenir»</w:t>
            </w:r>
            <w:r>
              <w:rPr>
                <w:rFonts w:cs="Arial"/>
                <w:lang w:val="fr-FR"/>
              </w:rPr>
              <w:t>; les espèces catégorisées «éteintes», «en danger critique d'extinction» ou «en danger» par la Liste rouge catégories et critères de l'Union internationale pour la conservation de la nature (UICN) (version 3.1, deuxième édition), devraient être conservées à l'Annexe I;</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lastRenderedPageBreak/>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 xml:space="preserve">Conserver et amender pour éliminer les textes </w:t>
            </w:r>
            <w:r>
              <w:rPr>
                <w:rFonts w:cs="Arial"/>
                <w:lang w:val="fr-FR"/>
              </w:rPr>
              <w:lastRenderedPageBreak/>
              <w:t>périmés et éviter les redondances</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ind w:left="593" w:hanging="593"/>
              <w:jc w:val="both"/>
              <w:rPr>
                <w:rFonts w:cs="Arial"/>
                <w:i/>
                <w:lang w:val="fr-FR"/>
              </w:rPr>
            </w:pPr>
            <w:r>
              <w:rPr>
                <w:rFonts w:cs="Arial"/>
                <w:iCs/>
                <w:strike/>
                <w:lang w:val="fr-FR"/>
              </w:rPr>
              <w:lastRenderedPageBreak/>
              <w:t>2.</w:t>
            </w:r>
            <w:r>
              <w:rPr>
                <w:rFonts w:cs="Arial"/>
                <w:iCs/>
                <w:u w:val="single"/>
                <w:lang w:val="fr-FR"/>
              </w:rPr>
              <w:t>3.</w:t>
            </w:r>
            <w:r>
              <w:rPr>
                <w:rFonts w:cs="Arial"/>
                <w:i/>
                <w:iCs/>
                <w:lang w:val="fr-FR"/>
              </w:rPr>
              <w:t xml:space="preserve">   </w:t>
            </w:r>
            <w:r>
              <w:rPr>
                <w:rFonts w:cs="Arial"/>
                <w:i/>
                <w:iCs/>
                <w:szCs w:val="17"/>
                <w:lang w:val="fr-FR"/>
              </w:rPr>
              <w:t xml:space="preserve">Décide </w:t>
            </w:r>
            <w:r>
              <w:rPr>
                <w:rFonts w:cs="Arial"/>
                <w:szCs w:val="17"/>
                <w:lang w:val="fr-FR"/>
              </w:rPr>
              <w:t>que, dans l’interprétation de l’expression « espèce migratrice » au paragraphe 1(a) de l’Article premier de la Convention :</w:t>
            </w:r>
          </w:p>
          <w:p w:rsidR="009F30AA" w:rsidRDefault="009F30AA">
            <w:pPr>
              <w:spacing w:line="252" w:lineRule="auto"/>
              <w:ind w:left="540" w:hanging="540"/>
              <w:jc w:val="both"/>
              <w:rPr>
                <w:rFonts w:cs="Arial"/>
                <w:lang w:val="fr-FR"/>
              </w:rPr>
            </w:pPr>
          </w:p>
          <w:p w:rsidR="009F30AA" w:rsidRDefault="009F30AA">
            <w:pPr>
              <w:spacing w:line="252" w:lineRule="auto"/>
              <w:ind w:left="1080" w:hanging="540"/>
              <w:jc w:val="both"/>
              <w:rPr>
                <w:rFonts w:cs="Arial"/>
                <w:lang w:val="fr-FR"/>
              </w:rPr>
            </w:pPr>
            <w:r>
              <w:rPr>
                <w:rFonts w:cs="Arial"/>
                <w:lang w:val="fr-FR"/>
              </w:rPr>
              <w:t xml:space="preserve">(i) </w:t>
            </w:r>
            <w:r>
              <w:rPr>
                <w:rFonts w:cs="Arial"/>
                <w:lang w:val="fr-FR"/>
              </w:rPr>
              <w:tab/>
            </w:r>
            <w:r>
              <w:rPr>
                <w:rFonts w:cs="Arial"/>
                <w:szCs w:val="17"/>
                <w:lang w:val="fr-FR"/>
              </w:rPr>
              <w:t>Le terme « cycliquement » figurant dans le membre de phrase « cycliquement et de façon prévisible » désigne tout cycle, quelle qu’en soit la nature, par exemple astronomique (circadien, annuel, etc.), biologique ou climatique, et quelle qu’en soit la fréquence ;</w:t>
            </w:r>
          </w:p>
          <w:p w:rsidR="009F30AA" w:rsidRDefault="009F30AA">
            <w:pPr>
              <w:spacing w:line="252" w:lineRule="auto"/>
              <w:ind w:left="1080" w:hanging="540"/>
              <w:jc w:val="both"/>
              <w:rPr>
                <w:rFonts w:cs="Arial"/>
                <w:lang w:val="fr-FR"/>
              </w:rPr>
            </w:pPr>
          </w:p>
          <w:p w:rsidR="009F30AA" w:rsidRDefault="009F30AA">
            <w:pPr>
              <w:spacing w:line="252" w:lineRule="auto"/>
              <w:ind w:left="1080" w:hanging="540"/>
              <w:jc w:val="both"/>
              <w:rPr>
                <w:rFonts w:cs="Arial"/>
                <w:szCs w:val="17"/>
                <w:lang w:val="fr-FR"/>
              </w:rPr>
            </w:pPr>
            <w:r>
              <w:rPr>
                <w:rFonts w:cs="Arial"/>
                <w:lang w:val="fr-FR"/>
              </w:rPr>
              <w:t xml:space="preserve">(ii) </w:t>
            </w:r>
            <w:r>
              <w:rPr>
                <w:rFonts w:cs="Arial"/>
                <w:lang w:val="fr-FR"/>
              </w:rPr>
              <w:tab/>
            </w:r>
            <w:r>
              <w:rPr>
                <w:rFonts w:cs="Arial"/>
                <w:szCs w:val="17"/>
                <w:lang w:val="fr-FR"/>
              </w:rPr>
              <w:t>L’expression « de façon prévisible » figurant dans le membre de phrase « cycliquement et de façon prévisible » signifie qu’on peut s’attendre qu’un phénomène se reproduise dans un certain nombre de circonstances données, sans qu’il ait nécessairement une périodicité régulière ; </w:t>
            </w:r>
          </w:p>
          <w:p w:rsidR="009F30AA" w:rsidRDefault="009F30AA">
            <w:pPr>
              <w:spacing w:line="252" w:lineRule="auto"/>
              <w:jc w:val="both"/>
              <w:rPr>
                <w:rFonts w:cs="Arial"/>
                <w:lang w:val="fr-FR"/>
              </w:rPr>
            </w:pP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67"/>
              <w:jc w:val="both"/>
              <w:rPr>
                <w:rFonts w:cs="Arial"/>
                <w:i/>
                <w:lang w:val="fr-FR"/>
              </w:rPr>
            </w:pPr>
            <w:r>
              <w:rPr>
                <w:rFonts w:cs="Arial"/>
                <w:iCs/>
                <w:strike/>
                <w:lang w:val="fr-FR"/>
              </w:rPr>
              <w:t>3.</w:t>
            </w:r>
            <w:r>
              <w:rPr>
                <w:rFonts w:cs="Arial"/>
                <w:iCs/>
                <w:u w:val="single"/>
                <w:lang w:val="fr-FR"/>
              </w:rPr>
              <w:t>4.</w:t>
            </w:r>
            <w:r>
              <w:rPr>
                <w:rFonts w:cs="Arial"/>
                <w:iCs/>
                <w:lang w:val="fr-FR"/>
              </w:rPr>
              <w:t xml:space="preserve">  </w:t>
            </w:r>
            <w:r>
              <w:rPr>
                <w:rFonts w:cs="Arial"/>
                <w:i/>
                <w:lang w:val="fr-FR"/>
              </w:rPr>
              <w:t>Décide</w:t>
            </w:r>
            <w:r>
              <w:rPr>
                <w:rFonts w:cs="Arial"/>
                <w:lang w:val="fr-FR"/>
              </w:rPr>
              <w:t xml:space="preserve"> qu’en vertu du principe de précaution et en cas d’incertitude concernant l’état d’une espèce, les Parties doivent agir dans le meilleur intérêt de conservation de l’espèce et, lors de l’examen des propositions d’amendement de l’Annexe I ou II, doivent adopter des mesures proportionnelles aux risques encourus par l’espèce ;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RPr="004D64D9"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i/>
                <w:iCs/>
                <w:lang w:val="fr-FR"/>
              </w:rPr>
            </w:pPr>
            <w:r>
              <w:rPr>
                <w:rFonts w:cs="Arial"/>
                <w:strike/>
                <w:lang w:val="fr-FR"/>
              </w:rPr>
              <w:lastRenderedPageBreak/>
              <w:t>2.</w:t>
            </w:r>
            <w:r>
              <w:rPr>
                <w:rFonts w:cs="Arial"/>
                <w:u w:val="single"/>
                <w:lang w:val="fr-FR"/>
              </w:rPr>
              <w:t>5.</w:t>
            </w:r>
            <w:r>
              <w:rPr>
                <w:rFonts w:cs="Arial"/>
                <w:i/>
                <w:lang w:val="fr-FR"/>
              </w:rPr>
              <w:t xml:space="preserve">   Convient</w:t>
            </w:r>
            <w:r>
              <w:rPr>
                <w:rFonts w:cs="Arial"/>
                <w:lang w:val="fr-FR"/>
              </w:rPr>
              <w:t xml:space="preserve"> que seules les espèces ou les taxons inférieurs seront ajoutés aux Annexes à la Convention et que les espèces migratrices regroupées sous un taxon supérieur figurant déjà à l’Annexe II ne devront être identifiées qu’au moment de l’élaboration </w:t>
            </w:r>
            <w:r>
              <w:rPr>
                <w:rFonts w:cs="Arial"/>
                <w:strike/>
                <w:lang w:val="fr-FR"/>
              </w:rPr>
              <w:t>d’ACCORDS ;</w:t>
            </w:r>
            <w:r>
              <w:rPr>
                <w:rFonts w:cs="Arial"/>
                <w:lang w:val="fr-FR"/>
              </w:rPr>
              <w:t xml:space="preserve"> </w:t>
            </w:r>
            <w:r>
              <w:rPr>
                <w:rFonts w:cs="Arial"/>
                <w:u w:val="single"/>
                <w:lang w:val="fr-FR"/>
              </w:rPr>
              <w:t>des Accords en application</w:t>
            </w:r>
            <w:r>
              <w:rPr>
                <w:u w:val="single"/>
                <w:lang w:val="fr-FR"/>
              </w:rPr>
              <w:t xml:space="preserve"> </w:t>
            </w:r>
            <w:r>
              <w:rPr>
                <w:rFonts w:cs="Arial"/>
                <w:u w:val="single"/>
                <w:lang w:val="fr-FR"/>
              </w:rPr>
              <w:t>de l’article IV de la Convention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 et modifier pour refléter le fait que les parties ont des alternatives aux ACCORDS.  Conformément à la Résolution 12.8, le terme " Accord " est utilisé pour désigner les ACCORDS, accords et mémorandums d`entente.</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strike/>
                <w:lang w:val="fr-FR"/>
              </w:rPr>
            </w:pPr>
            <w:r>
              <w:rPr>
                <w:rFonts w:cs="Arial"/>
                <w:strike/>
                <w:lang w:val="fr-FR"/>
              </w:rPr>
              <w:t>3.</w:t>
            </w:r>
            <w:r>
              <w:rPr>
                <w:rFonts w:cs="Arial"/>
                <w:u w:val="single"/>
                <w:lang w:val="fr-FR"/>
              </w:rPr>
              <w:t>6.</w:t>
            </w:r>
            <w:r>
              <w:rPr>
                <w:rFonts w:cs="Arial"/>
                <w:i/>
                <w:lang w:val="fr-FR"/>
              </w:rPr>
              <w:t xml:space="preserve">   Adopte</w:t>
            </w:r>
            <w:r>
              <w:rPr>
                <w:rFonts w:cs="Arial"/>
                <w:lang w:val="fr-FR"/>
              </w:rPr>
              <w:t xml:space="preserve"> la directive selon laquelle un État devrait être considéré comme un « État de l’aire de répartition » pour une espèce migratrice donnée lorsqu’une partie importante d’une population géographiquement distincte de ladite espèce se trouve occasionnellement sur son territoire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proofErr w:type="spellStart"/>
            <w:r>
              <w:rPr>
                <w:rFonts w:cs="Arial"/>
                <w:lang w:val="fr-FR"/>
              </w:rPr>
              <w:t>Resolution</w:t>
            </w:r>
            <w:proofErr w:type="spellEnd"/>
            <w:r>
              <w:rPr>
                <w:rFonts w:cs="Arial"/>
                <w:lang w:val="fr-FR"/>
              </w:rPr>
              <w:t xml:space="preserve"> 3.1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ascii="Times New Roman" w:hAnsi="Times New Roman" w:cs="Arial"/>
                <w:lang w:val="fr-FR"/>
              </w:rPr>
            </w:pPr>
            <w:r>
              <w:rPr>
                <w:rFonts w:cs="Arial"/>
                <w:strike/>
                <w:lang w:val="fr-FR"/>
              </w:rPr>
              <w:t>4.</w:t>
            </w:r>
            <w:r>
              <w:rPr>
                <w:rFonts w:cs="Arial"/>
                <w:u w:val="single"/>
                <w:lang w:val="fr-FR"/>
              </w:rPr>
              <w:t>7.</w:t>
            </w:r>
            <w:r>
              <w:rPr>
                <w:rFonts w:cs="Arial"/>
                <w:i/>
                <w:lang w:val="fr-FR"/>
              </w:rPr>
              <w:t xml:space="preserve">  Adopte</w:t>
            </w:r>
            <w:r>
              <w:rPr>
                <w:rFonts w:cs="Arial"/>
                <w:lang w:val="fr-FR"/>
              </w:rPr>
              <w:t xml:space="preserve"> le format des propositions d'amendements aux Annexes de la CMS figurant à l'annexe 2 de la présente résolution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lang w:val="fr-FR"/>
              </w:rPr>
            </w:pPr>
            <w:r>
              <w:rPr>
                <w:rFonts w:cs="Arial"/>
                <w:strike/>
                <w:lang w:val="fr-FR"/>
              </w:rPr>
              <w:t>4.</w:t>
            </w:r>
            <w:r>
              <w:rPr>
                <w:rFonts w:cs="Arial"/>
                <w:u w:val="single"/>
                <w:lang w:val="fr-FR"/>
              </w:rPr>
              <w:t>8.</w:t>
            </w:r>
            <w:r>
              <w:rPr>
                <w:rFonts w:cs="Arial"/>
                <w:lang w:val="fr-FR"/>
              </w:rPr>
              <w:t xml:space="preserve"> </w:t>
            </w:r>
            <w:r>
              <w:rPr>
                <w:rFonts w:cs="Arial"/>
                <w:i/>
                <w:lang w:val="fr-FR"/>
              </w:rPr>
              <w:t xml:space="preserve"> Prie</w:t>
            </w:r>
            <w:r>
              <w:rPr>
                <w:rFonts w:cs="Arial"/>
                <w:lang w:val="fr-FR"/>
              </w:rPr>
              <w:t xml:space="preserve"> les Parties lorsqu’elles établissent des propositions d’inscription de nouvelles espèces à l’Annexe I de se demander si ces espèces devraient également figurer à l’Annexe II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RPr="004D64D9"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lang w:val="fr-FR"/>
              </w:rPr>
            </w:pPr>
            <w:r>
              <w:rPr>
                <w:rFonts w:cs="Arial"/>
                <w:strike/>
                <w:lang w:val="fr-FR"/>
              </w:rPr>
              <w:t>5.</w:t>
            </w:r>
            <w:r>
              <w:rPr>
                <w:rFonts w:cs="Arial"/>
                <w:u w:val="single"/>
                <w:lang w:val="fr-FR"/>
              </w:rPr>
              <w:t>9.</w:t>
            </w:r>
            <w:r>
              <w:rPr>
                <w:rFonts w:cs="Arial"/>
                <w:i/>
                <w:lang w:val="fr-FR"/>
              </w:rPr>
              <w:t xml:space="preserve">  Prie</w:t>
            </w:r>
            <w:r>
              <w:rPr>
                <w:rFonts w:cs="Arial"/>
                <w:lang w:val="fr-FR"/>
              </w:rPr>
              <w:t xml:space="preserve"> instamment toute Partie qui propose l’adjonction à l’Annexe II d’une espèce pour laquelle elle est État de l’aire de répartition d’entreprendre des négociations avec d’autres États de l’aire de répartition en vue de la conclusion d’un </w:t>
            </w:r>
            <w:r>
              <w:rPr>
                <w:rFonts w:cs="Arial"/>
                <w:strike/>
                <w:lang w:val="fr-FR"/>
              </w:rPr>
              <w:t>ACCORD</w:t>
            </w:r>
            <w:r>
              <w:rPr>
                <w:rFonts w:cs="Arial"/>
                <w:lang w:val="fr-FR"/>
              </w:rPr>
              <w:t xml:space="preserve"> </w:t>
            </w:r>
            <w:proofErr w:type="spellStart"/>
            <w:r>
              <w:rPr>
                <w:rFonts w:cs="Arial"/>
                <w:u w:val="single"/>
                <w:lang w:val="fr-FR"/>
              </w:rPr>
              <w:t>Accord</w:t>
            </w:r>
            <w:proofErr w:type="spellEnd"/>
            <w:r>
              <w:rPr>
                <w:rFonts w:cs="Arial"/>
                <w:u w:val="single"/>
                <w:lang w:val="fr-FR"/>
              </w:rPr>
              <w:t xml:space="preserve"> ou action concertée </w:t>
            </w:r>
            <w:r>
              <w:rPr>
                <w:rFonts w:cs="Arial"/>
                <w:lang w:val="fr-FR"/>
              </w:rPr>
              <w:t>portant sur ladite espèce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 xml:space="preserve">Conserver et modifier pour refléter le fait que les parties ont des alternatives aux ACCORDS.  Conformément à la Résolution 12.8, le terme " Accord " est utilisé pour désigner les ACCORDS, </w:t>
            </w:r>
            <w:r>
              <w:rPr>
                <w:rFonts w:cs="Arial"/>
                <w:lang w:val="fr-FR"/>
              </w:rPr>
              <w:lastRenderedPageBreak/>
              <w:t xml:space="preserve">accords et mémorandums d`entente. </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lang w:val="fr-FR"/>
              </w:rPr>
            </w:pPr>
            <w:r>
              <w:rPr>
                <w:rFonts w:cs="Arial"/>
                <w:strike/>
                <w:lang w:val="fr-FR"/>
              </w:rPr>
              <w:lastRenderedPageBreak/>
              <w:t>6.</w:t>
            </w:r>
            <w:r>
              <w:rPr>
                <w:rFonts w:cs="Arial"/>
                <w:u w:val="single"/>
                <w:lang w:val="fr-FR"/>
              </w:rPr>
              <w:t>10</w:t>
            </w:r>
            <w:r>
              <w:rPr>
                <w:rFonts w:cs="Arial"/>
                <w:i/>
                <w:u w:val="single"/>
                <w:lang w:val="fr-FR"/>
              </w:rPr>
              <w:t>.</w:t>
            </w:r>
            <w:r>
              <w:rPr>
                <w:rFonts w:cs="Arial"/>
                <w:i/>
                <w:lang w:val="fr-FR"/>
              </w:rPr>
              <w:t xml:space="preserve"> Encourage</w:t>
            </w:r>
            <w:r>
              <w:rPr>
                <w:rFonts w:cs="Arial"/>
                <w:lang w:val="fr-FR"/>
              </w:rPr>
              <w:t xml:space="preserve"> les Parties à envisager de présenter des propositions d’inscription aux Annexes d’espèces de régions du monde actuellement sous-représentées et à aider les pays en développement Parties à élaborer ce type de proposition ;</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3.1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lang w:val="fr-FR"/>
              </w:rPr>
            </w:pPr>
            <w:r>
              <w:rPr>
                <w:rFonts w:cs="Arial"/>
                <w:iCs/>
                <w:strike/>
                <w:lang w:val="fr-FR"/>
              </w:rPr>
              <w:t>5.</w:t>
            </w:r>
            <w:r>
              <w:rPr>
                <w:rFonts w:cs="Arial"/>
                <w:iCs/>
                <w:u w:val="single"/>
                <w:lang w:val="fr-FR"/>
              </w:rPr>
              <w:t>11.</w:t>
            </w:r>
            <w:r>
              <w:rPr>
                <w:rFonts w:cs="Arial"/>
                <w:i/>
                <w:iCs/>
                <w:lang w:val="fr-FR"/>
              </w:rPr>
              <w:t xml:space="preserve"> </w:t>
            </w:r>
            <w:r>
              <w:rPr>
                <w:rFonts w:cs="Arial"/>
                <w:i/>
                <w:lang w:val="fr-FR"/>
              </w:rPr>
              <w:t>Prie</w:t>
            </w:r>
            <w:r>
              <w:rPr>
                <w:rFonts w:cs="Arial"/>
                <w:lang w:val="fr-FR"/>
              </w:rPr>
              <w:t xml:space="preserve"> le Secrétariat de consulter d’autres organismes intergouvernementaux, y compris les ORGP, ayant une fonction en relation avec toute espèce faisant l’objet d’une proposition d’amendement des Annexes ; et de rendre compte des résultats de ces consultations à la Conférence des Parties ; et</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ind w:left="593" w:hanging="593"/>
              <w:jc w:val="both"/>
              <w:rPr>
                <w:rFonts w:cs="Arial"/>
                <w:lang w:val="fr-FR"/>
              </w:rPr>
            </w:pPr>
            <w:r>
              <w:rPr>
                <w:rFonts w:cs="Arial"/>
                <w:strike/>
                <w:lang w:val="fr-FR"/>
              </w:rPr>
              <w:t xml:space="preserve">6.     </w:t>
            </w:r>
            <w:r>
              <w:rPr>
                <w:rFonts w:cs="Arial"/>
                <w:i/>
                <w:strike/>
                <w:lang w:val="fr-FR"/>
              </w:rPr>
              <w:t>Décide</w:t>
            </w:r>
            <w:r>
              <w:rPr>
                <w:rFonts w:cs="Arial"/>
                <w:strike/>
                <w:lang w:val="fr-FR"/>
              </w:rPr>
              <w:t xml:space="preserve"> que la présente résolution remplace les résolutions 2.2 et 5.3 pour l’évaluation des propositions d’inscription aux Annexes I et II de la Convention.</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Abroger</w:t>
            </w:r>
          </w:p>
        </w:tc>
      </w:tr>
      <w:tr w:rsidR="009F30AA" w:rsidRPr="004D64D9" w:rsidTr="009F30AA">
        <w:trPr>
          <w:jc w:val="center"/>
        </w:trPr>
        <w:tc>
          <w:tcPr>
            <w:tcW w:w="6374" w:type="dxa"/>
            <w:tcBorders>
              <w:top w:val="single" w:sz="4" w:space="0" w:color="auto"/>
              <w:left w:val="single" w:sz="4" w:space="0" w:color="auto"/>
              <w:bottom w:val="single" w:sz="4" w:space="0" w:color="auto"/>
              <w:right w:val="single" w:sz="4" w:space="0" w:color="auto"/>
            </w:tcBorders>
          </w:tcPr>
          <w:p w:rsidR="009F30AA" w:rsidRDefault="009F30AA">
            <w:pPr>
              <w:spacing w:line="256" w:lineRule="auto"/>
              <w:rPr>
                <w:rFonts w:ascii="Times New Roman" w:hAnsi="Times New Roman" w:cs="Times New Roman"/>
                <w:sz w:val="24"/>
                <w:szCs w:val="24"/>
                <w:lang w:val="fr-FR"/>
              </w:rPr>
            </w:pPr>
            <w:r>
              <w:rPr>
                <w:rFonts w:cs="Arial"/>
                <w:u w:val="single"/>
                <w:lang w:val="fr-FR"/>
              </w:rPr>
              <w:t>12.   Abroge</w:t>
            </w:r>
          </w:p>
          <w:p w:rsidR="009F30AA" w:rsidRDefault="009F30AA">
            <w:pPr>
              <w:spacing w:line="252" w:lineRule="auto"/>
              <w:ind w:left="593" w:hanging="593"/>
              <w:jc w:val="both"/>
              <w:rPr>
                <w:rFonts w:cs="Arial"/>
                <w:u w:val="single"/>
                <w:lang w:val="fr-FR"/>
              </w:rPr>
            </w:pPr>
          </w:p>
          <w:p w:rsidR="009F30AA" w:rsidRDefault="009F30AA" w:rsidP="009F30AA">
            <w:pPr>
              <w:pStyle w:val="ListParagraph"/>
              <w:numPr>
                <w:ilvl w:val="0"/>
                <w:numId w:val="12"/>
              </w:numPr>
              <w:autoSpaceDN w:val="0"/>
              <w:spacing w:after="0" w:line="252" w:lineRule="auto"/>
              <w:jc w:val="both"/>
              <w:rPr>
                <w:rFonts w:cs="Arial"/>
                <w:u w:val="single"/>
                <w:lang w:val="fr-FR"/>
              </w:rPr>
            </w:pPr>
            <w:r>
              <w:rPr>
                <w:rFonts w:cs="Arial"/>
                <w:u w:val="single"/>
                <w:lang w:val="fr-FR"/>
              </w:rPr>
              <w:t>La Résolution 3.1 (Rev.COP12) Liste des espèces énumérées aux Annexes à la Convention ;</w:t>
            </w:r>
          </w:p>
          <w:p w:rsidR="009F30AA" w:rsidRDefault="009F30AA">
            <w:pPr>
              <w:pStyle w:val="ListParagraph"/>
              <w:spacing w:line="252" w:lineRule="auto"/>
              <w:ind w:left="953"/>
              <w:jc w:val="both"/>
              <w:rPr>
                <w:rFonts w:cs="Arial"/>
                <w:sz w:val="24"/>
                <w:szCs w:val="24"/>
                <w:u w:val="single"/>
                <w:lang w:val="fr-FR"/>
              </w:rPr>
            </w:pPr>
          </w:p>
          <w:p w:rsidR="009F30AA" w:rsidRDefault="009F30AA" w:rsidP="009F30AA">
            <w:pPr>
              <w:pStyle w:val="ListParagraph"/>
              <w:numPr>
                <w:ilvl w:val="0"/>
                <w:numId w:val="12"/>
              </w:numPr>
              <w:autoSpaceDN w:val="0"/>
              <w:spacing w:after="0" w:line="252" w:lineRule="auto"/>
              <w:jc w:val="both"/>
              <w:rPr>
                <w:rFonts w:cs="Arial"/>
                <w:strike/>
                <w:lang w:val="fr-FR"/>
              </w:rPr>
            </w:pPr>
            <w:r>
              <w:rPr>
                <w:rFonts w:cs="Arial"/>
                <w:u w:val="single"/>
                <w:lang w:val="fr-FR"/>
              </w:rPr>
              <w:t>La Résolution11.33 (Rev.COP12) Lignes directrices pour l’évaluation des propositions d’inscription aux Annexes I et II de la Convention.</w:t>
            </w:r>
          </w:p>
        </w:tc>
        <w:tc>
          <w:tcPr>
            <w:tcW w:w="2699"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rPr>
                <w:rFonts w:cs="Arial"/>
                <w:lang w:val="fr-FR"/>
              </w:rPr>
            </w:pPr>
            <w:r>
              <w:rPr>
                <w:rFonts w:cs="Arial"/>
                <w:lang w:val="fr-FR"/>
              </w:rPr>
              <w:t>Nouveau texte pour refléter le regroupement.</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jc w:val="center"/>
              <w:rPr>
                <w:rFonts w:cs="Arial"/>
                <w:szCs w:val="17"/>
                <w:lang w:val="fr-FR"/>
              </w:rPr>
            </w:pPr>
            <w:r>
              <w:rPr>
                <w:rFonts w:cs="Arial"/>
                <w:b/>
                <w:bCs/>
                <w:szCs w:val="17"/>
                <w:lang w:val="fr-FR"/>
              </w:rPr>
              <w:t>ANNEXE 1</w:t>
            </w:r>
          </w:p>
          <w:p w:rsidR="009F30AA" w:rsidRDefault="009F30AA">
            <w:pPr>
              <w:spacing w:line="256" w:lineRule="auto"/>
              <w:jc w:val="center"/>
              <w:rPr>
                <w:rFonts w:cs="Arial"/>
                <w:b/>
                <w:bCs/>
                <w:szCs w:val="17"/>
                <w:lang w:val="fr-FR"/>
              </w:rPr>
            </w:pPr>
            <w:r>
              <w:rPr>
                <w:rFonts w:cs="Arial"/>
                <w:b/>
                <w:bCs/>
                <w:szCs w:val="17"/>
                <w:lang w:val="fr-FR"/>
              </w:rPr>
              <w:t xml:space="preserve">LIGNES DIRECTRICES POUR L’ÉVALUATION DES PROPOSITIONS </w:t>
            </w:r>
          </w:p>
          <w:p w:rsidR="009F30AA" w:rsidRDefault="009F30AA">
            <w:pPr>
              <w:spacing w:line="256" w:lineRule="auto"/>
              <w:jc w:val="center"/>
              <w:rPr>
                <w:rFonts w:cs="Arial"/>
                <w:szCs w:val="17"/>
                <w:lang w:val="fr-FR"/>
              </w:rPr>
            </w:pPr>
            <w:r>
              <w:rPr>
                <w:rFonts w:cs="Arial"/>
                <w:b/>
                <w:bCs/>
                <w:szCs w:val="17"/>
                <w:lang w:val="fr-FR"/>
              </w:rPr>
              <w:t>D’INSCRIPTION AUX ANNEXES I ET II</w:t>
            </w:r>
          </w:p>
          <w:p w:rsidR="009F30AA" w:rsidRDefault="009F30AA">
            <w:pPr>
              <w:spacing w:line="252" w:lineRule="auto"/>
              <w:ind w:left="593" w:hanging="593"/>
              <w:jc w:val="center"/>
              <w:rPr>
                <w:rFonts w:cs="Arial"/>
                <w:u w:val="single"/>
                <w:lang w:val="fr-FR"/>
              </w:rPr>
            </w:pPr>
            <w:r>
              <w:rPr>
                <w:rFonts w:cs="Arial"/>
                <w:szCs w:val="18"/>
                <w:lang w:val="fr-FR"/>
              </w:rPr>
              <w:t>[En raison de sa longueur, il n'a pas été reproduit ici.]</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r w:rsidR="009F30AA" w:rsidTr="009F30AA">
        <w:trPr>
          <w:jc w:val="center"/>
        </w:trPr>
        <w:tc>
          <w:tcPr>
            <w:tcW w:w="6374" w:type="dxa"/>
            <w:tcBorders>
              <w:top w:val="single" w:sz="4" w:space="0" w:color="auto"/>
              <w:left w:val="single" w:sz="4" w:space="0" w:color="auto"/>
              <w:bottom w:val="single" w:sz="4" w:space="0" w:color="auto"/>
              <w:right w:val="single" w:sz="4" w:space="0" w:color="auto"/>
            </w:tcBorders>
            <w:hideMark/>
          </w:tcPr>
          <w:p w:rsidR="009F30AA" w:rsidRDefault="009F30AA">
            <w:pPr>
              <w:spacing w:line="252" w:lineRule="auto"/>
              <w:jc w:val="center"/>
              <w:rPr>
                <w:rFonts w:cs="Arial"/>
                <w:szCs w:val="17"/>
                <w:lang w:val="fr-FR"/>
              </w:rPr>
            </w:pPr>
            <w:r>
              <w:rPr>
                <w:rFonts w:cs="Arial"/>
                <w:b/>
                <w:bCs/>
                <w:szCs w:val="17"/>
                <w:lang w:val="fr-FR"/>
              </w:rPr>
              <w:t>ANNEXE 2</w:t>
            </w:r>
          </w:p>
          <w:p w:rsidR="009F30AA" w:rsidRDefault="009F30AA">
            <w:pPr>
              <w:spacing w:line="256" w:lineRule="auto"/>
              <w:jc w:val="center"/>
              <w:rPr>
                <w:rFonts w:cs="Arial"/>
                <w:b/>
                <w:lang w:val="fr-FR"/>
              </w:rPr>
            </w:pPr>
            <w:r>
              <w:rPr>
                <w:rFonts w:cs="Arial"/>
                <w:b/>
                <w:lang w:val="fr-FR"/>
              </w:rPr>
              <w:t>MODÈLE POUR LES PROPOSITIONS D’AMENDEMENT DES ANNEXES DE LA CMS</w:t>
            </w:r>
          </w:p>
          <w:p w:rsidR="009F30AA" w:rsidRDefault="009F30AA">
            <w:pPr>
              <w:spacing w:line="252" w:lineRule="auto"/>
              <w:jc w:val="center"/>
              <w:rPr>
                <w:rFonts w:cs="Arial"/>
                <w:b/>
                <w:bCs/>
                <w:szCs w:val="17"/>
                <w:lang w:val="fr-FR"/>
              </w:rPr>
            </w:pPr>
            <w:r>
              <w:rPr>
                <w:rFonts w:cs="Arial"/>
                <w:szCs w:val="18"/>
                <w:lang w:val="fr-FR"/>
              </w:rPr>
              <w:t>[En raison de sa longueur, il n'a pas été reproduit ici]</w:t>
            </w:r>
          </w:p>
        </w:tc>
        <w:tc>
          <w:tcPr>
            <w:tcW w:w="2699" w:type="dxa"/>
            <w:tcBorders>
              <w:top w:val="single" w:sz="4" w:space="0" w:color="auto"/>
              <w:left w:val="single" w:sz="4" w:space="0" w:color="auto"/>
              <w:bottom w:val="single" w:sz="4" w:space="0" w:color="auto"/>
              <w:right w:val="single" w:sz="4" w:space="0" w:color="auto"/>
            </w:tcBorders>
          </w:tcPr>
          <w:p w:rsidR="009F30AA" w:rsidRDefault="009F30AA">
            <w:pPr>
              <w:spacing w:line="252" w:lineRule="auto"/>
              <w:rPr>
                <w:rFonts w:cs="Arial"/>
                <w:lang w:val="fr-FR"/>
              </w:rPr>
            </w:pPr>
            <w:r>
              <w:rPr>
                <w:rFonts w:cs="Arial"/>
                <w:lang w:val="fr-FR"/>
              </w:rPr>
              <w:t>Résolution 11.33 (Rev.COP12)</w:t>
            </w:r>
          </w:p>
          <w:p w:rsidR="009F30AA" w:rsidRDefault="009F30AA">
            <w:pPr>
              <w:spacing w:line="252" w:lineRule="auto"/>
              <w:rPr>
                <w:rFonts w:cs="Arial"/>
                <w:lang w:val="fr-FR"/>
              </w:rPr>
            </w:pPr>
          </w:p>
          <w:p w:rsidR="009F30AA" w:rsidRDefault="009F30AA">
            <w:pPr>
              <w:spacing w:line="252" w:lineRule="auto"/>
              <w:rPr>
                <w:rFonts w:cs="Arial"/>
                <w:lang w:val="fr-FR"/>
              </w:rPr>
            </w:pPr>
            <w:r>
              <w:rPr>
                <w:rFonts w:cs="Arial"/>
                <w:lang w:val="fr-FR"/>
              </w:rPr>
              <w:t>Conserver</w:t>
            </w:r>
          </w:p>
        </w:tc>
      </w:tr>
    </w:tbl>
    <w:p w:rsidR="009F30AA" w:rsidRDefault="009F30AA" w:rsidP="009F30AA">
      <w:pPr>
        <w:pStyle w:val="Firstnumbering"/>
        <w:numPr>
          <w:ilvl w:val="0"/>
          <w:numId w:val="0"/>
        </w:numPr>
        <w:ind w:left="993" w:hanging="426"/>
        <w:rPr>
          <w:rFonts w:ascii="Times New Roman" w:eastAsia="Times New Roman" w:hAnsi="Times New Roman" w:cs="Arial"/>
          <w:sz w:val="24"/>
          <w:szCs w:val="24"/>
        </w:rPr>
      </w:pPr>
    </w:p>
    <w:p w:rsidR="009F30AA" w:rsidRDefault="009F30AA" w:rsidP="00EF7FC8">
      <w:pPr>
        <w:pStyle w:val="FourthnumberingA"/>
        <w:numPr>
          <w:ilvl w:val="0"/>
          <w:numId w:val="0"/>
        </w:numPr>
        <w:sectPr w:rsidR="009F30AA" w:rsidSect="00D71837">
          <w:headerReference w:type="even" r:id="rId16"/>
          <w:headerReference w:type="default" r:id="rId17"/>
          <w:headerReference w:type="first" r:id="rId18"/>
          <w:footerReference w:type="first" r:id="rId19"/>
          <w:pgSz w:w="11906" w:h="16838" w:code="9"/>
          <w:pgMar w:top="1134" w:right="1134" w:bottom="1134" w:left="1134" w:header="720" w:footer="720" w:gutter="0"/>
          <w:cols w:space="720"/>
          <w:titlePg/>
          <w:docGrid w:linePitch="360"/>
        </w:sectPr>
      </w:pPr>
    </w:p>
    <w:p w:rsidR="009F30AA" w:rsidRDefault="009F30AA" w:rsidP="00EF7FC8">
      <w:pPr>
        <w:pStyle w:val="FourthnumberingA"/>
        <w:numPr>
          <w:ilvl w:val="0"/>
          <w:numId w:val="0"/>
        </w:numPr>
      </w:pPr>
    </w:p>
    <w:p w:rsidR="009F30AA" w:rsidRDefault="009F30AA" w:rsidP="00EF38E8">
      <w:pPr>
        <w:pStyle w:val="p1"/>
        <w:jc w:val="right"/>
        <w:rPr>
          <w:rFonts w:ascii="Arial" w:hAnsi="Arial" w:cs="Arial"/>
          <w:b/>
          <w:bCs/>
          <w:sz w:val="22"/>
          <w:szCs w:val="22"/>
          <w:lang w:val="fr-FR"/>
        </w:rPr>
      </w:pPr>
      <w:r>
        <w:rPr>
          <w:rFonts w:ascii="Arial" w:hAnsi="Arial" w:cs="Arial"/>
          <w:b/>
          <w:bCs/>
          <w:sz w:val="22"/>
          <w:szCs w:val="22"/>
          <w:lang w:val="fr-FR"/>
        </w:rPr>
        <w:t>ANNEXE 2</w:t>
      </w:r>
    </w:p>
    <w:p w:rsidR="009F30AA" w:rsidRDefault="00EF38E8" w:rsidP="00EF38E8">
      <w:pPr>
        <w:tabs>
          <w:tab w:val="left" w:pos="-720"/>
          <w:tab w:val="left" w:pos="310"/>
          <w:tab w:val="left" w:pos="835"/>
        </w:tabs>
        <w:spacing w:after="0" w:line="240" w:lineRule="auto"/>
        <w:jc w:val="center"/>
        <w:rPr>
          <w:rFonts w:cs="Arial"/>
          <w:iCs/>
          <w:lang w:val="fr-FR"/>
        </w:rPr>
      </w:pPr>
      <w:r w:rsidRPr="00EF38E8">
        <w:rPr>
          <w:rFonts w:cs="Arial"/>
          <w:iCs/>
          <w:lang w:val="fr-FR"/>
        </w:rPr>
        <w:t>PROJET DE RÉSOLUTION</w:t>
      </w:r>
    </w:p>
    <w:p w:rsidR="00EF38E8" w:rsidRPr="00EF38E8" w:rsidRDefault="00EF38E8" w:rsidP="00EF38E8">
      <w:pPr>
        <w:tabs>
          <w:tab w:val="left" w:pos="-720"/>
          <w:tab w:val="left" w:pos="310"/>
          <w:tab w:val="left" w:pos="835"/>
        </w:tabs>
        <w:spacing w:after="0" w:line="240" w:lineRule="auto"/>
        <w:jc w:val="center"/>
        <w:rPr>
          <w:rFonts w:cs="Arial"/>
          <w:iCs/>
          <w:lang w:val="fr-FR"/>
        </w:rPr>
      </w:pPr>
    </w:p>
    <w:p w:rsidR="009F30AA" w:rsidRDefault="009F30AA" w:rsidP="00EF38E8">
      <w:pPr>
        <w:tabs>
          <w:tab w:val="left" w:pos="-720"/>
          <w:tab w:val="left" w:pos="310"/>
          <w:tab w:val="left" w:pos="835"/>
        </w:tabs>
        <w:spacing w:after="0" w:line="240" w:lineRule="auto"/>
        <w:jc w:val="center"/>
        <w:rPr>
          <w:rFonts w:cs="Arial"/>
          <w:b/>
          <w:iCs/>
          <w:lang w:val="fr-FR"/>
        </w:rPr>
      </w:pPr>
      <w:r>
        <w:rPr>
          <w:rFonts w:cs="Arial"/>
          <w:b/>
          <w:iCs/>
          <w:lang w:val="fr-FR"/>
        </w:rPr>
        <w:t>LIGNES DIRECTRICES POUR LA PR</w:t>
      </w:r>
      <w:r w:rsidR="00E8148B">
        <w:rPr>
          <w:rFonts w:cs="Arial"/>
          <w:b/>
          <w:iCs/>
          <w:lang w:val="fr-FR"/>
        </w:rPr>
        <w:t>É</w:t>
      </w:r>
      <w:r>
        <w:rPr>
          <w:rFonts w:cs="Arial"/>
          <w:b/>
          <w:iCs/>
          <w:lang w:val="fr-FR"/>
        </w:rPr>
        <w:t>PARATION ET L’</w:t>
      </w:r>
      <w:r w:rsidR="00E8148B">
        <w:rPr>
          <w:rFonts w:cs="Arial"/>
          <w:b/>
          <w:iCs/>
          <w:lang w:val="fr-FR"/>
        </w:rPr>
        <w:t>É</w:t>
      </w:r>
      <w:r>
        <w:rPr>
          <w:rFonts w:cs="Arial"/>
          <w:b/>
          <w:iCs/>
          <w:lang w:val="fr-FR"/>
        </w:rPr>
        <w:t>VALUATION DES PROPOSITIONS D'AMENDEMENT AUX ANNEXES DE LA CMS</w:t>
      </w:r>
    </w:p>
    <w:p w:rsidR="009F30AA" w:rsidRDefault="009F30AA" w:rsidP="00EF38E8">
      <w:pPr>
        <w:tabs>
          <w:tab w:val="left" w:pos="-720"/>
          <w:tab w:val="left" w:pos="310"/>
          <w:tab w:val="left" w:pos="835"/>
        </w:tabs>
        <w:spacing w:after="0" w:line="240" w:lineRule="auto"/>
        <w:jc w:val="center"/>
        <w:rPr>
          <w:rFonts w:cs="Arial"/>
          <w:b/>
          <w:iCs/>
          <w:lang w:val="fr-FR"/>
        </w:rPr>
      </w:pPr>
    </w:p>
    <w:p w:rsidR="00EF38E8" w:rsidRDefault="00EF38E8" w:rsidP="00EF38E8">
      <w:pPr>
        <w:tabs>
          <w:tab w:val="left" w:pos="-720"/>
          <w:tab w:val="left" w:pos="310"/>
          <w:tab w:val="left" w:pos="835"/>
        </w:tabs>
        <w:spacing w:after="0" w:line="240" w:lineRule="auto"/>
        <w:jc w:val="both"/>
        <w:rPr>
          <w:rFonts w:cs="Arial"/>
          <w:i/>
          <w:iCs/>
          <w:szCs w:val="17"/>
          <w:lang w:val="fr-FR"/>
        </w:rPr>
      </w:pPr>
    </w:p>
    <w:p w:rsidR="009F30AA" w:rsidRDefault="009F30AA" w:rsidP="00EF38E8">
      <w:pPr>
        <w:tabs>
          <w:tab w:val="left" w:pos="-720"/>
          <w:tab w:val="left" w:pos="310"/>
          <w:tab w:val="left" w:pos="835"/>
        </w:tabs>
        <w:spacing w:after="0" w:line="240" w:lineRule="auto"/>
        <w:jc w:val="both"/>
        <w:rPr>
          <w:rFonts w:cs="Arial"/>
          <w:szCs w:val="17"/>
          <w:lang w:val="fr-FR"/>
        </w:rPr>
      </w:pPr>
      <w:r>
        <w:rPr>
          <w:rFonts w:cs="Arial"/>
          <w:i/>
          <w:iCs/>
          <w:szCs w:val="17"/>
          <w:lang w:val="fr-FR"/>
        </w:rPr>
        <w:t xml:space="preserve">Rappelant </w:t>
      </w:r>
      <w:r>
        <w:rPr>
          <w:rFonts w:cs="Arial"/>
          <w:szCs w:val="17"/>
          <w:lang w:val="fr-FR"/>
        </w:rPr>
        <w:t>que les exigences de la CMS pour l’inscription d’espèces migratrices à l’Annexe I sont énoncées aux paragraphes 1 et 2 de l’Article III de la Convention, et que les exigences pour l’inscription des espèces migratrices à l’Annexe II sont énoncées au paragraphe 1 de l’Article IV de la Convention ;</w:t>
      </w:r>
    </w:p>
    <w:p w:rsidR="009F30AA" w:rsidRDefault="009F30AA" w:rsidP="00EF38E8">
      <w:pPr>
        <w:tabs>
          <w:tab w:val="left" w:pos="-720"/>
          <w:tab w:val="left" w:pos="310"/>
          <w:tab w:val="left" w:pos="835"/>
        </w:tabs>
        <w:spacing w:after="0" w:line="240" w:lineRule="auto"/>
        <w:jc w:val="both"/>
        <w:rPr>
          <w:rFonts w:cs="Arial"/>
          <w:szCs w:val="17"/>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Soulignant </w:t>
      </w:r>
      <w:r>
        <w:rPr>
          <w:rFonts w:cs="Arial"/>
          <w:szCs w:val="17"/>
          <w:lang w:val="fr-FR"/>
        </w:rPr>
        <w:t>que les espèces proposées pour une inscription à l’Annexe I ou à l’Annexe II de la Convention doivent être des espèces migratrices, selon la définition donnée au paragraphe 1a) de l’Article premier,</w:t>
      </w:r>
    </w:p>
    <w:p w:rsidR="009F30AA" w:rsidRDefault="009F30AA" w:rsidP="00EF38E8">
      <w:pPr>
        <w:spacing w:after="0" w:line="240" w:lineRule="auto"/>
        <w:jc w:val="both"/>
        <w:rPr>
          <w:rFonts w:cs="Arial"/>
          <w:szCs w:val="17"/>
          <w:lang w:val="fr-FR"/>
        </w:rPr>
      </w:pPr>
    </w:p>
    <w:p w:rsidR="009F30AA" w:rsidRDefault="009F30AA" w:rsidP="00EF38E8">
      <w:pPr>
        <w:spacing w:after="0" w:line="240" w:lineRule="auto"/>
        <w:jc w:val="both"/>
        <w:rPr>
          <w:rFonts w:cs="Arial"/>
          <w:lang w:val="fr-FR"/>
        </w:rPr>
      </w:pPr>
      <w:r>
        <w:rPr>
          <w:rFonts w:cs="Arial"/>
          <w:i/>
          <w:lang w:val="fr-FR"/>
        </w:rPr>
        <w:t>Rappelant</w:t>
      </w:r>
      <w:r>
        <w:rPr>
          <w:rFonts w:cs="Arial"/>
          <w:lang w:val="fr-FR"/>
        </w:rPr>
        <w:t xml:space="preserve"> que par sa Résolution 1.4 adoptée à sa première session elle chargeait le Conseil scientifique de formuler des directives pour l’application des termes de la Convention et de revoir la liste des espèces figurant aux Annexes à la Convention,</w:t>
      </w:r>
    </w:p>
    <w:p w:rsidR="009F30AA" w:rsidRDefault="009F30AA" w:rsidP="00EF38E8">
      <w:pPr>
        <w:tabs>
          <w:tab w:val="left" w:pos="-720"/>
          <w:tab w:val="left" w:pos="310"/>
          <w:tab w:val="left" w:pos="835"/>
        </w:tabs>
        <w:spacing w:after="0" w:line="240" w:lineRule="auto"/>
        <w:jc w:val="both"/>
        <w:rPr>
          <w:rFonts w:cs="Arial"/>
          <w:iCs/>
          <w:lang w:val="fr-FR"/>
        </w:rPr>
      </w:pPr>
    </w:p>
    <w:p w:rsidR="009F30AA" w:rsidRDefault="009F30AA" w:rsidP="00EF38E8">
      <w:pPr>
        <w:spacing w:after="0" w:line="240" w:lineRule="auto"/>
        <w:jc w:val="both"/>
        <w:rPr>
          <w:rFonts w:cs="Arial"/>
          <w:lang w:val="fr-FR"/>
        </w:rPr>
      </w:pPr>
      <w:r>
        <w:rPr>
          <w:rFonts w:cs="Arial"/>
          <w:i/>
          <w:iCs/>
          <w:lang w:val="fr-FR"/>
        </w:rPr>
        <w:t>Notant</w:t>
      </w:r>
      <w:r>
        <w:rPr>
          <w:rFonts w:cs="Arial"/>
          <w:iCs/>
          <w:lang w:val="fr-FR"/>
        </w:rPr>
        <w:t xml:space="preserve"> que, dans la Résolution 5.3, la Conférence des Parties a décidé d’interpréter l’expression « en danger » du paragraphe 1e) de l’Article premier de la Convention comme signifiant « exposé à l’état sauvage à un risque d’extinction très élevé et à court terme », et considérant que cette interprétation doit être maintenue,</w:t>
      </w:r>
    </w:p>
    <w:p w:rsidR="009F30AA" w:rsidRDefault="009F30AA" w:rsidP="00EF38E8">
      <w:pPr>
        <w:tabs>
          <w:tab w:val="left" w:pos="-720"/>
          <w:tab w:val="left" w:pos="310"/>
          <w:tab w:val="left" w:pos="835"/>
        </w:tabs>
        <w:spacing w:after="0" w:line="240" w:lineRule="auto"/>
        <w:jc w:val="both"/>
        <w:rPr>
          <w:rFonts w:cs="Arial"/>
          <w:iCs/>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Notant en outre </w:t>
      </w:r>
      <w:r>
        <w:rPr>
          <w:rFonts w:cs="Arial"/>
          <w:szCs w:val="17"/>
          <w:lang w:val="fr-FR"/>
        </w:rPr>
        <w:t>que, dans le paragraphe 1a) de la Résolution 2.2, la Conférence des Parties a adopté des lignes directrices pour l’interprétation du terme ‘cycliquement’ et de l’expression ‘de façon prévisible’ utilisés dans la définition d’ « espèce migratrice », et considérant que ces interprétations doivent être maintenues,</w:t>
      </w:r>
    </w:p>
    <w:p w:rsidR="009F30AA" w:rsidRDefault="009F30AA" w:rsidP="00EF38E8">
      <w:pPr>
        <w:spacing w:after="0" w:line="240" w:lineRule="auto"/>
        <w:jc w:val="both"/>
        <w:rPr>
          <w:rFonts w:cs="Arial"/>
          <w:szCs w:val="17"/>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Notant avec satisfaction </w:t>
      </w:r>
      <w:r>
        <w:rPr>
          <w:rFonts w:cs="Arial"/>
          <w:szCs w:val="17"/>
          <w:lang w:val="fr-FR"/>
        </w:rPr>
        <w:t>les travaux entrepris par le Conseil scientifique de la CMS à travers le document PNUE/CMS/COP11/Doc.24.2/Rev.1 pour élaborer des lignes directrices aidant le Conseil scientifique et la Conférence des Parties à évaluer les propositions d’inscription et de retrait d’espèces des Annexes de la Convention,</w:t>
      </w:r>
    </w:p>
    <w:p w:rsidR="009F30AA" w:rsidRDefault="009F30AA" w:rsidP="00EF38E8">
      <w:pPr>
        <w:spacing w:after="0" w:line="240" w:lineRule="auto"/>
        <w:jc w:val="both"/>
        <w:rPr>
          <w:rFonts w:cs="Arial"/>
          <w:szCs w:val="17"/>
          <w:lang w:val="fr-FR"/>
        </w:rPr>
      </w:pPr>
    </w:p>
    <w:p w:rsidR="009F30AA" w:rsidRDefault="009F30AA" w:rsidP="00EF38E8">
      <w:pPr>
        <w:tabs>
          <w:tab w:val="left" w:pos="-720"/>
          <w:tab w:val="left" w:pos="310"/>
          <w:tab w:val="left" w:pos="835"/>
        </w:tabs>
        <w:spacing w:after="0" w:line="240" w:lineRule="auto"/>
        <w:jc w:val="both"/>
        <w:rPr>
          <w:rFonts w:cs="Arial"/>
          <w:szCs w:val="17"/>
          <w:lang w:val="fr-FR"/>
        </w:rPr>
      </w:pPr>
      <w:r>
        <w:rPr>
          <w:rFonts w:cs="Arial"/>
          <w:i/>
          <w:iCs/>
          <w:szCs w:val="17"/>
          <w:lang w:val="fr-FR"/>
        </w:rPr>
        <w:t xml:space="preserve">Considérant </w:t>
      </w:r>
      <w:r>
        <w:rPr>
          <w:rFonts w:cs="Arial"/>
          <w:szCs w:val="17"/>
          <w:lang w:val="fr-FR"/>
        </w:rPr>
        <w:t>que les meilleures données scientifiques disponibles doivent être utilisées pour préparer et évaluer les propositions d’inscription,</w:t>
      </w:r>
    </w:p>
    <w:p w:rsidR="009F30AA" w:rsidRDefault="009F30AA" w:rsidP="00EF38E8">
      <w:pPr>
        <w:tabs>
          <w:tab w:val="left" w:pos="-720"/>
          <w:tab w:val="left" w:pos="310"/>
          <w:tab w:val="left" w:pos="835"/>
        </w:tabs>
        <w:spacing w:after="0" w:line="240" w:lineRule="auto"/>
        <w:jc w:val="both"/>
        <w:rPr>
          <w:rFonts w:cs="Arial"/>
          <w:szCs w:val="17"/>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Considérant en outre </w:t>
      </w:r>
      <w:r>
        <w:rPr>
          <w:rFonts w:cs="Arial"/>
          <w:szCs w:val="17"/>
          <w:lang w:val="fr-FR"/>
        </w:rPr>
        <w:t>que des résultats devraient être attendus en matière de conservation lorsqu’une proposition d’inscription est adoptée,</w:t>
      </w:r>
    </w:p>
    <w:p w:rsidR="009F30AA" w:rsidRDefault="009F30AA" w:rsidP="00EF38E8">
      <w:pPr>
        <w:spacing w:after="0" w:line="240" w:lineRule="auto"/>
        <w:jc w:val="both"/>
        <w:rPr>
          <w:rFonts w:cs="Arial"/>
          <w:szCs w:val="17"/>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Rappelant </w:t>
      </w:r>
      <w:r>
        <w:rPr>
          <w:rFonts w:cs="Arial"/>
          <w:szCs w:val="17"/>
          <w:lang w:val="fr-FR"/>
        </w:rPr>
        <w:t>que</w:t>
      </w:r>
      <w:r>
        <w:rPr>
          <w:rFonts w:cs="Arial"/>
          <w:i/>
          <w:iCs/>
          <w:szCs w:val="17"/>
          <w:lang w:val="fr-FR"/>
        </w:rPr>
        <w:t xml:space="preserve">, </w:t>
      </w:r>
      <w:r>
        <w:rPr>
          <w:rFonts w:cs="Arial"/>
          <w:szCs w:val="17"/>
          <w:lang w:val="fr-FR"/>
        </w:rPr>
        <w:t>dans la Résolution 3.1, la Conférence des Parties a décidé que les nouvelles inscriptions aux Annexes de la Convention doivent être limitées aux espèces ou aux taxons inférieurs, et que</w:t>
      </w:r>
      <w:r>
        <w:rPr>
          <w:rFonts w:cs="Arial"/>
          <w:lang w:val="fr-FR"/>
        </w:rPr>
        <w:t xml:space="preserve"> les espèces migratrices regroupées sous un taxon supérieur figurant déjà à l’Annexe II ne devront être identifiées qu’au moment de l’élaboration des accords,</w:t>
      </w:r>
    </w:p>
    <w:p w:rsidR="009F30AA" w:rsidRDefault="009F30AA" w:rsidP="00EF38E8">
      <w:pPr>
        <w:tabs>
          <w:tab w:val="left" w:pos="-720"/>
          <w:tab w:val="left" w:pos="310"/>
          <w:tab w:val="left" w:pos="835"/>
        </w:tabs>
        <w:spacing w:after="0" w:line="240" w:lineRule="auto"/>
        <w:jc w:val="both"/>
        <w:rPr>
          <w:rFonts w:cs="Arial"/>
          <w:iCs/>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Rappelant en outre </w:t>
      </w:r>
      <w:r>
        <w:rPr>
          <w:rFonts w:cs="Arial"/>
          <w:szCs w:val="17"/>
          <w:lang w:val="fr-FR"/>
        </w:rPr>
        <w:t>que de nombreuses espèces sont inscrites à la fois aux Annexes de la Convention sur le commerce international des espèces de faune et de flore sauvages menacées d'extinction (CITES) et à celles de la CMS, et que pour les États qui sont Parties à ces deux conventions, il est souhaitable que les actions des conventions soient complémentaires,</w:t>
      </w:r>
    </w:p>
    <w:p w:rsidR="009F30AA" w:rsidRDefault="009F30AA" w:rsidP="00EF38E8">
      <w:pPr>
        <w:tabs>
          <w:tab w:val="left" w:pos="-720"/>
          <w:tab w:val="left" w:pos="310"/>
          <w:tab w:val="left" w:pos="835"/>
        </w:tabs>
        <w:spacing w:after="0" w:line="240" w:lineRule="auto"/>
        <w:jc w:val="both"/>
        <w:rPr>
          <w:rFonts w:cs="Arial"/>
          <w:iCs/>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Rappelant en outre </w:t>
      </w:r>
      <w:r>
        <w:rPr>
          <w:rFonts w:cs="Arial"/>
          <w:szCs w:val="17"/>
          <w:lang w:val="fr-FR"/>
        </w:rPr>
        <w:t>que les Organisations régionales de gestion des pêches (ORGP) établissent des mesures de conservation et de gestion pour de nombreuses espèces marines (cibles ou accessoires) gérées dans le cadre de leur compétence, applicables à tous les navires de pêche opérant dans la zone de la Convention des ORGP, sur la base des avis des comités scientifiques de ces organismes, et </w:t>
      </w:r>
    </w:p>
    <w:p w:rsidR="009F30AA" w:rsidRDefault="009F30AA" w:rsidP="00EF38E8">
      <w:pPr>
        <w:tabs>
          <w:tab w:val="left" w:pos="-720"/>
          <w:tab w:val="left" w:pos="310"/>
          <w:tab w:val="left" w:pos="835"/>
        </w:tabs>
        <w:spacing w:after="0" w:line="240" w:lineRule="auto"/>
        <w:jc w:val="both"/>
        <w:rPr>
          <w:rFonts w:cs="Arial"/>
          <w:iCs/>
          <w:lang w:val="fr-FR"/>
        </w:rPr>
      </w:pPr>
    </w:p>
    <w:p w:rsidR="009F30AA" w:rsidRDefault="009F30AA" w:rsidP="00EF38E8">
      <w:pPr>
        <w:spacing w:after="0" w:line="240" w:lineRule="auto"/>
        <w:jc w:val="both"/>
        <w:rPr>
          <w:rFonts w:cs="Arial"/>
          <w:szCs w:val="17"/>
          <w:lang w:val="fr-FR"/>
        </w:rPr>
      </w:pPr>
      <w:r>
        <w:rPr>
          <w:rFonts w:cs="Arial"/>
          <w:i/>
          <w:iCs/>
          <w:szCs w:val="17"/>
          <w:lang w:val="fr-FR"/>
        </w:rPr>
        <w:t xml:space="preserve">Reconnaissant </w:t>
      </w:r>
      <w:r>
        <w:rPr>
          <w:rFonts w:cs="Arial"/>
          <w:szCs w:val="17"/>
          <w:lang w:val="fr-FR"/>
        </w:rPr>
        <w:t>l’intérêt de solliciter l’avis d’autres organes intergouvernementaux à l’égard des propositions d’amendement des Annexes,</w:t>
      </w:r>
    </w:p>
    <w:p w:rsidR="009F30AA" w:rsidRDefault="009F30AA" w:rsidP="00EF38E8">
      <w:pPr>
        <w:tabs>
          <w:tab w:val="left" w:pos="-720"/>
          <w:tab w:val="left" w:pos="310"/>
          <w:tab w:val="left" w:pos="835"/>
        </w:tabs>
        <w:spacing w:after="0" w:line="240" w:lineRule="auto"/>
        <w:rPr>
          <w:rFonts w:cs="Arial"/>
          <w:iCs/>
          <w:lang w:val="fr-FR"/>
        </w:rPr>
      </w:pPr>
    </w:p>
    <w:p w:rsidR="009F30AA" w:rsidRDefault="009F30AA" w:rsidP="00EF38E8">
      <w:pPr>
        <w:spacing w:after="0" w:line="240" w:lineRule="auto"/>
        <w:jc w:val="center"/>
        <w:rPr>
          <w:rFonts w:cs="Arial"/>
          <w:i/>
          <w:lang w:val="fr-FR"/>
        </w:rPr>
      </w:pPr>
      <w:r>
        <w:rPr>
          <w:rFonts w:cs="Arial"/>
          <w:i/>
          <w:lang w:val="fr-FR"/>
        </w:rPr>
        <w:t>La Conférence des Parties à la Convention sur la conservation des espèces migratrices appartenant à la faune sauvage</w:t>
      </w:r>
    </w:p>
    <w:p w:rsidR="009F30AA" w:rsidRDefault="009F30AA" w:rsidP="00EF38E8">
      <w:pPr>
        <w:spacing w:after="0" w:line="240" w:lineRule="auto"/>
        <w:jc w:val="center"/>
        <w:rPr>
          <w:rFonts w:cs="Arial"/>
          <w:lang w:val="fr-FR"/>
        </w:rPr>
      </w:pPr>
    </w:p>
    <w:p w:rsidR="009F30AA" w:rsidRDefault="009F30AA" w:rsidP="00EF38E8">
      <w:pPr>
        <w:numPr>
          <w:ilvl w:val="0"/>
          <w:numId w:val="13"/>
        </w:numPr>
        <w:spacing w:after="0" w:line="240" w:lineRule="auto"/>
        <w:ind w:left="567" w:hanging="567"/>
        <w:jc w:val="both"/>
        <w:rPr>
          <w:rFonts w:cs="Arial"/>
          <w:lang w:val="fr-FR"/>
        </w:rPr>
      </w:pPr>
      <w:r>
        <w:rPr>
          <w:rFonts w:cs="Arial"/>
          <w:i/>
          <w:lang w:val="fr-FR"/>
        </w:rPr>
        <w:t>Décide</w:t>
      </w:r>
      <w:r>
        <w:rPr>
          <w:rFonts w:cs="Arial"/>
          <w:lang w:val="fr-FR"/>
        </w:rPr>
        <w:t xml:space="preserve"> d’interpréter l’expression « en danger » au paragraphe 1(a) de l’Article premier de la Convention, au sens de :</w:t>
      </w:r>
    </w:p>
    <w:p w:rsidR="009F30AA" w:rsidRDefault="009F30AA" w:rsidP="00EF38E8">
      <w:pPr>
        <w:spacing w:after="0" w:line="240" w:lineRule="auto"/>
        <w:ind w:left="360"/>
        <w:jc w:val="both"/>
        <w:rPr>
          <w:rFonts w:cs="Arial"/>
          <w:lang w:val="fr-FR"/>
        </w:rPr>
      </w:pPr>
    </w:p>
    <w:p w:rsidR="009F30AA" w:rsidRDefault="009F30AA" w:rsidP="00EF38E8">
      <w:pPr>
        <w:spacing w:after="0" w:line="240" w:lineRule="auto"/>
        <w:ind w:left="360"/>
        <w:rPr>
          <w:rFonts w:cs="Arial"/>
          <w:lang w:val="fr-FR"/>
        </w:rPr>
      </w:pPr>
      <w:r>
        <w:rPr>
          <w:rFonts w:cs="Arial"/>
          <w:lang w:val="fr-FR"/>
        </w:rPr>
        <w:t xml:space="preserve">« exposé à l’état sauvage à un risque d’extinction très élevé et à court terme »; </w:t>
      </w:r>
    </w:p>
    <w:p w:rsidR="009F30AA" w:rsidRDefault="009F30AA" w:rsidP="00EF38E8">
      <w:pPr>
        <w:spacing w:after="0" w:line="240" w:lineRule="auto"/>
        <w:ind w:left="360"/>
        <w:rPr>
          <w:rFonts w:cs="Arial"/>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Cs/>
          <w:lang w:val="fr-FR"/>
        </w:rPr>
      </w:pPr>
      <w:r>
        <w:rPr>
          <w:rFonts w:cs="Arial"/>
          <w:i/>
          <w:iCs/>
          <w:lang w:val="fr-FR"/>
        </w:rPr>
        <w:t>Convient</w:t>
      </w:r>
      <w:r>
        <w:rPr>
          <w:rFonts w:cs="Arial"/>
          <w:iCs/>
          <w:lang w:val="fr-FR"/>
        </w:rPr>
        <w:t xml:space="preserve"> qu’en appliquant l’interprétation de l’expression « espèces menacées » les principes généraux suivants seront suivis :</w:t>
      </w:r>
    </w:p>
    <w:p w:rsidR="009F30AA" w:rsidRDefault="009F30AA" w:rsidP="00EF38E8">
      <w:pPr>
        <w:tabs>
          <w:tab w:val="left" w:pos="-720"/>
          <w:tab w:val="left" w:pos="310"/>
          <w:tab w:val="left" w:pos="835"/>
        </w:tabs>
        <w:spacing w:after="0" w:line="240" w:lineRule="auto"/>
        <w:ind w:left="360"/>
        <w:jc w:val="both"/>
        <w:rPr>
          <w:rFonts w:cs="Arial"/>
          <w:iCs/>
          <w:lang w:val="fr-FR"/>
        </w:rPr>
      </w:pPr>
    </w:p>
    <w:p w:rsidR="009F30AA" w:rsidRDefault="009F30AA" w:rsidP="00E8148B">
      <w:pPr>
        <w:numPr>
          <w:ilvl w:val="1"/>
          <w:numId w:val="13"/>
        </w:numPr>
        <w:tabs>
          <w:tab w:val="left" w:pos="-720"/>
          <w:tab w:val="left" w:pos="310"/>
          <w:tab w:val="left" w:pos="1276"/>
        </w:tabs>
        <w:spacing w:after="0" w:line="240" w:lineRule="auto"/>
        <w:ind w:left="1134" w:hanging="567"/>
        <w:jc w:val="both"/>
        <w:rPr>
          <w:rFonts w:cs="Arial"/>
          <w:iCs/>
          <w:lang w:val="fr-FR"/>
        </w:rPr>
      </w:pPr>
      <w:r>
        <w:rPr>
          <w:rFonts w:cs="Arial"/>
          <w:iCs/>
          <w:lang w:val="fr-FR"/>
        </w:rPr>
        <w:t>La restriction imposée à l’inscription d’espèces à l’Annexe I, qui correspond aux espèces « en danger », vaut pour les futures propositions d’inscription mais pas nécessairement rétroactivement pour les espèces déjà inscrites ;</w:t>
      </w:r>
    </w:p>
    <w:p w:rsidR="009F30AA" w:rsidRDefault="009F30AA" w:rsidP="00E8148B">
      <w:pPr>
        <w:tabs>
          <w:tab w:val="left" w:pos="-720"/>
          <w:tab w:val="left" w:pos="310"/>
          <w:tab w:val="left" w:pos="1276"/>
        </w:tabs>
        <w:spacing w:after="0" w:line="240" w:lineRule="auto"/>
        <w:ind w:left="1134" w:hanging="567"/>
        <w:jc w:val="both"/>
        <w:rPr>
          <w:rFonts w:cs="Arial"/>
          <w:iCs/>
          <w:lang w:val="fr-FR"/>
        </w:rPr>
      </w:pPr>
    </w:p>
    <w:p w:rsidR="009F30AA" w:rsidRDefault="009F30AA" w:rsidP="00E8148B">
      <w:pPr>
        <w:numPr>
          <w:ilvl w:val="1"/>
          <w:numId w:val="13"/>
        </w:numPr>
        <w:tabs>
          <w:tab w:val="left" w:pos="-720"/>
          <w:tab w:val="left" w:pos="310"/>
          <w:tab w:val="left" w:pos="1276"/>
        </w:tabs>
        <w:spacing w:after="0" w:line="240" w:lineRule="auto"/>
        <w:ind w:left="1134" w:hanging="567"/>
        <w:jc w:val="both"/>
        <w:rPr>
          <w:rFonts w:cs="Arial"/>
          <w:iCs/>
          <w:lang w:val="fr-FR"/>
        </w:rPr>
      </w:pPr>
      <w:r>
        <w:rPr>
          <w:rFonts w:cs="Arial"/>
          <w:iCs/>
          <w:lang w:val="fr-FR"/>
        </w:rPr>
        <w:t>Sachant que l’alinéa b) du paragraphe 3 de l’Article III de la Convention dispose qu’une espèce migratrice peut être supprimée de l’Annexe I lorsque l’on est assuré que ladite espèce ne risque pas d’être à nouveau mise en danger en raison du défaut de protection résultant de sa suppression de l’Annexe I, et se référant à l'interprétation du terme « en danger » figurant dans la présente Résolution; les espèces catégorisées «éteintes», «en danger critique d'extinction» ou «en danger» par la Liste rouge catégories et critères de l'Union internationale pour la conservation de la nature (UICN) (version 3.1, deuxième édition), devraient être conservées à l'Annexe I;</w:t>
      </w:r>
    </w:p>
    <w:p w:rsidR="009F30AA" w:rsidRDefault="009F30AA" w:rsidP="00EF38E8">
      <w:pPr>
        <w:pStyle w:val="ListParagraph"/>
        <w:spacing w:after="0" w:line="240" w:lineRule="auto"/>
        <w:contextualSpacing w:val="0"/>
        <w:jc w:val="both"/>
        <w:rPr>
          <w:rFonts w:cs="Arial"/>
          <w:iCs/>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Cs/>
        </w:rPr>
      </w:pPr>
      <w:r>
        <w:rPr>
          <w:rFonts w:cs="Arial"/>
          <w:i/>
          <w:iCs/>
        </w:rPr>
        <w:t>Decides</w:t>
      </w:r>
      <w:r>
        <w:rPr>
          <w:rFonts w:cs="Arial"/>
          <w:iCs/>
        </w:rPr>
        <w:t xml:space="preserve"> that in the interpretation of the term "migratory species" in Article I, paragraph 1 (a) of the Convention: </w:t>
      </w:r>
    </w:p>
    <w:p w:rsidR="009F30AA" w:rsidRDefault="009F30AA" w:rsidP="00EF38E8">
      <w:pPr>
        <w:tabs>
          <w:tab w:val="left" w:pos="-720"/>
          <w:tab w:val="left" w:pos="310"/>
          <w:tab w:val="left" w:pos="835"/>
        </w:tabs>
        <w:spacing w:after="0" w:line="240" w:lineRule="auto"/>
        <w:ind w:left="360"/>
        <w:jc w:val="both"/>
        <w:rPr>
          <w:rFonts w:cs="Arial"/>
          <w:iCs/>
        </w:rPr>
      </w:pPr>
    </w:p>
    <w:p w:rsidR="009F30AA" w:rsidRDefault="009F30AA" w:rsidP="00E8148B">
      <w:pPr>
        <w:spacing w:after="0" w:line="240" w:lineRule="auto"/>
        <w:ind w:left="1134" w:hanging="567"/>
        <w:jc w:val="both"/>
        <w:rPr>
          <w:rFonts w:cs="Arial"/>
          <w:lang w:val="fr-FR"/>
        </w:rPr>
      </w:pPr>
      <w:bookmarkStart w:id="0" w:name="_Hlk21615455"/>
      <w:r>
        <w:rPr>
          <w:rFonts w:cs="Arial"/>
          <w:lang w:val="fr-FR"/>
        </w:rPr>
        <w:t xml:space="preserve">(i) </w:t>
      </w:r>
      <w:bookmarkStart w:id="1" w:name="_Hlk21615466"/>
      <w:r>
        <w:rPr>
          <w:rFonts w:cs="Arial"/>
          <w:lang w:val="fr-FR"/>
        </w:rPr>
        <w:tab/>
      </w:r>
      <w:bookmarkEnd w:id="0"/>
      <w:bookmarkEnd w:id="1"/>
      <w:r>
        <w:rPr>
          <w:rFonts w:cs="Arial"/>
          <w:szCs w:val="17"/>
          <w:lang w:val="fr-FR"/>
        </w:rPr>
        <w:t>Le terme « cycliquement » figurant dans le membre de phrase « cycliquement et de façon prévisible » désigne tout cycle, quelle qu’en soit la nature, par exemple astronomique (circadien, annuel, etc.), biologique ou climatique, et quelle qu’en soit la fréquence ;</w:t>
      </w:r>
    </w:p>
    <w:p w:rsidR="009F30AA" w:rsidRDefault="009F30AA" w:rsidP="00E8148B">
      <w:pPr>
        <w:spacing w:after="0" w:line="240" w:lineRule="auto"/>
        <w:ind w:left="1134" w:hanging="567"/>
        <w:jc w:val="both"/>
        <w:rPr>
          <w:rFonts w:cs="Arial"/>
          <w:lang w:val="fr-FR"/>
        </w:rPr>
      </w:pPr>
    </w:p>
    <w:p w:rsidR="009F30AA" w:rsidRDefault="009F30AA" w:rsidP="00E8148B">
      <w:pPr>
        <w:spacing w:after="0" w:line="240" w:lineRule="auto"/>
        <w:ind w:left="1134" w:hanging="567"/>
        <w:jc w:val="both"/>
        <w:rPr>
          <w:rFonts w:cs="Arial"/>
          <w:szCs w:val="17"/>
          <w:lang w:val="fr-FR"/>
        </w:rPr>
      </w:pPr>
      <w:bookmarkStart w:id="2" w:name="_Hlk21615493"/>
      <w:r>
        <w:rPr>
          <w:rFonts w:cs="Arial"/>
          <w:lang w:val="fr-FR"/>
        </w:rPr>
        <w:t xml:space="preserve">(ii) </w:t>
      </w:r>
      <w:r>
        <w:rPr>
          <w:rFonts w:cs="Arial"/>
          <w:lang w:val="fr-FR"/>
        </w:rPr>
        <w:tab/>
      </w:r>
      <w:bookmarkEnd w:id="2"/>
      <w:r>
        <w:rPr>
          <w:rFonts w:cs="Arial"/>
          <w:szCs w:val="17"/>
          <w:lang w:val="fr-FR"/>
        </w:rPr>
        <w:t>L’expression « de façon prévisible » figurant dans le membre de phrase « cycliquement et de façon prévisible » signifie qu’on peut s’attendre qu’un phénomène se reproduise dans un certain nombre de circonstances données, sans qu’il ait nécessairement une périodicité régulière ; </w:t>
      </w:r>
    </w:p>
    <w:p w:rsidR="009F30AA" w:rsidRDefault="009F30AA" w:rsidP="00E8148B">
      <w:pPr>
        <w:spacing w:after="0" w:line="240" w:lineRule="auto"/>
        <w:ind w:left="1134" w:hanging="567"/>
        <w:jc w:val="both"/>
        <w:rPr>
          <w:rFonts w:cs="Arial"/>
          <w:lang w:val="fr-FR"/>
        </w:rPr>
      </w:pPr>
    </w:p>
    <w:p w:rsidR="009F30AA" w:rsidRDefault="009F30AA" w:rsidP="00EF38E8">
      <w:pPr>
        <w:numPr>
          <w:ilvl w:val="0"/>
          <w:numId w:val="13"/>
        </w:numPr>
        <w:tabs>
          <w:tab w:val="left" w:pos="-720"/>
          <w:tab w:val="left" w:pos="709"/>
          <w:tab w:val="left" w:pos="835"/>
        </w:tabs>
        <w:spacing w:after="0" w:line="240" w:lineRule="auto"/>
        <w:ind w:left="567" w:hanging="567"/>
        <w:jc w:val="both"/>
        <w:rPr>
          <w:rFonts w:cs="Arial"/>
          <w:iCs/>
          <w:lang w:val="fr-FR"/>
        </w:rPr>
      </w:pPr>
      <w:r>
        <w:rPr>
          <w:rFonts w:cs="Arial"/>
          <w:i/>
          <w:lang w:val="fr-FR"/>
        </w:rPr>
        <w:t>Décide</w:t>
      </w:r>
      <w:r>
        <w:rPr>
          <w:rFonts w:cs="Arial"/>
          <w:lang w:val="fr-FR"/>
        </w:rPr>
        <w:t xml:space="preserve"> qu’en vertu du principe de précaution et en cas d’incertitude concernant l’état d’une espèce, les Parties doivent agir dans le meilleur intérêt de conservation de l’espèce et, lors de l’examen des propositions d’amendement de l’Annexe I ou II, doivent adopter des mesures proportionnelles aux risques encourus par l’espèce ; </w:t>
      </w:r>
    </w:p>
    <w:p w:rsidR="009F30AA" w:rsidRDefault="009F30AA" w:rsidP="00EF38E8">
      <w:pPr>
        <w:tabs>
          <w:tab w:val="left" w:pos="-720"/>
          <w:tab w:val="left" w:pos="709"/>
          <w:tab w:val="left" w:pos="835"/>
        </w:tabs>
        <w:spacing w:after="0" w:line="240" w:lineRule="auto"/>
        <w:ind w:left="567" w:hanging="567"/>
        <w:jc w:val="both"/>
        <w:rPr>
          <w:rFonts w:cs="Arial"/>
          <w:iCs/>
          <w:lang w:val="fr-FR"/>
        </w:rPr>
      </w:pPr>
    </w:p>
    <w:p w:rsidR="009F30AA" w:rsidRDefault="009F30AA" w:rsidP="00EF38E8">
      <w:pPr>
        <w:numPr>
          <w:ilvl w:val="0"/>
          <w:numId w:val="13"/>
        </w:numPr>
        <w:tabs>
          <w:tab w:val="left" w:pos="-720"/>
          <w:tab w:val="left" w:pos="709"/>
          <w:tab w:val="left" w:pos="835"/>
        </w:tabs>
        <w:spacing w:after="0" w:line="240" w:lineRule="auto"/>
        <w:ind w:left="567" w:hanging="567"/>
        <w:jc w:val="both"/>
        <w:rPr>
          <w:rFonts w:cs="Arial"/>
          <w:iCs/>
          <w:lang w:val="fr-FR"/>
        </w:rPr>
      </w:pPr>
      <w:r>
        <w:rPr>
          <w:rFonts w:cs="Arial"/>
          <w:i/>
          <w:lang w:val="fr-FR"/>
        </w:rPr>
        <w:t>Convient</w:t>
      </w:r>
      <w:r>
        <w:rPr>
          <w:rFonts w:cs="Arial"/>
          <w:lang w:val="fr-FR"/>
        </w:rPr>
        <w:t xml:space="preserve"> que seules les espèces ou les taxons inférieurs seront ajoutés aux Annexes à la Convention et que les espèces migratrices regroupées sous un taxon supérieur figurant déjà à l’Annexe II ne devront être identifiées qu’au moment de l’élaboration des Accords en application</w:t>
      </w:r>
      <w:r>
        <w:rPr>
          <w:lang w:val="fr-FR"/>
        </w:rPr>
        <w:t xml:space="preserve"> </w:t>
      </w:r>
      <w:r>
        <w:rPr>
          <w:rFonts w:cs="Arial"/>
          <w:lang w:val="fr-FR"/>
        </w:rPr>
        <w:t>de l’article IV de la Convention ;</w:t>
      </w:r>
    </w:p>
    <w:p w:rsidR="009F30AA" w:rsidRDefault="009F30AA" w:rsidP="00EF38E8">
      <w:pPr>
        <w:pStyle w:val="ListParagraph"/>
        <w:tabs>
          <w:tab w:val="left" w:pos="709"/>
        </w:tabs>
        <w:spacing w:after="0" w:line="240" w:lineRule="auto"/>
        <w:ind w:left="567" w:hanging="567"/>
        <w:contextualSpacing w:val="0"/>
        <w:rPr>
          <w:rFonts w:cs="Arial"/>
          <w:iCs/>
          <w:lang w:val="fr-FR"/>
        </w:rPr>
      </w:pPr>
    </w:p>
    <w:p w:rsidR="009F30AA" w:rsidRDefault="009F30AA" w:rsidP="00EF38E8">
      <w:pPr>
        <w:numPr>
          <w:ilvl w:val="0"/>
          <w:numId w:val="13"/>
        </w:numPr>
        <w:tabs>
          <w:tab w:val="left" w:pos="-720"/>
          <w:tab w:val="left" w:pos="709"/>
          <w:tab w:val="left" w:pos="835"/>
        </w:tabs>
        <w:spacing w:after="0" w:line="240" w:lineRule="auto"/>
        <w:ind w:left="567" w:hanging="567"/>
        <w:jc w:val="both"/>
        <w:rPr>
          <w:rFonts w:cs="Arial"/>
          <w:iCs/>
          <w:lang w:val="fr-FR"/>
        </w:rPr>
      </w:pPr>
      <w:r>
        <w:rPr>
          <w:rFonts w:cs="Arial"/>
          <w:i/>
          <w:lang w:val="fr-FR"/>
        </w:rPr>
        <w:t>Adopte</w:t>
      </w:r>
      <w:r>
        <w:rPr>
          <w:rFonts w:cs="Arial"/>
          <w:lang w:val="fr-FR"/>
        </w:rPr>
        <w:t xml:space="preserve"> la directive selon laquelle un État devrait être considéré comme un « État de l’aire de répartition » pour une espèce migratrice donnée lorsqu’une partie importante d’une population géographiquement distincte de ladite espèce se trouve occasionnellement sur son territoire ;</w:t>
      </w:r>
    </w:p>
    <w:p w:rsidR="009F30AA" w:rsidRDefault="009F30AA" w:rsidP="00EF38E8">
      <w:pPr>
        <w:pStyle w:val="ListParagraph"/>
        <w:tabs>
          <w:tab w:val="left" w:pos="709"/>
        </w:tabs>
        <w:spacing w:after="0" w:line="240" w:lineRule="auto"/>
        <w:ind w:left="567" w:hanging="567"/>
        <w:contextualSpacing w:val="0"/>
        <w:rPr>
          <w:rFonts w:cs="Arial"/>
          <w:iCs/>
          <w:lang w:val="fr-FR"/>
        </w:rPr>
      </w:pPr>
    </w:p>
    <w:p w:rsidR="009F30AA" w:rsidRDefault="009F30AA" w:rsidP="00EF38E8">
      <w:pPr>
        <w:numPr>
          <w:ilvl w:val="0"/>
          <w:numId w:val="13"/>
        </w:numPr>
        <w:tabs>
          <w:tab w:val="left" w:pos="-720"/>
          <w:tab w:val="left" w:pos="709"/>
          <w:tab w:val="left" w:pos="835"/>
        </w:tabs>
        <w:spacing w:after="0" w:line="240" w:lineRule="auto"/>
        <w:ind w:left="567" w:hanging="567"/>
        <w:jc w:val="both"/>
        <w:rPr>
          <w:rFonts w:cs="Arial"/>
          <w:iCs/>
          <w:lang w:val="fr-FR"/>
        </w:rPr>
      </w:pPr>
      <w:r>
        <w:rPr>
          <w:rFonts w:cs="Arial"/>
          <w:i/>
          <w:lang w:val="fr-FR"/>
        </w:rPr>
        <w:t>Adopte</w:t>
      </w:r>
      <w:r>
        <w:rPr>
          <w:rFonts w:cs="Arial"/>
          <w:lang w:val="fr-FR"/>
        </w:rPr>
        <w:t xml:space="preserve"> le </w:t>
      </w:r>
      <w:r w:rsidR="00E8148B">
        <w:rPr>
          <w:rFonts w:cs="Arial"/>
          <w:lang w:val="fr-FR"/>
        </w:rPr>
        <w:t>modèle pour l</w:t>
      </w:r>
      <w:r>
        <w:rPr>
          <w:rFonts w:cs="Arial"/>
          <w:lang w:val="fr-FR"/>
        </w:rPr>
        <w:t xml:space="preserve">es propositions d'amendements </w:t>
      </w:r>
      <w:r w:rsidR="00E8148B">
        <w:rPr>
          <w:rFonts w:cs="Arial"/>
          <w:lang w:val="fr-FR"/>
        </w:rPr>
        <w:t>des</w:t>
      </w:r>
      <w:r>
        <w:rPr>
          <w:rFonts w:cs="Arial"/>
          <w:lang w:val="fr-FR"/>
        </w:rPr>
        <w:t xml:space="preserve"> Annexes de la CMS figurant à l'</w:t>
      </w:r>
      <w:r w:rsidR="00E8148B">
        <w:rPr>
          <w:rFonts w:cs="Arial"/>
          <w:lang w:val="fr-FR"/>
        </w:rPr>
        <w:t>A</w:t>
      </w:r>
      <w:r>
        <w:rPr>
          <w:rFonts w:cs="Arial"/>
          <w:lang w:val="fr-FR"/>
        </w:rPr>
        <w:t xml:space="preserve">nnexe 2 de la présente </w:t>
      </w:r>
      <w:r w:rsidR="00E8148B">
        <w:rPr>
          <w:rFonts w:cs="Arial"/>
          <w:lang w:val="fr-FR"/>
        </w:rPr>
        <w:t>R</w:t>
      </w:r>
      <w:r>
        <w:rPr>
          <w:rFonts w:cs="Arial"/>
          <w:lang w:val="fr-FR"/>
        </w:rPr>
        <w:t>ésolution ;</w:t>
      </w:r>
    </w:p>
    <w:p w:rsidR="009F30AA" w:rsidRDefault="009F30AA" w:rsidP="00EF38E8">
      <w:pPr>
        <w:pStyle w:val="ListParagraph"/>
        <w:tabs>
          <w:tab w:val="left" w:pos="709"/>
        </w:tabs>
        <w:spacing w:after="0" w:line="240" w:lineRule="auto"/>
        <w:ind w:left="567" w:hanging="567"/>
        <w:contextualSpacing w:val="0"/>
        <w:rPr>
          <w:rFonts w:cs="Arial"/>
          <w:iCs/>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Cs/>
          <w:lang w:val="fr-FR"/>
        </w:rPr>
      </w:pPr>
      <w:r>
        <w:rPr>
          <w:rFonts w:cs="Arial"/>
          <w:i/>
          <w:lang w:val="fr-FR"/>
        </w:rPr>
        <w:t>Prie</w:t>
      </w:r>
      <w:r>
        <w:rPr>
          <w:rFonts w:cs="Arial"/>
          <w:lang w:val="fr-FR"/>
        </w:rPr>
        <w:t xml:space="preserve"> les Parties lorsqu’elles établissent des propositions d’inscription de nouvelles espèces à l’Annexe I de se demander si ces espèces devraient également figurer à l’Annexe II ;</w:t>
      </w:r>
    </w:p>
    <w:p w:rsidR="009F30AA" w:rsidRDefault="009F30AA" w:rsidP="00EF38E8">
      <w:pPr>
        <w:pStyle w:val="ListParagraph"/>
        <w:tabs>
          <w:tab w:val="left" w:pos="567"/>
        </w:tabs>
        <w:spacing w:after="0" w:line="240" w:lineRule="auto"/>
        <w:ind w:left="567" w:hanging="567"/>
        <w:contextualSpacing w:val="0"/>
        <w:rPr>
          <w:rFonts w:cs="Arial"/>
          <w:iCs/>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Cs/>
          <w:lang w:val="fr-FR"/>
        </w:rPr>
      </w:pPr>
      <w:r>
        <w:rPr>
          <w:rFonts w:cs="Arial"/>
          <w:i/>
          <w:lang w:val="fr-FR"/>
        </w:rPr>
        <w:t>Prie</w:t>
      </w:r>
      <w:r>
        <w:rPr>
          <w:rFonts w:cs="Arial"/>
          <w:lang w:val="fr-FR"/>
        </w:rPr>
        <w:t xml:space="preserve"> instamment toute Partie qui propose l’adjonction à l’Annexe II d’une espèce pour laquelle elle est État de l’aire de répartition d’entreprendre des négociations avec d’autres États de l’aire de répartition en vue de la conclusion d’un Accord ou action concertée portant sur ladite espèce ;</w:t>
      </w:r>
    </w:p>
    <w:p w:rsidR="009F30AA" w:rsidRDefault="009F30AA" w:rsidP="00EF38E8">
      <w:pPr>
        <w:pStyle w:val="ListParagraph"/>
        <w:tabs>
          <w:tab w:val="left" w:pos="567"/>
        </w:tabs>
        <w:spacing w:after="0" w:line="240" w:lineRule="auto"/>
        <w:ind w:left="567" w:hanging="567"/>
        <w:contextualSpacing w:val="0"/>
        <w:rPr>
          <w:rFonts w:cs="Arial"/>
          <w:i/>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Cs/>
          <w:lang w:val="fr-FR"/>
        </w:rPr>
      </w:pPr>
      <w:r>
        <w:rPr>
          <w:rFonts w:cs="Arial"/>
          <w:i/>
          <w:lang w:val="fr-FR"/>
        </w:rPr>
        <w:t xml:space="preserve"> Encourage</w:t>
      </w:r>
      <w:r>
        <w:rPr>
          <w:rFonts w:cs="Arial"/>
          <w:lang w:val="fr-FR"/>
        </w:rPr>
        <w:t xml:space="preserve"> les Parties à envisager de présenter des propositions d’inscription aux Annexes d’espèces de régions du monde actuellement sous-représentées et à aider les pays en développement Parties à élaborer ce type de proposition ;</w:t>
      </w:r>
    </w:p>
    <w:p w:rsidR="009F30AA" w:rsidRDefault="009F30AA" w:rsidP="00EF38E8">
      <w:pPr>
        <w:pStyle w:val="ListParagraph"/>
        <w:tabs>
          <w:tab w:val="left" w:pos="567"/>
        </w:tabs>
        <w:spacing w:after="0" w:line="240" w:lineRule="auto"/>
        <w:ind w:left="567" w:hanging="567"/>
        <w:contextualSpacing w:val="0"/>
        <w:rPr>
          <w:rFonts w:cs="Arial"/>
          <w:iCs/>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Cs/>
          <w:lang w:val="fr-FR"/>
        </w:rPr>
      </w:pPr>
      <w:r>
        <w:rPr>
          <w:rFonts w:cs="Arial"/>
          <w:i/>
          <w:lang w:val="fr-FR"/>
        </w:rPr>
        <w:t xml:space="preserve"> Prie</w:t>
      </w:r>
      <w:r>
        <w:rPr>
          <w:rFonts w:cs="Arial"/>
          <w:lang w:val="fr-FR"/>
        </w:rPr>
        <w:t xml:space="preserve"> le Secrétariat de consulter d’autres organismes intergouvernementaux, y compris les ORGP, ayant une fonction en relation avec toute espèce faisant l’objet d’une proposition d’amendement des Annexes ; et de rendre compte des résultats de ces consultations à la Conférence des Parties ; et</w:t>
      </w:r>
    </w:p>
    <w:p w:rsidR="009F30AA" w:rsidRDefault="009F30AA" w:rsidP="00EF38E8">
      <w:pPr>
        <w:pStyle w:val="ListParagraph"/>
        <w:tabs>
          <w:tab w:val="left" w:pos="567"/>
        </w:tabs>
        <w:spacing w:after="0" w:line="240" w:lineRule="auto"/>
        <w:ind w:left="567" w:hanging="567"/>
        <w:contextualSpacing w:val="0"/>
        <w:rPr>
          <w:rFonts w:cs="Arial"/>
          <w:iCs/>
          <w:lang w:val="fr-FR"/>
        </w:rPr>
      </w:pPr>
    </w:p>
    <w:p w:rsidR="009F30AA" w:rsidRDefault="009F30AA" w:rsidP="00EF38E8">
      <w:pPr>
        <w:numPr>
          <w:ilvl w:val="0"/>
          <w:numId w:val="13"/>
        </w:numPr>
        <w:tabs>
          <w:tab w:val="left" w:pos="-720"/>
          <w:tab w:val="left" w:pos="567"/>
          <w:tab w:val="left" w:pos="835"/>
        </w:tabs>
        <w:spacing w:after="0" w:line="240" w:lineRule="auto"/>
        <w:ind w:left="567" w:hanging="567"/>
        <w:jc w:val="both"/>
        <w:rPr>
          <w:rFonts w:cs="Arial"/>
          <w:i/>
          <w:iCs/>
          <w:lang w:val="fr-FR"/>
        </w:rPr>
      </w:pPr>
      <w:r>
        <w:rPr>
          <w:rFonts w:cs="Arial"/>
          <w:i/>
          <w:iCs/>
          <w:lang w:val="fr-FR"/>
        </w:rPr>
        <w:t>Abroge</w:t>
      </w:r>
    </w:p>
    <w:p w:rsidR="009F30AA" w:rsidRDefault="009F30AA" w:rsidP="00EF38E8">
      <w:pPr>
        <w:pStyle w:val="ListParagraph"/>
        <w:tabs>
          <w:tab w:val="left" w:pos="567"/>
        </w:tabs>
        <w:spacing w:after="0" w:line="240" w:lineRule="auto"/>
        <w:ind w:left="567" w:hanging="567"/>
        <w:contextualSpacing w:val="0"/>
        <w:rPr>
          <w:rFonts w:cs="Arial"/>
          <w:iCs/>
          <w:lang w:val="fr-FR"/>
        </w:rPr>
      </w:pPr>
    </w:p>
    <w:p w:rsidR="009F30AA" w:rsidRDefault="007B2E70" w:rsidP="007B2E70">
      <w:pPr>
        <w:numPr>
          <w:ilvl w:val="1"/>
          <w:numId w:val="13"/>
        </w:numPr>
        <w:tabs>
          <w:tab w:val="left" w:pos="-720"/>
          <w:tab w:val="left" w:pos="310"/>
          <w:tab w:val="left" w:pos="1276"/>
        </w:tabs>
        <w:spacing w:after="0" w:line="240" w:lineRule="auto"/>
        <w:ind w:left="1134" w:hanging="567"/>
        <w:jc w:val="both"/>
        <w:rPr>
          <w:rFonts w:cs="Arial"/>
          <w:iCs/>
          <w:lang w:val="fr-FR"/>
        </w:rPr>
      </w:pPr>
      <w:r>
        <w:rPr>
          <w:rFonts w:cs="Arial"/>
          <w:iCs/>
          <w:lang w:val="fr-FR"/>
        </w:rPr>
        <w:t>l</w:t>
      </w:r>
      <w:r w:rsidR="009F30AA">
        <w:rPr>
          <w:rFonts w:cs="Arial"/>
          <w:iCs/>
          <w:lang w:val="fr-FR"/>
        </w:rPr>
        <w:t>a Résolution 3.1 (Rev.COP12) Liste des espèces énumérées aux Annexes à la Convention.</w:t>
      </w:r>
    </w:p>
    <w:p w:rsidR="009F30AA" w:rsidRDefault="009F30AA" w:rsidP="007B2E70">
      <w:pPr>
        <w:tabs>
          <w:tab w:val="left" w:pos="-720"/>
          <w:tab w:val="left" w:pos="310"/>
          <w:tab w:val="left" w:pos="1276"/>
        </w:tabs>
        <w:spacing w:after="0" w:line="240" w:lineRule="auto"/>
        <w:ind w:left="1134" w:hanging="567"/>
        <w:jc w:val="both"/>
        <w:rPr>
          <w:rFonts w:cs="Arial"/>
          <w:iCs/>
          <w:lang w:val="fr-FR"/>
        </w:rPr>
      </w:pPr>
    </w:p>
    <w:p w:rsidR="009F30AA" w:rsidRDefault="007B2E70" w:rsidP="007B2E70">
      <w:pPr>
        <w:numPr>
          <w:ilvl w:val="1"/>
          <w:numId w:val="13"/>
        </w:numPr>
        <w:tabs>
          <w:tab w:val="left" w:pos="-720"/>
          <w:tab w:val="left" w:pos="310"/>
          <w:tab w:val="left" w:pos="1276"/>
        </w:tabs>
        <w:spacing w:after="0" w:line="240" w:lineRule="auto"/>
        <w:ind w:left="1134" w:hanging="567"/>
        <w:jc w:val="both"/>
        <w:rPr>
          <w:rFonts w:cs="Arial"/>
          <w:iCs/>
          <w:lang w:val="fr-FR"/>
        </w:rPr>
      </w:pPr>
      <w:r>
        <w:rPr>
          <w:rFonts w:cs="Arial"/>
          <w:iCs/>
          <w:lang w:val="fr-FR"/>
        </w:rPr>
        <w:t>l</w:t>
      </w:r>
      <w:r w:rsidR="009F30AA">
        <w:rPr>
          <w:rFonts w:cs="Arial"/>
          <w:iCs/>
          <w:lang w:val="fr-FR"/>
        </w:rPr>
        <w:t>a Résolution11.33 (Rev.COP12) Lignes directrices pour l’évaluation des propositions d’inscription aux Annexes I et II de la Convention.</w:t>
      </w:r>
    </w:p>
    <w:p w:rsidR="009F30AA" w:rsidRDefault="009F30AA" w:rsidP="007B2E70">
      <w:pPr>
        <w:pStyle w:val="ListParagraph"/>
        <w:tabs>
          <w:tab w:val="left" w:pos="1276"/>
        </w:tabs>
        <w:spacing w:after="0" w:line="240" w:lineRule="auto"/>
        <w:ind w:left="1134" w:hanging="567"/>
        <w:contextualSpacing w:val="0"/>
        <w:rPr>
          <w:rFonts w:cs="Arial"/>
          <w:iCs/>
          <w:lang w:val="fr-FR"/>
        </w:rPr>
      </w:pPr>
    </w:p>
    <w:p w:rsidR="009F30AA" w:rsidRDefault="009F30AA" w:rsidP="00EF38E8">
      <w:pPr>
        <w:pStyle w:val="ListParagraph"/>
        <w:spacing w:after="0" w:line="240" w:lineRule="auto"/>
        <w:contextualSpacing w:val="0"/>
        <w:rPr>
          <w:rFonts w:cs="Arial"/>
          <w:iCs/>
          <w:sz w:val="24"/>
          <w:szCs w:val="24"/>
          <w:lang w:val="fr-FR"/>
        </w:rPr>
      </w:pPr>
    </w:p>
    <w:p w:rsidR="009F30AA" w:rsidRDefault="009F30AA" w:rsidP="00EF38E8">
      <w:pPr>
        <w:pStyle w:val="ListParagraph"/>
        <w:spacing w:after="0" w:line="240" w:lineRule="auto"/>
        <w:contextualSpacing w:val="0"/>
        <w:rPr>
          <w:rFonts w:cs="Arial"/>
          <w:iCs/>
          <w:lang w:val="fr-FR"/>
        </w:rPr>
      </w:pPr>
    </w:p>
    <w:p w:rsidR="009F30AA" w:rsidRDefault="009F30AA" w:rsidP="00EF38E8">
      <w:pPr>
        <w:spacing w:after="0" w:line="240" w:lineRule="auto"/>
        <w:jc w:val="center"/>
        <w:rPr>
          <w:rFonts w:cs="Arial"/>
          <w:szCs w:val="17"/>
          <w:lang w:val="fr-FR"/>
        </w:rPr>
      </w:pPr>
      <w:r>
        <w:rPr>
          <w:rFonts w:cs="Arial"/>
          <w:b/>
          <w:bCs/>
          <w:szCs w:val="17"/>
          <w:lang w:val="fr-FR"/>
        </w:rPr>
        <w:t>ANNEXE 1</w:t>
      </w:r>
    </w:p>
    <w:p w:rsidR="009F30AA" w:rsidRDefault="009F30AA" w:rsidP="00EF38E8">
      <w:pPr>
        <w:spacing w:after="0" w:line="240" w:lineRule="auto"/>
        <w:jc w:val="center"/>
        <w:rPr>
          <w:rFonts w:cs="Arial"/>
          <w:b/>
          <w:bCs/>
          <w:szCs w:val="17"/>
          <w:lang w:val="fr-FR"/>
        </w:rPr>
      </w:pPr>
      <w:r>
        <w:rPr>
          <w:rFonts w:cs="Arial"/>
          <w:b/>
          <w:bCs/>
          <w:szCs w:val="17"/>
          <w:lang w:val="fr-FR"/>
        </w:rPr>
        <w:t xml:space="preserve">LIGNES DIRECTRICES POUR L’ÉVALUATION DES PROPOSITIONS </w:t>
      </w:r>
    </w:p>
    <w:p w:rsidR="009F30AA" w:rsidRDefault="009F30AA" w:rsidP="00EF38E8">
      <w:pPr>
        <w:spacing w:after="0" w:line="240" w:lineRule="auto"/>
        <w:jc w:val="center"/>
        <w:rPr>
          <w:rFonts w:cs="Arial"/>
          <w:b/>
          <w:bCs/>
          <w:szCs w:val="17"/>
          <w:lang w:val="fr-FR"/>
        </w:rPr>
      </w:pPr>
      <w:r>
        <w:rPr>
          <w:rFonts w:cs="Arial"/>
          <w:b/>
          <w:bCs/>
          <w:szCs w:val="17"/>
          <w:lang w:val="fr-FR"/>
        </w:rPr>
        <w:t>D’INSCRIPTION AUX ANNEXES I ET II</w:t>
      </w:r>
    </w:p>
    <w:p w:rsidR="009F30AA" w:rsidRDefault="009F30AA" w:rsidP="00EF38E8">
      <w:pPr>
        <w:spacing w:after="0" w:line="240" w:lineRule="auto"/>
        <w:jc w:val="center"/>
        <w:rPr>
          <w:rFonts w:cs="Arial"/>
          <w:szCs w:val="17"/>
          <w:lang w:val="fr-FR"/>
        </w:rPr>
      </w:pPr>
    </w:p>
    <w:p w:rsidR="009F30AA" w:rsidRDefault="009F30AA" w:rsidP="00EF38E8">
      <w:pPr>
        <w:tabs>
          <w:tab w:val="left" w:pos="-720"/>
          <w:tab w:val="left" w:pos="310"/>
          <w:tab w:val="left" w:pos="835"/>
        </w:tabs>
        <w:spacing w:after="0" w:line="240" w:lineRule="auto"/>
        <w:jc w:val="center"/>
        <w:rPr>
          <w:rFonts w:cs="Arial"/>
          <w:szCs w:val="18"/>
          <w:lang w:val="fr-FR"/>
        </w:rPr>
      </w:pPr>
      <w:r>
        <w:rPr>
          <w:rFonts w:cs="Arial"/>
          <w:szCs w:val="18"/>
          <w:lang w:val="fr-FR"/>
        </w:rPr>
        <w:t>[En raison de sa longueur, il n'a pas été reproduit ici.]</w:t>
      </w:r>
    </w:p>
    <w:p w:rsidR="009F30AA" w:rsidRDefault="009F30AA" w:rsidP="00EF38E8">
      <w:pPr>
        <w:tabs>
          <w:tab w:val="left" w:pos="-720"/>
          <w:tab w:val="left" w:pos="310"/>
          <w:tab w:val="left" w:pos="835"/>
        </w:tabs>
        <w:spacing w:after="0" w:line="240" w:lineRule="auto"/>
        <w:jc w:val="center"/>
        <w:rPr>
          <w:rFonts w:cs="Arial"/>
          <w:szCs w:val="18"/>
          <w:lang w:val="fr-FR"/>
        </w:rPr>
      </w:pPr>
    </w:p>
    <w:p w:rsidR="007B2E70" w:rsidRDefault="007B2E70" w:rsidP="00EF38E8">
      <w:pPr>
        <w:tabs>
          <w:tab w:val="left" w:pos="-720"/>
          <w:tab w:val="left" w:pos="310"/>
          <w:tab w:val="left" w:pos="835"/>
        </w:tabs>
        <w:spacing w:after="0" w:line="240" w:lineRule="auto"/>
        <w:jc w:val="center"/>
        <w:rPr>
          <w:rFonts w:cs="Arial"/>
          <w:szCs w:val="18"/>
          <w:lang w:val="fr-FR"/>
        </w:rPr>
      </w:pPr>
    </w:p>
    <w:p w:rsidR="007B2E70" w:rsidRDefault="007B2E70" w:rsidP="00EF38E8">
      <w:pPr>
        <w:tabs>
          <w:tab w:val="left" w:pos="-720"/>
          <w:tab w:val="left" w:pos="310"/>
          <w:tab w:val="left" w:pos="835"/>
        </w:tabs>
        <w:spacing w:after="0" w:line="240" w:lineRule="auto"/>
        <w:jc w:val="center"/>
        <w:rPr>
          <w:rFonts w:cs="Arial"/>
          <w:szCs w:val="18"/>
          <w:lang w:val="fr-FR"/>
        </w:rPr>
      </w:pPr>
    </w:p>
    <w:p w:rsidR="009F30AA" w:rsidRDefault="009F30AA" w:rsidP="00EF38E8">
      <w:pPr>
        <w:spacing w:after="0" w:line="240" w:lineRule="auto"/>
        <w:jc w:val="center"/>
        <w:rPr>
          <w:rFonts w:cs="Arial"/>
          <w:szCs w:val="17"/>
          <w:lang w:val="fr-FR"/>
        </w:rPr>
      </w:pPr>
      <w:r>
        <w:rPr>
          <w:rFonts w:cs="Arial"/>
          <w:b/>
          <w:bCs/>
          <w:szCs w:val="17"/>
          <w:lang w:val="fr-FR"/>
        </w:rPr>
        <w:t>ANNEXE 2</w:t>
      </w:r>
    </w:p>
    <w:p w:rsidR="009F30AA" w:rsidRDefault="009F30AA" w:rsidP="00EF38E8">
      <w:pPr>
        <w:spacing w:after="0" w:line="240" w:lineRule="auto"/>
        <w:jc w:val="center"/>
        <w:rPr>
          <w:rFonts w:cs="Arial"/>
          <w:b/>
          <w:lang w:val="fr-FR"/>
        </w:rPr>
      </w:pPr>
      <w:r>
        <w:rPr>
          <w:rFonts w:cs="Arial"/>
          <w:b/>
          <w:lang w:val="fr-FR"/>
        </w:rPr>
        <w:t>MODÈLE POUR LES PROPOSITIONS D’AMENDEMENT DES ANNEXES DE LA CMS</w:t>
      </w:r>
    </w:p>
    <w:p w:rsidR="009F30AA" w:rsidRDefault="009F30AA" w:rsidP="00EF38E8">
      <w:pPr>
        <w:spacing w:after="0" w:line="240" w:lineRule="auto"/>
        <w:jc w:val="center"/>
        <w:rPr>
          <w:rFonts w:cs="Arial"/>
          <w:b/>
          <w:lang w:val="fr-FR"/>
        </w:rPr>
      </w:pPr>
    </w:p>
    <w:p w:rsidR="009F30AA" w:rsidRDefault="009F30AA" w:rsidP="00EF38E8">
      <w:pPr>
        <w:tabs>
          <w:tab w:val="left" w:pos="-720"/>
          <w:tab w:val="left" w:pos="310"/>
          <w:tab w:val="left" w:pos="835"/>
        </w:tabs>
        <w:spacing w:after="0" w:line="240" w:lineRule="auto"/>
        <w:jc w:val="center"/>
        <w:rPr>
          <w:rFonts w:cs="Arial"/>
          <w:iCs/>
          <w:lang w:val="fr-FR"/>
        </w:rPr>
      </w:pPr>
      <w:r>
        <w:rPr>
          <w:rFonts w:cs="Arial"/>
          <w:szCs w:val="18"/>
          <w:lang w:val="fr-FR"/>
        </w:rPr>
        <w:t>[En raison de sa longueur, il n'a pas été reproduit ici]</w:t>
      </w:r>
    </w:p>
    <w:p w:rsidR="007B2E70" w:rsidRDefault="007B2E70" w:rsidP="00EF38E8">
      <w:pPr>
        <w:pStyle w:val="FourthnumberingA"/>
        <w:numPr>
          <w:ilvl w:val="0"/>
          <w:numId w:val="0"/>
        </w:numPr>
        <w:contextualSpacing w:val="0"/>
        <w:sectPr w:rsidR="007B2E70" w:rsidSect="00D71837">
          <w:headerReference w:type="default" r:id="rId20"/>
          <w:headerReference w:type="first" r:id="rId21"/>
          <w:footerReference w:type="first" r:id="rId22"/>
          <w:pgSz w:w="11906" w:h="16838" w:code="9"/>
          <w:pgMar w:top="1134" w:right="1134" w:bottom="1134" w:left="1134" w:header="720" w:footer="720" w:gutter="0"/>
          <w:cols w:space="720"/>
          <w:titlePg/>
          <w:docGrid w:linePitch="360"/>
        </w:sectPr>
      </w:pPr>
    </w:p>
    <w:p w:rsidR="009F30AA" w:rsidRDefault="007B2E70" w:rsidP="007B2E70">
      <w:pPr>
        <w:pStyle w:val="FourthnumberingA"/>
        <w:numPr>
          <w:ilvl w:val="0"/>
          <w:numId w:val="0"/>
        </w:numPr>
        <w:contextualSpacing w:val="0"/>
        <w:jc w:val="right"/>
        <w:rPr>
          <w:b/>
        </w:rPr>
      </w:pPr>
      <w:r w:rsidRPr="007B2E70">
        <w:rPr>
          <w:b/>
        </w:rPr>
        <w:lastRenderedPageBreak/>
        <w:t>ANNEXE 3</w:t>
      </w:r>
    </w:p>
    <w:p w:rsidR="007B2E70" w:rsidRDefault="007B2E70" w:rsidP="007B2E70">
      <w:pPr>
        <w:pStyle w:val="FourthnumberingA"/>
        <w:numPr>
          <w:ilvl w:val="0"/>
          <w:numId w:val="0"/>
        </w:numPr>
        <w:contextualSpacing w:val="0"/>
        <w:jc w:val="right"/>
        <w:rPr>
          <w:b/>
        </w:rPr>
      </w:pPr>
    </w:p>
    <w:p w:rsidR="007B2E70" w:rsidRDefault="007B2E70" w:rsidP="007B2E70">
      <w:pPr>
        <w:pStyle w:val="FourthnumberingA"/>
        <w:numPr>
          <w:ilvl w:val="0"/>
          <w:numId w:val="0"/>
        </w:numPr>
        <w:contextualSpacing w:val="0"/>
        <w:jc w:val="center"/>
      </w:pPr>
      <w:r w:rsidRPr="007B2E70">
        <w:t>PROJET DE DÉCISION</w:t>
      </w:r>
    </w:p>
    <w:p w:rsidR="007B2E70" w:rsidRPr="007B2E70" w:rsidRDefault="007B2E70" w:rsidP="007B2E70">
      <w:pPr>
        <w:pStyle w:val="FourthnumberingA"/>
        <w:numPr>
          <w:ilvl w:val="0"/>
          <w:numId w:val="0"/>
        </w:numPr>
        <w:contextualSpacing w:val="0"/>
        <w:jc w:val="center"/>
        <w:rPr>
          <w:b/>
        </w:rPr>
      </w:pPr>
    </w:p>
    <w:p w:rsidR="007B2E70" w:rsidRDefault="007B2E70" w:rsidP="007B2E70">
      <w:pPr>
        <w:pStyle w:val="FourthnumberingA"/>
        <w:numPr>
          <w:ilvl w:val="0"/>
          <w:numId w:val="0"/>
        </w:numPr>
        <w:jc w:val="center"/>
        <w:rPr>
          <w:b/>
        </w:rPr>
      </w:pPr>
      <w:r w:rsidRPr="007B2E70">
        <w:rPr>
          <w:b/>
        </w:rPr>
        <w:t xml:space="preserve">DÉFINITION DES TERMES </w:t>
      </w:r>
      <w:r>
        <w:rPr>
          <w:b/>
        </w:rPr>
        <w:t>« </w:t>
      </w:r>
      <w:r w:rsidRPr="007B2E70">
        <w:rPr>
          <w:b/>
        </w:rPr>
        <w:t>ÉTAT DE L'AIRE DE RÉPARTITION</w:t>
      </w:r>
      <w:r>
        <w:rPr>
          <w:b/>
        </w:rPr>
        <w:t> »</w:t>
      </w:r>
      <w:r w:rsidRPr="007B2E70">
        <w:rPr>
          <w:b/>
        </w:rPr>
        <w:t xml:space="preserve"> ET</w:t>
      </w:r>
      <w:r>
        <w:rPr>
          <w:b/>
        </w:rPr>
        <w:t xml:space="preserve"> </w:t>
      </w:r>
      <w:r w:rsidR="004D64D9">
        <w:rPr>
          <w:b/>
        </w:rPr>
        <w:t>« </w:t>
      </w:r>
      <w:r>
        <w:rPr>
          <w:b/>
        </w:rPr>
        <w:t>ERRATIQUE</w:t>
      </w:r>
      <w:r w:rsidR="004D64D9">
        <w:rPr>
          <w:b/>
        </w:rPr>
        <w:t> »</w:t>
      </w:r>
      <w:bookmarkStart w:id="3" w:name="_GoBack"/>
      <w:bookmarkEnd w:id="3"/>
    </w:p>
    <w:p w:rsidR="007B2E70" w:rsidRDefault="007B2E70" w:rsidP="007B2E70">
      <w:pPr>
        <w:pStyle w:val="FourthnumberingA"/>
        <w:numPr>
          <w:ilvl w:val="0"/>
          <w:numId w:val="0"/>
        </w:numPr>
        <w:ind w:left="2268"/>
        <w:jc w:val="center"/>
        <w:rPr>
          <w:b/>
        </w:rPr>
      </w:pPr>
    </w:p>
    <w:p w:rsidR="007B2E70" w:rsidRDefault="007B2E70" w:rsidP="007B2E70">
      <w:pPr>
        <w:pStyle w:val="FourthnumberingA"/>
        <w:numPr>
          <w:ilvl w:val="0"/>
          <w:numId w:val="0"/>
        </w:numPr>
        <w:jc w:val="left"/>
        <w:rPr>
          <w:b/>
          <w:i/>
        </w:rPr>
      </w:pPr>
    </w:p>
    <w:p w:rsidR="007B2E70" w:rsidRDefault="007B2E70" w:rsidP="007B2E70">
      <w:pPr>
        <w:pStyle w:val="FourthnumberingA"/>
        <w:numPr>
          <w:ilvl w:val="0"/>
          <w:numId w:val="0"/>
        </w:numPr>
        <w:jc w:val="left"/>
        <w:rPr>
          <w:b/>
          <w:i/>
        </w:rPr>
      </w:pPr>
      <w:r w:rsidRPr="007B2E70">
        <w:rPr>
          <w:b/>
          <w:i/>
        </w:rPr>
        <w:t xml:space="preserve">Adressé au Conseil scientifique </w:t>
      </w:r>
    </w:p>
    <w:p w:rsidR="007B2E70" w:rsidRPr="007B2E70" w:rsidRDefault="007B2E70" w:rsidP="007B2E70">
      <w:pPr>
        <w:pStyle w:val="FourthnumberingA"/>
        <w:numPr>
          <w:ilvl w:val="0"/>
          <w:numId w:val="0"/>
        </w:numPr>
        <w:jc w:val="left"/>
        <w:rPr>
          <w:b/>
          <w:i/>
        </w:rPr>
      </w:pPr>
    </w:p>
    <w:p w:rsidR="007B2E70" w:rsidRDefault="007B2E70" w:rsidP="007B2E70">
      <w:pPr>
        <w:pStyle w:val="FourthnumberingA"/>
        <w:numPr>
          <w:ilvl w:val="0"/>
          <w:numId w:val="0"/>
        </w:numPr>
      </w:pPr>
      <w:r>
        <w:t xml:space="preserve">13.AA </w:t>
      </w:r>
      <w:r>
        <w:tab/>
        <w:t>Le Conseil scientifique, sous réserve de la disponibilité des ressources, est prié :</w:t>
      </w:r>
    </w:p>
    <w:p w:rsidR="007B2E70" w:rsidRDefault="007B2E70" w:rsidP="007B2E70">
      <w:pPr>
        <w:pStyle w:val="FourthnumberingA"/>
        <w:numPr>
          <w:ilvl w:val="0"/>
          <w:numId w:val="0"/>
        </w:numPr>
      </w:pPr>
    </w:p>
    <w:p w:rsidR="007B2E70" w:rsidRDefault="007B2E70" w:rsidP="007B2E70">
      <w:pPr>
        <w:pStyle w:val="FourthnumberingA"/>
        <w:numPr>
          <w:ilvl w:val="0"/>
          <w:numId w:val="0"/>
        </w:numPr>
        <w:ind w:left="1276" w:hanging="567"/>
      </w:pPr>
      <w:r>
        <w:t xml:space="preserve">a) </w:t>
      </w:r>
      <w:r>
        <w:tab/>
        <w:t>d’élaborer des définitions pour les termes « État de l'aire de répartition » et « erratique » pour application pratique par les Parties à la CMS ;</w:t>
      </w:r>
    </w:p>
    <w:p w:rsidR="007B2E70" w:rsidRDefault="007B2E70" w:rsidP="007B2E70">
      <w:pPr>
        <w:pStyle w:val="FourthnumberingA"/>
        <w:numPr>
          <w:ilvl w:val="0"/>
          <w:numId w:val="0"/>
        </w:numPr>
        <w:ind w:left="1276" w:hanging="567"/>
      </w:pPr>
    </w:p>
    <w:p w:rsidR="007B2E70" w:rsidRDefault="007B2E70" w:rsidP="007B2E70">
      <w:pPr>
        <w:pStyle w:val="FourthnumberingA"/>
        <w:numPr>
          <w:ilvl w:val="0"/>
          <w:numId w:val="0"/>
        </w:numPr>
        <w:ind w:left="1276" w:hanging="567"/>
      </w:pPr>
      <w:r>
        <w:t xml:space="preserve">b) </w:t>
      </w:r>
      <w:r>
        <w:tab/>
        <w:t xml:space="preserve">de faire rapport à la Conférence des Parties à sa quatorzième réunion sur les progrès accomplis dans la mise en œuvre de la présente </w:t>
      </w:r>
      <w:r w:rsidR="00E8148B">
        <w:t>D</w:t>
      </w:r>
      <w:r>
        <w:t xml:space="preserve">écision. </w:t>
      </w:r>
    </w:p>
    <w:p w:rsidR="007B2E70" w:rsidRPr="007B2E70" w:rsidRDefault="007B2E70" w:rsidP="007B2E70">
      <w:pPr>
        <w:pStyle w:val="FourthnumberingA"/>
        <w:numPr>
          <w:ilvl w:val="0"/>
          <w:numId w:val="0"/>
        </w:numPr>
        <w:ind w:left="567" w:hanging="567"/>
        <w:contextualSpacing w:val="0"/>
      </w:pPr>
    </w:p>
    <w:sectPr w:rsidR="007B2E70" w:rsidRPr="007B2E70" w:rsidSect="00D71837">
      <w:headerReference w:type="first" r:id="rId23"/>
      <w:footerReference w:type="first" r:id="rId24"/>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E8148B">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50410237"/>
      <w:docPartObj>
        <w:docPartGallery w:val="Page Numbers (Bottom of Page)"/>
        <w:docPartUnique/>
      </w:docPartObj>
    </w:sdtPr>
    <w:sdtEndPr>
      <w:rPr>
        <w:noProof/>
      </w:rPr>
    </w:sdtEndPr>
    <w:sdtContent>
      <w:p w:rsidR="00E8148B" w:rsidRPr="00E8148B" w:rsidRDefault="00E8148B" w:rsidP="00E8148B">
        <w:pPr>
          <w:pStyle w:val="Footer"/>
          <w:jc w:val="center"/>
          <w:rPr>
            <w:sz w:val="18"/>
            <w:szCs w:val="18"/>
          </w:rPr>
        </w:pPr>
        <w:r w:rsidRPr="00E8148B">
          <w:rPr>
            <w:sz w:val="18"/>
            <w:szCs w:val="18"/>
          </w:rPr>
          <w:fldChar w:fldCharType="begin"/>
        </w:r>
        <w:r w:rsidRPr="00E8148B">
          <w:rPr>
            <w:sz w:val="18"/>
            <w:szCs w:val="18"/>
          </w:rPr>
          <w:instrText xml:space="preserve"> PAGE   \* MERGEFORMAT </w:instrText>
        </w:r>
        <w:r w:rsidRPr="00E8148B">
          <w:rPr>
            <w:sz w:val="18"/>
            <w:szCs w:val="18"/>
          </w:rPr>
          <w:fldChar w:fldCharType="separate"/>
        </w:r>
        <w:r w:rsidRPr="00E8148B">
          <w:rPr>
            <w:noProof/>
            <w:sz w:val="18"/>
            <w:szCs w:val="18"/>
          </w:rPr>
          <w:t>2</w:t>
        </w:r>
        <w:r w:rsidRPr="00E8148B">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25782231"/>
      <w:docPartObj>
        <w:docPartGallery w:val="Page Numbers (Bottom of Page)"/>
        <w:docPartUnique/>
      </w:docPartObj>
    </w:sdtPr>
    <w:sdtEndPr>
      <w:rPr>
        <w:noProof/>
      </w:rPr>
    </w:sdtEndPr>
    <w:sdtContent>
      <w:p w:rsidR="00E8148B" w:rsidRPr="00E8148B" w:rsidRDefault="00E8148B" w:rsidP="00E8148B">
        <w:pPr>
          <w:pStyle w:val="Footer"/>
          <w:jc w:val="center"/>
          <w:rPr>
            <w:sz w:val="18"/>
            <w:szCs w:val="18"/>
          </w:rPr>
        </w:pPr>
        <w:r w:rsidRPr="00E8148B">
          <w:rPr>
            <w:sz w:val="18"/>
            <w:szCs w:val="18"/>
          </w:rPr>
          <w:fldChar w:fldCharType="begin"/>
        </w:r>
        <w:r w:rsidRPr="00E8148B">
          <w:rPr>
            <w:sz w:val="18"/>
            <w:szCs w:val="18"/>
          </w:rPr>
          <w:instrText xml:space="preserve"> PAGE   \* MERGEFORMAT </w:instrText>
        </w:r>
        <w:r w:rsidRPr="00E8148B">
          <w:rPr>
            <w:sz w:val="18"/>
            <w:szCs w:val="18"/>
          </w:rPr>
          <w:fldChar w:fldCharType="separate"/>
        </w:r>
        <w:r w:rsidRPr="00E8148B">
          <w:rPr>
            <w:noProof/>
            <w:sz w:val="18"/>
            <w:szCs w:val="18"/>
          </w:rPr>
          <w:t>2</w:t>
        </w:r>
        <w:r w:rsidRPr="00E8148B">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32266177"/>
      <w:docPartObj>
        <w:docPartGallery w:val="Page Numbers (Bottom of Page)"/>
        <w:docPartUnique/>
      </w:docPartObj>
    </w:sdtPr>
    <w:sdtEndPr>
      <w:rPr>
        <w:noProof/>
      </w:rPr>
    </w:sdtEndPr>
    <w:sdtContent>
      <w:p w:rsidR="00E8148B" w:rsidRPr="00E8148B" w:rsidRDefault="00E8148B" w:rsidP="00E8148B">
        <w:pPr>
          <w:pStyle w:val="Footer"/>
          <w:jc w:val="center"/>
          <w:rPr>
            <w:sz w:val="18"/>
            <w:szCs w:val="18"/>
          </w:rPr>
        </w:pPr>
        <w:r w:rsidRPr="00E8148B">
          <w:rPr>
            <w:sz w:val="18"/>
            <w:szCs w:val="18"/>
          </w:rPr>
          <w:fldChar w:fldCharType="begin"/>
        </w:r>
        <w:r w:rsidRPr="00E8148B">
          <w:rPr>
            <w:sz w:val="18"/>
            <w:szCs w:val="18"/>
          </w:rPr>
          <w:instrText xml:space="preserve"> PAGE   \* MERGEFORMAT </w:instrText>
        </w:r>
        <w:r w:rsidRPr="00E8148B">
          <w:rPr>
            <w:sz w:val="18"/>
            <w:szCs w:val="18"/>
          </w:rPr>
          <w:fldChar w:fldCharType="separate"/>
        </w:r>
        <w:r w:rsidRPr="00E8148B">
          <w:rPr>
            <w:noProof/>
            <w:sz w:val="18"/>
            <w:szCs w:val="18"/>
          </w:rPr>
          <w:t>2</w:t>
        </w:r>
        <w:r w:rsidRPr="00E8148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9F30AA" w:rsidRDefault="009F30AA" w:rsidP="009F30AA">
      <w:pPr>
        <w:pStyle w:val="FootnoteText"/>
        <w:jc w:val="both"/>
        <w:rPr>
          <w:rFonts w:ascii="Arial" w:hAnsi="Arial" w:cs="Arial"/>
          <w:sz w:val="16"/>
          <w:szCs w:val="16"/>
          <w:lang w:val="fr-FR"/>
        </w:rPr>
      </w:pPr>
      <w:r>
        <w:rPr>
          <w:rStyle w:val="FootnoteReference"/>
          <w:rFonts w:ascii="Arial" w:hAnsi="Arial"/>
        </w:rPr>
        <w:footnoteRef/>
      </w:r>
      <w:r>
        <w:rPr>
          <w:rFonts w:ascii="Arial" w:hAnsi="Arial" w:cs="Arial"/>
          <w:lang w:val="fr-FR"/>
        </w:rPr>
        <w:t xml:space="preserve"> </w:t>
      </w:r>
      <w:r>
        <w:rPr>
          <w:rFonts w:ascii="Arial" w:hAnsi="Arial" w:cs="Arial"/>
          <w:sz w:val="16"/>
          <w:szCs w:val="16"/>
          <w:lang w:val="fr-FR"/>
        </w:rPr>
        <w:t>La version adoptée de cette décision comportait un titre erroné de la Résolution 11.33 (Rev.COP12).  Ce problème a été corrigé par le Secrétariat.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9F30AA"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9F30AA" w:rsidRPr="009F30AA">
      <w:rPr>
        <w:rFonts w:eastAsia="Arial" w:cs="Arial"/>
        <w:i/>
        <w:sz w:val="18"/>
        <w:szCs w:val="18"/>
        <w:lang w:val="fr-FR"/>
      </w:rPr>
      <w:t>27.2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2E7BD6"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002E7BD6" w:rsidRPr="002E7BD6">
      <w:rPr>
        <w:rFonts w:eastAsia="Arial" w:cs="Arial"/>
        <w:i/>
        <w:sz w:val="18"/>
        <w:szCs w:val="18"/>
        <w:lang w:val="fr-FR"/>
      </w:rPr>
      <w:t>27.2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E8" w:rsidRPr="009F30AA" w:rsidRDefault="00EF38E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Pr="009F30AA">
      <w:rPr>
        <w:rFonts w:eastAsia="Arial" w:cs="Arial"/>
        <w:i/>
        <w:sz w:val="18"/>
        <w:szCs w:val="18"/>
        <w:lang w:val="fr-FR"/>
      </w:rPr>
      <w:t>27.2</w:t>
    </w:r>
    <w:r>
      <w:rPr>
        <w:rFonts w:eastAsia="Arial" w:cs="Arial"/>
        <w:i/>
        <w:sz w:val="18"/>
        <w:szCs w:val="18"/>
        <w:lang w:val="fr-FR"/>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E8" w:rsidRPr="002E7BD6" w:rsidRDefault="00EF38E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E7BD6">
      <w:rPr>
        <w:rFonts w:eastAsia="Arial" w:cs="Arial"/>
        <w:i/>
        <w:sz w:val="18"/>
        <w:szCs w:val="18"/>
        <w:lang w:val="fr-FR"/>
      </w:rPr>
      <w:t>27.2</w:t>
    </w:r>
    <w:r>
      <w:rPr>
        <w:rFonts w:eastAsia="Arial" w:cs="Arial"/>
        <w:i/>
        <w:sz w:val="18"/>
        <w:szCs w:val="18"/>
        <w:lang w:val="fr-FR"/>
      </w:rPr>
      <w:t>/Annexe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E8" w:rsidRPr="00EF38E8" w:rsidRDefault="00EF38E8" w:rsidP="00EF38E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EF38E8">
      <w:rPr>
        <w:rFonts w:eastAsia="Arial" w:cs="Arial"/>
        <w:i/>
        <w:sz w:val="18"/>
        <w:szCs w:val="18"/>
        <w:lang w:val="en-GB"/>
      </w:rPr>
      <w:t>UNEP/CMS/COP13/Doc.27.2/An</w:t>
    </w:r>
    <w:r>
      <w:rPr>
        <w:rFonts w:eastAsia="Arial" w:cs="Arial"/>
        <w:i/>
        <w:sz w:val="18"/>
        <w:szCs w:val="18"/>
        <w:lang w:val="en-GB"/>
      </w:rPr>
      <w:t>nexe 1</w:t>
    </w:r>
  </w:p>
  <w:p w:rsidR="00EF38E8" w:rsidRDefault="00EF38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E8" w:rsidRPr="002E7BD6" w:rsidRDefault="00EF38E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fr-FR"/>
      </w:rPr>
    </w:pPr>
    <w:r w:rsidRPr="00EC2A58">
      <w:rPr>
        <w:rFonts w:eastAsia="Arial" w:cs="Arial"/>
        <w:i/>
        <w:sz w:val="18"/>
        <w:szCs w:val="18"/>
        <w:lang w:val="fr-FR"/>
      </w:rPr>
      <w:t>UNEP/CMS/COP13/Doc.</w:t>
    </w:r>
    <w:r w:rsidRPr="002E7BD6">
      <w:rPr>
        <w:rFonts w:eastAsia="Arial" w:cs="Arial"/>
        <w:i/>
        <w:sz w:val="18"/>
        <w:szCs w:val="18"/>
        <w:lang w:val="fr-FR"/>
      </w:rPr>
      <w:t>27.2</w:t>
    </w:r>
    <w:r>
      <w:rPr>
        <w:rFonts w:eastAsia="Arial" w:cs="Arial"/>
        <w:i/>
        <w:sz w:val="18"/>
        <w:szCs w:val="18"/>
        <w:lang w:val="fr-FR"/>
      </w:rPr>
      <w:t>/Annexe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8E8" w:rsidRPr="00EF38E8" w:rsidRDefault="00EF38E8" w:rsidP="00EF38E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EF38E8">
      <w:rPr>
        <w:rFonts w:eastAsia="Arial" w:cs="Arial"/>
        <w:i/>
        <w:sz w:val="18"/>
        <w:szCs w:val="18"/>
        <w:lang w:val="en-GB"/>
      </w:rPr>
      <w:t>UNEP/CMS/COP13/Doc.27.2/An</w:t>
    </w:r>
    <w:r>
      <w:rPr>
        <w:rFonts w:eastAsia="Arial" w:cs="Arial"/>
        <w:i/>
        <w:sz w:val="18"/>
        <w:szCs w:val="18"/>
        <w:lang w:val="en-GB"/>
      </w:rPr>
      <w:t>nexe 2</w:t>
    </w:r>
  </w:p>
  <w:p w:rsidR="00EF38E8" w:rsidRDefault="00EF38E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70" w:rsidRPr="00EF38E8" w:rsidRDefault="007B2E70" w:rsidP="00EF38E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EF38E8">
      <w:rPr>
        <w:rFonts w:eastAsia="Arial" w:cs="Arial"/>
        <w:i/>
        <w:sz w:val="18"/>
        <w:szCs w:val="18"/>
        <w:lang w:val="en-GB"/>
      </w:rPr>
      <w:t>UNEP/CMS/COP13/Doc.27.2/An</w:t>
    </w:r>
    <w:r>
      <w:rPr>
        <w:rFonts w:eastAsia="Arial" w:cs="Arial"/>
        <w:i/>
        <w:sz w:val="18"/>
        <w:szCs w:val="18"/>
        <w:lang w:val="en-GB"/>
      </w:rPr>
      <w:t>nexe 3</w:t>
    </w:r>
  </w:p>
  <w:p w:rsidR="007B2E70" w:rsidRDefault="007B2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37C"/>
    <w:multiLevelType w:val="hybridMultilevel"/>
    <w:tmpl w:val="16C4DE4A"/>
    <w:lvl w:ilvl="0" w:tplc="54D27864">
      <w:start w:val="1"/>
      <w:numFmt w:val="lowerLetter"/>
      <w:lvlText w:val="(%1)"/>
      <w:lvlJc w:val="left"/>
      <w:pPr>
        <w:ind w:left="953" w:hanging="360"/>
      </w:pPr>
    </w:lvl>
    <w:lvl w:ilvl="1" w:tplc="20000019">
      <w:start w:val="1"/>
      <w:numFmt w:val="lowerLetter"/>
      <w:lvlText w:val="%2."/>
      <w:lvlJc w:val="left"/>
      <w:pPr>
        <w:ind w:left="1673" w:hanging="360"/>
      </w:pPr>
    </w:lvl>
    <w:lvl w:ilvl="2" w:tplc="2000001B">
      <w:start w:val="1"/>
      <w:numFmt w:val="lowerRoman"/>
      <w:lvlText w:val="%3."/>
      <w:lvlJc w:val="right"/>
      <w:pPr>
        <w:ind w:left="2393" w:hanging="180"/>
      </w:pPr>
    </w:lvl>
    <w:lvl w:ilvl="3" w:tplc="2000000F">
      <w:start w:val="1"/>
      <w:numFmt w:val="decimal"/>
      <w:lvlText w:val="%4."/>
      <w:lvlJc w:val="left"/>
      <w:pPr>
        <w:ind w:left="3113" w:hanging="360"/>
      </w:pPr>
    </w:lvl>
    <w:lvl w:ilvl="4" w:tplc="20000019">
      <w:start w:val="1"/>
      <w:numFmt w:val="lowerLetter"/>
      <w:lvlText w:val="%5."/>
      <w:lvlJc w:val="left"/>
      <w:pPr>
        <w:ind w:left="3833" w:hanging="360"/>
      </w:pPr>
    </w:lvl>
    <w:lvl w:ilvl="5" w:tplc="2000001B">
      <w:start w:val="1"/>
      <w:numFmt w:val="lowerRoman"/>
      <w:lvlText w:val="%6."/>
      <w:lvlJc w:val="right"/>
      <w:pPr>
        <w:ind w:left="4553" w:hanging="180"/>
      </w:pPr>
    </w:lvl>
    <w:lvl w:ilvl="6" w:tplc="2000000F">
      <w:start w:val="1"/>
      <w:numFmt w:val="decimal"/>
      <w:lvlText w:val="%7."/>
      <w:lvlJc w:val="left"/>
      <w:pPr>
        <w:ind w:left="5273" w:hanging="360"/>
      </w:pPr>
    </w:lvl>
    <w:lvl w:ilvl="7" w:tplc="20000019">
      <w:start w:val="1"/>
      <w:numFmt w:val="lowerLetter"/>
      <w:lvlText w:val="%8."/>
      <w:lvlJc w:val="left"/>
      <w:pPr>
        <w:ind w:left="5993" w:hanging="360"/>
      </w:pPr>
    </w:lvl>
    <w:lvl w:ilvl="8" w:tplc="2000001B">
      <w:start w:val="1"/>
      <w:numFmt w:val="lowerRoman"/>
      <w:lvlText w:val="%9."/>
      <w:lvlJc w:val="right"/>
      <w:pPr>
        <w:ind w:left="6713" w:hanging="180"/>
      </w:pPr>
    </w:lvl>
  </w:abstractNum>
  <w:abstractNum w:abstractNumId="1" w15:restartNumberingAfterBreak="0">
    <w:nsid w:val="15744AD7"/>
    <w:multiLevelType w:val="hybridMultilevel"/>
    <w:tmpl w:val="72EEB7D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0B4F48"/>
    <w:multiLevelType w:val="hybridMultilevel"/>
    <w:tmpl w:val="39C6F07C"/>
    <w:lvl w:ilvl="0" w:tplc="7E10B1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DC28CA"/>
    <w:multiLevelType w:val="hybridMultilevel"/>
    <w:tmpl w:val="28F6D5CE"/>
    <w:lvl w:ilvl="0" w:tplc="E09EA99A">
      <w:start w:val="1"/>
      <w:numFmt w:val="decimal"/>
      <w:lvlText w:val="%1."/>
      <w:lvlJc w:val="left"/>
      <w:pPr>
        <w:ind w:left="504" w:hanging="504"/>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FC511A8"/>
    <w:multiLevelType w:val="hybridMultilevel"/>
    <w:tmpl w:val="22DCD144"/>
    <w:lvl w:ilvl="0" w:tplc="B04C054E">
      <w:start w:val="1"/>
      <w:numFmt w:val="lowerLetter"/>
      <w:pStyle w:val="Secondnumberinga0"/>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9"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62F80967"/>
    <w:multiLevelType w:val="hybridMultilevel"/>
    <w:tmpl w:val="D77687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8"/>
  </w:num>
  <w:num w:numId="5">
    <w:abstractNumId w:val="4"/>
  </w:num>
  <w:num w:numId="6">
    <w:abstractNumId w:val="1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2E7BD6"/>
    <w:rsid w:val="004D2819"/>
    <w:rsid w:val="004D64D9"/>
    <w:rsid w:val="005330F7"/>
    <w:rsid w:val="00563598"/>
    <w:rsid w:val="00705C1D"/>
    <w:rsid w:val="007B2E70"/>
    <w:rsid w:val="00853DCA"/>
    <w:rsid w:val="00870459"/>
    <w:rsid w:val="00882CD0"/>
    <w:rsid w:val="00896FBB"/>
    <w:rsid w:val="008C067D"/>
    <w:rsid w:val="009F30AA"/>
    <w:rsid w:val="00A02506"/>
    <w:rsid w:val="00AB773C"/>
    <w:rsid w:val="00C771C2"/>
    <w:rsid w:val="00C87CA3"/>
    <w:rsid w:val="00D67AF1"/>
    <w:rsid w:val="00D71837"/>
    <w:rsid w:val="00E03D4B"/>
    <w:rsid w:val="00E8148B"/>
    <w:rsid w:val="00EC2A58"/>
    <w:rsid w:val="00EF38E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70A2"/>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F30AA"/>
    <w:pPr>
      <w:keepNext/>
      <w:widowControl w:val="0"/>
      <w:tabs>
        <w:tab w:val="left" w:pos="-720"/>
        <w:tab w:val="left" w:pos="310"/>
        <w:tab w:val="left" w:pos="835"/>
      </w:tabs>
      <w:snapToGrid w:val="0"/>
      <w:spacing w:after="0" w:line="240" w:lineRule="auto"/>
      <w:jc w:val="both"/>
      <w:outlineLvl w:val="1"/>
    </w:pPr>
    <w:rPr>
      <w:rFonts w:ascii="Times New Roman" w:eastAsia="Times New Roman" w:hAnsi="Times New Roman" w:cs="Times New Roman"/>
      <w:b/>
      <w:bCs/>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99"/>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2Char">
    <w:name w:val="Heading 2 Char"/>
    <w:basedOn w:val="DefaultParagraphFont"/>
    <w:link w:val="Heading2"/>
    <w:semiHidden/>
    <w:rsid w:val="009F30AA"/>
    <w:rPr>
      <w:rFonts w:ascii="Times New Roman" w:eastAsia="Times New Roman" w:hAnsi="Times New Roman" w:cs="Times New Roman"/>
      <w:b/>
      <w:bCs/>
      <w:sz w:val="24"/>
      <w:szCs w:val="20"/>
      <w:lang w:val="de-DE"/>
    </w:rPr>
  </w:style>
  <w:style w:type="character" w:styleId="Hyperlink">
    <w:name w:val="Hyperlink"/>
    <w:unhideWhenUsed/>
    <w:rsid w:val="009F30AA"/>
    <w:rPr>
      <w:color w:val="0000FF"/>
      <w:u w:val="single"/>
    </w:rPr>
  </w:style>
  <w:style w:type="paragraph" w:styleId="FootnoteText">
    <w:name w:val="footnote text"/>
    <w:basedOn w:val="Normal"/>
    <w:link w:val="FootnoteTextChar"/>
    <w:uiPriority w:val="99"/>
    <w:semiHidden/>
    <w:unhideWhenUsed/>
    <w:rsid w:val="009F30A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9F30AA"/>
    <w:rPr>
      <w:rFonts w:ascii="Times New Roman" w:eastAsia="Times New Roman" w:hAnsi="Times New Roman" w:cs="Times New Roman"/>
      <w:sz w:val="20"/>
      <w:szCs w:val="20"/>
      <w:lang w:val="en-GB"/>
    </w:rPr>
  </w:style>
  <w:style w:type="paragraph" w:customStyle="1" w:styleId="Secondnumberinga0">
    <w:name w:val="Second numbering a)."/>
    <w:basedOn w:val="Normal"/>
    <w:rsid w:val="009F30AA"/>
    <w:pPr>
      <w:numPr>
        <w:numId w:val="9"/>
      </w:numPr>
      <w:spacing w:after="0" w:line="240" w:lineRule="auto"/>
    </w:pPr>
    <w:rPr>
      <w:rFonts w:ascii="Times New Roman" w:eastAsia="Times New Roman" w:hAnsi="Times New Roman" w:cs="Times New Roman"/>
      <w:sz w:val="24"/>
      <w:szCs w:val="24"/>
      <w:lang w:val="en-GB"/>
    </w:rPr>
  </w:style>
  <w:style w:type="character" w:styleId="FootnoteReference">
    <w:name w:val="footnote reference"/>
    <w:uiPriority w:val="99"/>
    <w:semiHidden/>
    <w:unhideWhenUsed/>
    <w:rsid w:val="009F30AA"/>
    <w:rPr>
      <w:vertAlign w:val="superscript"/>
    </w:rPr>
  </w:style>
  <w:style w:type="paragraph" w:customStyle="1" w:styleId="p1">
    <w:name w:val="p1"/>
    <w:basedOn w:val="Normal"/>
    <w:rsid w:val="009F30AA"/>
    <w:pPr>
      <w:spacing w:after="0" w:line="240" w:lineRule="auto"/>
    </w:pPr>
    <w:rPr>
      <w:rFonts w:ascii="Times" w:eastAsia="MS Mincho" w:hAnsi="Times" w:cs="Times New Roman"/>
      <w:sz w:val="17"/>
      <w:szCs w:val="17"/>
    </w:rPr>
  </w:style>
  <w:style w:type="character" w:styleId="UnresolvedMention">
    <w:name w:val="Unresolved Mention"/>
    <w:basedOn w:val="DefaultParagraphFont"/>
    <w:uiPriority w:val="99"/>
    <w:semiHidden/>
    <w:unhideWhenUsed/>
    <w:rsid w:val="002E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36327">
      <w:bodyDiv w:val="1"/>
      <w:marLeft w:val="0"/>
      <w:marRight w:val="0"/>
      <w:marTop w:val="0"/>
      <w:marBottom w:val="0"/>
      <w:divBdr>
        <w:top w:val="none" w:sz="0" w:space="0" w:color="auto"/>
        <w:left w:val="none" w:sz="0" w:space="0" w:color="auto"/>
        <w:bottom w:val="none" w:sz="0" w:space="0" w:color="auto"/>
        <w:right w:val="none" w:sz="0" w:space="0" w:color="auto"/>
      </w:divBdr>
    </w:div>
    <w:div w:id="775566511">
      <w:bodyDiv w:val="1"/>
      <w:marLeft w:val="0"/>
      <w:marRight w:val="0"/>
      <w:marTop w:val="0"/>
      <w:marBottom w:val="0"/>
      <w:divBdr>
        <w:top w:val="none" w:sz="0" w:space="0" w:color="auto"/>
        <w:left w:val="none" w:sz="0" w:space="0" w:color="auto"/>
        <w:bottom w:val="none" w:sz="0" w:space="0" w:color="auto"/>
        <w:right w:val="none" w:sz="0" w:space="0" w:color="auto"/>
      </w:divBdr>
    </w:div>
    <w:div w:id="1314722821">
      <w:bodyDiv w:val="1"/>
      <w:marLeft w:val="0"/>
      <w:marRight w:val="0"/>
      <w:marTop w:val="0"/>
      <w:marBottom w:val="0"/>
      <w:divBdr>
        <w:top w:val="none" w:sz="0" w:space="0" w:color="auto"/>
        <w:left w:val="none" w:sz="0" w:space="0" w:color="auto"/>
        <w:bottom w:val="none" w:sz="0" w:space="0" w:color="auto"/>
        <w:right w:val="none" w:sz="0" w:space="0" w:color="auto"/>
      </w:divBdr>
    </w:div>
    <w:div w:id="15674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listing-species-appendices-convention-0"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s://www.cms.int/sites/default/files/document/cms_scc-sc4_doc.11.2_lignes-directrices-propositions-d%27amendement-des-annexes_f.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int/en/document/guidelines-assessing-listing-proposals-appendices-i-and-ii-convention-0" TargetMode="External"/><Relationship Id="rId14" Type="http://schemas.openxmlformats.org/officeDocument/2006/relationships/footer" Target="foot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3973</Words>
  <Characters>22095</Characters>
  <Application>Microsoft Office Word</Application>
  <DocSecurity>0</DocSecurity>
  <Lines>736</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3</cp:revision>
  <dcterms:created xsi:type="dcterms:W3CDTF">2019-12-18T11:35:00Z</dcterms:created>
  <dcterms:modified xsi:type="dcterms:W3CDTF">2019-12-18T11:36:00Z</dcterms:modified>
</cp:coreProperties>
</file>