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4D3174">
              <w:rPr>
                <w:rFonts w:eastAsia="Arial" w:cs="Arial"/>
                <w:lang w:val="fr-FR"/>
              </w:rPr>
              <w:t>26.2.8</w:t>
            </w:r>
          </w:p>
          <w:p w:rsidR="00EC2A58" w:rsidRPr="00A02506" w:rsidRDefault="004D3174"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16 octobre</w:t>
            </w:r>
            <w:r w:rsidR="00EC2A58" w:rsidRPr="00A02506">
              <w:rPr>
                <w:rFonts w:eastAsia="Arial" w:cs="Arial"/>
                <w:lang w:val="fr-FR"/>
              </w:rPr>
              <w:t>s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4D3174">
        <w:rPr>
          <w:rFonts w:eastAsia="Arial" w:cs="Arial"/>
          <w:iCs/>
          <w:lang w:val="fr-FR"/>
        </w:rPr>
        <w:t>26.2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4D3174" w:rsidRPr="004D3174" w:rsidRDefault="004D3174" w:rsidP="004D3174">
      <w:pPr>
        <w:widowControl w:val="0"/>
        <w:suppressAutoHyphens/>
        <w:autoSpaceDE w:val="0"/>
        <w:autoSpaceDN w:val="0"/>
        <w:spacing w:after="120" w:line="240" w:lineRule="auto"/>
        <w:jc w:val="center"/>
        <w:textAlignment w:val="baseline"/>
        <w:rPr>
          <w:rFonts w:eastAsia="Times New Roman" w:cs="Arial"/>
          <w:b/>
          <w:lang w:val="fr-FR"/>
        </w:rPr>
      </w:pPr>
      <w:bookmarkStart w:id="0" w:name="_Hlk22227639"/>
      <w:r w:rsidRPr="004D3174">
        <w:rPr>
          <w:rFonts w:eastAsia="Times New Roman" w:cs="Arial"/>
          <w:b/>
          <w:lang w:val="fr-FR"/>
        </w:rPr>
        <w:t>CAPTURE DE CÉTACÉS VIVANTS DANS LE MILIEU NATUREL À DES FINS COMMERCIALES</w:t>
      </w:r>
    </w:p>
    <w:bookmarkEnd w:id="0"/>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145416</wp:posOffset>
                </wp:positionV>
                <wp:extent cx="4304666" cy="13335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333500"/>
                        </a:xfrm>
                        <a:prstGeom prst="rect">
                          <a:avLst/>
                        </a:prstGeom>
                        <a:solidFill>
                          <a:srgbClr val="FFFFFF"/>
                        </a:solidFill>
                        <a:ln w="3172">
                          <a:solidFill>
                            <a:srgbClr val="000000"/>
                          </a:solidFill>
                          <a:prstDash val="solid"/>
                        </a:ln>
                      </wps:spPr>
                      <wps:txbx>
                        <w:txbxContent>
                          <w:p w:rsidR="00EC2A58" w:rsidRPr="008E3064"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4D3174" w:rsidRPr="004D3174" w:rsidRDefault="004D3174" w:rsidP="004D3174">
                            <w:pPr>
                              <w:spacing w:after="0" w:line="240" w:lineRule="auto"/>
                              <w:jc w:val="both"/>
                              <w:rPr>
                                <w:rFonts w:cs="Arial"/>
                                <w:lang w:val="fr-FR"/>
                              </w:rPr>
                            </w:pPr>
                            <w:r w:rsidRPr="004D3174">
                              <w:rPr>
                                <w:rFonts w:cs="Arial"/>
                                <w:lang w:val="fr-FR"/>
                              </w:rPr>
                              <w:t xml:space="preserve">Ce document rend compte des progrès accomplis dans la mise en œuvre des décisions 12.47 à 12.45 </w:t>
                            </w:r>
                            <w:r w:rsidRPr="004D3174">
                              <w:rPr>
                                <w:rFonts w:cs="Arial"/>
                                <w:i/>
                                <w:lang w:val="fr-FR"/>
                              </w:rPr>
                              <w:t>Capture vivante de cétacés dans le milieu naturel à des fins commerciales</w:t>
                            </w:r>
                            <w:r w:rsidRPr="004D3174">
                              <w:rPr>
                                <w:rFonts w:cs="Arial"/>
                                <w:lang w:val="fr-FR"/>
                              </w:rPr>
                              <w:t xml:space="preserve"> et recommande des modifications à apporter aux décisions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45pt;width:338.9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Zt/AEAAPkDAAAOAAAAZHJzL2Uyb0RvYy54bWysU11v2yAUfZ+0/4B4X2zHTrpZIdXWKNOk&#10;ap2U7gcQDDESBgYkdvbrd8Fumm59quYHzP3gcO65l9Xt0Cl04s5LowkuZjlGXDPTSH0g+Ofj9sNH&#10;jHyguqHKaE7wmXt8u37/btXbms9Na1TDHQIQ7eveEtyGYOss86zlHfUzY7mGoDCuowFMd8gaR3tA&#10;71Q2z/Nl1hvXWGcY9x68mzGI1wlfCM7CgxCeB6QIBm4hrS6t+7hm6xWtD47aVrKJBn0Di45KDZde&#10;oDY0UHR08h+oTjJnvBFhxkyXGSEk46kGqKbI/6pm11LLUy0gjrcXmfz/g2XfTz8ckg3BC4w07aBF&#10;j3wI6IsZUBXV6a2vIWlnIS0M4IYuP/k9OGPRg3Bd/EM5COKg8/mibQRj4KzKvFoulxgxiBVlWS7y&#10;pH72fNw6H75y06G4IdhB85Km9HTvA1CB1KeUeJs3SjZbqVQy3GF/pxw6UWj0Nn2RJRx5kaY06gku&#10;i5t5Qn4R89cQefpeg4gUNtS341UJYUpTGi6Meo26xF0Y9sMk4t40Z9AQ3grU1hr3G6Me5o5g/+tI&#10;HcdIfdPQ2E9FVcVBTUa1uJmD4a4j++sI1QygCA4Yjdu7MA43TJel4V7vLIutiBJp8/kYjJBJykhu&#10;ZDRxhvlKck1vIQ7wtZ2ynl/s+g8AAAD//wMAUEsDBBQABgAIAAAAIQCK0eAS3QAAAAoBAAAPAAAA&#10;ZHJzL2Rvd25yZXYueG1sTI/BTsMwEETvSPyDtUjcqB2jQglxKgRCyoFLCgeObrwkgXgdxW4T+vUs&#10;JzjO7NPsTLFd/CCOOMU+kIFspUAgNcH11Bp4e32+2oCIyZKzQyA08I0RtuX5WWFzF2aq8bhLreAQ&#10;irk10KU05lLGpkNv4yqMSHz7CJO3ieXUSjfZmcP9ILVSN9LbnvhDZ0d87LD52h28gc9TIk31y3qc&#10;p/fbal0/VVl1MubyYnm4B5FwSX8w/Nbn6lByp304kItiYK11xqgBre9AMLBRisft2bhmR5aF/D+h&#10;/AEAAP//AwBQSwECLQAUAAYACAAAACEAtoM4kv4AAADhAQAAEwAAAAAAAAAAAAAAAAAAAAAAW0Nv&#10;bnRlbnRfVHlwZXNdLnhtbFBLAQItABQABgAIAAAAIQA4/SH/1gAAAJQBAAALAAAAAAAAAAAAAAAA&#10;AC8BAABfcmVscy8ucmVsc1BLAQItABQABgAIAAAAIQDyzXZt/AEAAPkDAAAOAAAAAAAAAAAAAAAA&#10;AC4CAABkcnMvZTJvRG9jLnhtbFBLAQItABQABgAIAAAAIQCK0eAS3QAAAAoBAAAPAAAAAAAAAAAA&#10;AAAAAFYEAABkcnMvZG93bnJldi54bWxQSwUGAAAAAAQABADzAAAAYAUAAAAA&#10;" strokeweight=".08811mm">
                <v:textbox>
                  <w:txbxContent>
                    <w:p w:rsidR="00EC2A58" w:rsidRPr="008E3064"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4D3174" w:rsidRPr="004D3174" w:rsidRDefault="004D3174" w:rsidP="004D3174">
                      <w:pPr>
                        <w:spacing w:after="0" w:line="240" w:lineRule="auto"/>
                        <w:jc w:val="both"/>
                        <w:rPr>
                          <w:rFonts w:cs="Arial"/>
                          <w:lang w:val="fr-FR"/>
                        </w:rPr>
                      </w:pPr>
                      <w:r w:rsidRPr="004D3174">
                        <w:rPr>
                          <w:rFonts w:cs="Arial"/>
                          <w:lang w:val="fr-FR"/>
                        </w:rPr>
                        <w:t xml:space="preserve">Ce document rend compte des progrès accomplis dans la mise en œuvre des décisions 12.47 à 12.45 </w:t>
                      </w:r>
                      <w:r w:rsidRPr="004D3174">
                        <w:rPr>
                          <w:rFonts w:cs="Arial"/>
                          <w:i/>
                          <w:lang w:val="fr-FR"/>
                        </w:rPr>
                        <w:t>Capture vivante de cétacés dans le milieu naturel à des fins commerciales</w:t>
                      </w:r>
                      <w:r w:rsidRPr="004D3174">
                        <w:rPr>
                          <w:rFonts w:cs="Arial"/>
                          <w:lang w:val="fr-FR"/>
                        </w:rPr>
                        <w:t xml:space="preserve"> et recommande des modifications à apporter aux décisions</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3174" w:rsidRPr="004D3174" w:rsidRDefault="004D3174" w:rsidP="004D3174">
      <w:pPr>
        <w:suppressAutoHyphens/>
        <w:autoSpaceDN w:val="0"/>
        <w:spacing w:after="0" w:line="240" w:lineRule="auto"/>
        <w:jc w:val="center"/>
        <w:textAlignment w:val="baseline"/>
        <w:rPr>
          <w:rFonts w:eastAsia="Times New Roman" w:cs="Arial"/>
          <w:b/>
          <w:lang w:val="fr-FR"/>
        </w:rPr>
      </w:pPr>
      <w:bookmarkStart w:id="1" w:name="_Toc503346517"/>
      <w:bookmarkStart w:id="2" w:name="_Hlk22227387"/>
      <w:r w:rsidRPr="004D3174">
        <w:rPr>
          <w:rFonts w:eastAsia="Times New Roman" w:cs="Arial"/>
          <w:b/>
          <w:lang w:val="fr-FR"/>
        </w:rPr>
        <w:t>CAPTURE DE CÉTACÉS VIVANTS DANS LE MILIEU NATUREL À DES FINS COMMERCIALES</w:t>
      </w:r>
      <w:bookmarkEnd w:id="1"/>
    </w:p>
    <w:bookmarkEnd w:id="2"/>
    <w:p w:rsidR="004D3174" w:rsidRPr="004D3174" w:rsidRDefault="004D3174" w:rsidP="004D3174">
      <w:pPr>
        <w:suppressAutoHyphens/>
        <w:autoSpaceDN w:val="0"/>
        <w:spacing w:after="0" w:line="240" w:lineRule="auto"/>
        <w:textAlignment w:val="baseline"/>
        <w:rPr>
          <w:rFonts w:eastAsia="Calibri" w:cs="Arial"/>
          <w:lang w:val="fr-FR"/>
        </w:rPr>
      </w:pPr>
    </w:p>
    <w:p w:rsidR="004D3174" w:rsidRPr="004D3174" w:rsidRDefault="004D3174" w:rsidP="004D3174">
      <w:pPr>
        <w:suppressAutoHyphens/>
        <w:autoSpaceDN w:val="0"/>
        <w:spacing w:after="0" w:line="240" w:lineRule="auto"/>
        <w:textAlignment w:val="baseline"/>
        <w:rPr>
          <w:rFonts w:eastAsia="Calibri" w:cs="Arial"/>
          <w:lang w:val="fr-FR"/>
        </w:rPr>
      </w:pPr>
    </w:p>
    <w:p w:rsidR="004D3174" w:rsidRPr="00E22366" w:rsidRDefault="004D3174" w:rsidP="004D3174">
      <w:pPr>
        <w:suppressAutoHyphens/>
        <w:autoSpaceDN w:val="0"/>
        <w:spacing w:after="0" w:line="240" w:lineRule="auto"/>
        <w:textAlignment w:val="baseline"/>
        <w:rPr>
          <w:rFonts w:eastAsia="Calibri" w:cs="Arial"/>
          <w:u w:val="single"/>
        </w:rPr>
      </w:pPr>
      <w:proofErr w:type="spellStart"/>
      <w:r w:rsidRPr="00E22366">
        <w:rPr>
          <w:rFonts w:eastAsia="Calibri" w:cs="Arial"/>
          <w:u w:val="single"/>
        </w:rPr>
        <w:t>Contexte</w:t>
      </w:r>
      <w:proofErr w:type="spellEnd"/>
    </w:p>
    <w:p w:rsidR="004D3174" w:rsidRPr="00E22366" w:rsidRDefault="004D3174" w:rsidP="004D3174">
      <w:pPr>
        <w:spacing w:after="0" w:line="240" w:lineRule="auto"/>
        <w:jc w:val="both"/>
      </w:pPr>
    </w:p>
    <w:p w:rsidR="004D3174" w:rsidRPr="004D3174" w:rsidRDefault="004D3174" w:rsidP="004D3174">
      <w:pPr>
        <w:pStyle w:val="Firstnumbering"/>
      </w:pPr>
      <w:r w:rsidRPr="004D3174">
        <w:t>Lors de sa 12</w:t>
      </w:r>
      <w:r w:rsidRPr="004D3174">
        <w:rPr>
          <w:vertAlign w:val="superscript"/>
        </w:rPr>
        <w:t>e</w:t>
      </w:r>
      <w:r w:rsidRPr="004D3174">
        <w:t xml:space="preserve"> réunion (COP12), la Conférence des Parties a adopté les décisions 12.47 à 12.49 </w:t>
      </w:r>
      <w:r w:rsidRPr="004D3174">
        <w:rPr>
          <w:i/>
        </w:rPr>
        <w:t xml:space="preserve">Capture vivante de cétacés dans le milieu naturel à des fins commerciales. </w:t>
      </w:r>
      <w:r w:rsidRPr="004D3174">
        <w:t xml:space="preserve"> </w:t>
      </w:r>
    </w:p>
    <w:p w:rsidR="004D3174" w:rsidRPr="004D3174" w:rsidRDefault="004D3174" w:rsidP="004D3174">
      <w:pPr>
        <w:pStyle w:val="ListParagraph"/>
        <w:spacing w:after="0" w:line="240" w:lineRule="auto"/>
        <w:ind w:left="540"/>
        <w:contextualSpacing w:val="0"/>
        <w:rPr>
          <w:lang w:val="fr-FR"/>
        </w:rPr>
      </w:pPr>
    </w:p>
    <w:p w:rsidR="004D3174" w:rsidRPr="004D3174" w:rsidRDefault="004D3174" w:rsidP="004D3174">
      <w:pPr>
        <w:pStyle w:val="ListParagraph"/>
        <w:spacing w:after="0" w:line="240" w:lineRule="auto"/>
        <w:ind w:left="540"/>
        <w:contextualSpacing w:val="0"/>
        <w:jc w:val="both"/>
        <w:rPr>
          <w:b/>
          <w:i/>
          <w:iCs/>
          <w:sz w:val="20"/>
          <w:lang w:val="fr-FR"/>
        </w:rPr>
      </w:pPr>
      <w:r w:rsidRPr="004D3174">
        <w:rPr>
          <w:b/>
          <w:i/>
          <w:iCs/>
          <w:sz w:val="20"/>
          <w:lang w:val="fr-FR"/>
        </w:rPr>
        <w:t>12.47À l’adresse du Secrétariat</w:t>
      </w:r>
    </w:p>
    <w:p w:rsidR="004D3174" w:rsidRPr="004D3174" w:rsidRDefault="004D3174" w:rsidP="004D3174">
      <w:pPr>
        <w:pStyle w:val="ListParagraph"/>
        <w:spacing w:after="0" w:line="240" w:lineRule="auto"/>
        <w:ind w:left="540"/>
        <w:contextualSpacing w:val="0"/>
        <w:jc w:val="both"/>
        <w:rPr>
          <w:i/>
          <w:iCs/>
          <w:sz w:val="20"/>
          <w:lang w:val="fr-FR"/>
        </w:rPr>
      </w:pPr>
    </w:p>
    <w:p w:rsidR="004D3174" w:rsidRPr="004D3174" w:rsidRDefault="004D3174" w:rsidP="004D3174">
      <w:pPr>
        <w:pStyle w:val="ListParagraph"/>
        <w:spacing w:after="0" w:line="240" w:lineRule="auto"/>
        <w:ind w:left="540" w:firstLine="878"/>
        <w:jc w:val="both"/>
        <w:rPr>
          <w:i/>
          <w:iCs/>
          <w:sz w:val="20"/>
          <w:lang w:val="fr-FR"/>
        </w:rPr>
      </w:pPr>
      <w:r w:rsidRPr="004D3174">
        <w:rPr>
          <w:i/>
          <w:iCs/>
          <w:sz w:val="20"/>
          <w:lang w:val="fr-FR"/>
        </w:rPr>
        <w:t xml:space="preserve">Le </w:t>
      </w:r>
      <w:proofErr w:type="gramStart"/>
      <w:r w:rsidRPr="004D3174">
        <w:rPr>
          <w:i/>
          <w:iCs/>
          <w:sz w:val="20"/>
          <w:lang w:val="fr-FR"/>
        </w:rPr>
        <w:t>Secrétariat:</w:t>
      </w:r>
      <w:proofErr w:type="gramEnd"/>
    </w:p>
    <w:p w:rsidR="004D3174" w:rsidRPr="004D3174" w:rsidRDefault="004D3174" w:rsidP="004D3174">
      <w:pPr>
        <w:pStyle w:val="ListParagraph"/>
        <w:spacing w:after="0" w:line="240" w:lineRule="auto"/>
        <w:ind w:left="540" w:firstLine="878"/>
        <w:jc w:val="both"/>
        <w:rPr>
          <w:i/>
          <w:iCs/>
          <w:sz w:val="20"/>
          <w:lang w:val="fr-FR"/>
        </w:rPr>
      </w:pPr>
    </w:p>
    <w:p w:rsidR="004D3174" w:rsidRPr="004D3174" w:rsidRDefault="004D3174" w:rsidP="004D3174">
      <w:pPr>
        <w:pStyle w:val="ListParagraph"/>
        <w:numPr>
          <w:ilvl w:val="0"/>
          <w:numId w:val="10"/>
        </w:numPr>
        <w:spacing w:after="0" w:line="240" w:lineRule="auto"/>
        <w:ind w:left="1843" w:hanging="425"/>
        <w:contextualSpacing w:val="0"/>
        <w:jc w:val="both"/>
        <w:rPr>
          <w:i/>
          <w:iCs/>
          <w:sz w:val="20"/>
          <w:lang w:val="fr-FR"/>
        </w:rPr>
      </w:pPr>
      <w:r w:rsidRPr="004D3174">
        <w:rPr>
          <w:i/>
          <w:iCs/>
          <w:sz w:val="20"/>
          <w:lang w:val="fr-FR"/>
        </w:rPr>
        <w:t>Demande aux Parties de soumettre des informations sur la mise en œuvre des Lignes directrices sur les pratiques optimales concernant la capture de cétacés vivants dans le milieu naturel à des fins commerciales ;</w:t>
      </w:r>
    </w:p>
    <w:p w:rsidR="004D3174" w:rsidRPr="004D3174" w:rsidRDefault="004D3174" w:rsidP="004D3174">
      <w:pPr>
        <w:pStyle w:val="ListParagraph"/>
        <w:spacing w:after="0" w:line="240" w:lineRule="auto"/>
        <w:ind w:left="1843"/>
        <w:contextualSpacing w:val="0"/>
        <w:jc w:val="both"/>
        <w:rPr>
          <w:i/>
          <w:iCs/>
          <w:sz w:val="20"/>
          <w:lang w:val="fr-FR"/>
        </w:rPr>
      </w:pPr>
    </w:p>
    <w:p w:rsidR="004D3174" w:rsidRPr="004D3174" w:rsidRDefault="004D3174" w:rsidP="004D3174">
      <w:pPr>
        <w:pStyle w:val="ListParagraph"/>
        <w:numPr>
          <w:ilvl w:val="0"/>
          <w:numId w:val="10"/>
        </w:numPr>
        <w:spacing w:after="0" w:line="240" w:lineRule="auto"/>
        <w:ind w:left="1843" w:hanging="425"/>
        <w:contextualSpacing w:val="0"/>
        <w:jc w:val="both"/>
        <w:rPr>
          <w:i/>
          <w:iCs/>
          <w:sz w:val="20"/>
          <w:lang w:val="fr-FR"/>
        </w:rPr>
      </w:pPr>
      <w:proofErr w:type="gramStart"/>
      <w:r w:rsidRPr="004D3174">
        <w:rPr>
          <w:i/>
          <w:iCs/>
          <w:sz w:val="20"/>
          <w:lang w:val="fr-FR"/>
        </w:rPr>
        <w:t>fait</w:t>
      </w:r>
      <w:proofErr w:type="gramEnd"/>
      <w:r w:rsidRPr="004D3174">
        <w:rPr>
          <w:i/>
          <w:iCs/>
          <w:sz w:val="20"/>
          <w:lang w:val="fr-FR"/>
        </w:rPr>
        <w:t xml:space="preserve"> rapport au Comité permanent à sa 49</w:t>
      </w:r>
      <w:r w:rsidRPr="004D3174">
        <w:rPr>
          <w:i/>
          <w:iCs/>
          <w:sz w:val="20"/>
          <w:vertAlign w:val="superscript"/>
          <w:lang w:val="fr-FR"/>
        </w:rPr>
        <w:t>e</w:t>
      </w:r>
      <w:r w:rsidRPr="004D3174">
        <w:rPr>
          <w:i/>
          <w:iCs/>
          <w:sz w:val="20"/>
          <w:lang w:val="fr-FR"/>
        </w:rPr>
        <w:t xml:space="preserve"> Réunion sur les progrès accomplis par les Parties dans la mise en œuvre de la Résolution UNEP/CMS/Résolution 11.22 (Rev.COP12) sur la capture de cétacés vivants dans leur milieu naturel à des fins commerciales.</w:t>
      </w:r>
    </w:p>
    <w:p w:rsidR="004D3174" w:rsidRPr="004D3174" w:rsidRDefault="004D3174" w:rsidP="004D3174">
      <w:pPr>
        <w:spacing w:after="0" w:line="240" w:lineRule="auto"/>
        <w:ind w:left="1843" w:hanging="425"/>
        <w:jc w:val="both"/>
        <w:rPr>
          <w:i/>
          <w:iCs/>
          <w:sz w:val="20"/>
          <w:lang w:val="fr-FR"/>
        </w:rPr>
      </w:pPr>
    </w:p>
    <w:p w:rsidR="004D3174" w:rsidRPr="004D3174" w:rsidRDefault="004D3174" w:rsidP="004D3174">
      <w:pPr>
        <w:spacing w:after="0" w:line="240" w:lineRule="auto"/>
        <w:ind w:left="540"/>
        <w:jc w:val="both"/>
        <w:rPr>
          <w:b/>
          <w:i/>
          <w:iCs/>
          <w:sz w:val="20"/>
          <w:lang w:val="fr-FR"/>
        </w:rPr>
      </w:pPr>
      <w:r w:rsidRPr="004D3174">
        <w:rPr>
          <w:b/>
          <w:i/>
          <w:iCs/>
          <w:sz w:val="20"/>
          <w:lang w:val="fr-FR"/>
        </w:rPr>
        <w:t>12.48À l’adresse des Parties</w:t>
      </w:r>
    </w:p>
    <w:p w:rsidR="004D3174" w:rsidRPr="004D3174" w:rsidRDefault="004D3174" w:rsidP="004D3174">
      <w:pPr>
        <w:spacing w:after="0" w:line="240" w:lineRule="auto"/>
        <w:ind w:left="540"/>
        <w:jc w:val="both"/>
        <w:rPr>
          <w:i/>
          <w:iCs/>
          <w:sz w:val="20"/>
          <w:lang w:val="fr-FR"/>
        </w:rPr>
      </w:pPr>
    </w:p>
    <w:p w:rsidR="004D3174" w:rsidRPr="004D3174" w:rsidRDefault="004D3174" w:rsidP="004D3174">
      <w:pPr>
        <w:spacing w:after="0" w:line="240" w:lineRule="auto"/>
        <w:ind w:left="1440"/>
        <w:jc w:val="both"/>
        <w:rPr>
          <w:i/>
          <w:iCs/>
          <w:sz w:val="20"/>
          <w:lang w:val="fr-FR"/>
        </w:rPr>
      </w:pPr>
      <w:r w:rsidRPr="004D3174">
        <w:rPr>
          <w:i/>
          <w:iCs/>
          <w:sz w:val="20"/>
          <w:lang w:val="fr-FR"/>
        </w:rPr>
        <w:t>Les Parties sont priées de coopérer avec le Secrétariat dans l'application des Décisions 12.47 en fournissant des informations en réponse à la demande mentionnée au paragraphe a).</w:t>
      </w:r>
    </w:p>
    <w:p w:rsidR="004D3174" w:rsidRPr="004D3174" w:rsidRDefault="004D3174" w:rsidP="004D3174">
      <w:pPr>
        <w:spacing w:after="0" w:line="240" w:lineRule="auto"/>
        <w:ind w:left="540"/>
        <w:jc w:val="both"/>
        <w:rPr>
          <w:i/>
          <w:iCs/>
          <w:sz w:val="20"/>
          <w:lang w:val="fr-FR"/>
        </w:rPr>
      </w:pPr>
    </w:p>
    <w:p w:rsidR="004D3174" w:rsidRPr="004D3174" w:rsidRDefault="004D3174" w:rsidP="004D3174">
      <w:pPr>
        <w:spacing w:after="0" w:line="240" w:lineRule="auto"/>
        <w:ind w:left="540"/>
        <w:jc w:val="both"/>
        <w:rPr>
          <w:b/>
          <w:i/>
          <w:iCs/>
          <w:sz w:val="20"/>
          <w:lang w:val="fr-FR"/>
        </w:rPr>
      </w:pPr>
      <w:r w:rsidRPr="004D3174">
        <w:rPr>
          <w:b/>
          <w:i/>
          <w:iCs/>
          <w:sz w:val="20"/>
          <w:lang w:val="fr-FR"/>
        </w:rPr>
        <w:t>12.49À l’adresse du Comité permanent</w:t>
      </w:r>
    </w:p>
    <w:p w:rsidR="004D3174" w:rsidRPr="004D3174" w:rsidRDefault="004D3174" w:rsidP="004D3174">
      <w:pPr>
        <w:spacing w:after="0" w:line="240" w:lineRule="auto"/>
        <w:ind w:left="540"/>
        <w:jc w:val="both"/>
        <w:rPr>
          <w:i/>
          <w:iCs/>
          <w:sz w:val="20"/>
          <w:lang w:val="fr-FR"/>
        </w:rPr>
      </w:pPr>
    </w:p>
    <w:p w:rsidR="004D3174" w:rsidRPr="004D3174" w:rsidRDefault="004D3174" w:rsidP="004D3174">
      <w:pPr>
        <w:spacing w:after="0" w:line="240" w:lineRule="auto"/>
        <w:ind w:left="1418"/>
        <w:jc w:val="both"/>
        <w:rPr>
          <w:i/>
          <w:iCs/>
          <w:sz w:val="20"/>
          <w:lang w:val="fr-FR"/>
        </w:rPr>
      </w:pPr>
      <w:r w:rsidRPr="004D3174">
        <w:rPr>
          <w:i/>
          <w:iCs/>
          <w:sz w:val="20"/>
          <w:lang w:val="fr-FR"/>
        </w:rPr>
        <w:t>Le Comité permanent examine à sa 49</w:t>
      </w:r>
      <w:r w:rsidRPr="004D3174">
        <w:rPr>
          <w:i/>
          <w:iCs/>
          <w:sz w:val="20"/>
          <w:vertAlign w:val="superscript"/>
          <w:lang w:val="fr-FR"/>
        </w:rPr>
        <w:t>e</w:t>
      </w:r>
      <w:r w:rsidRPr="004D3174">
        <w:rPr>
          <w:i/>
          <w:iCs/>
          <w:sz w:val="20"/>
          <w:lang w:val="fr-FR"/>
        </w:rPr>
        <w:t xml:space="preserve"> Réunion le rapport soumis par le Secrétariat et, le cas échéant, recommande d'autres mesures à prendre.</w:t>
      </w:r>
    </w:p>
    <w:p w:rsidR="004D3174" w:rsidRPr="004D3174" w:rsidRDefault="004D3174" w:rsidP="004D3174">
      <w:pPr>
        <w:pStyle w:val="ListParagraph"/>
        <w:spacing w:after="0" w:line="240" w:lineRule="auto"/>
        <w:ind w:left="540"/>
        <w:contextualSpacing w:val="0"/>
        <w:rPr>
          <w:lang w:val="fr-FR"/>
        </w:rPr>
      </w:pPr>
    </w:p>
    <w:p w:rsidR="004D3174" w:rsidRPr="004D3174" w:rsidRDefault="004D3174" w:rsidP="004D3174">
      <w:pPr>
        <w:spacing w:after="0" w:line="240" w:lineRule="auto"/>
        <w:rPr>
          <w:u w:val="single"/>
          <w:lang w:val="fr-FR"/>
        </w:rPr>
      </w:pPr>
      <w:r w:rsidRPr="004D3174">
        <w:rPr>
          <w:u w:val="single"/>
          <w:lang w:val="fr-FR"/>
        </w:rPr>
        <w:t xml:space="preserve">Mise en œuvre des décisions 12.47 à 12.49 </w:t>
      </w:r>
    </w:p>
    <w:p w:rsidR="004D3174" w:rsidRPr="004D3174" w:rsidRDefault="004D3174" w:rsidP="004D3174">
      <w:pPr>
        <w:pStyle w:val="ListParagraph"/>
        <w:spacing w:after="0" w:line="240" w:lineRule="auto"/>
        <w:ind w:left="540"/>
        <w:contextualSpacing w:val="0"/>
        <w:rPr>
          <w:lang w:val="fr-FR"/>
        </w:rPr>
      </w:pPr>
    </w:p>
    <w:p w:rsidR="004D3174" w:rsidRPr="004D3174" w:rsidRDefault="004D3174" w:rsidP="004D3174">
      <w:pPr>
        <w:pStyle w:val="Firstnumbering"/>
        <w:rPr>
          <w:u w:val="single"/>
        </w:rPr>
      </w:pPr>
      <w:r w:rsidRPr="004D3174">
        <w:t xml:space="preserve">Le 14 août 2019, le Secrétariat a envoyé aux Parties la notification 2019/15, demandant des informations sur la mise en œuvre des </w:t>
      </w:r>
      <w:hyperlink r:id="rId8" w:history="1">
        <w:r w:rsidRPr="004D3174">
          <w:rPr>
            <w:rStyle w:val="Hyperlink"/>
          </w:rPr>
          <w:t>directives de bonne pratique concernant la capture vivante de cétacés dans le milieu naturel à des fins commerciales</w:t>
        </w:r>
      </w:hyperlink>
      <w:r w:rsidRPr="004D3174">
        <w:t xml:space="preserve">. </w:t>
      </w:r>
    </w:p>
    <w:p w:rsidR="004D3174" w:rsidRPr="004D3174" w:rsidRDefault="004D3174" w:rsidP="004D3174">
      <w:pPr>
        <w:pStyle w:val="ListParagraph"/>
        <w:spacing w:after="0" w:line="240" w:lineRule="auto"/>
        <w:ind w:left="540"/>
        <w:contextualSpacing w:val="0"/>
        <w:jc w:val="both"/>
        <w:rPr>
          <w:u w:val="single"/>
          <w:lang w:val="fr-FR"/>
        </w:rPr>
      </w:pPr>
    </w:p>
    <w:p w:rsidR="004D3174" w:rsidRPr="004D3174" w:rsidRDefault="004D3174" w:rsidP="004D3174">
      <w:pPr>
        <w:pStyle w:val="Firstnumbering"/>
        <w:rPr>
          <w:u w:val="single"/>
        </w:rPr>
      </w:pPr>
      <w:r w:rsidRPr="004D3174">
        <w:t xml:space="preserve">À la date limite du 1er septembre 2019, une réponse avait été reçue de l'Espagne et est fournie à titre de document d'information, </w:t>
      </w:r>
      <w:r w:rsidR="008E3064">
        <w:t>UNEP/CMS/COP13/</w:t>
      </w:r>
      <w:bookmarkStart w:id="3" w:name="_GoBack"/>
      <w:bookmarkEnd w:id="3"/>
      <w:r w:rsidRPr="004D3174">
        <w:t xml:space="preserve">Inf.16. </w:t>
      </w:r>
    </w:p>
    <w:p w:rsidR="004D3174" w:rsidRPr="004D3174" w:rsidRDefault="004D3174" w:rsidP="004D3174">
      <w:pPr>
        <w:pStyle w:val="ListParagraph"/>
        <w:spacing w:after="0" w:line="240" w:lineRule="auto"/>
        <w:ind w:left="540"/>
        <w:contextualSpacing w:val="0"/>
        <w:rPr>
          <w:u w:val="single"/>
          <w:lang w:val="fr-FR"/>
        </w:rPr>
      </w:pPr>
    </w:p>
    <w:p w:rsidR="004D3174" w:rsidRPr="00E22366" w:rsidRDefault="004D3174" w:rsidP="004D3174">
      <w:pPr>
        <w:spacing w:after="0" w:line="240" w:lineRule="auto"/>
        <w:rPr>
          <w:u w:val="single"/>
        </w:rPr>
      </w:pPr>
      <w:r w:rsidRPr="00E22366">
        <w:rPr>
          <w:u w:val="single"/>
        </w:rPr>
        <w:t xml:space="preserve">Discussion et </w:t>
      </w:r>
      <w:proofErr w:type="spellStart"/>
      <w:r w:rsidRPr="00E22366">
        <w:rPr>
          <w:u w:val="single"/>
        </w:rPr>
        <w:t>analyse</w:t>
      </w:r>
      <w:proofErr w:type="spellEnd"/>
      <w:r w:rsidRPr="00E22366">
        <w:rPr>
          <w:u w:val="single"/>
        </w:rPr>
        <w:t xml:space="preserve"> </w:t>
      </w:r>
    </w:p>
    <w:p w:rsidR="004D3174" w:rsidRPr="00E22366" w:rsidRDefault="004D3174" w:rsidP="004D3174">
      <w:pPr>
        <w:spacing w:after="0" w:line="240" w:lineRule="auto"/>
      </w:pPr>
    </w:p>
    <w:p w:rsidR="004D3174" w:rsidRPr="004D3174" w:rsidRDefault="004D3174" w:rsidP="004D3174">
      <w:pPr>
        <w:pStyle w:val="Firstnumbering"/>
        <w:rPr>
          <w:u w:val="single"/>
        </w:rPr>
      </w:pPr>
      <w:r w:rsidRPr="004D3174">
        <w:t xml:space="preserve">Compte tenu de la courte période d'intersession entre les COP12 et COP13, et de la nature complexe de la demande impliquant l'adoption ou la modification de la législation nationale, le Secrétariat propose de donner aux Parties plus de temps pour la mise en œuvre de cette décision, par le biais d'une prolongation des décisions.  </w:t>
      </w:r>
    </w:p>
    <w:p w:rsidR="004D3174" w:rsidRPr="004D3174" w:rsidRDefault="004D3174" w:rsidP="004D3174">
      <w:pPr>
        <w:pStyle w:val="ListParagraph"/>
        <w:spacing w:after="0" w:line="240" w:lineRule="auto"/>
        <w:ind w:left="540"/>
        <w:contextualSpacing w:val="0"/>
        <w:jc w:val="both"/>
        <w:rPr>
          <w:u w:val="single"/>
          <w:lang w:val="fr-FR"/>
        </w:rPr>
      </w:pPr>
    </w:p>
    <w:p w:rsidR="004D3174" w:rsidRPr="004D3174" w:rsidRDefault="004D3174" w:rsidP="004D3174">
      <w:pPr>
        <w:pStyle w:val="Firstnumbering"/>
        <w:rPr>
          <w:u w:val="single"/>
        </w:rPr>
      </w:pPr>
      <w:r w:rsidRPr="004D3174">
        <w:t xml:space="preserve">En outre, étant donné que cette question concerne l’adoption de la législation nationale, le Secrétariat propose d’ajouter une nouvelle section courte au questionnaire du Programme de législation nationale afin d’évaluer le niveau de mise en œuvre de la Directive de bonnes pratiques. Cette section sera également soumise aux Parties qui ont soumis le questionnaire complet. </w:t>
      </w:r>
    </w:p>
    <w:p w:rsidR="004D3174" w:rsidRPr="004D3174" w:rsidRDefault="004D3174" w:rsidP="004D3174">
      <w:pPr>
        <w:rPr>
          <w:rFonts w:cs="Arial"/>
          <w:u w:val="single"/>
          <w:lang w:val="fr-FR"/>
        </w:rPr>
      </w:pPr>
      <w:r w:rsidRPr="004D3174">
        <w:rPr>
          <w:rFonts w:cs="Arial"/>
          <w:u w:val="single"/>
          <w:lang w:val="fr-FR"/>
        </w:rPr>
        <w:br w:type="page"/>
      </w:r>
    </w:p>
    <w:p w:rsidR="004D3174" w:rsidRPr="004D3174" w:rsidRDefault="004D3174" w:rsidP="004D3174">
      <w:pPr>
        <w:spacing w:after="0" w:line="240" w:lineRule="auto"/>
        <w:ind w:left="540" w:hanging="540"/>
        <w:rPr>
          <w:rFonts w:cs="Arial"/>
          <w:u w:val="single"/>
          <w:lang w:val="fr-FR"/>
        </w:rPr>
      </w:pPr>
    </w:p>
    <w:p w:rsidR="004D3174" w:rsidRPr="00E22366" w:rsidRDefault="004D3174" w:rsidP="004D3174">
      <w:pPr>
        <w:spacing w:after="0" w:line="240" w:lineRule="auto"/>
        <w:ind w:left="540" w:hanging="540"/>
        <w:rPr>
          <w:rFonts w:cs="Arial"/>
          <w:u w:val="single"/>
        </w:rPr>
      </w:pPr>
      <w:r w:rsidRPr="00E22366">
        <w:rPr>
          <w:rFonts w:cs="Arial"/>
          <w:u w:val="single"/>
        </w:rPr>
        <w:t xml:space="preserve">Actions </w:t>
      </w:r>
      <w:proofErr w:type="spellStart"/>
      <w:r w:rsidRPr="00E22366">
        <w:rPr>
          <w:rFonts w:cs="Arial"/>
          <w:u w:val="single"/>
        </w:rPr>
        <w:t>préconisées</w:t>
      </w:r>
      <w:proofErr w:type="spellEnd"/>
    </w:p>
    <w:p w:rsidR="004D3174" w:rsidRPr="00E22366" w:rsidRDefault="004D3174" w:rsidP="004D3174">
      <w:pPr>
        <w:spacing w:after="0" w:line="240" w:lineRule="auto"/>
        <w:ind w:left="540" w:hanging="540"/>
        <w:rPr>
          <w:rFonts w:cs="Arial"/>
          <w:u w:val="single"/>
        </w:rPr>
      </w:pPr>
    </w:p>
    <w:p w:rsidR="004D3174" w:rsidRPr="004D3174" w:rsidRDefault="004D3174" w:rsidP="004D3174">
      <w:pPr>
        <w:pStyle w:val="Firstnumbering"/>
      </w:pPr>
      <w:r w:rsidRPr="004D3174">
        <w:t>Il est recommandé à la Conférence des Parties :</w:t>
      </w:r>
    </w:p>
    <w:p w:rsidR="004D3174" w:rsidRPr="004D3174" w:rsidRDefault="004D3174" w:rsidP="004D3174">
      <w:pPr>
        <w:spacing w:after="0" w:line="240" w:lineRule="auto"/>
        <w:rPr>
          <w:lang w:val="fr-FR"/>
        </w:rPr>
      </w:pPr>
    </w:p>
    <w:p w:rsidR="004D3174" w:rsidRPr="004D3174" w:rsidRDefault="004D3174" w:rsidP="004D3174">
      <w:pPr>
        <w:numPr>
          <w:ilvl w:val="0"/>
          <w:numId w:val="9"/>
        </w:numPr>
        <w:autoSpaceDN w:val="0"/>
        <w:spacing w:after="0" w:line="240" w:lineRule="auto"/>
        <w:ind w:left="993" w:hanging="426"/>
        <w:jc w:val="both"/>
        <w:rPr>
          <w:lang w:val="fr-FR"/>
        </w:rPr>
      </w:pPr>
      <w:proofErr w:type="gramStart"/>
      <w:r w:rsidRPr="004D3174">
        <w:rPr>
          <w:rFonts w:cs="Arial"/>
          <w:lang w:val="fr-FR"/>
        </w:rPr>
        <w:t>adopter</w:t>
      </w:r>
      <w:proofErr w:type="gramEnd"/>
      <w:r w:rsidRPr="004D3174">
        <w:rPr>
          <w:rFonts w:cs="Arial"/>
          <w:lang w:val="fr-FR"/>
        </w:rPr>
        <w:t xml:space="preserve"> les projets de décisions figurant à l’annexe du présent document ;</w:t>
      </w:r>
    </w:p>
    <w:p w:rsidR="004D3174" w:rsidRPr="004D3174" w:rsidRDefault="004D3174" w:rsidP="004D3174">
      <w:pPr>
        <w:autoSpaceDN w:val="0"/>
        <w:spacing w:after="0" w:line="240" w:lineRule="auto"/>
        <w:ind w:left="993" w:hanging="426"/>
        <w:jc w:val="both"/>
        <w:rPr>
          <w:lang w:val="fr-FR"/>
        </w:rPr>
      </w:pPr>
    </w:p>
    <w:p w:rsidR="004D3174" w:rsidRPr="00E22366" w:rsidRDefault="004D3174" w:rsidP="004D3174">
      <w:pPr>
        <w:numPr>
          <w:ilvl w:val="0"/>
          <w:numId w:val="9"/>
        </w:numPr>
        <w:autoSpaceDN w:val="0"/>
        <w:spacing w:after="0" w:line="240" w:lineRule="auto"/>
        <w:ind w:left="993" w:hanging="426"/>
        <w:jc w:val="both"/>
      </w:pPr>
      <w:proofErr w:type="spellStart"/>
      <w:r w:rsidRPr="00E22366">
        <w:rPr>
          <w:rFonts w:cs="Arial"/>
        </w:rPr>
        <w:t>supprimer</w:t>
      </w:r>
      <w:proofErr w:type="spellEnd"/>
      <w:r w:rsidRPr="00E22366">
        <w:rPr>
          <w:rFonts w:cs="Arial"/>
        </w:rPr>
        <w:t xml:space="preserve"> les </w:t>
      </w:r>
      <w:proofErr w:type="spellStart"/>
      <w:r w:rsidRPr="00E22366">
        <w:rPr>
          <w:rFonts w:cs="Arial"/>
        </w:rPr>
        <w:t>décisions</w:t>
      </w:r>
      <w:proofErr w:type="spellEnd"/>
      <w:r w:rsidRPr="00E22366">
        <w:rPr>
          <w:rFonts w:cs="Arial"/>
        </w:rPr>
        <w:t xml:space="preserve"> 12.47 à 12.49.</w:t>
      </w:r>
    </w:p>
    <w:p w:rsidR="004D3174" w:rsidRDefault="004D3174" w:rsidP="00EF7FC8">
      <w:pPr>
        <w:pStyle w:val="FourthnumberingA"/>
        <w:numPr>
          <w:ilvl w:val="0"/>
          <w:numId w:val="0"/>
        </w:numPr>
        <w:sectPr w:rsidR="004D3174" w:rsidSect="00D7183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4D3174" w:rsidRPr="004D3174" w:rsidRDefault="004D3174" w:rsidP="004D3174">
      <w:pPr>
        <w:spacing w:after="0" w:line="240" w:lineRule="auto"/>
        <w:jc w:val="right"/>
        <w:rPr>
          <w:rFonts w:cs="Arial"/>
          <w:b/>
          <w:caps/>
          <w:lang w:val="fr-FR"/>
        </w:rPr>
      </w:pPr>
      <w:r w:rsidRPr="004D3174">
        <w:rPr>
          <w:rFonts w:cs="Arial"/>
          <w:b/>
          <w:caps/>
          <w:lang w:val="fr-FR"/>
        </w:rPr>
        <w:lastRenderedPageBreak/>
        <w:t>Annexe</w:t>
      </w:r>
    </w:p>
    <w:p w:rsidR="004D3174" w:rsidRPr="004D3174" w:rsidRDefault="004D3174" w:rsidP="004D3174">
      <w:pPr>
        <w:spacing w:after="0" w:line="240" w:lineRule="auto"/>
        <w:rPr>
          <w:rFonts w:cs="Arial"/>
          <w:lang w:val="fr-FR"/>
        </w:rPr>
      </w:pPr>
    </w:p>
    <w:p w:rsidR="004D3174" w:rsidRPr="004D3174" w:rsidRDefault="004D3174" w:rsidP="004D3174">
      <w:pPr>
        <w:spacing w:after="0" w:line="240" w:lineRule="auto"/>
        <w:jc w:val="center"/>
        <w:rPr>
          <w:rFonts w:cs="Arial"/>
          <w:lang w:val="fr-FR"/>
        </w:rPr>
      </w:pPr>
      <w:r w:rsidRPr="004D3174">
        <w:rPr>
          <w:rFonts w:cs="Arial"/>
          <w:lang w:val="fr-FR"/>
        </w:rPr>
        <w:t>DÉCISIONS PROPOSÉES</w:t>
      </w:r>
    </w:p>
    <w:p w:rsidR="004D3174" w:rsidRPr="004D3174" w:rsidRDefault="004D3174" w:rsidP="004D3174">
      <w:pPr>
        <w:spacing w:after="0" w:line="240" w:lineRule="auto"/>
        <w:jc w:val="center"/>
        <w:rPr>
          <w:rFonts w:cs="Arial"/>
          <w:lang w:val="fr-FR"/>
        </w:rPr>
      </w:pPr>
    </w:p>
    <w:p w:rsidR="004D3174" w:rsidRPr="004D3174" w:rsidRDefault="004D3174" w:rsidP="004D3174">
      <w:pPr>
        <w:pStyle w:val="ListParagraph"/>
        <w:ind w:left="540"/>
        <w:rPr>
          <w:rFonts w:eastAsia="Times New Roman" w:cs="Arial"/>
          <w:b/>
          <w:lang w:val="fr-FR"/>
        </w:rPr>
      </w:pPr>
      <w:r w:rsidRPr="004D3174">
        <w:rPr>
          <w:rFonts w:eastAsia="Times New Roman" w:cs="Arial"/>
          <w:b/>
          <w:lang w:val="fr-FR"/>
        </w:rPr>
        <w:t>CAPTURE DE CÉTACÉS VIVANTS DANS LE MILIEU NATUREL À DES FINS COMMERCIALES</w:t>
      </w:r>
    </w:p>
    <w:p w:rsidR="004D3174" w:rsidRPr="004D3174" w:rsidRDefault="004D3174" w:rsidP="004D3174">
      <w:pPr>
        <w:pStyle w:val="ListParagraph"/>
        <w:spacing w:after="0" w:line="240" w:lineRule="auto"/>
        <w:ind w:left="540"/>
        <w:contextualSpacing w:val="0"/>
        <w:rPr>
          <w:b/>
          <w:lang w:val="fr-FR"/>
        </w:rPr>
      </w:pPr>
    </w:p>
    <w:p w:rsidR="004D3174" w:rsidRPr="004D3174" w:rsidRDefault="004D3174" w:rsidP="004D3174">
      <w:pPr>
        <w:pStyle w:val="ListParagraph"/>
        <w:spacing w:after="0" w:line="240" w:lineRule="auto"/>
        <w:ind w:left="540"/>
        <w:contextualSpacing w:val="0"/>
        <w:rPr>
          <w:b/>
          <w:lang w:val="fr-FR"/>
        </w:rPr>
      </w:pPr>
    </w:p>
    <w:p w:rsidR="004D3174" w:rsidRPr="004D3174" w:rsidRDefault="004D3174" w:rsidP="004D3174">
      <w:pPr>
        <w:pStyle w:val="ListParagraph"/>
        <w:spacing w:after="0" w:line="240" w:lineRule="auto"/>
        <w:ind w:left="0"/>
        <w:contextualSpacing w:val="0"/>
        <w:rPr>
          <w:b/>
          <w:iCs/>
          <w:lang w:val="fr-FR"/>
        </w:rPr>
      </w:pPr>
      <w:r w:rsidRPr="004D3174">
        <w:rPr>
          <w:b/>
          <w:iCs/>
          <w:lang w:val="fr-FR"/>
        </w:rPr>
        <w:t>À l’adresse du Secrétariat</w:t>
      </w:r>
    </w:p>
    <w:p w:rsidR="004D3174" w:rsidRPr="004D3174" w:rsidRDefault="004D3174" w:rsidP="004D3174">
      <w:pPr>
        <w:pStyle w:val="ListParagraph"/>
        <w:spacing w:after="0" w:line="240" w:lineRule="auto"/>
        <w:ind w:left="540"/>
        <w:contextualSpacing w:val="0"/>
        <w:rPr>
          <w:iCs/>
          <w:lang w:val="fr-FR"/>
        </w:rPr>
      </w:pPr>
    </w:p>
    <w:p w:rsidR="004D3174" w:rsidRPr="004D3174" w:rsidRDefault="004D3174" w:rsidP="004D3174">
      <w:pPr>
        <w:pStyle w:val="ListParagraph"/>
        <w:spacing w:after="0" w:line="240" w:lineRule="auto"/>
        <w:ind w:left="0"/>
        <w:rPr>
          <w:iCs/>
          <w:lang w:val="fr-FR"/>
        </w:rPr>
      </w:pPr>
      <w:r w:rsidRPr="004D3174">
        <w:rPr>
          <w:iCs/>
          <w:lang w:val="fr-FR"/>
        </w:rPr>
        <w:t xml:space="preserve">13.AALe </w:t>
      </w:r>
      <w:proofErr w:type="gramStart"/>
      <w:r w:rsidRPr="004D3174">
        <w:rPr>
          <w:iCs/>
          <w:lang w:val="fr-FR"/>
        </w:rPr>
        <w:t>Secrétariat:</w:t>
      </w:r>
      <w:proofErr w:type="gramEnd"/>
    </w:p>
    <w:p w:rsidR="004D3174" w:rsidRPr="004D3174" w:rsidRDefault="004D3174" w:rsidP="004D3174">
      <w:pPr>
        <w:pStyle w:val="ListParagraph"/>
        <w:spacing w:after="0" w:line="240" w:lineRule="auto"/>
        <w:ind w:left="540"/>
        <w:rPr>
          <w:iCs/>
          <w:lang w:val="fr-FR"/>
        </w:rPr>
      </w:pPr>
    </w:p>
    <w:p w:rsidR="004D3174" w:rsidRPr="004D3174" w:rsidRDefault="004D3174" w:rsidP="004D3174">
      <w:pPr>
        <w:spacing w:after="0" w:line="240" w:lineRule="auto"/>
        <w:ind w:left="1440" w:hanging="1440"/>
        <w:jc w:val="both"/>
        <w:rPr>
          <w:iCs/>
          <w:lang w:val="fr-FR"/>
        </w:rPr>
      </w:pPr>
      <w:r w:rsidRPr="004D3174">
        <w:rPr>
          <w:iCs/>
          <w:lang w:val="fr-FR"/>
        </w:rPr>
        <w:t>12.47 a)</w:t>
      </w:r>
      <w:r w:rsidRPr="004D3174">
        <w:rPr>
          <w:iCs/>
          <w:lang w:val="fr-FR"/>
        </w:rPr>
        <w:tab/>
        <w:t xml:space="preserve">Demande aux de soumettre des informations sur la mise en œuvre des Lignes directrices sur les pratiques optimales concernant la capture de cétacés vivants dans le milieu naturel à des fins </w:t>
      </w:r>
      <w:proofErr w:type="gramStart"/>
      <w:r w:rsidRPr="004D3174">
        <w:rPr>
          <w:iCs/>
          <w:lang w:val="fr-FR"/>
        </w:rPr>
        <w:t>commerciales .</w:t>
      </w:r>
      <w:proofErr w:type="gramEnd"/>
    </w:p>
    <w:p w:rsidR="004D3174" w:rsidRPr="004D3174" w:rsidRDefault="004D3174" w:rsidP="004D3174">
      <w:pPr>
        <w:pStyle w:val="ListParagraph"/>
        <w:spacing w:after="0" w:line="240" w:lineRule="auto"/>
        <w:ind w:left="2160"/>
        <w:jc w:val="both"/>
        <w:rPr>
          <w:iCs/>
          <w:lang w:val="fr-FR"/>
        </w:rPr>
      </w:pPr>
    </w:p>
    <w:p w:rsidR="004D3174" w:rsidRPr="004D3174" w:rsidRDefault="004D3174" w:rsidP="004D3174">
      <w:pPr>
        <w:spacing w:after="0" w:line="240" w:lineRule="auto"/>
        <w:ind w:left="1440" w:hanging="900"/>
        <w:jc w:val="both"/>
        <w:rPr>
          <w:lang w:val="fr-FR"/>
        </w:rPr>
      </w:pPr>
      <w:r w:rsidRPr="004D3174">
        <w:rPr>
          <w:iCs/>
          <w:lang w:val="fr-FR"/>
        </w:rPr>
        <w:t>b)</w:t>
      </w:r>
      <w:r w:rsidRPr="004D3174">
        <w:rPr>
          <w:iCs/>
          <w:lang w:val="fr-FR"/>
        </w:rPr>
        <w:tab/>
        <w:t xml:space="preserve">Sur demande et sous réserve de la disponibilité des ressources, aider les Parties à modifier leur législation nationale, conformément aux recommandations figurant dans les </w:t>
      </w:r>
      <w:hyperlink r:id="rId15" w:history="1">
        <w:r w:rsidRPr="004D3174">
          <w:rPr>
            <w:rStyle w:val="Hyperlink"/>
            <w:lang w:val="fr-FR"/>
          </w:rPr>
          <w:t>directives de bonnes pratiques concernant la capture vivante de cétacés dans le milieu naturel à des fins commerciales</w:t>
        </w:r>
      </w:hyperlink>
      <w:r w:rsidRPr="004D3174">
        <w:rPr>
          <w:lang w:val="fr-FR"/>
        </w:rPr>
        <w:t>.</w:t>
      </w:r>
    </w:p>
    <w:p w:rsidR="004D3174" w:rsidRPr="004D3174" w:rsidRDefault="004D3174" w:rsidP="004D3174">
      <w:pPr>
        <w:spacing w:after="0" w:line="240" w:lineRule="auto"/>
        <w:ind w:left="2160" w:hanging="720"/>
        <w:rPr>
          <w:iCs/>
          <w:lang w:val="fr-FR"/>
        </w:rPr>
      </w:pPr>
    </w:p>
    <w:p w:rsidR="004D3174" w:rsidRPr="004D3174" w:rsidRDefault="004D3174" w:rsidP="004D3174">
      <w:pPr>
        <w:spacing w:after="0" w:line="240" w:lineRule="auto"/>
        <w:rPr>
          <w:b/>
          <w:iCs/>
          <w:lang w:val="fr-FR"/>
        </w:rPr>
      </w:pPr>
      <w:r w:rsidRPr="004D3174">
        <w:rPr>
          <w:b/>
          <w:iCs/>
          <w:lang w:val="fr-FR"/>
        </w:rPr>
        <w:t>À l’adresse des Parties</w:t>
      </w:r>
    </w:p>
    <w:p w:rsidR="004D3174" w:rsidRPr="004D3174" w:rsidRDefault="004D3174" w:rsidP="004D3174">
      <w:pPr>
        <w:spacing w:after="0" w:line="240" w:lineRule="auto"/>
        <w:rPr>
          <w:iCs/>
          <w:lang w:val="fr-FR"/>
        </w:rPr>
      </w:pPr>
    </w:p>
    <w:p w:rsidR="004D3174" w:rsidRPr="004D3174" w:rsidRDefault="004D3174" w:rsidP="004D3174">
      <w:pPr>
        <w:spacing w:after="0" w:line="240" w:lineRule="auto"/>
        <w:jc w:val="both"/>
        <w:rPr>
          <w:iCs/>
          <w:lang w:val="fr-FR"/>
        </w:rPr>
      </w:pPr>
      <w:r w:rsidRPr="004D3174">
        <w:rPr>
          <w:iCs/>
          <w:lang w:val="fr-FR"/>
        </w:rPr>
        <w:t>13.BB</w:t>
      </w:r>
      <w:r>
        <w:rPr>
          <w:iCs/>
          <w:lang w:val="fr-FR"/>
        </w:rPr>
        <w:tab/>
      </w:r>
      <w:r w:rsidRPr="004D3174">
        <w:rPr>
          <w:iCs/>
          <w:lang w:val="fr-FR"/>
        </w:rPr>
        <w:t xml:space="preserve">Les Parties sont priées </w:t>
      </w:r>
      <w:proofErr w:type="gramStart"/>
      <w:r w:rsidRPr="004D3174">
        <w:rPr>
          <w:iCs/>
          <w:lang w:val="fr-FR"/>
        </w:rPr>
        <w:t>de:</w:t>
      </w:r>
      <w:proofErr w:type="gramEnd"/>
    </w:p>
    <w:p w:rsidR="004D3174" w:rsidRPr="004D3174" w:rsidRDefault="004D3174" w:rsidP="004D3174">
      <w:pPr>
        <w:spacing w:after="0" w:line="240" w:lineRule="auto"/>
        <w:jc w:val="both"/>
        <w:rPr>
          <w:iCs/>
          <w:lang w:val="fr-FR"/>
        </w:rPr>
      </w:pPr>
    </w:p>
    <w:p w:rsidR="004D3174" w:rsidRPr="004D3174" w:rsidRDefault="004D3174" w:rsidP="004D3174">
      <w:pPr>
        <w:spacing w:after="0" w:line="240" w:lineRule="auto"/>
        <w:ind w:left="1418" w:hanging="1418"/>
        <w:jc w:val="both"/>
        <w:rPr>
          <w:i/>
          <w:iCs/>
          <w:lang w:val="fr-FR"/>
        </w:rPr>
      </w:pPr>
      <w:r w:rsidRPr="004D3174">
        <w:rPr>
          <w:iCs/>
          <w:lang w:val="fr-FR"/>
        </w:rPr>
        <w:t xml:space="preserve">12.48 </w:t>
      </w:r>
      <w:r>
        <w:rPr>
          <w:iCs/>
          <w:lang w:val="fr-FR"/>
        </w:rPr>
        <w:tab/>
      </w:r>
      <w:r>
        <w:rPr>
          <w:iCs/>
          <w:lang w:val="fr-FR"/>
        </w:rPr>
        <w:tab/>
      </w:r>
      <w:r w:rsidRPr="004D3174">
        <w:rPr>
          <w:iCs/>
          <w:lang w:val="fr-FR"/>
        </w:rPr>
        <w:t xml:space="preserve">coopérer avec le Secrétariat dans l'application des Décisions </w:t>
      </w:r>
      <w:proofErr w:type="gramStart"/>
      <w:r w:rsidRPr="004D3174">
        <w:rPr>
          <w:iCs/>
          <w:strike/>
          <w:lang w:val="fr-FR"/>
        </w:rPr>
        <w:t>12.47</w:t>
      </w:r>
      <w:r w:rsidRPr="004D3174">
        <w:rPr>
          <w:iCs/>
          <w:u w:val="single"/>
          <w:lang w:val="fr-FR"/>
        </w:rPr>
        <w:t>13.BB</w:t>
      </w:r>
      <w:proofErr w:type="gramEnd"/>
      <w:r w:rsidRPr="004D3174">
        <w:rPr>
          <w:iCs/>
          <w:lang w:val="fr-FR"/>
        </w:rPr>
        <w:t xml:space="preserve"> en fournissant des informations en réponse à la demande mentionnée au paragraphe a).</w:t>
      </w:r>
    </w:p>
    <w:p w:rsidR="004D3174" w:rsidRPr="004D3174" w:rsidRDefault="004D3174" w:rsidP="004D3174">
      <w:pPr>
        <w:spacing w:after="0" w:line="240" w:lineRule="auto"/>
        <w:ind w:left="1440" w:hanging="900"/>
        <w:jc w:val="both"/>
        <w:rPr>
          <w:iCs/>
          <w:lang w:val="fr-FR"/>
        </w:rPr>
      </w:pPr>
    </w:p>
    <w:p w:rsidR="00293B2E" w:rsidRDefault="00293B2E" w:rsidP="00EF7FC8">
      <w:pPr>
        <w:pStyle w:val="FourthnumberingA"/>
        <w:numPr>
          <w:ilvl w:val="0"/>
          <w:numId w:val="0"/>
        </w:numPr>
      </w:pPr>
    </w:p>
    <w:sectPr w:rsidR="00293B2E" w:rsidSect="00D71837">
      <w:headerReference w:type="first" r:id="rId16"/>
      <w:foot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74" w:rsidRDefault="004D3174">
    <w:pPr>
      <w:pStyle w:val="Footer"/>
      <w:jc w:val="center"/>
    </w:pPr>
  </w:p>
  <w:p w:rsidR="004D3174" w:rsidRDefault="004D31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953147"/>
      <w:docPartObj>
        <w:docPartGallery w:val="Page Numbers (Bottom of Page)"/>
        <w:docPartUnique/>
      </w:docPartObj>
    </w:sdtPr>
    <w:sdtEndPr>
      <w:rPr>
        <w:noProof/>
        <w:sz w:val="18"/>
        <w:szCs w:val="18"/>
      </w:rPr>
    </w:sdtEndPr>
    <w:sdtContent>
      <w:p w:rsidR="004D3174" w:rsidRPr="004D3174" w:rsidRDefault="004D3174">
        <w:pPr>
          <w:pStyle w:val="Footer"/>
          <w:jc w:val="center"/>
          <w:rPr>
            <w:sz w:val="18"/>
            <w:szCs w:val="18"/>
          </w:rPr>
        </w:pPr>
        <w:r w:rsidRPr="004D3174">
          <w:rPr>
            <w:sz w:val="18"/>
            <w:szCs w:val="18"/>
          </w:rPr>
          <w:fldChar w:fldCharType="begin"/>
        </w:r>
        <w:r w:rsidRPr="004D3174">
          <w:rPr>
            <w:sz w:val="18"/>
            <w:szCs w:val="18"/>
          </w:rPr>
          <w:instrText xml:space="preserve"> PAGE   \* MERGEFORMAT </w:instrText>
        </w:r>
        <w:r w:rsidRPr="004D3174">
          <w:rPr>
            <w:sz w:val="18"/>
            <w:szCs w:val="18"/>
          </w:rPr>
          <w:fldChar w:fldCharType="separate"/>
        </w:r>
        <w:r w:rsidRPr="004D3174">
          <w:rPr>
            <w:noProof/>
            <w:sz w:val="18"/>
            <w:szCs w:val="18"/>
          </w:rPr>
          <w:t>2</w:t>
        </w:r>
        <w:r w:rsidRPr="004D317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4D3174">
      <w:rPr>
        <w:rFonts w:eastAsia="Arial" w:cs="Arial"/>
        <w:i/>
        <w:sz w:val="18"/>
        <w:szCs w:val="18"/>
        <w:lang w:val="fr-FR"/>
      </w:rPr>
      <w:t>26.2.8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4D3174">
      <w:rPr>
        <w:rFonts w:eastAsia="Arial" w:cs="Arial"/>
        <w:i/>
        <w:sz w:val="18"/>
        <w:szCs w:val="18"/>
        <w:lang w:val="fr-FR"/>
      </w:rPr>
      <w:t>26.2.8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74" w:rsidRPr="004D3174" w:rsidRDefault="004D3174" w:rsidP="004D317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4D3174">
      <w:rPr>
        <w:rFonts w:eastAsia="Arial" w:cs="Arial"/>
        <w:i/>
        <w:sz w:val="18"/>
        <w:szCs w:val="18"/>
      </w:rPr>
      <w:t>UNEP/CMS/COP13/Doc.26.2.8/</w:t>
    </w:r>
    <w:proofErr w:type="spellStart"/>
    <w:r w:rsidRPr="004D3174">
      <w:rPr>
        <w:rFonts w:eastAsia="Arial" w:cs="Arial"/>
        <w:i/>
        <w:sz w:val="18"/>
        <w:szCs w:val="18"/>
      </w:rPr>
      <w:t>An</w:t>
    </w:r>
    <w:r>
      <w:rPr>
        <w:rFonts w:eastAsia="Arial" w:cs="Arial"/>
        <w:i/>
        <w:sz w:val="18"/>
        <w:szCs w:val="18"/>
      </w:rPr>
      <w:t>nexe</w:t>
    </w:r>
    <w:proofErr w:type="spellEnd"/>
  </w:p>
  <w:p w:rsidR="004D3174" w:rsidRDefault="004D3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029E"/>
    <w:multiLevelType w:val="hybridMultilevel"/>
    <w:tmpl w:val="72048F0C"/>
    <w:lvl w:ilvl="0" w:tplc="3C18D3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D8649DE"/>
    <w:multiLevelType w:val="hybridMultilevel"/>
    <w:tmpl w:val="7A3010A8"/>
    <w:lvl w:ilvl="0" w:tplc="A17C92A0">
      <w:start w:val="1"/>
      <w:numFmt w:val="lowerLetter"/>
      <w:lvlText w:val="%1)"/>
      <w:lvlJc w:val="left"/>
      <w:pPr>
        <w:ind w:left="1440" w:hanging="900"/>
      </w:pPr>
      <w:rPr>
        <w:rFonts w:hint="default"/>
      </w:rPr>
    </w:lvl>
    <w:lvl w:ilvl="1" w:tplc="20000019">
      <w:start w:val="1"/>
      <w:numFmt w:val="lowerLetter"/>
      <w:lvlText w:val="%2."/>
      <w:lvlJc w:val="left"/>
      <w:pPr>
        <w:ind w:left="1620" w:hanging="360"/>
      </w:pPr>
    </w:lvl>
    <w:lvl w:ilvl="2" w:tplc="2000001B">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num w:numId="1">
    <w:abstractNumId w:val="3"/>
  </w:num>
  <w:num w:numId="2">
    <w:abstractNumId w:val="6"/>
  </w:num>
  <w:num w:numId="3">
    <w:abstractNumId w:val="7"/>
  </w:num>
  <w:num w:numId="4">
    <w:abstractNumId w:val="5"/>
  </w:num>
  <w:num w:numId="5">
    <w:abstractNumId w:val="1"/>
  </w:num>
  <w:num w:numId="6">
    <w:abstractNumId w:val="8"/>
  </w:num>
  <w:num w:numId="7">
    <w:abstractNumId w:val="2"/>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4D3174"/>
    <w:rsid w:val="005330F7"/>
    <w:rsid w:val="00563598"/>
    <w:rsid w:val="00705C1D"/>
    <w:rsid w:val="00853DCA"/>
    <w:rsid w:val="00870459"/>
    <w:rsid w:val="00882CD0"/>
    <w:rsid w:val="00896FBB"/>
    <w:rsid w:val="008C067D"/>
    <w:rsid w:val="008E3064"/>
    <w:rsid w:val="00A02506"/>
    <w:rsid w:val="00AB773C"/>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C998"/>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4D3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live-capture-cetaceans-wild-commercial-purposes-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ms.int/en/document/live-capture-cetaceans-wild-commercial-purposes-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2019-10-22T10:37:00Z</dcterms:created>
  <dcterms:modified xsi:type="dcterms:W3CDTF">2019-11-05T10:16:00Z</dcterms:modified>
</cp:coreProperties>
</file>