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EC2A58" w:rsidRPr="0098242A" w:rsidTr="0079541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79541D"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79541D">
              <w:rPr>
                <w:rFonts w:eastAsia="Arial" w:cs="Arial"/>
                <w:lang w:val="en-GB"/>
              </w:rPr>
              <w:t>UNEP/CMS/COP13/Doc.</w:t>
            </w:r>
            <w:r w:rsidR="0098242A" w:rsidRPr="0079541D">
              <w:rPr>
                <w:rFonts w:eastAsia="Arial" w:cs="Arial"/>
                <w:lang w:val="en-GB"/>
              </w:rPr>
              <w:t>26.2.10</w:t>
            </w:r>
            <w:r w:rsidR="0079541D" w:rsidRPr="0079541D">
              <w:rPr>
                <w:rFonts w:eastAsia="Arial" w:cs="Arial"/>
                <w:lang w:val="en-GB"/>
              </w:rPr>
              <w:t>/Rev</w:t>
            </w:r>
            <w:r w:rsidR="0079541D">
              <w:rPr>
                <w:rFonts w:eastAsia="Arial" w:cs="Arial"/>
                <w:lang w:val="en-GB"/>
              </w:rPr>
              <w:t>.</w:t>
            </w:r>
            <w:r w:rsidR="00F15A9E">
              <w:rPr>
                <w:rFonts w:eastAsia="Arial" w:cs="Arial"/>
                <w:lang w:val="en-GB"/>
              </w:rPr>
              <w:t>2</w:t>
            </w:r>
          </w:p>
          <w:p w:rsidR="00EC2A58" w:rsidRPr="0098242A" w:rsidRDefault="00F15A9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26</w:t>
            </w:r>
            <w:r w:rsidR="0079541D">
              <w:rPr>
                <w:rFonts w:eastAsia="Arial" w:cs="Arial"/>
                <w:lang w:val="fr-FR"/>
              </w:rPr>
              <w:t xml:space="preserve"> novembre</w:t>
            </w:r>
            <w:r w:rsidR="00EC2A58" w:rsidRPr="0098242A">
              <w:rPr>
                <w:rFonts w:eastAsia="Arial" w:cs="Arial"/>
                <w:lang w:val="fr-FR"/>
              </w:rPr>
              <w:t xml:space="preserve"> 2019</w:t>
            </w:r>
          </w:p>
          <w:p w:rsidR="00EC2A58" w:rsidRPr="0098242A"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rsidR="00EC2A58" w:rsidRPr="0098242A"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98242A">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98242A" w:rsidRDefault="0098242A" w:rsidP="0098242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lang w:val="fr-FR"/>
        </w:rPr>
      </w:pPr>
      <w:r w:rsidRPr="0098242A">
        <w:rPr>
          <w:rFonts w:eastAsia="Times New Roman" w:cs="Arial"/>
          <w:b/>
          <w:lang w:val="fr-FR"/>
        </w:rPr>
        <w:t>PROGRAMME DE TRAVAIL MONDIAL POUR LES CÉTACÉS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w:t>
      </w:r>
      <w:r w:rsidR="0098242A">
        <w:rPr>
          <w:rFonts w:eastAsia="Arial" w:cs="Arial"/>
          <w:i/>
          <w:iCs/>
          <w:lang w:val="fr-FR"/>
        </w:rPr>
        <w:t xml:space="preserve">Conseil </w:t>
      </w:r>
      <w:r w:rsidR="00F15A9E">
        <w:rPr>
          <w:rFonts w:eastAsia="Arial" w:cs="Arial"/>
          <w:i/>
          <w:iCs/>
          <w:lang w:val="fr-FR"/>
        </w:rPr>
        <w:t xml:space="preserve">scientifique </w:t>
      </w:r>
      <w:r w:rsidR="0098242A">
        <w:rPr>
          <w:rFonts w:eastAsia="Arial" w:cs="Arial"/>
          <w:i/>
          <w:iCs/>
          <w:lang w:val="fr-FR"/>
        </w:rPr>
        <w:t>et le Secrétariat</w:t>
      </w:r>
      <w:r w:rsidRPr="00EC2A58">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144144</wp:posOffset>
                </wp:positionV>
                <wp:extent cx="4800600" cy="3552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3552825"/>
                        </a:xfrm>
                        <a:prstGeom prst="rect">
                          <a:avLst/>
                        </a:prstGeom>
                        <a:solidFill>
                          <a:srgbClr val="FFFFFF"/>
                        </a:solidFill>
                        <a:ln w="3172">
                          <a:solidFill>
                            <a:srgbClr val="000000"/>
                          </a:solidFill>
                          <a:prstDash val="solid"/>
                        </a:ln>
                      </wps:spPr>
                      <wps:txbx>
                        <w:txbxContent>
                          <w:p w:rsidR="00A8308E" w:rsidRPr="00A8308E" w:rsidRDefault="00A8308E" w:rsidP="0098242A">
                            <w:pPr>
                              <w:spacing w:after="0" w:line="240" w:lineRule="auto"/>
                              <w:jc w:val="both"/>
                              <w:rPr>
                                <w:lang w:val="fr-FR"/>
                              </w:rPr>
                            </w:pPr>
                            <w:r>
                              <w:rPr>
                                <w:rFonts w:eastAsia="Arial" w:cs="Arial"/>
                                <w:lang w:val="fr-FR"/>
                              </w:rPr>
                              <w:t>Résumé:</w:t>
                            </w:r>
                          </w:p>
                          <w:p w:rsidR="00A8308E" w:rsidRPr="0098242A" w:rsidRDefault="00A8308E" w:rsidP="0098242A">
                            <w:pPr>
                              <w:spacing w:after="0" w:line="240" w:lineRule="auto"/>
                              <w:jc w:val="both"/>
                              <w:rPr>
                                <w:rFonts w:cs="Arial"/>
                                <w:lang w:val="fr-FR"/>
                              </w:rPr>
                            </w:pPr>
                          </w:p>
                          <w:p w:rsidR="00A8308E" w:rsidRPr="0098242A" w:rsidRDefault="00A8308E" w:rsidP="0098242A">
                            <w:pPr>
                              <w:spacing w:after="0" w:line="240" w:lineRule="auto"/>
                              <w:jc w:val="both"/>
                              <w:rPr>
                                <w:rFonts w:cs="Arial"/>
                                <w:lang w:val="fr-FR"/>
                              </w:rPr>
                            </w:pPr>
                            <w:r w:rsidRPr="0098242A">
                              <w:rPr>
                                <w:rFonts w:cs="Arial"/>
                                <w:lang w:val="fr-FR"/>
                              </w:rPr>
                              <w:t xml:space="preserve">Ce document décrit les progrès accomplis dans la mise en œuvre de la </w:t>
                            </w:r>
                            <w:r>
                              <w:rPr>
                                <w:rFonts w:cs="Arial"/>
                                <w:lang w:val="fr-FR"/>
                              </w:rPr>
                              <w:t>D</w:t>
                            </w:r>
                            <w:r w:rsidRPr="0098242A">
                              <w:rPr>
                                <w:rFonts w:cs="Arial"/>
                                <w:lang w:val="fr-FR"/>
                              </w:rPr>
                              <w:t xml:space="preserve">écision 12.16 </w:t>
                            </w:r>
                            <w:r w:rsidRPr="0098242A">
                              <w:rPr>
                                <w:rFonts w:cs="Arial"/>
                                <w:i/>
                                <w:iCs/>
                                <w:lang w:val="fr-FR"/>
                              </w:rPr>
                              <w:t>Programme de travail mondial de la CMS</w:t>
                            </w:r>
                            <w:r>
                              <w:rPr>
                                <w:rFonts w:cs="Arial"/>
                                <w:i/>
                                <w:iCs/>
                                <w:lang w:val="fr-FR"/>
                              </w:rPr>
                              <w:t xml:space="preserve"> </w:t>
                            </w:r>
                            <w:r w:rsidRPr="0098242A">
                              <w:rPr>
                                <w:rFonts w:cs="Arial"/>
                                <w:i/>
                                <w:lang w:val="fr-FR"/>
                              </w:rPr>
                              <w:t>pour les cétacés (2012-2024)</w:t>
                            </w:r>
                            <w:r w:rsidRPr="0098242A">
                              <w:rPr>
                                <w:rFonts w:cs="Arial"/>
                                <w:lang w:val="fr-FR"/>
                              </w:rPr>
                              <w:t xml:space="preserve"> et recommande des révisions de la </w:t>
                            </w:r>
                            <w:r>
                              <w:rPr>
                                <w:rFonts w:cs="Arial"/>
                                <w:lang w:val="fr-FR"/>
                              </w:rPr>
                              <w:t>d</w:t>
                            </w:r>
                            <w:r w:rsidRPr="0098242A">
                              <w:rPr>
                                <w:rFonts w:cs="Arial"/>
                                <w:lang w:val="fr-FR"/>
                              </w:rPr>
                              <w:t>écision.</w:t>
                            </w:r>
                            <w:r w:rsidR="0079541D">
                              <w:rPr>
                                <w:rFonts w:cs="Arial"/>
                                <w:lang w:val="fr-FR"/>
                              </w:rPr>
                              <w:t xml:space="preserve"> </w:t>
                            </w:r>
                            <w:r w:rsidR="0079541D" w:rsidRPr="0079541D">
                              <w:rPr>
                                <w:rFonts w:cs="Arial"/>
                                <w:lang w:val="fr-FR"/>
                              </w:rPr>
                              <w:t>Il a été révisé par le Comité de session du Conseil scientifique à sa 4</w:t>
                            </w:r>
                            <w:r w:rsidR="0079541D" w:rsidRPr="0079541D">
                              <w:rPr>
                                <w:rFonts w:cs="Arial"/>
                                <w:vertAlign w:val="superscript"/>
                                <w:lang w:val="fr-FR"/>
                              </w:rPr>
                              <w:t>e</w:t>
                            </w:r>
                            <w:r w:rsidR="0079541D" w:rsidRPr="0079541D">
                              <w:rPr>
                                <w:rFonts w:cs="Arial"/>
                                <w:lang w:val="fr-FR"/>
                              </w:rPr>
                              <w:t xml:space="preserve"> session en novembre 2019.</w:t>
                            </w:r>
                          </w:p>
                          <w:p w:rsidR="00A8308E" w:rsidRPr="0098242A" w:rsidRDefault="00A8308E" w:rsidP="0098242A">
                            <w:pPr>
                              <w:spacing w:after="0" w:line="240" w:lineRule="auto"/>
                              <w:jc w:val="both"/>
                              <w:rPr>
                                <w:rFonts w:cs="Arial"/>
                                <w:lang w:val="fr-FR"/>
                              </w:rPr>
                            </w:pPr>
                          </w:p>
                          <w:p w:rsidR="00A8308E" w:rsidRDefault="00A8308E" w:rsidP="0098242A">
                            <w:pPr>
                              <w:spacing w:after="0" w:line="240" w:lineRule="auto"/>
                              <w:jc w:val="both"/>
                              <w:rPr>
                                <w:lang w:val="fr-FR"/>
                              </w:rPr>
                            </w:pPr>
                            <w:r w:rsidRPr="0098242A">
                              <w:rPr>
                                <w:rFonts w:cs="Arial"/>
                                <w:lang w:val="fr-FR"/>
                              </w:rPr>
                              <w:t xml:space="preserve">En outre, il rend compte des progrès accomplis dans la mise en œuvre de la </w:t>
                            </w:r>
                            <w:r>
                              <w:rPr>
                                <w:rFonts w:cs="Arial"/>
                                <w:lang w:val="fr-FR"/>
                              </w:rPr>
                              <w:t>D</w:t>
                            </w:r>
                            <w:r w:rsidRPr="0098242A">
                              <w:rPr>
                                <w:rFonts w:cs="Arial"/>
                                <w:lang w:val="fr-FR"/>
                              </w:rPr>
                              <w:t xml:space="preserve">écision </w:t>
                            </w:r>
                            <w:r>
                              <w:rPr>
                                <w:rFonts w:cs="Arial"/>
                                <w:lang w:val="fr-FR"/>
                              </w:rPr>
                              <w:t>1</w:t>
                            </w:r>
                            <w:r w:rsidRPr="0098242A">
                              <w:rPr>
                                <w:iCs/>
                                <w:lang w:val="fr-FR"/>
                              </w:rPr>
                              <w:t>2.51 (f), une partie de la décision traitant de l’</w:t>
                            </w:r>
                            <w:r w:rsidRPr="0098242A">
                              <w:rPr>
                                <w:i/>
                                <w:iCs/>
                                <w:lang w:val="fr-FR"/>
                              </w:rPr>
                              <w:t>interaction récréative dans l’eau avec les mammifères aquatiques</w:t>
                            </w:r>
                            <w:r w:rsidRPr="0098242A">
                              <w:rPr>
                                <w:lang w:val="fr-FR"/>
                              </w:rPr>
                              <w:t>, mais abordant également les problèmes à plus vaste échelle rencontrés par les cétacés en mer Rouge. L’</w:t>
                            </w:r>
                            <w:r>
                              <w:rPr>
                                <w:lang w:val="fr-FR"/>
                              </w:rPr>
                              <w:t>A</w:t>
                            </w:r>
                            <w:r w:rsidRPr="0098242A">
                              <w:rPr>
                                <w:lang w:val="fr-FR"/>
                              </w:rPr>
                              <w:t xml:space="preserve">nnexe 1 ci-jointe présente un aperçu détaillé </w:t>
                            </w:r>
                            <w:r>
                              <w:rPr>
                                <w:lang w:val="fr-FR"/>
                              </w:rPr>
                              <w:t>soumis</w:t>
                            </w:r>
                            <w:r w:rsidRPr="0098242A">
                              <w:rPr>
                                <w:lang w:val="fr-FR"/>
                              </w:rPr>
                              <w:t xml:space="preserve"> par le conseiller nommé pour les mammifères aquatiques</w:t>
                            </w:r>
                            <w:r>
                              <w:rPr>
                                <w:lang w:val="fr-FR"/>
                              </w:rPr>
                              <w:t>.</w:t>
                            </w:r>
                          </w:p>
                          <w:p w:rsidR="00A8308E" w:rsidRDefault="00A8308E" w:rsidP="0098242A">
                            <w:pPr>
                              <w:spacing w:after="0" w:line="240" w:lineRule="auto"/>
                              <w:jc w:val="both"/>
                              <w:rPr>
                                <w:rFonts w:cs="Arial"/>
                                <w:lang w:val="fr-FR"/>
                              </w:rPr>
                            </w:pPr>
                          </w:p>
                          <w:p w:rsidR="00A8308E" w:rsidRPr="00A8308E" w:rsidRDefault="00A8308E" w:rsidP="00A8308E">
                            <w:pPr>
                              <w:spacing w:after="0" w:line="240" w:lineRule="auto"/>
                              <w:jc w:val="both"/>
                              <w:rPr>
                                <w:rFonts w:cs="Arial"/>
                                <w:lang w:val="fr-FR"/>
                              </w:rPr>
                            </w:pPr>
                            <w:r w:rsidRPr="00A8308E">
                              <w:rPr>
                                <w:rFonts w:cs="Arial"/>
                                <w:lang w:val="fr-FR"/>
                              </w:rPr>
                              <w:t>En outre, un nouveau domaine de travail axé sur le rôle des baleines dans les écosystèmes, qui sera traité en collaboration avec la Commission baleinière internationale, est en cours d'introduction.</w:t>
                            </w:r>
                          </w:p>
                          <w:p w:rsidR="00A8308E" w:rsidRPr="00A8308E" w:rsidRDefault="00A8308E" w:rsidP="00A8308E">
                            <w:pPr>
                              <w:spacing w:after="0" w:line="240" w:lineRule="auto"/>
                              <w:jc w:val="both"/>
                              <w:rPr>
                                <w:rFonts w:cs="Arial"/>
                                <w:lang w:val="fr-FR"/>
                              </w:rPr>
                            </w:pPr>
                          </w:p>
                          <w:p w:rsidR="00A8308E" w:rsidRDefault="00A8308E" w:rsidP="00A8308E">
                            <w:pPr>
                              <w:spacing w:after="0" w:line="240" w:lineRule="auto"/>
                              <w:jc w:val="both"/>
                              <w:rPr>
                                <w:rFonts w:cs="Arial"/>
                                <w:lang w:val="fr-FR"/>
                              </w:rPr>
                            </w:pPr>
                            <w:r w:rsidRPr="00A8308E">
                              <w:rPr>
                                <w:rFonts w:cs="Arial"/>
                                <w:lang w:val="fr-FR"/>
                              </w:rPr>
                              <w:t xml:space="preserve">Les projets de </w:t>
                            </w:r>
                            <w:r>
                              <w:rPr>
                                <w:rFonts w:cs="Arial"/>
                                <w:lang w:val="fr-FR"/>
                              </w:rPr>
                              <w:t>D</w:t>
                            </w:r>
                            <w:r w:rsidRPr="00A8308E">
                              <w:rPr>
                                <w:rFonts w:cs="Arial"/>
                                <w:lang w:val="fr-FR"/>
                              </w:rPr>
                              <w:t>écision</w:t>
                            </w:r>
                            <w:r>
                              <w:rPr>
                                <w:rFonts w:cs="Arial"/>
                                <w:lang w:val="fr-FR"/>
                              </w:rPr>
                              <w:t>s</w:t>
                            </w:r>
                            <w:r w:rsidRPr="00A8308E">
                              <w:rPr>
                                <w:rFonts w:cs="Arial"/>
                                <w:lang w:val="fr-FR"/>
                              </w:rPr>
                              <w:t xml:space="preserve"> sur les sujets susmentionnés sont présentés à l'</w:t>
                            </w:r>
                            <w:r>
                              <w:rPr>
                                <w:rFonts w:cs="Arial"/>
                                <w:lang w:val="fr-FR"/>
                              </w:rPr>
                              <w:t>A</w:t>
                            </w:r>
                            <w:r w:rsidRPr="00A8308E">
                              <w:rPr>
                                <w:rFonts w:cs="Arial"/>
                                <w:lang w:val="fr-FR"/>
                              </w:rPr>
                              <w:t>nnexe 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" strokeweight=".08811mm">
                <v:textbox>
                  <w:txbxContent>
                    <w:p w:rsidR="00A8308E" w:rsidRPr="00A8308E" w:rsidRDefault="00A8308E" w:rsidP="0098242A">
                      <w:pPr>
                        <w:spacing w:after="0" w:line="240" w:lineRule="auto"/>
                        <w:jc w:val="both"/>
                        <w:rPr>
                          <w:lang w:val="fr-FR"/>
                        </w:rPr>
                      </w:pPr>
                      <w:r>
                        <w:rPr>
                          <w:rFonts w:eastAsia="Arial" w:cs="Arial"/>
                          <w:lang w:val="fr-FR"/>
                        </w:rPr>
                        <w:t>Résumé:</w:t>
                      </w:r>
                    </w:p>
                    <w:p w:rsidR="00A8308E" w:rsidRPr="0098242A" w:rsidRDefault="00A8308E" w:rsidP="0098242A">
                      <w:pPr>
                        <w:spacing w:after="0" w:line="240" w:lineRule="auto"/>
                        <w:jc w:val="both"/>
                        <w:rPr>
                          <w:rFonts w:cs="Arial"/>
                          <w:lang w:val="fr-FR"/>
                        </w:rPr>
                      </w:pPr>
                    </w:p>
                    <w:p w:rsidR="00A8308E" w:rsidRPr="0098242A" w:rsidRDefault="00A8308E" w:rsidP="0098242A">
                      <w:pPr>
                        <w:spacing w:after="0" w:line="240" w:lineRule="auto"/>
                        <w:jc w:val="both"/>
                        <w:rPr>
                          <w:rFonts w:cs="Arial"/>
                          <w:lang w:val="fr-FR"/>
                        </w:rPr>
                      </w:pPr>
                      <w:r w:rsidRPr="0098242A">
                        <w:rPr>
                          <w:rFonts w:cs="Arial"/>
                          <w:lang w:val="fr-FR"/>
                        </w:rPr>
                        <w:t xml:space="preserve">Ce document décrit les progrès accomplis dans la mise en œuvre de la </w:t>
                      </w:r>
                      <w:r>
                        <w:rPr>
                          <w:rFonts w:cs="Arial"/>
                          <w:lang w:val="fr-FR"/>
                        </w:rPr>
                        <w:t>D</w:t>
                      </w:r>
                      <w:r w:rsidRPr="0098242A">
                        <w:rPr>
                          <w:rFonts w:cs="Arial"/>
                          <w:lang w:val="fr-FR"/>
                        </w:rPr>
                        <w:t xml:space="preserve">écision 12.16 </w:t>
                      </w:r>
                      <w:r w:rsidRPr="0098242A">
                        <w:rPr>
                          <w:rFonts w:cs="Arial"/>
                          <w:i/>
                          <w:iCs/>
                          <w:lang w:val="fr-FR"/>
                        </w:rPr>
                        <w:t>Programme de travail mondial de la CMS</w:t>
                      </w:r>
                      <w:r>
                        <w:rPr>
                          <w:rFonts w:cs="Arial"/>
                          <w:i/>
                          <w:iCs/>
                          <w:lang w:val="fr-FR"/>
                        </w:rPr>
                        <w:t xml:space="preserve"> </w:t>
                      </w:r>
                      <w:r w:rsidRPr="0098242A">
                        <w:rPr>
                          <w:rFonts w:cs="Arial"/>
                          <w:i/>
                          <w:lang w:val="fr-FR"/>
                        </w:rPr>
                        <w:t>pour les cétacés (2012-2024)</w:t>
                      </w:r>
                      <w:r w:rsidRPr="0098242A">
                        <w:rPr>
                          <w:rFonts w:cs="Arial"/>
                          <w:lang w:val="fr-FR"/>
                        </w:rPr>
                        <w:t xml:space="preserve"> et recommande des révisions de la </w:t>
                      </w:r>
                      <w:r>
                        <w:rPr>
                          <w:rFonts w:cs="Arial"/>
                          <w:lang w:val="fr-FR"/>
                        </w:rPr>
                        <w:t>d</w:t>
                      </w:r>
                      <w:r w:rsidRPr="0098242A">
                        <w:rPr>
                          <w:rFonts w:cs="Arial"/>
                          <w:lang w:val="fr-FR"/>
                        </w:rPr>
                        <w:t>écision.</w:t>
                      </w:r>
                      <w:r w:rsidR="0079541D">
                        <w:rPr>
                          <w:rFonts w:cs="Arial"/>
                          <w:lang w:val="fr-FR"/>
                        </w:rPr>
                        <w:t xml:space="preserve"> </w:t>
                      </w:r>
                      <w:r w:rsidR="0079541D" w:rsidRPr="0079541D">
                        <w:rPr>
                          <w:rFonts w:cs="Arial"/>
                          <w:lang w:val="fr-FR"/>
                        </w:rPr>
                        <w:t>Il a été révisé par le Comité de session du Conseil scientifique à sa 4</w:t>
                      </w:r>
                      <w:r w:rsidR="0079541D" w:rsidRPr="0079541D">
                        <w:rPr>
                          <w:rFonts w:cs="Arial"/>
                          <w:vertAlign w:val="superscript"/>
                          <w:lang w:val="fr-FR"/>
                        </w:rPr>
                        <w:t>e</w:t>
                      </w:r>
                      <w:r w:rsidR="0079541D" w:rsidRPr="0079541D">
                        <w:rPr>
                          <w:rFonts w:cs="Arial"/>
                          <w:lang w:val="fr-FR"/>
                        </w:rPr>
                        <w:t xml:space="preserve"> session en novembre 2019.</w:t>
                      </w:r>
                    </w:p>
                    <w:p w:rsidR="00A8308E" w:rsidRPr="0098242A" w:rsidRDefault="00A8308E" w:rsidP="0098242A">
                      <w:pPr>
                        <w:spacing w:after="0" w:line="240" w:lineRule="auto"/>
                        <w:jc w:val="both"/>
                        <w:rPr>
                          <w:rFonts w:cs="Arial"/>
                          <w:lang w:val="fr-FR"/>
                        </w:rPr>
                      </w:pPr>
                    </w:p>
                    <w:p w:rsidR="00A8308E" w:rsidRDefault="00A8308E" w:rsidP="0098242A">
                      <w:pPr>
                        <w:spacing w:after="0" w:line="240" w:lineRule="auto"/>
                        <w:jc w:val="both"/>
                        <w:rPr>
                          <w:lang w:val="fr-FR"/>
                        </w:rPr>
                      </w:pPr>
                      <w:r w:rsidRPr="0098242A">
                        <w:rPr>
                          <w:rFonts w:cs="Arial"/>
                          <w:lang w:val="fr-FR"/>
                        </w:rPr>
                        <w:t xml:space="preserve">En outre, il rend compte des progrès accomplis dans la mise en œuvre de la </w:t>
                      </w:r>
                      <w:r>
                        <w:rPr>
                          <w:rFonts w:cs="Arial"/>
                          <w:lang w:val="fr-FR"/>
                        </w:rPr>
                        <w:t>D</w:t>
                      </w:r>
                      <w:r w:rsidRPr="0098242A">
                        <w:rPr>
                          <w:rFonts w:cs="Arial"/>
                          <w:lang w:val="fr-FR"/>
                        </w:rPr>
                        <w:t xml:space="preserve">écision </w:t>
                      </w:r>
                      <w:r>
                        <w:rPr>
                          <w:rFonts w:cs="Arial"/>
                          <w:lang w:val="fr-FR"/>
                        </w:rPr>
                        <w:t>1</w:t>
                      </w:r>
                      <w:r w:rsidRPr="0098242A">
                        <w:rPr>
                          <w:iCs/>
                          <w:lang w:val="fr-FR"/>
                        </w:rPr>
                        <w:t>2.51 (f), une partie de la décision traitant de l’</w:t>
                      </w:r>
                      <w:r w:rsidRPr="0098242A">
                        <w:rPr>
                          <w:i/>
                          <w:iCs/>
                          <w:lang w:val="fr-FR"/>
                        </w:rPr>
                        <w:t>interaction récréative dans l’eau avec les mammifères aquatiques</w:t>
                      </w:r>
                      <w:r w:rsidRPr="0098242A">
                        <w:rPr>
                          <w:lang w:val="fr-FR"/>
                        </w:rPr>
                        <w:t>, mais abordant également les problèmes à plus vaste échelle rencontrés par les cétacés en mer Rouge. L’</w:t>
                      </w:r>
                      <w:r>
                        <w:rPr>
                          <w:lang w:val="fr-FR"/>
                        </w:rPr>
                        <w:t>A</w:t>
                      </w:r>
                      <w:r w:rsidRPr="0098242A">
                        <w:rPr>
                          <w:lang w:val="fr-FR"/>
                        </w:rPr>
                        <w:t xml:space="preserve">nnexe 1 ci-jointe présente un aperçu détaillé </w:t>
                      </w:r>
                      <w:r>
                        <w:rPr>
                          <w:lang w:val="fr-FR"/>
                        </w:rPr>
                        <w:t>soumis</w:t>
                      </w:r>
                      <w:r w:rsidRPr="0098242A">
                        <w:rPr>
                          <w:lang w:val="fr-FR"/>
                        </w:rPr>
                        <w:t xml:space="preserve"> par le conseiller nommé pour les mammifères aquatiques</w:t>
                      </w:r>
                      <w:r>
                        <w:rPr>
                          <w:lang w:val="fr-FR"/>
                        </w:rPr>
                        <w:t>.</w:t>
                      </w:r>
                    </w:p>
                    <w:p w:rsidR="00A8308E" w:rsidRDefault="00A8308E" w:rsidP="0098242A">
                      <w:pPr>
                        <w:spacing w:after="0" w:line="240" w:lineRule="auto"/>
                        <w:jc w:val="both"/>
                        <w:rPr>
                          <w:rFonts w:cs="Arial"/>
                          <w:lang w:val="fr-FR"/>
                        </w:rPr>
                      </w:pPr>
                    </w:p>
                    <w:p w:rsidR="00A8308E" w:rsidRPr="00A8308E" w:rsidRDefault="00A8308E" w:rsidP="00A8308E">
                      <w:pPr>
                        <w:spacing w:after="0" w:line="240" w:lineRule="auto"/>
                        <w:jc w:val="both"/>
                        <w:rPr>
                          <w:rFonts w:cs="Arial"/>
                          <w:lang w:val="fr-FR"/>
                        </w:rPr>
                      </w:pPr>
                      <w:r w:rsidRPr="00A8308E">
                        <w:rPr>
                          <w:rFonts w:cs="Arial"/>
                          <w:lang w:val="fr-FR"/>
                        </w:rPr>
                        <w:t>En outre, un nouveau domaine de travail axé sur le rôle des baleines dans les écosystèmes, qui sera traité en collaboration avec la Commission baleinière internationale, est en cours d'introduction.</w:t>
                      </w:r>
                    </w:p>
                    <w:p w:rsidR="00A8308E" w:rsidRPr="00A8308E" w:rsidRDefault="00A8308E" w:rsidP="00A8308E">
                      <w:pPr>
                        <w:spacing w:after="0" w:line="240" w:lineRule="auto"/>
                        <w:jc w:val="both"/>
                        <w:rPr>
                          <w:rFonts w:cs="Arial"/>
                          <w:lang w:val="fr-FR"/>
                        </w:rPr>
                      </w:pPr>
                    </w:p>
                    <w:p w:rsidR="00A8308E" w:rsidRDefault="00A8308E" w:rsidP="00A8308E">
                      <w:pPr>
                        <w:spacing w:after="0" w:line="240" w:lineRule="auto"/>
                        <w:jc w:val="both"/>
                        <w:rPr>
                          <w:rFonts w:cs="Arial"/>
                          <w:lang w:val="fr-FR"/>
                        </w:rPr>
                      </w:pPr>
                      <w:r w:rsidRPr="00A8308E">
                        <w:rPr>
                          <w:rFonts w:cs="Arial"/>
                          <w:lang w:val="fr-FR"/>
                        </w:rPr>
                        <w:t xml:space="preserve">Les projets de </w:t>
                      </w:r>
                      <w:r>
                        <w:rPr>
                          <w:rFonts w:cs="Arial"/>
                          <w:lang w:val="fr-FR"/>
                        </w:rPr>
                        <w:t>D</w:t>
                      </w:r>
                      <w:r w:rsidRPr="00A8308E">
                        <w:rPr>
                          <w:rFonts w:cs="Arial"/>
                          <w:lang w:val="fr-FR"/>
                        </w:rPr>
                        <w:t>écision</w:t>
                      </w:r>
                      <w:r>
                        <w:rPr>
                          <w:rFonts w:cs="Arial"/>
                          <w:lang w:val="fr-FR"/>
                        </w:rPr>
                        <w:t>s</w:t>
                      </w:r>
                      <w:r w:rsidRPr="00A8308E">
                        <w:rPr>
                          <w:rFonts w:cs="Arial"/>
                          <w:lang w:val="fr-FR"/>
                        </w:rPr>
                        <w:t xml:space="preserve"> sur les sujets susmentionnés sont présentés à l'</w:t>
                      </w:r>
                      <w:r>
                        <w:rPr>
                          <w:rFonts w:cs="Arial"/>
                          <w:lang w:val="fr-FR"/>
                        </w:rPr>
                        <w:t>A</w:t>
                      </w:r>
                      <w:r w:rsidRPr="00A8308E">
                        <w:rPr>
                          <w:rFonts w:cs="Arial"/>
                          <w:lang w:val="fr-FR"/>
                        </w:rPr>
                        <w:t>nnexe 2.</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98242A" w:rsidRPr="0098242A" w:rsidRDefault="0098242A" w:rsidP="0098242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98242A">
        <w:rPr>
          <w:rFonts w:eastAsia="Times New Roman" w:cs="Arial"/>
          <w:b/>
          <w:lang w:val="fr-FR"/>
        </w:rPr>
        <w:lastRenderedPageBreak/>
        <w:t>PROGRAMME DE TRAVAIL MONDIAL POUR LES CÉTACÉS</w:t>
      </w:r>
    </w:p>
    <w:p w:rsidR="0098242A" w:rsidRPr="0098242A" w:rsidRDefault="0098242A" w:rsidP="0098242A">
      <w:pPr>
        <w:suppressAutoHyphens/>
        <w:autoSpaceDN w:val="0"/>
        <w:spacing w:after="0" w:line="240" w:lineRule="auto"/>
        <w:textAlignment w:val="baseline"/>
        <w:rPr>
          <w:rFonts w:eastAsia="Calibri" w:cs="Arial"/>
          <w:lang w:val="fr-FR"/>
        </w:rPr>
      </w:pPr>
    </w:p>
    <w:p w:rsidR="0098242A" w:rsidRPr="0098242A" w:rsidRDefault="0098242A" w:rsidP="0098242A">
      <w:pPr>
        <w:suppressAutoHyphens/>
        <w:autoSpaceDN w:val="0"/>
        <w:spacing w:after="0" w:line="240" w:lineRule="auto"/>
        <w:textAlignment w:val="baseline"/>
        <w:rPr>
          <w:rFonts w:eastAsia="Calibri" w:cs="Arial"/>
          <w:lang w:val="fr-FR"/>
        </w:rPr>
      </w:pPr>
    </w:p>
    <w:p w:rsidR="0098242A" w:rsidRDefault="0098242A" w:rsidP="0098242A">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98242A" w:rsidRDefault="0098242A" w:rsidP="0098242A">
      <w:pPr>
        <w:spacing w:after="0" w:line="240" w:lineRule="auto"/>
      </w:pPr>
    </w:p>
    <w:p w:rsidR="0098242A" w:rsidRPr="0098242A" w:rsidRDefault="0098242A" w:rsidP="0098242A">
      <w:pPr>
        <w:pStyle w:val="ListParagraph"/>
        <w:numPr>
          <w:ilvl w:val="0"/>
          <w:numId w:val="8"/>
        </w:numPr>
        <w:spacing w:after="0" w:line="240" w:lineRule="auto"/>
        <w:ind w:left="540" w:hanging="540"/>
        <w:rPr>
          <w:lang w:val="fr-FR"/>
        </w:rPr>
      </w:pPr>
      <w:r w:rsidRPr="0098242A">
        <w:rPr>
          <w:lang w:val="fr-FR"/>
        </w:rPr>
        <w:t>Lors de sa 12</w:t>
      </w:r>
      <w:r w:rsidRPr="0098242A">
        <w:rPr>
          <w:vertAlign w:val="superscript"/>
          <w:lang w:val="fr-FR"/>
        </w:rPr>
        <w:t>e</w:t>
      </w:r>
      <w:r w:rsidRPr="0098242A">
        <w:rPr>
          <w:lang w:val="fr-FR"/>
        </w:rPr>
        <w:t xml:space="preserve"> réunion (COP12, Manille, 2017), la Conférence des parties a adopté la </w:t>
      </w:r>
      <w:r w:rsidR="00A8308E">
        <w:rPr>
          <w:lang w:val="fr-FR"/>
        </w:rPr>
        <w:t>D</w:t>
      </w:r>
      <w:r w:rsidRPr="0098242A">
        <w:rPr>
          <w:lang w:val="fr-FR"/>
        </w:rPr>
        <w:t xml:space="preserve">écision 12.16 </w:t>
      </w:r>
      <w:r w:rsidRPr="00A8308E">
        <w:rPr>
          <w:i/>
          <w:lang w:val="fr-FR"/>
        </w:rPr>
        <w:t>Programme de travail mondial de la CMS pour les cétacés (2012-2024)</w:t>
      </w:r>
      <w:r w:rsidRPr="00A8308E">
        <w:rPr>
          <w:lang w:val="fr-FR"/>
        </w:rPr>
        <w:t> :</w:t>
      </w:r>
      <w:r w:rsidRPr="0098242A">
        <w:rPr>
          <w:lang w:val="fr-FR"/>
        </w:rPr>
        <w:t xml:space="preserve">  </w:t>
      </w:r>
    </w:p>
    <w:p w:rsidR="0098242A" w:rsidRPr="0098242A" w:rsidRDefault="0098242A" w:rsidP="0098242A">
      <w:pPr>
        <w:pStyle w:val="ListParagraph"/>
        <w:spacing w:after="0" w:line="240" w:lineRule="auto"/>
        <w:ind w:left="540"/>
        <w:rPr>
          <w:lang w:val="fr-FR"/>
        </w:rPr>
      </w:pPr>
    </w:p>
    <w:p w:rsidR="0098242A" w:rsidRPr="00A8308E" w:rsidRDefault="00A8308E" w:rsidP="0098242A">
      <w:pPr>
        <w:pStyle w:val="ListParagraph"/>
        <w:spacing w:after="0" w:line="240" w:lineRule="auto"/>
        <w:ind w:left="540"/>
        <w:rPr>
          <w:b/>
          <w:i/>
          <w:sz w:val="20"/>
          <w:szCs w:val="20"/>
          <w:lang w:val="fr-FR"/>
        </w:rPr>
      </w:pPr>
      <w:r w:rsidRPr="00A8308E">
        <w:rPr>
          <w:b/>
          <w:i/>
          <w:sz w:val="20"/>
          <w:szCs w:val="20"/>
          <w:lang w:val="fr-FR"/>
        </w:rPr>
        <w:t>12.16 Adressé au</w:t>
      </w:r>
      <w:r w:rsidR="0098242A" w:rsidRPr="00A8308E">
        <w:rPr>
          <w:b/>
          <w:i/>
          <w:sz w:val="20"/>
          <w:szCs w:val="20"/>
          <w:lang w:val="fr-FR"/>
        </w:rPr>
        <w:t xml:space="preserve"> Conseil scientifique</w:t>
      </w:r>
    </w:p>
    <w:p w:rsidR="0098242A" w:rsidRPr="00A8308E" w:rsidRDefault="0098242A" w:rsidP="0098242A">
      <w:pPr>
        <w:pStyle w:val="ListParagraph"/>
        <w:spacing w:after="0" w:line="240" w:lineRule="auto"/>
        <w:ind w:left="540"/>
        <w:rPr>
          <w:lang w:val="fr-FR"/>
        </w:rPr>
      </w:pPr>
    </w:p>
    <w:p w:rsidR="0098242A" w:rsidRPr="00A8308E" w:rsidRDefault="0098242A" w:rsidP="00A8308E">
      <w:pPr>
        <w:spacing w:after="0" w:line="240" w:lineRule="auto"/>
        <w:ind w:left="1134"/>
        <w:jc w:val="both"/>
        <w:rPr>
          <w:i/>
          <w:sz w:val="20"/>
          <w:szCs w:val="20"/>
          <w:lang w:val="fr-FR"/>
        </w:rPr>
      </w:pPr>
      <w:bookmarkStart w:id="0" w:name="_Hlk19541379"/>
      <w:r w:rsidRPr="00A8308E">
        <w:rPr>
          <w:i/>
          <w:sz w:val="20"/>
          <w:szCs w:val="20"/>
          <w:lang w:val="fr-FR"/>
        </w:rPr>
        <w:t>Sous réserve de la disponibilité des ressources, le Conseil scientifique devrait examiner les menaces pesant au niveau régional sur les mammifères marins inscrits aux annexes de la CMS non inclus dans le Programme de travail pour les Cétacés et préparer pour la 13e réunion de la conférence des parties une évaluation rigoureuse des menaces et des priorités régionales ainsi que des programmes de travail similaires pour d’autres espèces de mammifères marins.</w:t>
      </w:r>
    </w:p>
    <w:bookmarkEnd w:id="0"/>
    <w:p w:rsidR="0098242A" w:rsidRPr="00A8308E" w:rsidRDefault="0098242A" w:rsidP="0098242A">
      <w:pPr>
        <w:pStyle w:val="ListParagraph"/>
        <w:spacing w:after="0" w:line="240" w:lineRule="auto"/>
        <w:ind w:left="540"/>
        <w:rPr>
          <w:lang w:val="fr-FR"/>
        </w:rPr>
      </w:pPr>
    </w:p>
    <w:p w:rsidR="0098242A" w:rsidRPr="00A8308E" w:rsidRDefault="0098242A" w:rsidP="00A8308E">
      <w:pPr>
        <w:pStyle w:val="ListParagraph"/>
        <w:numPr>
          <w:ilvl w:val="0"/>
          <w:numId w:val="8"/>
        </w:numPr>
        <w:spacing w:after="0" w:line="240" w:lineRule="auto"/>
        <w:ind w:left="540" w:hanging="540"/>
        <w:jc w:val="both"/>
        <w:rPr>
          <w:lang w:val="fr-FR"/>
        </w:rPr>
      </w:pPr>
      <w:r w:rsidRPr="0098242A">
        <w:rPr>
          <w:lang w:val="fr-FR"/>
        </w:rPr>
        <w:t xml:space="preserve">En outre, la </w:t>
      </w:r>
      <w:r w:rsidR="00A8308E">
        <w:rPr>
          <w:lang w:val="fr-FR"/>
        </w:rPr>
        <w:t>D</w:t>
      </w:r>
      <w:r w:rsidRPr="0098242A">
        <w:rPr>
          <w:lang w:val="fr-FR"/>
        </w:rPr>
        <w:t xml:space="preserve">écision 12.51 f), bien qu’elle ait été, à l’origine, enregistrée sous le titre </w:t>
      </w:r>
      <w:r w:rsidRPr="00A8308E">
        <w:rPr>
          <w:i/>
          <w:lang w:val="fr-FR"/>
        </w:rPr>
        <w:t xml:space="preserve">Interaction récréative dans l’eau avec des mammifères </w:t>
      </w:r>
      <w:r w:rsidR="00A8308E">
        <w:rPr>
          <w:i/>
          <w:lang w:val="fr-FR"/>
        </w:rPr>
        <w:t>marins</w:t>
      </w:r>
      <w:r w:rsidRPr="0098242A">
        <w:rPr>
          <w:lang w:val="fr-FR"/>
        </w:rPr>
        <w:t xml:space="preserve">, est traitée de manière plus logique en liaison avec le </w:t>
      </w:r>
      <w:r w:rsidRPr="00A8308E">
        <w:rPr>
          <w:lang w:val="fr-FR"/>
        </w:rPr>
        <w:t xml:space="preserve">Programme de travail mondial pour les cétacés. Elle définit ce qui suit : </w:t>
      </w:r>
    </w:p>
    <w:p w:rsidR="0098242A" w:rsidRPr="00A8308E" w:rsidRDefault="0098242A" w:rsidP="00A8308E">
      <w:pPr>
        <w:pStyle w:val="ListParagraph"/>
        <w:spacing w:after="0" w:line="240" w:lineRule="auto"/>
        <w:ind w:left="540"/>
        <w:jc w:val="both"/>
        <w:rPr>
          <w:lang w:val="fr-FR"/>
        </w:rPr>
      </w:pPr>
    </w:p>
    <w:p w:rsidR="0098242A" w:rsidRPr="00A8308E" w:rsidRDefault="00A8308E" w:rsidP="0098242A">
      <w:pPr>
        <w:pStyle w:val="ListParagraph"/>
        <w:spacing w:after="0" w:line="240" w:lineRule="auto"/>
        <w:ind w:left="540"/>
        <w:rPr>
          <w:b/>
          <w:i/>
          <w:sz w:val="20"/>
          <w:szCs w:val="20"/>
          <w:lang w:val="fr-FR"/>
        </w:rPr>
      </w:pPr>
      <w:r w:rsidRPr="00A8308E">
        <w:rPr>
          <w:b/>
          <w:i/>
          <w:sz w:val="20"/>
          <w:szCs w:val="20"/>
          <w:lang w:val="fr-FR"/>
        </w:rPr>
        <w:t>12.51 f) Adressé au</w:t>
      </w:r>
      <w:r w:rsidR="0098242A" w:rsidRPr="00A8308E">
        <w:rPr>
          <w:b/>
          <w:i/>
          <w:sz w:val="20"/>
          <w:szCs w:val="20"/>
          <w:lang w:val="fr-FR"/>
        </w:rPr>
        <w:t xml:space="preserve"> Conseil scientifique</w:t>
      </w:r>
    </w:p>
    <w:p w:rsidR="0098242A" w:rsidRPr="00A8308E" w:rsidRDefault="0098242A" w:rsidP="0098242A">
      <w:pPr>
        <w:pStyle w:val="ListParagraph"/>
        <w:spacing w:after="0" w:line="240" w:lineRule="auto"/>
        <w:ind w:left="540"/>
        <w:rPr>
          <w:sz w:val="20"/>
          <w:szCs w:val="20"/>
          <w:lang w:val="fr-FR"/>
        </w:rPr>
      </w:pPr>
    </w:p>
    <w:p w:rsidR="0098242A" w:rsidRDefault="0098242A" w:rsidP="00A8308E">
      <w:pPr>
        <w:pStyle w:val="ListParagraph"/>
        <w:spacing w:after="0" w:line="240" w:lineRule="auto"/>
        <w:ind w:left="1418"/>
        <w:jc w:val="both"/>
        <w:rPr>
          <w:i/>
          <w:sz w:val="20"/>
          <w:szCs w:val="20"/>
          <w:lang w:val="fr-FR"/>
        </w:rPr>
      </w:pPr>
      <w:r w:rsidRPr="00A8308E">
        <w:rPr>
          <w:i/>
          <w:sz w:val="20"/>
          <w:szCs w:val="20"/>
          <w:lang w:val="fr-FR"/>
        </w:rPr>
        <w:t xml:space="preserve">Le Conseil scientifique devrait considérer, à la lumière de la série technique CMS n° 33 Cétacés de la mer Rouge, lancée à la 12e session de la conférence des parties, comment faire progresser la conservation des cétacés dans la région de la mer Rouge, en tenant compte de toutes les menaces, et faire rapport à ce sujet à la 13e session de la conférence des parties.       </w:t>
      </w:r>
    </w:p>
    <w:p w:rsidR="00BA57BE" w:rsidRPr="00BA57BE" w:rsidRDefault="00BA57BE" w:rsidP="00BA57BE">
      <w:pPr>
        <w:spacing w:after="0" w:line="240" w:lineRule="auto"/>
        <w:jc w:val="both"/>
        <w:rPr>
          <w:i/>
          <w:lang w:val="fr-FR"/>
        </w:rPr>
      </w:pPr>
    </w:p>
    <w:p w:rsidR="006C1BC0" w:rsidRDefault="00BA57BE" w:rsidP="006C1BC0">
      <w:pPr>
        <w:pStyle w:val="Firstnumbering"/>
        <w:ind w:left="567" w:hanging="567"/>
        <w:rPr>
          <w:rFonts w:cs="Arial"/>
          <w:lang w:eastAsia="fr-FR" w:bidi="fr-FR"/>
        </w:rPr>
      </w:pPr>
      <w:r w:rsidRPr="00BA57BE">
        <w:t xml:space="preserve">De plus, la Résolution 12.17 </w:t>
      </w:r>
      <w:r w:rsidRPr="006323F7">
        <w:rPr>
          <w:i/>
          <w:lang w:eastAsia="fr-FR" w:bidi="fr-FR"/>
        </w:rPr>
        <w:t>Conservation et gestion des baleines et de leurs habitats dans l</w:t>
      </w:r>
      <w:r w:rsidR="006C1BC0" w:rsidRPr="006323F7">
        <w:rPr>
          <w:i/>
          <w:lang w:eastAsia="fr-FR" w:bidi="fr-FR"/>
        </w:rPr>
        <w:t xml:space="preserve">a </w:t>
      </w:r>
      <w:r w:rsidRPr="006323F7">
        <w:rPr>
          <w:i/>
          <w:lang w:eastAsia="fr-FR" w:bidi="fr-FR"/>
        </w:rPr>
        <w:t>région de l'Atlantique sud</w:t>
      </w:r>
      <w:r w:rsidRPr="00BA57BE">
        <w:rPr>
          <w:lang w:eastAsia="fr-FR" w:bidi="fr-FR"/>
        </w:rPr>
        <w:t xml:space="preserve"> dans le paragraphe 5</w:t>
      </w:r>
      <w:r w:rsidR="006C1BC0">
        <w:rPr>
          <w:lang w:eastAsia="fr-FR" w:bidi="fr-FR"/>
        </w:rPr>
        <w:t> </w:t>
      </w:r>
      <w:r w:rsidR="006C1BC0">
        <w:rPr>
          <w:rFonts w:cs="Arial"/>
          <w:lang w:eastAsia="fr-FR" w:bidi="fr-FR"/>
        </w:rPr>
        <w:t>:</w:t>
      </w:r>
    </w:p>
    <w:p w:rsidR="006C1BC0" w:rsidRDefault="006C1BC0" w:rsidP="006C1BC0">
      <w:pPr>
        <w:pStyle w:val="Firstnumbering"/>
        <w:numPr>
          <w:ilvl w:val="0"/>
          <w:numId w:val="0"/>
        </w:numPr>
        <w:ind w:left="567"/>
        <w:rPr>
          <w:rFonts w:cs="Arial"/>
          <w:lang w:eastAsia="fr-FR" w:bidi="fr-FR"/>
        </w:rPr>
      </w:pPr>
    </w:p>
    <w:p w:rsidR="006C1BC0" w:rsidRPr="006C1BC0" w:rsidRDefault="00BA57BE" w:rsidP="006C1BC0">
      <w:pPr>
        <w:pBdr>
          <w:top w:val="single" w:sz="6" w:space="0" w:color="FFFFFF"/>
          <w:left w:val="single" w:sz="6" w:space="0" w:color="FFFFFF"/>
          <w:bottom w:val="single" w:sz="6" w:space="0" w:color="FFFFFF"/>
          <w:right w:val="single" w:sz="6" w:space="0" w:color="FFFFFF"/>
        </w:pBdr>
        <w:spacing w:after="0" w:line="240" w:lineRule="auto"/>
        <w:ind w:left="1418"/>
        <w:jc w:val="both"/>
        <w:outlineLvl w:val="1"/>
        <w:rPr>
          <w:rFonts w:cs="Arial"/>
          <w:i/>
          <w:sz w:val="20"/>
          <w:szCs w:val="20"/>
          <w:lang w:val="fr-FR" w:eastAsia="fr-FR" w:bidi="fr-FR"/>
        </w:rPr>
      </w:pPr>
      <w:r w:rsidRPr="006C1BC0">
        <w:rPr>
          <w:rFonts w:cs="Arial"/>
          <w:i/>
          <w:sz w:val="20"/>
          <w:szCs w:val="20"/>
          <w:lang w:val="fr-FR" w:eastAsia="fr-FR" w:bidi="fr-FR"/>
        </w:rPr>
        <w:t xml:space="preserve">Prie le Secrétariat et le Conseil scientifique de collaborer avec les Comités scientifiques et de conservation de la Commission baleinière internationale pour mieux faire comprendre la contribution des cétacés au fonctionnement des écosystèmes marins, notamment en </w:t>
      </w:r>
      <w:proofErr w:type="spellStart"/>
      <w:r w:rsidRPr="006C1BC0">
        <w:rPr>
          <w:rFonts w:cs="Arial"/>
          <w:i/>
          <w:sz w:val="20"/>
          <w:szCs w:val="20"/>
          <w:lang w:val="fr-FR" w:eastAsia="fr-FR" w:bidi="fr-FR"/>
        </w:rPr>
        <w:t>co-organisant</w:t>
      </w:r>
      <w:proofErr w:type="spellEnd"/>
      <w:r w:rsidRPr="006C1BC0">
        <w:rPr>
          <w:rFonts w:cs="Arial"/>
          <w:i/>
          <w:sz w:val="20"/>
          <w:szCs w:val="20"/>
          <w:lang w:val="fr-FR" w:eastAsia="fr-FR" w:bidi="fr-FR"/>
        </w:rPr>
        <w:t xml:space="preserve"> un atelier pour examiner les données existantes et la recherche et identifier les opportunités d'élargir ce travail</w:t>
      </w:r>
    </w:p>
    <w:p w:rsidR="006C1BC0" w:rsidRDefault="006C1BC0" w:rsidP="0098242A">
      <w:pPr>
        <w:spacing w:after="0" w:line="240" w:lineRule="auto"/>
        <w:rPr>
          <w:lang w:val="fr-FR"/>
        </w:rPr>
      </w:pPr>
    </w:p>
    <w:p w:rsidR="0098242A" w:rsidRPr="006C1BC0" w:rsidRDefault="0098242A" w:rsidP="0098242A">
      <w:pPr>
        <w:spacing w:after="0" w:line="240" w:lineRule="auto"/>
        <w:rPr>
          <w:u w:val="single"/>
          <w:lang w:val="fr-FR"/>
        </w:rPr>
      </w:pPr>
      <w:r w:rsidRPr="006C1BC0">
        <w:rPr>
          <w:u w:val="single"/>
          <w:lang w:val="fr-FR"/>
        </w:rPr>
        <w:t xml:space="preserve">Mise en œuvre des </w:t>
      </w:r>
      <w:r w:rsidR="006C1BC0">
        <w:rPr>
          <w:u w:val="single"/>
          <w:lang w:val="fr-FR"/>
        </w:rPr>
        <w:t>D</w:t>
      </w:r>
      <w:r w:rsidRPr="006C1BC0">
        <w:rPr>
          <w:u w:val="single"/>
          <w:lang w:val="fr-FR"/>
        </w:rPr>
        <w:t xml:space="preserve">écisions 12.16 et 12.51 f) </w:t>
      </w:r>
    </w:p>
    <w:p w:rsidR="0098242A" w:rsidRPr="0098242A" w:rsidRDefault="0098242A" w:rsidP="0098242A">
      <w:pPr>
        <w:pStyle w:val="ListParagraph"/>
        <w:spacing w:after="0" w:line="240" w:lineRule="auto"/>
        <w:ind w:left="540"/>
        <w:rPr>
          <w:lang w:val="fr-FR"/>
        </w:rPr>
      </w:pPr>
    </w:p>
    <w:p w:rsidR="0098242A" w:rsidRPr="00A8308E" w:rsidRDefault="0098242A" w:rsidP="006C1BC0">
      <w:pPr>
        <w:pStyle w:val="ListParagraph"/>
        <w:numPr>
          <w:ilvl w:val="0"/>
          <w:numId w:val="17"/>
        </w:numPr>
        <w:spacing w:after="0" w:line="240" w:lineRule="auto"/>
        <w:ind w:left="567" w:hanging="567"/>
        <w:jc w:val="both"/>
        <w:rPr>
          <w:lang w:val="fr-FR"/>
        </w:rPr>
      </w:pPr>
      <w:r w:rsidRPr="0098242A">
        <w:rPr>
          <w:lang w:val="fr-FR"/>
        </w:rPr>
        <w:t>En raison du manque de capacité et de ressources, la mise en œuvre de la décision 12.16 n’a pas progressé. Il est recommandé de poursuivre l’action et de dégager des fonds pour soutenir sa mise en œuvre.</w:t>
      </w:r>
    </w:p>
    <w:p w:rsidR="0098242A" w:rsidRPr="00A8308E" w:rsidRDefault="0098242A" w:rsidP="006C1BC0">
      <w:pPr>
        <w:pStyle w:val="ListParagraph"/>
        <w:spacing w:after="0" w:line="240" w:lineRule="auto"/>
        <w:ind w:left="540"/>
        <w:jc w:val="both"/>
        <w:rPr>
          <w:lang w:val="fr-FR"/>
        </w:rPr>
      </w:pPr>
    </w:p>
    <w:p w:rsidR="0098242A" w:rsidRPr="00A8308E" w:rsidRDefault="0098242A" w:rsidP="006C1BC0">
      <w:pPr>
        <w:pStyle w:val="ListParagraph"/>
        <w:numPr>
          <w:ilvl w:val="0"/>
          <w:numId w:val="17"/>
        </w:numPr>
        <w:spacing w:after="0" w:line="240" w:lineRule="auto"/>
        <w:ind w:left="540" w:hanging="540"/>
        <w:jc w:val="both"/>
        <w:rPr>
          <w:lang w:val="fr-FR"/>
        </w:rPr>
      </w:pPr>
      <w:r w:rsidRPr="00A8308E">
        <w:rPr>
          <w:lang w:val="fr-FR"/>
        </w:rPr>
        <w:t xml:space="preserve">En application de la </w:t>
      </w:r>
      <w:r w:rsidR="006C1BC0">
        <w:rPr>
          <w:lang w:val="fr-FR"/>
        </w:rPr>
        <w:t>D</w:t>
      </w:r>
      <w:r w:rsidRPr="00A8308E">
        <w:rPr>
          <w:lang w:val="fr-FR"/>
        </w:rPr>
        <w:t xml:space="preserve">écision 12.51 f), le conseiller nommé pour les mammifères aquatiques a facilité l’élaboration du rapport figurant à l’annexe 1 du présent document. Il fournit un aperçu complet des problèmes qui affectent les cétacés de la mer Rouge et formule des recommandations sur la manière de les résoudre. </w:t>
      </w:r>
    </w:p>
    <w:p w:rsidR="0098242A" w:rsidRPr="00A8308E" w:rsidRDefault="0098242A" w:rsidP="006C1BC0">
      <w:pPr>
        <w:pStyle w:val="ListParagraph"/>
        <w:jc w:val="both"/>
        <w:rPr>
          <w:lang w:val="fr-FR"/>
        </w:rPr>
      </w:pPr>
    </w:p>
    <w:p w:rsidR="0098242A" w:rsidRPr="00A8308E" w:rsidRDefault="0098242A" w:rsidP="006C1BC0">
      <w:pPr>
        <w:pStyle w:val="ListParagraph"/>
        <w:numPr>
          <w:ilvl w:val="0"/>
          <w:numId w:val="17"/>
        </w:numPr>
        <w:spacing w:after="0" w:line="240" w:lineRule="auto"/>
        <w:ind w:left="540" w:hanging="540"/>
        <w:jc w:val="both"/>
        <w:rPr>
          <w:lang w:val="fr-FR"/>
        </w:rPr>
      </w:pPr>
      <w:r w:rsidRPr="00A8308E">
        <w:rPr>
          <w:lang w:val="fr-FR"/>
        </w:rPr>
        <w:t xml:space="preserve">À l’appui de cette </w:t>
      </w:r>
      <w:r w:rsidR="006C1BC0">
        <w:rPr>
          <w:lang w:val="fr-FR"/>
        </w:rPr>
        <w:t>D</w:t>
      </w:r>
      <w:r w:rsidRPr="00A8308E">
        <w:rPr>
          <w:lang w:val="fr-FR"/>
        </w:rPr>
        <w:t xml:space="preserve">écision, le Secrétariat de la CMS a contacté </w:t>
      </w:r>
      <w:r w:rsidRPr="0098242A">
        <w:rPr>
          <w:lang w:val="fr-FR"/>
        </w:rPr>
        <w:t>le Secrétariat de l’Organisation régionale pour la conservation de l’environnement dans la mer Rouge et le golfe d’Aden (PERSGA) en février 2019, pour s’informer des possibilités de coopération dans ce domaine.   Des activités de communication supplémentaires, notamment par le biais du Bureau régional pour l’Asie occidentale du Programme des Nations Unies pour l’</w:t>
      </w:r>
      <w:r w:rsidR="006C1BC0">
        <w:rPr>
          <w:lang w:val="fr-FR"/>
        </w:rPr>
        <w:t>E</w:t>
      </w:r>
      <w:r w:rsidRPr="0098242A">
        <w:rPr>
          <w:lang w:val="fr-FR"/>
        </w:rPr>
        <w:t xml:space="preserve">nvironnement, sont prévues.    </w:t>
      </w:r>
    </w:p>
    <w:p w:rsidR="006C1BC0" w:rsidRDefault="006C1BC0" w:rsidP="0098242A">
      <w:pPr>
        <w:spacing w:after="0" w:line="240" w:lineRule="auto"/>
        <w:rPr>
          <w:lang w:val="fr-FR"/>
        </w:rPr>
      </w:pPr>
      <w:r>
        <w:rPr>
          <w:lang w:val="fr-FR"/>
        </w:rPr>
        <w:br w:type="page"/>
      </w:r>
    </w:p>
    <w:p w:rsidR="0098242A" w:rsidRDefault="0098242A" w:rsidP="0098242A">
      <w:pPr>
        <w:spacing w:after="0" w:line="240" w:lineRule="auto"/>
        <w:rPr>
          <w:lang w:val="fr-FR"/>
        </w:rPr>
      </w:pPr>
    </w:p>
    <w:p w:rsidR="006C1BC0" w:rsidRPr="006C1BC0" w:rsidRDefault="006C1BC0" w:rsidP="006C1BC0">
      <w:pPr>
        <w:spacing w:after="0" w:line="240" w:lineRule="auto"/>
        <w:rPr>
          <w:u w:val="single"/>
          <w:lang w:val="fr-FR"/>
        </w:rPr>
      </w:pPr>
      <w:r w:rsidRPr="006C1BC0">
        <w:rPr>
          <w:u w:val="single"/>
          <w:lang w:val="fr-FR"/>
        </w:rPr>
        <w:t>Collaboration avec la Commission baleinière internationale (CBI) sur le rôle des cétacés dans le fonctionnement des écosystèmes</w:t>
      </w:r>
    </w:p>
    <w:p w:rsidR="006C1BC0" w:rsidRPr="006C1BC0" w:rsidRDefault="006C1BC0" w:rsidP="006C1BC0">
      <w:pPr>
        <w:spacing w:after="0" w:line="240" w:lineRule="auto"/>
        <w:rPr>
          <w:lang w:val="fr-FR"/>
        </w:rPr>
      </w:pPr>
    </w:p>
    <w:p w:rsidR="006C1BC0" w:rsidRPr="006C1BC0" w:rsidRDefault="006C1BC0" w:rsidP="006C1BC0">
      <w:pPr>
        <w:spacing w:after="0" w:line="240" w:lineRule="auto"/>
        <w:ind w:left="567" w:hanging="567"/>
        <w:jc w:val="both"/>
        <w:rPr>
          <w:lang w:val="fr-FR"/>
        </w:rPr>
      </w:pPr>
      <w:r w:rsidRPr="006C1BC0">
        <w:rPr>
          <w:lang w:val="fr-FR"/>
        </w:rPr>
        <w:t>7.</w:t>
      </w:r>
      <w:r w:rsidRPr="006C1BC0">
        <w:rPr>
          <w:lang w:val="fr-FR"/>
        </w:rPr>
        <w:tab/>
        <w:t>Lors de sa 67</w:t>
      </w:r>
      <w:r w:rsidRPr="006C1BC0">
        <w:rPr>
          <w:vertAlign w:val="superscript"/>
          <w:lang w:val="fr-FR"/>
        </w:rPr>
        <w:t>e</w:t>
      </w:r>
      <w:r w:rsidRPr="006C1BC0">
        <w:rPr>
          <w:lang w:val="fr-FR"/>
        </w:rPr>
        <w:t xml:space="preserve"> réunion en 2018, la Commission baleinière internationale a adopté la Résolution 2018-2 faisant progresser les travaux de la Commission sur le rôle des cétacés dans le fonctionnement de l'écosystème</w:t>
      </w:r>
      <w:r>
        <w:rPr>
          <w:lang w:val="fr-FR"/>
        </w:rPr>
        <w:t xml:space="preserve"> ( </w:t>
      </w:r>
      <w:proofErr w:type="spellStart"/>
      <w:r w:rsidRPr="006323F7">
        <w:rPr>
          <w:i/>
          <w:lang w:val="fr-FR"/>
        </w:rPr>
        <w:t>Advancing</w:t>
      </w:r>
      <w:proofErr w:type="spellEnd"/>
      <w:r w:rsidRPr="006323F7">
        <w:rPr>
          <w:i/>
          <w:lang w:val="fr-FR"/>
        </w:rPr>
        <w:t xml:space="preserve"> the </w:t>
      </w:r>
      <w:proofErr w:type="spellStart"/>
      <w:r w:rsidRPr="006323F7">
        <w:rPr>
          <w:i/>
          <w:lang w:val="fr-FR"/>
        </w:rPr>
        <w:t>Commission’s</w:t>
      </w:r>
      <w:proofErr w:type="spellEnd"/>
      <w:r w:rsidRPr="006323F7">
        <w:rPr>
          <w:i/>
          <w:lang w:val="fr-FR"/>
        </w:rPr>
        <w:t xml:space="preserve"> Work on the </w:t>
      </w:r>
      <w:proofErr w:type="spellStart"/>
      <w:r w:rsidRPr="006323F7">
        <w:rPr>
          <w:i/>
          <w:lang w:val="fr-FR"/>
        </w:rPr>
        <w:t>Role</w:t>
      </w:r>
      <w:proofErr w:type="spellEnd"/>
      <w:r w:rsidRPr="006323F7">
        <w:rPr>
          <w:i/>
          <w:lang w:val="fr-FR"/>
        </w:rPr>
        <w:t xml:space="preserve"> of </w:t>
      </w:r>
      <w:proofErr w:type="spellStart"/>
      <w:r w:rsidRPr="006323F7">
        <w:rPr>
          <w:i/>
          <w:lang w:val="fr-FR"/>
        </w:rPr>
        <w:t>Cetaceans</w:t>
      </w:r>
      <w:proofErr w:type="spellEnd"/>
      <w:r w:rsidRPr="006323F7">
        <w:rPr>
          <w:i/>
          <w:lang w:val="fr-FR"/>
        </w:rPr>
        <w:t xml:space="preserve"> in the </w:t>
      </w:r>
      <w:proofErr w:type="spellStart"/>
      <w:r w:rsidRPr="006323F7">
        <w:rPr>
          <w:i/>
          <w:lang w:val="fr-FR"/>
        </w:rPr>
        <w:t>Ecosystem</w:t>
      </w:r>
      <w:proofErr w:type="spellEnd"/>
      <w:r w:rsidRPr="006323F7">
        <w:rPr>
          <w:i/>
          <w:lang w:val="fr-FR"/>
        </w:rPr>
        <w:t xml:space="preserve"> </w:t>
      </w:r>
      <w:proofErr w:type="spellStart"/>
      <w:r w:rsidRPr="006323F7">
        <w:rPr>
          <w:i/>
          <w:lang w:val="fr-FR"/>
        </w:rPr>
        <w:t>Functioning</w:t>
      </w:r>
      <w:proofErr w:type="spellEnd"/>
      <w:r w:rsidRPr="006323F7">
        <w:rPr>
          <w:lang w:val="fr-FR"/>
        </w:rPr>
        <w:t>)</w:t>
      </w:r>
      <w:r>
        <w:rPr>
          <w:lang w:val="fr-FR"/>
        </w:rPr>
        <w:t xml:space="preserve"> </w:t>
      </w:r>
      <w:r w:rsidRPr="006C1BC0">
        <w:rPr>
          <w:vertAlign w:val="superscript"/>
          <w:lang w:val="fr-FR"/>
        </w:rPr>
        <w:footnoteReference w:id="1"/>
      </w:r>
      <w:r w:rsidRPr="006C1BC0">
        <w:rPr>
          <w:vertAlign w:val="superscript"/>
          <w:lang w:val="fr-FR"/>
        </w:rPr>
        <w:t>.</w:t>
      </w:r>
      <w:r w:rsidRPr="006C1BC0">
        <w:rPr>
          <w:lang w:val="fr-FR"/>
        </w:rPr>
        <w:t xml:space="preserve"> La résolution reconnaît l'augmentation des données scientifiques suggérant que les baleines améliorent la disponibilité des nutriments pour la production primaire. </w:t>
      </w:r>
      <w:r w:rsidR="006323F7">
        <w:rPr>
          <w:lang w:val="fr-FR"/>
        </w:rPr>
        <w:t>Elle</w:t>
      </w:r>
      <w:r w:rsidRPr="006C1BC0">
        <w:rPr>
          <w:lang w:val="fr-FR"/>
        </w:rPr>
        <w:t xml:space="preserve"> reconnaît la nécessité d'inclure dans les stratégies de gestion et la prise de décision en matière de conservation la prise en compte des contributions des cétacés vivants et des carcasses présentes dans l'océan au fonctionnement des écosystèmes marins. Les États membres de la CBI ont également décidé d'accroître la collaboration et la coopération avec les organisations gouvernementales et non gouvernementales, régionales et internationales.</w:t>
      </w:r>
    </w:p>
    <w:p w:rsidR="006C1BC0" w:rsidRPr="006C1BC0" w:rsidRDefault="006C1BC0" w:rsidP="006C1BC0">
      <w:pPr>
        <w:spacing w:after="0" w:line="240" w:lineRule="auto"/>
        <w:ind w:left="567" w:hanging="567"/>
        <w:jc w:val="both"/>
        <w:rPr>
          <w:lang w:val="fr-FR"/>
        </w:rPr>
      </w:pPr>
    </w:p>
    <w:p w:rsidR="006C1BC0" w:rsidRPr="006C1BC0" w:rsidRDefault="006C1BC0" w:rsidP="006C1BC0">
      <w:pPr>
        <w:spacing w:after="0" w:line="240" w:lineRule="auto"/>
        <w:ind w:left="567" w:hanging="567"/>
        <w:jc w:val="both"/>
        <w:rPr>
          <w:lang w:val="fr-FR"/>
        </w:rPr>
      </w:pPr>
      <w:r w:rsidRPr="006C1BC0">
        <w:rPr>
          <w:lang w:val="fr-FR"/>
        </w:rPr>
        <w:t>8.</w:t>
      </w:r>
      <w:r w:rsidRPr="006C1BC0">
        <w:rPr>
          <w:lang w:val="fr-FR"/>
        </w:rPr>
        <w:tab/>
        <w:t xml:space="preserve">Comme indiqué ci-dessus, le mandat donné au Conseil scientifique et au Secrétariat de collaborer sur cette question découle de la Résolution 12.17 </w:t>
      </w:r>
      <w:r w:rsidRPr="006323F7">
        <w:rPr>
          <w:i/>
          <w:lang w:val="fr-FR"/>
        </w:rPr>
        <w:t>Conservation et gestion des baleines et de leurs habitats dans la région de l'Atlantique Sud</w:t>
      </w:r>
      <w:r w:rsidRPr="006C1BC0">
        <w:rPr>
          <w:lang w:val="fr-FR"/>
        </w:rPr>
        <w:t xml:space="preserve"> et a donc une orientation régionale sur l'Atlantique Sud. Toutefois, les preuves scientifiques à prendre en considération ne se limitent pas à cette région. Par conséquent, il semble approprié que la CMS, lorsqu'elle s'engage avec la CBI sur ce sujet, suive l'approche globale utilisée par la CBI.</w:t>
      </w:r>
    </w:p>
    <w:p w:rsidR="006C1BC0" w:rsidRPr="006C1BC0" w:rsidRDefault="006C1BC0" w:rsidP="006C1BC0">
      <w:pPr>
        <w:spacing w:after="0" w:line="240" w:lineRule="auto"/>
        <w:ind w:left="567" w:hanging="567"/>
        <w:jc w:val="both"/>
        <w:rPr>
          <w:lang w:val="fr-FR"/>
        </w:rPr>
      </w:pPr>
    </w:p>
    <w:p w:rsidR="006C1BC0" w:rsidRPr="006C1BC0" w:rsidRDefault="006C1BC0" w:rsidP="006C1BC0">
      <w:pPr>
        <w:spacing w:after="0" w:line="240" w:lineRule="auto"/>
        <w:ind w:left="567" w:hanging="567"/>
        <w:jc w:val="both"/>
        <w:rPr>
          <w:lang w:val="fr-FR"/>
        </w:rPr>
      </w:pPr>
      <w:r w:rsidRPr="006C1BC0">
        <w:rPr>
          <w:lang w:val="fr-FR"/>
        </w:rPr>
        <w:t>9.</w:t>
      </w:r>
      <w:r w:rsidRPr="006C1BC0">
        <w:rPr>
          <w:lang w:val="fr-FR"/>
        </w:rPr>
        <w:tab/>
        <w:t xml:space="preserve">Le Secrétariat a assuré la liaison avec le Secrétariat de la CBI concernant la mise en œuvre de cette demande, et des mesures ont été prises en vue de l'organisation conjointe d'un atelier sur ce sujet. </w:t>
      </w:r>
    </w:p>
    <w:p w:rsidR="006C1BC0" w:rsidRPr="00A8308E" w:rsidRDefault="006C1BC0" w:rsidP="0098242A">
      <w:pPr>
        <w:spacing w:after="0" w:line="240" w:lineRule="auto"/>
        <w:rPr>
          <w:lang w:val="fr-FR"/>
        </w:rPr>
      </w:pPr>
    </w:p>
    <w:p w:rsidR="0098242A" w:rsidRPr="006323F7" w:rsidRDefault="0098242A" w:rsidP="0098242A">
      <w:pPr>
        <w:spacing w:after="0" w:line="240" w:lineRule="auto"/>
        <w:rPr>
          <w:u w:val="single"/>
          <w:lang w:val="fr-FR"/>
        </w:rPr>
      </w:pPr>
      <w:r w:rsidRPr="006323F7">
        <w:rPr>
          <w:u w:val="single"/>
          <w:lang w:val="fr-FR"/>
        </w:rPr>
        <w:t xml:space="preserve">Discussion et analyse </w:t>
      </w:r>
    </w:p>
    <w:p w:rsidR="0098242A" w:rsidRPr="00A8308E" w:rsidRDefault="0098242A" w:rsidP="0098242A">
      <w:pPr>
        <w:spacing w:after="0" w:line="240" w:lineRule="auto"/>
        <w:rPr>
          <w:lang w:val="fr-FR"/>
        </w:rPr>
      </w:pPr>
    </w:p>
    <w:p w:rsidR="007C161C" w:rsidRDefault="0098242A" w:rsidP="003313CE">
      <w:pPr>
        <w:pStyle w:val="ListParagraph"/>
        <w:numPr>
          <w:ilvl w:val="0"/>
          <w:numId w:val="18"/>
        </w:numPr>
        <w:spacing w:after="0" w:line="240" w:lineRule="auto"/>
        <w:ind w:left="540" w:hanging="567"/>
        <w:jc w:val="both"/>
        <w:rPr>
          <w:lang w:val="fr-FR"/>
        </w:rPr>
      </w:pPr>
      <w:r w:rsidRPr="007C161C">
        <w:rPr>
          <w:lang w:val="fr-FR"/>
        </w:rPr>
        <w:t xml:space="preserve">Les progrès réalisés dans l’évaluation de la situation des cétacés en mer Rouge, à la fois dans la </w:t>
      </w:r>
      <w:hyperlink r:id="rId8" w:history="1">
        <w:r w:rsidRPr="007C161C">
          <w:rPr>
            <w:rStyle w:val="Hyperlink"/>
            <w:lang w:val="fr-FR"/>
          </w:rPr>
          <w:t xml:space="preserve">série technique n° 33 sur les cétacés de la mer Rouge, </w:t>
        </w:r>
      </w:hyperlink>
      <w:r w:rsidR="006323F7" w:rsidRPr="007C161C">
        <w:rPr>
          <w:lang w:val="fr-FR"/>
        </w:rPr>
        <w:t xml:space="preserve"> pub</w:t>
      </w:r>
      <w:r w:rsidRPr="007C161C">
        <w:rPr>
          <w:lang w:val="fr-FR"/>
        </w:rPr>
        <w:t>liée en 2017, et maintenant avec l’examen des menaces dans la région présenté à l’</w:t>
      </w:r>
      <w:r w:rsidR="006323F7" w:rsidRPr="007C161C">
        <w:rPr>
          <w:lang w:val="fr-FR"/>
        </w:rPr>
        <w:t>A</w:t>
      </w:r>
      <w:r w:rsidRPr="007C161C">
        <w:rPr>
          <w:lang w:val="fr-FR"/>
        </w:rPr>
        <w:t xml:space="preserve">nnexe 1, correspondent bien avec les activités prévues au programme de travail mondial pour les cétacés, adopté dans la </w:t>
      </w:r>
    </w:p>
    <w:p w:rsidR="0098242A" w:rsidRDefault="00F15A9E" w:rsidP="007C161C">
      <w:pPr>
        <w:pStyle w:val="ListParagraph"/>
        <w:spacing w:after="0" w:line="240" w:lineRule="auto"/>
        <w:ind w:left="540"/>
        <w:jc w:val="both"/>
        <w:rPr>
          <w:lang w:val="fr-FR"/>
        </w:rPr>
      </w:pPr>
      <w:hyperlink r:id="rId9" w:history="1">
        <w:r w:rsidR="007C161C" w:rsidRPr="007C161C">
          <w:rPr>
            <w:rStyle w:val="Hyperlink"/>
            <w:lang w:val="fr-FR"/>
          </w:rPr>
          <w:t>Résolution 10.15(Rev.COP12</w:t>
        </w:r>
      </w:hyperlink>
      <w:r w:rsidR="007C161C">
        <w:rPr>
          <w:lang w:val="fr-FR"/>
        </w:rPr>
        <w:t>).</w:t>
      </w:r>
    </w:p>
    <w:p w:rsidR="007C161C" w:rsidRPr="007C161C" w:rsidRDefault="007C161C" w:rsidP="007C161C">
      <w:pPr>
        <w:pStyle w:val="ListParagraph"/>
        <w:spacing w:after="0" w:line="240" w:lineRule="auto"/>
        <w:ind w:left="540"/>
        <w:jc w:val="both"/>
        <w:rPr>
          <w:lang w:val="fr-FR"/>
        </w:rPr>
      </w:pPr>
    </w:p>
    <w:p w:rsidR="0098242A" w:rsidRPr="0098242A" w:rsidRDefault="0098242A" w:rsidP="006323F7">
      <w:pPr>
        <w:pStyle w:val="ListParagraph"/>
        <w:numPr>
          <w:ilvl w:val="0"/>
          <w:numId w:val="18"/>
        </w:numPr>
        <w:spacing w:after="0" w:line="240" w:lineRule="auto"/>
        <w:ind w:left="540" w:hanging="540"/>
        <w:jc w:val="both"/>
        <w:rPr>
          <w:lang w:val="fr-FR"/>
        </w:rPr>
      </w:pPr>
      <w:r w:rsidRPr="0098242A">
        <w:rPr>
          <w:lang w:val="fr-FR"/>
        </w:rPr>
        <w:t>Les auteurs du document reproduit à l’</w:t>
      </w:r>
      <w:r w:rsidR="007C161C">
        <w:rPr>
          <w:lang w:val="fr-FR"/>
        </w:rPr>
        <w:t>A</w:t>
      </w:r>
      <w:r w:rsidRPr="0098242A">
        <w:rPr>
          <w:lang w:val="fr-FR"/>
        </w:rPr>
        <w:t>nnexe 1 recommandent l’élaboration d’un plan d’action pour les populations de cétacés présentes dans cette zone marine sensible. Leurs recommandations sont</w:t>
      </w:r>
      <w:r w:rsidRPr="00A8308E">
        <w:rPr>
          <w:lang w:val="fr-FR"/>
        </w:rPr>
        <w:t xml:space="preserve"> consignées dans les décisions proposées figurant à l’</w:t>
      </w:r>
      <w:r w:rsidR="007C161C">
        <w:rPr>
          <w:lang w:val="fr-FR"/>
        </w:rPr>
        <w:t>A</w:t>
      </w:r>
      <w:r w:rsidRPr="00A8308E">
        <w:rPr>
          <w:lang w:val="fr-FR"/>
        </w:rPr>
        <w:t>nnexe 2.</w:t>
      </w:r>
      <w:r w:rsidRPr="0098242A">
        <w:rPr>
          <w:lang w:val="fr-FR"/>
        </w:rPr>
        <w:t xml:space="preserve"> </w:t>
      </w:r>
    </w:p>
    <w:p w:rsidR="0098242A" w:rsidRPr="0098242A" w:rsidRDefault="0098242A" w:rsidP="006323F7">
      <w:pPr>
        <w:pStyle w:val="ListParagraph"/>
        <w:spacing w:after="0" w:line="240" w:lineRule="auto"/>
        <w:jc w:val="both"/>
        <w:rPr>
          <w:lang w:val="fr-FR"/>
        </w:rPr>
      </w:pPr>
    </w:p>
    <w:p w:rsidR="0098242A" w:rsidRPr="00A8308E" w:rsidRDefault="0098242A" w:rsidP="006323F7">
      <w:pPr>
        <w:pStyle w:val="ListParagraph"/>
        <w:numPr>
          <w:ilvl w:val="0"/>
          <w:numId w:val="18"/>
        </w:numPr>
        <w:spacing w:after="0" w:line="240" w:lineRule="auto"/>
        <w:ind w:left="540" w:hanging="540"/>
        <w:jc w:val="both"/>
        <w:rPr>
          <w:lang w:val="fr-FR"/>
        </w:rPr>
      </w:pPr>
      <w:r w:rsidRPr="0098242A">
        <w:rPr>
          <w:lang w:val="fr-FR"/>
        </w:rPr>
        <w:t>La demande d’</w:t>
      </w:r>
      <w:r w:rsidRPr="00A8308E">
        <w:rPr>
          <w:lang w:val="fr-FR"/>
        </w:rPr>
        <w:t>évaluation des menaces et des priorités régionales ainsi que l’élaboration de programmes de travail pour d’autres espèces de mammifères aquatiques, contenues dans la décision 12.16, ont été incluses dans les nouvelles décisions proposées.</w:t>
      </w:r>
      <w:r w:rsidRPr="0098242A">
        <w:rPr>
          <w:lang w:val="fr-FR"/>
        </w:rPr>
        <w:t xml:space="preserve"> </w:t>
      </w:r>
    </w:p>
    <w:p w:rsidR="007C161C" w:rsidRDefault="007C161C" w:rsidP="0098242A">
      <w:pPr>
        <w:spacing w:after="0" w:line="240" w:lineRule="auto"/>
        <w:rPr>
          <w:lang w:val="fr-FR"/>
        </w:rPr>
      </w:pPr>
      <w:r>
        <w:rPr>
          <w:lang w:val="fr-FR"/>
        </w:rPr>
        <w:br w:type="page"/>
      </w:r>
    </w:p>
    <w:p w:rsidR="0098242A" w:rsidRDefault="0098242A" w:rsidP="0098242A">
      <w:pPr>
        <w:spacing w:after="0" w:line="240" w:lineRule="auto"/>
        <w:rPr>
          <w:lang w:val="fr-FR"/>
        </w:rPr>
      </w:pPr>
    </w:p>
    <w:p w:rsidR="007C161C" w:rsidRPr="007C161C" w:rsidRDefault="007C161C" w:rsidP="007C161C">
      <w:pPr>
        <w:pStyle w:val="Firstnumbering"/>
        <w:numPr>
          <w:ilvl w:val="0"/>
          <w:numId w:val="19"/>
        </w:numPr>
        <w:ind w:left="567" w:hanging="567"/>
      </w:pPr>
      <w:r w:rsidRPr="007C161C">
        <w:t xml:space="preserve">La Résolution 10.15 (Rév.COP12) </w:t>
      </w:r>
      <w:r w:rsidRPr="007C161C">
        <w:rPr>
          <w:i/>
        </w:rPr>
        <w:t xml:space="preserve">Programme de travail mondial </w:t>
      </w:r>
      <w:r>
        <w:rPr>
          <w:i/>
        </w:rPr>
        <w:t>pour</w:t>
      </w:r>
      <w:r w:rsidRPr="007C161C">
        <w:rPr>
          <w:i/>
        </w:rPr>
        <w:t xml:space="preserve"> les cétacés</w:t>
      </w:r>
      <w:r w:rsidRPr="007C161C">
        <w:t xml:space="preserve"> de la CMS est antérieure au discours politique sur le rôle positif des baleines dans les écosystèmes marins et n'aborde donc pas ce sujet. Elle demande toutefois l'avis du Groupe de travail sur les mammifères aquatiques du Conseil scientifique sur l'engagement avec la CBI. Compte tenu de la portée mondiale des travaux sur le rôle des cétacés dans le fonctionnement de l'écosystème dans le cadre de la CBI, il semble approprié de retirer les travaux de la CMS du contexte régional et de les examiner conjointement avec la mise en œuvre du </w:t>
      </w:r>
      <w:r w:rsidRPr="007C161C">
        <w:rPr>
          <w:i/>
        </w:rPr>
        <w:t>Programme de travail mondial pour les cétacés</w:t>
      </w:r>
      <w:r w:rsidRPr="007C161C">
        <w:t>. En conséquence, les propositions de décisions connexes ont été inclues dans l'</w:t>
      </w:r>
      <w:r>
        <w:t>A</w:t>
      </w:r>
      <w:r w:rsidRPr="007C161C">
        <w:t>nnexe 2.</w:t>
      </w:r>
    </w:p>
    <w:p w:rsidR="007C161C" w:rsidRPr="0098242A" w:rsidRDefault="007C161C" w:rsidP="0098242A">
      <w:pPr>
        <w:spacing w:after="0" w:line="240" w:lineRule="auto"/>
        <w:rPr>
          <w:lang w:val="fr-FR"/>
        </w:rPr>
      </w:pPr>
    </w:p>
    <w:p w:rsidR="0098242A" w:rsidRPr="007C161C" w:rsidRDefault="0098242A" w:rsidP="0098242A">
      <w:pPr>
        <w:spacing w:after="0" w:line="240" w:lineRule="auto"/>
        <w:ind w:left="540" w:hanging="540"/>
        <w:rPr>
          <w:u w:val="single"/>
          <w:lang w:val="fr-FR"/>
        </w:rPr>
      </w:pPr>
      <w:r w:rsidRPr="007C161C">
        <w:rPr>
          <w:u w:val="single"/>
          <w:lang w:val="fr-FR"/>
        </w:rPr>
        <w:t xml:space="preserve">Actions </w:t>
      </w:r>
      <w:r w:rsidR="007C161C" w:rsidRPr="007C161C">
        <w:rPr>
          <w:u w:val="single"/>
          <w:lang w:val="fr-FR"/>
        </w:rPr>
        <w:t>recommandées</w:t>
      </w:r>
    </w:p>
    <w:p w:rsidR="0098242A" w:rsidRPr="00A8308E" w:rsidRDefault="0098242A" w:rsidP="0098242A">
      <w:pPr>
        <w:spacing w:after="0" w:line="240" w:lineRule="auto"/>
        <w:ind w:left="540" w:hanging="540"/>
        <w:rPr>
          <w:lang w:val="fr-FR"/>
        </w:rPr>
      </w:pPr>
    </w:p>
    <w:p w:rsidR="0098242A" w:rsidRPr="0098242A" w:rsidRDefault="007C161C" w:rsidP="007C161C">
      <w:pPr>
        <w:pStyle w:val="Firstnumbering"/>
        <w:ind w:left="567" w:hanging="567"/>
      </w:pPr>
      <w:r>
        <w:t xml:space="preserve">Il est recommandé à la </w:t>
      </w:r>
      <w:r w:rsidR="0098242A" w:rsidRPr="0098242A">
        <w:t>Conférence</w:t>
      </w:r>
      <w:r>
        <w:t xml:space="preserve"> des Parties</w:t>
      </w:r>
      <w:r w:rsidR="0098242A" w:rsidRPr="0098242A">
        <w:t xml:space="preserve"> : </w:t>
      </w:r>
    </w:p>
    <w:p w:rsidR="0098242A" w:rsidRPr="0098242A" w:rsidRDefault="0098242A" w:rsidP="0098242A">
      <w:pPr>
        <w:spacing w:after="0" w:line="240" w:lineRule="auto"/>
        <w:rPr>
          <w:lang w:val="fr-FR"/>
        </w:rPr>
      </w:pPr>
    </w:p>
    <w:p w:rsidR="0098242A" w:rsidRDefault="007C161C" w:rsidP="0098242A">
      <w:pPr>
        <w:numPr>
          <w:ilvl w:val="0"/>
          <w:numId w:val="9"/>
        </w:numPr>
        <w:autoSpaceDN w:val="0"/>
        <w:spacing w:after="0" w:line="240" w:lineRule="auto"/>
        <w:jc w:val="both"/>
        <w:rPr>
          <w:lang w:val="fr-FR"/>
        </w:rPr>
      </w:pPr>
      <w:r>
        <w:rPr>
          <w:lang w:val="fr-FR"/>
        </w:rPr>
        <w:t xml:space="preserve">de </w:t>
      </w:r>
      <w:r w:rsidR="0098242A" w:rsidRPr="00A8308E">
        <w:rPr>
          <w:lang w:val="fr-FR"/>
        </w:rPr>
        <w:t>prendre note de la mise à jour des questions concernant les cétacés de la mer Rouge figurant à l’</w:t>
      </w:r>
      <w:r>
        <w:rPr>
          <w:lang w:val="fr-FR"/>
        </w:rPr>
        <w:t>A</w:t>
      </w:r>
      <w:r w:rsidR="0098242A" w:rsidRPr="00A8308E">
        <w:rPr>
          <w:lang w:val="fr-FR"/>
        </w:rPr>
        <w:t>nnexe 1 ;</w:t>
      </w:r>
    </w:p>
    <w:p w:rsidR="007C161C" w:rsidRPr="0098242A" w:rsidRDefault="007C161C" w:rsidP="007C161C">
      <w:pPr>
        <w:autoSpaceDN w:val="0"/>
        <w:spacing w:after="0" w:line="240" w:lineRule="auto"/>
        <w:ind w:left="1440"/>
        <w:jc w:val="both"/>
        <w:rPr>
          <w:lang w:val="fr-FR"/>
        </w:rPr>
      </w:pPr>
    </w:p>
    <w:p w:rsidR="0098242A" w:rsidRDefault="007C161C" w:rsidP="0098242A">
      <w:pPr>
        <w:numPr>
          <w:ilvl w:val="0"/>
          <w:numId w:val="9"/>
        </w:numPr>
        <w:autoSpaceDN w:val="0"/>
        <w:spacing w:after="0" w:line="240" w:lineRule="auto"/>
        <w:jc w:val="both"/>
        <w:rPr>
          <w:lang w:val="fr-FR"/>
        </w:rPr>
      </w:pPr>
      <w:r>
        <w:rPr>
          <w:lang w:val="fr-FR"/>
        </w:rPr>
        <w:t>d’</w:t>
      </w:r>
      <w:r w:rsidR="0098242A" w:rsidRPr="00A8308E">
        <w:rPr>
          <w:lang w:val="fr-FR"/>
        </w:rPr>
        <w:t xml:space="preserve">adopter les projets de </w:t>
      </w:r>
      <w:r>
        <w:rPr>
          <w:lang w:val="fr-FR"/>
        </w:rPr>
        <w:t>D</w:t>
      </w:r>
      <w:r w:rsidR="0098242A" w:rsidRPr="00A8308E">
        <w:rPr>
          <w:lang w:val="fr-FR"/>
        </w:rPr>
        <w:t>écisions figurant à l’</w:t>
      </w:r>
      <w:r>
        <w:rPr>
          <w:lang w:val="fr-FR"/>
        </w:rPr>
        <w:t>A</w:t>
      </w:r>
      <w:r w:rsidR="0098242A" w:rsidRPr="00A8308E">
        <w:rPr>
          <w:lang w:val="fr-FR"/>
        </w:rPr>
        <w:t>nnexe 2 du présent document</w:t>
      </w:r>
    </w:p>
    <w:p w:rsidR="007C161C" w:rsidRPr="0098242A" w:rsidRDefault="007C161C" w:rsidP="007C161C">
      <w:pPr>
        <w:autoSpaceDN w:val="0"/>
        <w:spacing w:after="0" w:line="240" w:lineRule="auto"/>
        <w:jc w:val="both"/>
        <w:rPr>
          <w:lang w:val="fr-FR"/>
        </w:rPr>
      </w:pPr>
    </w:p>
    <w:p w:rsidR="0098242A" w:rsidRDefault="007C161C" w:rsidP="0098242A">
      <w:pPr>
        <w:numPr>
          <w:ilvl w:val="0"/>
          <w:numId w:val="9"/>
        </w:numPr>
        <w:autoSpaceDN w:val="0"/>
        <w:spacing w:after="0" w:line="240" w:lineRule="auto"/>
        <w:jc w:val="both"/>
        <w:rPr>
          <w:lang w:val="fr-FR"/>
        </w:rPr>
      </w:pPr>
      <w:r>
        <w:rPr>
          <w:lang w:val="fr-FR"/>
        </w:rPr>
        <w:t xml:space="preserve">de </w:t>
      </w:r>
      <w:r w:rsidR="0098242A" w:rsidRPr="00A8308E">
        <w:rPr>
          <w:lang w:val="fr-FR"/>
        </w:rPr>
        <w:t xml:space="preserve">noter que la suppression de la totalité de la </w:t>
      </w:r>
      <w:r>
        <w:rPr>
          <w:lang w:val="fr-FR"/>
        </w:rPr>
        <w:t>D</w:t>
      </w:r>
      <w:r w:rsidR="0098242A" w:rsidRPr="00A8308E">
        <w:rPr>
          <w:lang w:val="fr-FR"/>
        </w:rPr>
        <w:t xml:space="preserve">écision 12.51 est proposée dans le document 26.2.5. </w:t>
      </w:r>
    </w:p>
    <w:p w:rsidR="007C161C" w:rsidRPr="0098242A" w:rsidRDefault="007C161C" w:rsidP="007C161C">
      <w:pPr>
        <w:autoSpaceDN w:val="0"/>
        <w:spacing w:after="0" w:line="240" w:lineRule="auto"/>
        <w:jc w:val="both"/>
        <w:rPr>
          <w:lang w:val="fr-FR"/>
        </w:rPr>
      </w:pPr>
    </w:p>
    <w:p w:rsidR="0098242A" w:rsidRPr="00A8308E" w:rsidRDefault="007C161C" w:rsidP="0098242A">
      <w:pPr>
        <w:numPr>
          <w:ilvl w:val="0"/>
          <w:numId w:val="9"/>
        </w:numPr>
        <w:autoSpaceDN w:val="0"/>
        <w:spacing w:after="0" w:line="240" w:lineRule="auto"/>
        <w:jc w:val="both"/>
        <w:rPr>
          <w:lang w:val="fr-FR"/>
        </w:rPr>
      </w:pPr>
      <w:r>
        <w:rPr>
          <w:lang w:val="fr-FR"/>
        </w:rPr>
        <w:t xml:space="preserve">de </w:t>
      </w:r>
      <w:r w:rsidR="0098242A" w:rsidRPr="00A8308E">
        <w:rPr>
          <w:lang w:val="fr-FR"/>
        </w:rPr>
        <w:t xml:space="preserve">supprimer la </w:t>
      </w:r>
      <w:r>
        <w:rPr>
          <w:lang w:val="fr-FR"/>
        </w:rPr>
        <w:t>D</w:t>
      </w:r>
      <w:r w:rsidR="0098242A" w:rsidRPr="00A8308E">
        <w:rPr>
          <w:lang w:val="fr-FR"/>
        </w:rPr>
        <w:t>écision 12.16.</w:t>
      </w:r>
    </w:p>
    <w:p w:rsidR="0098242A" w:rsidRPr="00A8308E" w:rsidRDefault="0098242A" w:rsidP="0098242A">
      <w:pPr>
        <w:autoSpaceDN w:val="0"/>
        <w:spacing w:after="0" w:line="240" w:lineRule="auto"/>
        <w:jc w:val="both"/>
        <w:rPr>
          <w:lang w:val="fr-FR"/>
        </w:rPr>
      </w:pPr>
    </w:p>
    <w:p w:rsidR="0098242A" w:rsidRDefault="0098242A" w:rsidP="00EF7FC8">
      <w:pPr>
        <w:pStyle w:val="FourthnumberingA"/>
        <w:numPr>
          <w:ilvl w:val="0"/>
          <w:numId w:val="0"/>
        </w:numPr>
        <w:sectPr w:rsidR="0098242A"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98242A" w:rsidRPr="007C161C" w:rsidRDefault="007C161C" w:rsidP="00FE587F">
      <w:pPr>
        <w:spacing w:after="0" w:line="240" w:lineRule="auto"/>
        <w:jc w:val="right"/>
        <w:rPr>
          <w:rFonts w:cs="Arial"/>
          <w:b/>
          <w:lang w:val="fr-FR"/>
        </w:rPr>
      </w:pPr>
      <w:r w:rsidRPr="007C161C">
        <w:rPr>
          <w:rFonts w:cs="Arial"/>
          <w:b/>
          <w:lang w:val="fr-FR"/>
        </w:rPr>
        <w:lastRenderedPageBreak/>
        <w:t xml:space="preserve">ANNEXE </w:t>
      </w:r>
      <w:r>
        <w:rPr>
          <w:rFonts w:cs="Arial"/>
          <w:b/>
          <w:lang w:val="fr-FR"/>
        </w:rPr>
        <w:t>1</w:t>
      </w:r>
    </w:p>
    <w:p w:rsidR="0098242A" w:rsidRPr="0098242A" w:rsidRDefault="0098242A" w:rsidP="00FE587F">
      <w:pPr>
        <w:spacing w:after="0" w:line="240" w:lineRule="auto"/>
        <w:jc w:val="center"/>
        <w:rPr>
          <w:rFonts w:cs="Arial"/>
          <w:lang w:val="fr-FR"/>
        </w:rPr>
      </w:pPr>
    </w:p>
    <w:p w:rsidR="007C161C" w:rsidRDefault="0098242A" w:rsidP="00FE587F">
      <w:pPr>
        <w:spacing w:after="0" w:line="240" w:lineRule="auto"/>
        <w:jc w:val="center"/>
        <w:rPr>
          <w:b/>
          <w:lang w:val="fr-FR"/>
        </w:rPr>
      </w:pPr>
      <w:r w:rsidRPr="0098242A">
        <w:rPr>
          <w:b/>
          <w:lang w:val="fr-FR"/>
        </w:rPr>
        <w:t xml:space="preserve">MISE À JOUR </w:t>
      </w:r>
      <w:r w:rsidR="00C74977">
        <w:rPr>
          <w:b/>
          <w:lang w:val="fr-FR"/>
        </w:rPr>
        <w:t>DES</w:t>
      </w:r>
      <w:r w:rsidRPr="0098242A">
        <w:rPr>
          <w:b/>
          <w:lang w:val="fr-FR"/>
        </w:rPr>
        <w:t xml:space="preserve"> QUESTIONS </w:t>
      </w:r>
      <w:r w:rsidR="00C74977">
        <w:rPr>
          <w:b/>
          <w:lang w:val="fr-FR"/>
        </w:rPr>
        <w:t>CONCERNANT</w:t>
      </w:r>
    </w:p>
    <w:p w:rsidR="0098242A" w:rsidRPr="0098242A" w:rsidRDefault="0098242A" w:rsidP="00FE587F">
      <w:pPr>
        <w:spacing w:after="0" w:line="240" w:lineRule="auto"/>
        <w:jc w:val="center"/>
        <w:rPr>
          <w:b/>
          <w:lang w:val="fr-FR"/>
        </w:rPr>
      </w:pPr>
      <w:r w:rsidRPr="0098242A">
        <w:rPr>
          <w:b/>
          <w:lang w:val="fr-FR"/>
        </w:rPr>
        <w:t>LES CÉTACÉS DE LA MER ROUGE</w:t>
      </w:r>
    </w:p>
    <w:p w:rsidR="0098242A" w:rsidRPr="0098242A" w:rsidRDefault="0098242A" w:rsidP="00FE587F">
      <w:pPr>
        <w:spacing w:after="0" w:line="240" w:lineRule="auto"/>
        <w:jc w:val="center"/>
        <w:rPr>
          <w:lang w:val="fr-FR"/>
        </w:rPr>
      </w:pPr>
    </w:p>
    <w:p w:rsidR="0098242A" w:rsidRPr="0098242A" w:rsidRDefault="0098242A" w:rsidP="00FE587F">
      <w:pPr>
        <w:spacing w:after="0" w:line="240" w:lineRule="auto"/>
        <w:jc w:val="center"/>
        <w:rPr>
          <w:b/>
          <w:i/>
          <w:iCs/>
          <w:lang w:val="fr-FR"/>
        </w:rPr>
      </w:pPr>
      <w:r w:rsidRPr="0098242A">
        <w:rPr>
          <w:i/>
          <w:iCs/>
          <w:lang w:val="fr-FR"/>
        </w:rPr>
        <w:t xml:space="preserve">(Préparé par Laetitia </w:t>
      </w:r>
      <w:proofErr w:type="spellStart"/>
      <w:r w:rsidRPr="0098242A">
        <w:rPr>
          <w:i/>
          <w:iCs/>
          <w:lang w:val="fr-FR"/>
        </w:rPr>
        <w:t>Nunny</w:t>
      </w:r>
      <w:proofErr w:type="spellEnd"/>
      <w:r w:rsidRPr="0098242A">
        <w:rPr>
          <w:i/>
          <w:iCs/>
          <w:lang w:val="fr-FR"/>
        </w:rPr>
        <w:t xml:space="preserve">, Mark P. </w:t>
      </w:r>
      <w:proofErr w:type="spellStart"/>
      <w:r w:rsidRPr="0098242A">
        <w:rPr>
          <w:i/>
          <w:iCs/>
          <w:lang w:val="fr-FR"/>
        </w:rPr>
        <w:t>Simmonds</w:t>
      </w:r>
      <w:proofErr w:type="spellEnd"/>
      <w:r w:rsidRPr="0098242A">
        <w:rPr>
          <w:i/>
          <w:iCs/>
          <w:lang w:val="fr-FR"/>
        </w:rPr>
        <w:t xml:space="preserve"> et Giuseppe Notarbartolo di Sciara)</w:t>
      </w:r>
    </w:p>
    <w:p w:rsidR="0098242A" w:rsidRPr="0098242A" w:rsidRDefault="0098242A" w:rsidP="00FE587F">
      <w:pPr>
        <w:spacing w:after="0" w:line="240" w:lineRule="auto"/>
        <w:rPr>
          <w:b/>
          <w:lang w:val="fr-FR"/>
        </w:rPr>
      </w:pPr>
    </w:p>
    <w:p w:rsidR="0098242A" w:rsidRPr="0098242A" w:rsidRDefault="0098242A" w:rsidP="00FE587F">
      <w:pPr>
        <w:spacing w:after="0" w:line="240" w:lineRule="auto"/>
        <w:rPr>
          <w:b/>
          <w:lang w:val="fr-FR"/>
        </w:rPr>
      </w:pPr>
    </w:p>
    <w:p w:rsidR="0098242A" w:rsidRPr="0098242A" w:rsidRDefault="0098242A" w:rsidP="00FE587F">
      <w:pPr>
        <w:spacing w:after="0" w:line="240" w:lineRule="auto"/>
        <w:rPr>
          <w:b/>
          <w:lang w:val="fr-FR"/>
        </w:rPr>
      </w:pPr>
      <w:r w:rsidRPr="0098242A">
        <w:rPr>
          <w:b/>
          <w:lang w:val="fr-FR"/>
        </w:rPr>
        <w:t>Introduction</w:t>
      </w:r>
    </w:p>
    <w:p w:rsidR="0098242A" w:rsidRPr="0098242A" w:rsidRDefault="0098242A" w:rsidP="00D876CF">
      <w:pPr>
        <w:spacing w:after="0" w:line="240" w:lineRule="auto"/>
        <w:ind w:left="567" w:hanging="567"/>
        <w:rPr>
          <w:lang w:val="fr-FR"/>
        </w:rPr>
      </w:pPr>
    </w:p>
    <w:p w:rsidR="0098242A" w:rsidRPr="00C74977" w:rsidRDefault="0098242A" w:rsidP="00D876CF">
      <w:pPr>
        <w:pStyle w:val="ListParagraph"/>
        <w:numPr>
          <w:ilvl w:val="0"/>
          <w:numId w:val="20"/>
        </w:numPr>
        <w:spacing w:after="0" w:line="240" w:lineRule="auto"/>
        <w:ind w:left="709" w:hanging="567"/>
        <w:jc w:val="both"/>
        <w:rPr>
          <w:lang w:val="fr-FR"/>
        </w:rPr>
      </w:pPr>
      <w:r w:rsidRPr="00C74977">
        <w:rPr>
          <w:lang w:val="fr-FR"/>
        </w:rPr>
        <w:t xml:space="preserve">En 2017, le Secrétariat de la CMS a publié une nouvelle édition de sa série technique intitulée « Cétacés de la mer Rouge » dans laquelle il était noté que les cétacés de la région n’étaient pas bien connus et que nos connaissances présentaient de nombreuses lacunes (Notarbartolo di Sciara et al., 2017). En effet, dans une récente étude des menaces mondiales sur les mammifères marins qui a examiné plus de 1 780 publications et créé des cartes de risques, la mer Rouge n’a été mise en évidence dans aucune des cartes (Avila, </w:t>
      </w:r>
      <w:proofErr w:type="spellStart"/>
      <w:r w:rsidRPr="00C74977">
        <w:rPr>
          <w:lang w:val="fr-FR"/>
        </w:rPr>
        <w:t>Kaschner</w:t>
      </w:r>
      <w:proofErr w:type="spellEnd"/>
      <w:r w:rsidRPr="00C74977">
        <w:rPr>
          <w:lang w:val="fr-FR"/>
        </w:rPr>
        <w:t xml:space="preserve"> et </w:t>
      </w:r>
      <w:proofErr w:type="spellStart"/>
      <w:r w:rsidRPr="00C74977">
        <w:rPr>
          <w:lang w:val="fr-FR"/>
        </w:rPr>
        <w:t>Dormann</w:t>
      </w:r>
      <w:proofErr w:type="spellEnd"/>
      <w:r w:rsidRPr="00C74977">
        <w:rPr>
          <w:lang w:val="fr-FR"/>
        </w:rPr>
        <w:t xml:space="preserve">, 2018). Cela s’explique en partie par le fait que la mer Rouge n’est pas considérée comme habitat principal des mammifères marins, mais également par la rareté des menaces documentées pour cette région (I. Avila, </w:t>
      </w:r>
      <w:proofErr w:type="spellStart"/>
      <w:r w:rsidRPr="00C74977">
        <w:rPr>
          <w:lang w:val="fr-FR"/>
        </w:rPr>
        <w:t>comm</w:t>
      </w:r>
      <w:proofErr w:type="spellEnd"/>
      <w:r w:rsidRPr="00C74977">
        <w:rPr>
          <w:lang w:val="fr-FR"/>
        </w:rPr>
        <w:t>. pers., 28 septembre 2018).</w:t>
      </w:r>
    </w:p>
    <w:p w:rsidR="0098242A" w:rsidRPr="0098242A" w:rsidRDefault="0098242A" w:rsidP="00D876CF">
      <w:pPr>
        <w:spacing w:after="0" w:line="240" w:lineRule="auto"/>
        <w:ind w:left="709" w:hanging="567"/>
        <w:jc w:val="both"/>
        <w:rPr>
          <w:lang w:val="fr-FR"/>
        </w:rPr>
      </w:pPr>
    </w:p>
    <w:p w:rsidR="0098242A" w:rsidRPr="00C74977" w:rsidRDefault="0098242A" w:rsidP="00D876CF">
      <w:pPr>
        <w:pStyle w:val="ListParagraph"/>
        <w:numPr>
          <w:ilvl w:val="0"/>
          <w:numId w:val="20"/>
        </w:numPr>
        <w:spacing w:after="0" w:line="240" w:lineRule="auto"/>
        <w:ind w:left="709" w:hanging="567"/>
        <w:jc w:val="both"/>
        <w:rPr>
          <w:lang w:val="fr-FR"/>
        </w:rPr>
      </w:pPr>
      <w:r w:rsidRPr="00C74977">
        <w:rPr>
          <w:lang w:val="fr-FR"/>
        </w:rPr>
        <w:t xml:space="preserve">Au cours des trente dernières années, la mer Rouge a commencé à souffrir des effets de l’augmentation constante de la population humaine le long de ses côtes. Des habitats tels que les récifs coralliens, les herbiers marins et les mangroves ont été touchés, les stocks de poisson s’épuisent et la pollution pénètre dans l’environnement via diverses sources (Notarbartolo di Sciara et al., 2017). </w:t>
      </w:r>
    </w:p>
    <w:p w:rsidR="0098242A" w:rsidRPr="0098242A" w:rsidRDefault="0098242A" w:rsidP="00D876CF">
      <w:pPr>
        <w:spacing w:after="0" w:line="240" w:lineRule="auto"/>
        <w:ind w:left="709" w:hanging="567"/>
        <w:jc w:val="both"/>
        <w:rPr>
          <w:lang w:val="fr-FR"/>
        </w:rPr>
      </w:pPr>
    </w:p>
    <w:p w:rsidR="0098242A" w:rsidRPr="00C74977" w:rsidRDefault="0098242A" w:rsidP="00D876CF">
      <w:pPr>
        <w:pStyle w:val="ListParagraph"/>
        <w:numPr>
          <w:ilvl w:val="0"/>
          <w:numId w:val="20"/>
        </w:numPr>
        <w:spacing w:after="0" w:line="240" w:lineRule="auto"/>
        <w:ind w:left="709" w:hanging="567"/>
        <w:jc w:val="both"/>
        <w:rPr>
          <w:lang w:val="fr-FR"/>
        </w:rPr>
      </w:pPr>
      <w:r w:rsidRPr="00C74977">
        <w:rPr>
          <w:lang w:val="fr-FR"/>
        </w:rPr>
        <w:t>La Liste rouge des espèces menacées de l’UICN fournit des informations sur l’état de conservation de nombreuses espèces de cétacés (y compris celles présentes dans la mer Rouge) au niveau mondial (UICN, 2018). En 2003, l’UICN a publié des lignes directrices pour évaluer l’état de conservation aux niveaux régional et national (Liste rouge nationale, 2018). Cependant, aucune liste rouge n’est actuellement disponible pour la région de la mer Rouge, ni pour aucun des pays riverains (Liste rouge nationale, 2018).</w:t>
      </w:r>
    </w:p>
    <w:p w:rsidR="0098242A" w:rsidRPr="0098242A" w:rsidRDefault="0098242A" w:rsidP="00D876CF">
      <w:pPr>
        <w:spacing w:after="0" w:line="240" w:lineRule="auto"/>
        <w:ind w:left="709"/>
        <w:rPr>
          <w:lang w:val="fr-FR"/>
        </w:rPr>
      </w:pPr>
    </w:p>
    <w:p w:rsidR="0098242A" w:rsidRPr="0098242A" w:rsidRDefault="0098242A" w:rsidP="00FE587F">
      <w:pPr>
        <w:spacing w:after="0" w:line="240" w:lineRule="auto"/>
        <w:rPr>
          <w:b/>
          <w:lang w:val="fr-FR"/>
        </w:rPr>
      </w:pPr>
      <w:r w:rsidRPr="0098242A">
        <w:rPr>
          <w:b/>
          <w:lang w:val="fr-FR"/>
        </w:rPr>
        <w:t>Cétacés de la Mer Rouge</w:t>
      </w:r>
    </w:p>
    <w:p w:rsidR="0098242A" w:rsidRPr="0098242A" w:rsidRDefault="0098242A" w:rsidP="00FE587F">
      <w:pPr>
        <w:spacing w:after="0" w:line="240" w:lineRule="auto"/>
        <w:rPr>
          <w:b/>
          <w:lang w:val="fr-FR"/>
        </w:rPr>
      </w:pPr>
    </w:p>
    <w:p w:rsidR="0098242A" w:rsidRPr="00C74977" w:rsidRDefault="0098242A" w:rsidP="00D876CF">
      <w:pPr>
        <w:pStyle w:val="ListParagraph"/>
        <w:numPr>
          <w:ilvl w:val="0"/>
          <w:numId w:val="20"/>
        </w:numPr>
        <w:spacing w:after="0" w:line="240" w:lineRule="auto"/>
        <w:ind w:left="567" w:hanging="425"/>
        <w:jc w:val="both"/>
        <w:rPr>
          <w:lang w:val="fr-FR"/>
        </w:rPr>
      </w:pPr>
      <w:r w:rsidRPr="00C74977">
        <w:rPr>
          <w:lang w:val="fr-FR"/>
        </w:rPr>
        <w:t>Les espèces qui se rencontrent régulièrement dans la mer Rouge sont répertoriées dans le tableau 1, avec leurs référencements CMS et catégories de la liste rouge de l’UICN. Les autres espèces recensées dans la mer Rouge sont considérées comme des visiteurs rares, par exemple le rorqual d’</w:t>
      </w:r>
      <w:proofErr w:type="spellStart"/>
      <w:r w:rsidRPr="00C74977">
        <w:rPr>
          <w:lang w:val="fr-FR"/>
        </w:rPr>
        <w:t>Omura</w:t>
      </w:r>
      <w:proofErr w:type="spellEnd"/>
      <w:r w:rsidRPr="00C74977">
        <w:rPr>
          <w:lang w:val="fr-FR"/>
        </w:rPr>
        <w:t xml:space="preserve"> (</w:t>
      </w:r>
      <w:proofErr w:type="spellStart"/>
      <w:r w:rsidRPr="00C74977">
        <w:rPr>
          <w:i/>
          <w:lang w:val="fr-FR"/>
        </w:rPr>
        <w:t>Balaenoptera</w:t>
      </w:r>
      <w:proofErr w:type="spellEnd"/>
      <w:r w:rsidRPr="00C74977">
        <w:rPr>
          <w:i/>
          <w:lang w:val="fr-FR"/>
        </w:rPr>
        <w:t xml:space="preserve"> </w:t>
      </w:r>
      <w:proofErr w:type="spellStart"/>
      <w:r w:rsidRPr="00C74977">
        <w:rPr>
          <w:i/>
          <w:lang w:val="fr-FR"/>
        </w:rPr>
        <w:t>omurai</w:t>
      </w:r>
      <w:proofErr w:type="spellEnd"/>
      <w:r w:rsidRPr="00C74977">
        <w:rPr>
          <w:lang w:val="fr-FR"/>
        </w:rPr>
        <w:t>), la baleine à bosse (</w:t>
      </w:r>
      <w:proofErr w:type="spellStart"/>
      <w:r w:rsidRPr="00C74977">
        <w:rPr>
          <w:i/>
          <w:lang w:val="fr-FR"/>
        </w:rPr>
        <w:t>Megaptera</w:t>
      </w:r>
      <w:proofErr w:type="spellEnd"/>
      <w:r w:rsidRPr="00C74977">
        <w:rPr>
          <w:i/>
          <w:lang w:val="fr-FR"/>
        </w:rPr>
        <w:t xml:space="preserve"> </w:t>
      </w:r>
      <w:proofErr w:type="spellStart"/>
      <w:r w:rsidRPr="00C74977">
        <w:rPr>
          <w:i/>
          <w:lang w:val="fr-FR"/>
        </w:rPr>
        <w:t>novaeangliae</w:t>
      </w:r>
      <w:proofErr w:type="spellEnd"/>
      <w:r w:rsidRPr="00C74977">
        <w:rPr>
          <w:lang w:val="fr-FR"/>
        </w:rPr>
        <w:t>), le globicéphale tropical (</w:t>
      </w:r>
      <w:proofErr w:type="spellStart"/>
      <w:r w:rsidRPr="00C74977">
        <w:rPr>
          <w:i/>
          <w:lang w:val="fr-FR"/>
        </w:rPr>
        <w:t>Globicephala</w:t>
      </w:r>
      <w:proofErr w:type="spellEnd"/>
      <w:r w:rsidRPr="00C74977">
        <w:rPr>
          <w:i/>
          <w:lang w:val="fr-FR"/>
        </w:rPr>
        <w:t xml:space="preserve"> </w:t>
      </w:r>
      <w:proofErr w:type="spellStart"/>
      <w:r w:rsidRPr="00C74977">
        <w:rPr>
          <w:i/>
          <w:lang w:val="fr-FR"/>
        </w:rPr>
        <w:t>macrorhynchus</w:t>
      </w:r>
      <w:proofErr w:type="spellEnd"/>
      <w:r w:rsidRPr="00C74977">
        <w:rPr>
          <w:lang w:val="fr-FR"/>
        </w:rPr>
        <w:t>), le cachalot nain (</w:t>
      </w:r>
      <w:proofErr w:type="spellStart"/>
      <w:r w:rsidRPr="00C74977">
        <w:rPr>
          <w:i/>
          <w:lang w:val="fr-FR"/>
        </w:rPr>
        <w:t>Kogia</w:t>
      </w:r>
      <w:proofErr w:type="spellEnd"/>
      <w:r w:rsidRPr="00C74977">
        <w:rPr>
          <w:i/>
          <w:lang w:val="fr-FR"/>
        </w:rPr>
        <w:t xml:space="preserve"> sima</w:t>
      </w:r>
      <w:r w:rsidRPr="00C74977">
        <w:rPr>
          <w:lang w:val="fr-FR"/>
        </w:rPr>
        <w:t>), le dauphin bleu et blanc (</w:t>
      </w:r>
      <w:proofErr w:type="spellStart"/>
      <w:r w:rsidRPr="00C74977">
        <w:rPr>
          <w:i/>
          <w:lang w:val="fr-FR"/>
        </w:rPr>
        <w:t>Stenella</w:t>
      </w:r>
      <w:proofErr w:type="spellEnd"/>
      <w:r w:rsidRPr="00C74977">
        <w:rPr>
          <w:i/>
          <w:lang w:val="fr-FR"/>
        </w:rPr>
        <w:t xml:space="preserve"> </w:t>
      </w:r>
      <w:proofErr w:type="spellStart"/>
      <w:r w:rsidRPr="00C74977">
        <w:rPr>
          <w:i/>
          <w:lang w:val="fr-FR"/>
        </w:rPr>
        <w:t>coeruleoalba</w:t>
      </w:r>
      <w:proofErr w:type="spellEnd"/>
      <w:r w:rsidRPr="00C74977">
        <w:rPr>
          <w:lang w:val="fr-FR"/>
        </w:rPr>
        <w:t>), le dauphin à bec étroit (</w:t>
      </w:r>
      <w:proofErr w:type="spellStart"/>
      <w:r w:rsidRPr="00C74977">
        <w:rPr>
          <w:i/>
          <w:lang w:val="fr-FR"/>
        </w:rPr>
        <w:t>Steno</w:t>
      </w:r>
      <w:proofErr w:type="spellEnd"/>
      <w:r w:rsidRPr="00C74977">
        <w:rPr>
          <w:i/>
          <w:lang w:val="fr-FR"/>
        </w:rPr>
        <w:t xml:space="preserve"> </w:t>
      </w:r>
      <w:proofErr w:type="spellStart"/>
      <w:r w:rsidRPr="00C74977">
        <w:rPr>
          <w:i/>
          <w:lang w:val="fr-FR"/>
        </w:rPr>
        <w:t>bredanensis</w:t>
      </w:r>
      <w:proofErr w:type="spellEnd"/>
      <w:r w:rsidRPr="00C74977">
        <w:rPr>
          <w:lang w:val="fr-FR"/>
        </w:rPr>
        <w:t>) et l’orque (</w:t>
      </w:r>
      <w:proofErr w:type="spellStart"/>
      <w:r w:rsidRPr="00C74977">
        <w:rPr>
          <w:i/>
          <w:lang w:val="fr-FR"/>
        </w:rPr>
        <w:t>Orcinus</w:t>
      </w:r>
      <w:proofErr w:type="spellEnd"/>
      <w:r w:rsidRPr="00C74977">
        <w:rPr>
          <w:i/>
          <w:lang w:val="fr-FR"/>
        </w:rPr>
        <w:t xml:space="preserve"> </w:t>
      </w:r>
      <w:proofErr w:type="spellStart"/>
      <w:r w:rsidRPr="00C74977">
        <w:rPr>
          <w:i/>
          <w:lang w:val="fr-FR"/>
        </w:rPr>
        <w:t>orca</w:t>
      </w:r>
      <w:proofErr w:type="spellEnd"/>
      <w:r w:rsidRPr="00C74977">
        <w:rPr>
          <w:lang w:val="fr-FR"/>
        </w:rPr>
        <w:t xml:space="preserve">) (Notarbartolo di Sciara et al., 2017). </w:t>
      </w:r>
    </w:p>
    <w:p w:rsidR="0098242A" w:rsidRPr="0098242A" w:rsidRDefault="0098242A" w:rsidP="0098242A">
      <w:pPr>
        <w:spacing w:after="0" w:line="240" w:lineRule="auto"/>
        <w:rPr>
          <w:lang w:val="fr-FR"/>
        </w:rPr>
      </w:pPr>
    </w:p>
    <w:p w:rsidR="0098242A" w:rsidRPr="0098242A" w:rsidRDefault="0098242A" w:rsidP="0098242A">
      <w:pPr>
        <w:spacing w:after="0" w:line="240" w:lineRule="auto"/>
        <w:rPr>
          <w:lang w:val="fr-FR"/>
        </w:rPr>
        <w:sectPr w:rsidR="0098242A" w:rsidRPr="0098242A" w:rsidSect="00D876CF">
          <w:headerReference w:type="default" r:id="rId15"/>
          <w:pgSz w:w="11900" w:h="16840" w:code="9"/>
          <w:pgMar w:top="1440" w:right="985" w:bottom="1440" w:left="1276" w:header="708" w:footer="708" w:gutter="0"/>
          <w:cols w:space="720"/>
          <w:docGrid w:linePitch="299"/>
        </w:sectPr>
      </w:pPr>
    </w:p>
    <w:p w:rsidR="0098242A" w:rsidRPr="0098242A" w:rsidRDefault="0098242A" w:rsidP="0098242A">
      <w:pPr>
        <w:spacing w:after="0" w:line="240" w:lineRule="auto"/>
        <w:rPr>
          <w:i/>
          <w:iCs/>
          <w:lang w:val="fr-FR"/>
        </w:rPr>
      </w:pPr>
      <w:r w:rsidRPr="0098242A">
        <w:rPr>
          <w:b/>
          <w:i/>
          <w:iCs/>
          <w:lang w:val="fr-FR"/>
        </w:rPr>
        <w:lastRenderedPageBreak/>
        <w:t>Tableau 1 : Espèces régulièrement rencontrées en mer Rouge et leurs référencements CMS et UICN</w:t>
      </w:r>
      <w:r w:rsidRPr="0098242A">
        <w:rPr>
          <w:i/>
          <w:iCs/>
          <w:lang w:val="fr-FR"/>
        </w:rPr>
        <w:t xml:space="preserve"> (les listes CMS et UICN font référence à la population mondiale et non spécifiquement à celle de la mer Rouge)</w:t>
      </w:r>
      <w:r w:rsidRPr="0098242A">
        <w:rPr>
          <w:lang w:val="fr-FR"/>
        </w:rPr>
        <w:t xml:space="preserve"> </w:t>
      </w:r>
    </w:p>
    <w:p w:rsidR="0098242A" w:rsidRPr="0098242A" w:rsidRDefault="0098242A" w:rsidP="0098242A">
      <w:pPr>
        <w:spacing w:after="0" w:line="240" w:lineRule="auto"/>
        <w:rPr>
          <w:i/>
          <w:iCs/>
          <w:lang w:val="fr-FR"/>
        </w:rPr>
      </w:pPr>
    </w:p>
    <w:tbl>
      <w:tblPr>
        <w:tblStyle w:val="TableGrid"/>
        <w:tblW w:w="0" w:type="auto"/>
        <w:tblInd w:w="0" w:type="dxa"/>
        <w:tblLook w:val="04A0" w:firstRow="1" w:lastRow="0" w:firstColumn="1" w:lastColumn="0" w:noHBand="0" w:noVBand="1"/>
      </w:tblPr>
      <w:tblGrid>
        <w:gridCol w:w="1585"/>
        <w:gridCol w:w="1473"/>
        <w:gridCol w:w="2227"/>
        <w:gridCol w:w="1325"/>
        <w:gridCol w:w="1344"/>
        <w:gridCol w:w="2714"/>
        <w:gridCol w:w="1803"/>
        <w:gridCol w:w="2089"/>
      </w:tblGrid>
      <w:tr w:rsidR="0098242A" w:rsidRPr="00C74977" w:rsidTr="0098242A">
        <w:trPr>
          <w:tblHeader/>
        </w:trPr>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Nom scientifique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Nom commun</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Présence en mer Rouge</w:t>
            </w:r>
            <w:r w:rsidRPr="00C74977">
              <w:rPr>
                <w:rFonts w:ascii="Arial" w:hAnsi="Arial" w:cs="Arial"/>
                <w:sz w:val="22"/>
                <w:szCs w:val="22"/>
              </w:rPr>
              <w:br/>
              <w:t xml:space="preserve">(Notarbartolo di Sciara et al., 2007 et Notarbartolo di Sciara et al., 2017)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 xml:space="preserve">CMS </w:t>
            </w:r>
          </w:p>
          <w:p w:rsidR="0098242A" w:rsidRPr="00C74977" w:rsidRDefault="0098242A">
            <w:pPr>
              <w:rPr>
                <w:rFonts w:ascii="Arial" w:hAnsi="Arial" w:cs="Arial"/>
                <w:b/>
                <w:sz w:val="22"/>
                <w:szCs w:val="22"/>
              </w:rPr>
            </w:pPr>
            <w:r w:rsidRPr="00C74977">
              <w:rPr>
                <w:rFonts w:ascii="Arial" w:hAnsi="Arial" w:cs="Arial"/>
                <w:b/>
                <w:sz w:val="22"/>
                <w:szCs w:val="22"/>
              </w:rPr>
              <w:t>Annexe I</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 xml:space="preserve">CMS </w:t>
            </w:r>
          </w:p>
          <w:p w:rsidR="0098242A" w:rsidRPr="00C74977" w:rsidRDefault="0098242A">
            <w:pPr>
              <w:rPr>
                <w:rFonts w:ascii="Arial" w:hAnsi="Arial" w:cs="Arial"/>
                <w:b/>
                <w:sz w:val="22"/>
                <w:szCs w:val="22"/>
              </w:rPr>
            </w:pPr>
            <w:r w:rsidRPr="00C74977">
              <w:rPr>
                <w:rFonts w:ascii="Arial" w:hAnsi="Arial" w:cs="Arial"/>
                <w:b/>
                <w:sz w:val="22"/>
                <w:szCs w:val="22"/>
              </w:rPr>
              <w:t>Annexe II</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b/>
                <w:sz w:val="22"/>
                <w:szCs w:val="22"/>
              </w:rPr>
            </w:pPr>
            <w:r w:rsidRPr="00C74977">
              <w:rPr>
                <w:rFonts w:ascii="Arial" w:hAnsi="Arial" w:cs="Arial"/>
                <w:b/>
                <w:sz w:val="22"/>
                <w:szCs w:val="22"/>
              </w:rPr>
              <w:t>Instruments de la CMS</w:t>
            </w:r>
          </w:p>
          <w:p w:rsidR="0098242A" w:rsidRPr="00C74977" w:rsidRDefault="0098242A">
            <w:pP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 xml:space="preserve">Liste rouge de l’UICN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b/>
                <w:sz w:val="22"/>
                <w:szCs w:val="22"/>
              </w:rPr>
            </w:pPr>
            <w:r w:rsidRPr="00C74977">
              <w:rPr>
                <w:rFonts w:ascii="Arial" w:hAnsi="Arial" w:cs="Arial"/>
                <w:b/>
                <w:sz w:val="22"/>
                <w:szCs w:val="22"/>
              </w:rPr>
              <w:t xml:space="preserve">Tendance démographique (UICN) </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Balaenoptera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edeni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iCs/>
                <w:sz w:val="20"/>
                <w:szCs w:val="20"/>
              </w:rPr>
              <w:t xml:space="preserve">Rorqual de </w:t>
            </w:r>
            <w:proofErr w:type="spellStart"/>
            <w:r w:rsidRPr="00C74977">
              <w:rPr>
                <w:rFonts w:ascii="Arial" w:hAnsi="Arial" w:cs="Arial"/>
                <w:iCs/>
                <w:sz w:val="20"/>
                <w:szCs w:val="20"/>
              </w:rPr>
              <w:t>Bryde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Régulière, peu fréquente.</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2002</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 cétacés des îles du Pacifique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Préoccupation mineure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tropicalis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iCs/>
                <w:sz w:val="20"/>
                <w:szCs w:val="20"/>
              </w:rPr>
              <w:t>Dauphin commun de l’</w:t>
            </w:r>
            <w:proofErr w:type="spellStart"/>
            <w:r w:rsidRPr="00C74977">
              <w:rPr>
                <w:rFonts w:ascii="Arial" w:hAnsi="Arial" w:cs="Arial"/>
                <w:iCs/>
                <w:sz w:val="20"/>
                <w:szCs w:val="20"/>
              </w:rPr>
              <w:t>Indo-Pacifique</w:t>
            </w:r>
            <w:proofErr w:type="spellEnd"/>
            <w:r w:rsidRPr="00C74977">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Régulière dans les eaux méridionales.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2005 (</w:t>
            </w:r>
            <w:proofErr w:type="spellStart"/>
            <w:r w:rsidRPr="00C74977">
              <w:rPr>
                <w:rFonts w:ascii="Arial" w:hAnsi="Arial" w:cs="Arial"/>
                <w:sz w:val="20"/>
                <w:szCs w:val="20"/>
              </w:rPr>
              <w:t>Delphinus</w:t>
            </w:r>
            <w:proofErr w:type="spellEnd"/>
            <w:r w:rsidRPr="00C74977">
              <w:rPr>
                <w:rFonts w:ascii="Arial" w:hAnsi="Arial" w:cs="Arial"/>
                <w:sz w:val="20"/>
                <w:szCs w:val="20"/>
              </w:rPr>
              <w:t xml:space="preserve"> </w:t>
            </w:r>
            <w:proofErr w:type="spellStart"/>
            <w:r w:rsidRPr="00C74977">
              <w:rPr>
                <w:rFonts w:ascii="Arial" w:hAnsi="Arial" w:cs="Arial"/>
                <w:sz w:val="20"/>
                <w:szCs w:val="20"/>
              </w:rPr>
              <w:t>delphis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1988 (</w:t>
            </w:r>
            <w:proofErr w:type="spellStart"/>
            <w:r w:rsidRPr="00C74977">
              <w:rPr>
                <w:rFonts w:ascii="Arial" w:hAnsi="Arial" w:cs="Arial"/>
                <w:sz w:val="20"/>
                <w:szCs w:val="20"/>
              </w:rPr>
              <w:t>Delphinus</w:t>
            </w:r>
            <w:proofErr w:type="spellEnd"/>
            <w:r w:rsidRPr="00C74977">
              <w:rPr>
                <w:rFonts w:ascii="Arial" w:hAnsi="Arial" w:cs="Arial"/>
                <w:sz w:val="20"/>
                <w:szCs w:val="20"/>
              </w:rPr>
              <w:t xml:space="preserve"> </w:t>
            </w:r>
            <w:proofErr w:type="spellStart"/>
            <w:r w:rsidRPr="00C74977">
              <w:rPr>
                <w:rFonts w:ascii="Arial" w:hAnsi="Arial" w:cs="Arial"/>
                <w:sz w:val="20"/>
                <w:szCs w:val="20"/>
              </w:rPr>
              <w:t>delphis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 ASCOBANS, ACCOBAMS, Mammifères aquatiques d’Afrique de l’Ouest, Cétacés des îles du Pacifique (</w:t>
            </w:r>
            <w:proofErr w:type="spellStart"/>
            <w:r w:rsidRPr="00C74977">
              <w:rPr>
                <w:rFonts w:ascii="Arial" w:hAnsi="Arial" w:cs="Arial"/>
                <w:sz w:val="20"/>
                <w:szCs w:val="20"/>
              </w:rPr>
              <w:t>Delphinus</w:t>
            </w:r>
            <w:proofErr w:type="spellEnd"/>
            <w:r w:rsidRPr="00C74977">
              <w:rPr>
                <w:rFonts w:ascii="Arial" w:hAnsi="Arial" w:cs="Arial"/>
                <w:sz w:val="20"/>
                <w:szCs w:val="20"/>
              </w:rPr>
              <w:t xml:space="preserve"> </w:t>
            </w:r>
            <w:proofErr w:type="spellStart"/>
            <w:r w:rsidRPr="00C74977">
              <w:rPr>
                <w:rFonts w:ascii="Arial" w:hAnsi="Arial" w:cs="Arial"/>
                <w:sz w:val="20"/>
                <w:szCs w:val="20"/>
              </w:rPr>
              <w:t>delphis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Préoccupation mineure (</w:t>
            </w:r>
            <w:proofErr w:type="spellStart"/>
            <w:r w:rsidRPr="00C74977">
              <w:rPr>
                <w:rFonts w:ascii="Arial" w:hAnsi="Arial" w:cs="Arial"/>
                <w:sz w:val="20"/>
                <w:szCs w:val="20"/>
              </w:rPr>
              <w:t>Delphinus</w:t>
            </w:r>
            <w:proofErr w:type="spellEnd"/>
            <w:r w:rsidRPr="00C74977">
              <w:rPr>
                <w:rFonts w:ascii="Arial" w:hAnsi="Arial" w:cs="Arial"/>
                <w:sz w:val="20"/>
                <w:szCs w:val="20"/>
              </w:rPr>
              <w:t xml:space="preserve"> </w:t>
            </w:r>
            <w:proofErr w:type="spellStart"/>
            <w:r w:rsidRPr="00C74977">
              <w:rPr>
                <w:rFonts w:ascii="Arial" w:hAnsi="Arial" w:cs="Arial"/>
                <w:sz w:val="20"/>
                <w:szCs w:val="20"/>
              </w:rPr>
              <w:t>delphis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 (</w:t>
            </w:r>
            <w:proofErr w:type="spellStart"/>
            <w:r w:rsidRPr="00C74977">
              <w:rPr>
                <w:rFonts w:ascii="Arial" w:hAnsi="Arial" w:cs="Arial"/>
                <w:sz w:val="20"/>
                <w:szCs w:val="20"/>
              </w:rPr>
              <w:t>Delphinus</w:t>
            </w:r>
            <w:proofErr w:type="spellEnd"/>
            <w:r w:rsidRPr="00C74977">
              <w:rPr>
                <w:rFonts w:ascii="Arial" w:hAnsi="Arial" w:cs="Arial"/>
                <w:sz w:val="20"/>
                <w:szCs w:val="20"/>
              </w:rPr>
              <w:t xml:space="preserve"> </w:t>
            </w:r>
            <w:proofErr w:type="spellStart"/>
            <w:r w:rsidRPr="00C74977">
              <w:rPr>
                <w:rFonts w:ascii="Arial" w:hAnsi="Arial" w:cs="Arial"/>
                <w:sz w:val="20"/>
                <w:szCs w:val="20"/>
              </w:rPr>
              <w:t>delphis</w:t>
            </w:r>
            <w:proofErr w:type="spellEnd"/>
            <w:r w:rsidRPr="00C74977">
              <w:rPr>
                <w:rFonts w:ascii="Arial" w:hAnsi="Arial" w:cs="Arial"/>
                <w:sz w:val="20"/>
                <w:szCs w:val="20"/>
              </w:rPr>
              <w:t>)</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Grampus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griseus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Dauphin de </w:t>
            </w:r>
            <w:proofErr w:type="spellStart"/>
            <w:r w:rsidRPr="00C74977">
              <w:rPr>
                <w:rFonts w:ascii="Arial" w:hAnsi="Arial" w:cs="Arial"/>
                <w:sz w:val="20"/>
                <w:szCs w:val="20"/>
              </w:rPr>
              <w:t>Risso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Régulière, peu fréquente. Eaux profondes, dans toute la région. </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1988</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 ACCOBAMS, ASCOBANS, mammifères aquatiques d’Afrique de l’Ouest, cétacés des îles du Pacifique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Préoccupation mineure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Fausse orque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Régulière, peu fréquente. Eaux profondes, dans toute la région. </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ACCOBAMS, ASCOBANS, cétacés des îles du Pacifique, mammifères aquatiques d’Afrique de l’Ouest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Quasi menacée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Dauphin à bosse de l’océan Indien</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Régulière dans les eaux côtières.</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1991 (Sousa </w:t>
            </w:r>
            <w:proofErr w:type="spellStart"/>
            <w:r w:rsidRPr="00C74977">
              <w:rPr>
                <w:rFonts w:ascii="Arial" w:hAnsi="Arial" w:cs="Arial"/>
                <w:sz w:val="20"/>
                <w:szCs w:val="20"/>
              </w:rPr>
              <w:t>chinensis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CMS, cétacés des îles du Pacifique (Sousa </w:t>
            </w:r>
            <w:proofErr w:type="spellStart"/>
            <w:r w:rsidRPr="00C74977">
              <w:rPr>
                <w:rFonts w:ascii="Arial" w:hAnsi="Arial" w:cs="Arial"/>
                <w:sz w:val="20"/>
                <w:szCs w:val="20"/>
              </w:rPr>
              <w:t>chinensis</w:t>
            </w:r>
            <w:proofErr w:type="spellEnd"/>
            <w:r w:rsidRPr="00C74977">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Espèce menacée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En déclin</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attenuata</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Dauphin tacheté pantropical</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Régulière. Eaux profondes, dans toute la région.</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1999</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 mammifères aquatiques d’Afrique de l’Ouest, cétacés des îles du Pacifique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Préoccupation mineure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longirostris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Dauphin à long bec</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Régulière. Eaux profondes et récifs dans toute la région.  </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1999</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 mammifères aquatiques d’Afrique de l’Ouest, cétacés des îles du Pacifique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Données insuffisantes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lastRenderedPageBreak/>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Grand dauphin de l’océan indien</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Régulière dans les eaux côtières. Principalement dans le nord. </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1979</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CMS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Données insuffisantes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r w:rsidR="0098242A" w:rsidRPr="00C74977" w:rsidTr="0098242A">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Grand dauphin</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 xml:space="preserve">Régulière. Eaux côtières dans toute la région. </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1991</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ASCOBANS, mammifères aquatiques d’Afrique occidentale, CMS, ACCOBAMS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Préoccupation mineure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Inconnue</w:t>
            </w:r>
          </w:p>
        </w:tc>
      </w:tr>
    </w:tbl>
    <w:p w:rsidR="00C74977" w:rsidRDefault="00C74977" w:rsidP="00EF7FC8">
      <w:pPr>
        <w:pStyle w:val="FourthnumberingA"/>
        <w:numPr>
          <w:ilvl w:val="0"/>
          <w:numId w:val="0"/>
        </w:numPr>
        <w:sectPr w:rsidR="00C74977" w:rsidSect="00C74977">
          <w:headerReference w:type="first" r:id="rId16"/>
          <w:footerReference w:type="first" r:id="rId17"/>
          <w:pgSz w:w="16838" w:h="11906" w:orient="landscape" w:code="9"/>
          <w:pgMar w:top="1134" w:right="1134" w:bottom="1134" w:left="1134" w:header="720" w:footer="720" w:gutter="0"/>
          <w:cols w:space="720"/>
          <w:titlePg/>
          <w:docGrid w:linePitch="360"/>
        </w:sectPr>
      </w:pPr>
    </w:p>
    <w:p w:rsidR="0098242A" w:rsidRDefault="0098242A" w:rsidP="00EF7FC8">
      <w:pPr>
        <w:pStyle w:val="FourthnumberingA"/>
        <w:numPr>
          <w:ilvl w:val="0"/>
          <w:numId w:val="0"/>
        </w:numPr>
      </w:pPr>
    </w:p>
    <w:p w:rsidR="0098242A" w:rsidRPr="0098242A" w:rsidRDefault="0098242A" w:rsidP="0098242A">
      <w:pPr>
        <w:spacing w:after="0" w:line="240" w:lineRule="auto"/>
        <w:rPr>
          <w:b/>
          <w:lang w:val="fr-FR"/>
        </w:rPr>
      </w:pPr>
      <w:r w:rsidRPr="0098242A">
        <w:rPr>
          <w:b/>
          <w:lang w:val="fr-FR"/>
        </w:rPr>
        <w:t>Menaces affectant les cétacés de la mer Rouge</w:t>
      </w:r>
    </w:p>
    <w:p w:rsidR="0098242A" w:rsidRPr="0098242A" w:rsidRDefault="0098242A" w:rsidP="0098242A">
      <w:pPr>
        <w:spacing w:after="0" w:line="240" w:lineRule="auto"/>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fr-FR"/>
        </w:rPr>
        <w:t xml:space="preserve">Avila, </w:t>
      </w:r>
      <w:proofErr w:type="spellStart"/>
      <w:r w:rsidRPr="00C74977">
        <w:rPr>
          <w:lang w:val="fr-FR"/>
        </w:rPr>
        <w:t>Kaschner</w:t>
      </w:r>
      <w:proofErr w:type="spellEnd"/>
      <w:r w:rsidRPr="00C74977">
        <w:rPr>
          <w:lang w:val="fr-FR"/>
        </w:rPr>
        <w:t xml:space="preserve"> et </w:t>
      </w:r>
      <w:proofErr w:type="spellStart"/>
      <w:r w:rsidRPr="00C74977">
        <w:rPr>
          <w:lang w:val="fr-FR"/>
        </w:rPr>
        <w:t>Dormann</w:t>
      </w:r>
      <w:proofErr w:type="spellEnd"/>
      <w:r w:rsidRPr="00C74977">
        <w:rPr>
          <w:lang w:val="fr-FR"/>
        </w:rPr>
        <w:t xml:space="preserve"> (2018) a identifié sept catégories de menaces qui affectent les mammifères marins à l’échelle mondiale : captures accidentelles, prélèvements directs, pollution, circulation, agents pathogènes, épuisement des ressources et altération de la physique des océans. Les menaces ont été classées en fonction du nombre d’espèces touchées et l’on a constaté que, dans le monde, les captures accidentelles menacent la plupart des espèces de mammifères marins (112 espèces), suivies de la pollution (qui menace 99 espèces), des prises directes (89 espèces) et du trafic (86 espèces) (Avila, </w:t>
      </w:r>
      <w:proofErr w:type="spellStart"/>
      <w:r w:rsidRPr="00C74977">
        <w:rPr>
          <w:lang w:val="fr-FR"/>
        </w:rPr>
        <w:t>Kaschner</w:t>
      </w:r>
      <w:proofErr w:type="spellEnd"/>
      <w:r w:rsidRPr="00C74977">
        <w:rPr>
          <w:lang w:val="fr-FR"/>
        </w:rPr>
        <w:t xml:space="preserve"> et </w:t>
      </w:r>
      <w:proofErr w:type="spellStart"/>
      <w:r w:rsidRPr="00C74977">
        <w:rPr>
          <w:lang w:val="fr-FR"/>
        </w:rPr>
        <w:t>Dormann</w:t>
      </w:r>
      <w:proofErr w:type="spellEnd"/>
      <w:r w:rsidRPr="00C74977">
        <w:rPr>
          <w:lang w:val="fr-FR"/>
        </w:rPr>
        <w:t>, 2018).</w:t>
      </w:r>
    </w:p>
    <w:p w:rsidR="0098242A" w:rsidRPr="0098242A" w:rsidRDefault="0098242A" w:rsidP="00C74977">
      <w:pPr>
        <w:spacing w:after="0" w:line="240" w:lineRule="auto"/>
        <w:ind w:left="567" w:hanging="360"/>
        <w:jc w:val="both"/>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es-ES"/>
        </w:rPr>
        <w:t xml:space="preserve">Notarbartolo di Sciara et al. </w:t>
      </w:r>
      <w:r w:rsidRPr="00C74977">
        <w:rPr>
          <w:lang w:val="fr-FR"/>
        </w:rPr>
        <w:t>(2017) a considéré le changement climatique, la pollution chimique et sonore, la perturbation de l’habitat essentiel et les meurtres directs comme les principales menaces affectant les cétacés de la mer Rouge.</w:t>
      </w:r>
    </w:p>
    <w:p w:rsidR="0098242A" w:rsidRPr="0098242A" w:rsidRDefault="0098242A" w:rsidP="00C74977">
      <w:pPr>
        <w:spacing w:after="0" w:line="240" w:lineRule="auto"/>
        <w:ind w:left="567" w:hanging="360"/>
        <w:jc w:val="both"/>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fr-FR"/>
        </w:rPr>
        <w:t xml:space="preserve">La liste rouge de l’UICN détaille les menaces pesant sur chaque espèce de cétacé et le tableau 2 indique les menaces auxquelles sont confrontées celles qui se trouvent en mer Rouge. Toutefois, il convient de noter que ces menaces sont celles auxquelles l’espèce est confrontée au niveau mondial et ne concernent pas spécifiquement la mer Rouge. En effet, Notarbartolo di Sciara et al. (2017) a suggéré que certaines menaces étaient jusqu’à présent insignifiantes en mer Rouge, notamment les captures accidentelles, l’épuisement des proies résultant de la surpêche et les collisions avec des navires. </w:t>
      </w:r>
    </w:p>
    <w:p w:rsidR="0098242A" w:rsidRPr="0098242A" w:rsidRDefault="0098242A" w:rsidP="00C74977">
      <w:pPr>
        <w:spacing w:after="0" w:line="240" w:lineRule="auto"/>
        <w:ind w:left="567" w:hanging="360"/>
        <w:jc w:val="both"/>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fr-FR"/>
        </w:rPr>
        <w:t xml:space="preserve">Les niveaux de pollution sont généralement faibles en mer Rouge (par rapport à d’autres zones marines), mais le risque de déversement majeur de pétrole est élevé compte tenu du nombre de pétroliers traversant chaque année la mer Rouge (Notarbartolo di Sciara et al., 2017). La pollution chimique et sonore est une menace localisée en mer Rouge dans les zones de construction (Notarbartolo di Sciara et al., 2017) ; en fait, la pression sur la zone côtière devrait devenir plus importante dans les années à venir (par exemple, en Arabie Saoudite) et devrait susciter des inquiétudes. Le changement climatique est une autre menace qui n’a pas encore été détectée parmi les populations de cétacés de la mer Rouge (bien qu’il existe des preuves que le biote de la mer Rouge, principalement les récifs coralliens, soit affecté par le changement climatique). </w:t>
      </w:r>
    </w:p>
    <w:p w:rsidR="0098242A" w:rsidRPr="0098242A" w:rsidRDefault="0098242A" w:rsidP="00C74977">
      <w:pPr>
        <w:spacing w:after="0" w:line="240" w:lineRule="auto"/>
        <w:ind w:left="567" w:hanging="360"/>
        <w:jc w:val="both"/>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fr-FR"/>
        </w:rPr>
        <w:t xml:space="preserve">Le tourisme qui cible directement les aires de repos des dauphins constitue une menace sérieuse dans certaines zones et pour certaines espèces, par exemple les grands dauphins </w:t>
      </w:r>
      <w:proofErr w:type="spellStart"/>
      <w:r w:rsidRPr="00C74977">
        <w:rPr>
          <w:lang w:val="fr-FR"/>
        </w:rPr>
        <w:t>indo-pacifiques</w:t>
      </w:r>
      <w:proofErr w:type="spellEnd"/>
      <w:r w:rsidRPr="00C74977">
        <w:rPr>
          <w:lang w:val="fr-FR"/>
        </w:rPr>
        <w:t xml:space="preserve"> à </w:t>
      </w:r>
      <w:proofErr w:type="spellStart"/>
      <w:r w:rsidRPr="00C74977">
        <w:rPr>
          <w:lang w:val="fr-FR"/>
        </w:rPr>
        <w:t>Hurghada</w:t>
      </w:r>
      <w:proofErr w:type="spellEnd"/>
      <w:r w:rsidRPr="00C74977">
        <w:rPr>
          <w:lang w:val="fr-FR"/>
        </w:rPr>
        <w:t xml:space="preserve"> en Égypte et les dauphins à long bec à </w:t>
      </w:r>
      <w:proofErr w:type="spellStart"/>
      <w:r w:rsidRPr="00C74977">
        <w:rPr>
          <w:lang w:val="fr-FR"/>
        </w:rPr>
        <w:t>Satayah</w:t>
      </w:r>
      <w:proofErr w:type="spellEnd"/>
      <w:r w:rsidRPr="00C74977">
        <w:rPr>
          <w:lang w:val="fr-FR"/>
        </w:rPr>
        <w:t xml:space="preserve"> en Égypte (Notarbartolo di Sciara et al., 2017). Notarbartolo di Sciara et al. (2009) détaille la manière dont un plan de gestion a été mis en place pour protéger les dauphins à long bec à </w:t>
      </w:r>
      <w:proofErr w:type="spellStart"/>
      <w:r w:rsidRPr="00C74977">
        <w:rPr>
          <w:lang w:val="fr-FR"/>
        </w:rPr>
        <w:t>Samadai</w:t>
      </w:r>
      <w:proofErr w:type="spellEnd"/>
      <w:r w:rsidRPr="00C74977">
        <w:rPr>
          <w:lang w:val="fr-FR"/>
        </w:rPr>
        <w:t xml:space="preserve">. Cependant, dans d’autres zones de repos importantes, tels que </w:t>
      </w:r>
      <w:proofErr w:type="spellStart"/>
      <w:r w:rsidRPr="00C74977">
        <w:rPr>
          <w:lang w:val="fr-FR"/>
        </w:rPr>
        <w:t>Fanous</w:t>
      </w:r>
      <w:proofErr w:type="spellEnd"/>
      <w:r w:rsidRPr="00C74977">
        <w:rPr>
          <w:lang w:val="fr-FR"/>
        </w:rPr>
        <w:t xml:space="preserve"> </w:t>
      </w:r>
      <w:proofErr w:type="spellStart"/>
      <w:r w:rsidRPr="00C74977">
        <w:rPr>
          <w:lang w:val="fr-FR"/>
        </w:rPr>
        <w:t>Reef</w:t>
      </w:r>
      <w:proofErr w:type="spellEnd"/>
      <w:r w:rsidRPr="00C74977">
        <w:rPr>
          <w:lang w:val="fr-FR"/>
        </w:rPr>
        <w:t xml:space="preserve"> et </w:t>
      </w:r>
      <w:proofErr w:type="spellStart"/>
      <w:r w:rsidRPr="00C74977">
        <w:rPr>
          <w:lang w:val="fr-FR"/>
        </w:rPr>
        <w:t>Satayah</w:t>
      </w:r>
      <w:proofErr w:type="spellEnd"/>
      <w:r w:rsidRPr="00C74977">
        <w:rPr>
          <w:lang w:val="fr-FR"/>
        </w:rPr>
        <w:t>, aucun plan de gestion n’est en place et les effets des perturbations sont très préoccupants (</w:t>
      </w:r>
      <w:proofErr w:type="spellStart"/>
      <w:r w:rsidRPr="00C74977">
        <w:rPr>
          <w:lang w:val="fr-FR"/>
        </w:rPr>
        <w:t>Fumagalli</w:t>
      </w:r>
      <w:proofErr w:type="spellEnd"/>
      <w:r w:rsidRPr="00C74977">
        <w:rPr>
          <w:lang w:val="fr-FR"/>
        </w:rPr>
        <w:t xml:space="preserve"> et al. 2018). </w:t>
      </w:r>
    </w:p>
    <w:p w:rsidR="0098242A" w:rsidRPr="0098242A" w:rsidRDefault="0098242A" w:rsidP="00C74977">
      <w:pPr>
        <w:spacing w:after="0" w:line="240" w:lineRule="auto"/>
        <w:ind w:left="567" w:hanging="360"/>
        <w:jc w:val="both"/>
        <w:rPr>
          <w:lang w:val="fr-FR"/>
        </w:rPr>
      </w:pPr>
    </w:p>
    <w:p w:rsidR="0098242A" w:rsidRPr="00C74977" w:rsidRDefault="0098242A" w:rsidP="00C74977">
      <w:pPr>
        <w:pStyle w:val="ListParagraph"/>
        <w:numPr>
          <w:ilvl w:val="0"/>
          <w:numId w:val="20"/>
        </w:numPr>
        <w:spacing w:after="0" w:line="240" w:lineRule="auto"/>
        <w:ind w:left="567"/>
        <w:jc w:val="both"/>
        <w:rPr>
          <w:lang w:val="fr-FR"/>
        </w:rPr>
      </w:pPr>
      <w:r w:rsidRPr="00C74977">
        <w:rPr>
          <w:lang w:val="fr-FR"/>
        </w:rPr>
        <w:t>On relève des cas de dauphins tués pour utiliser leur viande comme appât pour la pêche au requin, mais cela n’est considéré comme une menace pour aucune espèce au niveau de la conservation (Notarbartolo di Sciara et al., 2017).</w:t>
      </w:r>
    </w:p>
    <w:p w:rsidR="0098242A" w:rsidRPr="0098242A" w:rsidRDefault="0098242A" w:rsidP="00C74977">
      <w:pPr>
        <w:spacing w:after="0" w:line="240" w:lineRule="auto"/>
        <w:ind w:left="567" w:hanging="360"/>
        <w:jc w:val="both"/>
        <w:rPr>
          <w:lang w:val="fr-FR"/>
        </w:rPr>
      </w:pPr>
    </w:p>
    <w:p w:rsidR="0098242A" w:rsidRPr="00C74977" w:rsidRDefault="0098242A" w:rsidP="00193998">
      <w:pPr>
        <w:pStyle w:val="ListParagraph"/>
        <w:numPr>
          <w:ilvl w:val="0"/>
          <w:numId w:val="20"/>
        </w:numPr>
        <w:spacing w:after="0" w:line="240" w:lineRule="auto"/>
        <w:ind w:left="567"/>
        <w:jc w:val="both"/>
        <w:rPr>
          <w:lang w:val="fr-FR"/>
        </w:rPr>
      </w:pPr>
      <w:r w:rsidRPr="00C74977">
        <w:rPr>
          <w:lang w:val="fr-FR"/>
        </w:rPr>
        <w:t>Une étude récente a examiné la santé de certains cétacés de la mer Rouge. Des échantillons fécaux prélevés sur de grands dauphins de l’océan Indien (</w:t>
      </w:r>
      <w:proofErr w:type="spellStart"/>
      <w:r w:rsidRPr="00C74977">
        <w:rPr>
          <w:i/>
          <w:lang w:val="fr-FR"/>
        </w:rPr>
        <w:t>Tursiops</w:t>
      </w:r>
      <w:proofErr w:type="spellEnd"/>
      <w:r w:rsidRPr="00C74977">
        <w:rPr>
          <w:i/>
          <w:lang w:val="fr-FR"/>
        </w:rPr>
        <w:t xml:space="preserve"> </w:t>
      </w:r>
      <w:proofErr w:type="spellStart"/>
      <w:r w:rsidRPr="00C74977">
        <w:rPr>
          <w:i/>
          <w:lang w:val="fr-FR"/>
        </w:rPr>
        <w:t>aduncus</w:t>
      </w:r>
      <w:proofErr w:type="spellEnd"/>
      <w:r w:rsidRPr="00C74977">
        <w:rPr>
          <w:lang w:val="fr-FR"/>
        </w:rPr>
        <w:t xml:space="preserve">) en liberté à </w:t>
      </w:r>
      <w:proofErr w:type="spellStart"/>
      <w:r w:rsidRPr="00C74977">
        <w:rPr>
          <w:lang w:val="fr-FR"/>
        </w:rPr>
        <w:t>Hurghada</w:t>
      </w:r>
      <w:proofErr w:type="spellEnd"/>
      <w:r w:rsidRPr="00C74977">
        <w:rPr>
          <w:lang w:val="fr-FR"/>
        </w:rPr>
        <w:t>, en Égypte, ont permis d’identifier 10 espèces de protozoaires et 11 espèces parasitaires métazoaires (</w:t>
      </w:r>
      <w:proofErr w:type="spellStart"/>
      <w:r w:rsidRPr="00C74977">
        <w:rPr>
          <w:lang w:val="fr-FR"/>
        </w:rPr>
        <w:t>Kleinertz</w:t>
      </w:r>
      <w:proofErr w:type="spellEnd"/>
      <w:r w:rsidRPr="00C74977">
        <w:rPr>
          <w:lang w:val="fr-FR"/>
        </w:rPr>
        <w:t xml:space="preserve"> et al., 2014). Certains de ces parasites sont potentiellement pathogènes. Le </w:t>
      </w:r>
      <w:proofErr w:type="spellStart"/>
      <w:r w:rsidRPr="00C74977">
        <w:rPr>
          <w:i/>
          <w:lang w:val="fr-FR"/>
        </w:rPr>
        <w:t>Nasitrema</w:t>
      </w:r>
      <w:proofErr w:type="spellEnd"/>
      <w:r w:rsidRPr="00C74977">
        <w:rPr>
          <w:i/>
          <w:lang w:val="fr-FR"/>
        </w:rPr>
        <w:t xml:space="preserve"> </w:t>
      </w:r>
      <w:proofErr w:type="spellStart"/>
      <w:r w:rsidRPr="00C74977">
        <w:rPr>
          <w:i/>
          <w:lang w:val="fr-FR"/>
        </w:rPr>
        <w:t>attenuata</w:t>
      </w:r>
      <w:proofErr w:type="spellEnd"/>
      <w:r w:rsidRPr="00C74977">
        <w:rPr>
          <w:lang w:val="fr-FR"/>
        </w:rPr>
        <w:t xml:space="preserve"> peut, par exemple, s’il envahit le cerveau, provoquer une nécrose étendue et une méningo-encéphalite mortelle chez les petits cétacés. L’étude a également mis en évidence des œufs de </w:t>
      </w:r>
      <w:proofErr w:type="spellStart"/>
      <w:r w:rsidRPr="00C74977">
        <w:rPr>
          <w:i/>
          <w:lang w:val="fr-FR"/>
        </w:rPr>
        <w:t>diphyllobothrium</w:t>
      </w:r>
      <w:proofErr w:type="spellEnd"/>
      <w:r w:rsidRPr="00C74977">
        <w:rPr>
          <w:lang w:val="fr-FR"/>
        </w:rPr>
        <w:t xml:space="preserve"> dans les échantillons de selles. Les dauphins infectés par les ténias matures de </w:t>
      </w:r>
      <w:proofErr w:type="spellStart"/>
      <w:r w:rsidRPr="00C74977">
        <w:rPr>
          <w:i/>
          <w:lang w:val="fr-FR"/>
        </w:rPr>
        <w:t>Diphyllobothrium</w:t>
      </w:r>
      <w:proofErr w:type="spellEnd"/>
      <w:r w:rsidRPr="00C74977">
        <w:rPr>
          <w:lang w:val="fr-FR"/>
        </w:rPr>
        <w:t xml:space="preserve"> peuvent être affaiblis et mourir si leur charge parasitaire est élevée (</w:t>
      </w:r>
      <w:proofErr w:type="spellStart"/>
      <w:r w:rsidRPr="00C74977">
        <w:rPr>
          <w:lang w:val="fr-FR"/>
        </w:rPr>
        <w:t>Kleinertz</w:t>
      </w:r>
      <w:proofErr w:type="spellEnd"/>
      <w:r w:rsidRPr="00C74977">
        <w:rPr>
          <w:lang w:val="fr-FR"/>
        </w:rPr>
        <w:t xml:space="preserve"> et al., 2014). </w:t>
      </w:r>
    </w:p>
    <w:p w:rsidR="0098242A" w:rsidRDefault="0098242A" w:rsidP="0098242A">
      <w:pPr>
        <w:spacing w:after="0" w:line="240" w:lineRule="auto"/>
        <w:rPr>
          <w:i/>
          <w:lang w:val="fr-FR"/>
        </w:rPr>
      </w:pPr>
      <w:r w:rsidRPr="0098242A">
        <w:rPr>
          <w:b/>
          <w:i/>
          <w:lang w:val="fr-FR"/>
        </w:rPr>
        <w:lastRenderedPageBreak/>
        <w:t>Tableau 2 : Menaces mondiales pour les espèces de cétacés de la mer Rouge</w:t>
      </w:r>
      <w:r w:rsidRPr="0098242A">
        <w:rPr>
          <w:i/>
          <w:lang w:val="fr-FR"/>
        </w:rPr>
        <w:t xml:space="preserve"> </w:t>
      </w:r>
      <w:r w:rsidRPr="0098242A">
        <w:rPr>
          <w:b/>
          <w:i/>
          <w:lang w:val="fr-FR"/>
        </w:rPr>
        <w:t>figurant sur la liste rouge de l’UICN.</w:t>
      </w:r>
      <w:r w:rsidRPr="0098242A">
        <w:rPr>
          <w:i/>
          <w:lang w:val="fr-FR"/>
        </w:rPr>
        <w:t xml:space="preserve"> Remarque : les menaces sont identifiées au niveau mondial ici et ne sont pas spécifiques à la mer Rouge (Réf. : Baird, 2018 ; </w:t>
      </w:r>
      <w:proofErr w:type="spellStart"/>
      <w:r w:rsidRPr="0098242A">
        <w:rPr>
          <w:i/>
          <w:lang w:val="fr-FR"/>
        </w:rPr>
        <w:t>Bearzi</w:t>
      </w:r>
      <w:proofErr w:type="spellEnd"/>
      <w:r w:rsidRPr="0098242A">
        <w:rPr>
          <w:i/>
          <w:lang w:val="fr-FR"/>
        </w:rPr>
        <w:t xml:space="preserve"> et al., 2012 ; </w:t>
      </w:r>
      <w:proofErr w:type="spellStart"/>
      <w:r w:rsidRPr="0098242A">
        <w:rPr>
          <w:i/>
          <w:lang w:val="fr-FR"/>
        </w:rPr>
        <w:t>Braulik</w:t>
      </w:r>
      <w:proofErr w:type="spellEnd"/>
      <w:r w:rsidRPr="0098242A">
        <w:rPr>
          <w:i/>
          <w:lang w:val="fr-FR"/>
        </w:rPr>
        <w:t xml:space="preserve"> et al., 2017 ; Cooke et </w:t>
      </w:r>
      <w:proofErr w:type="spellStart"/>
      <w:r w:rsidRPr="0098242A">
        <w:rPr>
          <w:i/>
          <w:lang w:val="fr-FR"/>
        </w:rPr>
        <w:t>Brownell</w:t>
      </w:r>
      <w:proofErr w:type="spellEnd"/>
      <w:r w:rsidRPr="0098242A">
        <w:rPr>
          <w:i/>
          <w:lang w:val="fr-FR"/>
        </w:rPr>
        <w:t>, 2018 ; Hammond et al. 2008 ; Hammond et al., 2012abc ; Taylor et al., 2012)</w:t>
      </w:r>
    </w:p>
    <w:p w:rsidR="00F142A9" w:rsidRDefault="00F142A9" w:rsidP="0098242A">
      <w:pPr>
        <w:spacing w:after="0" w:line="240" w:lineRule="auto"/>
        <w:rPr>
          <w:i/>
          <w:lang w:val="fr-FR"/>
        </w:rPr>
      </w:pPr>
    </w:p>
    <w:p w:rsidR="00F142A9" w:rsidRPr="0098242A" w:rsidRDefault="00F142A9" w:rsidP="0098242A">
      <w:pPr>
        <w:spacing w:after="0" w:line="240" w:lineRule="auto"/>
        <w:rPr>
          <w:i/>
          <w:lang w:val="fr-FR"/>
        </w:rPr>
      </w:pPr>
    </w:p>
    <w:p w:rsidR="0098242A" w:rsidRPr="00C74977" w:rsidRDefault="0098242A" w:rsidP="0098242A">
      <w:pPr>
        <w:spacing w:after="0" w:line="240" w:lineRule="auto"/>
        <w:rPr>
          <w:rFonts w:cs="Arial"/>
          <w:iCs/>
          <w:sz w:val="20"/>
          <w:szCs w:val="20"/>
          <w:lang w:val="fr-FR"/>
        </w:rPr>
      </w:pPr>
    </w:p>
    <w:tbl>
      <w:tblPr>
        <w:tblStyle w:val="TableGrid"/>
        <w:tblW w:w="0" w:type="auto"/>
        <w:tblInd w:w="0" w:type="dxa"/>
        <w:tblLook w:val="04A0" w:firstRow="1" w:lastRow="0" w:firstColumn="1" w:lastColumn="0" w:noHBand="0" w:noVBand="1"/>
      </w:tblPr>
      <w:tblGrid>
        <w:gridCol w:w="2138"/>
        <w:gridCol w:w="1670"/>
        <w:gridCol w:w="2578"/>
        <w:gridCol w:w="1515"/>
        <w:gridCol w:w="1727"/>
      </w:tblGrid>
      <w:tr w:rsidR="0098242A" w:rsidRPr="00C74977" w:rsidTr="0098242A">
        <w:trPr>
          <w:tblHeader/>
        </w:trPr>
        <w:tc>
          <w:tcPr>
            <w:tcW w:w="0" w:type="auto"/>
            <w:gridSpan w:val="3"/>
            <w:tcBorders>
              <w:top w:val="single" w:sz="4" w:space="0" w:color="auto"/>
              <w:left w:val="single" w:sz="4" w:space="0" w:color="auto"/>
              <w:bottom w:val="single" w:sz="4" w:space="0" w:color="auto"/>
              <w:right w:val="single" w:sz="4" w:space="0" w:color="auto"/>
            </w:tcBorders>
            <w:hideMark/>
          </w:tcPr>
          <w:p w:rsidR="0098242A" w:rsidRPr="00F142A9" w:rsidRDefault="0098242A">
            <w:pPr>
              <w:rPr>
                <w:rFonts w:ascii="Arial" w:hAnsi="Arial" w:cs="Arial"/>
                <w:b/>
                <w:iCs/>
                <w:sz w:val="22"/>
                <w:szCs w:val="22"/>
              </w:rPr>
            </w:pPr>
            <w:r w:rsidRPr="00F142A9">
              <w:rPr>
                <w:rFonts w:ascii="Arial" w:hAnsi="Arial" w:cs="Arial"/>
                <w:b/>
                <w:iCs/>
                <w:sz w:val="22"/>
                <w:szCs w:val="22"/>
              </w:rPr>
              <w:t>Menace</w:t>
            </w:r>
          </w:p>
        </w:tc>
        <w:tc>
          <w:tcPr>
            <w:tcW w:w="0" w:type="auto"/>
            <w:tcBorders>
              <w:top w:val="single" w:sz="4" w:space="0" w:color="auto"/>
              <w:left w:val="single" w:sz="4" w:space="0" w:color="auto"/>
              <w:bottom w:val="single" w:sz="4" w:space="0" w:color="auto"/>
              <w:right w:val="single" w:sz="4" w:space="0" w:color="auto"/>
            </w:tcBorders>
            <w:hideMark/>
          </w:tcPr>
          <w:p w:rsidR="0098242A" w:rsidRPr="00F142A9" w:rsidRDefault="0098242A">
            <w:pPr>
              <w:rPr>
                <w:rFonts w:ascii="Arial" w:hAnsi="Arial" w:cs="Arial"/>
                <w:b/>
                <w:iCs/>
                <w:sz w:val="22"/>
                <w:szCs w:val="22"/>
              </w:rPr>
            </w:pPr>
            <w:r w:rsidRPr="00F142A9">
              <w:rPr>
                <w:rFonts w:ascii="Arial" w:hAnsi="Arial" w:cs="Arial"/>
                <w:b/>
                <w:iCs/>
                <w:sz w:val="22"/>
                <w:szCs w:val="22"/>
              </w:rPr>
              <w:t>Espèces menacées</w:t>
            </w:r>
          </w:p>
        </w:tc>
        <w:tc>
          <w:tcPr>
            <w:tcW w:w="0" w:type="auto"/>
            <w:tcBorders>
              <w:top w:val="single" w:sz="4" w:space="0" w:color="auto"/>
              <w:left w:val="single" w:sz="4" w:space="0" w:color="auto"/>
              <w:bottom w:val="single" w:sz="4" w:space="0" w:color="auto"/>
              <w:right w:val="single" w:sz="4" w:space="0" w:color="auto"/>
            </w:tcBorders>
            <w:hideMark/>
          </w:tcPr>
          <w:p w:rsidR="0098242A" w:rsidRPr="00F142A9" w:rsidRDefault="0098242A">
            <w:pPr>
              <w:rPr>
                <w:rFonts w:ascii="Arial" w:hAnsi="Arial" w:cs="Arial"/>
                <w:b/>
                <w:iCs/>
                <w:sz w:val="22"/>
                <w:szCs w:val="22"/>
              </w:rPr>
            </w:pPr>
            <w:r w:rsidRPr="00F142A9">
              <w:rPr>
                <w:rFonts w:ascii="Arial" w:hAnsi="Arial" w:cs="Arial"/>
                <w:b/>
                <w:iCs/>
                <w:sz w:val="22"/>
                <w:szCs w:val="22"/>
              </w:rPr>
              <w:t>Chronologie</w:t>
            </w:r>
          </w:p>
        </w:tc>
      </w:tr>
      <w:tr w:rsidR="0098242A" w:rsidRPr="00C74977" w:rsidTr="0098242A">
        <w:trPr>
          <w:trHeight w:val="549"/>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Corridors de déplacement et de service</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Voies de navigation</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Balaenoptera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edeni</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iCs/>
                <w:sz w:val="20"/>
                <w:szCs w:val="20"/>
              </w:rPr>
            </w:pPr>
            <w:r w:rsidRPr="00C74977">
              <w:rPr>
                <w:rFonts w:ascii="Arial" w:hAnsi="Arial" w:cs="Arial"/>
                <w:iCs/>
                <w:sz w:val="20"/>
                <w:szCs w:val="20"/>
              </w:rPr>
              <w:t>En cours</w:t>
            </w:r>
          </w:p>
          <w:p w:rsidR="0098242A" w:rsidRPr="00C74977" w:rsidRDefault="0098242A">
            <w:pPr>
              <w:rPr>
                <w:rFonts w:ascii="Arial" w:hAnsi="Arial" w:cs="Arial"/>
                <w:iCs/>
                <w:sz w:val="20"/>
                <w:szCs w:val="20"/>
              </w:rPr>
            </w:pPr>
          </w:p>
        </w:tc>
      </w:tr>
      <w:tr w:rsidR="0098242A" w:rsidRPr="00C74977" w:rsidTr="0098242A">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F15A9E" w:rsidTr="0098242A">
        <w:trPr>
          <w:trHeight w:val="548"/>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Utilisation des ressources biologiques</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Pêche et récolte, ressources aquatiques</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Utilisation intentionnelle : (à grande échelle) [récolte]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Balaenoptera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edeni</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Passé, peu de chances de retour</w:t>
            </w:r>
          </w:p>
        </w:tc>
      </w:tr>
      <w:tr w:rsidR="0098242A" w:rsidRPr="00C74977" w:rsidTr="0098242A">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attenuata</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Utilisation intentionnelle : (subsistance/à petite échelle) [récolte]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Grampus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griseus</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attenuata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longirostris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Effets non intentionnels : (subsistance/à petite échelle) [récolte]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Grampus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griseus</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iCs/>
                <w:sz w:val="20"/>
                <w:szCs w:val="20"/>
              </w:rPr>
            </w:pPr>
            <w:r w:rsidRPr="00C74977">
              <w:rPr>
                <w:rFonts w:ascii="Arial" w:hAnsi="Arial" w:cs="Arial"/>
                <w:iCs/>
                <w:sz w:val="20"/>
                <w:szCs w:val="20"/>
              </w:rPr>
              <w:t>En cours</w:t>
            </w:r>
          </w:p>
          <w:p w:rsidR="0098242A" w:rsidRPr="00C74977" w:rsidRDefault="0098242A">
            <w:pPr>
              <w:rPr>
                <w:rFonts w:ascii="Arial" w:hAnsi="Arial" w:cs="Arial"/>
                <w:iCs/>
                <w:sz w:val="20"/>
                <w:szCs w:val="20"/>
              </w:rPr>
            </w:pPr>
          </w:p>
        </w:tc>
      </w:tr>
      <w:tr w:rsidR="0098242A" w:rsidRPr="00C74977" w:rsidTr="0098242A">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attenuata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Effets non intentionnels : (à grande échelle) [récolte]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iCs/>
                <w:sz w:val="20"/>
                <w:szCs w:val="20"/>
              </w:rPr>
            </w:pPr>
            <w:r w:rsidRPr="00C74977">
              <w:rPr>
                <w:rFonts w:ascii="Arial" w:hAnsi="Arial" w:cs="Arial"/>
                <w:iCs/>
                <w:sz w:val="20"/>
                <w:szCs w:val="20"/>
              </w:rPr>
              <w:t>En cours</w:t>
            </w:r>
          </w:p>
          <w:p w:rsidR="0098242A" w:rsidRPr="00C74977" w:rsidRDefault="0098242A">
            <w:pPr>
              <w:rPr>
                <w:rFonts w:ascii="Arial" w:hAnsi="Arial" w:cs="Arial"/>
                <w:iCs/>
                <w:sz w:val="20"/>
                <w:szCs w:val="20"/>
              </w:rPr>
            </w:pPr>
          </w:p>
        </w:tc>
      </w:tr>
      <w:tr w:rsidR="0098242A" w:rsidRPr="00C74977" w:rsidTr="0098242A">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longirostris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p w:rsidR="00F142A9" w:rsidRPr="00C74977" w:rsidRDefault="00F142A9">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Persécution/Contrôle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attenuata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08"/>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Pollution</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Effluents industriels et militaires</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Déversements de pétrole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Balaenoptera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edeni</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Type inconnu/non enregistré</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Ordures et déchets solides</w:t>
            </w:r>
          </w:p>
        </w:tc>
        <w:tc>
          <w:tcPr>
            <w:tcW w:w="0" w:type="auto"/>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Pseudorca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crassidens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Excédent d’énergie</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Pollution sonore</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proofErr w:type="spellStart"/>
            <w:r w:rsidRPr="00C74977">
              <w:rPr>
                <w:rFonts w:ascii="Arial" w:hAnsi="Arial" w:cs="Arial"/>
                <w:iCs/>
                <w:sz w:val="20"/>
                <w:szCs w:val="20"/>
              </w:rPr>
              <w:t>Grampus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griseus</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Eaux usées domestiques et urbaines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Ruissellement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Type inconnu/non enregistré</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sz w:val="20"/>
                <w:szCs w:val="20"/>
              </w:rPr>
            </w:pPr>
            <w:r w:rsidRPr="00C74977">
              <w:rPr>
                <w:rFonts w:ascii="Arial" w:hAnsi="Arial" w:cs="Arial"/>
                <w:sz w:val="20"/>
                <w:szCs w:val="20"/>
              </w:rPr>
              <w:t>Effluents agricoles et forestiers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Herbicides et pesticides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Type inconnu/non enregistré</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92"/>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Espèces, gènes et maladies envahissants et problématiques</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Espèces indigènes/maladies problématiques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17"/>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Changement climatique et intempéries</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Mutation et altération de l’habitat</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Delphinus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delphis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Grampus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griseus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Futur</w:t>
            </w:r>
          </w:p>
        </w:tc>
      </w:tr>
      <w:tr w:rsidR="0098242A" w:rsidRPr="00C74977" w:rsidTr="0098242A">
        <w:trPr>
          <w:trHeight w:val="289"/>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Développement résidentiel et commercial</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Logement et zones urbaines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p w:rsidR="00F142A9" w:rsidRPr="00C74977" w:rsidRDefault="00F142A9">
            <w:pPr>
              <w:rPr>
                <w:rFonts w:ascii="Arial" w:hAnsi="Arial" w:cs="Arial"/>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tcPr>
          <w:p w:rsidR="0098242A" w:rsidRPr="00C74977" w:rsidRDefault="0098242A">
            <w:pPr>
              <w:rPr>
                <w:rFonts w:ascii="Arial" w:hAnsi="Arial" w:cs="Arial"/>
                <w:sz w:val="20"/>
                <w:szCs w:val="20"/>
              </w:rPr>
            </w:pPr>
            <w:r w:rsidRPr="00C74977">
              <w:rPr>
                <w:rFonts w:ascii="Arial" w:hAnsi="Arial" w:cs="Arial"/>
                <w:sz w:val="20"/>
                <w:szCs w:val="20"/>
              </w:rPr>
              <w:t>Zones commerciales et industrielles</w:t>
            </w:r>
          </w:p>
          <w:p w:rsidR="0098242A" w:rsidRPr="00C74977" w:rsidRDefault="0098242A">
            <w:pPr>
              <w:rPr>
                <w:rFonts w:ascii="Arial" w:hAnsi="Arial" w:cs="Arial"/>
                <w:sz w:val="20"/>
                <w:szCs w:val="20"/>
              </w:rPr>
            </w:pPr>
          </w:p>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 xml:space="preserve">Sousa </w:t>
            </w:r>
            <w:proofErr w:type="spellStart"/>
            <w:r w:rsidRPr="00C74977">
              <w:rPr>
                <w:rFonts w:ascii="Arial" w:hAnsi="Arial" w:cs="Arial"/>
                <w:iCs/>
                <w:sz w:val="20"/>
                <w:szCs w:val="20"/>
              </w:rPr>
              <w:t>Plumbea</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Zones de tourisme et de loisirs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r w:rsidRPr="00C74977">
              <w:rPr>
                <w:rFonts w:ascii="Arial" w:hAnsi="Arial" w:cs="Arial"/>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558"/>
        </w:trPr>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Intrusions et perturbations humaines</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sz w:val="20"/>
                <w:szCs w:val="20"/>
              </w:rPr>
              <w:t>Activités de loisirs</w:t>
            </w: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Stenella</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longirostris</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r w:rsidRPr="00C74977">
              <w:rPr>
                <w:rFonts w:ascii="Arial" w:hAnsi="Arial" w:cs="Arial"/>
                <w:iCs/>
                <w:sz w:val="20"/>
                <w:szCs w:val="20"/>
              </w:rPr>
              <w:t>En cours</w:t>
            </w:r>
          </w:p>
        </w:tc>
      </w:tr>
      <w:tr w:rsidR="0098242A" w:rsidRPr="00C74977" w:rsidTr="0098242A">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aduncus</w:t>
            </w:r>
            <w:proofErr w:type="spellEnd"/>
            <w:r w:rsidRPr="00C74977">
              <w:rPr>
                <w:rFonts w:ascii="Arial" w:hAnsi="Arial" w:cs="Arial"/>
                <w:i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r w:rsidR="0098242A" w:rsidRPr="00C74977" w:rsidTr="0098242A">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8242A" w:rsidRPr="00C74977" w:rsidRDefault="0098242A">
            <w:pPr>
              <w:rPr>
                <w:rFonts w:ascii="Arial" w:hAnsi="Arial" w:cs="Arial"/>
                <w:iCs/>
                <w:sz w:val="20"/>
                <w:szCs w:val="20"/>
              </w:rPr>
            </w:pPr>
            <w:proofErr w:type="spellStart"/>
            <w:r w:rsidRPr="00C74977">
              <w:rPr>
                <w:rFonts w:ascii="Arial" w:hAnsi="Arial" w:cs="Arial"/>
                <w:iCs/>
                <w:sz w:val="20"/>
                <w:szCs w:val="20"/>
              </w:rPr>
              <w:t>Tursiops</w:t>
            </w:r>
            <w:proofErr w:type="spellEnd"/>
            <w:r w:rsidRPr="00C74977">
              <w:rPr>
                <w:rFonts w:ascii="Arial" w:hAnsi="Arial" w:cs="Arial"/>
                <w:iCs/>
                <w:sz w:val="20"/>
                <w:szCs w:val="20"/>
              </w:rPr>
              <w:t xml:space="preserve"> </w:t>
            </w:r>
            <w:proofErr w:type="spellStart"/>
            <w:r w:rsidRPr="00C74977">
              <w:rPr>
                <w:rFonts w:ascii="Arial" w:hAnsi="Arial" w:cs="Arial"/>
                <w:iCs/>
                <w:sz w:val="20"/>
                <w:szCs w:val="20"/>
              </w:rPr>
              <w:t>truncatus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2A" w:rsidRPr="00C74977" w:rsidRDefault="0098242A">
            <w:pPr>
              <w:rPr>
                <w:rFonts w:ascii="Arial" w:hAnsi="Arial" w:cs="Arial"/>
                <w:iCs/>
                <w:sz w:val="20"/>
                <w:szCs w:val="20"/>
              </w:rPr>
            </w:pPr>
          </w:p>
        </w:tc>
      </w:tr>
    </w:tbl>
    <w:p w:rsidR="0098242A" w:rsidRPr="00C74977" w:rsidRDefault="0098242A" w:rsidP="0098242A">
      <w:pPr>
        <w:spacing w:after="0" w:line="240" w:lineRule="auto"/>
        <w:rPr>
          <w:rFonts w:cs="Arial"/>
          <w:b/>
          <w:sz w:val="20"/>
          <w:szCs w:val="20"/>
          <w:lang w:val="fr-FR"/>
        </w:rPr>
      </w:pPr>
    </w:p>
    <w:p w:rsidR="0098242A" w:rsidRPr="0098242A" w:rsidRDefault="0098242A" w:rsidP="0098242A">
      <w:pPr>
        <w:spacing w:after="0" w:line="240" w:lineRule="auto"/>
        <w:rPr>
          <w:b/>
          <w:lang w:val="fr-FR"/>
        </w:rPr>
      </w:pPr>
      <w:r w:rsidRPr="0098242A">
        <w:rPr>
          <w:b/>
          <w:lang w:val="fr-FR"/>
        </w:rPr>
        <w:t>Recommandations au Secrétariat de la CMS</w:t>
      </w:r>
    </w:p>
    <w:p w:rsidR="0098242A" w:rsidRPr="0098242A" w:rsidRDefault="0098242A" w:rsidP="0098242A">
      <w:pPr>
        <w:spacing w:after="0" w:line="240" w:lineRule="auto"/>
        <w:rPr>
          <w:lang w:val="fr-FR"/>
        </w:rPr>
      </w:pPr>
    </w:p>
    <w:p w:rsidR="0098242A" w:rsidRPr="0098242A" w:rsidRDefault="0098242A" w:rsidP="00F142A9">
      <w:pPr>
        <w:pStyle w:val="Firstnumbering"/>
        <w:numPr>
          <w:ilvl w:val="0"/>
          <w:numId w:val="22"/>
        </w:numPr>
        <w:ind w:left="567" w:hanging="567"/>
      </w:pPr>
      <w:r>
        <w:rPr>
          <w:lang w:val="es-ES"/>
        </w:rPr>
        <w:t xml:space="preserve">Notarbartolo di Sciara et al. </w:t>
      </w:r>
      <w:r w:rsidRPr="0098242A">
        <w:t xml:space="preserve">(2017) a recommandé de surveiller attentivement le statut des cétacés de la mer Rouge, tandis que Carvalho et al. (2019) recommande une approche de précaution dans la gestion des cétacés de la mer Rouge en raison du </w:t>
      </w:r>
      <w:proofErr w:type="gramStart"/>
      <w:r w:rsidRPr="0098242A">
        <w:t>manque</w:t>
      </w:r>
      <w:proofErr w:type="gramEnd"/>
      <w:r w:rsidRPr="0098242A">
        <w:t xml:space="preserve"> d’informations à leur sujet et au sujet de leur statut de conservation. </w:t>
      </w:r>
    </w:p>
    <w:p w:rsidR="0098242A" w:rsidRPr="0098242A" w:rsidRDefault="0098242A" w:rsidP="00F142A9">
      <w:pPr>
        <w:pStyle w:val="Firstnumbering"/>
        <w:numPr>
          <w:ilvl w:val="0"/>
          <w:numId w:val="0"/>
        </w:numPr>
      </w:pPr>
    </w:p>
    <w:p w:rsidR="0098242A" w:rsidRDefault="0098242A" w:rsidP="00F142A9">
      <w:pPr>
        <w:pStyle w:val="Firstnumbering"/>
        <w:numPr>
          <w:ilvl w:val="0"/>
          <w:numId w:val="22"/>
        </w:numPr>
        <w:ind w:left="567" w:hanging="567"/>
      </w:pPr>
      <w:r w:rsidRPr="0098242A">
        <w:t>De façon plus spécifique, il est recommandé :</w:t>
      </w:r>
    </w:p>
    <w:p w:rsidR="00F142A9" w:rsidRPr="0098242A" w:rsidRDefault="00F142A9" w:rsidP="00F142A9">
      <w:pPr>
        <w:pStyle w:val="Firstnumbering"/>
        <w:numPr>
          <w:ilvl w:val="0"/>
          <w:numId w:val="0"/>
        </w:numPr>
      </w:pPr>
    </w:p>
    <w:p w:rsidR="0098242A" w:rsidRDefault="0098242A" w:rsidP="00F142A9">
      <w:pPr>
        <w:pStyle w:val="ListParagraph"/>
        <w:numPr>
          <w:ilvl w:val="0"/>
          <w:numId w:val="10"/>
        </w:numPr>
        <w:spacing w:after="0" w:line="240" w:lineRule="auto"/>
        <w:ind w:left="1134" w:hanging="567"/>
        <w:rPr>
          <w:lang w:val="fr-FR"/>
        </w:rPr>
      </w:pPr>
      <w:r w:rsidRPr="0098242A">
        <w:rPr>
          <w:lang w:val="fr-FR"/>
        </w:rPr>
        <w:t>que le Secrétariat de la CMS étudie le potentiel de développement d’un plan d’action pour les cétacés de la région de la mer Rouge ;</w:t>
      </w:r>
    </w:p>
    <w:p w:rsidR="00F142A9" w:rsidRPr="0098242A" w:rsidRDefault="00F142A9" w:rsidP="00F142A9">
      <w:pPr>
        <w:pStyle w:val="ListParagraph"/>
        <w:spacing w:after="0" w:line="240" w:lineRule="auto"/>
        <w:ind w:left="1134"/>
        <w:rPr>
          <w:lang w:val="fr-FR"/>
        </w:rPr>
      </w:pPr>
    </w:p>
    <w:p w:rsidR="0098242A" w:rsidRDefault="0098242A" w:rsidP="00F142A9">
      <w:pPr>
        <w:pStyle w:val="ListParagraph"/>
        <w:numPr>
          <w:ilvl w:val="0"/>
          <w:numId w:val="10"/>
        </w:numPr>
        <w:spacing w:after="0" w:line="240" w:lineRule="auto"/>
        <w:ind w:left="1134" w:hanging="567"/>
        <w:rPr>
          <w:lang w:val="fr-FR"/>
        </w:rPr>
      </w:pPr>
      <w:r w:rsidRPr="0098242A">
        <w:rPr>
          <w:lang w:val="fr-FR"/>
        </w:rPr>
        <w:t>qu’en l’attente de la disponibilité d’un financement adéquat, le Secrétariat de la CMS organise un atelier réunissant des parties intéressées, notamment des scientifiques, des chercheurs et des défenseurs de l’environnement de la région de la mer Rouge, afin de déterminer la meilleure façon de faire progresser la conservation des cétacés et, plus particulièrement, de contribuer à l’élaboration d’un plan d’action ; et</w:t>
      </w:r>
    </w:p>
    <w:p w:rsidR="00F142A9" w:rsidRPr="00F142A9" w:rsidRDefault="00F142A9" w:rsidP="00F142A9">
      <w:pPr>
        <w:spacing w:after="0" w:line="240" w:lineRule="auto"/>
        <w:rPr>
          <w:lang w:val="fr-FR"/>
        </w:rPr>
      </w:pPr>
    </w:p>
    <w:p w:rsidR="0098242A" w:rsidRDefault="0098242A" w:rsidP="00F142A9">
      <w:pPr>
        <w:pStyle w:val="ListParagraph"/>
        <w:numPr>
          <w:ilvl w:val="0"/>
          <w:numId w:val="10"/>
        </w:numPr>
        <w:spacing w:after="0" w:line="240" w:lineRule="auto"/>
        <w:ind w:left="1134" w:hanging="567"/>
        <w:rPr>
          <w:lang w:val="fr-FR"/>
        </w:rPr>
        <w:sectPr w:rsidR="0098242A" w:rsidSect="00D71837">
          <w:headerReference w:type="even" r:id="rId18"/>
          <w:pgSz w:w="11906" w:h="16838" w:code="9"/>
          <w:pgMar w:top="1134" w:right="1134" w:bottom="1134" w:left="1134" w:header="720" w:footer="720" w:gutter="0"/>
          <w:cols w:space="720"/>
          <w:titlePg/>
          <w:docGrid w:linePitch="360"/>
        </w:sectPr>
      </w:pPr>
      <w:r w:rsidRPr="0098242A">
        <w:rPr>
          <w:lang w:val="fr-FR"/>
        </w:rPr>
        <w:t>que le Secrétariat de la CMS consulte les organismes régionaux compétents pour obtenir leur soutien afin de faire avancer le plan d’action. </w:t>
      </w:r>
    </w:p>
    <w:p w:rsidR="0098242A" w:rsidRPr="00F142A9" w:rsidRDefault="0098242A" w:rsidP="00963410">
      <w:pPr>
        <w:spacing w:after="0" w:line="240" w:lineRule="auto"/>
        <w:jc w:val="both"/>
        <w:rPr>
          <w:b/>
        </w:rPr>
      </w:pPr>
      <w:proofErr w:type="spellStart"/>
      <w:r w:rsidRPr="00F142A9">
        <w:rPr>
          <w:b/>
        </w:rPr>
        <w:lastRenderedPageBreak/>
        <w:t>R</w:t>
      </w:r>
      <w:r w:rsidR="00F142A9">
        <w:rPr>
          <w:b/>
        </w:rPr>
        <w:t>é</w:t>
      </w:r>
      <w:r w:rsidRPr="00F142A9">
        <w:rPr>
          <w:b/>
        </w:rPr>
        <w:t>f</w:t>
      </w:r>
      <w:r w:rsidR="00F142A9">
        <w:rPr>
          <w:b/>
        </w:rPr>
        <w:t>é</w:t>
      </w:r>
      <w:r w:rsidRPr="00F142A9">
        <w:rPr>
          <w:b/>
        </w:rPr>
        <w:t>rences</w:t>
      </w:r>
      <w:proofErr w:type="spellEnd"/>
    </w:p>
    <w:p w:rsidR="0098242A" w:rsidRPr="00F142A9" w:rsidRDefault="0098242A" w:rsidP="00963410">
      <w:pPr>
        <w:spacing w:after="0" w:line="240" w:lineRule="auto"/>
        <w:jc w:val="both"/>
      </w:pPr>
    </w:p>
    <w:p w:rsidR="0098242A" w:rsidRPr="00F142A9" w:rsidRDefault="0098242A" w:rsidP="00963410">
      <w:pPr>
        <w:spacing w:after="0" w:line="240" w:lineRule="auto"/>
        <w:ind w:left="284" w:hanging="284"/>
        <w:jc w:val="both"/>
        <w:rPr>
          <w:sz w:val="20"/>
        </w:rPr>
      </w:pPr>
      <w:r w:rsidRPr="00F142A9">
        <w:rPr>
          <w:sz w:val="20"/>
        </w:rPr>
        <w:t xml:space="preserve">Avila, I.C., </w:t>
      </w:r>
      <w:proofErr w:type="spellStart"/>
      <w:r w:rsidRPr="00F142A9">
        <w:rPr>
          <w:sz w:val="20"/>
        </w:rPr>
        <w:t>Kaschner</w:t>
      </w:r>
      <w:proofErr w:type="spellEnd"/>
      <w:r w:rsidRPr="00F142A9">
        <w:rPr>
          <w:sz w:val="20"/>
        </w:rPr>
        <w:t xml:space="preserve">, K. and </w:t>
      </w:r>
      <w:proofErr w:type="spellStart"/>
      <w:r w:rsidRPr="00F142A9">
        <w:rPr>
          <w:sz w:val="20"/>
        </w:rPr>
        <w:t>Dormann</w:t>
      </w:r>
      <w:proofErr w:type="spellEnd"/>
      <w:r w:rsidRPr="00F142A9">
        <w:rPr>
          <w:sz w:val="20"/>
        </w:rPr>
        <w:t>, C.F. (2018) Current global risks to marine mammals: Taking stock of the threats. Biological Conservation 221: 44-58. https://doi.org/10.1016/j.biocon.2018.02.021</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Baird, R.W. (2018) </w:t>
      </w:r>
      <w:r w:rsidRPr="00F142A9">
        <w:rPr>
          <w:i/>
          <w:iCs/>
          <w:sz w:val="20"/>
        </w:rPr>
        <w:t>Pseudorca crassidens</w:t>
      </w:r>
      <w:r w:rsidRPr="00F142A9">
        <w:rPr>
          <w:sz w:val="20"/>
        </w:rPr>
        <w:t>. </w:t>
      </w:r>
      <w:r w:rsidRPr="00F142A9">
        <w:rPr>
          <w:i/>
          <w:iCs/>
          <w:sz w:val="20"/>
        </w:rPr>
        <w:t>The IUCN Red List of Threatened Species</w:t>
      </w:r>
      <w:r w:rsidRPr="00F142A9">
        <w:rPr>
          <w:sz w:val="20"/>
        </w:rPr>
        <w:t> 2018: e.T18596A50371251. </w:t>
      </w:r>
      <w:hyperlink r:id="rId19" w:history="1">
        <w:r w:rsidRPr="00F142A9">
          <w:rPr>
            <w:rStyle w:val="Hyperlink"/>
            <w:sz w:val="20"/>
          </w:rPr>
          <w:t>http://dx.doi.org/10.2305/IUCN.UK.2018-2.RLTS.T18596A50371251.en</w:t>
        </w:r>
      </w:hyperlink>
      <w:r w:rsidRPr="00F142A9">
        <w:rPr>
          <w:sz w:val="20"/>
        </w:rPr>
        <w:t>. Downloaded on 18 February 2019.</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proofErr w:type="spellStart"/>
      <w:r w:rsidRPr="00F142A9">
        <w:rPr>
          <w:sz w:val="20"/>
        </w:rPr>
        <w:t>Bearzi</w:t>
      </w:r>
      <w:proofErr w:type="spellEnd"/>
      <w:r w:rsidRPr="00F142A9">
        <w:rPr>
          <w:sz w:val="20"/>
        </w:rPr>
        <w:t xml:space="preserve">, G., </w:t>
      </w:r>
      <w:proofErr w:type="spellStart"/>
      <w:r w:rsidRPr="00F142A9">
        <w:rPr>
          <w:sz w:val="20"/>
        </w:rPr>
        <w:t>Bjørge</w:t>
      </w:r>
      <w:proofErr w:type="spellEnd"/>
      <w:r w:rsidRPr="00F142A9">
        <w:rPr>
          <w:sz w:val="20"/>
        </w:rPr>
        <w:t xml:space="preserve">, A., Forney, K.A., Hammond, P.S., </w:t>
      </w:r>
      <w:proofErr w:type="spellStart"/>
      <w:r w:rsidRPr="00F142A9">
        <w:rPr>
          <w:sz w:val="20"/>
        </w:rPr>
        <w:t>Karkzmarski</w:t>
      </w:r>
      <w:proofErr w:type="spellEnd"/>
      <w:r w:rsidRPr="00F142A9">
        <w:rPr>
          <w:sz w:val="20"/>
        </w:rPr>
        <w:t xml:space="preserve">, L., </w:t>
      </w:r>
      <w:proofErr w:type="spellStart"/>
      <w:r w:rsidRPr="00F142A9">
        <w:rPr>
          <w:sz w:val="20"/>
        </w:rPr>
        <w:t>Kasuya</w:t>
      </w:r>
      <w:proofErr w:type="spellEnd"/>
      <w:r w:rsidRPr="00F142A9">
        <w:rPr>
          <w:sz w:val="20"/>
        </w:rPr>
        <w:t>, T., Perrin, W.F., Scott, M.D., Wang, J.Y. , Wells, R.S. &amp; Wilson, B. (2012) </w:t>
      </w:r>
      <w:proofErr w:type="spellStart"/>
      <w:r w:rsidRPr="00F142A9">
        <w:rPr>
          <w:i/>
          <w:iCs/>
          <w:sz w:val="20"/>
        </w:rPr>
        <w:t>Stenella</w:t>
      </w:r>
      <w:proofErr w:type="spellEnd"/>
      <w:r w:rsidRPr="00F142A9">
        <w:rPr>
          <w:i/>
          <w:iCs/>
          <w:sz w:val="20"/>
        </w:rPr>
        <w:t xml:space="preserve"> </w:t>
      </w:r>
      <w:proofErr w:type="spellStart"/>
      <w:r w:rsidRPr="00F142A9">
        <w:rPr>
          <w:i/>
          <w:iCs/>
          <w:sz w:val="20"/>
        </w:rPr>
        <w:t>longirostris</w:t>
      </w:r>
      <w:proofErr w:type="spellEnd"/>
      <w:r w:rsidRPr="00F142A9">
        <w:rPr>
          <w:sz w:val="20"/>
        </w:rPr>
        <w:t>. </w:t>
      </w:r>
      <w:r w:rsidRPr="00F142A9">
        <w:rPr>
          <w:i/>
          <w:iCs/>
          <w:sz w:val="20"/>
        </w:rPr>
        <w:t>The IUCN Red List of Threatened Species</w:t>
      </w:r>
      <w:r w:rsidRPr="00F142A9">
        <w:rPr>
          <w:sz w:val="20"/>
        </w:rPr>
        <w:t> 2012: e.T20733A17837287. http://dx.doi.org/10.2305/IUCN.UK.2012.RLTS.T20733A17837287.en.</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proofErr w:type="spellStart"/>
      <w:r w:rsidRPr="00F142A9">
        <w:rPr>
          <w:sz w:val="20"/>
        </w:rPr>
        <w:t>Braulik</w:t>
      </w:r>
      <w:proofErr w:type="spellEnd"/>
      <w:r w:rsidRPr="00F142A9">
        <w:rPr>
          <w:sz w:val="20"/>
        </w:rPr>
        <w:t xml:space="preserve">, G.T., Findlay, K., </w:t>
      </w:r>
      <w:proofErr w:type="spellStart"/>
      <w:r w:rsidRPr="00F142A9">
        <w:rPr>
          <w:sz w:val="20"/>
        </w:rPr>
        <w:t>Cerchio</w:t>
      </w:r>
      <w:proofErr w:type="spellEnd"/>
      <w:r w:rsidRPr="00F142A9">
        <w:rPr>
          <w:sz w:val="20"/>
        </w:rPr>
        <w:t>, S., Baldwin, R. &amp; Perrin, W. (2017) </w:t>
      </w:r>
      <w:r w:rsidRPr="00F142A9">
        <w:rPr>
          <w:i/>
          <w:iCs/>
          <w:sz w:val="20"/>
        </w:rPr>
        <w:t xml:space="preserve">Sousa </w:t>
      </w:r>
      <w:proofErr w:type="spellStart"/>
      <w:r w:rsidRPr="00F142A9">
        <w:rPr>
          <w:i/>
          <w:iCs/>
          <w:sz w:val="20"/>
        </w:rPr>
        <w:t>plumbea</w:t>
      </w:r>
      <w:proofErr w:type="spellEnd"/>
      <w:r w:rsidRPr="00F142A9">
        <w:rPr>
          <w:sz w:val="20"/>
        </w:rPr>
        <w:t>. </w:t>
      </w:r>
      <w:r w:rsidRPr="00F142A9">
        <w:rPr>
          <w:i/>
          <w:iCs/>
          <w:sz w:val="20"/>
        </w:rPr>
        <w:t>The IUCN Red List of Threatened Species</w:t>
      </w:r>
      <w:r w:rsidRPr="00F142A9">
        <w:rPr>
          <w:sz w:val="20"/>
        </w:rPr>
        <w:t> 2017: e.T82031633A82031644. http://dx.doi.org/10.2305/IUCN.UK.2017-3.RLTS.T82031633A82031644.en.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Carvalho, S., </w:t>
      </w:r>
      <w:proofErr w:type="spellStart"/>
      <w:r w:rsidRPr="00F142A9">
        <w:rPr>
          <w:sz w:val="20"/>
        </w:rPr>
        <w:t>Küren</w:t>
      </w:r>
      <w:proofErr w:type="spellEnd"/>
      <w:r w:rsidRPr="00F142A9">
        <w:rPr>
          <w:sz w:val="20"/>
        </w:rPr>
        <w:t xml:space="preserve">, B., </w:t>
      </w:r>
      <w:proofErr w:type="spellStart"/>
      <w:r w:rsidRPr="00F142A9">
        <w:rPr>
          <w:sz w:val="20"/>
        </w:rPr>
        <w:t>Krokos</w:t>
      </w:r>
      <w:proofErr w:type="spellEnd"/>
      <w:r w:rsidRPr="00F142A9">
        <w:rPr>
          <w:sz w:val="20"/>
        </w:rPr>
        <w:t xml:space="preserve">, G., </w:t>
      </w:r>
      <w:proofErr w:type="spellStart"/>
      <w:r w:rsidRPr="00F142A9">
        <w:rPr>
          <w:sz w:val="20"/>
        </w:rPr>
        <w:t>Hoteit</w:t>
      </w:r>
      <w:proofErr w:type="spellEnd"/>
      <w:r w:rsidRPr="00F142A9">
        <w:rPr>
          <w:sz w:val="20"/>
        </w:rPr>
        <w:t xml:space="preserve">, I. and Ellis, J. (2019) Chapter 3 – The Red Sea. In: World Seas: </w:t>
      </w:r>
      <w:proofErr w:type="gramStart"/>
      <w:r w:rsidRPr="00F142A9">
        <w:rPr>
          <w:sz w:val="20"/>
        </w:rPr>
        <w:t>an</w:t>
      </w:r>
      <w:proofErr w:type="gramEnd"/>
      <w:r w:rsidRPr="00F142A9">
        <w:rPr>
          <w:sz w:val="20"/>
        </w:rPr>
        <w:t xml:space="preserve"> Environmental Evaluation (Second edition). Volume II: the Indian Ocean to the Pacific. Pp 49-74. https://doi.org/10.1016/B978-0-08-100853-9.00004-X</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CMS (2018) Species List. Available at: https://www.cms.int/en/species Accessed 19th October 2018.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Cooke, J.G. &amp; Brownell Jr., R.L. (2018) </w:t>
      </w:r>
      <w:r w:rsidRPr="00F142A9">
        <w:rPr>
          <w:i/>
          <w:iCs/>
          <w:sz w:val="20"/>
        </w:rPr>
        <w:t xml:space="preserve">Balaenoptera </w:t>
      </w:r>
      <w:proofErr w:type="spellStart"/>
      <w:r w:rsidRPr="00F142A9">
        <w:rPr>
          <w:i/>
          <w:iCs/>
          <w:sz w:val="20"/>
        </w:rPr>
        <w:t>edeni</w:t>
      </w:r>
      <w:proofErr w:type="spellEnd"/>
      <w:r w:rsidRPr="00F142A9">
        <w:rPr>
          <w:sz w:val="20"/>
        </w:rPr>
        <w:t>. </w:t>
      </w:r>
      <w:r w:rsidRPr="00F142A9">
        <w:rPr>
          <w:i/>
          <w:iCs/>
          <w:sz w:val="20"/>
        </w:rPr>
        <w:t>The IUCN Red List of Threatened Species</w:t>
      </w:r>
      <w:r w:rsidRPr="00F142A9">
        <w:rPr>
          <w:sz w:val="20"/>
        </w:rPr>
        <w:t> 2018: e.T2476A50349178. </w:t>
      </w:r>
      <w:hyperlink r:id="rId20" w:history="1">
        <w:r w:rsidRPr="00F142A9">
          <w:rPr>
            <w:rStyle w:val="Hyperlink"/>
            <w:sz w:val="20"/>
          </w:rPr>
          <w:t>http://dx.doi.org/10.2305/IUCN.UK.2018-1.RLTS.T2476A50349178.en</w:t>
        </w:r>
      </w:hyperlink>
      <w:r w:rsidRPr="00F142A9">
        <w:rPr>
          <w:sz w:val="20"/>
        </w:rPr>
        <w:t>.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proofErr w:type="spellStart"/>
      <w:r w:rsidRPr="00F142A9">
        <w:rPr>
          <w:sz w:val="20"/>
        </w:rPr>
        <w:t>Fumagalli</w:t>
      </w:r>
      <w:proofErr w:type="spellEnd"/>
      <w:r w:rsidRPr="00F142A9">
        <w:rPr>
          <w:sz w:val="20"/>
        </w:rPr>
        <w:t xml:space="preserve">, M., Cesario, A., Costa, M., </w:t>
      </w:r>
      <w:proofErr w:type="spellStart"/>
      <w:r w:rsidRPr="00F142A9">
        <w:rPr>
          <w:sz w:val="20"/>
        </w:rPr>
        <w:t>Harraway</w:t>
      </w:r>
      <w:proofErr w:type="spellEnd"/>
      <w:r w:rsidRPr="00F142A9">
        <w:rPr>
          <w:sz w:val="20"/>
        </w:rPr>
        <w:t xml:space="preserve">, J., Notarbartolo di Sciara, G. and </w:t>
      </w:r>
      <w:proofErr w:type="spellStart"/>
      <w:r w:rsidRPr="00F142A9">
        <w:rPr>
          <w:sz w:val="20"/>
        </w:rPr>
        <w:t>Slooten</w:t>
      </w:r>
      <w:proofErr w:type="spellEnd"/>
      <w:r w:rsidRPr="00F142A9">
        <w:rPr>
          <w:sz w:val="20"/>
        </w:rPr>
        <w:t xml:space="preserve">, E. (2018) </w:t>
      </w:r>
      <w:proofErr w:type="spellStart"/>
      <w:r w:rsidRPr="00F142A9">
        <w:rPr>
          <w:sz w:val="20"/>
        </w:rPr>
        <w:t>Behavioural</w:t>
      </w:r>
      <w:proofErr w:type="spellEnd"/>
      <w:r w:rsidRPr="00F142A9">
        <w:rPr>
          <w:sz w:val="20"/>
        </w:rPr>
        <w:t xml:space="preserve"> responses of spinner dolphins to human interactions. Royal Society Open Science 5: 172044. </w:t>
      </w:r>
      <w:hyperlink r:id="rId21" w:history="1">
        <w:r w:rsidRPr="00F142A9">
          <w:rPr>
            <w:rStyle w:val="Hyperlink"/>
            <w:sz w:val="20"/>
          </w:rPr>
          <w:t>http://dx.doi.org/10.1098/rsos.172044</w:t>
        </w:r>
      </w:hyperlink>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Hammond, P.S., </w:t>
      </w:r>
      <w:proofErr w:type="spellStart"/>
      <w:r w:rsidRPr="00F142A9">
        <w:rPr>
          <w:sz w:val="20"/>
        </w:rPr>
        <w:t>Bearzi</w:t>
      </w:r>
      <w:proofErr w:type="spellEnd"/>
      <w:r w:rsidRPr="00F142A9">
        <w:rPr>
          <w:sz w:val="20"/>
        </w:rPr>
        <w:t xml:space="preserve">, G., </w:t>
      </w:r>
      <w:proofErr w:type="spellStart"/>
      <w:r w:rsidRPr="00F142A9">
        <w:rPr>
          <w:sz w:val="20"/>
        </w:rPr>
        <w:t>Bjørge</w:t>
      </w:r>
      <w:proofErr w:type="spellEnd"/>
      <w:r w:rsidRPr="00F142A9">
        <w:rPr>
          <w:sz w:val="20"/>
        </w:rPr>
        <w:t xml:space="preserve">, A., Forney, K., </w:t>
      </w:r>
      <w:proofErr w:type="spellStart"/>
      <w:r w:rsidRPr="00F142A9">
        <w:rPr>
          <w:sz w:val="20"/>
        </w:rPr>
        <w:t>Karczmarski</w:t>
      </w:r>
      <w:proofErr w:type="spellEnd"/>
      <w:r w:rsidRPr="00F142A9">
        <w:rPr>
          <w:sz w:val="20"/>
        </w:rPr>
        <w:t xml:space="preserve">, L., </w:t>
      </w:r>
      <w:proofErr w:type="spellStart"/>
      <w:r w:rsidRPr="00F142A9">
        <w:rPr>
          <w:sz w:val="20"/>
        </w:rPr>
        <w:t>Kasuya</w:t>
      </w:r>
      <w:proofErr w:type="spellEnd"/>
      <w:r w:rsidRPr="00F142A9">
        <w:rPr>
          <w:sz w:val="20"/>
        </w:rPr>
        <w:t>, T., Perrin, W.F., Scott, M.D., Wang, J.Y., Wells, R.S. &amp; Wilson, B. (2008) </w:t>
      </w:r>
      <w:r w:rsidRPr="00F142A9">
        <w:rPr>
          <w:i/>
          <w:iCs/>
          <w:sz w:val="20"/>
        </w:rPr>
        <w:t xml:space="preserve">Delphinus </w:t>
      </w:r>
      <w:proofErr w:type="spellStart"/>
      <w:r w:rsidRPr="00F142A9">
        <w:rPr>
          <w:i/>
          <w:iCs/>
          <w:sz w:val="20"/>
        </w:rPr>
        <w:t>delphis</w:t>
      </w:r>
      <w:proofErr w:type="spellEnd"/>
      <w:r w:rsidRPr="00F142A9">
        <w:rPr>
          <w:sz w:val="20"/>
        </w:rPr>
        <w:t>. </w:t>
      </w:r>
      <w:r w:rsidRPr="00F142A9">
        <w:rPr>
          <w:i/>
          <w:iCs/>
          <w:sz w:val="20"/>
        </w:rPr>
        <w:t>The IUCN Red List of Threatened Species</w:t>
      </w:r>
      <w:r w:rsidRPr="00F142A9">
        <w:rPr>
          <w:sz w:val="20"/>
        </w:rPr>
        <w:t>2008: e.T6336A12649851. http://dx.doi.org/10.2305/IUCN.UK.2008.RLTS.T6336A12649851.en.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Hammond, P.S., </w:t>
      </w:r>
      <w:proofErr w:type="spellStart"/>
      <w:r w:rsidRPr="00F142A9">
        <w:rPr>
          <w:sz w:val="20"/>
        </w:rPr>
        <w:t>Bearzi</w:t>
      </w:r>
      <w:proofErr w:type="spellEnd"/>
      <w:r w:rsidRPr="00F142A9">
        <w:rPr>
          <w:sz w:val="20"/>
        </w:rPr>
        <w:t xml:space="preserve">, G., </w:t>
      </w:r>
      <w:proofErr w:type="spellStart"/>
      <w:r w:rsidRPr="00F142A9">
        <w:rPr>
          <w:sz w:val="20"/>
        </w:rPr>
        <w:t>Bjørge</w:t>
      </w:r>
      <w:proofErr w:type="spellEnd"/>
      <w:r w:rsidRPr="00F142A9">
        <w:rPr>
          <w:sz w:val="20"/>
        </w:rPr>
        <w:t xml:space="preserve">, A., Forney, K.A., </w:t>
      </w:r>
      <w:proofErr w:type="spellStart"/>
      <w:r w:rsidRPr="00F142A9">
        <w:rPr>
          <w:sz w:val="20"/>
        </w:rPr>
        <w:t>Karkzmarski</w:t>
      </w:r>
      <w:proofErr w:type="spellEnd"/>
      <w:r w:rsidRPr="00F142A9">
        <w:rPr>
          <w:sz w:val="20"/>
        </w:rPr>
        <w:t xml:space="preserve">, L., </w:t>
      </w:r>
      <w:proofErr w:type="spellStart"/>
      <w:r w:rsidRPr="00F142A9">
        <w:rPr>
          <w:sz w:val="20"/>
        </w:rPr>
        <w:t>Kasuya</w:t>
      </w:r>
      <w:proofErr w:type="spellEnd"/>
      <w:r w:rsidRPr="00F142A9">
        <w:rPr>
          <w:sz w:val="20"/>
        </w:rPr>
        <w:t>, T., Perrin, W.F., Scott, M.D., Wang, J.Y. , Wells, R.S. &amp; Wilson, B. (2012a) </w:t>
      </w:r>
      <w:proofErr w:type="spellStart"/>
      <w:r w:rsidRPr="00F142A9">
        <w:rPr>
          <w:i/>
          <w:iCs/>
          <w:sz w:val="20"/>
        </w:rPr>
        <w:t>Stenella</w:t>
      </w:r>
      <w:proofErr w:type="spellEnd"/>
      <w:r w:rsidRPr="00F142A9">
        <w:rPr>
          <w:i/>
          <w:iCs/>
          <w:sz w:val="20"/>
        </w:rPr>
        <w:t xml:space="preserve"> </w:t>
      </w:r>
      <w:proofErr w:type="spellStart"/>
      <w:r w:rsidRPr="00F142A9">
        <w:rPr>
          <w:i/>
          <w:iCs/>
          <w:sz w:val="20"/>
        </w:rPr>
        <w:t>attenuata</w:t>
      </w:r>
      <w:proofErr w:type="spellEnd"/>
      <w:r w:rsidRPr="00F142A9">
        <w:rPr>
          <w:sz w:val="20"/>
        </w:rPr>
        <w:t>. </w:t>
      </w:r>
      <w:r w:rsidRPr="00F142A9">
        <w:rPr>
          <w:i/>
          <w:iCs/>
          <w:sz w:val="20"/>
        </w:rPr>
        <w:t>The IUCN Red List of Threatened Species</w:t>
      </w:r>
      <w:r w:rsidRPr="00F142A9">
        <w:rPr>
          <w:sz w:val="20"/>
        </w:rPr>
        <w:t> 2012: e.T20729A17821189. http://dx.doi.org/10.2305/IUCN.UK.2012.RLTS.T20729A17821189.en.</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Hammond, P.S., </w:t>
      </w:r>
      <w:proofErr w:type="spellStart"/>
      <w:r w:rsidRPr="00F142A9">
        <w:rPr>
          <w:sz w:val="20"/>
        </w:rPr>
        <w:t>Bearzi</w:t>
      </w:r>
      <w:proofErr w:type="spellEnd"/>
      <w:r w:rsidRPr="00F142A9">
        <w:rPr>
          <w:sz w:val="20"/>
        </w:rPr>
        <w:t xml:space="preserve">, G., </w:t>
      </w:r>
      <w:proofErr w:type="spellStart"/>
      <w:r w:rsidRPr="00F142A9">
        <w:rPr>
          <w:sz w:val="20"/>
        </w:rPr>
        <w:t>Bjørge</w:t>
      </w:r>
      <w:proofErr w:type="spellEnd"/>
      <w:r w:rsidRPr="00F142A9">
        <w:rPr>
          <w:sz w:val="20"/>
        </w:rPr>
        <w:t xml:space="preserve">, A., Forney, K.A., </w:t>
      </w:r>
      <w:proofErr w:type="spellStart"/>
      <w:r w:rsidRPr="00F142A9">
        <w:rPr>
          <w:sz w:val="20"/>
        </w:rPr>
        <w:t>Karkzmarski</w:t>
      </w:r>
      <w:proofErr w:type="spellEnd"/>
      <w:r w:rsidRPr="00F142A9">
        <w:rPr>
          <w:sz w:val="20"/>
        </w:rPr>
        <w:t xml:space="preserve">, L., </w:t>
      </w:r>
      <w:proofErr w:type="spellStart"/>
      <w:r w:rsidRPr="00F142A9">
        <w:rPr>
          <w:sz w:val="20"/>
        </w:rPr>
        <w:t>Kasuya</w:t>
      </w:r>
      <w:proofErr w:type="spellEnd"/>
      <w:r w:rsidRPr="00F142A9">
        <w:rPr>
          <w:sz w:val="20"/>
        </w:rPr>
        <w:t>, T., Perrin, W.F., Scott, M.D., Wang, J.Y. , Wells, R.S. &amp; Wilson, B. (2012b) </w:t>
      </w:r>
      <w:r w:rsidRPr="00F142A9">
        <w:rPr>
          <w:i/>
          <w:iCs/>
          <w:sz w:val="20"/>
        </w:rPr>
        <w:t xml:space="preserve">Tursiops </w:t>
      </w:r>
      <w:proofErr w:type="spellStart"/>
      <w:r w:rsidRPr="00F142A9">
        <w:rPr>
          <w:i/>
          <w:iCs/>
          <w:sz w:val="20"/>
        </w:rPr>
        <w:t>aduncus</w:t>
      </w:r>
      <w:proofErr w:type="spellEnd"/>
      <w:r w:rsidRPr="00F142A9">
        <w:rPr>
          <w:sz w:val="20"/>
        </w:rPr>
        <w:t>. </w:t>
      </w:r>
      <w:r w:rsidRPr="00F142A9">
        <w:rPr>
          <w:i/>
          <w:iCs/>
          <w:sz w:val="20"/>
        </w:rPr>
        <w:t xml:space="preserve">The IUCN Red List of Threatened Species </w:t>
      </w:r>
      <w:r w:rsidRPr="00F142A9">
        <w:rPr>
          <w:sz w:val="20"/>
        </w:rPr>
        <w:t>2012: e.T41714A17600466. http://dx.doi.org/10.2305/IUCN.UK.2012.RLTS.T41714A17600466.en.</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Hammond, P.S., </w:t>
      </w:r>
      <w:proofErr w:type="spellStart"/>
      <w:r w:rsidRPr="00F142A9">
        <w:rPr>
          <w:sz w:val="20"/>
        </w:rPr>
        <w:t>Bearzi</w:t>
      </w:r>
      <w:proofErr w:type="spellEnd"/>
      <w:r w:rsidRPr="00F142A9">
        <w:rPr>
          <w:sz w:val="20"/>
        </w:rPr>
        <w:t xml:space="preserve">, G., </w:t>
      </w:r>
      <w:proofErr w:type="spellStart"/>
      <w:r w:rsidRPr="00F142A9">
        <w:rPr>
          <w:sz w:val="20"/>
        </w:rPr>
        <w:t>Bjørge</w:t>
      </w:r>
      <w:proofErr w:type="spellEnd"/>
      <w:r w:rsidRPr="00F142A9">
        <w:rPr>
          <w:sz w:val="20"/>
        </w:rPr>
        <w:t xml:space="preserve">, A., Forney, K.A., </w:t>
      </w:r>
      <w:proofErr w:type="spellStart"/>
      <w:r w:rsidRPr="00F142A9">
        <w:rPr>
          <w:sz w:val="20"/>
        </w:rPr>
        <w:t>Karkzmarski</w:t>
      </w:r>
      <w:proofErr w:type="spellEnd"/>
      <w:r w:rsidRPr="00F142A9">
        <w:rPr>
          <w:sz w:val="20"/>
        </w:rPr>
        <w:t xml:space="preserve">, L., </w:t>
      </w:r>
      <w:proofErr w:type="spellStart"/>
      <w:r w:rsidRPr="00F142A9">
        <w:rPr>
          <w:sz w:val="20"/>
        </w:rPr>
        <w:t>Kasuya</w:t>
      </w:r>
      <w:proofErr w:type="spellEnd"/>
      <w:r w:rsidRPr="00F142A9">
        <w:rPr>
          <w:sz w:val="20"/>
        </w:rPr>
        <w:t xml:space="preserve">, T., Perrin, W.F., Scott, M.D., Wang, J.Y. , Wells, R.S. &amp; Wilson, B. (2012c) </w:t>
      </w:r>
      <w:r w:rsidRPr="00F142A9">
        <w:rPr>
          <w:i/>
          <w:iCs/>
          <w:sz w:val="20"/>
        </w:rPr>
        <w:t xml:space="preserve">Tursiops </w:t>
      </w:r>
      <w:proofErr w:type="spellStart"/>
      <w:r w:rsidRPr="00F142A9">
        <w:rPr>
          <w:i/>
          <w:iCs/>
          <w:sz w:val="20"/>
        </w:rPr>
        <w:t>truncatus</w:t>
      </w:r>
      <w:proofErr w:type="spellEnd"/>
      <w:r w:rsidRPr="00F142A9">
        <w:rPr>
          <w:sz w:val="20"/>
        </w:rPr>
        <w:t>. </w:t>
      </w:r>
      <w:r w:rsidRPr="00F142A9">
        <w:rPr>
          <w:i/>
          <w:iCs/>
          <w:sz w:val="20"/>
        </w:rPr>
        <w:t>The IUCN Red List of Threatened Species</w:t>
      </w:r>
      <w:r w:rsidRPr="00F142A9">
        <w:rPr>
          <w:sz w:val="20"/>
        </w:rPr>
        <w:t> 2012: e.T22563A17347397. http://dx.doi.org/10.2305/IUCN.UK.2012.RLTS.T22563A17347397.en.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IUCN (2018) Regional Red List Assessments. Available at: https://newredlist.iucnredlist.org/about/regional Accessed 16 October 2018.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proofErr w:type="spellStart"/>
      <w:r w:rsidRPr="00F142A9">
        <w:rPr>
          <w:sz w:val="20"/>
        </w:rPr>
        <w:t>Kleinertz,S</w:t>
      </w:r>
      <w:proofErr w:type="spellEnd"/>
      <w:r w:rsidRPr="00F142A9">
        <w:rPr>
          <w:sz w:val="20"/>
        </w:rPr>
        <w:t xml:space="preserve">., </w:t>
      </w:r>
      <w:proofErr w:type="spellStart"/>
      <w:r w:rsidRPr="00F142A9">
        <w:rPr>
          <w:sz w:val="20"/>
        </w:rPr>
        <w:t>Hermosilla</w:t>
      </w:r>
      <w:proofErr w:type="spellEnd"/>
      <w:r w:rsidRPr="00F142A9">
        <w:rPr>
          <w:sz w:val="20"/>
        </w:rPr>
        <w:t xml:space="preserve">, C., </w:t>
      </w:r>
      <w:proofErr w:type="spellStart"/>
      <w:r w:rsidRPr="00F142A9">
        <w:rPr>
          <w:sz w:val="20"/>
        </w:rPr>
        <w:t>Ziltener</w:t>
      </w:r>
      <w:proofErr w:type="spellEnd"/>
      <w:r w:rsidRPr="00F142A9">
        <w:rPr>
          <w:sz w:val="20"/>
        </w:rPr>
        <w:t xml:space="preserve">, A., </w:t>
      </w:r>
      <w:proofErr w:type="spellStart"/>
      <w:r w:rsidRPr="00F142A9">
        <w:rPr>
          <w:sz w:val="20"/>
        </w:rPr>
        <w:t>Kreicker</w:t>
      </w:r>
      <w:proofErr w:type="spellEnd"/>
      <w:r w:rsidRPr="00F142A9">
        <w:rPr>
          <w:sz w:val="20"/>
        </w:rPr>
        <w:t xml:space="preserve">, S., </w:t>
      </w:r>
      <w:proofErr w:type="spellStart"/>
      <w:r w:rsidRPr="00F142A9">
        <w:rPr>
          <w:sz w:val="20"/>
        </w:rPr>
        <w:t>Hirzmann</w:t>
      </w:r>
      <w:proofErr w:type="spellEnd"/>
      <w:r w:rsidRPr="00F142A9">
        <w:rPr>
          <w:sz w:val="20"/>
        </w:rPr>
        <w:t xml:space="preserve">, J., Abdel-Ghaffar, F. and A. </w:t>
      </w:r>
      <w:proofErr w:type="spellStart"/>
      <w:r w:rsidRPr="00F142A9">
        <w:rPr>
          <w:sz w:val="20"/>
        </w:rPr>
        <w:t>Taubert</w:t>
      </w:r>
      <w:proofErr w:type="spellEnd"/>
      <w:r w:rsidRPr="00F142A9">
        <w:rPr>
          <w:sz w:val="20"/>
        </w:rPr>
        <w:t xml:space="preserve"> (2014) Gastrointestinal parasites of free-living Indo-Pacific bottlenose dolphins (</w:t>
      </w:r>
      <w:r w:rsidRPr="00F142A9">
        <w:rPr>
          <w:i/>
          <w:sz w:val="20"/>
        </w:rPr>
        <w:t xml:space="preserve">Tursiops </w:t>
      </w:r>
      <w:proofErr w:type="spellStart"/>
      <w:r w:rsidRPr="00F142A9">
        <w:rPr>
          <w:i/>
          <w:sz w:val="20"/>
        </w:rPr>
        <w:t>aduncus</w:t>
      </w:r>
      <w:proofErr w:type="spellEnd"/>
      <w:r w:rsidRPr="00F142A9">
        <w:rPr>
          <w:sz w:val="20"/>
        </w:rPr>
        <w:t xml:space="preserve">) in the Northern Red Sea, Egypt. Parasitology Research. 113(4): 1405-1415.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National Red List (2018) Available at: http://www.nationalredlist.org/  Accessed 27 September 2018.</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Notarbartolo di Sciara, G., Hanafy, M.H., </w:t>
      </w:r>
      <w:proofErr w:type="spellStart"/>
      <w:r w:rsidRPr="00F142A9">
        <w:rPr>
          <w:sz w:val="20"/>
        </w:rPr>
        <w:t>Fouda</w:t>
      </w:r>
      <w:proofErr w:type="spellEnd"/>
      <w:r w:rsidRPr="00F142A9">
        <w:rPr>
          <w:sz w:val="20"/>
        </w:rPr>
        <w:t>, M.M., Afifi, A. and Costa, M. (2009) Spinner dolphin (</w:t>
      </w:r>
      <w:proofErr w:type="spellStart"/>
      <w:r w:rsidRPr="00F142A9">
        <w:rPr>
          <w:i/>
          <w:sz w:val="20"/>
        </w:rPr>
        <w:t>Stenella</w:t>
      </w:r>
      <w:proofErr w:type="spellEnd"/>
      <w:r w:rsidRPr="00F142A9">
        <w:rPr>
          <w:i/>
          <w:sz w:val="20"/>
        </w:rPr>
        <w:t xml:space="preserve"> </w:t>
      </w:r>
      <w:proofErr w:type="spellStart"/>
      <w:r w:rsidRPr="00F142A9">
        <w:rPr>
          <w:i/>
          <w:sz w:val="20"/>
        </w:rPr>
        <w:t>longirostris</w:t>
      </w:r>
      <w:proofErr w:type="spellEnd"/>
      <w:r w:rsidRPr="00F142A9">
        <w:rPr>
          <w:sz w:val="20"/>
        </w:rPr>
        <w:t xml:space="preserve">) resting habitat in </w:t>
      </w:r>
      <w:proofErr w:type="spellStart"/>
      <w:r w:rsidRPr="00F142A9">
        <w:rPr>
          <w:sz w:val="20"/>
        </w:rPr>
        <w:t>Samadai</w:t>
      </w:r>
      <w:proofErr w:type="spellEnd"/>
      <w:r w:rsidRPr="00F142A9">
        <w:rPr>
          <w:sz w:val="20"/>
        </w:rPr>
        <w:t xml:space="preserve"> Reef (Egypt, Red Sea) protected through tourism management. Journal of the Marine Biological Association of the United Kingdom 89(1):211-216. doi:10.1017/S0025315408002221</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 xml:space="preserve">Notarbartolo di Sciara, G., </w:t>
      </w:r>
      <w:proofErr w:type="spellStart"/>
      <w:r w:rsidRPr="00F142A9">
        <w:rPr>
          <w:sz w:val="20"/>
        </w:rPr>
        <w:t>Kerem</w:t>
      </w:r>
      <w:proofErr w:type="spellEnd"/>
      <w:r w:rsidRPr="00F142A9">
        <w:rPr>
          <w:sz w:val="20"/>
        </w:rPr>
        <w:t xml:space="preserve">, D., </w:t>
      </w:r>
      <w:proofErr w:type="spellStart"/>
      <w:r w:rsidRPr="00F142A9">
        <w:rPr>
          <w:sz w:val="20"/>
        </w:rPr>
        <w:t>Smeenk</w:t>
      </w:r>
      <w:proofErr w:type="spellEnd"/>
      <w:r w:rsidRPr="00F142A9">
        <w:rPr>
          <w:sz w:val="20"/>
        </w:rPr>
        <w:t xml:space="preserve">, C., Rudolph, P., Cesario, A., Costa, M., </w:t>
      </w:r>
      <w:proofErr w:type="spellStart"/>
      <w:r w:rsidRPr="00F142A9">
        <w:rPr>
          <w:sz w:val="20"/>
        </w:rPr>
        <w:t>Elasar</w:t>
      </w:r>
      <w:proofErr w:type="spellEnd"/>
      <w:r w:rsidRPr="00F142A9">
        <w:rPr>
          <w:sz w:val="20"/>
        </w:rPr>
        <w:t xml:space="preserve">, M., Feingold, D., </w:t>
      </w:r>
      <w:proofErr w:type="spellStart"/>
      <w:r w:rsidRPr="00F142A9">
        <w:rPr>
          <w:sz w:val="20"/>
        </w:rPr>
        <w:t>Fumagalli</w:t>
      </w:r>
      <w:proofErr w:type="spellEnd"/>
      <w:r w:rsidRPr="00F142A9">
        <w:rPr>
          <w:sz w:val="20"/>
        </w:rPr>
        <w:t xml:space="preserve">, M., Goffman, O., </w:t>
      </w:r>
      <w:proofErr w:type="spellStart"/>
      <w:r w:rsidRPr="00F142A9">
        <w:rPr>
          <w:sz w:val="20"/>
        </w:rPr>
        <w:t>Hadar</w:t>
      </w:r>
      <w:proofErr w:type="spellEnd"/>
      <w:r w:rsidRPr="00F142A9">
        <w:rPr>
          <w:sz w:val="20"/>
        </w:rPr>
        <w:t xml:space="preserve">, N., </w:t>
      </w:r>
      <w:proofErr w:type="spellStart"/>
      <w:r w:rsidRPr="00F142A9">
        <w:rPr>
          <w:sz w:val="20"/>
        </w:rPr>
        <w:t>Mebrathu</w:t>
      </w:r>
      <w:proofErr w:type="spellEnd"/>
      <w:r w:rsidRPr="00F142A9">
        <w:rPr>
          <w:sz w:val="20"/>
        </w:rPr>
        <w:t xml:space="preserve">, Y.T., </w:t>
      </w:r>
      <w:proofErr w:type="spellStart"/>
      <w:r w:rsidRPr="00F142A9">
        <w:rPr>
          <w:sz w:val="20"/>
        </w:rPr>
        <w:t>Scheinin</w:t>
      </w:r>
      <w:proofErr w:type="spellEnd"/>
      <w:r w:rsidRPr="00F142A9">
        <w:rPr>
          <w:sz w:val="20"/>
        </w:rPr>
        <w:t xml:space="preserve">, A. (2017) Cetaceans of the Red Sea. CMS Technical Series 33, 86 p.  Available at: https://www.cms.int/sites/default/files/publication/red_sea_cetaceans_report_web_final.pdf </w:t>
      </w:r>
    </w:p>
    <w:p w:rsidR="0098242A" w:rsidRPr="00F142A9" w:rsidRDefault="0098242A" w:rsidP="00963410">
      <w:pPr>
        <w:spacing w:after="0" w:line="240" w:lineRule="auto"/>
        <w:ind w:left="284" w:hanging="284"/>
        <w:jc w:val="both"/>
        <w:rPr>
          <w:sz w:val="20"/>
        </w:rPr>
      </w:pPr>
    </w:p>
    <w:p w:rsidR="0098242A" w:rsidRPr="00F142A9" w:rsidRDefault="0098242A" w:rsidP="00963410">
      <w:pPr>
        <w:spacing w:after="0" w:line="240" w:lineRule="auto"/>
        <w:ind w:left="284" w:hanging="284"/>
        <w:jc w:val="both"/>
        <w:rPr>
          <w:sz w:val="20"/>
        </w:rPr>
      </w:pPr>
      <w:r w:rsidRPr="00F142A9">
        <w:rPr>
          <w:sz w:val="20"/>
        </w:rPr>
        <w:t>Taylor, B.L., Baird, R., Barlow, J., Dawson, S.M., Ford, J.K.B., Mead, J.G., Notarbartolo di Sciara, G., Wade, P. &amp; Pitman, R.L. (2012) </w:t>
      </w:r>
      <w:r w:rsidRPr="00F142A9">
        <w:rPr>
          <w:i/>
          <w:iCs/>
          <w:sz w:val="20"/>
        </w:rPr>
        <w:t>Grampus griseus</w:t>
      </w:r>
      <w:r w:rsidRPr="00F142A9">
        <w:rPr>
          <w:sz w:val="20"/>
        </w:rPr>
        <w:t>. </w:t>
      </w:r>
      <w:r w:rsidRPr="00F142A9">
        <w:rPr>
          <w:i/>
          <w:iCs/>
          <w:sz w:val="20"/>
        </w:rPr>
        <w:t>The IUCN Red List of Threatened Species</w:t>
      </w:r>
      <w:r w:rsidRPr="00F142A9">
        <w:rPr>
          <w:sz w:val="20"/>
        </w:rPr>
        <w:t> 2012: e.T9461A17386190. http://dx.doi.org/10.2305/IUCN.UK.2012.RLTS.T9461A17386190.en.</w:t>
      </w:r>
    </w:p>
    <w:p w:rsidR="0098242A" w:rsidRPr="00F142A9" w:rsidRDefault="0098242A" w:rsidP="00F142A9">
      <w:pPr>
        <w:spacing w:after="0" w:line="240" w:lineRule="auto"/>
        <w:ind w:left="284" w:hanging="284"/>
      </w:pPr>
    </w:p>
    <w:p w:rsidR="0098242A" w:rsidRPr="00F142A9" w:rsidRDefault="0098242A" w:rsidP="00F142A9">
      <w:pPr>
        <w:spacing w:after="0" w:line="240" w:lineRule="auto"/>
        <w:ind w:left="284" w:hanging="284"/>
      </w:pPr>
    </w:p>
    <w:p w:rsidR="0098242A" w:rsidRPr="0098242A" w:rsidRDefault="0098242A" w:rsidP="0098242A">
      <w:pPr>
        <w:spacing w:after="0" w:line="240" w:lineRule="auto"/>
      </w:pPr>
    </w:p>
    <w:p w:rsidR="0098242A" w:rsidRDefault="0098242A" w:rsidP="0098242A">
      <w:pPr>
        <w:pStyle w:val="ListParagraph"/>
        <w:spacing w:after="0" w:line="240" w:lineRule="auto"/>
        <w:rPr>
          <w:lang w:val="en-GB"/>
        </w:rPr>
        <w:sectPr w:rsidR="0098242A" w:rsidSect="00D71837">
          <w:pgSz w:w="11906" w:h="16838" w:code="9"/>
          <w:pgMar w:top="1134" w:right="1134" w:bottom="1134" w:left="1134" w:header="720" w:footer="720" w:gutter="0"/>
          <w:cols w:space="720"/>
          <w:titlePg/>
          <w:docGrid w:linePitch="360"/>
        </w:sectPr>
      </w:pPr>
    </w:p>
    <w:p w:rsidR="0098242A" w:rsidRPr="0098242A" w:rsidRDefault="0098242A" w:rsidP="0098242A">
      <w:pPr>
        <w:spacing w:after="0" w:line="240" w:lineRule="auto"/>
        <w:jc w:val="right"/>
        <w:rPr>
          <w:rFonts w:cs="Arial"/>
          <w:b/>
          <w:caps/>
          <w:lang w:val="fr-FR"/>
        </w:rPr>
      </w:pPr>
      <w:r w:rsidRPr="0098242A">
        <w:rPr>
          <w:rFonts w:cs="Arial"/>
          <w:b/>
          <w:caps/>
          <w:lang w:val="fr-FR"/>
        </w:rPr>
        <w:lastRenderedPageBreak/>
        <w:t xml:space="preserve">Annexe 2 </w:t>
      </w:r>
    </w:p>
    <w:p w:rsidR="0098242A" w:rsidRPr="0098242A" w:rsidRDefault="0098242A" w:rsidP="0098242A">
      <w:pPr>
        <w:spacing w:after="0" w:line="240" w:lineRule="auto"/>
        <w:rPr>
          <w:rFonts w:cs="Arial"/>
          <w:lang w:val="fr-FR"/>
        </w:rPr>
      </w:pPr>
    </w:p>
    <w:p w:rsidR="0098242A" w:rsidRPr="0098242A" w:rsidRDefault="0098242A" w:rsidP="0098242A">
      <w:pPr>
        <w:spacing w:after="0" w:line="240" w:lineRule="auto"/>
        <w:jc w:val="center"/>
        <w:rPr>
          <w:rFonts w:cs="Arial"/>
          <w:lang w:val="fr-FR"/>
        </w:rPr>
      </w:pPr>
      <w:r w:rsidRPr="0098242A">
        <w:rPr>
          <w:rFonts w:cs="Arial"/>
          <w:lang w:val="fr-FR"/>
        </w:rPr>
        <w:t>DÉCISIONS PROPOSÉES</w:t>
      </w:r>
    </w:p>
    <w:p w:rsidR="0098242A" w:rsidRPr="0098242A" w:rsidRDefault="0098242A" w:rsidP="0098242A">
      <w:pPr>
        <w:spacing w:after="0" w:line="240" w:lineRule="auto"/>
        <w:jc w:val="center"/>
        <w:rPr>
          <w:rFonts w:cs="Arial"/>
          <w:lang w:val="fr-FR"/>
        </w:rPr>
      </w:pPr>
    </w:p>
    <w:p w:rsidR="0098242A" w:rsidRPr="0098242A" w:rsidRDefault="0098242A" w:rsidP="0098242A">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98242A">
        <w:rPr>
          <w:rFonts w:cs="Arial"/>
          <w:b/>
          <w:caps/>
          <w:lang w:val="fr-FR"/>
        </w:rPr>
        <w:t xml:space="preserve">Programme de travail </w:t>
      </w:r>
      <w:r w:rsidR="00F142A9">
        <w:rPr>
          <w:rFonts w:cs="Arial"/>
          <w:b/>
          <w:caps/>
          <w:lang w:val="fr-FR"/>
        </w:rPr>
        <w:t xml:space="preserve">MONDIAL </w:t>
      </w:r>
      <w:r w:rsidRPr="0098242A">
        <w:rPr>
          <w:rFonts w:cs="Arial"/>
          <w:b/>
          <w:caps/>
          <w:lang w:val="fr-FR"/>
        </w:rPr>
        <w:t>pour les C</w:t>
      </w:r>
      <w:r w:rsidR="00F142A9">
        <w:rPr>
          <w:rFonts w:cs="Arial"/>
          <w:b/>
          <w:caps/>
          <w:lang w:val="fr-FR"/>
        </w:rPr>
        <w:t>É</w:t>
      </w:r>
      <w:r w:rsidRPr="0098242A">
        <w:rPr>
          <w:rFonts w:cs="Arial"/>
          <w:b/>
          <w:caps/>
          <w:lang w:val="fr-FR"/>
        </w:rPr>
        <w:t>tac</w:t>
      </w:r>
      <w:r w:rsidR="00F142A9">
        <w:rPr>
          <w:rFonts w:cs="Arial"/>
          <w:b/>
          <w:caps/>
          <w:lang w:val="fr-FR"/>
        </w:rPr>
        <w:t>É</w:t>
      </w:r>
      <w:r w:rsidRPr="0098242A">
        <w:rPr>
          <w:rFonts w:cs="Arial"/>
          <w:b/>
          <w:caps/>
          <w:lang w:val="fr-FR"/>
        </w:rPr>
        <w:t>s</w:t>
      </w:r>
    </w:p>
    <w:p w:rsidR="0098242A" w:rsidRPr="0098242A" w:rsidRDefault="0098242A" w:rsidP="0098242A">
      <w:pPr>
        <w:pStyle w:val="ListParagraph"/>
        <w:spacing w:after="0" w:line="240" w:lineRule="auto"/>
        <w:ind w:left="540"/>
        <w:rPr>
          <w:b/>
          <w:lang w:val="fr-FR"/>
        </w:rPr>
      </w:pPr>
    </w:p>
    <w:p w:rsidR="0098242A" w:rsidRPr="0098242A" w:rsidRDefault="0098242A" w:rsidP="0098242A">
      <w:pPr>
        <w:pStyle w:val="ListParagraph"/>
        <w:spacing w:after="0" w:line="240" w:lineRule="auto"/>
        <w:ind w:left="540"/>
        <w:rPr>
          <w:b/>
          <w:lang w:val="fr-FR"/>
        </w:rPr>
      </w:pPr>
    </w:p>
    <w:p w:rsidR="0098242A" w:rsidRPr="0098242A" w:rsidRDefault="00F142A9" w:rsidP="0098242A">
      <w:pPr>
        <w:pStyle w:val="ListParagraph"/>
        <w:spacing w:after="0" w:line="240" w:lineRule="auto"/>
        <w:ind w:left="540" w:hanging="540"/>
        <w:rPr>
          <w:b/>
          <w:iCs/>
          <w:lang w:val="fr-FR"/>
        </w:rPr>
      </w:pPr>
      <w:r>
        <w:rPr>
          <w:b/>
          <w:iCs/>
          <w:lang w:val="fr-FR"/>
        </w:rPr>
        <w:t>A</w:t>
      </w:r>
      <w:r w:rsidR="0098242A" w:rsidRPr="0098242A">
        <w:rPr>
          <w:b/>
          <w:iCs/>
          <w:lang w:val="fr-FR"/>
        </w:rPr>
        <w:t>dress</w:t>
      </w:r>
      <w:r>
        <w:rPr>
          <w:b/>
          <w:iCs/>
          <w:lang w:val="fr-FR"/>
        </w:rPr>
        <w:t>é aux</w:t>
      </w:r>
      <w:r w:rsidR="0098242A" w:rsidRPr="0098242A">
        <w:rPr>
          <w:b/>
          <w:iCs/>
          <w:lang w:val="fr-FR"/>
        </w:rPr>
        <w:t xml:space="preserve"> Parties</w:t>
      </w:r>
    </w:p>
    <w:p w:rsidR="0098242A" w:rsidRPr="0098242A" w:rsidRDefault="0098242A" w:rsidP="0098242A">
      <w:pPr>
        <w:pStyle w:val="ListParagraph"/>
        <w:spacing w:after="0" w:line="240" w:lineRule="auto"/>
        <w:ind w:left="540"/>
        <w:rPr>
          <w:iCs/>
          <w:lang w:val="fr-FR"/>
        </w:rPr>
      </w:pPr>
    </w:p>
    <w:p w:rsidR="0098242A" w:rsidRPr="0098242A" w:rsidRDefault="0098242A" w:rsidP="00F142A9">
      <w:pPr>
        <w:spacing w:after="0" w:line="240" w:lineRule="auto"/>
        <w:rPr>
          <w:rFonts w:eastAsia="Times New Roman" w:cs="Arial"/>
          <w:iCs/>
          <w:lang w:val="fr-FR"/>
        </w:rPr>
      </w:pPr>
      <w:r w:rsidRPr="0098242A">
        <w:rPr>
          <w:rFonts w:eastAsia="Times New Roman" w:cs="Arial"/>
          <w:iCs/>
          <w:lang w:val="fr-FR"/>
        </w:rPr>
        <w:t>13.AA</w:t>
      </w:r>
      <w:r w:rsidRPr="0098242A">
        <w:rPr>
          <w:rFonts w:eastAsia="Times New Roman" w:cs="Arial"/>
          <w:iCs/>
          <w:lang w:val="fr-FR"/>
        </w:rPr>
        <w:tab/>
        <w:t xml:space="preserve"> Les Parties sont invitées à :</w:t>
      </w:r>
    </w:p>
    <w:p w:rsidR="0098242A" w:rsidRPr="0098242A" w:rsidRDefault="0098242A" w:rsidP="0098242A">
      <w:pPr>
        <w:spacing w:after="0" w:line="240" w:lineRule="auto"/>
        <w:ind w:firstLine="540"/>
        <w:rPr>
          <w:rFonts w:eastAsia="Times New Roman" w:cs="Arial"/>
          <w:iCs/>
          <w:lang w:val="fr-FR"/>
        </w:rPr>
      </w:pPr>
    </w:p>
    <w:p w:rsidR="0098242A" w:rsidRPr="0098242A" w:rsidRDefault="0098242A" w:rsidP="00F142A9">
      <w:pPr>
        <w:pStyle w:val="ListParagraph"/>
        <w:numPr>
          <w:ilvl w:val="0"/>
          <w:numId w:val="11"/>
        </w:numPr>
        <w:spacing w:after="0" w:line="240" w:lineRule="auto"/>
        <w:ind w:left="1418" w:hanging="567"/>
        <w:jc w:val="both"/>
        <w:rPr>
          <w:lang w:val="fr-FR"/>
        </w:rPr>
      </w:pPr>
      <w:r w:rsidRPr="0098242A">
        <w:rPr>
          <w:lang w:val="fr-FR"/>
        </w:rPr>
        <w:t>Prendre contact avec le Secrétariat pour échanger au sujet du potentiel de développement d’un plan d’action pour les cétacés de la région de la mer Rouge ;</w:t>
      </w:r>
    </w:p>
    <w:p w:rsidR="0098242A" w:rsidRPr="0098242A" w:rsidRDefault="0098242A" w:rsidP="00F142A9">
      <w:pPr>
        <w:pStyle w:val="ListParagraph"/>
        <w:spacing w:after="0" w:line="240" w:lineRule="auto"/>
        <w:ind w:left="1418" w:hanging="567"/>
        <w:jc w:val="both"/>
        <w:rPr>
          <w:lang w:val="fr-FR"/>
        </w:rPr>
      </w:pPr>
    </w:p>
    <w:p w:rsidR="0098242A" w:rsidRPr="0098242A" w:rsidRDefault="0098242A" w:rsidP="00F142A9">
      <w:pPr>
        <w:pStyle w:val="ListParagraph"/>
        <w:numPr>
          <w:ilvl w:val="0"/>
          <w:numId w:val="11"/>
        </w:numPr>
        <w:spacing w:after="0" w:line="240" w:lineRule="auto"/>
        <w:ind w:left="1418" w:hanging="567"/>
        <w:jc w:val="both"/>
        <w:rPr>
          <w:lang w:val="fr-FR"/>
        </w:rPr>
      </w:pPr>
      <w:r w:rsidRPr="0098242A">
        <w:rPr>
          <w:rFonts w:eastAsia="Times New Roman" w:cs="Arial"/>
          <w:iCs/>
          <w:lang w:val="fr-FR"/>
        </w:rPr>
        <w:t xml:space="preserve">Fournir des contributions volontaires pour soutenir la mise en œuvre de ces </w:t>
      </w:r>
      <w:r w:rsidR="00F142A9">
        <w:rPr>
          <w:rFonts w:eastAsia="Times New Roman" w:cs="Arial"/>
          <w:iCs/>
          <w:lang w:val="fr-FR"/>
        </w:rPr>
        <w:t>D</w:t>
      </w:r>
      <w:r w:rsidRPr="0098242A">
        <w:rPr>
          <w:rFonts w:eastAsia="Times New Roman" w:cs="Arial"/>
          <w:iCs/>
          <w:lang w:val="fr-FR"/>
        </w:rPr>
        <w:t>écisions</w:t>
      </w:r>
      <w:r w:rsidRPr="0098242A">
        <w:rPr>
          <w:lang w:val="fr-FR"/>
        </w:rPr>
        <w:t>.</w:t>
      </w:r>
    </w:p>
    <w:p w:rsidR="0098242A" w:rsidRPr="0098242A" w:rsidRDefault="0098242A" w:rsidP="0098242A">
      <w:pPr>
        <w:pStyle w:val="ListParagraph"/>
        <w:spacing w:after="0" w:line="240" w:lineRule="auto"/>
        <w:rPr>
          <w:lang w:val="fr-FR"/>
        </w:rPr>
      </w:pPr>
    </w:p>
    <w:p w:rsidR="0098242A" w:rsidRPr="00F142A9" w:rsidRDefault="00F142A9" w:rsidP="0098242A">
      <w:pPr>
        <w:pStyle w:val="ListParagraph"/>
        <w:spacing w:after="0" w:line="240" w:lineRule="auto"/>
        <w:ind w:left="540" w:hanging="540"/>
        <w:rPr>
          <w:b/>
          <w:i/>
          <w:iCs/>
          <w:lang w:val="fr-FR"/>
        </w:rPr>
      </w:pPr>
      <w:r w:rsidRPr="00F142A9">
        <w:rPr>
          <w:b/>
          <w:i/>
          <w:iCs/>
          <w:lang w:val="fr-FR"/>
        </w:rPr>
        <w:t>Adressé au</w:t>
      </w:r>
      <w:r w:rsidR="0098242A" w:rsidRPr="00F142A9">
        <w:rPr>
          <w:b/>
          <w:i/>
          <w:iCs/>
          <w:lang w:val="fr-FR"/>
        </w:rPr>
        <w:t xml:space="preserve"> groupe de travail sur les mammifères aquatiques du Conseil scientifique</w:t>
      </w:r>
    </w:p>
    <w:p w:rsidR="0098242A" w:rsidRPr="0098242A" w:rsidRDefault="0098242A" w:rsidP="0098242A">
      <w:pPr>
        <w:pStyle w:val="ListParagraph"/>
        <w:spacing w:after="0" w:line="240" w:lineRule="auto"/>
        <w:ind w:left="540"/>
        <w:rPr>
          <w:iCs/>
          <w:lang w:val="fr-FR"/>
        </w:rPr>
      </w:pPr>
    </w:p>
    <w:p w:rsidR="0098242A" w:rsidRPr="0098242A" w:rsidRDefault="0098242A" w:rsidP="0079541D">
      <w:pPr>
        <w:spacing w:after="0" w:line="240" w:lineRule="auto"/>
        <w:ind w:left="851" w:hanging="851"/>
        <w:rPr>
          <w:rFonts w:eastAsia="Times New Roman" w:cs="Arial"/>
          <w:iCs/>
          <w:lang w:val="fr-FR"/>
        </w:rPr>
      </w:pPr>
      <w:r w:rsidRPr="0098242A">
        <w:rPr>
          <w:rFonts w:eastAsia="Times New Roman" w:cs="Arial"/>
          <w:iCs/>
          <w:lang w:val="fr-FR"/>
        </w:rPr>
        <w:t xml:space="preserve">13.BB </w:t>
      </w:r>
      <w:r w:rsidRPr="0098242A">
        <w:rPr>
          <w:rFonts w:eastAsia="Times New Roman" w:cs="Arial"/>
          <w:iCs/>
          <w:lang w:val="fr-FR"/>
        </w:rPr>
        <w:tab/>
        <w:t>Le groupe de travail sur les mammifères aquatiques</w:t>
      </w:r>
      <w:r w:rsidR="0079541D">
        <w:rPr>
          <w:rFonts w:eastAsia="Times New Roman" w:cs="Arial"/>
          <w:iCs/>
          <w:lang w:val="fr-FR"/>
        </w:rPr>
        <w:t xml:space="preserve">, </w:t>
      </w:r>
      <w:r w:rsidR="00F15A9E" w:rsidRPr="00F15A9E">
        <w:rPr>
          <w:rFonts w:eastAsia="Times New Roman" w:cs="Arial"/>
          <w:iCs/>
          <w:u w:val="single"/>
          <w:lang w:val="fr-FR"/>
        </w:rPr>
        <w:t>devrait</w:t>
      </w:r>
      <w:r w:rsidR="00F15A9E">
        <w:rPr>
          <w:rFonts w:eastAsia="Times New Roman" w:cs="Arial"/>
          <w:iCs/>
          <w:lang w:val="fr-FR"/>
        </w:rPr>
        <w:t xml:space="preserve">, </w:t>
      </w:r>
      <w:r w:rsidR="0079541D">
        <w:rPr>
          <w:rFonts w:eastAsia="Times New Roman" w:cs="Arial"/>
          <w:iCs/>
          <w:lang w:val="fr-FR"/>
        </w:rPr>
        <w:t>sous réserve de la disponibilité des ressources</w:t>
      </w:r>
      <w:r w:rsidRPr="0098242A">
        <w:rPr>
          <w:rFonts w:eastAsia="Times New Roman" w:cs="Arial"/>
          <w:iCs/>
          <w:lang w:val="fr-FR"/>
        </w:rPr>
        <w:t> :</w:t>
      </w:r>
    </w:p>
    <w:p w:rsidR="0098242A" w:rsidRPr="0098242A" w:rsidRDefault="0098242A" w:rsidP="0098242A">
      <w:pPr>
        <w:spacing w:after="0" w:line="240" w:lineRule="auto"/>
        <w:ind w:firstLine="540"/>
        <w:rPr>
          <w:rFonts w:eastAsia="Times New Roman" w:cs="Arial"/>
          <w:iCs/>
          <w:lang w:val="fr-FR"/>
        </w:rPr>
      </w:pPr>
    </w:p>
    <w:p w:rsidR="0098242A" w:rsidRPr="0098242A" w:rsidRDefault="0098242A" w:rsidP="00F142A9">
      <w:pPr>
        <w:pStyle w:val="ListParagraph"/>
        <w:numPr>
          <w:ilvl w:val="0"/>
          <w:numId w:val="12"/>
        </w:numPr>
        <w:spacing w:after="0" w:line="240" w:lineRule="auto"/>
        <w:ind w:left="1418" w:hanging="709"/>
        <w:jc w:val="both"/>
        <w:rPr>
          <w:i/>
          <w:iCs/>
          <w:strike/>
          <w:lang w:val="fr-FR"/>
        </w:rPr>
      </w:pPr>
      <w:r w:rsidRPr="0098242A">
        <w:rPr>
          <w:rFonts w:eastAsia="Times New Roman" w:cs="Arial"/>
          <w:i/>
          <w:lang w:val="fr-FR"/>
        </w:rPr>
        <w:t xml:space="preserve">(12.16) </w:t>
      </w:r>
      <w:r w:rsidRPr="0079541D">
        <w:rPr>
          <w:rFonts w:eastAsia="Times New Roman" w:cs="Arial"/>
          <w:strike/>
          <w:lang w:val="fr-FR"/>
        </w:rPr>
        <w:t>Sous réserve de la disponibilité des ressources</w:t>
      </w:r>
      <w:r w:rsidRPr="0098242A">
        <w:rPr>
          <w:rFonts w:eastAsia="Times New Roman" w:cs="Arial"/>
          <w:lang w:val="fr-FR"/>
        </w:rPr>
        <w:t xml:space="preserve">, </w:t>
      </w:r>
      <w:r w:rsidRPr="0098242A">
        <w:rPr>
          <w:rFonts w:eastAsia="Times New Roman" w:cs="Arial"/>
          <w:strike/>
          <w:lang w:val="fr-FR"/>
        </w:rPr>
        <w:t>le Conseil scientifique devrait</w:t>
      </w:r>
      <w:r w:rsidRPr="0098242A">
        <w:rPr>
          <w:rFonts w:eastAsia="Times New Roman" w:cs="Arial"/>
          <w:lang w:val="fr-FR"/>
        </w:rPr>
        <w:t xml:space="preserve"> examine</w:t>
      </w:r>
      <w:r w:rsidR="00F15A9E" w:rsidRPr="00F15A9E">
        <w:rPr>
          <w:rFonts w:eastAsia="Times New Roman" w:cs="Arial"/>
          <w:u w:val="single"/>
          <w:lang w:val="fr-FR"/>
        </w:rPr>
        <w:t>r</w:t>
      </w:r>
      <w:r w:rsidRPr="0098242A">
        <w:rPr>
          <w:rFonts w:eastAsia="Times New Roman" w:cs="Arial"/>
          <w:lang w:val="fr-FR"/>
        </w:rPr>
        <w:t xml:space="preserve"> les menaces pesant au niveau régional sur les mammifères marins inscrits aux </w:t>
      </w:r>
      <w:r w:rsidR="00F142A9">
        <w:rPr>
          <w:rFonts w:eastAsia="Times New Roman" w:cs="Arial"/>
          <w:lang w:val="fr-FR"/>
        </w:rPr>
        <w:t>A</w:t>
      </w:r>
      <w:r w:rsidRPr="0098242A">
        <w:rPr>
          <w:rFonts w:eastAsia="Times New Roman" w:cs="Arial"/>
          <w:lang w:val="fr-FR"/>
        </w:rPr>
        <w:t>nnexes de la CMS non inclus dans le Programme de travail pour les Cétacés</w:t>
      </w:r>
      <w:r w:rsidRPr="0098242A">
        <w:rPr>
          <w:rFonts w:eastAsia="Times New Roman" w:cs="Arial"/>
          <w:strike/>
          <w:lang w:val="fr-FR"/>
        </w:rPr>
        <w:t xml:space="preserve"> et préparer pour la 13e session de la conférence des parties une évaluation rigoureuse des menaces et des priorités régionales ainsi que des programmes de travail similaires pour d’autres espèces de mammifères marins.</w:t>
      </w:r>
      <w:r w:rsidRPr="0098242A">
        <w:rPr>
          <w:lang w:val="fr-FR"/>
        </w:rPr>
        <w:t xml:space="preserve"> </w:t>
      </w:r>
    </w:p>
    <w:p w:rsidR="0098242A" w:rsidRPr="0098242A" w:rsidRDefault="0098242A" w:rsidP="00F142A9">
      <w:pPr>
        <w:spacing w:after="0" w:line="240" w:lineRule="auto"/>
        <w:ind w:left="1418" w:hanging="709"/>
        <w:jc w:val="both"/>
        <w:rPr>
          <w:lang w:val="fr-FR"/>
        </w:rPr>
      </w:pPr>
    </w:p>
    <w:p w:rsidR="0098242A" w:rsidRPr="0098242A" w:rsidRDefault="0098242A" w:rsidP="00F142A9">
      <w:pPr>
        <w:pStyle w:val="ListParagraph"/>
        <w:numPr>
          <w:ilvl w:val="0"/>
          <w:numId w:val="12"/>
        </w:numPr>
        <w:spacing w:after="0" w:line="240" w:lineRule="auto"/>
        <w:ind w:left="1418" w:hanging="709"/>
        <w:jc w:val="both"/>
        <w:rPr>
          <w:lang w:val="fr-FR"/>
        </w:rPr>
      </w:pPr>
      <w:r w:rsidRPr="0098242A">
        <w:rPr>
          <w:lang w:val="fr-FR"/>
        </w:rPr>
        <w:t>Sur la base de cette évaluation des menaces et des priorités régionales et sous réserve de la disponibilité des ressources, prépare</w:t>
      </w:r>
      <w:r w:rsidR="00F15A9E" w:rsidRPr="00F15A9E">
        <w:rPr>
          <w:u w:val="single"/>
          <w:lang w:val="fr-FR"/>
        </w:rPr>
        <w:t>r</w:t>
      </w:r>
      <w:r w:rsidRPr="0098242A">
        <w:rPr>
          <w:lang w:val="fr-FR"/>
        </w:rPr>
        <w:t xml:space="preserve"> des programmes de travail pour ces autres espèces de mammifères aquatiques, pour examen par le Conseil scientifique lors de sa 5</w:t>
      </w:r>
      <w:r w:rsidRPr="0098242A">
        <w:rPr>
          <w:vertAlign w:val="superscript"/>
          <w:lang w:val="fr-FR"/>
        </w:rPr>
        <w:t>e</w:t>
      </w:r>
      <w:r w:rsidRPr="0098242A">
        <w:rPr>
          <w:lang w:val="fr-FR"/>
        </w:rPr>
        <w:t xml:space="preserve"> ou 6</w:t>
      </w:r>
      <w:r w:rsidRPr="0098242A">
        <w:rPr>
          <w:vertAlign w:val="superscript"/>
          <w:lang w:val="fr-FR"/>
        </w:rPr>
        <w:t>e</w:t>
      </w:r>
      <w:r w:rsidRPr="0098242A">
        <w:rPr>
          <w:lang w:val="fr-FR"/>
        </w:rPr>
        <w:t> réunion du comité de session ;</w:t>
      </w:r>
    </w:p>
    <w:p w:rsidR="0098242A" w:rsidRPr="0098242A" w:rsidRDefault="0098242A" w:rsidP="00F142A9">
      <w:pPr>
        <w:pStyle w:val="ListParagraph"/>
        <w:spacing w:after="0" w:line="240" w:lineRule="auto"/>
        <w:ind w:left="1418" w:hanging="709"/>
        <w:jc w:val="both"/>
        <w:rPr>
          <w:lang w:val="fr-FR"/>
        </w:rPr>
      </w:pPr>
    </w:p>
    <w:p w:rsidR="0098242A" w:rsidRPr="0098242A" w:rsidRDefault="0098242A" w:rsidP="00F142A9">
      <w:pPr>
        <w:pStyle w:val="ListParagraph"/>
        <w:numPr>
          <w:ilvl w:val="0"/>
          <w:numId w:val="12"/>
        </w:numPr>
        <w:spacing w:after="0" w:line="240" w:lineRule="auto"/>
        <w:ind w:left="1418" w:hanging="709"/>
        <w:jc w:val="both"/>
        <w:rPr>
          <w:lang w:val="fr-FR"/>
        </w:rPr>
      </w:pPr>
      <w:r w:rsidRPr="0098242A">
        <w:rPr>
          <w:lang w:val="fr-FR"/>
        </w:rPr>
        <w:t xml:space="preserve">S’il y a lieu, </w:t>
      </w:r>
      <w:proofErr w:type="spellStart"/>
      <w:r w:rsidRPr="0098242A">
        <w:rPr>
          <w:lang w:val="fr-FR"/>
        </w:rPr>
        <w:t>fourni</w:t>
      </w:r>
      <w:r w:rsidR="00F15A9E" w:rsidRPr="00F15A9E">
        <w:rPr>
          <w:u w:val="single"/>
          <w:lang w:val="fr-FR"/>
        </w:rPr>
        <w:t>r</w:t>
      </w:r>
      <w:r w:rsidR="0079541D" w:rsidRPr="00F15A9E">
        <w:rPr>
          <w:strike/>
          <w:lang w:val="fr-FR"/>
        </w:rPr>
        <w:t>t</w:t>
      </w:r>
      <w:proofErr w:type="spellEnd"/>
      <w:r w:rsidRPr="0098242A">
        <w:rPr>
          <w:lang w:val="fr-FR"/>
        </w:rPr>
        <w:t xml:space="preserve"> des conseils et apporter sa contribution à l’élaboration d’un plan d’action pour les cétacés de la région de la mer Rouge.</w:t>
      </w:r>
    </w:p>
    <w:p w:rsidR="0098242A" w:rsidRPr="0098242A" w:rsidRDefault="0098242A" w:rsidP="0098242A">
      <w:pPr>
        <w:spacing w:after="0" w:line="240" w:lineRule="auto"/>
        <w:rPr>
          <w:lang w:val="fr-FR"/>
        </w:rPr>
      </w:pPr>
    </w:p>
    <w:p w:rsidR="0098242A" w:rsidRPr="0098242A" w:rsidRDefault="00F142A9" w:rsidP="0098242A">
      <w:pPr>
        <w:pStyle w:val="ListParagraph"/>
        <w:spacing w:after="0" w:line="240" w:lineRule="auto"/>
        <w:ind w:left="540" w:hanging="540"/>
        <w:rPr>
          <w:b/>
          <w:iCs/>
          <w:lang w:val="fr-FR"/>
        </w:rPr>
      </w:pPr>
      <w:r>
        <w:rPr>
          <w:b/>
          <w:iCs/>
          <w:lang w:val="fr-FR"/>
        </w:rPr>
        <w:t>A</w:t>
      </w:r>
      <w:r w:rsidR="0098242A" w:rsidRPr="0098242A">
        <w:rPr>
          <w:b/>
          <w:iCs/>
          <w:lang w:val="fr-FR"/>
        </w:rPr>
        <w:t>dress</w:t>
      </w:r>
      <w:r>
        <w:rPr>
          <w:b/>
          <w:iCs/>
          <w:lang w:val="fr-FR"/>
        </w:rPr>
        <w:t>é</w:t>
      </w:r>
      <w:r w:rsidR="0098242A" w:rsidRPr="0098242A">
        <w:rPr>
          <w:b/>
          <w:iCs/>
          <w:lang w:val="fr-FR"/>
        </w:rPr>
        <w:t xml:space="preserve"> </w:t>
      </w:r>
      <w:r w:rsidR="00FE587F">
        <w:rPr>
          <w:b/>
          <w:iCs/>
          <w:lang w:val="fr-FR"/>
        </w:rPr>
        <w:t>a</w:t>
      </w:r>
      <w:r w:rsidR="0098242A" w:rsidRPr="0098242A">
        <w:rPr>
          <w:b/>
          <w:iCs/>
          <w:lang w:val="fr-FR"/>
        </w:rPr>
        <w:t>u Conseil scientifique</w:t>
      </w:r>
    </w:p>
    <w:p w:rsidR="0098242A" w:rsidRPr="0098242A" w:rsidRDefault="0098242A" w:rsidP="0098242A">
      <w:pPr>
        <w:pStyle w:val="ListParagraph"/>
        <w:spacing w:after="0" w:line="240" w:lineRule="auto"/>
        <w:ind w:left="540"/>
        <w:rPr>
          <w:iCs/>
          <w:lang w:val="fr-FR"/>
        </w:rPr>
      </w:pPr>
    </w:p>
    <w:p w:rsidR="0098242A" w:rsidRPr="0098242A" w:rsidRDefault="0098242A" w:rsidP="00FE587F">
      <w:pPr>
        <w:spacing w:after="0" w:line="240" w:lineRule="auto"/>
        <w:rPr>
          <w:rFonts w:eastAsia="Times New Roman" w:cs="Arial"/>
          <w:iCs/>
          <w:lang w:val="fr-FR"/>
        </w:rPr>
      </w:pPr>
      <w:r w:rsidRPr="0098242A">
        <w:rPr>
          <w:rFonts w:eastAsia="Times New Roman" w:cs="Arial"/>
          <w:iCs/>
          <w:lang w:val="fr-FR"/>
        </w:rPr>
        <w:t>13.CC</w:t>
      </w:r>
      <w:r w:rsidRPr="0098242A">
        <w:rPr>
          <w:rFonts w:ascii="Cambria Math" w:eastAsia="Times New Roman" w:hAnsi="Cambria Math" w:cs="Cambria Math"/>
          <w:iCs/>
          <w:lang w:val="fr-FR"/>
        </w:rPr>
        <w:t>⇥</w:t>
      </w:r>
      <w:r w:rsidRPr="0098242A">
        <w:rPr>
          <w:rFonts w:eastAsia="Times New Roman" w:cs="Arial"/>
          <w:iCs/>
          <w:lang w:val="fr-FR"/>
        </w:rPr>
        <w:t xml:space="preserve"> Le conseil scientifique</w:t>
      </w:r>
      <w:r w:rsidR="0079541D">
        <w:rPr>
          <w:rFonts w:eastAsia="Times New Roman" w:cs="Arial"/>
          <w:iCs/>
          <w:lang w:val="fr-FR"/>
        </w:rPr>
        <w:t>,</w:t>
      </w:r>
      <w:r w:rsidR="00F15A9E">
        <w:rPr>
          <w:rFonts w:eastAsia="Times New Roman" w:cs="Arial"/>
          <w:iCs/>
          <w:lang w:val="fr-FR"/>
        </w:rPr>
        <w:t xml:space="preserve"> </w:t>
      </w:r>
      <w:r w:rsidR="00F15A9E" w:rsidRPr="00F15A9E">
        <w:rPr>
          <w:rFonts w:eastAsia="Times New Roman" w:cs="Arial"/>
          <w:iCs/>
          <w:u w:val="single"/>
          <w:lang w:val="fr-FR"/>
        </w:rPr>
        <w:t>devrait</w:t>
      </w:r>
      <w:r w:rsidR="00F15A9E">
        <w:rPr>
          <w:rFonts w:eastAsia="Times New Roman" w:cs="Arial"/>
          <w:iCs/>
          <w:lang w:val="fr-FR"/>
        </w:rPr>
        <w:t>,</w:t>
      </w:r>
      <w:r w:rsidR="0079541D">
        <w:rPr>
          <w:rFonts w:eastAsia="Times New Roman" w:cs="Arial"/>
          <w:iCs/>
          <w:lang w:val="fr-FR"/>
        </w:rPr>
        <w:t xml:space="preserve"> sous réserve de la disponibilité des ressources</w:t>
      </w:r>
      <w:r w:rsidR="0079541D" w:rsidRPr="0098242A">
        <w:rPr>
          <w:rFonts w:eastAsia="Times New Roman" w:cs="Arial"/>
          <w:iCs/>
          <w:lang w:val="fr-FR"/>
        </w:rPr>
        <w:t> </w:t>
      </w:r>
      <w:r w:rsidRPr="0098242A">
        <w:rPr>
          <w:rFonts w:eastAsia="Times New Roman" w:cs="Arial"/>
          <w:iCs/>
          <w:lang w:val="fr-FR"/>
        </w:rPr>
        <w:t> :</w:t>
      </w:r>
    </w:p>
    <w:p w:rsidR="0098242A" w:rsidRPr="0098242A" w:rsidRDefault="0098242A" w:rsidP="0098242A">
      <w:pPr>
        <w:spacing w:after="0" w:line="240" w:lineRule="auto"/>
        <w:ind w:firstLine="540"/>
        <w:rPr>
          <w:rFonts w:eastAsia="Times New Roman" w:cs="Arial"/>
          <w:iCs/>
          <w:lang w:val="fr-FR"/>
        </w:rPr>
      </w:pPr>
    </w:p>
    <w:p w:rsidR="0098242A" w:rsidRPr="0098242A" w:rsidRDefault="0098242A" w:rsidP="00FE587F">
      <w:pPr>
        <w:pStyle w:val="ListParagraph"/>
        <w:numPr>
          <w:ilvl w:val="0"/>
          <w:numId w:val="13"/>
        </w:numPr>
        <w:spacing w:after="0" w:line="240" w:lineRule="auto"/>
        <w:ind w:left="1418" w:hanging="567"/>
        <w:jc w:val="both"/>
        <w:rPr>
          <w:lang w:val="fr-FR"/>
        </w:rPr>
      </w:pPr>
      <w:r w:rsidRPr="0098242A">
        <w:rPr>
          <w:rFonts w:eastAsia="Times New Roman" w:cs="Arial"/>
          <w:iCs/>
          <w:lang w:val="fr-FR"/>
        </w:rPr>
        <w:t>E</w:t>
      </w:r>
      <w:r w:rsidRPr="0098242A">
        <w:rPr>
          <w:lang w:val="fr-FR"/>
        </w:rPr>
        <w:t>xamine</w:t>
      </w:r>
      <w:r w:rsidR="00F15A9E" w:rsidRPr="00F15A9E">
        <w:rPr>
          <w:u w:val="single"/>
          <w:lang w:val="fr-FR"/>
        </w:rPr>
        <w:t>r</w:t>
      </w:r>
      <w:r w:rsidRPr="0098242A">
        <w:rPr>
          <w:lang w:val="fr-FR"/>
        </w:rPr>
        <w:t xml:space="preserve"> les évaluations des menaces régionales et les programmes de travail résultants élaborés par le groupe de travail sur les mammifères aquatiques et formule</w:t>
      </w:r>
      <w:r w:rsidR="00F15A9E" w:rsidRPr="00F15A9E">
        <w:rPr>
          <w:u w:val="single"/>
          <w:lang w:val="fr-FR"/>
        </w:rPr>
        <w:t>r</w:t>
      </w:r>
      <w:r w:rsidR="00FE587F">
        <w:rPr>
          <w:lang w:val="fr-FR"/>
        </w:rPr>
        <w:t xml:space="preserve"> </w:t>
      </w:r>
      <w:r w:rsidRPr="0098242A">
        <w:rPr>
          <w:lang w:val="fr-FR"/>
        </w:rPr>
        <w:t>des recommandations à la Conférence des Parties lors de sa 14</w:t>
      </w:r>
      <w:r w:rsidRPr="0098242A">
        <w:rPr>
          <w:vertAlign w:val="superscript"/>
          <w:lang w:val="fr-FR"/>
        </w:rPr>
        <w:t>e</w:t>
      </w:r>
      <w:r w:rsidRPr="0098242A">
        <w:rPr>
          <w:lang w:val="fr-FR"/>
        </w:rPr>
        <w:t> session ;</w:t>
      </w:r>
    </w:p>
    <w:p w:rsidR="0098242A" w:rsidRPr="0098242A" w:rsidRDefault="0098242A" w:rsidP="00FE587F">
      <w:pPr>
        <w:pStyle w:val="ListParagraph"/>
        <w:spacing w:after="0" w:line="240" w:lineRule="auto"/>
        <w:ind w:left="1418" w:hanging="567"/>
        <w:jc w:val="both"/>
        <w:rPr>
          <w:lang w:val="fr-FR"/>
        </w:rPr>
      </w:pPr>
    </w:p>
    <w:p w:rsidR="0098242A" w:rsidRPr="0098242A" w:rsidRDefault="0098242A" w:rsidP="00FE587F">
      <w:pPr>
        <w:pStyle w:val="ListParagraph"/>
        <w:numPr>
          <w:ilvl w:val="0"/>
          <w:numId w:val="13"/>
        </w:numPr>
        <w:spacing w:after="0" w:line="240" w:lineRule="auto"/>
        <w:ind w:left="1418" w:hanging="567"/>
        <w:jc w:val="both"/>
        <w:rPr>
          <w:lang w:val="fr-FR"/>
        </w:rPr>
      </w:pPr>
      <w:r w:rsidRPr="0098242A">
        <w:rPr>
          <w:lang w:val="fr-FR"/>
        </w:rPr>
        <w:t>Le cas échéant, examine</w:t>
      </w:r>
      <w:r w:rsidR="00F15A9E" w:rsidRPr="00F15A9E">
        <w:rPr>
          <w:u w:val="single"/>
          <w:lang w:val="fr-FR"/>
        </w:rPr>
        <w:t>r</w:t>
      </w:r>
      <w:r w:rsidRPr="0098242A">
        <w:rPr>
          <w:lang w:val="fr-FR"/>
        </w:rPr>
        <w:t xml:space="preserve"> le projet de plan d’action pour les cétacés de la région de la mer Rouge et transmet</w:t>
      </w:r>
      <w:r w:rsidR="00F15A9E" w:rsidRPr="00F15A9E">
        <w:rPr>
          <w:u w:val="single"/>
          <w:lang w:val="fr-FR"/>
        </w:rPr>
        <w:t>tre</w:t>
      </w:r>
      <w:r w:rsidRPr="0098242A">
        <w:rPr>
          <w:lang w:val="fr-FR"/>
        </w:rPr>
        <w:t xml:space="preserve"> ses recommandations à la Conférence des Parties lors de sa 15</w:t>
      </w:r>
      <w:r w:rsidRPr="0098242A">
        <w:rPr>
          <w:vertAlign w:val="superscript"/>
          <w:lang w:val="fr-FR"/>
        </w:rPr>
        <w:t>e</w:t>
      </w:r>
      <w:r w:rsidRPr="0098242A">
        <w:rPr>
          <w:lang w:val="fr-FR"/>
        </w:rPr>
        <w:t> session.</w:t>
      </w:r>
    </w:p>
    <w:p w:rsidR="00FE587F" w:rsidRDefault="00FE587F" w:rsidP="00FE587F">
      <w:pPr>
        <w:spacing w:after="0" w:line="240" w:lineRule="auto"/>
        <w:jc w:val="both"/>
        <w:rPr>
          <w:lang w:val="fr-FR"/>
        </w:rPr>
        <w:sectPr w:rsidR="00FE587F" w:rsidSect="00D71837">
          <w:headerReference w:type="first" r:id="rId22"/>
          <w:pgSz w:w="11906" w:h="16838" w:code="9"/>
          <w:pgMar w:top="1134" w:right="1134" w:bottom="1134" w:left="1134" w:header="720" w:footer="720" w:gutter="0"/>
          <w:cols w:space="720"/>
          <w:titlePg/>
          <w:docGrid w:linePitch="360"/>
        </w:sectPr>
      </w:pPr>
    </w:p>
    <w:p w:rsidR="0098242A" w:rsidRPr="0098242A" w:rsidRDefault="0098242A" w:rsidP="0098242A">
      <w:pPr>
        <w:spacing w:after="0" w:line="240" w:lineRule="auto"/>
        <w:rPr>
          <w:lang w:val="fr-FR"/>
        </w:rPr>
      </w:pPr>
    </w:p>
    <w:p w:rsidR="0098242A" w:rsidRPr="0098242A" w:rsidRDefault="00FE587F" w:rsidP="0098242A">
      <w:pPr>
        <w:pStyle w:val="ListParagraph"/>
        <w:spacing w:after="0" w:line="240" w:lineRule="auto"/>
        <w:ind w:left="540" w:hanging="540"/>
        <w:rPr>
          <w:b/>
          <w:iCs/>
          <w:lang w:val="fr-FR"/>
        </w:rPr>
      </w:pPr>
      <w:r>
        <w:rPr>
          <w:b/>
          <w:iCs/>
          <w:lang w:val="fr-FR"/>
        </w:rPr>
        <w:t>A</w:t>
      </w:r>
      <w:r w:rsidR="0098242A" w:rsidRPr="0098242A">
        <w:rPr>
          <w:b/>
          <w:iCs/>
          <w:lang w:val="fr-FR"/>
        </w:rPr>
        <w:t>dress</w:t>
      </w:r>
      <w:r>
        <w:rPr>
          <w:b/>
          <w:iCs/>
          <w:lang w:val="fr-FR"/>
        </w:rPr>
        <w:t>é</w:t>
      </w:r>
      <w:r w:rsidR="0098242A" w:rsidRPr="0098242A">
        <w:rPr>
          <w:b/>
          <w:iCs/>
          <w:lang w:val="fr-FR"/>
        </w:rPr>
        <w:t xml:space="preserve"> </w:t>
      </w:r>
      <w:r>
        <w:rPr>
          <w:b/>
          <w:iCs/>
          <w:lang w:val="fr-FR"/>
        </w:rPr>
        <w:t>a</w:t>
      </w:r>
      <w:r w:rsidR="0098242A" w:rsidRPr="0098242A">
        <w:rPr>
          <w:b/>
          <w:iCs/>
          <w:lang w:val="fr-FR"/>
        </w:rPr>
        <w:t>u Secrétariat</w:t>
      </w:r>
    </w:p>
    <w:p w:rsidR="0098242A" w:rsidRPr="0098242A" w:rsidRDefault="0098242A" w:rsidP="0098242A">
      <w:pPr>
        <w:pStyle w:val="ListParagraph"/>
        <w:spacing w:after="0" w:line="240" w:lineRule="auto"/>
        <w:ind w:left="540"/>
        <w:rPr>
          <w:iCs/>
          <w:lang w:val="fr-FR"/>
        </w:rPr>
      </w:pPr>
    </w:p>
    <w:p w:rsidR="0098242A" w:rsidRPr="0098242A" w:rsidRDefault="0098242A" w:rsidP="00FE587F">
      <w:pPr>
        <w:spacing w:after="0" w:line="240" w:lineRule="auto"/>
        <w:rPr>
          <w:rFonts w:eastAsia="Times New Roman" w:cs="Arial"/>
          <w:iCs/>
          <w:lang w:val="fr-FR"/>
        </w:rPr>
      </w:pPr>
      <w:r w:rsidRPr="0098242A">
        <w:rPr>
          <w:rFonts w:eastAsia="Times New Roman" w:cs="Arial"/>
          <w:iCs/>
          <w:lang w:val="fr-FR"/>
        </w:rPr>
        <w:t xml:space="preserve">13.DD </w:t>
      </w:r>
      <w:r w:rsidRPr="0098242A">
        <w:rPr>
          <w:rFonts w:eastAsia="Times New Roman" w:cs="Arial"/>
          <w:iCs/>
          <w:lang w:val="fr-FR"/>
        </w:rPr>
        <w:tab/>
        <w:t>Le Secrétariat</w:t>
      </w:r>
      <w:r w:rsidR="0079541D">
        <w:rPr>
          <w:rFonts w:eastAsia="Times New Roman" w:cs="Arial"/>
          <w:iCs/>
          <w:lang w:val="fr-FR"/>
        </w:rPr>
        <w:t>, sous réserve de la disponibilité des ressources</w:t>
      </w:r>
      <w:r w:rsidR="0079541D" w:rsidRPr="0098242A">
        <w:rPr>
          <w:rFonts w:eastAsia="Times New Roman" w:cs="Arial"/>
          <w:iCs/>
          <w:lang w:val="fr-FR"/>
        </w:rPr>
        <w:t> </w:t>
      </w:r>
      <w:r w:rsidRPr="0098242A">
        <w:rPr>
          <w:rFonts w:eastAsia="Times New Roman" w:cs="Arial"/>
          <w:iCs/>
          <w:lang w:val="fr-FR"/>
        </w:rPr>
        <w:t>:</w:t>
      </w:r>
    </w:p>
    <w:p w:rsidR="0098242A" w:rsidRPr="0098242A" w:rsidRDefault="0098242A" w:rsidP="0098242A">
      <w:pPr>
        <w:spacing w:after="0" w:line="240" w:lineRule="auto"/>
        <w:ind w:firstLine="540"/>
        <w:rPr>
          <w:rFonts w:eastAsia="Times New Roman" w:cs="Arial"/>
          <w:iCs/>
          <w:lang w:val="fr-FR"/>
        </w:rPr>
      </w:pPr>
    </w:p>
    <w:p w:rsidR="0098242A" w:rsidRPr="0098242A" w:rsidRDefault="0079541D" w:rsidP="00FE587F">
      <w:pPr>
        <w:pStyle w:val="ListParagraph"/>
        <w:numPr>
          <w:ilvl w:val="0"/>
          <w:numId w:val="14"/>
        </w:numPr>
        <w:spacing w:after="0" w:line="240" w:lineRule="auto"/>
        <w:ind w:left="1418" w:hanging="567"/>
        <w:jc w:val="both"/>
        <w:rPr>
          <w:lang w:val="fr-FR"/>
        </w:rPr>
      </w:pPr>
      <w:r>
        <w:rPr>
          <w:lang w:val="fr-FR"/>
        </w:rPr>
        <w:t>c</w:t>
      </w:r>
      <w:r w:rsidR="0098242A" w:rsidRPr="0098242A">
        <w:rPr>
          <w:lang w:val="fr-FR"/>
        </w:rPr>
        <w:t>onsulte les États de l’aire de répartition de la mer Rouge afin d’étudier la possibilité d’élaborer un plan d’action pour les cétacés de la région de la mer Rouge ;</w:t>
      </w:r>
    </w:p>
    <w:p w:rsidR="0098242A" w:rsidRPr="0098242A" w:rsidRDefault="0098242A" w:rsidP="00FE587F">
      <w:pPr>
        <w:pStyle w:val="ListParagraph"/>
        <w:spacing w:after="0" w:line="240" w:lineRule="auto"/>
        <w:ind w:left="1418" w:hanging="567"/>
        <w:jc w:val="both"/>
        <w:rPr>
          <w:lang w:val="fr-FR"/>
        </w:rPr>
      </w:pPr>
    </w:p>
    <w:p w:rsidR="0098242A" w:rsidRPr="0098242A" w:rsidRDefault="0079541D" w:rsidP="00FE587F">
      <w:pPr>
        <w:pStyle w:val="ListParagraph"/>
        <w:numPr>
          <w:ilvl w:val="0"/>
          <w:numId w:val="14"/>
        </w:numPr>
        <w:spacing w:after="0" w:line="240" w:lineRule="auto"/>
        <w:ind w:left="1418" w:hanging="567"/>
        <w:jc w:val="both"/>
        <w:rPr>
          <w:lang w:val="fr-FR"/>
        </w:rPr>
      </w:pPr>
      <w:r>
        <w:rPr>
          <w:rFonts w:eastAsia="Times New Roman" w:cs="Arial"/>
          <w:iCs/>
          <w:lang w:val="fr-FR"/>
        </w:rPr>
        <w:t>o</w:t>
      </w:r>
      <w:r w:rsidR="0098242A" w:rsidRPr="0098242A">
        <w:rPr>
          <w:lang w:val="fr-FR"/>
        </w:rPr>
        <w:t>rganise un atelier réunissant les parties intéressées, des scientifiques et des organisations de conservation travaillant dans la région de la mer Rouge afin de déterminer le meilleur moyen de faire progresser la conservation des cétacés et, si les parties le souhaitent, d’aider à la mise au point d’un plan d’action ;</w:t>
      </w:r>
    </w:p>
    <w:p w:rsidR="0098242A" w:rsidRPr="0098242A" w:rsidRDefault="0098242A" w:rsidP="00FE587F">
      <w:pPr>
        <w:pStyle w:val="ListParagraph"/>
        <w:spacing w:after="0" w:line="240" w:lineRule="auto"/>
        <w:ind w:left="1418" w:hanging="567"/>
        <w:jc w:val="both"/>
        <w:rPr>
          <w:lang w:val="fr-FR"/>
        </w:rPr>
      </w:pPr>
      <w:bookmarkStart w:id="1" w:name="_GoBack"/>
      <w:bookmarkEnd w:id="1"/>
    </w:p>
    <w:p w:rsidR="0098242A" w:rsidRDefault="0079541D" w:rsidP="00FE587F">
      <w:pPr>
        <w:pStyle w:val="ListParagraph"/>
        <w:numPr>
          <w:ilvl w:val="0"/>
          <w:numId w:val="14"/>
        </w:numPr>
        <w:spacing w:after="0" w:line="240" w:lineRule="auto"/>
        <w:ind w:left="1418" w:hanging="567"/>
        <w:jc w:val="both"/>
        <w:rPr>
          <w:lang w:val="fr-FR"/>
        </w:rPr>
      </w:pPr>
      <w:r>
        <w:rPr>
          <w:lang w:val="fr-FR"/>
        </w:rPr>
        <w:t>c</w:t>
      </w:r>
      <w:r w:rsidR="0098242A" w:rsidRPr="0098242A">
        <w:rPr>
          <w:lang w:val="fr-FR"/>
        </w:rPr>
        <w:t>onsulte des organismes régionaux compétents, notamment le Secrétariat de l’Organisation régionale pour la conservation de l’environnement dans la mer Rouge et le golfe d’Aden (PERSGA), afin d’obtenir son soutien pour faire progresser la conservation des cétacés dans la mer Rouge, comme recommandé par l’atelier susmentionné.</w:t>
      </w:r>
    </w:p>
    <w:p w:rsidR="00FE587F" w:rsidRPr="00FE587F" w:rsidRDefault="00FE587F" w:rsidP="00FE587F">
      <w:pPr>
        <w:pStyle w:val="ListParagraph"/>
        <w:rPr>
          <w:lang w:val="fr-FR"/>
        </w:rPr>
      </w:pPr>
    </w:p>
    <w:p w:rsidR="00FE587F" w:rsidRPr="00FE587F" w:rsidRDefault="0079541D" w:rsidP="00FE587F">
      <w:pPr>
        <w:pStyle w:val="ListParagraph"/>
        <w:numPr>
          <w:ilvl w:val="0"/>
          <w:numId w:val="14"/>
        </w:numPr>
        <w:spacing w:after="0" w:line="240" w:lineRule="auto"/>
        <w:ind w:left="1418" w:hanging="567"/>
        <w:jc w:val="both"/>
        <w:rPr>
          <w:lang w:val="fr-FR"/>
        </w:rPr>
      </w:pPr>
      <w:r>
        <w:rPr>
          <w:lang w:val="fr-FR"/>
        </w:rPr>
        <w:t>a</w:t>
      </w:r>
      <w:r w:rsidR="00FE587F" w:rsidRPr="00FE587F">
        <w:rPr>
          <w:lang w:val="fr-FR"/>
        </w:rPr>
        <w:t xml:space="preserve">ssure la liaison avec le secrétariat de la CBI en vue d'organiser conjointement un atelier </w:t>
      </w:r>
      <w:r w:rsidR="00FE587F" w:rsidRPr="0079541D">
        <w:rPr>
          <w:lang w:val="fr-FR"/>
        </w:rPr>
        <w:t>sur le rôle</w:t>
      </w:r>
      <w:r w:rsidR="00FE587F" w:rsidRPr="00FE587F">
        <w:rPr>
          <w:lang w:val="fr-FR"/>
        </w:rPr>
        <w:t xml:space="preserve"> des cétacés dans le fonctionnement des écosystèmes pour examiner les données et les recherches existantes et identifier les possibilités d'étendre ces travaux.</w:t>
      </w:r>
    </w:p>
    <w:p w:rsidR="00FE587F" w:rsidRPr="00FE587F" w:rsidRDefault="00FE587F" w:rsidP="00FE587F">
      <w:pPr>
        <w:pStyle w:val="ListParagraph"/>
        <w:spacing w:after="0" w:line="240" w:lineRule="auto"/>
        <w:ind w:left="1418" w:hanging="567"/>
        <w:jc w:val="both"/>
        <w:rPr>
          <w:lang w:val="fr-FR"/>
        </w:rPr>
      </w:pPr>
    </w:p>
    <w:p w:rsidR="00FE587F" w:rsidRPr="00FE587F" w:rsidRDefault="0079541D" w:rsidP="00FE587F">
      <w:pPr>
        <w:pStyle w:val="ListParagraph"/>
        <w:numPr>
          <w:ilvl w:val="0"/>
          <w:numId w:val="14"/>
        </w:numPr>
        <w:spacing w:after="0" w:line="240" w:lineRule="auto"/>
        <w:ind w:left="1418" w:hanging="567"/>
        <w:jc w:val="both"/>
        <w:rPr>
          <w:lang w:val="fr-FR"/>
        </w:rPr>
      </w:pPr>
      <w:r>
        <w:rPr>
          <w:lang w:val="fr-FR"/>
        </w:rPr>
        <w:t>r</w:t>
      </w:r>
      <w:r w:rsidR="00FE587F" w:rsidRPr="00FE587F">
        <w:rPr>
          <w:lang w:val="fr-FR"/>
        </w:rPr>
        <w:t xml:space="preserve">end compte des résultats de l'atelier à la prochaine réunion du Comité de session du Conseil scientifique.  </w:t>
      </w:r>
    </w:p>
    <w:sectPr w:rsidR="00FE587F" w:rsidRPr="00FE587F" w:rsidSect="00D71837">
      <w:head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8E" w:rsidRDefault="00A8308E" w:rsidP="00EC2A58">
      <w:pPr>
        <w:spacing w:after="0" w:line="240" w:lineRule="auto"/>
      </w:pPr>
      <w:r>
        <w:separator/>
      </w:r>
    </w:p>
  </w:endnote>
  <w:endnote w:type="continuationSeparator" w:id="0">
    <w:p w:rsidR="00A8308E" w:rsidRDefault="00A8308E"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A8308E" w:rsidRPr="006C1BC0" w:rsidRDefault="00A8308E" w:rsidP="006C1BC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A8308E" w:rsidRPr="007C161C" w:rsidRDefault="00A8308E" w:rsidP="007C161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05428572"/>
      <w:docPartObj>
        <w:docPartGallery w:val="Page Numbers (Bottom of Page)"/>
        <w:docPartUnique/>
      </w:docPartObj>
    </w:sdtPr>
    <w:sdtEndPr>
      <w:rPr>
        <w:noProof/>
      </w:rPr>
    </w:sdtEndPr>
    <w:sdtContent>
      <w:p w:rsidR="00C74977" w:rsidRPr="00C74977" w:rsidRDefault="00C74977" w:rsidP="00C74977">
        <w:pPr>
          <w:pStyle w:val="Footer"/>
          <w:jc w:val="center"/>
          <w:rPr>
            <w:sz w:val="18"/>
            <w:szCs w:val="18"/>
          </w:rPr>
        </w:pPr>
        <w:r w:rsidRPr="00C74977">
          <w:rPr>
            <w:sz w:val="18"/>
            <w:szCs w:val="18"/>
          </w:rPr>
          <w:fldChar w:fldCharType="begin"/>
        </w:r>
        <w:r w:rsidRPr="00C74977">
          <w:rPr>
            <w:sz w:val="18"/>
            <w:szCs w:val="18"/>
          </w:rPr>
          <w:instrText xml:space="preserve"> PAGE   \* MERGEFORMAT </w:instrText>
        </w:r>
        <w:r w:rsidRPr="00C74977">
          <w:rPr>
            <w:sz w:val="18"/>
            <w:szCs w:val="18"/>
          </w:rPr>
          <w:fldChar w:fldCharType="separate"/>
        </w:r>
        <w:r w:rsidRPr="00C74977">
          <w:rPr>
            <w:noProof/>
            <w:sz w:val="18"/>
            <w:szCs w:val="18"/>
          </w:rPr>
          <w:t>2</w:t>
        </w:r>
        <w:r w:rsidRPr="00C7497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8E" w:rsidRDefault="00A8308E" w:rsidP="00EC2A58">
      <w:pPr>
        <w:spacing w:after="0" w:line="240" w:lineRule="auto"/>
      </w:pPr>
      <w:r>
        <w:separator/>
      </w:r>
    </w:p>
  </w:footnote>
  <w:footnote w:type="continuationSeparator" w:id="0">
    <w:p w:rsidR="00A8308E" w:rsidRDefault="00A8308E" w:rsidP="00EC2A58">
      <w:pPr>
        <w:spacing w:after="0" w:line="240" w:lineRule="auto"/>
      </w:pPr>
      <w:r>
        <w:continuationSeparator/>
      </w:r>
    </w:p>
  </w:footnote>
  <w:footnote w:id="1">
    <w:p w:rsidR="006C1BC0" w:rsidRPr="006C1BC0" w:rsidRDefault="006C1BC0" w:rsidP="006C1BC0">
      <w:pPr>
        <w:pStyle w:val="FootnoteText"/>
        <w:rPr>
          <w:sz w:val="16"/>
          <w:szCs w:val="16"/>
          <w:lang w:val="fr-FR"/>
        </w:rPr>
      </w:pPr>
      <w:r w:rsidRPr="004723FE">
        <w:rPr>
          <w:rStyle w:val="FootnoteReference"/>
          <w:sz w:val="16"/>
          <w:szCs w:val="16"/>
        </w:rPr>
        <w:footnoteRef/>
      </w:r>
      <w:r w:rsidRPr="006C1BC0">
        <w:rPr>
          <w:sz w:val="16"/>
          <w:szCs w:val="16"/>
          <w:lang w:val="fr-FR"/>
        </w:rPr>
        <w:t xml:space="preserve"> Disponible pour télécharger sous </w:t>
      </w:r>
      <w:hyperlink r:id="rId1" w:history="1">
        <w:r w:rsidRPr="006C1BC0">
          <w:rPr>
            <w:rStyle w:val="Hyperlink"/>
            <w:sz w:val="16"/>
            <w:szCs w:val="16"/>
            <w:lang w:val="fr-FR"/>
          </w:rPr>
          <w:t>https://iwc.int/resolutions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8E" w:rsidRPr="0079541D" w:rsidRDefault="00A8308E" w:rsidP="006C1BC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9541D">
      <w:rPr>
        <w:rFonts w:eastAsia="Arial" w:cs="Arial"/>
        <w:i/>
        <w:sz w:val="18"/>
        <w:szCs w:val="18"/>
        <w:lang w:val="en-GB"/>
      </w:rPr>
      <w:t>UNEP/CMS/COP13/Doc.26.2.10</w:t>
    </w:r>
    <w:r w:rsidR="0079541D" w:rsidRPr="0079541D">
      <w:rPr>
        <w:rFonts w:eastAsia="Arial" w:cs="Arial"/>
        <w:i/>
        <w:sz w:val="18"/>
        <w:szCs w:val="18"/>
        <w:lang w:val="en-GB"/>
      </w:rPr>
      <w:t>/Rev.</w:t>
    </w:r>
    <w:r w:rsidR="00F15A9E">
      <w:rPr>
        <w:rFonts w:eastAsia="Arial"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8E" w:rsidRPr="0079541D" w:rsidRDefault="006C1BC0" w:rsidP="006C1BC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79541D">
      <w:rPr>
        <w:rFonts w:eastAsia="Arial" w:cs="Arial"/>
        <w:i/>
        <w:sz w:val="18"/>
        <w:szCs w:val="18"/>
        <w:lang w:val="en-GB"/>
      </w:rPr>
      <w:t>UNEP/CMS/COP13/Doc.26.2.10</w:t>
    </w:r>
    <w:r w:rsidR="0079541D" w:rsidRPr="0079541D">
      <w:rPr>
        <w:rFonts w:eastAsia="Arial" w:cs="Arial"/>
        <w:i/>
        <w:sz w:val="18"/>
        <w:szCs w:val="18"/>
        <w:lang w:val="en-GB"/>
      </w:rPr>
      <w:t>/Rev.</w:t>
    </w:r>
    <w:r w:rsidR="00F15A9E">
      <w:rPr>
        <w:rFonts w:eastAsia="Arial"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8E" w:rsidRPr="00EC2A58" w:rsidRDefault="00A8308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A8308E" w:rsidRDefault="00A83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1C" w:rsidRPr="006C1BC0" w:rsidRDefault="007C161C" w:rsidP="006C1BC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98242A">
      <w:rPr>
        <w:rFonts w:eastAsia="Arial" w:cs="Arial"/>
        <w:i/>
        <w:sz w:val="18"/>
        <w:szCs w:val="18"/>
        <w:lang w:val="fr-FR"/>
      </w:rPr>
      <w:t>26.2.10</w:t>
    </w:r>
    <w:r>
      <w:rPr>
        <w:rFonts w:eastAsia="Arial" w:cs="Arial"/>
        <w:i/>
        <w:sz w:val="18"/>
        <w:szCs w:val="18"/>
        <w:lang w:val="fr-FR"/>
      </w:rPr>
      <w:t>/</w:t>
    </w:r>
    <w:r w:rsidR="0079541D">
      <w:rPr>
        <w:rFonts w:eastAsia="Arial" w:cs="Arial"/>
        <w:i/>
        <w:sz w:val="18"/>
        <w:szCs w:val="18"/>
        <w:lang w:val="fr-FR"/>
      </w:rPr>
      <w:t>Rev.</w:t>
    </w:r>
    <w:r w:rsidR="00F15A9E">
      <w:rPr>
        <w:rFonts w:eastAsia="Arial" w:cs="Arial"/>
        <w:i/>
        <w:sz w:val="18"/>
        <w:szCs w:val="18"/>
        <w:lang w:val="fr-FR"/>
      </w:rPr>
      <w:t>2</w:t>
    </w:r>
    <w:r w:rsidR="0079541D">
      <w:rPr>
        <w:rFonts w:eastAsia="Arial" w:cs="Arial"/>
        <w:i/>
        <w:sz w:val="18"/>
        <w:szCs w:val="18"/>
        <w:lang w:val="fr-FR"/>
      </w:rPr>
      <w:t>/</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77" w:rsidRPr="00C74977" w:rsidRDefault="00C74977" w:rsidP="00C7497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C74977">
      <w:rPr>
        <w:rFonts w:eastAsia="Arial" w:cs="Arial"/>
        <w:i/>
        <w:sz w:val="18"/>
        <w:szCs w:val="18"/>
        <w:lang w:val="en-GB"/>
      </w:rPr>
      <w:t>UNEP/CMS/COP13/Doc.26.2.10/</w:t>
    </w:r>
    <w:r w:rsidR="0079541D">
      <w:rPr>
        <w:rFonts w:eastAsia="Arial" w:cs="Arial"/>
        <w:i/>
        <w:sz w:val="18"/>
        <w:szCs w:val="18"/>
        <w:lang w:val="en-GB"/>
      </w:rPr>
      <w:t>Rev.</w:t>
    </w:r>
    <w:r w:rsidR="00F15A9E">
      <w:rPr>
        <w:rFonts w:eastAsia="Arial" w:cs="Arial"/>
        <w:i/>
        <w:sz w:val="18"/>
        <w:szCs w:val="18"/>
        <w:lang w:val="en-GB"/>
      </w:rPr>
      <w:t>2</w:t>
    </w:r>
    <w:r w:rsidR="0079541D">
      <w:rPr>
        <w:rFonts w:eastAsia="Arial" w:cs="Arial"/>
        <w:i/>
        <w:sz w:val="18"/>
        <w:szCs w:val="18"/>
        <w:lang w:val="en-GB"/>
      </w:rPr>
      <w:t>/</w:t>
    </w:r>
    <w:r w:rsidRPr="00C74977">
      <w:rPr>
        <w:rFonts w:eastAsia="Arial" w:cs="Arial"/>
        <w:i/>
        <w:sz w:val="18"/>
        <w:szCs w:val="18"/>
        <w:lang w:val="en-GB"/>
      </w:rPr>
      <w:t>An</w:t>
    </w:r>
    <w:r>
      <w:rPr>
        <w:rFonts w:eastAsia="Arial" w:cs="Arial"/>
        <w:i/>
        <w:sz w:val="18"/>
        <w:szCs w:val="18"/>
        <w:lang w:val="en-GB"/>
      </w:rPr>
      <w:t>nexe 1</w:t>
    </w:r>
  </w:p>
  <w:p w:rsidR="00A8308E" w:rsidRDefault="00A830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1D" w:rsidRPr="0079541D" w:rsidRDefault="0079541D" w:rsidP="006C1BC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9541D">
      <w:rPr>
        <w:rFonts w:eastAsia="Arial" w:cs="Arial"/>
        <w:i/>
        <w:sz w:val="18"/>
        <w:szCs w:val="18"/>
        <w:lang w:val="en-GB"/>
      </w:rPr>
      <w:t>UNEP/CMS/COP13/Doc.26.2.10/Rev.</w:t>
    </w:r>
    <w:r w:rsidR="00F15A9E">
      <w:rPr>
        <w:rFonts w:eastAsia="Arial" w:cs="Arial"/>
        <w:i/>
        <w:sz w:val="18"/>
        <w:szCs w:val="18"/>
        <w:lang w:val="en-GB"/>
      </w:rPr>
      <w:t>2</w:t>
    </w:r>
    <w:r>
      <w:rPr>
        <w:rFonts w:eastAsia="Arial" w:cs="Arial"/>
        <w:i/>
        <w:sz w:val="18"/>
        <w:szCs w:val="18"/>
        <w:lang w:val="en-GB"/>
      </w:rPr>
      <w:t>/Annexe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2A9" w:rsidRPr="00C74977" w:rsidRDefault="00F142A9" w:rsidP="00C7497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C74977">
      <w:rPr>
        <w:rFonts w:eastAsia="Arial" w:cs="Arial"/>
        <w:i/>
        <w:sz w:val="18"/>
        <w:szCs w:val="18"/>
        <w:lang w:val="en-GB"/>
      </w:rPr>
      <w:t>UNEP/CMS/COP13/Doc.26.2.10/</w:t>
    </w:r>
    <w:r w:rsidR="0079541D">
      <w:rPr>
        <w:rFonts w:eastAsia="Arial" w:cs="Arial"/>
        <w:i/>
        <w:sz w:val="18"/>
        <w:szCs w:val="18"/>
        <w:lang w:val="en-GB"/>
      </w:rPr>
      <w:t>Rev.</w:t>
    </w:r>
    <w:r w:rsidR="00F15A9E">
      <w:rPr>
        <w:rFonts w:eastAsia="Arial" w:cs="Arial"/>
        <w:i/>
        <w:sz w:val="18"/>
        <w:szCs w:val="18"/>
        <w:lang w:val="en-GB"/>
      </w:rPr>
      <w:t>2</w:t>
    </w:r>
    <w:r w:rsidR="0079541D">
      <w:rPr>
        <w:rFonts w:eastAsia="Arial" w:cs="Arial"/>
        <w:i/>
        <w:sz w:val="18"/>
        <w:szCs w:val="18"/>
        <w:lang w:val="en-GB"/>
      </w:rPr>
      <w:t>/</w:t>
    </w:r>
    <w:r w:rsidRPr="00C74977">
      <w:rPr>
        <w:rFonts w:eastAsia="Arial" w:cs="Arial"/>
        <w:i/>
        <w:sz w:val="18"/>
        <w:szCs w:val="18"/>
        <w:lang w:val="en-GB"/>
      </w:rPr>
      <w:t>An</w:t>
    </w:r>
    <w:r>
      <w:rPr>
        <w:rFonts w:eastAsia="Arial" w:cs="Arial"/>
        <w:i/>
        <w:sz w:val="18"/>
        <w:szCs w:val="18"/>
        <w:lang w:val="en-GB"/>
      </w:rPr>
      <w:t>nexe 2</w:t>
    </w:r>
  </w:p>
  <w:p w:rsidR="00F142A9" w:rsidRDefault="00F142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1D" w:rsidRPr="00C74977" w:rsidRDefault="0079541D" w:rsidP="0079541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C74977">
      <w:rPr>
        <w:rFonts w:eastAsia="Arial" w:cs="Arial"/>
        <w:i/>
        <w:sz w:val="18"/>
        <w:szCs w:val="18"/>
        <w:lang w:val="en-GB"/>
      </w:rPr>
      <w:t>UNEP/CMS/COP13/Doc.26.2.10/</w:t>
    </w:r>
    <w:r>
      <w:rPr>
        <w:rFonts w:eastAsia="Arial" w:cs="Arial"/>
        <w:i/>
        <w:sz w:val="18"/>
        <w:szCs w:val="18"/>
        <w:lang w:val="en-GB"/>
      </w:rPr>
      <w:t>Rev.</w:t>
    </w:r>
    <w:r w:rsidR="00F15A9E">
      <w:rPr>
        <w:rFonts w:eastAsia="Arial" w:cs="Arial"/>
        <w:i/>
        <w:sz w:val="18"/>
        <w:szCs w:val="18"/>
        <w:lang w:val="en-GB"/>
      </w:rPr>
      <w:t>2</w:t>
    </w:r>
    <w:r>
      <w:rPr>
        <w:rFonts w:eastAsia="Arial" w:cs="Arial"/>
        <w:i/>
        <w:sz w:val="18"/>
        <w:szCs w:val="18"/>
        <w:lang w:val="en-GB"/>
      </w:rPr>
      <w:t>/</w:t>
    </w:r>
    <w:r w:rsidRPr="00C74977">
      <w:rPr>
        <w:rFonts w:eastAsia="Arial" w:cs="Arial"/>
        <w:i/>
        <w:sz w:val="18"/>
        <w:szCs w:val="18"/>
        <w:lang w:val="en-GB"/>
      </w:rPr>
      <w:t>An</w:t>
    </w:r>
    <w:r>
      <w:rPr>
        <w:rFonts w:eastAsia="Arial" w:cs="Arial"/>
        <w:i/>
        <w:sz w:val="18"/>
        <w:szCs w:val="18"/>
        <w:lang w:val="en-GB"/>
      </w:rPr>
      <w:t>nexe 2</w:t>
    </w:r>
  </w:p>
  <w:p w:rsidR="0079541D" w:rsidRDefault="0079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7CB"/>
    <w:multiLevelType w:val="hybridMultilevel"/>
    <w:tmpl w:val="F81878F8"/>
    <w:lvl w:ilvl="0" w:tplc="0F660D9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C4656"/>
    <w:multiLevelType w:val="hybridMultilevel"/>
    <w:tmpl w:val="249239D8"/>
    <w:lvl w:ilvl="0" w:tplc="17020F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C20D2"/>
    <w:multiLevelType w:val="hybridMultilevel"/>
    <w:tmpl w:val="0CDCC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20EC2F52"/>
    <w:multiLevelType w:val="hybridMultilevel"/>
    <w:tmpl w:val="0CDCC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DED2A6A"/>
    <w:multiLevelType w:val="hybridMultilevel"/>
    <w:tmpl w:val="E9284D2A"/>
    <w:lvl w:ilvl="0" w:tplc="787E0A6A">
      <w:start w:val="3"/>
      <w:numFmt w:val="decimal"/>
      <w:pStyle w:val="First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E03DF0"/>
    <w:multiLevelType w:val="hybridMultilevel"/>
    <w:tmpl w:val="EA0A3D92"/>
    <w:lvl w:ilvl="0" w:tplc="BB7ABF3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231CA"/>
    <w:multiLevelType w:val="hybridMultilevel"/>
    <w:tmpl w:val="BB3ED854"/>
    <w:lvl w:ilvl="0" w:tplc="82A0BF6E">
      <w:start w:val="4"/>
      <w:numFmt w:val="decimal"/>
      <w:lvlText w:val="%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F7345"/>
    <w:multiLevelType w:val="hybridMultilevel"/>
    <w:tmpl w:val="C826DECE"/>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2"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F8A7D2F"/>
    <w:multiLevelType w:val="hybridMultilevel"/>
    <w:tmpl w:val="FA54FBF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CA75E6"/>
    <w:multiLevelType w:val="hybridMultilevel"/>
    <w:tmpl w:val="0CDCC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C7F593B"/>
    <w:multiLevelType w:val="hybridMultilevel"/>
    <w:tmpl w:val="CE5C260A"/>
    <w:lvl w:ilvl="0" w:tplc="47BC5C00">
      <w:start w:val="10"/>
      <w:numFmt w:val="decimal"/>
      <w:lvlText w:val="%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1"/>
  </w:num>
  <w:num w:numId="5">
    <w:abstractNumId w:val="4"/>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9"/>
  </w:num>
  <w:num w:numId="18">
    <w:abstractNumId w:val="18"/>
  </w:num>
  <w:num w:numId="19">
    <w:abstractNumId w:val="7"/>
    <w:lvlOverride w:ilvl="0">
      <w:startOverride w:val="13"/>
    </w:lvlOverride>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40527"/>
    <w:rsid w:val="000B03CC"/>
    <w:rsid w:val="000F2EB4"/>
    <w:rsid w:val="0012615F"/>
    <w:rsid w:val="0026594E"/>
    <w:rsid w:val="00293B2E"/>
    <w:rsid w:val="004D2819"/>
    <w:rsid w:val="005330F7"/>
    <w:rsid w:val="00563598"/>
    <w:rsid w:val="006323F7"/>
    <w:rsid w:val="006C1BC0"/>
    <w:rsid w:val="00705C1D"/>
    <w:rsid w:val="0079541D"/>
    <w:rsid w:val="007C161C"/>
    <w:rsid w:val="00853DCA"/>
    <w:rsid w:val="00870459"/>
    <w:rsid w:val="00882CD0"/>
    <w:rsid w:val="00896FBB"/>
    <w:rsid w:val="008C067D"/>
    <w:rsid w:val="00963410"/>
    <w:rsid w:val="0098242A"/>
    <w:rsid w:val="00A8308E"/>
    <w:rsid w:val="00AB773C"/>
    <w:rsid w:val="00BA57BE"/>
    <w:rsid w:val="00C74977"/>
    <w:rsid w:val="00C771C2"/>
    <w:rsid w:val="00C87CA3"/>
    <w:rsid w:val="00D67AF1"/>
    <w:rsid w:val="00D71837"/>
    <w:rsid w:val="00D76239"/>
    <w:rsid w:val="00D876CF"/>
    <w:rsid w:val="00EC2A58"/>
    <w:rsid w:val="00EF7FC8"/>
    <w:rsid w:val="00F142A9"/>
    <w:rsid w:val="00F15A9E"/>
    <w:rsid w:val="00FE587F"/>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955C"/>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98242A"/>
    <w:rPr>
      <w:color w:val="0000FF"/>
      <w:u w:val="single"/>
    </w:rPr>
  </w:style>
  <w:style w:type="table" w:styleId="TableGrid">
    <w:name w:val="Table Grid"/>
    <w:basedOn w:val="TableNormal"/>
    <w:uiPriority w:val="59"/>
    <w:rsid w:val="0098242A"/>
    <w:pPr>
      <w:spacing w:after="0" w:line="240" w:lineRule="auto"/>
    </w:pPr>
    <w:rPr>
      <w:rFonts w:asciiTheme="minorHAnsi" w:eastAsiaTheme="minorEastAsia" w:hAnsiTheme="minorHAnsi"/>
      <w:sz w:val="24"/>
      <w:szCs w:val="24"/>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1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C0"/>
    <w:rPr>
      <w:sz w:val="20"/>
      <w:szCs w:val="20"/>
    </w:rPr>
  </w:style>
  <w:style w:type="character" w:styleId="FootnoteReference">
    <w:name w:val="footnote reference"/>
    <w:basedOn w:val="DefaultParagraphFont"/>
    <w:uiPriority w:val="99"/>
    <w:semiHidden/>
    <w:unhideWhenUsed/>
    <w:rsid w:val="006C1BC0"/>
    <w:rPr>
      <w:vertAlign w:val="superscript"/>
    </w:rPr>
  </w:style>
  <w:style w:type="character" w:styleId="UnresolvedMention">
    <w:name w:val="Unresolved Mention"/>
    <w:basedOn w:val="DefaultParagraphFont"/>
    <w:uiPriority w:val="99"/>
    <w:semiHidden/>
    <w:unhideWhenUsed/>
    <w:rsid w:val="0063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8255">
      <w:bodyDiv w:val="1"/>
      <w:marLeft w:val="0"/>
      <w:marRight w:val="0"/>
      <w:marTop w:val="0"/>
      <w:marBottom w:val="0"/>
      <w:divBdr>
        <w:top w:val="none" w:sz="0" w:space="0" w:color="auto"/>
        <w:left w:val="none" w:sz="0" w:space="0" w:color="auto"/>
        <w:bottom w:val="none" w:sz="0" w:space="0" w:color="auto"/>
        <w:right w:val="none" w:sz="0" w:space="0" w:color="auto"/>
      </w:divBdr>
    </w:div>
    <w:div w:id="178668776">
      <w:bodyDiv w:val="1"/>
      <w:marLeft w:val="0"/>
      <w:marRight w:val="0"/>
      <w:marTop w:val="0"/>
      <w:marBottom w:val="0"/>
      <w:divBdr>
        <w:top w:val="none" w:sz="0" w:space="0" w:color="auto"/>
        <w:left w:val="none" w:sz="0" w:space="0" w:color="auto"/>
        <w:bottom w:val="none" w:sz="0" w:space="0" w:color="auto"/>
        <w:right w:val="none" w:sz="0" w:space="0" w:color="auto"/>
      </w:divBdr>
    </w:div>
    <w:div w:id="297691575">
      <w:bodyDiv w:val="1"/>
      <w:marLeft w:val="0"/>
      <w:marRight w:val="0"/>
      <w:marTop w:val="0"/>
      <w:marBottom w:val="0"/>
      <w:divBdr>
        <w:top w:val="none" w:sz="0" w:space="0" w:color="auto"/>
        <w:left w:val="none" w:sz="0" w:space="0" w:color="auto"/>
        <w:bottom w:val="none" w:sz="0" w:space="0" w:color="auto"/>
        <w:right w:val="none" w:sz="0" w:space="0" w:color="auto"/>
      </w:divBdr>
    </w:div>
    <w:div w:id="689574405">
      <w:bodyDiv w:val="1"/>
      <w:marLeft w:val="0"/>
      <w:marRight w:val="0"/>
      <w:marTop w:val="0"/>
      <w:marBottom w:val="0"/>
      <w:divBdr>
        <w:top w:val="none" w:sz="0" w:space="0" w:color="auto"/>
        <w:left w:val="none" w:sz="0" w:space="0" w:color="auto"/>
        <w:bottom w:val="none" w:sz="0" w:space="0" w:color="auto"/>
        <w:right w:val="none" w:sz="0" w:space="0" w:color="auto"/>
      </w:divBdr>
    </w:div>
    <w:div w:id="696543290">
      <w:bodyDiv w:val="1"/>
      <w:marLeft w:val="0"/>
      <w:marRight w:val="0"/>
      <w:marTop w:val="0"/>
      <w:marBottom w:val="0"/>
      <w:divBdr>
        <w:top w:val="none" w:sz="0" w:space="0" w:color="auto"/>
        <w:left w:val="none" w:sz="0" w:space="0" w:color="auto"/>
        <w:bottom w:val="none" w:sz="0" w:space="0" w:color="auto"/>
        <w:right w:val="none" w:sz="0" w:space="0" w:color="auto"/>
      </w:divBdr>
    </w:div>
    <w:div w:id="1120343608">
      <w:bodyDiv w:val="1"/>
      <w:marLeft w:val="0"/>
      <w:marRight w:val="0"/>
      <w:marTop w:val="0"/>
      <w:marBottom w:val="0"/>
      <w:divBdr>
        <w:top w:val="none" w:sz="0" w:space="0" w:color="auto"/>
        <w:left w:val="none" w:sz="0" w:space="0" w:color="auto"/>
        <w:bottom w:val="none" w:sz="0" w:space="0" w:color="auto"/>
        <w:right w:val="none" w:sz="0" w:space="0" w:color="auto"/>
      </w:divBdr>
    </w:div>
    <w:div w:id="1380134004">
      <w:bodyDiv w:val="1"/>
      <w:marLeft w:val="0"/>
      <w:marRight w:val="0"/>
      <w:marTop w:val="0"/>
      <w:marBottom w:val="0"/>
      <w:divBdr>
        <w:top w:val="none" w:sz="0" w:space="0" w:color="auto"/>
        <w:left w:val="none" w:sz="0" w:space="0" w:color="auto"/>
        <w:bottom w:val="none" w:sz="0" w:space="0" w:color="auto"/>
        <w:right w:val="none" w:sz="0" w:space="0" w:color="auto"/>
      </w:divBdr>
    </w:div>
    <w:div w:id="1468356473">
      <w:bodyDiv w:val="1"/>
      <w:marLeft w:val="0"/>
      <w:marRight w:val="0"/>
      <w:marTop w:val="0"/>
      <w:marBottom w:val="0"/>
      <w:divBdr>
        <w:top w:val="none" w:sz="0" w:space="0" w:color="auto"/>
        <w:left w:val="none" w:sz="0" w:space="0" w:color="auto"/>
        <w:bottom w:val="none" w:sz="0" w:space="0" w:color="auto"/>
        <w:right w:val="none" w:sz="0" w:space="0" w:color="auto"/>
      </w:divBdr>
    </w:div>
    <w:div w:id="1577589685">
      <w:bodyDiv w:val="1"/>
      <w:marLeft w:val="0"/>
      <w:marRight w:val="0"/>
      <w:marTop w:val="0"/>
      <w:marBottom w:val="0"/>
      <w:divBdr>
        <w:top w:val="none" w:sz="0" w:space="0" w:color="auto"/>
        <w:left w:val="none" w:sz="0" w:space="0" w:color="auto"/>
        <w:bottom w:val="none" w:sz="0" w:space="0" w:color="auto"/>
        <w:right w:val="none" w:sz="0" w:space="0" w:color="auto"/>
      </w:divBdr>
    </w:div>
    <w:div w:id="1656571326">
      <w:bodyDiv w:val="1"/>
      <w:marLeft w:val="0"/>
      <w:marRight w:val="0"/>
      <w:marTop w:val="0"/>
      <w:marBottom w:val="0"/>
      <w:divBdr>
        <w:top w:val="none" w:sz="0" w:space="0" w:color="auto"/>
        <w:left w:val="none" w:sz="0" w:space="0" w:color="auto"/>
        <w:bottom w:val="none" w:sz="0" w:space="0" w:color="auto"/>
        <w:right w:val="none" w:sz="0" w:space="0" w:color="auto"/>
      </w:divBdr>
    </w:div>
    <w:div w:id="19884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publication/cetaceans-red-sea-cms-technical-series-no-33"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dx.doi.org/10.1098/rsos.172044"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dx.doi.org/10.2305/IUCN.UK.2018-1.RLTS.T2476A5034917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dx.doi.org/10.2305/IUCN.UK.2018-2.RLTS.T18596A50371251.en" TargetMode="External"/><Relationship Id="rId4" Type="http://schemas.openxmlformats.org/officeDocument/2006/relationships/webSettings" Target="webSettings.xml"/><Relationship Id="rId9" Type="http://schemas.openxmlformats.org/officeDocument/2006/relationships/hyperlink" Target="https://www.cms.int/sites/default/files/document/cms_cop12_res.10.15%28rev.cop12%29_f.pdf" TargetMode="Externa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iwc.int/resolutio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2019-11-28T10:24:00Z</dcterms:created>
  <dcterms:modified xsi:type="dcterms:W3CDTF">2019-11-28T10:24:00Z</dcterms:modified>
</cp:coreProperties>
</file>