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002A97" w:rsidRPr="00AA62EA" w:rsidTr="002A775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A775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A775D">
              <w:rPr>
                <w:rFonts w:eastAsia="Times New Roman" w:cs="Arial"/>
                <w:szCs w:val="24"/>
                <w:lang w:eastAsia="es-ES"/>
              </w:rPr>
              <w:t>UNEP/CMS/COP13/Doc.</w:t>
            </w:r>
            <w:r w:rsidR="00E32F6F" w:rsidRPr="002A775D">
              <w:rPr>
                <w:rFonts w:eastAsia="Times New Roman" w:cs="Arial"/>
                <w:szCs w:val="24"/>
                <w:lang w:eastAsia="es-ES"/>
              </w:rPr>
              <w:t>26.2.10</w:t>
            </w:r>
            <w:r w:rsidR="002A775D" w:rsidRPr="002A775D">
              <w:rPr>
                <w:rFonts w:eastAsia="Times New Roman" w:cs="Arial"/>
                <w:szCs w:val="24"/>
                <w:lang w:eastAsia="es-ES"/>
              </w:rPr>
              <w:t>/Rev.</w:t>
            </w:r>
            <w:r w:rsidR="00AA62EA">
              <w:rPr>
                <w:rFonts w:eastAsia="Times New Roman" w:cs="Arial"/>
                <w:szCs w:val="24"/>
                <w:lang w:eastAsia="es-ES"/>
              </w:rPr>
              <w:t>2</w:t>
            </w:r>
          </w:p>
          <w:p w:rsidR="00002A97" w:rsidRPr="00E32F6F" w:rsidRDefault="00AA62EA"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26</w:t>
            </w:r>
            <w:r w:rsidR="002A775D">
              <w:rPr>
                <w:rFonts w:eastAsia="Times New Roman" w:cs="Arial"/>
                <w:szCs w:val="24"/>
                <w:lang w:val="es-ES" w:eastAsia="es-ES"/>
              </w:rPr>
              <w:t xml:space="preserve"> de noviembre </w:t>
            </w:r>
            <w:bookmarkStart w:id="0" w:name="_GoBack"/>
            <w:bookmarkEnd w:id="0"/>
            <w:r w:rsidR="00002A97" w:rsidRPr="00E32F6F">
              <w:rPr>
                <w:rFonts w:eastAsia="Times New Roman" w:cs="Arial"/>
                <w:szCs w:val="24"/>
                <w:lang w:val="es-ES" w:eastAsia="es-ES"/>
              </w:rPr>
              <w:t>2019</w:t>
            </w:r>
          </w:p>
          <w:p w:rsidR="00002A97" w:rsidRPr="00002A97" w:rsidRDefault="00002A97" w:rsidP="00E5279B">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E32F6F"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Punto</w:t>
      </w:r>
      <w:r w:rsidR="00E32F6F">
        <w:rPr>
          <w:rFonts w:eastAsia="Times New Roman" w:cs="Arial"/>
          <w:szCs w:val="24"/>
          <w:lang w:val="es-ES" w:eastAsia="es-ES"/>
        </w:rPr>
        <w:t xml:space="preserve"> 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32F6F" w:rsidRPr="00002A97" w:rsidRDefault="00E32F6F"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E32F6F"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8F5322">
        <w:rPr>
          <w:rFonts w:eastAsia="Times New Roman" w:cs="Arial"/>
          <w:b/>
          <w:bCs/>
          <w:lang w:val="es-ES"/>
        </w:rPr>
        <w:t>PROGRAMA MUNDIAL DE TRABAJO PARA LOS CETÁCEOS</w:t>
      </w:r>
      <w:r w:rsidRPr="00002A97">
        <w:rPr>
          <w:rFonts w:eastAsia="Times New Roman" w:cs="Arial"/>
          <w:b/>
          <w:bCs/>
          <w:caps/>
          <w:sz w:val="24"/>
          <w:szCs w:val="24"/>
          <w:lang w:val="es-ES" w:eastAsia="es-ES"/>
        </w:rPr>
        <w:t xml:space="preserve"> </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E32F6F">
        <w:rPr>
          <w:rFonts w:eastAsia="Times New Roman" w:cs="Arial"/>
          <w:i/>
          <w:szCs w:val="24"/>
          <w:lang w:val="es-ES" w:eastAsia="es-ES"/>
        </w:rPr>
        <w:t>el Consejo Científico</w:t>
      </w:r>
      <w:r w:rsidR="00AA62EA">
        <w:rPr>
          <w:rFonts w:eastAsia="Times New Roman" w:cs="Arial"/>
          <w:i/>
          <w:szCs w:val="24"/>
          <w:lang w:val="es-ES" w:eastAsia="es-ES"/>
        </w:rPr>
        <w:t xml:space="preserve"> y la Secretaría</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146050</wp:posOffset>
                </wp:positionV>
                <wp:extent cx="4591050" cy="3600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3600450"/>
                        </a:xfrm>
                        <a:prstGeom prst="rect">
                          <a:avLst/>
                        </a:prstGeom>
                        <a:solidFill>
                          <a:srgbClr val="FFFFFF"/>
                        </a:solidFill>
                        <a:ln w="3172">
                          <a:solidFill>
                            <a:srgbClr val="000000"/>
                          </a:solidFill>
                          <a:prstDash val="solid"/>
                        </a:ln>
                      </wps:spPr>
                      <wps:txbx>
                        <w:txbxContent>
                          <w:p w:rsidR="00017772" w:rsidRDefault="00017772" w:rsidP="00E32F6F">
                            <w:pPr>
                              <w:spacing w:after="0" w:line="240" w:lineRule="auto"/>
                              <w:rPr>
                                <w:rFonts w:cs="Arial"/>
                                <w:lang w:val="es-ES"/>
                              </w:rPr>
                            </w:pPr>
                            <w:r>
                              <w:rPr>
                                <w:rFonts w:cs="Arial"/>
                                <w:lang w:val="es-ES"/>
                              </w:rPr>
                              <w:t>Resumen:</w:t>
                            </w:r>
                          </w:p>
                          <w:p w:rsidR="00017772" w:rsidRDefault="00017772" w:rsidP="00E32F6F">
                            <w:pPr>
                              <w:spacing w:after="0" w:line="240" w:lineRule="auto"/>
                              <w:rPr>
                                <w:rFonts w:cs="Arial"/>
                                <w:lang w:val="es-ES"/>
                              </w:rPr>
                            </w:pPr>
                          </w:p>
                          <w:p w:rsidR="00017772" w:rsidRPr="003F1CE4" w:rsidRDefault="00017772" w:rsidP="00E32F6F">
                            <w:pPr>
                              <w:spacing w:after="0" w:line="240" w:lineRule="auto"/>
                              <w:jc w:val="both"/>
                              <w:rPr>
                                <w:rFonts w:cs="Arial"/>
                                <w:bCs/>
                                <w:lang w:val="es-ES"/>
                              </w:rPr>
                            </w:pPr>
                            <w:r w:rsidRPr="003F1CE4">
                              <w:rPr>
                                <w:rFonts w:cs="Arial"/>
                                <w:lang w:val="es-ES"/>
                              </w:rPr>
                              <w:t xml:space="preserve">Este documento recopila los progresos para ejecutar la Decisión 12.16 del </w:t>
                            </w:r>
                            <w:r w:rsidRPr="00EF557F">
                              <w:rPr>
                                <w:rFonts w:cs="Arial"/>
                                <w:i/>
                                <w:lang w:val="es-ES"/>
                              </w:rPr>
                              <w:t>Programa mundial de trabajo para los cetáceos (2012-2024) de la CMS</w:t>
                            </w:r>
                            <w:r w:rsidRPr="003F1CE4">
                              <w:rPr>
                                <w:rFonts w:cs="Arial"/>
                                <w:lang w:val="es-ES"/>
                              </w:rPr>
                              <w:t xml:space="preserve"> y recomienda revisiones de la Decisión.</w:t>
                            </w:r>
                            <w:r w:rsidR="002A775D" w:rsidRPr="002A775D">
                              <w:rPr>
                                <w:lang w:val="es-ES"/>
                              </w:rPr>
                              <w:t xml:space="preserve"> </w:t>
                            </w:r>
                            <w:r w:rsidR="002A775D" w:rsidRPr="002A775D">
                              <w:rPr>
                                <w:rFonts w:cs="Arial"/>
                                <w:lang w:val="es-ES"/>
                              </w:rPr>
                              <w:t>Ha sido revisado por el Comité del período de sesiones del Consejo Científico en su cuarta sesión en noviembre de 2019.</w:t>
                            </w:r>
                          </w:p>
                          <w:p w:rsidR="00017772" w:rsidRPr="003F1CE4" w:rsidRDefault="00017772" w:rsidP="00E32F6F">
                            <w:pPr>
                              <w:spacing w:after="0" w:line="240" w:lineRule="auto"/>
                              <w:jc w:val="both"/>
                              <w:rPr>
                                <w:rFonts w:cs="Arial"/>
                                <w:bCs/>
                                <w:lang w:val="es-ES"/>
                              </w:rPr>
                            </w:pPr>
                          </w:p>
                          <w:p w:rsidR="00017772" w:rsidRDefault="00017772" w:rsidP="00E32F6F">
                            <w:pPr>
                              <w:spacing w:after="0" w:line="240" w:lineRule="auto"/>
                              <w:jc w:val="both"/>
                              <w:rPr>
                                <w:rFonts w:cs="Arial"/>
                                <w:bCs/>
                                <w:lang w:val="es-ES"/>
                              </w:rPr>
                            </w:pPr>
                            <w:r w:rsidRPr="003F1CE4">
                              <w:rPr>
                                <w:rFonts w:cs="Arial"/>
                                <w:bCs/>
                                <w:lang w:val="es-ES"/>
                              </w:rPr>
                              <w:t xml:space="preserve">Además, recopila los progresos para ejecutar la Decisión </w:t>
                            </w:r>
                            <w:r>
                              <w:rPr>
                                <w:rFonts w:cs="Arial"/>
                                <w:bCs/>
                                <w:lang w:val="es-ES"/>
                              </w:rPr>
                              <w:t>1</w:t>
                            </w:r>
                            <w:r w:rsidRPr="00AC41F7">
                              <w:rPr>
                                <w:bCs/>
                                <w:iCs/>
                                <w:lang w:val="es-ES"/>
                              </w:rPr>
                              <w:t>2.51</w:t>
                            </w:r>
                            <w:r>
                              <w:rPr>
                                <w:bCs/>
                                <w:iCs/>
                                <w:lang w:val="es-ES"/>
                              </w:rPr>
                              <w:t xml:space="preserve"> </w:t>
                            </w:r>
                            <w:r w:rsidRPr="00AC41F7">
                              <w:rPr>
                                <w:bCs/>
                                <w:iCs/>
                                <w:lang w:val="es-ES"/>
                              </w:rPr>
                              <w:t xml:space="preserve">f); parte de la Decisión trata sobre el </w:t>
                            </w:r>
                            <w:r w:rsidRPr="006D5789">
                              <w:rPr>
                                <w:bCs/>
                                <w:i/>
                                <w:iCs/>
                                <w:lang w:val="es-ES"/>
                              </w:rPr>
                              <w:t>impacto de los programas de natación junto a cetáceos</w:t>
                            </w:r>
                            <w:r w:rsidRPr="003F1CE4">
                              <w:rPr>
                                <w:rFonts w:cs="Arial"/>
                                <w:bCs/>
                                <w:lang w:val="es-ES"/>
                              </w:rPr>
                              <w:t>, pero aborda temas más amplios a los que se enfrentan los cetáceos en el mar Rojo. En el Anexo 1 se adjunta un resumen detallado según el publicado por el consejero designado para mamíferos acuáticos.</w:t>
                            </w:r>
                          </w:p>
                          <w:p w:rsidR="00017772" w:rsidRDefault="00017772" w:rsidP="00E32F6F">
                            <w:pPr>
                              <w:spacing w:after="0" w:line="240" w:lineRule="auto"/>
                              <w:jc w:val="both"/>
                              <w:rPr>
                                <w:rFonts w:cs="Arial"/>
                                <w:bCs/>
                                <w:lang w:val="es-ES"/>
                              </w:rPr>
                            </w:pPr>
                          </w:p>
                          <w:p w:rsidR="00017772" w:rsidRPr="00E32F6F" w:rsidRDefault="00017772" w:rsidP="00E32F6F">
                            <w:pPr>
                              <w:spacing w:after="0" w:line="240" w:lineRule="auto"/>
                              <w:jc w:val="both"/>
                              <w:rPr>
                                <w:rFonts w:cs="Arial"/>
                                <w:bCs/>
                                <w:lang w:val="es-ES"/>
                              </w:rPr>
                            </w:pPr>
                            <w:r w:rsidRPr="00E32F6F">
                              <w:rPr>
                                <w:rFonts w:cs="Arial"/>
                                <w:bCs/>
                                <w:lang w:val="es-ES"/>
                              </w:rPr>
                              <w:t>Además, se está introduciendo una nueva área de trabajo centrada en el papel de las ballenas en los ecosistemas, que se abordará en colaboración con la Comisión Ballenera Internacional.</w:t>
                            </w:r>
                          </w:p>
                          <w:p w:rsidR="00017772" w:rsidRPr="00E32F6F" w:rsidRDefault="00017772" w:rsidP="00E32F6F">
                            <w:pPr>
                              <w:spacing w:after="0" w:line="240" w:lineRule="auto"/>
                              <w:jc w:val="both"/>
                              <w:rPr>
                                <w:rFonts w:cs="Arial"/>
                                <w:bCs/>
                                <w:lang w:val="es-ES"/>
                              </w:rPr>
                            </w:pPr>
                          </w:p>
                          <w:p w:rsidR="00017772" w:rsidRPr="003F1CE4" w:rsidRDefault="00017772" w:rsidP="00E32F6F">
                            <w:pPr>
                              <w:spacing w:after="0" w:line="240" w:lineRule="auto"/>
                              <w:jc w:val="both"/>
                              <w:rPr>
                                <w:rFonts w:cs="Arial"/>
                                <w:lang w:val="es-ES"/>
                              </w:rPr>
                            </w:pPr>
                            <w:r w:rsidRPr="00E32F6F">
                              <w:rPr>
                                <w:rFonts w:cs="Arial"/>
                                <w:bCs/>
                                <w:lang w:val="es-ES"/>
                              </w:rPr>
                              <w:t>En el Anexo 2 se presentan proyectos de decisión sobre los temas mencionados.</w:t>
                            </w:r>
                          </w:p>
                          <w:p w:rsidR="00017772" w:rsidRDefault="00017772" w:rsidP="00E32F6F">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pt;width:361.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" strokeweight=".08811mm">
                <v:textbox>
                  <w:txbxContent>
                    <w:p w:rsidR="00017772" w:rsidRDefault="00017772" w:rsidP="00E32F6F">
                      <w:pPr>
                        <w:spacing w:after="0" w:line="240" w:lineRule="auto"/>
                        <w:rPr>
                          <w:rFonts w:cs="Arial"/>
                          <w:lang w:val="es-ES"/>
                        </w:rPr>
                      </w:pPr>
                      <w:r>
                        <w:rPr>
                          <w:rFonts w:cs="Arial"/>
                          <w:lang w:val="es-ES"/>
                        </w:rPr>
                        <w:t>Resumen:</w:t>
                      </w:r>
                    </w:p>
                    <w:p w:rsidR="00017772" w:rsidRDefault="00017772" w:rsidP="00E32F6F">
                      <w:pPr>
                        <w:spacing w:after="0" w:line="240" w:lineRule="auto"/>
                        <w:rPr>
                          <w:rFonts w:cs="Arial"/>
                          <w:lang w:val="es-ES"/>
                        </w:rPr>
                      </w:pPr>
                    </w:p>
                    <w:p w:rsidR="00017772" w:rsidRPr="003F1CE4" w:rsidRDefault="00017772" w:rsidP="00E32F6F">
                      <w:pPr>
                        <w:spacing w:after="0" w:line="240" w:lineRule="auto"/>
                        <w:jc w:val="both"/>
                        <w:rPr>
                          <w:rFonts w:cs="Arial"/>
                          <w:bCs/>
                          <w:lang w:val="es-ES"/>
                        </w:rPr>
                      </w:pPr>
                      <w:r w:rsidRPr="003F1CE4">
                        <w:rPr>
                          <w:rFonts w:cs="Arial"/>
                          <w:lang w:val="es-ES"/>
                        </w:rPr>
                        <w:t xml:space="preserve">Este documento recopila los progresos para ejecutar la Decisión 12.16 del </w:t>
                      </w:r>
                      <w:r w:rsidRPr="00EF557F">
                        <w:rPr>
                          <w:rFonts w:cs="Arial"/>
                          <w:i/>
                          <w:lang w:val="es-ES"/>
                        </w:rPr>
                        <w:t>Programa mundial de trabajo para los cetáceos (2012-2024) de la CMS</w:t>
                      </w:r>
                      <w:r w:rsidRPr="003F1CE4">
                        <w:rPr>
                          <w:rFonts w:cs="Arial"/>
                          <w:lang w:val="es-ES"/>
                        </w:rPr>
                        <w:t xml:space="preserve"> y recomienda revisiones de la Decisión.</w:t>
                      </w:r>
                      <w:r w:rsidR="002A775D" w:rsidRPr="002A775D">
                        <w:rPr>
                          <w:lang w:val="es-ES"/>
                        </w:rPr>
                        <w:t xml:space="preserve"> </w:t>
                      </w:r>
                      <w:r w:rsidR="002A775D" w:rsidRPr="002A775D">
                        <w:rPr>
                          <w:rFonts w:cs="Arial"/>
                          <w:lang w:val="es-ES"/>
                        </w:rPr>
                        <w:t>Ha sido revisado por el Comité del período de sesiones del Consejo Científico en su cuarta sesión en noviembre de 2019.</w:t>
                      </w:r>
                    </w:p>
                    <w:p w:rsidR="00017772" w:rsidRPr="003F1CE4" w:rsidRDefault="00017772" w:rsidP="00E32F6F">
                      <w:pPr>
                        <w:spacing w:after="0" w:line="240" w:lineRule="auto"/>
                        <w:jc w:val="both"/>
                        <w:rPr>
                          <w:rFonts w:cs="Arial"/>
                          <w:bCs/>
                          <w:lang w:val="es-ES"/>
                        </w:rPr>
                      </w:pPr>
                    </w:p>
                    <w:p w:rsidR="00017772" w:rsidRDefault="00017772" w:rsidP="00E32F6F">
                      <w:pPr>
                        <w:spacing w:after="0" w:line="240" w:lineRule="auto"/>
                        <w:jc w:val="both"/>
                        <w:rPr>
                          <w:rFonts w:cs="Arial"/>
                          <w:bCs/>
                          <w:lang w:val="es-ES"/>
                        </w:rPr>
                      </w:pPr>
                      <w:r w:rsidRPr="003F1CE4">
                        <w:rPr>
                          <w:rFonts w:cs="Arial"/>
                          <w:bCs/>
                          <w:lang w:val="es-ES"/>
                        </w:rPr>
                        <w:t xml:space="preserve">Además, recopila los progresos para ejecutar la Decisión </w:t>
                      </w:r>
                      <w:r>
                        <w:rPr>
                          <w:rFonts w:cs="Arial"/>
                          <w:bCs/>
                          <w:lang w:val="es-ES"/>
                        </w:rPr>
                        <w:t>1</w:t>
                      </w:r>
                      <w:r w:rsidRPr="00AC41F7">
                        <w:rPr>
                          <w:bCs/>
                          <w:iCs/>
                          <w:lang w:val="es-ES"/>
                        </w:rPr>
                        <w:t>2.51</w:t>
                      </w:r>
                      <w:r>
                        <w:rPr>
                          <w:bCs/>
                          <w:iCs/>
                          <w:lang w:val="es-ES"/>
                        </w:rPr>
                        <w:t xml:space="preserve"> </w:t>
                      </w:r>
                      <w:r w:rsidRPr="00AC41F7">
                        <w:rPr>
                          <w:bCs/>
                          <w:iCs/>
                          <w:lang w:val="es-ES"/>
                        </w:rPr>
                        <w:t xml:space="preserve">f); parte de la Decisión trata sobre el </w:t>
                      </w:r>
                      <w:r w:rsidRPr="006D5789">
                        <w:rPr>
                          <w:bCs/>
                          <w:i/>
                          <w:iCs/>
                          <w:lang w:val="es-ES"/>
                        </w:rPr>
                        <w:t>impacto de los programas de natación junto a cetáceos</w:t>
                      </w:r>
                      <w:r w:rsidRPr="003F1CE4">
                        <w:rPr>
                          <w:rFonts w:cs="Arial"/>
                          <w:bCs/>
                          <w:lang w:val="es-ES"/>
                        </w:rPr>
                        <w:t>, pero aborda temas más amplios a los que se enfrentan los cetáceos en el mar Rojo. En el Anexo 1 se adjunta un resumen detallado según el publicado por el consejero designado para mamíferos acuáticos.</w:t>
                      </w:r>
                    </w:p>
                    <w:p w:rsidR="00017772" w:rsidRDefault="00017772" w:rsidP="00E32F6F">
                      <w:pPr>
                        <w:spacing w:after="0" w:line="240" w:lineRule="auto"/>
                        <w:jc w:val="both"/>
                        <w:rPr>
                          <w:rFonts w:cs="Arial"/>
                          <w:bCs/>
                          <w:lang w:val="es-ES"/>
                        </w:rPr>
                      </w:pPr>
                    </w:p>
                    <w:p w:rsidR="00017772" w:rsidRPr="00E32F6F" w:rsidRDefault="00017772" w:rsidP="00E32F6F">
                      <w:pPr>
                        <w:spacing w:after="0" w:line="240" w:lineRule="auto"/>
                        <w:jc w:val="both"/>
                        <w:rPr>
                          <w:rFonts w:cs="Arial"/>
                          <w:bCs/>
                          <w:lang w:val="es-ES"/>
                        </w:rPr>
                      </w:pPr>
                      <w:r w:rsidRPr="00E32F6F">
                        <w:rPr>
                          <w:rFonts w:cs="Arial"/>
                          <w:bCs/>
                          <w:lang w:val="es-ES"/>
                        </w:rPr>
                        <w:t>Además, se está introduciendo una nueva área de trabajo centrada en el papel de las ballenas en los ecosistemas, que se abordará en colaboración con la Comisión Ballenera Internacional.</w:t>
                      </w:r>
                    </w:p>
                    <w:p w:rsidR="00017772" w:rsidRPr="00E32F6F" w:rsidRDefault="00017772" w:rsidP="00E32F6F">
                      <w:pPr>
                        <w:spacing w:after="0" w:line="240" w:lineRule="auto"/>
                        <w:jc w:val="both"/>
                        <w:rPr>
                          <w:rFonts w:cs="Arial"/>
                          <w:bCs/>
                          <w:lang w:val="es-ES"/>
                        </w:rPr>
                      </w:pPr>
                    </w:p>
                    <w:p w:rsidR="00017772" w:rsidRPr="003F1CE4" w:rsidRDefault="00017772" w:rsidP="00E32F6F">
                      <w:pPr>
                        <w:spacing w:after="0" w:line="240" w:lineRule="auto"/>
                        <w:jc w:val="both"/>
                        <w:rPr>
                          <w:rFonts w:cs="Arial"/>
                          <w:lang w:val="es-ES"/>
                        </w:rPr>
                      </w:pPr>
                      <w:r w:rsidRPr="00E32F6F">
                        <w:rPr>
                          <w:rFonts w:cs="Arial"/>
                          <w:bCs/>
                          <w:lang w:val="es-ES"/>
                        </w:rPr>
                        <w:t>En el Anexo 2 se presentan proyectos de decisión sobre los temas mencionados.</w:t>
                      </w:r>
                    </w:p>
                    <w:p w:rsidR="00017772" w:rsidRDefault="00017772" w:rsidP="00E32F6F">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32F6F" w:rsidRDefault="00E32F6F" w:rsidP="00F147ED">
      <w:pPr>
        <w:pStyle w:val="Title1"/>
        <w:rPr>
          <w:rFonts w:ascii="Calibri" w:eastAsia="Calibri" w:hAnsi="Calibri" w:cs="Times New Roman"/>
          <w:sz w:val="22"/>
          <w:szCs w:val="22"/>
        </w:rPr>
      </w:pPr>
      <w:r w:rsidRPr="00E32F6F">
        <w:rPr>
          <w:sz w:val="22"/>
          <w:szCs w:val="22"/>
        </w:rPr>
        <w:t>PROGRAMA MUNDIAL DE TRABAJO PARA LOS CETÁCEOS</w:t>
      </w:r>
    </w:p>
    <w:p w:rsidR="00002A97" w:rsidRDefault="00002A97" w:rsidP="00002A9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E32F6F" w:rsidRPr="00002A97" w:rsidRDefault="00E32F6F" w:rsidP="004F2646">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002A97" w:rsidRPr="00002A97" w:rsidRDefault="00002A97" w:rsidP="004F2646">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4F2646">
      <w:pPr>
        <w:widowControl w:val="0"/>
        <w:suppressAutoHyphens/>
        <w:autoSpaceDE w:val="0"/>
        <w:autoSpaceDN w:val="0"/>
        <w:spacing w:after="0" w:line="240" w:lineRule="auto"/>
        <w:textAlignment w:val="baseline"/>
        <w:rPr>
          <w:rFonts w:eastAsia="Times New Roman" w:cs="Arial"/>
          <w:lang w:val="es-ES" w:eastAsia="es-ES"/>
        </w:rPr>
      </w:pPr>
    </w:p>
    <w:p w:rsidR="00E32F6F" w:rsidRPr="00E32F6F" w:rsidRDefault="00E32F6F" w:rsidP="004F2646">
      <w:pPr>
        <w:pStyle w:val="Firstnumbering1"/>
      </w:pPr>
      <w:r w:rsidRPr="00E32F6F">
        <w:t>En su 12</w:t>
      </w:r>
      <w:r w:rsidRPr="00E32F6F">
        <w:rPr>
          <w:vertAlign w:val="superscript"/>
        </w:rPr>
        <w:t>ª</w:t>
      </w:r>
      <w:r w:rsidRPr="00E32F6F">
        <w:t xml:space="preserve"> Reunión (COP12, Manila, 2017), la Conferencia de las Partes adoptó la Decisión 12.16 sobre el </w:t>
      </w:r>
      <w:r w:rsidRPr="00E32F6F">
        <w:rPr>
          <w:iCs/>
        </w:rPr>
        <w:t>Programa mundial de trabajo para cetáceos (2012-2024</w:t>
      </w:r>
      <w:r w:rsidRPr="00E32F6F">
        <w:t xml:space="preserve">): </w:t>
      </w:r>
    </w:p>
    <w:p w:rsidR="00E32F6F" w:rsidRPr="00E32F6F" w:rsidRDefault="00E32F6F" w:rsidP="004F2646">
      <w:pPr>
        <w:pStyle w:val="ListParagraph"/>
        <w:spacing w:after="0" w:line="240" w:lineRule="auto"/>
        <w:ind w:left="540"/>
        <w:contextualSpacing w:val="0"/>
        <w:rPr>
          <w:lang w:val="es-ES"/>
        </w:rPr>
      </w:pPr>
    </w:p>
    <w:p w:rsidR="00E32F6F" w:rsidRPr="00E32F6F" w:rsidRDefault="00E32F6F" w:rsidP="004F2646">
      <w:pPr>
        <w:pStyle w:val="ListParagraph"/>
        <w:spacing w:after="0" w:line="240" w:lineRule="auto"/>
        <w:ind w:left="540"/>
        <w:contextualSpacing w:val="0"/>
        <w:rPr>
          <w:b/>
          <w:bCs/>
          <w:i/>
          <w:iCs/>
          <w:sz w:val="20"/>
          <w:szCs w:val="20"/>
          <w:lang w:val="es-ES"/>
        </w:rPr>
      </w:pPr>
      <w:r w:rsidRPr="00E32F6F">
        <w:rPr>
          <w:b/>
          <w:bCs/>
          <w:i/>
          <w:iCs/>
          <w:sz w:val="20"/>
          <w:szCs w:val="20"/>
          <w:lang w:val="es-ES"/>
        </w:rPr>
        <w:t>12.16 Dirigido al Consejo Científico</w:t>
      </w:r>
    </w:p>
    <w:p w:rsidR="00E32F6F" w:rsidRPr="00E32F6F" w:rsidRDefault="00E32F6F" w:rsidP="004F2646">
      <w:pPr>
        <w:pStyle w:val="ListParagraph"/>
        <w:spacing w:after="0" w:line="240" w:lineRule="auto"/>
        <w:ind w:left="540"/>
        <w:contextualSpacing w:val="0"/>
        <w:rPr>
          <w:i/>
          <w:iCs/>
          <w:sz w:val="20"/>
          <w:szCs w:val="20"/>
          <w:lang w:val="es-ES"/>
        </w:rPr>
      </w:pPr>
    </w:p>
    <w:p w:rsidR="00E32F6F" w:rsidRPr="00E32F6F" w:rsidRDefault="00E32F6F" w:rsidP="004F2646">
      <w:pPr>
        <w:spacing w:after="0" w:line="240" w:lineRule="auto"/>
        <w:ind w:left="1134"/>
        <w:jc w:val="both"/>
        <w:rPr>
          <w:i/>
          <w:iCs/>
          <w:sz w:val="20"/>
          <w:szCs w:val="20"/>
          <w:lang w:val="es-ES"/>
        </w:rPr>
      </w:pPr>
      <w:bookmarkStart w:id="1" w:name="_Hlk19541379"/>
      <w:r w:rsidRPr="00E32F6F">
        <w:rPr>
          <w:rFonts w:eastAsia="Times New Roman" w:cs="Arial"/>
          <w:i/>
          <w:sz w:val="20"/>
          <w:szCs w:val="20"/>
          <w:lang w:val="es-ES"/>
        </w:rPr>
        <w:t>El Consejo Científico deberá revisar, con sujeción a la disponibilidad de recursos, las amenazas regionales que afectan a los mamíferos marinos incluidos en los apéndices de la CMS que no figuran en el Programa Mundial de Trabajo sobre Cetáceos y preparar para la 13ª Reunión de la Conferencia de las Partes en la CMS una evaluación rigurosa de las amenazas y de las prioridades regionales, así como programas de trabajo similares para éstas y otras especies de mamíferos marinos.</w:t>
      </w:r>
    </w:p>
    <w:bookmarkEnd w:id="1"/>
    <w:p w:rsidR="00E32F6F" w:rsidRPr="00E32F6F" w:rsidRDefault="00E32F6F" w:rsidP="004F2646">
      <w:pPr>
        <w:pStyle w:val="ListParagraph"/>
        <w:spacing w:after="0" w:line="240" w:lineRule="auto"/>
        <w:ind w:left="540"/>
        <w:contextualSpacing w:val="0"/>
        <w:rPr>
          <w:i/>
          <w:iCs/>
          <w:lang w:val="es-ES"/>
        </w:rPr>
      </w:pPr>
    </w:p>
    <w:p w:rsidR="00E32F6F" w:rsidRPr="00E32F6F" w:rsidRDefault="00E32F6F" w:rsidP="004F2646">
      <w:pPr>
        <w:pStyle w:val="Firstnumbering1"/>
        <w:rPr>
          <w:lang w:val="en-GB"/>
        </w:rPr>
      </w:pPr>
      <w:r w:rsidRPr="00E32F6F">
        <w:t xml:space="preserve">Además, resulta más lógico que la Decisión 12.51 f), cuyo título original era </w:t>
      </w:r>
      <w:r w:rsidRPr="00E32F6F">
        <w:rPr>
          <w:i/>
          <w:iCs/>
        </w:rPr>
        <w:t>Impacto de los programas de natación junto a cetáceos</w:t>
      </w:r>
      <w:r w:rsidRPr="00E32F6F">
        <w:t xml:space="preserve">, se aborde junto con el </w:t>
      </w:r>
      <w:r w:rsidRPr="00E32F6F">
        <w:rPr>
          <w:i/>
        </w:rPr>
        <w:t>Programa mundial de trabajo para los cetáceos</w:t>
      </w:r>
      <w:r w:rsidRPr="00E32F6F">
        <w:rPr>
          <w:iCs/>
        </w:rPr>
        <w:t>. Dice lo siguiente</w:t>
      </w:r>
      <w:r w:rsidRPr="00E32F6F">
        <w:t xml:space="preserve">: </w:t>
      </w:r>
    </w:p>
    <w:p w:rsidR="00E32F6F" w:rsidRPr="00E32F6F" w:rsidRDefault="00E32F6F" w:rsidP="004F2646">
      <w:pPr>
        <w:pStyle w:val="ListParagraph"/>
        <w:spacing w:after="0" w:line="240" w:lineRule="auto"/>
        <w:ind w:left="540"/>
        <w:contextualSpacing w:val="0"/>
        <w:rPr>
          <w:lang w:val="en-GB"/>
        </w:rPr>
      </w:pPr>
    </w:p>
    <w:p w:rsidR="00E32F6F" w:rsidRPr="00E32F6F" w:rsidRDefault="00E32F6F" w:rsidP="004F2646">
      <w:pPr>
        <w:pStyle w:val="ListParagraph"/>
        <w:spacing w:after="0" w:line="240" w:lineRule="auto"/>
        <w:ind w:left="540"/>
        <w:contextualSpacing w:val="0"/>
        <w:jc w:val="both"/>
        <w:rPr>
          <w:b/>
          <w:bCs/>
          <w:i/>
          <w:iCs/>
          <w:sz w:val="20"/>
          <w:szCs w:val="20"/>
          <w:lang w:val="es-ES"/>
        </w:rPr>
      </w:pPr>
      <w:r w:rsidRPr="00E32F6F">
        <w:rPr>
          <w:b/>
          <w:bCs/>
          <w:i/>
          <w:iCs/>
          <w:sz w:val="20"/>
          <w:szCs w:val="20"/>
          <w:lang w:val="es-ES"/>
        </w:rPr>
        <w:t>12.51 f) Dirigido al Consejo Científico</w:t>
      </w:r>
    </w:p>
    <w:p w:rsidR="00E32F6F" w:rsidRPr="00E32F6F" w:rsidRDefault="00E32F6F" w:rsidP="004F2646">
      <w:pPr>
        <w:pStyle w:val="ListParagraph"/>
        <w:spacing w:after="0" w:line="240" w:lineRule="auto"/>
        <w:ind w:left="540"/>
        <w:contextualSpacing w:val="0"/>
        <w:jc w:val="both"/>
        <w:rPr>
          <w:i/>
          <w:iCs/>
          <w:sz w:val="20"/>
          <w:szCs w:val="20"/>
          <w:lang w:val="es-ES"/>
        </w:rPr>
      </w:pPr>
    </w:p>
    <w:p w:rsidR="00E32F6F" w:rsidRDefault="00E32F6F" w:rsidP="004F2646">
      <w:pPr>
        <w:pStyle w:val="ListParagraph"/>
        <w:spacing w:after="0" w:line="240" w:lineRule="auto"/>
        <w:ind w:left="1134"/>
        <w:contextualSpacing w:val="0"/>
        <w:jc w:val="both"/>
        <w:rPr>
          <w:rFonts w:cs="Arial"/>
          <w:i/>
          <w:sz w:val="20"/>
          <w:szCs w:val="20"/>
          <w:lang w:val="es-ES_tradnl"/>
        </w:rPr>
      </w:pPr>
      <w:r w:rsidRPr="00E32F6F">
        <w:rPr>
          <w:i/>
          <w:iCs/>
          <w:sz w:val="20"/>
          <w:szCs w:val="20"/>
          <w:lang w:val="es-ES"/>
        </w:rPr>
        <w:t xml:space="preserve">El Consejo Científico deberá </w:t>
      </w:r>
      <w:r w:rsidRPr="00E32F6F">
        <w:rPr>
          <w:rFonts w:cs="Arial"/>
          <w:i/>
          <w:sz w:val="20"/>
          <w:szCs w:val="20"/>
          <w:lang w:val="es-ES_tradnl"/>
        </w:rPr>
        <w:t>considerar, teniendo en cuenta las Series Técnicas Nº33 de la CMS sobre los Cetáceos en el Mar Rojo, presentado en la 12ª Reunión de la Conferencia de las Partes, la mejor manera de llevar adelante la conservación de los cetáceos en la región del Mar Rojo, contemplando las amenazas pertinentes, e informar sobre esto a la 13ª Reunión de la Conferencia de las Partes.</w:t>
      </w:r>
    </w:p>
    <w:p w:rsidR="004F2646" w:rsidRPr="00E32F6F" w:rsidRDefault="004F2646" w:rsidP="004F2646">
      <w:pPr>
        <w:pStyle w:val="ListParagraph"/>
        <w:spacing w:after="0" w:line="240" w:lineRule="auto"/>
        <w:ind w:left="1134"/>
        <w:contextualSpacing w:val="0"/>
        <w:jc w:val="both"/>
        <w:rPr>
          <w:i/>
          <w:iCs/>
          <w:sz w:val="20"/>
          <w:szCs w:val="20"/>
          <w:lang w:val="es-ES"/>
        </w:rPr>
      </w:pPr>
    </w:p>
    <w:p w:rsidR="00E32F6F" w:rsidRDefault="004F2646" w:rsidP="004F2646">
      <w:pPr>
        <w:pStyle w:val="Firstnumbering1"/>
      </w:pPr>
      <w:r w:rsidRPr="004F2646">
        <w:t>A</w:t>
      </w:r>
      <w:r>
        <w:t>simismo</w:t>
      </w:r>
      <w:r w:rsidRPr="004F2646">
        <w:t xml:space="preserve">, la Resolución 12.17, </w:t>
      </w:r>
      <w:r w:rsidRPr="004F2646">
        <w:rPr>
          <w:i/>
        </w:rPr>
        <w:t>Conservación y gestión de las ballenas y sus hábitats en la región del Atlántico Sur</w:t>
      </w:r>
      <w:r w:rsidRPr="004F2646">
        <w:t>, en el párrafo 5:</w:t>
      </w:r>
    </w:p>
    <w:p w:rsidR="004F2646" w:rsidRDefault="004F2646" w:rsidP="004F2646">
      <w:pPr>
        <w:pStyle w:val="Firstnumbering1"/>
        <w:numPr>
          <w:ilvl w:val="0"/>
          <w:numId w:val="0"/>
        </w:numPr>
        <w:ind w:left="567"/>
      </w:pPr>
    </w:p>
    <w:p w:rsidR="004F2646" w:rsidRPr="004F2646" w:rsidRDefault="004F2646" w:rsidP="004F2646">
      <w:pPr>
        <w:widowControl w:val="0"/>
        <w:tabs>
          <w:tab w:val="left" w:pos="567"/>
        </w:tabs>
        <w:autoSpaceDE w:val="0"/>
        <w:autoSpaceDN w:val="0"/>
        <w:adjustRightInd w:val="0"/>
        <w:spacing w:after="0" w:line="240" w:lineRule="auto"/>
        <w:ind w:left="1134"/>
        <w:contextualSpacing/>
        <w:jc w:val="both"/>
        <w:rPr>
          <w:rFonts w:cs="Arial"/>
          <w:i/>
          <w:sz w:val="20"/>
          <w:szCs w:val="20"/>
          <w:lang w:val="es-ES"/>
        </w:rPr>
      </w:pPr>
      <w:r w:rsidRPr="004F2646">
        <w:rPr>
          <w:rFonts w:cs="Arial"/>
          <w:i/>
          <w:sz w:val="20"/>
          <w:szCs w:val="20"/>
          <w:lang w:val="es-ES"/>
        </w:rPr>
        <w:t xml:space="preserve">Solicita a la Secretaría y al Consejo Científico que trabajen con los Comités Científicos y de Conservación de la Comisión Ballenera Internacional para aumentar la comprensión de la contribución de los cetáceos al funcionamiento de los ecosistemas marinos, incluido el copatrocinio de un taller para revisar los datos e investigaciones existentes e identificar oportunidades para expandir este trabajo. </w:t>
      </w:r>
    </w:p>
    <w:p w:rsidR="004F2646" w:rsidRDefault="004F2646" w:rsidP="004F2646">
      <w:pPr>
        <w:pStyle w:val="Firstnumbering1"/>
        <w:numPr>
          <w:ilvl w:val="0"/>
          <w:numId w:val="0"/>
        </w:numPr>
        <w:ind w:left="567"/>
      </w:pPr>
    </w:p>
    <w:p w:rsidR="00E32F6F" w:rsidRPr="008F5322" w:rsidRDefault="00E32F6F" w:rsidP="004F2646">
      <w:pPr>
        <w:spacing w:after="0" w:line="240" w:lineRule="auto"/>
        <w:rPr>
          <w:u w:val="single"/>
          <w:lang w:val="es-ES"/>
        </w:rPr>
      </w:pPr>
      <w:r w:rsidRPr="008F5322">
        <w:rPr>
          <w:u w:val="single"/>
          <w:lang w:val="es-ES"/>
        </w:rPr>
        <w:t xml:space="preserve">Aplicación de las Decisiones 12.16 y 12.51 f) </w:t>
      </w:r>
    </w:p>
    <w:p w:rsidR="00E32F6F" w:rsidRPr="008F5322" w:rsidRDefault="00E32F6F" w:rsidP="004F2646">
      <w:pPr>
        <w:pStyle w:val="ListParagraph"/>
        <w:spacing w:after="0" w:line="240" w:lineRule="auto"/>
        <w:ind w:left="540"/>
        <w:contextualSpacing w:val="0"/>
        <w:rPr>
          <w:lang w:val="es-ES"/>
        </w:rPr>
      </w:pPr>
    </w:p>
    <w:p w:rsidR="00E32F6F" w:rsidRPr="008F5322" w:rsidRDefault="00E32F6F" w:rsidP="004F2646">
      <w:pPr>
        <w:pStyle w:val="Firstnumbering1"/>
        <w:rPr>
          <w:bCs/>
          <w:iCs/>
        </w:rPr>
      </w:pPr>
      <w:r w:rsidRPr="008F5322">
        <w:t>Debido a la falta de capacidad y recursos, no se han realizado progresos en lo referente a la aplicación de la Decisión 12.16. Se recomienda proseguir con la acción y que se habilite financiación para contribuir a su aplicación.</w:t>
      </w:r>
    </w:p>
    <w:p w:rsidR="00E32F6F" w:rsidRPr="008F5322" w:rsidRDefault="00E32F6F" w:rsidP="004F2646">
      <w:pPr>
        <w:pStyle w:val="ListParagraph"/>
        <w:spacing w:after="0" w:line="240" w:lineRule="auto"/>
        <w:ind w:left="540"/>
        <w:contextualSpacing w:val="0"/>
        <w:rPr>
          <w:bCs/>
          <w:iCs/>
          <w:lang w:val="es-ES"/>
        </w:rPr>
      </w:pPr>
    </w:p>
    <w:p w:rsidR="00E32F6F" w:rsidRPr="008F5322" w:rsidRDefault="00E32F6F" w:rsidP="004F2646">
      <w:pPr>
        <w:pStyle w:val="Firstnumbering1"/>
      </w:pPr>
      <w:r w:rsidRPr="008F5322">
        <w:t xml:space="preserve">En la aplicación de la Decisión 12.51 f), el consejero designado para mamíferos acuáticos promovió el desarrollo del informe incluido en el Anexo 1 de este documento. Ofrece una visión general completa de los problemas que afectan a los cetáceos en el mar Rojo y formula recomendaciones sobre cómo abordarlos. </w:t>
      </w:r>
    </w:p>
    <w:p w:rsidR="00E32F6F" w:rsidRPr="008F5322" w:rsidRDefault="00E32F6F" w:rsidP="004F2646">
      <w:pPr>
        <w:pStyle w:val="ListParagraph"/>
        <w:spacing w:after="0" w:line="240" w:lineRule="auto"/>
        <w:rPr>
          <w:bCs/>
          <w:iCs/>
          <w:lang w:val="es-ES"/>
        </w:rPr>
      </w:pPr>
    </w:p>
    <w:p w:rsidR="00E32F6F" w:rsidRPr="008F5322" w:rsidRDefault="00E32F6F" w:rsidP="004F2646">
      <w:pPr>
        <w:pStyle w:val="Firstnumbering1"/>
        <w:rPr>
          <w:bCs/>
          <w:iCs/>
        </w:rPr>
      </w:pPr>
      <w:r w:rsidRPr="008F5322">
        <w:rPr>
          <w:bCs/>
          <w:iCs/>
        </w:rPr>
        <w:t xml:space="preserve">En apoyo a esta Decisión, la Secretaría de la CMS se dirigió a </w:t>
      </w:r>
      <w:r w:rsidRPr="008F5322">
        <w:t xml:space="preserve">la Secretaría de la Organización Regional para la Protección del Medio Ambiente del Mar Rojo y el Golfo de Adén (PERSGA) en febrero de 2019 para negociar las posibilidades de cooperación sobre el tema.   También se prevén actividades de divulgación adicionales, entre otros, a través de la Oficina regional para Asia occidental del Programa de las Naciones Unidas para el Medio Ambiente.    </w:t>
      </w:r>
    </w:p>
    <w:p w:rsidR="00E32F6F" w:rsidRPr="008F5322" w:rsidRDefault="00E32F6F" w:rsidP="004F2646">
      <w:pPr>
        <w:spacing w:after="0" w:line="240" w:lineRule="auto"/>
        <w:rPr>
          <w:u w:val="single"/>
          <w:lang w:val="es-ES"/>
        </w:rPr>
      </w:pPr>
    </w:p>
    <w:p w:rsidR="004F2646" w:rsidRDefault="004F2646">
      <w:pPr>
        <w:rPr>
          <w:u w:val="single"/>
          <w:lang w:val="es-ES"/>
        </w:rPr>
      </w:pPr>
      <w:r>
        <w:rPr>
          <w:u w:val="single"/>
          <w:lang w:val="es-ES"/>
        </w:rPr>
        <w:br w:type="page"/>
      </w:r>
    </w:p>
    <w:p w:rsidR="005E3C0F" w:rsidRDefault="005E3C0F" w:rsidP="004F2646">
      <w:pPr>
        <w:spacing w:after="0" w:line="240" w:lineRule="auto"/>
        <w:rPr>
          <w:u w:val="single"/>
          <w:lang w:val="es-ES"/>
        </w:rPr>
      </w:pPr>
      <w:r w:rsidRPr="005E3C0F">
        <w:rPr>
          <w:u w:val="single"/>
          <w:lang w:val="es-ES"/>
        </w:rPr>
        <w:lastRenderedPageBreak/>
        <w:t>Colaboración con la Comisión Ballenera Internacional (CBI) sobre el papel de los cetáceos en el funcionamiento de los ecosistemas</w:t>
      </w:r>
    </w:p>
    <w:p w:rsidR="005E3C0F" w:rsidRDefault="005E3C0F" w:rsidP="004F2646">
      <w:pPr>
        <w:spacing w:after="0" w:line="240" w:lineRule="auto"/>
        <w:rPr>
          <w:u w:val="single"/>
          <w:lang w:val="es-ES"/>
        </w:rPr>
      </w:pPr>
    </w:p>
    <w:p w:rsidR="005E3C0F" w:rsidRDefault="005E3C0F" w:rsidP="005E3C0F">
      <w:pPr>
        <w:pStyle w:val="Firstnumbering1"/>
      </w:pPr>
      <w:r w:rsidRPr="005E3C0F">
        <w:t xml:space="preserve">En su 67ª reunión en 2018, la Comisión Ballenera Internacional adoptó la Resolución 2018-2 </w:t>
      </w:r>
      <w:r w:rsidRPr="005E3C0F">
        <w:rPr>
          <w:i/>
        </w:rPr>
        <w:t>Avanzar el trabajo de la Comisión sobre el papel de los cetáceos en el funcionamiento de los ecosistemas</w:t>
      </w:r>
      <w:bookmarkStart w:id="2" w:name="_Hlk21072477"/>
      <w:r w:rsidRPr="005E3C0F">
        <w:rPr>
          <w:i/>
          <w:iCs/>
        </w:rPr>
        <w:t xml:space="preserve"> </w:t>
      </w:r>
      <w:r w:rsidRPr="005E3C0F">
        <w:rPr>
          <w:rStyle w:val="FootnoteReference"/>
          <w:i/>
          <w:iCs/>
        </w:rPr>
        <w:footnoteReference w:id="1"/>
      </w:r>
      <w:bookmarkEnd w:id="2"/>
      <w:r w:rsidRPr="005E3C0F">
        <w:t>. La resolución reconoce el aumento de los datos científicos que sugieren que las ballenas aumentan la disponibilidad de nutrientes para la producción primaria. Reconoce la necesidad de incluir en las estrategias de gestión y en la toma de decisiones para la conservación la consideración de las contribuciones al funcionamiento de los ecosistemas marinos realizadas por los cetáceos vivos y los cadáveres presentes en el océano. Los Estados miembros de la CBI también decidieron aumentar la colaboración y la cooperación con organizaciones gubernamentales y no gubernamentales, regionales e internacionales.</w:t>
      </w:r>
    </w:p>
    <w:p w:rsidR="005E3C0F" w:rsidRDefault="005E3C0F" w:rsidP="005E3C0F">
      <w:pPr>
        <w:pStyle w:val="Firstnumbering1"/>
        <w:numPr>
          <w:ilvl w:val="0"/>
          <w:numId w:val="0"/>
        </w:numPr>
        <w:ind w:left="567" w:hanging="567"/>
      </w:pPr>
    </w:p>
    <w:p w:rsidR="005E3C0F" w:rsidRDefault="005E3C0F" w:rsidP="005E3C0F">
      <w:pPr>
        <w:pStyle w:val="Firstnumbering1"/>
      </w:pPr>
      <w:r>
        <w:t xml:space="preserve">Como se ha indicado anteriormente, el mandato otorgado al Consejo Científico y a la Secretaría para que colaboren en este tema se deriva de la Resolución 12.17, </w:t>
      </w:r>
      <w:r w:rsidRPr="004F2646">
        <w:rPr>
          <w:i/>
        </w:rPr>
        <w:t>Conservación y gestión de las ballenas y sus hábitats en la región del Atlántico Sur</w:t>
      </w:r>
      <w:r>
        <w:t xml:space="preserve"> y, por lo tanto, tiene un enfoque regional en el Atlántico Sur. Sin embargo, la evidencia científica a considerar no se limita a esta región. Por consiguiente, parece apropiado que la CMS, al comprometerse con la CBI en este plan, siga el enfoque global utilizado por la CBI.</w:t>
      </w:r>
    </w:p>
    <w:p w:rsidR="00C70E1C" w:rsidRDefault="00C70E1C" w:rsidP="00C70E1C">
      <w:pPr>
        <w:pStyle w:val="Firstnumbering1"/>
        <w:numPr>
          <w:ilvl w:val="0"/>
          <w:numId w:val="0"/>
        </w:numPr>
        <w:ind w:left="567" w:hanging="567"/>
        <w:contextualSpacing w:val="0"/>
      </w:pPr>
    </w:p>
    <w:p w:rsidR="005E3C0F" w:rsidRDefault="00C70E1C" w:rsidP="00C70E1C">
      <w:pPr>
        <w:pStyle w:val="Firstnumbering1"/>
      </w:pPr>
      <w:r w:rsidRPr="00C70E1C">
        <w:t xml:space="preserve">La Secretaría se ha mantenido en contacto con la Secretaría de la CBI en relación con la implementación de esta solicitud, y se han dado los pasos necesarios para </w:t>
      </w:r>
      <w:proofErr w:type="spellStart"/>
      <w:r w:rsidRPr="00C70E1C">
        <w:t>co-anfitrionar</w:t>
      </w:r>
      <w:proofErr w:type="spellEnd"/>
      <w:r w:rsidRPr="00C70E1C">
        <w:t xml:space="preserve"> un taller sobre este tema. </w:t>
      </w:r>
    </w:p>
    <w:p w:rsidR="005E3C0F" w:rsidRDefault="005E3C0F" w:rsidP="004F2646">
      <w:pPr>
        <w:spacing w:after="0" w:line="240" w:lineRule="auto"/>
        <w:rPr>
          <w:u w:val="single"/>
          <w:lang w:val="es-ES"/>
        </w:rPr>
      </w:pPr>
    </w:p>
    <w:p w:rsidR="00E32F6F" w:rsidRPr="008F5322" w:rsidRDefault="00E32F6F" w:rsidP="004F2646">
      <w:pPr>
        <w:spacing w:after="0" w:line="240" w:lineRule="auto"/>
        <w:rPr>
          <w:u w:val="single"/>
          <w:lang w:val="en-GB"/>
        </w:rPr>
      </w:pPr>
      <w:r w:rsidRPr="008F5322">
        <w:rPr>
          <w:u w:val="single"/>
          <w:lang w:val="es-ES"/>
        </w:rPr>
        <w:t>D</w:t>
      </w:r>
      <w:r w:rsidR="004F2646">
        <w:rPr>
          <w:u w:val="single"/>
          <w:lang w:val="es-ES"/>
        </w:rPr>
        <w:t>iscusión</w:t>
      </w:r>
      <w:r w:rsidRPr="008F5322">
        <w:rPr>
          <w:u w:val="single"/>
          <w:lang w:val="es-ES"/>
        </w:rPr>
        <w:t xml:space="preserve"> y análisis </w:t>
      </w:r>
    </w:p>
    <w:p w:rsidR="00E32F6F" w:rsidRPr="008F5322" w:rsidRDefault="00E32F6F" w:rsidP="004F2646">
      <w:pPr>
        <w:spacing w:after="0" w:line="240" w:lineRule="auto"/>
        <w:rPr>
          <w:lang w:val="en-GB"/>
        </w:rPr>
      </w:pPr>
    </w:p>
    <w:p w:rsidR="00E32F6F" w:rsidRPr="008F5322" w:rsidRDefault="00E32F6F" w:rsidP="00C70E1C">
      <w:pPr>
        <w:pStyle w:val="Firstnumbering1"/>
      </w:pPr>
      <w:r w:rsidRPr="008F5322">
        <w:t xml:space="preserve">El progreso logrado con la evaluación de la situación de los cetáceos en el mar Rojo, tanto a través de la </w:t>
      </w:r>
      <w:hyperlink r:id="rId8" w:history="1">
        <w:r w:rsidRPr="00915FAA">
          <w:rPr>
            <w:rStyle w:val="Hyperlink"/>
          </w:rPr>
          <w:t xml:space="preserve">Serie técnica núm. 33 sobre </w:t>
        </w:r>
        <w:r w:rsidRPr="00915FAA">
          <w:rPr>
            <w:rStyle w:val="Hyperlink"/>
            <w:iCs/>
          </w:rPr>
          <w:t>cetáceos del mar Rojo</w:t>
        </w:r>
      </w:hyperlink>
      <w:r w:rsidRPr="008F5322">
        <w:t xml:space="preserve">, publicada en 2017, como ahora con el análisis de las amenazas de la región indicadas en el Anexo 1, se corresponde correctamente con las actividades previstas en el </w:t>
      </w:r>
      <w:r w:rsidRPr="008F5322">
        <w:rPr>
          <w:i/>
          <w:iCs/>
        </w:rPr>
        <w:t>Programa mundial de trabajo para los cetáceos</w:t>
      </w:r>
      <w:r w:rsidRPr="008F5322">
        <w:t xml:space="preserve">, adoptado en la </w:t>
      </w:r>
      <w:hyperlink r:id="rId9" w:history="1">
        <w:r w:rsidRPr="008F5322">
          <w:rPr>
            <w:rStyle w:val="Hyperlink"/>
          </w:rPr>
          <w:t>Resolución 10.15 (Rev.COP12)</w:t>
        </w:r>
      </w:hyperlink>
      <w:r w:rsidRPr="008F5322">
        <w:t>.</w:t>
      </w:r>
    </w:p>
    <w:p w:rsidR="00E32F6F" w:rsidRPr="008F5322" w:rsidRDefault="00E32F6F" w:rsidP="004F2646">
      <w:pPr>
        <w:pStyle w:val="ListParagraph"/>
        <w:spacing w:after="0" w:line="240" w:lineRule="auto"/>
        <w:ind w:left="540"/>
        <w:contextualSpacing w:val="0"/>
        <w:rPr>
          <w:lang w:val="es-ES"/>
        </w:rPr>
      </w:pPr>
    </w:p>
    <w:p w:rsidR="00E32F6F" w:rsidRPr="003F1CE4" w:rsidRDefault="00E32F6F" w:rsidP="004F2646">
      <w:pPr>
        <w:pStyle w:val="Firstnumbering1"/>
      </w:pPr>
      <w:r w:rsidRPr="008F5322">
        <w:t>Los autores del documento reproducido en el Anexo 1 recomiendan el desarrollo de un Plan de Acción para las poblaciones de cetáceos que habitan en esta zona marina sensible. Sus recomendaciones se</w:t>
      </w:r>
      <w:r w:rsidRPr="008F5322">
        <w:rPr>
          <w:bCs/>
          <w:iCs/>
        </w:rPr>
        <w:t xml:space="preserve"> recogen en las Decisiones propuestas incluidas en el Anexo 2.</w:t>
      </w:r>
    </w:p>
    <w:p w:rsidR="00E32F6F" w:rsidRPr="003F1CE4" w:rsidRDefault="00E32F6F" w:rsidP="004F2646">
      <w:pPr>
        <w:pStyle w:val="ListParagraph"/>
        <w:spacing w:after="0" w:line="240" w:lineRule="auto"/>
        <w:contextualSpacing w:val="0"/>
        <w:rPr>
          <w:lang w:val="es-ES"/>
        </w:rPr>
      </w:pPr>
    </w:p>
    <w:p w:rsidR="00E32F6F" w:rsidRPr="003F1CE4" w:rsidRDefault="00E32F6F" w:rsidP="004F2646">
      <w:pPr>
        <w:pStyle w:val="Firstnumbering1"/>
      </w:pPr>
      <w:r w:rsidRPr="008F5322">
        <w:t>En las nuevas Decisiones propuestas se ha incluido la petición de una evaluación de las amenazas y las prioridades regionales, así como el desarrollo de programas de trabajo para otras especies mamíferas acuáticas incluidas en la Decisión 12.16.</w:t>
      </w:r>
    </w:p>
    <w:p w:rsidR="00E32F6F" w:rsidRDefault="00E32F6F" w:rsidP="004F2646">
      <w:pPr>
        <w:spacing w:after="0" w:line="240" w:lineRule="auto"/>
        <w:rPr>
          <w:lang w:val="es-ES"/>
        </w:rPr>
      </w:pPr>
    </w:p>
    <w:p w:rsidR="00C70E1C" w:rsidRPr="00C70E1C" w:rsidRDefault="00C70E1C" w:rsidP="00C70E1C">
      <w:pPr>
        <w:pStyle w:val="Firstnumbering1"/>
      </w:pPr>
      <w:r>
        <w:t>L</w:t>
      </w:r>
      <w:r w:rsidRPr="00C70E1C">
        <w:t xml:space="preserve">a Resolución 10.15 (Rev.COP12) del </w:t>
      </w:r>
      <w:r w:rsidRPr="004E1519">
        <w:rPr>
          <w:i/>
        </w:rPr>
        <w:t xml:space="preserve">Programa Mundial de Trabajo </w:t>
      </w:r>
      <w:r w:rsidR="004E1519" w:rsidRPr="004E1519">
        <w:rPr>
          <w:i/>
        </w:rPr>
        <w:t>para</w:t>
      </w:r>
      <w:r w:rsidRPr="004E1519">
        <w:rPr>
          <w:i/>
        </w:rPr>
        <w:t xml:space="preserve"> Cetáceos</w:t>
      </w:r>
      <w:r w:rsidRPr="00C70E1C">
        <w:t xml:space="preserve"> de la CMS es anterior al discurso político sobre el papel positivo de las ballenas en los ecosistemas marinos y, por lo tanto, no toca este tema. No obstante, solicita el asesoramiento del Grupo de Trabajo sobre Mamíferos Acuáticos del Consejo Científico sobre el compromiso con la CBI. En vista del alcance global del trabajo sobre el papel de los cetáceos en el funcionamiento del ecosistema en el marco de la CBI, parece apropiado sacar el trabajo de la CMS del contexto regional y considerarlo en conjunción con la aplicación del Programa Mundial de Trabajo sobre Cetáceos. Por consiguiente, se han incluido en el anexo 2 propuestas de Decisión relacionadas con este tema.</w:t>
      </w:r>
    </w:p>
    <w:p w:rsidR="00C70E1C" w:rsidRPr="00C70E1C" w:rsidRDefault="00C70E1C" w:rsidP="00C70E1C">
      <w:pPr>
        <w:spacing w:after="0" w:line="240" w:lineRule="auto"/>
        <w:rPr>
          <w:lang w:val="es-ES"/>
        </w:rPr>
      </w:pPr>
    </w:p>
    <w:p w:rsidR="00C70E1C" w:rsidRPr="003F1CE4" w:rsidRDefault="00C70E1C" w:rsidP="004F2646">
      <w:pPr>
        <w:spacing w:after="0" w:line="240" w:lineRule="auto"/>
        <w:rPr>
          <w:lang w:val="es-ES"/>
        </w:rPr>
      </w:pPr>
    </w:p>
    <w:p w:rsidR="004E1519" w:rsidRDefault="004E1519">
      <w:pPr>
        <w:rPr>
          <w:rFonts w:cs="Arial"/>
          <w:u w:val="single"/>
          <w:lang w:val="es-ES"/>
        </w:rPr>
      </w:pPr>
      <w:r>
        <w:rPr>
          <w:rFonts w:cs="Arial"/>
          <w:u w:val="single"/>
          <w:lang w:val="es-ES"/>
        </w:rPr>
        <w:br w:type="page"/>
      </w:r>
    </w:p>
    <w:p w:rsidR="00E32F6F" w:rsidRPr="003F1CE4" w:rsidRDefault="00E32F6F" w:rsidP="004F2646">
      <w:pPr>
        <w:spacing w:after="0" w:line="240" w:lineRule="auto"/>
        <w:ind w:left="540" w:hanging="540"/>
        <w:rPr>
          <w:rFonts w:cs="Arial"/>
          <w:u w:val="single"/>
          <w:lang w:val="es-ES"/>
        </w:rPr>
      </w:pPr>
      <w:r w:rsidRPr="008F5322">
        <w:rPr>
          <w:rFonts w:cs="Arial"/>
          <w:u w:val="single"/>
          <w:lang w:val="es-ES"/>
        </w:rPr>
        <w:lastRenderedPageBreak/>
        <w:t>Acciones recomendadas</w:t>
      </w:r>
    </w:p>
    <w:p w:rsidR="00E32F6F" w:rsidRPr="003F1CE4" w:rsidRDefault="00E32F6F" w:rsidP="004F2646">
      <w:pPr>
        <w:spacing w:after="0" w:line="240" w:lineRule="auto"/>
        <w:ind w:left="540" w:hanging="540"/>
        <w:rPr>
          <w:rFonts w:cs="Arial"/>
          <w:u w:val="single"/>
          <w:lang w:val="es-ES"/>
        </w:rPr>
      </w:pPr>
    </w:p>
    <w:p w:rsidR="00E32F6F" w:rsidRPr="003F1CE4" w:rsidRDefault="00E32F6F" w:rsidP="00C70E1C">
      <w:pPr>
        <w:pStyle w:val="Firstnumbering1"/>
      </w:pPr>
      <w:r w:rsidRPr="008F5322">
        <w:t>Se recomienda a la Conferencia de las Partes</w:t>
      </w:r>
      <w:r>
        <w:t>:</w:t>
      </w:r>
      <w:r w:rsidRPr="008F5322">
        <w:t xml:space="preserve"> </w:t>
      </w:r>
    </w:p>
    <w:p w:rsidR="00E32F6F" w:rsidRPr="003F1CE4" w:rsidRDefault="00E32F6F" w:rsidP="00C70E1C">
      <w:pPr>
        <w:spacing w:after="0" w:line="240" w:lineRule="auto"/>
        <w:ind w:firstLine="567"/>
        <w:rPr>
          <w:lang w:val="es-ES"/>
        </w:rPr>
      </w:pPr>
    </w:p>
    <w:p w:rsidR="00E32F6F" w:rsidRPr="004E1519" w:rsidRDefault="00E32F6F" w:rsidP="00C70E1C">
      <w:pPr>
        <w:numPr>
          <w:ilvl w:val="0"/>
          <w:numId w:val="6"/>
        </w:numPr>
        <w:autoSpaceDN w:val="0"/>
        <w:spacing w:after="0" w:line="240" w:lineRule="auto"/>
        <w:ind w:left="993" w:hanging="426"/>
        <w:jc w:val="both"/>
        <w:rPr>
          <w:lang w:val="es-ES"/>
        </w:rPr>
      </w:pPr>
      <w:r w:rsidRPr="008F5322">
        <w:rPr>
          <w:rFonts w:cs="Arial"/>
          <w:lang w:val="es-ES"/>
        </w:rPr>
        <w:t>tom</w:t>
      </w:r>
      <w:r w:rsidR="00C70E1C">
        <w:rPr>
          <w:rFonts w:cs="Arial"/>
          <w:lang w:val="es-ES"/>
        </w:rPr>
        <w:t>ar</w:t>
      </w:r>
      <w:r w:rsidRPr="008F5322">
        <w:rPr>
          <w:rFonts w:cs="Arial"/>
          <w:lang w:val="es-ES"/>
        </w:rPr>
        <w:t xml:space="preserve"> nota de la actualización de los problemas que afectan a los cetáceos del mar Rojo incluidos en el Anexo 1;</w:t>
      </w:r>
    </w:p>
    <w:p w:rsidR="004E1519" w:rsidRPr="003F1CE4" w:rsidRDefault="004E1519" w:rsidP="004E1519">
      <w:pPr>
        <w:autoSpaceDN w:val="0"/>
        <w:spacing w:after="0" w:line="240" w:lineRule="auto"/>
        <w:ind w:left="993"/>
        <w:jc w:val="both"/>
        <w:rPr>
          <w:lang w:val="es-ES"/>
        </w:rPr>
      </w:pPr>
    </w:p>
    <w:p w:rsidR="00E32F6F" w:rsidRPr="004E1519" w:rsidRDefault="00E32F6F" w:rsidP="00C70E1C">
      <w:pPr>
        <w:numPr>
          <w:ilvl w:val="0"/>
          <w:numId w:val="6"/>
        </w:numPr>
        <w:autoSpaceDN w:val="0"/>
        <w:spacing w:after="0" w:line="240" w:lineRule="auto"/>
        <w:ind w:left="993" w:hanging="426"/>
        <w:jc w:val="both"/>
        <w:rPr>
          <w:lang w:val="es-ES"/>
        </w:rPr>
      </w:pPr>
      <w:r w:rsidRPr="008F5322">
        <w:rPr>
          <w:rFonts w:cs="Arial"/>
          <w:lang w:val="es-ES"/>
        </w:rPr>
        <w:t>adopt</w:t>
      </w:r>
      <w:r w:rsidR="00C70E1C">
        <w:rPr>
          <w:rFonts w:cs="Arial"/>
          <w:lang w:val="es-ES"/>
        </w:rPr>
        <w:t>ar</w:t>
      </w:r>
      <w:r w:rsidRPr="008F5322">
        <w:rPr>
          <w:rFonts w:cs="Arial"/>
          <w:lang w:val="es-ES"/>
        </w:rPr>
        <w:t xml:space="preserve"> el borrador de las Decisiones incluidas en el Anexo 2 de este documento;</w:t>
      </w:r>
    </w:p>
    <w:p w:rsidR="004E1519" w:rsidRPr="003F1CE4" w:rsidRDefault="004E1519" w:rsidP="004E1519">
      <w:pPr>
        <w:autoSpaceDN w:val="0"/>
        <w:spacing w:after="0" w:line="240" w:lineRule="auto"/>
        <w:jc w:val="both"/>
        <w:rPr>
          <w:lang w:val="es-ES"/>
        </w:rPr>
      </w:pPr>
    </w:p>
    <w:p w:rsidR="00E32F6F" w:rsidRPr="004E1519" w:rsidRDefault="00E32F6F" w:rsidP="00C70E1C">
      <w:pPr>
        <w:numPr>
          <w:ilvl w:val="0"/>
          <w:numId w:val="6"/>
        </w:numPr>
        <w:autoSpaceDN w:val="0"/>
        <w:spacing w:after="0" w:line="240" w:lineRule="auto"/>
        <w:ind w:left="993" w:hanging="426"/>
        <w:jc w:val="both"/>
        <w:rPr>
          <w:lang w:val="es-ES"/>
        </w:rPr>
      </w:pPr>
      <w:r w:rsidRPr="008F5322">
        <w:rPr>
          <w:rFonts w:cs="Arial"/>
          <w:lang w:val="es-ES"/>
        </w:rPr>
        <w:t>tom</w:t>
      </w:r>
      <w:r w:rsidR="00C70E1C">
        <w:rPr>
          <w:rFonts w:cs="Arial"/>
          <w:lang w:val="es-ES"/>
        </w:rPr>
        <w:t>ar</w:t>
      </w:r>
      <w:r w:rsidRPr="008F5322">
        <w:rPr>
          <w:rFonts w:cs="Arial"/>
          <w:lang w:val="es-ES"/>
        </w:rPr>
        <w:t xml:space="preserve"> nota de la propuesta de eliminación íntegra de la Decisión 12.51 en el Documento 26.2.5. </w:t>
      </w:r>
    </w:p>
    <w:p w:rsidR="004E1519" w:rsidRPr="003F1CE4" w:rsidRDefault="004E1519" w:rsidP="004E1519">
      <w:pPr>
        <w:autoSpaceDN w:val="0"/>
        <w:spacing w:after="0" w:line="240" w:lineRule="auto"/>
        <w:jc w:val="both"/>
        <w:rPr>
          <w:lang w:val="es-ES"/>
        </w:rPr>
      </w:pPr>
    </w:p>
    <w:p w:rsidR="00E32F6F" w:rsidRPr="008F5322" w:rsidRDefault="00E32F6F" w:rsidP="00C70E1C">
      <w:pPr>
        <w:numPr>
          <w:ilvl w:val="0"/>
          <w:numId w:val="6"/>
        </w:numPr>
        <w:autoSpaceDN w:val="0"/>
        <w:spacing w:after="0" w:line="240" w:lineRule="auto"/>
        <w:ind w:left="993" w:hanging="426"/>
        <w:jc w:val="both"/>
        <w:rPr>
          <w:lang w:val="en-GB"/>
        </w:rPr>
      </w:pPr>
      <w:r w:rsidRPr="008F5322">
        <w:rPr>
          <w:rFonts w:cs="Arial"/>
          <w:lang w:val="es-ES"/>
        </w:rPr>
        <w:t>elimin</w:t>
      </w:r>
      <w:r w:rsidR="00C70E1C">
        <w:rPr>
          <w:rFonts w:cs="Arial"/>
          <w:lang w:val="es-ES"/>
        </w:rPr>
        <w:t>ar</w:t>
      </w:r>
      <w:r w:rsidRPr="008F5322">
        <w:rPr>
          <w:rFonts w:cs="Arial"/>
          <w:lang w:val="es-ES"/>
        </w:rPr>
        <w:t xml:space="preserve"> la Decisión 12.16.</w:t>
      </w:r>
    </w:p>
    <w:p w:rsidR="004E1519" w:rsidRDefault="004E1519" w:rsidP="00943D15">
      <w:pPr>
        <w:spacing w:after="0" w:line="240" w:lineRule="auto"/>
        <w:rPr>
          <w:lang w:val="es-ES"/>
        </w:rPr>
        <w:sectPr w:rsidR="004E1519" w:rsidSect="00B104EC">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4E1519" w:rsidRPr="004E1519" w:rsidRDefault="004E1519" w:rsidP="004E1519">
      <w:pPr>
        <w:spacing w:after="0" w:line="240" w:lineRule="auto"/>
        <w:jc w:val="right"/>
        <w:rPr>
          <w:rFonts w:cs="Arial"/>
          <w:b/>
          <w:bCs/>
          <w:caps/>
          <w:lang w:val="es-ES"/>
        </w:rPr>
      </w:pPr>
      <w:r w:rsidRPr="004E1519">
        <w:rPr>
          <w:rFonts w:cs="Arial"/>
          <w:b/>
          <w:caps/>
          <w:lang w:val="es-ES"/>
        </w:rPr>
        <w:lastRenderedPageBreak/>
        <w:t>Anexo 1</w:t>
      </w:r>
    </w:p>
    <w:p w:rsidR="004E1519" w:rsidRPr="004E1519" w:rsidRDefault="004E1519" w:rsidP="004E1519">
      <w:pPr>
        <w:spacing w:after="0" w:line="240" w:lineRule="auto"/>
        <w:rPr>
          <w:rFonts w:cs="Arial"/>
          <w:lang w:val="es-ES"/>
        </w:rPr>
      </w:pPr>
    </w:p>
    <w:p w:rsidR="004E1519" w:rsidRPr="003F1CE4" w:rsidRDefault="004E1519" w:rsidP="00E5279B">
      <w:pPr>
        <w:spacing w:after="120" w:line="240" w:lineRule="auto"/>
        <w:jc w:val="center"/>
        <w:rPr>
          <w:b/>
          <w:lang w:val="es-ES"/>
        </w:rPr>
      </w:pPr>
      <w:r w:rsidRPr="008F5322">
        <w:rPr>
          <w:b/>
          <w:lang w:val="es-ES"/>
        </w:rPr>
        <w:t>ACTUALIZACIÓN DE LOS PROBLEMAS QUE AFECTAN A LOS CETÁCEOS DEL MAR ROJO</w:t>
      </w:r>
    </w:p>
    <w:p w:rsidR="004E1519" w:rsidRPr="008F5322" w:rsidRDefault="004E1519" w:rsidP="004E1519">
      <w:pPr>
        <w:spacing w:after="0" w:line="240" w:lineRule="auto"/>
        <w:jc w:val="center"/>
        <w:rPr>
          <w:b/>
          <w:i/>
          <w:iCs/>
          <w:lang w:val="it-IT"/>
        </w:rPr>
      </w:pPr>
      <w:r w:rsidRPr="008F5322">
        <w:rPr>
          <w:i/>
          <w:iCs/>
          <w:lang w:val="it-IT"/>
        </w:rPr>
        <w:t>(Preparado por Laetitia Nunny, Mark P. Simmonds, Giuseppe Notarbartolo di Sciara)</w:t>
      </w:r>
    </w:p>
    <w:p w:rsidR="004E1519" w:rsidRPr="008F5322" w:rsidRDefault="004E1519" w:rsidP="004E1519">
      <w:pPr>
        <w:spacing w:after="0" w:line="240" w:lineRule="auto"/>
        <w:rPr>
          <w:b/>
          <w:lang w:val="it-IT"/>
        </w:rPr>
      </w:pPr>
    </w:p>
    <w:p w:rsidR="004E1519" w:rsidRPr="008F5322" w:rsidRDefault="004E1519" w:rsidP="004E1519">
      <w:pPr>
        <w:spacing w:after="0" w:line="240" w:lineRule="auto"/>
        <w:rPr>
          <w:b/>
          <w:lang w:val="it-IT"/>
        </w:rPr>
      </w:pPr>
    </w:p>
    <w:p w:rsidR="004E1519" w:rsidRPr="003F1CE4" w:rsidRDefault="004E1519" w:rsidP="004E1519">
      <w:pPr>
        <w:spacing w:after="0" w:line="240" w:lineRule="auto"/>
        <w:rPr>
          <w:b/>
          <w:lang w:val="es-ES"/>
        </w:rPr>
      </w:pPr>
      <w:r w:rsidRPr="008F5322">
        <w:rPr>
          <w:b/>
          <w:lang w:val="es-ES"/>
        </w:rPr>
        <w:t>Introducción</w:t>
      </w:r>
    </w:p>
    <w:p w:rsidR="004E1519" w:rsidRPr="003F1CE4" w:rsidRDefault="004E1519" w:rsidP="004E1519">
      <w:pPr>
        <w:spacing w:after="0" w:line="240" w:lineRule="auto"/>
        <w:rPr>
          <w:lang w:val="es-ES"/>
        </w:rPr>
      </w:pPr>
    </w:p>
    <w:p w:rsidR="004E1519" w:rsidRPr="004E1519" w:rsidRDefault="004E1519" w:rsidP="004E1519">
      <w:pPr>
        <w:pStyle w:val="ListParagraph"/>
        <w:numPr>
          <w:ilvl w:val="0"/>
          <w:numId w:val="10"/>
        </w:numPr>
        <w:spacing w:after="0" w:line="240" w:lineRule="auto"/>
        <w:ind w:left="567" w:hanging="425"/>
        <w:jc w:val="both"/>
        <w:rPr>
          <w:lang w:val="es-ES"/>
        </w:rPr>
      </w:pPr>
      <w:r w:rsidRPr="004E1519">
        <w:rPr>
          <w:lang w:val="es-ES"/>
        </w:rPr>
        <w:t>En 2017, la Secretaría de la CMS publicó una nueva edición de sus Serie técnica sobre cetáceos del mar Rojo en la que se señalaba que no se conocen bien los cetáceos de la región y que existen lagunas de conocimiento (</w:t>
      </w:r>
      <w:proofErr w:type="spellStart"/>
      <w:r w:rsidRPr="004E1519">
        <w:rPr>
          <w:lang w:val="es-ES"/>
        </w:rPr>
        <w:t>Notarbartolo</w:t>
      </w:r>
      <w:proofErr w:type="spellEnd"/>
      <w:r w:rsidRPr="004E1519">
        <w:rPr>
          <w:lang w:val="es-ES"/>
        </w:rPr>
        <w:t xml:space="preserve"> di </w:t>
      </w:r>
      <w:proofErr w:type="spellStart"/>
      <w:r w:rsidRPr="004E1519">
        <w:rPr>
          <w:lang w:val="es-ES"/>
        </w:rPr>
        <w:t>Sciara</w:t>
      </w:r>
      <w:proofErr w:type="spellEnd"/>
      <w:r w:rsidRPr="004E1519">
        <w:rPr>
          <w:lang w:val="es-ES"/>
        </w:rPr>
        <w:t xml:space="preserve"> et al., 2017). De hecho, en un estudio reciente de las amenazas mundiales a los mamíferos marinos que analizó más de 1780 publicaciones y elaboró mapas de riesgo, el mar Rojo no apareció señalado en ninguno de los mapas (</w:t>
      </w:r>
      <w:proofErr w:type="spellStart"/>
      <w:r w:rsidRPr="004E1519">
        <w:rPr>
          <w:lang w:val="es-ES"/>
        </w:rPr>
        <w:t>Avila</w:t>
      </w:r>
      <w:proofErr w:type="spellEnd"/>
      <w:r w:rsidRPr="004E1519">
        <w:rPr>
          <w:lang w:val="es-ES"/>
        </w:rPr>
        <w:t xml:space="preserve">, </w:t>
      </w:r>
      <w:proofErr w:type="spellStart"/>
      <w:r w:rsidRPr="004E1519">
        <w:rPr>
          <w:lang w:val="es-ES"/>
        </w:rPr>
        <w:t>Kaschner</w:t>
      </w:r>
      <w:proofErr w:type="spellEnd"/>
      <w:r w:rsidRPr="004E1519">
        <w:rPr>
          <w:lang w:val="es-ES"/>
        </w:rPr>
        <w:t xml:space="preserve"> y </w:t>
      </w:r>
      <w:proofErr w:type="spellStart"/>
      <w:r w:rsidRPr="004E1519">
        <w:rPr>
          <w:lang w:val="es-ES"/>
        </w:rPr>
        <w:t>Dormann</w:t>
      </w:r>
      <w:proofErr w:type="spellEnd"/>
      <w:r w:rsidRPr="004E1519">
        <w:rPr>
          <w:lang w:val="es-ES"/>
        </w:rPr>
        <w:t xml:space="preserve">, 2018).  Esto se debe en parte a que el mar Rojo no se considera el hábitat principal de los mamíferos marinos, además de a la escasez de amenazas documentadas para esta región (I. </w:t>
      </w:r>
      <w:proofErr w:type="spellStart"/>
      <w:r w:rsidRPr="004E1519">
        <w:rPr>
          <w:lang w:val="es-ES"/>
        </w:rPr>
        <w:t>Avila</w:t>
      </w:r>
      <w:proofErr w:type="spellEnd"/>
      <w:r w:rsidRPr="004E1519">
        <w:rPr>
          <w:lang w:val="es-ES"/>
        </w:rPr>
        <w:t xml:space="preserve">, </w:t>
      </w:r>
      <w:proofErr w:type="spellStart"/>
      <w:r w:rsidRPr="004E1519">
        <w:rPr>
          <w:lang w:val="es-ES"/>
        </w:rPr>
        <w:t>pers</w:t>
      </w:r>
      <w:proofErr w:type="spellEnd"/>
      <w:r w:rsidRPr="004E1519">
        <w:rPr>
          <w:lang w:val="es-ES"/>
        </w:rPr>
        <w:t xml:space="preserve">. </w:t>
      </w:r>
      <w:proofErr w:type="spellStart"/>
      <w:r w:rsidRPr="004E1519">
        <w:rPr>
          <w:lang w:val="es-ES"/>
        </w:rPr>
        <w:t>comm</w:t>
      </w:r>
      <w:proofErr w:type="spellEnd"/>
      <w:r w:rsidRPr="004E1519">
        <w:rPr>
          <w:lang w:val="es-ES"/>
        </w:rPr>
        <w:t>., 28 septiembre de 2018).</w:t>
      </w:r>
    </w:p>
    <w:p w:rsidR="004E1519" w:rsidRPr="003F1CE4" w:rsidRDefault="004E1519" w:rsidP="004E1519">
      <w:pPr>
        <w:spacing w:after="0" w:line="240" w:lineRule="auto"/>
        <w:ind w:left="567" w:hanging="425"/>
        <w:jc w:val="both"/>
        <w:rPr>
          <w:lang w:val="es-ES"/>
        </w:rPr>
      </w:pPr>
    </w:p>
    <w:p w:rsidR="004E1519" w:rsidRPr="004E1519" w:rsidRDefault="004E1519" w:rsidP="004E1519">
      <w:pPr>
        <w:pStyle w:val="ListParagraph"/>
        <w:numPr>
          <w:ilvl w:val="0"/>
          <w:numId w:val="10"/>
        </w:numPr>
        <w:spacing w:after="0" w:line="240" w:lineRule="auto"/>
        <w:ind w:left="567" w:hanging="425"/>
        <w:jc w:val="both"/>
        <w:rPr>
          <w:lang w:val="es-ES"/>
        </w:rPr>
      </w:pPr>
      <w:r w:rsidRPr="004E1519">
        <w:rPr>
          <w:lang w:val="es-ES"/>
        </w:rPr>
        <w:t>En los últimos treinta años, el mar Rojo ha comenzado a experimentar los efectos de una población humana cada vez mayor en su litoral. Hábitats como los arrecifes de coral, los pastos marinos y los manglares se han visto afectados, las poblaciones de peces están mermando y la contaminación se está trasmitiendo al medio ambiente a través de diferentes medios (</w:t>
      </w:r>
      <w:proofErr w:type="spellStart"/>
      <w:r w:rsidRPr="004E1519">
        <w:rPr>
          <w:lang w:val="es-ES"/>
        </w:rPr>
        <w:t>Notarbartolo</w:t>
      </w:r>
      <w:proofErr w:type="spellEnd"/>
      <w:r w:rsidRPr="004E1519">
        <w:rPr>
          <w:lang w:val="es-ES"/>
        </w:rPr>
        <w:t xml:space="preserve"> di </w:t>
      </w:r>
      <w:proofErr w:type="spellStart"/>
      <w:r w:rsidRPr="004E1519">
        <w:rPr>
          <w:lang w:val="es-ES"/>
        </w:rPr>
        <w:t>Sciara</w:t>
      </w:r>
      <w:proofErr w:type="spellEnd"/>
      <w:r w:rsidRPr="004E1519">
        <w:rPr>
          <w:lang w:val="es-ES"/>
        </w:rPr>
        <w:t xml:space="preserve"> et al., 2017). </w:t>
      </w:r>
    </w:p>
    <w:p w:rsidR="004E1519" w:rsidRPr="003F1CE4" w:rsidRDefault="004E1519" w:rsidP="004E1519">
      <w:pPr>
        <w:spacing w:after="0" w:line="240" w:lineRule="auto"/>
        <w:ind w:left="567" w:hanging="425"/>
        <w:jc w:val="both"/>
        <w:rPr>
          <w:lang w:val="es-ES"/>
        </w:rPr>
      </w:pPr>
    </w:p>
    <w:p w:rsidR="004E1519" w:rsidRPr="004E1519" w:rsidRDefault="004E1519" w:rsidP="004E1519">
      <w:pPr>
        <w:pStyle w:val="ListParagraph"/>
        <w:numPr>
          <w:ilvl w:val="0"/>
          <w:numId w:val="10"/>
        </w:numPr>
        <w:spacing w:after="0" w:line="240" w:lineRule="auto"/>
        <w:ind w:left="567" w:hanging="425"/>
        <w:jc w:val="both"/>
        <w:rPr>
          <w:lang w:val="es-ES"/>
        </w:rPr>
      </w:pPr>
      <w:r w:rsidRPr="004E1519">
        <w:rPr>
          <w:lang w:val="es-ES"/>
        </w:rPr>
        <w:t>La Lista Roja de especies amenazadas de la UICN</w:t>
      </w:r>
      <w:r w:rsidRPr="004E1519">
        <w:rPr>
          <w:vertAlign w:val="superscript"/>
          <w:lang w:val="es-ES"/>
        </w:rPr>
        <w:t xml:space="preserve"> </w:t>
      </w:r>
      <w:r w:rsidRPr="004E1519">
        <w:rPr>
          <w:lang w:val="es-ES"/>
        </w:rPr>
        <w:t>ofrece información sobre el estado de conservación de muchas especies cetáceas (incluidas aquellas presentes en el mar Rojo) a nivel mundial (UICN, 2018). En 2003, la UICN publicó directrices para evaluar el estado de conservación a nivel regional y nacional (Lista Roja Nacional, 2018). No obstante, no hay ninguna Lista Roja disponible actualmente para la región del mar Rojo ni para ninguno de los países que lo rodean (Lista Roja Nacional, 2018).</w:t>
      </w:r>
    </w:p>
    <w:p w:rsidR="004E1519" w:rsidRPr="003F1CE4" w:rsidRDefault="004E1519" w:rsidP="004E1519">
      <w:pPr>
        <w:spacing w:after="0" w:line="240" w:lineRule="auto"/>
        <w:ind w:left="567" w:hanging="425"/>
        <w:rPr>
          <w:lang w:val="es-ES"/>
        </w:rPr>
      </w:pPr>
    </w:p>
    <w:p w:rsidR="004E1519" w:rsidRPr="004E1519" w:rsidRDefault="004E1519" w:rsidP="004E1519">
      <w:pPr>
        <w:pStyle w:val="ListParagraph"/>
        <w:spacing w:after="0" w:line="240" w:lineRule="auto"/>
        <w:ind w:left="567"/>
        <w:rPr>
          <w:b/>
          <w:lang w:val="es-ES"/>
        </w:rPr>
      </w:pPr>
      <w:r w:rsidRPr="004E1519">
        <w:rPr>
          <w:b/>
          <w:lang w:val="es-ES"/>
        </w:rPr>
        <w:t>Cetáceos del mar Rojo</w:t>
      </w:r>
    </w:p>
    <w:p w:rsidR="004E1519" w:rsidRPr="003F1CE4" w:rsidRDefault="004E1519" w:rsidP="004E1519">
      <w:pPr>
        <w:spacing w:after="0" w:line="240" w:lineRule="auto"/>
        <w:ind w:left="567" w:hanging="425"/>
        <w:rPr>
          <w:b/>
          <w:lang w:val="es-ES"/>
        </w:rPr>
      </w:pPr>
    </w:p>
    <w:p w:rsidR="004E1519" w:rsidRPr="004E1519" w:rsidRDefault="004E1519" w:rsidP="004E1519">
      <w:pPr>
        <w:pStyle w:val="ListParagraph"/>
        <w:numPr>
          <w:ilvl w:val="0"/>
          <w:numId w:val="10"/>
        </w:numPr>
        <w:spacing w:after="0" w:line="240" w:lineRule="auto"/>
        <w:ind w:left="567" w:hanging="425"/>
        <w:jc w:val="both"/>
        <w:rPr>
          <w:lang w:val="es-ES"/>
        </w:rPr>
      </w:pPr>
      <w:r w:rsidRPr="004E1519">
        <w:rPr>
          <w:lang w:val="es-ES"/>
        </w:rPr>
        <w:t xml:space="preserve">Las especies que normalmente están presentes en el mar Rojo se incluyen en la Tabla 1 junto con sus listados de la CMS y categorías mundiales de la Lista Roja de la UICN. Otras especies que se han registrado en el mar Rojo se consideran visitantes poco comunes, por ejemplo: </w:t>
      </w:r>
      <w:proofErr w:type="spellStart"/>
      <w:r w:rsidRPr="004E1519">
        <w:rPr>
          <w:i/>
          <w:lang w:val="es-ES"/>
        </w:rPr>
        <w:t>Balaenoptera</w:t>
      </w:r>
      <w:proofErr w:type="spellEnd"/>
      <w:r w:rsidRPr="004E1519">
        <w:rPr>
          <w:i/>
          <w:lang w:val="es-ES"/>
        </w:rPr>
        <w:t xml:space="preserve"> </w:t>
      </w:r>
      <w:proofErr w:type="spellStart"/>
      <w:r w:rsidRPr="004E1519">
        <w:rPr>
          <w:i/>
          <w:lang w:val="es-ES"/>
        </w:rPr>
        <w:t>omurai</w:t>
      </w:r>
      <w:proofErr w:type="spellEnd"/>
      <w:r w:rsidRPr="004E1519">
        <w:rPr>
          <w:lang w:val="es-ES"/>
        </w:rPr>
        <w:t>, yubarta (</w:t>
      </w:r>
      <w:proofErr w:type="spellStart"/>
      <w:r w:rsidRPr="004E1519">
        <w:rPr>
          <w:i/>
          <w:lang w:val="es-ES"/>
        </w:rPr>
        <w:t>Megaptera</w:t>
      </w:r>
      <w:proofErr w:type="spellEnd"/>
      <w:r w:rsidRPr="004E1519">
        <w:rPr>
          <w:i/>
          <w:lang w:val="es-ES"/>
        </w:rPr>
        <w:t xml:space="preserve"> </w:t>
      </w:r>
      <w:proofErr w:type="spellStart"/>
      <w:r w:rsidRPr="004E1519">
        <w:rPr>
          <w:i/>
          <w:lang w:val="es-ES"/>
        </w:rPr>
        <w:t>novaeangliae</w:t>
      </w:r>
      <w:proofErr w:type="spellEnd"/>
      <w:r w:rsidRPr="004E1519">
        <w:rPr>
          <w:lang w:val="es-ES"/>
        </w:rPr>
        <w:t xml:space="preserve">), </w:t>
      </w:r>
      <w:proofErr w:type="spellStart"/>
      <w:r w:rsidRPr="004E1519">
        <w:rPr>
          <w:i/>
          <w:lang w:val="es-ES"/>
        </w:rPr>
        <w:t>Globicephala</w:t>
      </w:r>
      <w:proofErr w:type="spellEnd"/>
      <w:r w:rsidRPr="004E1519">
        <w:rPr>
          <w:i/>
          <w:lang w:val="es-ES"/>
        </w:rPr>
        <w:t xml:space="preserve"> </w:t>
      </w:r>
      <w:proofErr w:type="spellStart"/>
      <w:r w:rsidRPr="004E1519">
        <w:rPr>
          <w:i/>
          <w:lang w:val="es-ES"/>
        </w:rPr>
        <w:t>macrorhynchus</w:t>
      </w:r>
      <w:proofErr w:type="spellEnd"/>
      <w:r w:rsidRPr="004E1519">
        <w:rPr>
          <w:lang w:val="es-ES"/>
        </w:rPr>
        <w:t xml:space="preserve">, </w:t>
      </w:r>
      <w:proofErr w:type="spellStart"/>
      <w:r w:rsidRPr="004E1519">
        <w:rPr>
          <w:i/>
          <w:lang w:val="es-ES"/>
        </w:rPr>
        <w:t>Kogia</w:t>
      </w:r>
      <w:proofErr w:type="spellEnd"/>
      <w:r w:rsidRPr="004E1519">
        <w:rPr>
          <w:i/>
          <w:lang w:val="es-ES"/>
        </w:rPr>
        <w:t xml:space="preserve"> sima</w:t>
      </w:r>
      <w:r w:rsidRPr="004E1519">
        <w:rPr>
          <w:lang w:val="es-ES"/>
        </w:rPr>
        <w:t>, delfín listado (</w:t>
      </w:r>
      <w:proofErr w:type="spellStart"/>
      <w:r w:rsidRPr="004E1519">
        <w:rPr>
          <w:i/>
          <w:lang w:val="es-ES"/>
        </w:rPr>
        <w:t>Stenella</w:t>
      </w:r>
      <w:proofErr w:type="spellEnd"/>
      <w:r w:rsidRPr="004E1519">
        <w:rPr>
          <w:i/>
          <w:lang w:val="es-ES"/>
        </w:rPr>
        <w:t xml:space="preserve"> </w:t>
      </w:r>
      <w:proofErr w:type="spellStart"/>
      <w:r w:rsidRPr="004E1519">
        <w:rPr>
          <w:i/>
          <w:lang w:val="es-ES"/>
        </w:rPr>
        <w:t>coeruleoalba</w:t>
      </w:r>
      <w:proofErr w:type="spellEnd"/>
      <w:r w:rsidRPr="004E1519">
        <w:rPr>
          <w:lang w:val="es-ES"/>
        </w:rPr>
        <w:t xml:space="preserve">), </w:t>
      </w:r>
      <w:proofErr w:type="spellStart"/>
      <w:r w:rsidRPr="004E1519">
        <w:rPr>
          <w:i/>
          <w:lang w:val="es-ES"/>
        </w:rPr>
        <w:t>Steno</w:t>
      </w:r>
      <w:proofErr w:type="spellEnd"/>
      <w:r w:rsidRPr="004E1519">
        <w:rPr>
          <w:i/>
          <w:lang w:val="es-ES"/>
        </w:rPr>
        <w:t xml:space="preserve"> </w:t>
      </w:r>
      <w:proofErr w:type="spellStart"/>
      <w:r w:rsidRPr="004E1519">
        <w:rPr>
          <w:i/>
          <w:lang w:val="es-ES"/>
        </w:rPr>
        <w:t>bredanensis</w:t>
      </w:r>
      <w:proofErr w:type="spellEnd"/>
      <w:r w:rsidRPr="004E1519">
        <w:rPr>
          <w:lang w:val="es-ES"/>
        </w:rPr>
        <w:t xml:space="preserve"> y orca (</w:t>
      </w:r>
      <w:proofErr w:type="spellStart"/>
      <w:r w:rsidRPr="004E1519">
        <w:rPr>
          <w:i/>
          <w:lang w:val="es-ES"/>
        </w:rPr>
        <w:t>Orcinus</w:t>
      </w:r>
      <w:proofErr w:type="spellEnd"/>
      <w:r w:rsidRPr="004E1519">
        <w:rPr>
          <w:i/>
          <w:lang w:val="es-ES"/>
        </w:rPr>
        <w:t xml:space="preserve"> orca</w:t>
      </w:r>
      <w:r w:rsidRPr="004E1519">
        <w:rPr>
          <w:lang w:val="es-ES"/>
        </w:rPr>
        <w:t>) (</w:t>
      </w:r>
      <w:proofErr w:type="spellStart"/>
      <w:r w:rsidRPr="004E1519">
        <w:rPr>
          <w:lang w:val="es-ES"/>
        </w:rPr>
        <w:t>Notarbartolo</w:t>
      </w:r>
      <w:proofErr w:type="spellEnd"/>
      <w:r w:rsidRPr="004E1519">
        <w:rPr>
          <w:lang w:val="es-ES"/>
        </w:rPr>
        <w:t xml:space="preserve"> di </w:t>
      </w:r>
      <w:proofErr w:type="spellStart"/>
      <w:r w:rsidRPr="004E1519">
        <w:rPr>
          <w:lang w:val="es-ES"/>
        </w:rPr>
        <w:t>Sciara</w:t>
      </w:r>
      <w:proofErr w:type="spellEnd"/>
      <w:r w:rsidRPr="004E1519">
        <w:rPr>
          <w:lang w:val="es-ES"/>
        </w:rPr>
        <w:t xml:space="preserve"> et al., 2017). </w:t>
      </w:r>
    </w:p>
    <w:p w:rsidR="00002A97" w:rsidRDefault="00002A97" w:rsidP="00943D15">
      <w:pPr>
        <w:spacing w:after="0" w:line="240" w:lineRule="auto"/>
        <w:rPr>
          <w:lang w:val="es-ES"/>
        </w:rPr>
      </w:pPr>
    </w:p>
    <w:p w:rsidR="004E1519" w:rsidRDefault="004E1519" w:rsidP="00943D15">
      <w:pPr>
        <w:spacing w:after="0" w:line="240" w:lineRule="auto"/>
        <w:rPr>
          <w:lang w:val="es-ES"/>
        </w:rPr>
        <w:sectPr w:rsidR="004E1519" w:rsidSect="00B104EC">
          <w:headerReference w:type="first" r:id="rId15"/>
          <w:footerReference w:type="first" r:id="rId16"/>
          <w:pgSz w:w="11906" w:h="16838" w:code="9"/>
          <w:pgMar w:top="1134" w:right="1134" w:bottom="1134" w:left="1134" w:header="720" w:footer="720" w:gutter="0"/>
          <w:cols w:space="720"/>
          <w:titlePg/>
          <w:docGrid w:linePitch="360"/>
        </w:sectPr>
      </w:pPr>
    </w:p>
    <w:p w:rsidR="004E1519" w:rsidRDefault="004E1519" w:rsidP="004E1519">
      <w:pPr>
        <w:spacing w:after="0" w:line="240" w:lineRule="auto"/>
        <w:jc w:val="both"/>
        <w:rPr>
          <w:i/>
          <w:iCs/>
          <w:lang w:val="es-ES"/>
        </w:rPr>
      </w:pPr>
      <w:r w:rsidRPr="008F5322">
        <w:rPr>
          <w:b/>
          <w:i/>
          <w:iCs/>
          <w:lang w:val="es-ES"/>
        </w:rPr>
        <w:lastRenderedPageBreak/>
        <w:t>Tabla 1: especies halladas con frecuencia en el mar Rojo y sus listados de la CMS y la UICN</w:t>
      </w:r>
      <w:r w:rsidRPr="008F5322">
        <w:rPr>
          <w:i/>
          <w:iCs/>
          <w:lang w:val="es-ES"/>
        </w:rPr>
        <w:t xml:space="preserve"> (los listados de la CMS y la UICN hacen referencia a la población mundial, no concretamente al mar Rojo)</w:t>
      </w:r>
      <w:r>
        <w:rPr>
          <w:i/>
          <w:iCs/>
          <w:lang w:val="es-ES"/>
        </w:rPr>
        <w:t>.</w:t>
      </w:r>
    </w:p>
    <w:p w:rsidR="004E1519" w:rsidRDefault="004E1519" w:rsidP="004E1519">
      <w:pPr>
        <w:spacing w:after="0" w:line="240" w:lineRule="auto"/>
        <w:jc w:val="both"/>
        <w:rPr>
          <w:i/>
          <w:iCs/>
          <w:lang w:val="es-ES"/>
        </w:rPr>
      </w:pPr>
    </w:p>
    <w:tbl>
      <w:tblPr>
        <w:tblStyle w:val="TableGrid"/>
        <w:tblW w:w="5000" w:type="pct"/>
        <w:tblLook w:val="04A0" w:firstRow="1" w:lastRow="0" w:firstColumn="1" w:lastColumn="0" w:noHBand="0" w:noVBand="1"/>
      </w:tblPr>
      <w:tblGrid>
        <w:gridCol w:w="1664"/>
        <w:gridCol w:w="1616"/>
        <w:gridCol w:w="2231"/>
        <w:gridCol w:w="1409"/>
        <w:gridCol w:w="1409"/>
        <w:gridCol w:w="2737"/>
        <w:gridCol w:w="1805"/>
        <w:gridCol w:w="1689"/>
      </w:tblGrid>
      <w:tr w:rsidR="004E1519" w:rsidRPr="004E1519" w:rsidTr="004E1519">
        <w:trPr>
          <w:tblHeader/>
        </w:trPr>
        <w:tc>
          <w:tcPr>
            <w:tcW w:w="571"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Nombre científico</w:t>
            </w:r>
          </w:p>
        </w:tc>
        <w:tc>
          <w:tcPr>
            <w:tcW w:w="555"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Nombre común</w:t>
            </w:r>
          </w:p>
        </w:tc>
        <w:tc>
          <w:tcPr>
            <w:tcW w:w="766" w:type="pct"/>
          </w:tcPr>
          <w:p w:rsidR="004E1519" w:rsidRPr="004E1519" w:rsidRDefault="004E1519" w:rsidP="00017772">
            <w:pPr>
              <w:rPr>
                <w:rFonts w:ascii="Arial" w:hAnsi="Arial" w:cs="Arial"/>
                <w:b/>
                <w:sz w:val="22"/>
                <w:szCs w:val="22"/>
                <w:lang w:val="it-IT"/>
              </w:rPr>
            </w:pPr>
            <w:r w:rsidRPr="004E1519">
              <w:rPr>
                <w:rFonts w:ascii="Arial" w:hAnsi="Arial" w:cs="Arial"/>
                <w:b/>
                <w:sz w:val="22"/>
                <w:szCs w:val="22"/>
                <w:lang w:val="it-IT"/>
              </w:rPr>
              <w:t>Presencia en el mar Rojo</w:t>
            </w:r>
            <w:r w:rsidRPr="004E1519">
              <w:rPr>
                <w:rFonts w:ascii="Arial" w:hAnsi="Arial" w:cs="Arial"/>
                <w:sz w:val="22"/>
                <w:szCs w:val="22"/>
                <w:lang w:val="it-IT"/>
              </w:rPr>
              <w:br/>
            </w:r>
            <w:r w:rsidRPr="004E1519">
              <w:rPr>
                <w:rFonts w:ascii="Arial" w:hAnsi="Arial" w:cs="Arial"/>
                <w:bCs/>
                <w:sz w:val="22"/>
                <w:szCs w:val="22"/>
                <w:lang w:val="it-IT"/>
              </w:rPr>
              <w:t>(Notarbartolo di Sciara et al., 2007 y Notarbartolo di Sciara et al., 2017)</w:t>
            </w:r>
          </w:p>
        </w:tc>
        <w:tc>
          <w:tcPr>
            <w:tcW w:w="484"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 xml:space="preserve">CMS </w:t>
            </w:r>
          </w:p>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Apéndice I</w:t>
            </w:r>
          </w:p>
        </w:tc>
        <w:tc>
          <w:tcPr>
            <w:tcW w:w="484"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 xml:space="preserve">CMS </w:t>
            </w:r>
          </w:p>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Apéndice II</w:t>
            </w:r>
          </w:p>
        </w:tc>
        <w:tc>
          <w:tcPr>
            <w:tcW w:w="940"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Instrumentos de la CMS</w:t>
            </w:r>
          </w:p>
          <w:p w:rsidR="004E1519" w:rsidRPr="004E1519" w:rsidRDefault="004E1519" w:rsidP="00017772">
            <w:pPr>
              <w:rPr>
                <w:rFonts w:ascii="Arial" w:hAnsi="Arial" w:cs="Arial"/>
                <w:b/>
                <w:sz w:val="22"/>
                <w:szCs w:val="22"/>
                <w:lang w:val="en-GB"/>
              </w:rPr>
            </w:pPr>
          </w:p>
        </w:tc>
        <w:tc>
          <w:tcPr>
            <w:tcW w:w="620"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 xml:space="preserve">Lista Roja de UICN </w:t>
            </w:r>
          </w:p>
        </w:tc>
        <w:tc>
          <w:tcPr>
            <w:tcW w:w="580" w:type="pct"/>
          </w:tcPr>
          <w:p w:rsidR="004E1519" w:rsidRPr="004E1519" w:rsidRDefault="004E1519" w:rsidP="00017772">
            <w:pPr>
              <w:rPr>
                <w:rFonts w:ascii="Arial" w:hAnsi="Arial" w:cs="Arial"/>
                <w:b/>
                <w:sz w:val="22"/>
                <w:szCs w:val="22"/>
                <w:lang w:val="en-GB"/>
              </w:rPr>
            </w:pPr>
            <w:r w:rsidRPr="004E1519">
              <w:rPr>
                <w:rFonts w:ascii="Arial" w:hAnsi="Arial" w:cs="Arial"/>
                <w:b/>
                <w:sz w:val="22"/>
                <w:szCs w:val="22"/>
                <w:lang w:val="es-ES"/>
              </w:rPr>
              <w:t xml:space="preserve">Tendencia de población (UICN) </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Balaenoptera</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edeni</w:t>
            </w:r>
            <w:proofErr w:type="spellEnd"/>
          </w:p>
        </w:tc>
        <w:tc>
          <w:tcPr>
            <w:tcW w:w="555" w:type="pct"/>
          </w:tcPr>
          <w:p w:rsidR="004E1519" w:rsidRPr="004E1519" w:rsidRDefault="004E1519" w:rsidP="00017772">
            <w:pPr>
              <w:rPr>
                <w:rFonts w:ascii="Arial" w:hAnsi="Arial" w:cs="Arial"/>
                <w:sz w:val="22"/>
                <w:szCs w:val="22"/>
                <w:lang w:val="en-GB"/>
              </w:rPr>
            </w:pPr>
            <w:r w:rsidRPr="004E1519">
              <w:rPr>
                <w:rFonts w:ascii="Arial" w:hAnsi="Arial" w:cs="Arial"/>
                <w:iCs/>
                <w:sz w:val="22"/>
                <w:szCs w:val="22"/>
                <w:lang w:val="es-ES"/>
              </w:rPr>
              <w:t xml:space="preserve">Ballena de </w:t>
            </w:r>
            <w:proofErr w:type="spellStart"/>
            <w:r w:rsidRPr="004E1519">
              <w:rPr>
                <w:rFonts w:ascii="Arial" w:hAnsi="Arial" w:cs="Arial"/>
                <w:iCs/>
                <w:sz w:val="22"/>
                <w:szCs w:val="22"/>
                <w:lang w:val="es-ES"/>
              </w:rPr>
              <w:t>bryde</w:t>
            </w:r>
            <w:proofErr w:type="spellEnd"/>
          </w:p>
        </w:tc>
        <w:tc>
          <w:tcPr>
            <w:tcW w:w="766"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Habitual, infrecuente.</w:t>
            </w:r>
          </w:p>
        </w:tc>
        <w:tc>
          <w:tcPr>
            <w:tcW w:w="484" w:type="pct"/>
          </w:tcPr>
          <w:p w:rsidR="004E1519" w:rsidRPr="004E1519" w:rsidRDefault="004E1519" w:rsidP="00017772">
            <w:pPr>
              <w:rPr>
                <w:rFonts w:ascii="Arial" w:hAnsi="Arial" w:cs="Arial"/>
                <w:sz w:val="22"/>
                <w:szCs w:val="22"/>
                <w:lang w:val="en-GB"/>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2002</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CMS, Cetáceos de Islas del Pacífico</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Menor preocupación</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i/>
                <w:iCs/>
                <w:sz w:val="22"/>
                <w:szCs w:val="22"/>
                <w:lang w:val="en-GB"/>
              </w:rPr>
            </w:pPr>
            <w:proofErr w:type="spellStart"/>
            <w:r w:rsidRPr="004E1519">
              <w:rPr>
                <w:rFonts w:ascii="Arial" w:hAnsi="Arial" w:cs="Arial"/>
                <w:i/>
                <w:iCs/>
                <w:sz w:val="22"/>
                <w:szCs w:val="22"/>
                <w:lang w:val="es-ES"/>
              </w:rPr>
              <w:t>Delphinus</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delphis</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tropicalis</w:t>
            </w:r>
            <w:proofErr w:type="spellEnd"/>
          </w:p>
        </w:tc>
        <w:tc>
          <w:tcPr>
            <w:tcW w:w="555" w:type="pct"/>
            <w:shd w:val="clear" w:color="auto" w:fill="auto"/>
          </w:tcPr>
          <w:p w:rsidR="004E1519" w:rsidRPr="004E1519" w:rsidRDefault="004E1519" w:rsidP="00017772">
            <w:pPr>
              <w:rPr>
                <w:rFonts w:ascii="Arial" w:hAnsi="Arial" w:cs="Arial"/>
                <w:sz w:val="22"/>
                <w:szCs w:val="22"/>
                <w:lang w:val="en-GB"/>
              </w:rPr>
            </w:pPr>
            <w:r w:rsidRPr="004E1519">
              <w:rPr>
                <w:rFonts w:ascii="Arial" w:hAnsi="Arial" w:cs="Arial"/>
                <w:iCs/>
                <w:sz w:val="22"/>
                <w:szCs w:val="22"/>
                <w:lang w:val="es-ES"/>
              </w:rPr>
              <w:t xml:space="preserve">Delfín común del </w:t>
            </w:r>
            <w:proofErr w:type="spellStart"/>
            <w:r w:rsidRPr="004E1519">
              <w:rPr>
                <w:rFonts w:ascii="Arial" w:hAnsi="Arial" w:cs="Arial"/>
                <w:iCs/>
                <w:sz w:val="22"/>
                <w:szCs w:val="22"/>
                <w:lang w:val="es-ES"/>
              </w:rPr>
              <w:t>Indopacífico</w:t>
            </w:r>
            <w:proofErr w:type="spellEnd"/>
            <w:r w:rsidRPr="004E1519" w:rsidDel="008E7347">
              <w:rPr>
                <w:rFonts w:ascii="Arial" w:hAnsi="Arial" w:cs="Arial"/>
                <w:sz w:val="22"/>
                <w:szCs w:val="22"/>
                <w:lang w:val="es-ES"/>
              </w:rPr>
              <w:t xml:space="preserve"> </w:t>
            </w:r>
          </w:p>
        </w:tc>
        <w:tc>
          <w:tcPr>
            <w:tcW w:w="766"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Habitual en aguas meridionales.</w:t>
            </w: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2005 (</w:t>
            </w:r>
            <w:proofErr w:type="spellStart"/>
            <w:r w:rsidRPr="004E1519">
              <w:rPr>
                <w:rFonts w:ascii="Arial" w:hAnsi="Arial" w:cs="Arial"/>
                <w:i/>
                <w:sz w:val="22"/>
                <w:szCs w:val="22"/>
                <w:lang w:val="es-ES"/>
              </w:rPr>
              <w:t>Delphinus</w:t>
            </w:r>
            <w:proofErr w:type="spellEnd"/>
            <w:r w:rsidRPr="004E1519">
              <w:rPr>
                <w:rFonts w:ascii="Arial" w:hAnsi="Arial" w:cs="Arial"/>
                <w:i/>
                <w:sz w:val="22"/>
                <w:szCs w:val="22"/>
                <w:lang w:val="es-ES"/>
              </w:rPr>
              <w:t xml:space="preserve"> </w:t>
            </w:r>
            <w:proofErr w:type="spellStart"/>
            <w:r w:rsidRPr="004E1519">
              <w:rPr>
                <w:rFonts w:ascii="Arial" w:hAnsi="Arial" w:cs="Arial"/>
                <w:i/>
                <w:sz w:val="22"/>
                <w:szCs w:val="22"/>
                <w:lang w:val="es-ES"/>
              </w:rPr>
              <w:t>delphis</w:t>
            </w:r>
            <w:proofErr w:type="spellEnd"/>
            <w:r w:rsidRPr="004E1519">
              <w:rPr>
                <w:rFonts w:ascii="Arial" w:hAnsi="Arial" w:cs="Arial"/>
                <w:sz w:val="22"/>
                <w:szCs w:val="22"/>
                <w:lang w:val="es-ES"/>
              </w:rPr>
              <w:t>)</w:t>
            </w: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1988 (</w:t>
            </w:r>
            <w:proofErr w:type="spellStart"/>
            <w:r w:rsidRPr="004E1519">
              <w:rPr>
                <w:rFonts w:ascii="Arial" w:hAnsi="Arial" w:cs="Arial"/>
                <w:i/>
                <w:sz w:val="22"/>
                <w:szCs w:val="22"/>
                <w:lang w:val="es-ES"/>
              </w:rPr>
              <w:t>Delphinus</w:t>
            </w:r>
            <w:proofErr w:type="spellEnd"/>
            <w:r w:rsidRPr="004E1519">
              <w:rPr>
                <w:rFonts w:ascii="Arial" w:hAnsi="Arial" w:cs="Arial"/>
                <w:i/>
                <w:sz w:val="22"/>
                <w:szCs w:val="22"/>
                <w:lang w:val="es-ES"/>
              </w:rPr>
              <w:t xml:space="preserve"> </w:t>
            </w:r>
            <w:proofErr w:type="spellStart"/>
            <w:r w:rsidRPr="004E1519">
              <w:rPr>
                <w:rFonts w:ascii="Arial" w:hAnsi="Arial" w:cs="Arial"/>
                <w:i/>
                <w:sz w:val="22"/>
                <w:szCs w:val="22"/>
                <w:lang w:val="es-ES"/>
              </w:rPr>
              <w:t>delphis</w:t>
            </w:r>
            <w:proofErr w:type="spellEnd"/>
            <w:r w:rsidRPr="004E1519">
              <w:rPr>
                <w:rFonts w:ascii="Arial" w:hAnsi="Arial" w:cs="Arial"/>
                <w:sz w:val="22"/>
                <w:szCs w:val="22"/>
                <w:lang w:val="es-ES"/>
              </w:rPr>
              <w:t>)</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CMS, ASCOBANS, ACCOBAMS, Mamíferos Acuáticos de África Occidental, Cetáceos de Islas del Pacífico (</w:t>
            </w:r>
            <w:proofErr w:type="spellStart"/>
            <w:r w:rsidRPr="004E1519">
              <w:rPr>
                <w:rFonts w:ascii="Arial" w:hAnsi="Arial" w:cs="Arial"/>
                <w:i/>
                <w:sz w:val="22"/>
                <w:szCs w:val="22"/>
                <w:lang w:val="es-ES"/>
              </w:rPr>
              <w:t>Delphinus</w:t>
            </w:r>
            <w:proofErr w:type="spellEnd"/>
            <w:r w:rsidRPr="004E1519">
              <w:rPr>
                <w:rFonts w:ascii="Arial" w:hAnsi="Arial" w:cs="Arial"/>
                <w:i/>
                <w:sz w:val="22"/>
                <w:szCs w:val="22"/>
                <w:lang w:val="es-ES"/>
              </w:rPr>
              <w:t xml:space="preserve"> </w:t>
            </w:r>
            <w:proofErr w:type="spellStart"/>
            <w:r w:rsidRPr="004E1519">
              <w:rPr>
                <w:rFonts w:ascii="Arial" w:hAnsi="Arial" w:cs="Arial"/>
                <w:i/>
                <w:sz w:val="22"/>
                <w:szCs w:val="22"/>
                <w:lang w:val="es-ES"/>
              </w:rPr>
              <w:t>delphis</w:t>
            </w:r>
            <w:proofErr w:type="spellEnd"/>
            <w:r w:rsidRPr="004E1519">
              <w:rPr>
                <w:rFonts w:ascii="Arial" w:hAnsi="Arial" w:cs="Arial"/>
                <w:sz w:val="22"/>
                <w:szCs w:val="22"/>
                <w:lang w:val="es-ES"/>
              </w:rPr>
              <w:t>)</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Menor preocupación (</w:t>
            </w:r>
            <w:proofErr w:type="spellStart"/>
            <w:r w:rsidRPr="004E1519">
              <w:rPr>
                <w:rFonts w:ascii="Arial" w:hAnsi="Arial" w:cs="Arial"/>
                <w:i/>
                <w:sz w:val="22"/>
                <w:szCs w:val="22"/>
                <w:lang w:val="es-ES"/>
              </w:rPr>
              <w:t>Delphinus</w:t>
            </w:r>
            <w:proofErr w:type="spellEnd"/>
            <w:r w:rsidRPr="004E1519">
              <w:rPr>
                <w:rFonts w:ascii="Arial" w:hAnsi="Arial" w:cs="Arial"/>
                <w:i/>
                <w:sz w:val="22"/>
                <w:szCs w:val="22"/>
                <w:lang w:val="es-ES"/>
              </w:rPr>
              <w:t xml:space="preserve"> </w:t>
            </w:r>
            <w:proofErr w:type="spellStart"/>
            <w:r w:rsidRPr="004E1519">
              <w:rPr>
                <w:rFonts w:ascii="Arial" w:hAnsi="Arial" w:cs="Arial"/>
                <w:i/>
                <w:sz w:val="22"/>
                <w:szCs w:val="22"/>
                <w:lang w:val="es-ES"/>
              </w:rPr>
              <w:t>delphis</w:t>
            </w:r>
            <w:proofErr w:type="spellEnd"/>
            <w:r w:rsidRPr="004E1519">
              <w:rPr>
                <w:rFonts w:ascii="Arial" w:hAnsi="Arial" w:cs="Arial"/>
                <w:sz w:val="22"/>
                <w:szCs w:val="22"/>
                <w:lang w:val="es-ES"/>
              </w:rPr>
              <w:t>)</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 (</w:t>
            </w:r>
            <w:proofErr w:type="spellStart"/>
            <w:r w:rsidRPr="004E1519">
              <w:rPr>
                <w:rFonts w:ascii="Arial" w:hAnsi="Arial" w:cs="Arial"/>
                <w:sz w:val="22"/>
                <w:szCs w:val="22"/>
                <w:lang w:val="es-ES"/>
              </w:rPr>
              <w:t>Delphinus</w:t>
            </w:r>
            <w:proofErr w:type="spellEnd"/>
            <w:r w:rsidRPr="004E1519">
              <w:rPr>
                <w:rFonts w:ascii="Arial" w:hAnsi="Arial" w:cs="Arial"/>
                <w:sz w:val="22"/>
                <w:szCs w:val="22"/>
                <w:lang w:val="es-ES"/>
              </w:rPr>
              <w:t xml:space="preserve"> </w:t>
            </w:r>
            <w:proofErr w:type="spellStart"/>
            <w:r w:rsidRPr="004E1519">
              <w:rPr>
                <w:rFonts w:ascii="Arial" w:hAnsi="Arial" w:cs="Arial"/>
                <w:sz w:val="22"/>
                <w:szCs w:val="22"/>
                <w:lang w:val="es-ES"/>
              </w:rPr>
              <w:t>delphis</w:t>
            </w:r>
            <w:proofErr w:type="spellEnd"/>
            <w:r w:rsidRPr="004E1519">
              <w:rPr>
                <w:rFonts w:ascii="Arial" w:hAnsi="Arial" w:cs="Arial"/>
                <w:sz w:val="22"/>
                <w:szCs w:val="22"/>
                <w:lang w:val="es-ES"/>
              </w:rPr>
              <w:t>)</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Grampus</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griseus</w:t>
            </w:r>
            <w:proofErr w:type="spellEnd"/>
            <w:r w:rsidRPr="004E1519">
              <w:rPr>
                <w:rFonts w:ascii="Arial" w:hAnsi="Arial" w:cs="Arial"/>
                <w:iCs/>
                <w:sz w:val="22"/>
                <w:szCs w:val="22"/>
                <w:lang w:val="es-ES"/>
              </w:rPr>
              <w:t xml:space="preserve"> </w:t>
            </w:r>
          </w:p>
        </w:tc>
        <w:tc>
          <w:tcPr>
            <w:tcW w:w="555"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Delfín de Risso</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Habitual, infrecuente. Aguas profundas, en toda la región. </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1988</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CMS, ACCOBAMS, ASCOBANS, Mamíferos Acuáticos de África Occidental, Cetáceos de Islas del Pacífico</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Menor preocupación</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iCs/>
                <w:sz w:val="22"/>
                <w:szCs w:val="22"/>
                <w:lang w:val="en-GB"/>
              </w:rPr>
            </w:pPr>
            <w:proofErr w:type="spellStart"/>
            <w:r w:rsidRPr="004E1519">
              <w:rPr>
                <w:rFonts w:ascii="Arial" w:hAnsi="Arial" w:cs="Arial"/>
                <w:i/>
                <w:iCs/>
                <w:sz w:val="22"/>
                <w:szCs w:val="22"/>
                <w:lang w:val="es-ES"/>
              </w:rPr>
              <w:t>Pseudorca</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crassidens</w:t>
            </w:r>
            <w:proofErr w:type="spellEnd"/>
          </w:p>
        </w:tc>
        <w:tc>
          <w:tcPr>
            <w:tcW w:w="555"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Orca falsa</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Habitual, infrecuente. Aguas profundas, en toda la región. </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s-ES"/>
              </w:rPr>
            </w:pP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ACCOBAMS, ASCOBANS, Cetáceos de Islas del Pacífico, Mamíferos Acuáticos de África Occidental</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Casi amenazada</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sz w:val="22"/>
                <w:szCs w:val="22"/>
                <w:lang w:val="en-GB"/>
              </w:rPr>
            </w:pPr>
            <w:r w:rsidRPr="004E1519">
              <w:rPr>
                <w:rFonts w:ascii="Arial" w:hAnsi="Arial" w:cs="Arial"/>
                <w:i/>
                <w:iCs/>
                <w:sz w:val="22"/>
                <w:szCs w:val="22"/>
                <w:lang w:val="es-ES"/>
              </w:rPr>
              <w:t xml:space="preserve">Sousa </w:t>
            </w:r>
            <w:proofErr w:type="spellStart"/>
            <w:r w:rsidRPr="004E1519">
              <w:rPr>
                <w:rFonts w:ascii="Arial" w:hAnsi="Arial" w:cs="Arial"/>
                <w:i/>
                <w:iCs/>
                <w:sz w:val="22"/>
                <w:szCs w:val="22"/>
                <w:lang w:val="es-ES"/>
              </w:rPr>
              <w:t>plumbea</w:t>
            </w:r>
            <w:proofErr w:type="spellEnd"/>
          </w:p>
        </w:tc>
        <w:tc>
          <w:tcPr>
            <w:tcW w:w="555"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Delfín jorobado del océano Índico</w:t>
            </w:r>
          </w:p>
        </w:tc>
        <w:tc>
          <w:tcPr>
            <w:tcW w:w="766"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Habitual en aguas costeras.</w:t>
            </w:r>
          </w:p>
        </w:tc>
        <w:tc>
          <w:tcPr>
            <w:tcW w:w="484" w:type="pct"/>
          </w:tcPr>
          <w:p w:rsidR="004E1519" w:rsidRPr="004E1519" w:rsidRDefault="004E1519" w:rsidP="00017772">
            <w:pPr>
              <w:rPr>
                <w:rFonts w:ascii="Arial" w:hAnsi="Arial" w:cs="Arial"/>
                <w:sz w:val="22"/>
                <w:szCs w:val="22"/>
                <w:lang w:val="en-GB"/>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 xml:space="preserve">1991 (Sousa </w:t>
            </w:r>
            <w:proofErr w:type="spellStart"/>
            <w:r w:rsidRPr="004E1519">
              <w:rPr>
                <w:rFonts w:ascii="Arial" w:hAnsi="Arial" w:cs="Arial"/>
                <w:sz w:val="22"/>
                <w:szCs w:val="22"/>
                <w:lang w:val="es-ES"/>
              </w:rPr>
              <w:t>chinensis</w:t>
            </w:r>
            <w:proofErr w:type="spellEnd"/>
            <w:r w:rsidRPr="004E1519">
              <w:rPr>
                <w:rFonts w:ascii="Arial" w:hAnsi="Arial" w:cs="Arial"/>
                <w:sz w:val="22"/>
                <w:szCs w:val="22"/>
                <w:lang w:val="es-ES"/>
              </w:rPr>
              <w:t>)</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CMS, Cetáceos de Islas del Pacífico (Sousa </w:t>
            </w:r>
            <w:proofErr w:type="spellStart"/>
            <w:r w:rsidRPr="004E1519">
              <w:rPr>
                <w:rFonts w:ascii="Arial" w:hAnsi="Arial" w:cs="Arial"/>
                <w:sz w:val="22"/>
                <w:szCs w:val="22"/>
                <w:lang w:val="es-ES"/>
              </w:rPr>
              <w:t>chinensis</w:t>
            </w:r>
            <w:proofErr w:type="spellEnd"/>
            <w:r w:rsidRPr="004E1519">
              <w:rPr>
                <w:rFonts w:ascii="Arial" w:hAnsi="Arial" w:cs="Arial"/>
                <w:sz w:val="22"/>
                <w:szCs w:val="22"/>
                <w:lang w:val="es-ES"/>
              </w:rPr>
              <w:t>)</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En peligro de extinción</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En disminución</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Stenella</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attenuata</w:t>
            </w:r>
            <w:proofErr w:type="spellEnd"/>
            <w:r w:rsidRPr="004E1519">
              <w:rPr>
                <w:rFonts w:ascii="Arial" w:hAnsi="Arial" w:cs="Arial"/>
                <w:iCs/>
                <w:sz w:val="22"/>
                <w:szCs w:val="22"/>
                <w:lang w:val="es-ES"/>
              </w:rPr>
              <w:t xml:space="preserve"> </w:t>
            </w:r>
          </w:p>
        </w:tc>
        <w:tc>
          <w:tcPr>
            <w:tcW w:w="555"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sz w:val="22"/>
                <w:szCs w:val="22"/>
                <w:lang w:val="es-ES"/>
              </w:rPr>
              <w:t>Estenela</w:t>
            </w:r>
            <w:proofErr w:type="spellEnd"/>
            <w:r w:rsidRPr="004E1519">
              <w:rPr>
                <w:rFonts w:ascii="Arial" w:hAnsi="Arial" w:cs="Arial"/>
                <w:sz w:val="22"/>
                <w:szCs w:val="22"/>
                <w:lang w:val="es-ES"/>
              </w:rPr>
              <w:t xml:space="preserve"> moteada</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Habitual. Aguas profundas, en toda la región.</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1999</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CMS, Mamíferos Acuáticos de África Occidental, Cetáceos de Islas del Pacífico</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Menor preocupación</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Stenella</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longirostris</w:t>
            </w:r>
            <w:proofErr w:type="spellEnd"/>
            <w:r w:rsidRPr="004E1519">
              <w:rPr>
                <w:rFonts w:ascii="Arial" w:hAnsi="Arial" w:cs="Arial"/>
                <w:iCs/>
                <w:sz w:val="22"/>
                <w:szCs w:val="22"/>
                <w:lang w:val="es-ES"/>
              </w:rPr>
              <w:t xml:space="preserve"> </w:t>
            </w:r>
          </w:p>
        </w:tc>
        <w:tc>
          <w:tcPr>
            <w:tcW w:w="555"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Delfín girador</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Habitual. Aguas profundas y </w:t>
            </w:r>
            <w:r w:rsidRPr="004E1519">
              <w:rPr>
                <w:rFonts w:ascii="Arial" w:hAnsi="Arial" w:cs="Arial"/>
                <w:sz w:val="22"/>
                <w:szCs w:val="22"/>
                <w:lang w:val="es-ES"/>
              </w:rPr>
              <w:lastRenderedPageBreak/>
              <w:t xml:space="preserve">arrecifes en toda la región.  </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1999</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CMS, Mamíferos Acuáticos de África </w:t>
            </w:r>
            <w:r w:rsidRPr="004E1519">
              <w:rPr>
                <w:rFonts w:ascii="Arial" w:hAnsi="Arial" w:cs="Arial"/>
                <w:sz w:val="22"/>
                <w:szCs w:val="22"/>
                <w:lang w:val="es-ES"/>
              </w:rPr>
              <w:lastRenderedPageBreak/>
              <w:t>Occidental, Cetáceos de Islas del Pacífico</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lastRenderedPageBreak/>
              <w:t>Datos insuficientes</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Tursiops</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aduncus</w:t>
            </w:r>
            <w:proofErr w:type="spellEnd"/>
            <w:r w:rsidRPr="004E1519">
              <w:rPr>
                <w:rFonts w:ascii="Arial" w:hAnsi="Arial" w:cs="Arial"/>
                <w:iCs/>
                <w:sz w:val="22"/>
                <w:szCs w:val="22"/>
                <w:lang w:val="es-ES"/>
              </w:rPr>
              <w:t xml:space="preserve"> </w:t>
            </w:r>
          </w:p>
        </w:tc>
        <w:tc>
          <w:tcPr>
            <w:tcW w:w="555"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Delfín mular del Océano Índico</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Habitual en aguas costeras. Principalmente en el norte. </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1979</w:t>
            </w:r>
          </w:p>
        </w:tc>
        <w:tc>
          <w:tcPr>
            <w:tcW w:w="94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CMS</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Datos insuficientes</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r w:rsidR="004E1519" w:rsidRPr="004E1519" w:rsidTr="004E1519">
        <w:tc>
          <w:tcPr>
            <w:tcW w:w="571" w:type="pct"/>
          </w:tcPr>
          <w:p w:rsidR="004E1519" w:rsidRPr="004E1519" w:rsidRDefault="004E1519" w:rsidP="00017772">
            <w:pPr>
              <w:rPr>
                <w:rFonts w:ascii="Arial" w:hAnsi="Arial" w:cs="Arial"/>
                <w:sz w:val="22"/>
                <w:szCs w:val="22"/>
                <w:lang w:val="en-GB"/>
              </w:rPr>
            </w:pPr>
            <w:proofErr w:type="spellStart"/>
            <w:r w:rsidRPr="004E1519">
              <w:rPr>
                <w:rFonts w:ascii="Arial" w:hAnsi="Arial" w:cs="Arial"/>
                <w:i/>
                <w:iCs/>
                <w:sz w:val="22"/>
                <w:szCs w:val="22"/>
                <w:lang w:val="es-ES"/>
              </w:rPr>
              <w:t>Tursiops</w:t>
            </w:r>
            <w:proofErr w:type="spellEnd"/>
            <w:r w:rsidRPr="004E1519">
              <w:rPr>
                <w:rFonts w:ascii="Arial" w:hAnsi="Arial" w:cs="Arial"/>
                <w:i/>
                <w:iCs/>
                <w:sz w:val="22"/>
                <w:szCs w:val="22"/>
                <w:lang w:val="es-ES"/>
              </w:rPr>
              <w:t xml:space="preserve"> </w:t>
            </w:r>
            <w:proofErr w:type="spellStart"/>
            <w:r w:rsidRPr="004E1519">
              <w:rPr>
                <w:rFonts w:ascii="Arial" w:hAnsi="Arial" w:cs="Arial"/>
                <w:i/>
                <w:iCs/>
                <w:sz w:val="22"/>
                <w:szCs w:val="22"/>
                <w:lang w:val="es-ES"/>
              </w:rPr>
              <w:t>truncatus</w:t>
            </w:r>
            <w:proofErr w:type="spellEnd"/>
            <w:r w:rsidRPr="004E1519">
              <w:rPr>
                <w:rFonts w:ascii="Arial" w:hAnsi="Arial" w:cs="Arial"/>
                <w:iCs/>
                <w:sz w:val="22"/>
                <w:szCs w:val="22"/>
                <w:lang w:val="es-ES"/>
              </w:rPr>
              <w:t xml:space="preserve"> </w:t>
            </w:r>
          </w:p>
        </w:tc>
        <w:tc>
          <w:tcPr>
            <w:tcW w:w="555"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Delfín común</w:t>
            </w:r>
          </w:p>
        </w:tc>
        <w:tc>
          <w:tcPr>
            <w:tcW w:w="766"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 xml:space="preserve">Habitual. Aguas costeras en toda la región. </w:t>
            </w:r>
          </w:p>
        </w:tc>
        <w:tc>
          <w:tcPr>
            <w:tcW w:w="484" w:type="pct"/>
          </w:tcPr>
          <w:p w:rsidR="004E1519" w:rsidRPr="004E1519" w:rsidRDefault="004E1519" w:rsidP="00017772">
            <w:pPr>
              <w:rPr>
                <w:rFonts w:ascii="Arial" w:hAnsi="Arial" w:cs="Arial"/>
                <w:sz w:val="22"/>
                <w:szCs w:val="22"/>
                <w:lang w:val="es-ES"/>
              </w:rPr>
            </w:pPr>
          </w:p>
        </w:tc>
        <w:tc>
          <w:tcPr>
            <w:tcW w:w="484"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1991</w:t>
            </w:r>
          </w:p>
        </w:tc>
        <w:tc>
          <w:tcPr>
            <w:tcW w:w="940" w:type="pct"/>
          </w:tcPr>
          <w:p w:rsidR="004E1519" w:rsidRPr="004E1519" w:rsidRDefault="004E1519" w:rsidP="00017772">
            <w:pPr>
              <w:rPr>
                <w:rFonts w:ascii="Arial" w:hAnsi="Arial" w:cs="Arial"/>
                <w:sz w:val="22"/>
                <w:szCs w:val="22"/>
                <w:lang w:val="es-ES"/>
              </w:rPr>
            </w:pPr>
            <w:r w:rsidRPr="004E1519">
              <w:rPr>
                <w:rFonts w:ascii="Arial" w:hAnsi="Arial" w:cs="Arial"/>
                <w:sz w:val="22"/>
                <w:szCs w:val="22"/>
                <w:lang w:val="es-ES"/>
              </w:rPr>
              <w:t>ASCOBANS, Mamíferos Acuáticos de África Occidental, CMS, ACCOBAMS</w:t>
            </w:r>
          </w:p>
        </w:tc>
        <w:tc>
          <w:tcPr>
            <w:tcW w:w="62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Menor preocupación</w:t>
            </w:r>
          </w:p>
        </w:tc>
        <w:tc>
          <w:tcPr>
            <w:tcW w:w="580" w:type="pct"/>
          </w:tcPr>
          <w:p w:rsidR="004E1519" w:rsidRPr="004E1519" w:rsidRDefault="004E1519" w:rsidP="00017772">
            <w:pPr>
              <w:rPr>
                <w:rFonts w:ascii="Arial" w:hAnsi="Arial" w:cs="Arial"/>
                <w:sz w:val="22"/>
                <w:szCs w:val="22"/>
                <w:lang w:val="en-GB"/>
              </w:rPr>
            </w:pPr>
            <w:r w:rsidRPr="004E1519">
              <w:rPr>
                <w:rFonts w:ascii="Arial" w:hAnsi="Arial" w:cs="Arial"/>
                <w:sz w:val="22"/>
                <w:szCs w:val="22"/>
                <w:lang w:val="es-ES"/>
              </w:rPr>
              <w:t>Desconocida</w:t>
            </w:r>
          </w:p>
        </w:tc>
      </w:tr>
    </w:tbl>
    <w:p w:rsidR="004E1519" w:rsidRDefault="004E1519" w:rsidP="004E1519">
      <w:pPr>
        <w:spacing w:after="0" w:line="240" w:lineRule="auto"/>
        <w:jc w:val="both"/>
        <w:rPr>
          <w:lang w:val="es-ES"/>
        </w:rPr>
        <w:sectPr w:rsidR="004E1519" w:rsidSect="004E1519">
          <w:headerReference w:type="default" r:id="rId17"/>
          <w:headerReference w:type="first" r:id="rId18"/>
          <w:pgSz w:w="16838" w:h="11906" w:orient="landscape" w:code="9"/>
          <w:pgMar w:top="1134" w:right="1134" w:bottom="1134" w:left="1134" w:header="720" w:footer="720" w:gutter="0"/>
          <w:cols w:space="720"/>
          <w:titlePg/>
          <w:docGrid w:linePitch="360"/>
        </w:sectPr>
      </w:pPr>
    </w:p>
    <w:p w:rsidR="004E1519" w:rsidRPr="003F1CE4" w:rsidRDefault="004E1519" w:rsidP="004E1519">
      <w:pPr>
        <w:spacing w:after="0" w:line="240" w:lineRule="auto"/>
        <w:rPr>
          <w:b/>
          <w:lang w:val="es-ES"/>
        </w:rPr>
      </w:pPr>
      <w:r w:rsidRPr="008F5322">
        <w:rPr>
          <w:b/>
          <w:lang w:val="es-ES"/>
        </w:rPr>
        <w:lastRenderedPageBreak/>
        <w:t>Amenazas para los cetáceos del mar Rojo</w:t>
      </w:r>
    </w:p>
    <w:p w:rsidR="004E1519" w:rsidRPr="003F1CE4" w:rsidRDefault="004E1519" w:rsidP="004E1519">
      <w:pPr>
        <w:spacing w:after="0" w:line="240" w:lineRule="auto"/>
        <w:rPr>
          <w:lang w:val="es-ES"/>
        </w:rPr>
      </w:pPr>
    </w:p>
    <w:p w:rsidR="004E1519" w:rsidRDefault="004E1519" w:rsidP="00367FDF">
      <w:pPr>
        <w:pStyle w:val="ListParagraph"/>
        <w:numPr>
          <w:ilvl w:val="0"/>
          <w:numId w:val="10"/>
        </w:numPr>
        <w:spacing w:after="0" w:line="240" w:lineRule="auto"/>
        <w:ind w:left="567" w:hanging="425"/>
        <w:jc w:val="both"/>
        <w:rPr>
          <w:lang w:val="es-ES"/>
        </w:rPr>
      </w:pPr>
      <w:proofErr w:type="spellStart"/>
      <w:r w:rsidRPr="004E1519">
        <w:rPr>
          <w:lang w:val="es-ES"/>
        </w:rPr>
        <w:t>Avila</w:t>
      </w:r>
      <w:proofErr w:type="spellEnd"/>
      <w:r w:rsidRPr="004E1519">
        <w:rPr>
          <w:lang w:val="es-ES"/>
        </w:rPr>
        <w:t xml:space="preserve">, </w:t>
      </w:r>
      <w:proofErr w:type="spellStart"/>
      <w:r w:rsidRPr="004E1519">
        <w:rPr>
          <w:lang w:val="es-ES"/>
        </w:rPr>
        <w:t>Kaschner</w:t>
      </w:r>
      <w:proofErr w:type="spellEnd"/>
      <w:r w:rsidRPr="004E1519">
        <w:rPr>
          <w:lang w:val="es-ES"/>
        </w:rPr>
        <w:t xml:space="preserve"> y </w:t>
      </w:r>
      <w:proofErr w:type="spellStart"/>
      <w:r w:rsidRPr="004E1519">
        <w:rPr>
          <w:lang w:val="es-ES"/>
        </w:rPr>
        <w:t>Dormann</w:t>
      </w:r>
      <w:proofErr w:type="spellEnd"/>
      <w:r w:rsidRPr="004E1519">
        <w:rPr>
          <w:lang w:val="es-ES"/>
        </w:rPr>
        <w:t xml:space="preserve"> (2018) identificaron siete categorías de amenazas que afectan mundialmente a los mamíferos marinos: la captura incidental, la recolección directa, la contaminación, el tráfico, los patógenos, el agotamiento de recursos y la alteración de la física de los océanos. Clasificaron las amenazas en función del número de especies afectadas y hallaron que, a nivel mundial, la captura incidental amenaza a la mayoría de las especies mamíferas marinas (112 especies), seguida de la contaminación (que amenaza a 99 especies), la recolección directa (89 especies) y el tráfico (86 especies) (</w:t>
      </w:r>
      <w:proofErr w:type="spellStart"/>
      <w:r w:rsidRPr="004E1519">
        <w:rPr>
          <w:lang w:val="es-ES"/>
        </w:rPr>
        <w:t>Avila</w:t>
      </w:r>
      <w:proofErr w:type="spellEnd"/>
      <w:r w:rsidRPr="004E1519">
        <w:rPr>
          <w:lang w:val="es-ES"/>
        </w:rPr>
        <w:t xml:space="preserve">, </w:t>
      </w:r>
      <w:proofErr w:type="spellStart"/>
      <w:r w:rsidRPr="004E1519">
        <w:rPr>
          <w:lang w:val="es-ES"/>
        </w:rPr>
        <w:t>Kaschner</w:t>
      </w:r>
      <w:proofErr w:type="spellEnd"/>
      <w:r w:rsidRPr="004E1519">
        <w:rPr>
          <w:lang w:val="es-ES"/>
        </w:rPr>
        <w:t xml:space="preserve"> y </w:t>
      </w:r>
      <w:proofErr w:type="spellStart"/>
      <w:r w:rsidRPr="004E1519">
        <w:rPr>
          <w:lang w:val="es-ES"/>
        </w:rPr>
        <w:t>Dormann</w:t>
      </w:r>
      <w:proofErr w:type="spellEnd"/>
      <w:r w:rsidRPr="004E1519">
        <w:rPr>
          <w:lang w:val="es-ES"/>
        </w:rPr>
        <w:t>, 2018).</w:t>
      </w:r>
    </w:p>
    <w:p w:rsidR="004E1519" w:rsidRPr="004E1519" w:rsidRDefault="004E1519" w:rsidP="00367FDF">
      <w:pPr>
        <w:pStyle w:val="ListParagraph"/>
        <w:spacing w:after="0" w:line="240" w:lineRule="auto"/>
        <w:ind w:left="567" w:hanging="425"/>
        <w:jc w:val="both"/>
        <w:rPr>
          <w:lang w:val="es-ES"/>
        </w:rPr>
      </w:pPr>
    </w:p>
    <w:p w:rsidR="004E1519" w:rsidRPr="004E1519" w:rsidRDefault="004E1519" w:rsidP="00367FDF">
      <w:pPr>
        <w:pStyle w:val="ListParagraph"/>
        <w:numPr>
          <w:ilvl w:val="0"/>
          <w:numId w:val="10"/>
        </w:numPr>
        <w:spacing w:after="0" w:line="240" w:lineRule="auto"/>
        <w:ind w:left="567" w:hanging="425"/>
        <w:jc w:val="both"/>
        <w:rPr>
          <w:lang w:val="es-ES"/>
        </w:rPr>
      </w:pPr>
      <w:r w:rsidRPr="004E1519">
        <w:rPr>
          <w:lang w:val="it-IT"/>
        </w:rPr>
        <w:t>Notarbartolo di Sciara et al. (2017) observó que el cambio climático, la contaminación química y acústica, la alteración de hábitats críticos y las matanzas directas son las principales amenazas para los cetáceos del mar Rojo.</w:t>
      </w:r>
    </w:p>
    <w:p w:rsidR="004E1519" w:rsidRPr="004E1519" w:rsidRDefault="004E1519" w:rsidP="00367FDF">
      <w:pPr>
        <w:pStyle w:val="ListParagraph"/>
        <w:ind w:left="567" w:hanging="425"/>
        <w:rPr>
          <w:lang w:val="es-ES"/>
        </w:rPr>
      </w:pPr>
    </w:p>
    <w:p w:rsidR="004E1519" w:rsidRDefault="004E1519" w:rsidP="00367FDF">
      <w:pPr>
        <w:pStyle w:val="ListParagraph"/>
        <w:numPr>
          <w:ilvl w:val="0"/>
          <w:numId w:val="10"/>
        </w:numPr>
        <w:spacing w:after="0" w:line="240" w:lineRule="auto"/>
        <w:ind w:left="567" w:hanging="425"/>
        <w:jc w:val="both"/>
        <w:rPr>
          <w:lang w:val="es-ES"/>
        </w:rPr>
      </w:pPr>
      <w:r w:rsidRPr="004E1519">
        <w:rPr>
          <w:lang w:val="es-ES"/>
        </w:rPr>
        <w:t xml:space="preserve">La Lista Roja de la UICN detalla las amenazas a las que se enfrenta cada especie de cetáceos y la Tabla 2 muestra las amenazas a las que se enfrentan aquellos hallados en el mar Rojo. No obstante, cabe señalar que estas amenazas son aquellas a las que se enfrentan las especies a nivel mundial y que no se refieren específicamente al mar Rojo. De hecho, </w:t>
      </w:r>
      <w:proofErr w:type="spellStart"/>
      <w:r w:rsidRPr="004E1519">
        <w:rPr>
          <w:lang w:val="es-ES"/>
        </w:rPr>
        <w:t>Notarbartolo</w:t>
      </w:r>
      <w:proofErr w:type="spellEnd"/>
      <w:r w:rsidRPr="004E1519">
        <w:rPr>
          <w:lang w:val="es-ES"/>
        </w:rPr>
        <w:t xml:space="preserve"> di </w:t>
      </w:r>
      <w:proofErr w:type="spellStart"/>
      <w:r w:rsidRPr="004E1519">
        <w:rPr>
          <w:lang w:val="es-ES"/>
        </w:rPr>
        <w:t>Sciara</w:t>
      </w:r>
      <w:proofErr w:type="spellEnd"/>
      <w:r w:rsidRPr="004E1519">
        <w:rPr>
          <w:lang w:val="es-ES"/>
        </w:rPr>
        <w:t xml:space="preserve"> et al. (2017) sugirió que algunas amenazas son, hasta ahora, insignificantes en el mar Rojo, incluida la captura incidental, el agotamiento de las presas provocado por la sobrepesca y las colisiones de embarcaciones. </w:t>
      </w:r>
    </w:p>
    <w:p w:rsidR="004E1519" w:rsidRPr="004E1519" w:rsidRDefault="004E1519" w:rsidP="00367FDF">
      <w:pPr>
        <w:pStyle w:val="ListParagraph"/>
        <w:ind w:left="567" w:hanging="425"/>
        <w:rPr>
          <w:lang w:val="es-ES"/>
        </w:rPr>
      </w:pPr>
    </w:p>
    <w:p w:rsidR="004E1519" w:rsidRDefault="004E1519" w:rsidP="00367FDF">
      <w:pPr>
        <w:pStyle w:val="ListParagraph"/>
        <w:numPr>
          <w:ilvl w:val="0"/>
          <w:numId w:val="10"/>
        </w:numPr>
        <w:spacing w:after="0" w:line="240" w:lineRule="auto"/>
        <w:ind w:left="567" w:hanging="425"/>
        <w:jc w:val="both"/>
        <w:rPr>
          <w:lang w:val="es-ES"/>
        </w:rPr>
      </w:pPr>
      <w:r w:rsidRPr="00367FDF">
        <w:rPr>
          <w:lang w:val="es-ES"/>
        </w:rPr>
        <w:t>Los niveles de contaminación son, por lo general, bajos en el mar Rojo (en comparación con otras zonas marinas), pero existe un riesgo alto de importantes derrames de petróleo debido al número de petroleros que cruzan el mar Rojo cada año (</w:t>
      </w:r>
      <w:proofErr w:type="spellStart"/>
      <w:r w:rsidRPr="00367FDF">
        <w:rPr>
          <w:lang w:val="es-ES"/>
        </w:rPr>
        <w:t>Notarbartolo</w:t>
      </w:r>
      <w:proofErr w:type="spellEnd"/>
      <w:r w:rsidRPr="00367FDF">
        <w:rPr>
          <w:lang w:val="es-ES"/>
        </w:rPr>
        <w:t xml:space="preserve"> di </w:t>
      </w:r>
      <w:proofErr w:type="spellStart"/>
      <w:r w:rsidRPr="00367FDF">
        <w:rPr>
          <w:lang w:val="es-ES"/>
        </w:rPr>
        <w:t>Sciara</w:t>
      </w:r>
      <w:proofErr w:type="spellEnd"/>
      <w:r w:rsidRPr="00367FDF">
        <w:rPr>
          <w:lang w:val="es-ES"/>
        </w:rPr>
        <w:t xml:space="preserve"> et al., 2017). La contaminación química y acústica es una amenaza localizada en el mar Rojo que se produce en áreas en las que se están llevando a cabo construcciones (</w:t>
      </w:r>
      <w:proofErr w:type="spellStart"/>
      <w:r w:rsidRPr="00367FDF">
        <w:rPr>
          <w:lang w:val="es-ES"/>
        </w:rPr>
        <w:t>Notarbartolo</w:t>
      </w:r>
      <w:proofErr w:type="spellEnd"/>
      <w:r w:rsidRPr="00367FDF">
        <w:rPr>
          <w:lang w:val="es-ES"/>
        </w:rPr>
        <w:t xml:space="preserve"> di </w:t>
      </w:r>
      <w:proofErr w:type="spellStart"/>
      <w:r w:rsidRPr="00367FDF">
        <w:rPr>
          <w:lang w:val="es-ES"/>
        </w:rPr>
        <w:t>Sciara</w:t>
      </w:r>
      <w:proofErr w:type="spellEnd"/>
      <w:r w:rsidRPr="00367FDF">
        <w:rPr>
          <w:lang w:val="es-ES"/>
        </w:rPr>
        <w:t xml:space="preserve"> et al., 2017); de hecho, se prevé que la presión sobre el litoral sea más importante en futuros años (p. ej., Arabia Saudita), y debería generar preocupación. El cambio climático es otra amenaza que todavía no se ha detectado entre las poblaciones de cetáceos del mar Rojo (aunque hay pruebas de que la biota del mar Rojo, principalmente los arrecifes de coral, está siendo afectada por el cambio climático). </w:t>
      </w:r>
    </w:p>
    <w:p w:rsidR="00367FDF" w:rsidRPr="00367FDF" w:rsidRDefault="00367FDF" w:rsidP="00367FDF">
      <w:pPr>
        <w:pStyle w:val="ListParagraph"/>
        <w:ind w:left="567" w:hanging="425"/>
        <w:rPr>
          <w:lang w:val="es-ES"/>
        </w:rPr>
      </w:pPr>
    </w:p>
    <w:p w:rsidR="004E1519" w:rsidRDefault="004E1519" w:rsidP="00367FDF">
      <w:pPr>
        <w:pStyle w:val="ListParagraph"/>
        <w:numPr>
          <w:ilvl w:val="0"/>
          <w:numId w:val="10"/>
        </w:numPr>
        <w:spacing w:after="0" w:line="240" w:lineRule="auto"/>
        <w:ind w:left="567" w:hanging="425"/>
        <w:jc w:val="both"/>
        <w:rPr>
          <w:lang w:val="es-ES"/>
        </w:rPr>
      </w:pPr>
      <w:r w:rsidRPr="00367FDF">
        <w:rPr>
          <w:lang w:val="es-ES"/>
        </w:rPr>
        <w:t xml:space="preserve">El turismo que afecta directamente a las zonas de descanso de los delfines es una grave amenaza en algunos lugares y para algunas especies, por ejemplo, los delfines mulares del </w:t>
      </w:r>
      <w:proofErr w:type="spellStart"/>
      <w:r w:rsidRPr="00367FDF">
        <w:rPr>
          <w:lang w:val="es-ES"/>
        </w:rPr>
        <w:t>Indopacífico</w:t>
      </w:r>
      <w:proofErr w:type="spellEnd"/>
      <w:r w:rsidRPr="00367FDF">
        <w:rPr>
          <w:lang w:val="es-ES"/>
        </w:rPr>
        <w:t xml:space="preserve"> en </w:t>
      </w:r>
      <w:proofErr w:type="spellStart"/>
      <w:r w:rsidRPr="00367FDF">
        <w:rPr>
          <w:lang w:val="es-ES"/>
        </w:rPr>
        <w:t>Hurghada</w:t>
      </w:r>
      <w:proofErr w:type="spellEnd"/>
      <w:r w:rsidRPr="00367FDF">
        <w:rPr>
          <w:lang w:val="es-ES"/>
        </w:rPr>
        <w:t xml:space="preserve">, Egipto, y los delfines giradores en </w:t>
      </w:r>
      <w:proofErr w:type="spellStart"/>
      <w:r w:rsidRPr="00367FDF">
        <w:rPr>
          <w:lang w:val="es-ES"/>
        </w:rPr>
        <w:t>Satayah</w:t>
      </w:r>
      <w:proofErr w:type="spellEnd"/>
      <w:r w:rsidRPr="00367FDF">
        <w:rPr>
          <w:lang w:val="es-ES"/>
        </w:rPr>
        <w:t>, Egipto (</w:t>
      </w:r>
      <w:proofErr w:type="spellStart"/>
      <w:r w:rsidRPr="00367FDF">
        <w:rPr>
          <w:lang w:val="es-ES"/>
        </w:rPr>
        <w:t>Notarbartolo</w:t>
      </w:r>
      <w:proofErr w:type="spellEnd"/>
      <w:r w:rsidRPr="00367FDF">
        <w:rPr>
          <w:lang w:val="es-ES"/>
        </w:rPr>
        <w:t xml:space="preserve"> di </w:t>
      </w:r>
      <w:proofErr w:type="spellStart"/>
      <w:r w:rsidRPr="00367FDF">
        <w:rPr>
          <w:lang w:val="es-ES"/>
        </w:rPr>
        <w:t>Sciara</w:t>
      </w:r>
      <w:proofErr w:type="spellEnd"/>
      <w:r w:rsidRPr="00367FDF">
        <w:rPr>
          <w:lang w:val="es-ES"/>
        </w:rPr>
        <w:t xml:space="preserve"> et al., 2017). </w:t>
      </w:r>
      <w:proofErr w:type="spellStart"/>
      <w:r w:rsidRPr="00367FDF">
        <w:rPr>
          <w:lang w:val="es-ES"/>
        </w:rPr>
        <w:t>Notarbartolo</w:t>
      </w:r>
      <w:proofErr w:type="spellEnd"/>
      <w:r w:rsidRPr="00367FDF">
        <w:rPr>
          <w:lang w:val="es-ES"/>
        </w:rPr>
        <w:t xml:space="preserve"> di </w:t>
      </w:r>
      <w:proofErr w:type="spellStart"/>
      <w:r w:rsidRPr="00367FDF">
        <w:rPr>
          <w:lang w:val="es-ES"/>
        </w:rPr>
        <w:t>Sciara</w:t>
      </w:r>
      <w:proofErr w:type="spellEnd"/>
      <w:r w:rsidRPr="00367FDF">
        <w:rPr>
          <w:lang w:val="es-ES"/>
        </w:rPr>
        <w:t xml:space="preserve"> et al. (2009) detallan cómo se puso en marcha un plan de gestión para proteger a los delfines giradores en </w:t>
      </w:r>
      <w:proofErr w:type="spellStart"/>
      <w:r w:rsidRPr="00367FDF">
        <w:rPr>
          <w:lang w:val="es-ES"/>
        </w:rPr>
        <w:t>Samadai</w:t>
      </w:r>
      <w:proofErr w:type="spellEnd"/>
      <w:r w:rsidRPr="00367FDF">
        <w:rPr>
          <w:lang w:val="es-ES"/>
        </w:rPr>
        <w:t xml:space="preserve">. Sin embargo, en otras importantes zonas de descanso, por ejemplo, en el arrecife </w:t>
      </w:r>
      <w:proofErr w:type="spellStart"/>
      <w:r w:rsidRPr="00367FDF">
        <w:rPr>
          <w:lang w:val="es-ES"/>
        </w:rPr>
        <w:t>Fanous</w:t>
      </w:r>
      <w:proofErr w:type="spellEnd"/>
      <w:r w:rsidRPr="00367FDF">
        <w:rPr>
          <w:lang w:val="es-ES"/>
        </w:rPr>
        <w:t xml:space="preserve"> y </w:t>
      </w:r>
      <w:proofErr w:type="spellStart"/>
      <w:r w:rsidRPr="00367FDF">
        <w:rPr>
          <w:lang w:val="es-ES"/>
        </w:rPr>
        <w:t>Satayah</w:t>
      </w:r>
      <w:proofErr w:type="spellEnd"/>
      <w:r w:rsidRPr="00367FDF">
        <w:rPr>
          <w:lang w:val="es-ES"/>
        </w:rPr>
        <w:t xml:space="preserve">, no existen planes de gestión y los efectos de la degradación son de gran preocupación (Fumagalli et al. 2018). </w:t>
      </w:r>
    </w:p>
    <w:p w:rsidR="00367FDF" w:rsidRPr="00367FDF" w:rsidRDefault="00367FDF" w:rsidP="00367FDF">
      <w:pPr>
        <w:pStyle w:val="ListParagraph"/>
        <w:ind w:left="567" w:hanging="425"/>
        <w:rPr>
          <w:lang w:val="es-ES"/>
        </w:rPr>
      </w:pPr>
    </w:p>
    <w:p w:rsidR="004E1519" w:rsidRDefault="004E1519" w:rsidP="00367FDF">
      <w:pPr>
        <w:pStyle w:val="ListParagraph"/>
        <w:numPr>
          <w:ilvl w:val="0"/>
          <w:numId w:val="10"/>
        </w:numPr>
        <w:spacing w:after="0" w:line="240" w:lineRule="auto"/>
        <w:ind w:left="567" w:hanging="425"/>
        <w:jc w:val="both"/>
        <w:rPr>
          <w:lang w:val="es-ES"/>
        </w:rPr>
      </w:pPr>
      <w:r w:rsidRPr="004E1519">
        <w:rPr>
          <w:lang w:val="es-ES"/>
        </w:rPr>
        <w:t>Existen casos de delfines que están siendo asesinados para utilizar su carne como carnaza en la pesca de tiburones, pero esto no se considera una amenaza para ninguna especie a nivel de conservación (</w:t>
      </w:r>
      <w:proofErr w:type="spellStart"/>
      <w:r w:rsidRPr="004E1519">
        <w:rPr>
          <w:lang w:val="es-ES"/>
        </w:rPr>
        <w:t>Notarbartolo</w:t>
      </w:r>
      <w:proofErr w:type="spellEnd"/>
      <w:r w:rsidRPr="004E1519">
        <w:rPr>
          <w:lang w:val="es-ES"/>
        </w:rPr>
        <w:t xml:space="preserve"> di </w:t>
      </w:r>
      <w:proofErr w:type="spellStart"/>
      <w:r w:rsidRPr="004E1519">
        <w:rPr>
          <w:lang w:val="es-ES"/>
        </w:rPr>
        <w:t>Sciara</w:t>
      </w:r>
      <w:proofErr w:type="spellEnd"/>
      <w:r w:rsidRPr="004E1519">
        <w:rPr>
          <w:lang w:val="es-ES"/>
        </w:rPr>
        <w:t xml:space="preserve"> et al., 2017).</w:t>
      </w:r>
    </w:p>
    <w:p w:rsidR="00367FDF" w:rsidRPr="00367FDF" w:rsidRDefault="00367FDF" w:rsidP="00367FDF">
      <w:pPr>
        <w:pStyle w:val="ListParagraph"/>
        <w:ind w:left="567" w:hanging="425"/>
        <w:rPr>
          <w:lang w:val="es-ES"/>
        </w:rPr>
      </w:pPr>
    </w:p>
    <w:p w:rsidR="004E1519" w:rsidRPr="004E1519" w:rsidRDefault="004E1519" w:rsidP="00367FDF">
      <w:pPr>
        <w:pStyle w:val="ListParagraph"/>
        <w:numPr>
          <w:ilvl w:val="0"/>
          <w:numId w:val="10"/>
        </w:numPr>
        <w:spacing w:after="0" w:line="240" w:lineRule="auto"/>
        <w:ind w:left="567" w:hanging="425"/>
        <w:jc w:val="both"/>
        <w:rPr>
          <w:lang w:val="es-ES"/>
        </w:rPr>
      </w:pPr>
      <w:r w:rsidRPr="004E1519">
        <w:rPr>
          <w:lang w:val="es-ES"/>
        </w:rPr>
        <w:t xml:space="preserve">Un estudio reciente observó a la salud de los cetáceos del mar Rojo. Se tomaron muestras fecales de delfines del </w:t>
      </w:r>
      <w:proofErr w:type="spellStart"/>
      <w:r w:rsidRPr="004E1519">
        <w:rPr>
          <w:lang w:val="es-ES"/>
        </w:rPr>
        <w:t>Indopacífico</w:t>
      </w:r>
      <w:proofErr w:type="spellEnd"/>
      <w:r w:rsidRPr="004E1519">
        <w:rPr>
          <w:lang w:val="es-ES"/>
        </w:rPr>
        <w:t xml:space="preserve"> en libertad (</w:t>
      </w:r>
      <w:proofErr w:type="spellStart"/>
      <w:r w:rsidRPr="004E1519">
        <w:rPr>
          <w:i/>
          <w:lang w:val="es-ES"/>
        </w:rPr>
        <w:t>Tursiops</w:t>
      </w:r>
      <w:proofErr w:type="spellEnd"/>
      <w:r w:rsidRPr="004E1519">
        <w:rPr>
          <w:i/>
          <w:lang w:val="es-ES"/>
        </w:rPr>
        <w:t xml:space="preserve"> </w:t>
      </w:r>
      <w:proofErr w:type="spellStart"/>
      <w:r w:rsidRPr="004E1519">
        <w:rPr>
          <w:i/>
          <w:lang w:val="es-ES"/>
        </w:rPr>
        <w:t>aduncus</w:t>
      </w:r>
      <w:proofErr w:type="spellEnd"/>
      <w:r w:rsidRPr="004E1519">
        <w:rPr>
          <w:lang w:val="es-ES"/>
        </w:rPr>
        <w:t xml:space="preserve">) en </w:t>
      </w:r>
      <w:proofErr w:type="spellStart"/>
      <w:r w:rsidRPr="004E1519">
        <w:rPr>
          <w:lang w:val="es-ES"/>
        </w:rPr>
        <w:t>Hurghada</w:t>
      </w:r>
      <w:proofErr w:type="spellEnd"/>
      <w:r w:rsidRPr="004E1519">
        <w:rPr>
          <w:lang w:val="es-ES"/>
        </w:rPr>
        <w:t>, Egipto, y se identificaron 10 especies de parásitos protozoos y 11 metazoos (</w:t>
      </w:r>
      <w:proofErr w:type="spellStart"/>
      <w:r w:rsidRPr="004E1519">
        <w:rPr>
          <w:lang w:val="es-ES"/>
        </w:rPr>
        <w:t>Kleinertz</w:t>
      </w:r>
      <w:proofErr w:type="spellEnd"/>
      <w:r w:rsidRPr="004E1519">
        <w:rPr>
          <w:lang w:val="es-ES"/>
        </w:rPr>
        <w:t xml:space="preserve"> et al., 2014).  Algunos de estos parásitos son potencialmente patógenos; por ejemplo, el </w:t>
      </w:r>
      <w:proofErr w:type="spellStart"/>
      <w:r w:rsidRPr="004E1519">
        <w:rPr>
          <w:i/>
          <w:lang w:val="es-ES"/>
        </w:rPr>
        <w:t>Nasitrema</w:t>
      </w:r>
      <w:proofErr w:type="spellEnd"/>
      <w:r w:rsidRPr="004E1519">
        <w:rPr>
          <w:i/>
          <w:lang w:val="es-ES"/>
        </w:rPr>
        <w:t xml:space="preserve"> </w:t>
      </w:r>
      <w:proofErr w:type="spellStart"/>
      <w:r w:rsidRPr="004E1519">
        <w:rPr>
          <w:i/>
          <w:lang w:val="es-ES"/>
        </w:rPr>
        <w:t>attenuata</w:t>
      </w:r>
      <w:proofErr w:type="spellEnd"/>
      <w:r w:rsidRPr="004E1519">
        <w:rPr>
          <w:lang w:val="es-ES"/>
        </w:rPr>
        <w:t xml:space="preserve"> puede, si invade el cerebro, provocar necrosis extensa y meningoencefalitis mortal en cetáceos pequeños. El estudio también halló huevos de </w:t>
      </w:r>
      <w:proofErr w:type="spellStart"/>
      <w:r w:rsidRPr="004E1519">
        <w:rPr>
          <w:i/>
          <w:lang w:val="es-ES"/>
        </w:rPr>
        <w:t>Diphyllobothrium</w:t>
      </w:r>
      <w:proofErr w:type="spellEnd"/>
      <w:r w:rsidRPr="004E1519">
        <w:rPr>
          <w:lang w:val="es-ES"/>
        </w:rPr>
        <w:t xml:space="preserve"> en las muestras fecales. Los delfines infectados con la </w:t>
      </w:r>
      <w:proofErr w:type="spellStart"/>
      <w:r w:rsidRPr="004E1519">
        <w:rPr>
          <w:lang w:val="es-ES"/>
        </w:rPr>
        <w:t>tenia</w:t>
      </w:r>
      <w:proofErr w:type="spellEnd"/>
      <w:r w:rsidRPr="004E1519">
        <w:rPr>
          <w:lang w:val="es-ES"/>
        </w:rPr>
        <w:t xml:space="preserve"> </w:t>
      </w:r>
      <w:proofErr w:type="spellStart"/>
      <w:r w:rsidRPr="004E1519">
        <w:rPr>
          <w:i/>
          <w:lang w:val="es-ES"/>
        </w:rPr>
        <w:t>Diphyllobothrium</w:t>
      </w:r>
      <w:proofErr w:type="spellEnd"/>
      <w:r w:rsidRPr="004E1519">
        <w:rPr>
          <w:lang w:val="es-ES"/>
        </w:rPr>
        <w:t xml:space="preserve"> madura pueden verse debilitados y morir si su carga parasitaria es alta (</w:t>
      </w:r>
      <w:proofErr w:type="spellStart"/>
      <w:r w:rsidRPr="004E1519">
        <w:rPr>
          <w:lang w:val="es-ES"/>
        </w:rPr>
        <w:t>Kleinertz</w:t>
      </w:r>
      <w:proofErr w:type="spellEnd"/>
      <w:r w:rsidRPr="004E1519">
        <w:rPr>
          <w:lang w:val="es-ES"/>
        </w:rPr>
        <w:t xml:space="preserve"> et al., 2014). </w:t>
      </w:r>
    </w:p>
    <w:p w:rsidR="004E1519" w:rsidRDefault="004E1519" w:rsidP="00367FDF">
      <w:pPr>
        <w:spacing w:after="0" w:line="240" w:lineRule="auto"/>
        <w:ind w:left="567" w:hanging="425"/>
        <w:jc w:val="both"/>
        <w:rPr>
          <w:lang w:val="es-ES"/>
        </w:rPr>
      </w:pPr>
    </w:p>
    <w:p w:rsidR="00367FDF" w:rsidRPr="003F1CE4" w:rsidRDefault="00367FDF" w:rsidP="00367FDF">
      <w:pPr>
        <w:spacing w:after="0" w:line="240" w:lineRule="auto"/>
        <w:jc w:val="both"/>
        <w:rPr>
          <w:i/>
          <w:lang w:val="es-ES"/>
        </w:rPr>
      </w:pPr>
      <w:r w:rsidRPr="008F5322">
        <w:rPr>
          <w:b/>
          <w:i/>
          <w:lang w:val="es-ES"/>
        </w:rPr>
        <w:lastRenderedPageBreak/>
        <w:t>Tabla 2: amenazas mundiales para las especies cetáceas del mar Rojo</w:t>
      </w:r>
      <w:r w:rsidRPr="008F5322">
        <w:rPr>
          <w:i/>
          <w:lang w:val="es-ES"/>
        </w:rPr>
        <w:t xml:space="preserve"> </w:t>
      </w:r>
      <w:r w:rsidRPr="008F5322">
        <w:rPr>
          <w:b/>
          <w:i/>
          <w:lang w:val="es-ES"/>
        </w:rPr>
        <w:t>de la Lista Roja de la UICN.</w:t>
      </w:r>
      <w:r w:rsidRPr="008F5322">
        <w:rPr>
          <w:i/>
          <w:lang w:val="es-ES"/>
        </w:rPr>
        <w:t xml:space="preserve"> Nota: Las amenazas se han identificado aquí a nivel mundial y no son específicas del mar Rojo (Referencias: Baird, 2018; </w:t>
      </w:r>
      <w:proofErr w:type="spellStart"/>
      <w:r w:rsidRPr="008F5322">
        <w:rPr>
          <w:i/>
          <w:lang w:val="es-ES"/>
        </w:rPr>
        <w:t>Bearzi</w:t>
      </w:r>
      <w:proofErr w:type="spellEnd"/>
      <w:r w:rsidRPr="008F5322">
        <w:rPr>
          <w:i/>
          <w:lang w:val="es-ES"/>
        </w:rPr>
        <w:t xml:space="preserve"> et al., 2012; </w:t>
      </w:r>
      <w:proofErr w:type="spellStart"/>
      <w:r w:rsidRPr="008F5322">
        <w:rPr>
          <w:i/>
          <w:lang w:val="es-ES"/>
        </w:rPr>
        <w:t>Braulik</w:t>
      </w:r>
      <w:proofErr w:type="spellEnd"/>
      <w:r w:rsidRPr="008F5322">
        <w:rPr>
          <w:i/>
          <w:lang w:val="es-ES"/>
        </w:rPr>
        <w:t xml:space="preserve"> et al., 2017; Cooke y Brownell, 2018; </w:t>
      </w:r>
      <w:proofErr w:type="spellStart"/>
      <w:r w:rsidRPr="008F5322">
        <w:rPr>
          <w:i/>
          <w:lang w:val="es-ES"/>
        </w:rPr>
        <w:t>Hammond</w:t>
      </w:r>
      <w:proofErr w:type="spellEnd"/>
      <w:r w:rsidRPr="008F5322">
        <w:rPr>
          <w:i/>
          <w:lang w:val="es-ES"/>
        </w:rPr>
        <w:t xml:space="preserve"> et al., 2008; </w:t>
      </w:r>
      <w:proofErr w:type="spellStart"/>
      <w:r w:rsidRPr="008F5322">
        <w:rPr>
          <w:i/>
          <w:lang w:val="es-ES"/>
        </w:rPr>
        <w:t>Hammond</w:t>
      </w:r>
      <w:proofErr w:type="spellEnd"/>
      <w:r w:rsidRPr="008F5322">
        <w:rPr>
          <w:i/>
          <w:lang w:val="es-ES"/>
        </w:rPr>
        <w:t xml:space="preserve"> et al., 2012abc; Taylor et al., 2012)</w:t>
      </w:r>
    </w:p>
    <w:p w:rsidR="00367FDF" w:rsidRPr="003F1CE4" w:rsidRDefault="00367FDF" w:rsidP="00367FDF">
      <w:pPr>
        <w:spacing w:after="0" w:line="240" w:lineRule="auto"/>
        <w:rPr>
          <w:iCs/>
          <w:lang w:val="es-ES"/>
        </w:rPr>
      </w:pPr>
    </w:p>
    <w:tbl>
      <w:tblPr>
        <w:tblStyle w:val="TableGrid"/>
        <w:tblW w:w="0" w:type="auto"/>
        <w:tblLook w:val="04A0" w:firstRow="1" w:lastRow="0" w:firstColumn="1" w:lastColumn="0" w:noHBand="0" w:noVBand="1"/>
      </w:tblPr>
      <w:tblGrid>
        <w:gridCol w:w="2079"/>
        <w:gridCol w:w="1603"/>
        <w:gridCol w:w="2830"/>
        <w:gridCol w:w="1616"/>
        <w:gridCol w:w="1500"/>
      </w:tblGrid>
      <w:tr w:rsidR="00367FDF" w:rsidRPr="00367FDF" w:rsidTr="00017772">
        <w:trPr>
          <w:tblHeader/>
        </w:trPr>
        <w:tc>
          <w:tcPr>
            <w:tcW w:w="0" w:type="auto"/>
            <w:gridSpan w:val="3"/>
          </w:tcPr>
          <w:p w:rsidR="00367FDF" w:rsidRPr="00367FDF" w:rsidRDefault="00367FDF" w:rsidP="00017772">
            <w:pPr>
              <w:rPr>
                <w:rFonts w:ascii="Arial" w:hAnsi="Arial" w:cs="Arial"/>
                <w:b/>
                <w:iCs/>
                <w:sz w:val="22"/>
                <w:szCs w:val="22"/>
                <w:lang w:val="en-GB"/>
              </w:rPr>
            </w:pPr>
            <w:r w:rsidRPr="00367FDF">
              <w:rPr>
                <w:rFonts w:ascii="Arial" w:hAnsi="Arial" w:cs="Arial"/>
                <w:b/>
                <w:iCs/>
                <w:sz w:val="22"/>
                <w:szCs w:val="22"/>
                <w:lang w:val="es-ES"/>
              </w:rPr>
              <w:t>Amenaza</w:t>
            </w:r>
          </w:p>
        </w:tc>
        <w:tc>
          <w:tcPr>
            <w:tcW w:w="0" w:type="auto"/>
          </w:tcPr>
          <w:p w:rsidR="00367FDF" w:rsidRPr="00367FDF" w:rsidRDefault="00367FDF" w:rsidP="00017772">
            <w:pPr>
              <w:rPr>
                <w:rFonts w:ascii="Arial" w:hAnsi="Arial" w:cs="Arial"/>
                <w:b/>
                <w:iCs/>
                <w:sz w:val="22"/>
                <w:szCs w:val="22"/>
                <w:lang w:val="en-GB"/>
              </w:rPr>
            </w:pPr>
            <w:r w:rsidRPr="00367FDF">
              <w:rPr>
                <w:rFonts w:ascii="Arial" w:hAnsi="Arial" w:cs="Arial"/>
                <w:b/>
                <w:iCs/>
                <w:sz w:val="22"/>
                <w:szCs w:val="22"/>
                <w:lang w:val="es-ES"/>
              </w:rPr>
              <w:t>Especies amenazadas</w:t>
            </w:r>
          </w:p>
        </w:tc>
        <w:tc>
          <w:tcPr>
            <w:tcW w:w="0" w:type="auto"/>
          </w:tcPr>
          <w:p w:rsidR="00367FDF" w:rsidRPr="00367FDF" w:rsidRDefault="00367FDF" w:rsidP="00017772">
            <w:pPr>
              <w:rPr>
                <w:rFonts w:ascii="Arial" w:hAnsi="Arial" w:cs="Arial"/>
                <w:b/>
                <w:iCs/>
                <w:sz w:val="22"/>
                <w:szCs w:val="22"/>
                <w:lang w:val="en-GB"/>
              </w:rPr>
            </w:pPr>
            <w:r w:rsidRPr="00367FDF">
              <w:rPr>
                <w:rFonts w:ascii="Arial" w:hAnsi="Arial" w:cs="Arial"/>
                <w:b/>
                <w:iCs/>
                <w:sz w:val="22"/>
                <w:szCs w:val="22"/>
                <w:lang w:val="es-ES"/>
              </w:rPr>
              <w:t>Cadencia</w:t>
            </w:r>
          </w:p>
        </w:tc>
      </w:tr>
      <w:tr w:rsidR="00367FDF" w:rsidRPr="00367FDF" w:rsidTr="00017772">
        <w:trPr>
          <w:trHeight w:val="549"/>
        </w:trPr>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Transporte y distribuidores de servicios</w:t>
            </w:r>
          </w:p>
        </w:tc>
        <w:tc>
          <w:tcPr>
            <w:tcW w:w="0" w:type="auto"/>
            <w:gridSpan w:val="2"/>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Rutas marítimas</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Balaenoptera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edeni</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p w:rsidR="00367FDF" w:rsidRPr="00367FDF" w:rsidRDefault="00367FDF" w:rsidP="00017772">
            <w:pPr>
              <w:rPr>
                <w:rFonts w:ascii="Arial" w:hAnsi="Arial" w:cs="Arial"/>
                <w:iCs/>
                <w:sz w:val="22"/>
                <w:szCs w:val="22"/>
                <w:lang w:val="en-GB"/>
              </w:rPr>
            </w:pPr>
          </w:p>
        </w:tc>
      </w:tr>
      <w:tr w:rsidR="00367FDF" w:rsidRPr="00367FDF" w:rsidTr="00017772">
        <w:trPr>
          <w:trHeight w:val="154"/>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652"/>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96"/>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AA62EA" w:rsidTr="00017772">
        <w:trPr>
          <w:trHeight w:val="548"/>
        </w:trPr>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Uso de recursos biológicos</w:t>
            </w: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Pesca y recolección de recursos acuáticos</w:t>
            </w: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iCs/>
                <w:sz w:val="22"/>
                <w:szCs w:val="22"/>
                <w:lang w:val="es-ES"/>
              </w:rPr>
              <w:t>Uso intencional: (gran escala) [recolección]</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Balaenoptera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edeni</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iCs/>
                <w:sz w:val="22"/>
                <w:szCs w:val="22"/>
                <w:lang w:val="es-ES"/>
              </w:rPr>
              <w:t>En el pasado, retorno improbable</w:t>
            </w:r>
          </w:p>
        </w:tc>
      </w:tr>
      <w:tr w:rsidR="00367FDF" w:rsidRPr="00367FDF" w:rsidTr="00017772">
        <w:trPr>
          <w:trHeight w:val="545"/>
        </w:trPr>
        <w:tc>
          <w:tcPr>
            <w:tcW w:w="0" w:type="auto"/>
            <w:vMerge/>
          </w:tcPr>
          <w:p w:rsidR="00367FDF" w:rsidRPr="00367FDF" w:rsidRDefault="00367FDF" w:rsidP="00017772">
            <w:pPr>
              <w:rPr>
                <w:rFonts w:ascii="Arial" w:hAnsi="Arial" w:cs="Arial"/>
                <w:sz w:val="22"/>
                <w:szCs w:val="22"/>
                <w:lang w:val="es-ES"/>
              </w:rPr>
            </w:pPr>
          </w:p>
        </w:tc>
        <w:tc>
          <w:tcPr>
            <w:tcW w:w="0" w:type="auto"/>
            <w:vMerge/>
          </w:tcPr>
          <w:p w:rsidR="00367FDF" w:rsidRPr="00367FDF" w:rsidRDefault="00367FDF" w:rsidP="00017772">
            <w:pPr>
              <w:rPr>
                <w:rFonts w:ascii="Arial" w:hAnsi="Arial" w:cs="Arial"/>
                <w:sz w:val="22"/>
                <w:szCs w:val="22"/>
                <w:lang w:val="es-ES"/>
              </w:rPr>
            </w:pPr>
          </w:p>
        </w:tc>
        <w:tc>
          <w:tcPr>
            <w:tcW w:w="0" w:type="auto"/>
            <w:vMerge/>
          </w:tcPr>
          <w:p w:rsidR="00367FDF" w:rsidRPr="00367FDF" w:rsidRDefault="00367FDF" w:rsidP="00017772">
            <w:pPr>
              <w:rPr>
                <w:rFonts w:ascii="Arial" w:hAnsi="Arial" w:cs="Arial"/>
                <w:iCs/>
                <w:sz w:val="22"/>
                <w:szCs w:val="22"/>
                <w:lang w:val="es-ES"/>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Delphinus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delphis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67"/>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attenuata</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301"/>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iCs/>
                <w:sz w:val="22"/>
                <w:szCs w:val="22"/>
                <w:lang w:val="es-ES"/>
              </w:rPr>
              <w:t>Uso intencional: (subsistencia/pequeña escala) [recolección]</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Grampus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griseus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301"/>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373"/>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attenuata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51"/>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longirostris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395"/>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04"/>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63"/>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iCs/>
                <w:sz w:val="22"/>
                <w:szCs w:val="22"/>
                <w:lang w:val="es-ES"/>
              </w:rPr>
              <w:t>Efectos no intencionales: (subsistencia/pequeña escala) [recolección]</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Grampus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griseus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p w:rsidR="00367FDF" w:rsidRPr="00367FDF" w:rsidRDefault="00367FDF" w:rsidP="00017772">
            <w:pPr>
              <w:rPr>
                <w:rFonts w:ascii="Arial" w:hAnsi="Arial" w:cs="Arial"/>
                <w:iCs/>
                <w:sz w:val="22"/>
                <w:szCs w:val="22"/>
                <w:lang w:val="en-GB"/>
              </w:rPr>
            </w:pPr>
          </w:p>
        </w:tc>
      </w:tr>
      <w:tr w:rsidR="00367FDF" w:rsidRPr="00367FDF" w:rsidTr="00017772">
        <w:trPr>
          <w:trHeight w:val="463"/>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232"/>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61"/>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attenuata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370"/>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05"/>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iCs/>
                <w:sz w:val="22"/>
                <w:szCs w:val="22"/>
                <w:lang w:val="es-ES"/>
              </w:rPr>
              <w:t>Efectos no intencionales: (gran escala) [recolección]</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Delphinus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delphis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p w:rsidR="00367FDF" w:rsidRPr="00367FDF" w:rsidRDefault="00367FDF" w:rsidP="00017772">
            <w:pPr>
              <w:rPr>
                <w:rFonts w:ascii="Arial" w:hAnsi="Arial" w:cs="Arial"/>
                <w:iCs/>
                <w:sz w:val="22"/>
                <w:szCs w:val="22"/>
                <w:lang w:val="en-GB"/>
              </w:rPr>
            </w:pPr>
          </w:p>
        </w:tc>
      </w:tr>
      <w:tr w:rsidR="00367FDF" w:rsidRPr="00367FDF" w:rsidTr="00017772">
        <w:trPr>
          <w:trHeight w:val="505"/>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271"/>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16"/>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longirostris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95"/>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09"/>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Persecución/control</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09"/>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attenuata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16"/>
        </w:trPr>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08"/>
        </w:trPr>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Contaminación</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Efluentes industriales y militares</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Derrames de petróleo</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Balaenoptera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edeni</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274"/>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172"/>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Tipo desconocido/no registrado</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383"/>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83"/>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33"/>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33"/>
        </w:trPr>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sz w:val="22"/>
                <w:szCs w:val="22"/>
                <w:lang w:val="en-GB"/>
              </w:rPr>
            </w:pPr>
            <w:r w:rsidRPr="00367FDF">
              <w:rPr>
                <w:rFonts w:ascii="Arial" w:hAnsi="Arial" w:cs="Arial"/>
                <w:sz w:val="22"/>
                <w:szCs w:val="22"/>
                <w:lang w:val="es-ES"/>
              </w:rPr>
              <w:t>Basura y residuos sólidos</w:t>
            </w:r>
          </w:p>
        </w:tc>
        <w:tc>
          <w:tcPr>
            <w:tcW w:w="0" w:type="auto"/>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Pseudorca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crassidens</w:t>
            </w:r>
            <w:proofErr w:type="spellEnd"/>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503"/>
        </w:trPr>
        <w:tc>
          <w:tcPr>
            <w:tcW w:w="0" w:type="auto"/>
            <w:vMerge/>
          </w:tcPr>
          <w:p w:rsidR="00367FDF" w:rsidRPr="00367FDF" w:rsidRDefault="00367FDF" w:rsidP="00017772">
            <w:pPr>
              <w:rPr>
                <w:rFonts w:ascii="Arial" w:hAnsi="Arial" w:cs="Arial"/>
                <w:iCs/>
                <w:sz w:val="22"/>
                <w:szCs w:val="22"/>
                <w:lang w:val="en-GB"/>
              </w:rPr>
            </w:pP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Energía excedente</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Contaminación acústica</w:t>
            </w:r>
          </w:p>
        </w:tc>
        <w:tc>
          <w:tcPr>
            <w:tcW w:w="0" w:type="auto"/>
          </w:tcPr>
          <w:p w:rsidR="00367FDF" w:rsidRPr="00367FDF" w:rsidRDefault="00367FDF" w:rsidP="00017772">
            <w:pPr>
              <w:rPr>
                <w:rFonts w:ascii="Arial" w:hAnsi="Arial" w:cs="Arial"/>
                <w:sz w:val="22"/>
                <w:szCs w:val="22"/>
                <w:lang w:val="en-GB"/>
              </w:rPr>
            </w:pPr>
            <w:proofErr w:type="spellStart"/>
            <w:r w:rsidRPr="00367FDF">
              <w:rPr>
                <w:rFonts w:ascii="Arial" w:hAnsi="Arial" w:cs="Arial"/>
                <w:i/>
                <w:iCs/>
                <w:sz w:val="22"/>
                <w:szCs w:val="22"/>
                <w:lang w:val="es-ES"/>
              </w:rPr>
              <w:t>Grampus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griseus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73"/>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259"/>
        </w:trPr>
        <w:tc>
          <w:tcPr>
            <w:tcW w:w="0" w:type="auto"/>
            <w:vMerge/>
          </w:tcPr>
          <w:p w:rsidR="00367FDF" w:rsidRPr="00367FDF" w:rsidRDefault="00367FDF" w:rsidP="00017772">
            <w:pPr>
              <w:rPr>
                <w:rFonts w:ascii="Arial" w:hAnsi="Arial" w:cs="Arial"/>
                <w:iCs/>
                <w:sz w:val="22"/>
                <w:szCs w:val="22"/>
                <w:lang w:val="en-GB"/>
              </w:rPr>
            </w:pPr>
          </w:p>
        </w:tc>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Agua residual doméstica y urbana</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Escorrentía</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276"/>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Tipo desconocido/no registrado</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137"/>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515"/>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96"/>
        </w:trPr>
        <w:tc>
          <w:tcPr>
            <w:tcW w:w="0" w:type="auto"/>
            <w:vMerge/>
          </w:tcPr>
          <w:p w:rsidR="00367FDF" w:rsidRPr="00367FDF" w:rsidRDefault="00367FDF" w:rsidP="00017772">
            <w:pPr>
              <w:rPr>
                <w:rFonts w:ascii="Arial" w:hAnsi="Arial" w:cs="Arial"/>
                <w:iCs/>
                <w:sz w:val="22"/>
                <w:szCs w:val="22"/>
                <w:lang w:val="en-GB"/>
              </w:rPr>
            </w:pPr>
          </w:p>
        </w:tc>
        <w:tc>
          <w:tcPr>
            <w:tcW w:w="0" w:type="auto"/>
            <w:vMerge w:val="restart"/>
          </w:tcPr>
          <w:p w:rsidR="00367FDF" w:rsidRPr="00367FDF" w:rsidRDefault="00367FDF" w:rsidP="00017772">
            <w:pPr>
              <w:rPr>
                <w:rFonts w:ascii="Arial" w:hAnsi="Arial" w:cs="Arial"/>
                <w:sz w:val="22"/>
                <w:szCs w:val="22"/>
                <w:lang w:val="en-GB"/>
              </w:rPr>
            </w:pPr>
            <w:r w:rsidRPr="00367FDF">
              <w:rPr>
                <w:rFonts w:ascii="Arial" w:hAnsi="Arial" w:cs="Arial"/>
                <w:sz w:val="22"/>
                <w:szCs w:val="22"/>
                <w:lang w:val="es-ES"/>
              </w:rPr>
              <w:t>Efluentes agrícolas y forestales</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 xml:space="preserve">Herbicidas y pesticidas </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Delphinus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delphis</w:t>
            </w:r>
            <w:proofErr w:type="spellEnd"/>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504"/>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Tipo desconocido/no registrado</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r w:rsidRPr="00367FDF">
              <w:rPr>
                <w:rFonts w:ascii="Arial" w:hAnsi="Arial" w:cs="Arial"/>
                <w:iCs/>
                <w:sz w:val="22"/>
                <w:szCs w:val="22"/>
                <w:lang w:val="es-ES"/>
              </w:rPr>
              <w:t xml:space="preserve"> </w:t>
            </w:r>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680"/>
        </w:trPr>
        <w:tc>
          <w:tcPr>
            <w:tcW w:w="0" w:type="auto"/>
            <w:vMerge/>
          </w:tcPr>
          <w:p w:rsidR="00367FDF" w:rsidRPr="00367FDF" w:rsidRDefault="00367FDF" w:rsidP="00017772">
            <w:pPr>
              <w:rPr>
                <w:rFonts w:ascii="Arial" w:hAnsi="Arial" w:cs="Arial"/>
                <w:iCs/>
                <w:sz w:val="22"/>
                <w:szCs w:val="22"/>
                <w:lang w:val="en-GB"/>
              </w:rPr>
            </w:pPr>
          </w:p>
        </w:tc>
        <w:tc>
          <w:tcPr>
            <w:tcW w:w="0" w:type="auto"/>
            <w:vMerge/>
          </w:tcPr>
          <w:p w:rsidR="00367FDF" w:rsidRPr="00367FDF" w:rsidRDefault="00367FDF" w:rsidP="00017772">
            <w:pPr>
              <w:rPr>
                <w:rFonts w:ascii="Arial" w:hAnsi="Arial" w:cs="Arial"/>
                <w:sz w:val="22"/>
                <w:szCs w:val="22"/>
                <w:lang w:val="en-GB"/>
              </w:rPr>
            </w:pPr>
          </w:p>
        </w:tc>
        <w:tc>
          <w:tcPr>
            <w:tcW w:w="0" w:type="auto"/>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92"/>
        </w:trPr>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Especies, genes y enfermedades invasoras y problemáticas</w:t>
            </w:r>
          </w:p>
        </w:tc>
        <w:tc>
          <w:tcPr>
            <w:tcW w:w="0" w:type="auto"/>
            <w:gridSpan w:val="2"/>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Especies/enfermedades nativas problemáticas</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Delphinus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delphis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16"/>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97"/>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17"/>
        </w:trPr>
        <w:tc>
          <w:tcPr>
            <w:tcW w:w="0" w:type="auto"/>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Cambio climático e inclemencias climáticas</w:t>
            </w:r>
          </w:p>
        </w:tc>
        <w:tc>
          <w:tcPr>
            <w:tcW w:w="0" w:type="auto"/>
            <w:gridSpan w:val="2"/>
            <w:vMerge w:val="restart"/>
          </w:tcPr>
          <w:p w:rsidR="00367FDF" w:rsidRPr="00367FDF" w:rsidRDefault="00367FDF" w:rsidP="00017772">
            <w:pPr>
              <w:rPr>
                <w:rFonts w:ascii="Arial" w:hAnsi="Arial" w:cs="Arial"/>
                <w:iCs/>
                <w:sz w:val="22"/>
                <w:szCs w:val="22"/>
                <w:lang w:val="es-ES"/>
              </w:rPr>
            </w:pPr>
            <w:r w:rsidRPr="00367FDF">
              <w:rPr>
                <w:rFonts w:ascii="Arial" w:hAnsi="Arial" w:cs="Arial"/>
                <w:sz w:val="22"/>
                <w:szCs w:val="22"/>
                <w:lang w:val="es-ES"/>
              </w:rPr>
              <w:t>Cambio y alteración del hábitat</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Delphinus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delphis</w:t>
            </w:r>
            <w:proofErr w:type="spellEnd"/>
            <w:r w:rsidRPr="00367FDF">
              <w:rPr>
                <w:rFonts w:ascii="Arial" w:hAnsi="Arial" w:cs="Arial"/>
                <w:iCs/>
                <w:sz w:val="22"/>
                <w:szCs w:val="22"/>
                <w:lang w:val="es-ES"/>
              </w:rPr>
              <w:t xml:space="preserve"> </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97"/>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Grampus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griseus</w:t>
            </w:r>
            <w:proofErr w:type="spellEnd"/>
            <w:r w:rsidRPr="00367FDF">
              <w:rPr>
                <w:rFonts w:ascii="Arial" w:hAnsi="Arial" w:cs="Arial"/>
                <w:iCs/>
                <w:sz w:val="22"/>
                <w:szCs w:val="22"/>
                <w:lang w:val="es-ES"/>
              </w:rPr>
              <w:t xml:space="preserve"> </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el futuro</w:t>
            </w:r>
          </w:p>
        </w:tc>
      </w:tr>
      <w:tr w:rsidR="00367FDF" w:rsidRPr="00367FDF" w:rsidTr="00017772">
        <w:trPr>
          <w:trHeight w:val="289"/>
        </w:trPr>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Desarrollo residencial y comercial</w:t>
            </w:r>
          </w:p>
        </w:tc>
        <w:tc>
          <w:tcPr>
            <w:tcW w:w="0" w:type="auto"/>
            <w:gridSpan w:val="2"/>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Vivienda y zonas urbanas</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04"/>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490"/>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267"/>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val="restart"/>
          </w:tcPr>
          <w:p w:rsidR="00367FDF" w:rsidRPr="00367FDF" w:rsidRDefault="00367FDF" w:rsidP="00017772">
            <w:pPr>
              <w:rPr>
                <w:rFonts w:ascii="Arial" w:hAnsi="Arial" w:cs="Arial"/>
                <w:sz w:val="22"/>
                <w:szCs w:val="22"/>
                <w:lang w:val="en-GB"/>
              </w:rPr>
            </w:pPr>
            <w:r w:rsidRPr="00367FDF">
              <w:rPr>
                <w:rFonts w:ascii="Arial" w:hAnsi="Arial" w:cs="Arial"/>
                <w:sz w:val="22"/>
                <w:szCs w:val="22"/>
                <w:lang w:val="es-ES"/>
              </w:rPr>
              <w:t>Zonas comerciales e industriales</w:t>
            </w:r>
          </w:p>
          <w:p w:rsidR="00367FDF" w:rsidRPr="00367FDF" w:rsidRDefault="00367FDF" w:rsidP="00017772">
            <w:pPr>
              <w:rPr>
                <w:rFonts w:ascii="Arial" w:hAnsi="Arial" w:cs="Arial"/>
                <w:sz w:val="22"/>
                <w:szCs w:val="22"/>
                <w:lang w:val="en-GB"/>
              </w:rPr>
            </w:pPr>
          </w:p>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
                <w:iCs/>
                <w:sz w:val="22"/>
                <w:szCs w:val="22"/>
                <w:lang w:val="es-ES"/>
              </w:rPr>
              <w:t xml:space="preserve">Sousa </w:t>
            </w:r>
            <w:proofErr w:type="spellStart"/>
            <w:r w:rsidRPr="00367FDF">
              <w:rPr>
                <w:rFonts w:ascii="Arial" w:hAnsi="Arial" w:cs="Arial"/>
                <w:i/>
                <w:iCs/>
                <w:sz w:val="22"/>
                <w:szCs w:val="22"/>
                <w:lang w:val="es-ES"/>
              </w:rPr>
              <w:t>plumbea</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549"/>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258"/>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c>
          <w:tcPr>
            <w:tcW w:w="0" w:type="auto"/>
            <w:vMerge/>
          </w:tcPr>
          <w:p w:rsidR="00367FDF" w:rsidRPr="00367FDF" w:rsidRDefault="00367FDF" w:rsidP="00017772">
            <w:pPr>
              <w:rPr>
                <w:rFonts w:ascii="Arial" w:hAnsi="Arial" w:cs="Arial"/>
                <w:sz w:val="22"/>
                <w:szCs w:val="22"/>
                <w:lang w:val="en-GB"/>
              </w:rPr>
            </w:pPr>
          </w:p>
        </w:tc>
        <w:tc>
          <w:tcPr>
            <w:tcW w:w="0" w:type="auto"/>
            <w:gridSpan w:val="2"/>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Turismo y zonas recreativas</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r w:rsidRPr="00367FDF">
              <w:rPr>
                <w:rFonts w:ascii="Arial" w:hAnsi="Arial" w:cs="Arial"/>
                <w:iCs/>
                <w:sz w:val="22"/>
                <w:szCs w:val="22"/>
                <w:lang w:val="es-ES"/>
              </w:rPr>
              <w:t xml:space="preserve"> </w:t>
            </w:r>
          </w:p>
        </w:tc>
        <w:tc>
          <w:tcPr>
            <w:tcW w:w="0" w:type="auto"/>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558"/>
        </w:trPr>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Intrusiones y perturbaciones humanas</w:t>
            </w:r>
          </w:p>
        </w:tc>
        <w:tc>
          <w:tcPr>
            <w:tcW w:w="0" w:type="auto"/>
            <w:gridSpan w:val="2"/>
            <w:vMerge w:val="restart"/>
          </w:tcPr>
          <w:p w:rsidR="00367FDF" w:rsidRPr="00367FDF" w:rsidRDefault="00367FDF" w:rsidP="00017772">
            <w:pPr>
              <w:rPr>
                <w:rFonts w:ascii="Arial" w:hAnsi="Arial" w:cs="Arial"/>
                <w:iCs/>
                <w:sz w:val="22"/>
                <w:szCs w:val="22"/>
                <w:lang w:val="en-GB"/>
              </w:rPr>
            </w:pPr>
            <w:r w:rsidRPr="00367FDF">
              <w:rPr>
                <w:rFonts w:ascii="Arial" w:hAnsi="Arial" w:cs="Arial"/>
                <w:sz w:val="22"/>
                <w:szCs w:val="22"/>
                <w:lang w:val="es-ES"/>
              </w:rPr>
              <w:t>Actividades recreativas</w:t>
            </w: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Stenella</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longirostris</w:t>
            </w:r>
            <w:proofErr w:type="spellEnd"/>
          </w:p>
        </w:tc>
        <w:tc>
          <w:tcPr>
            <w:tcW w:w="0" w:type="auto"/>
            <w:vMerge w:val="restart"/>
          </w:tcPr>
          <w:p w:rsidR="00367FDF" w:rsidRPr="00367FDF" w:rsidRDefault="00367FDF" w:rsidP="00017772">
            <w:pPr>
              <w:rPr>
                <w:rFonts w:ascii="Arial" w:hAnsi="Arial" w:cs="Arial"/>
                <w:iCs/>
                <w:sz w:val="22"/>
                <w:szCs w:val="22"/>
                <w:lang w:val="en-GB"/>
              </w:rPr>
            </w:pPr>
            <w:r w:rsidRPr="00367FDF">
              <w:rPr>
                <w:rFonts w:ascii="Arial" w:hAnsi="Arial" w:cs="Arial"/>
                <w:iCs/>
                <w:sz w:val="22"/>
                <w:szCs w:val="22"/>
                <w:lang w:val="es-ES"/>
              </w:rPr>
              <w:t>En curso</w:t>
            </w:r>
          </w:p>
        </w:tc>
      </w:tr>
      <w:tr w:rsidR="00367FDF" w:rsidRPr="00367FDF" w:rsidTr="00017772">
        <w:trPr>
          <w:trHeight w:val="481"/>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aduncus</w:t>
            </w:r>
            <w:proofErr w:type="spellEnd"/>
            <w:r w:rsidRPr="00367FDF">
              <w:rPr>
                <w:rFonts w:ascii="Arial" w:hAnsi="Arial" w:cs="Arial"/>
                <w:iCs/>
                <w:sz w:val="22"/>
                <w:szCs w:val="22"/>
                <w:lang w:val="es-ES"/>
              </w:rPr>
              <w:t xml:space="preserve"> </w:t>
            </w:r>
          </w:p>
        </w:tc>
        <w:tc>
          <w:tcPr>
            <w:tcW w:w="0" w:type="auto"/>
            <w:vMerge/>
          </w:tcPr>
          <w:p w:rsidR="00367FDF" w:rsidRPr="00367FDF" w:rsidRDefault="00367FDF" w:rsidP="00017772">
            <w:pPr>
              <w:rPr>
                <w:rFonts w:ascii="Arial" w:hAnsi="Arial" w:cs="Arial"/>
                <w:iCs/>
                <w:sz w:val="22"/>
                <w:szCs w:val="22"/>
                <w:lang w:val="en-GB"/>
              </w:rPr>
            </w:pPr>
          </w:p>
        </w:tc>
      </w:tr>
      <w:tr w:rsidR="00367FDF" w:rsidRPr="00367FDF" w:rsidTr="00017772">
        <w:trPr>
          <w:trHeight w:val="326"/>
        </w:trPr>
        <w:tc>
          <w:tcPr>
            <w:tcW w:w="0" w:type="auto"/>
            <w:vMerge/>
          </w:tcPr>
          <w:p w:rsidR="00367FDF" w:rsidRPr="00367FDF" w:rsidRDefault="00367FDF" w:rsidP="00017772">
            <w:pPr>
              <w:rPr>
                <w:rFonts w:ascii="Arial" w:hAnsi="Arial" w:cs="Arial"/>
                <w:sz w:val="22"/>
                <w:szCs w:val="22"/>
                <w:lang w:val="en-GB"/>
              </w:rPr>
            </w:pPr>
          </w:p>
        </w:tc>
        <w:tc>
          <w:tcPr>
            <w:tcW w:w="0" w:type="auto"/>
            <w:gridSpan w:val="2"/>
            <w:vMerge/>
          </w:tcPr>
          <w:p w:rsidR="00367FDF" w:rsidRPr="00367FDF" w:rsidRDefault="00367FDF" w:rsidP="00017772">
            <w:pPr>
              <w:rPr>
                <w:rFonts w:ascii="Arial" w:hAnsi="Arial" w:cs="Arial"/>
                <w:iCs/>
                <w:sz w:val="22"/>
                <w:szCs w:val="22"/>
                <w:lang w:val="en-GB"/>
              </w:rPr>
            </w:pPr>
          </w:p>
        </w:tc>
        <w:tc>
          <w:tcPr>
            <w:tcW w:w="0" w:type="auto"/>
          </w:tcPr>
          <w:p w:rsidR="00367FDF" w:rsidRPr="00367FDF" w:rsidRDefault="00367FDF" w:rsidP="00017772">
            <w:pPr>
              <w:rPr>
                <w:rFonts w:ascii="Arial" w:hAnsi="Arial" w:cs="Arial"/>
                <w:iCs/>
                <w:sz w:val="22"/>
                <w:szCs w:val="22"/>
                <w:lang w:val="en-GB"/>
              </w:rPr>
            </w:pPr>
            <w:proofErr w:type="spellStart"/>
            <w:r w:rsidRPr="00367FDF">
              <w:rPr>
                <w:rFonts w:ascii="Arial" w:hAnsi="Arial" w:cs="Arial"/>
                <w:i/>
                <w:iCs/>
                <w:sz w:val="22"/>
                <w:szCs w:val="22"/>
                <w:lang w:val="es-ES"/>
              </w:rPr>
              <w:t>Tursiops</w:t>
            </w:r>
            <w:proofErr w:type="spellEnd"/>
            <w:r w:rsidRPr="00367FDF">
              <w:rPr>
                <w:rFonts w:ascii="Arial" w:hAnsi="Arial" w:cs="Arial"/>
                <w:i/>
                <w:iCs/>
                <w:sz w:val="22"/>
                <w:szCs w:val="22"/>
                <w:lang w:val="es-ES"/>
              </w:rPr>
              <w:t xml:space="preserve"> </w:t>
            </w:r>
            <w:proofErr w:type="spellStart"/>
            <w:r w:rsidRPr="00367FDF">
              <w:rPr>
                <w:rFonts w:ascii="Arial" w:hAnsi="Arial" w:cs="Arial"/>
                <w:i/>
                <w:iCs/>
                <w:sz w:val="22"/>
                <w:szCs w:val="22"/>
                <w:lang w:val="es-ES"/>
              </w:rPr>
              <w:t>truncatus</w:t>
            </w:r>
            <w:proofErr w:type="spellEnd"/>
          </w:p>
        </w:tc>
        <w:tc>
          <w:tcPr>
            <w:tcW w:w="0" w:type="auto"/>
            <w:vMerge/>
          </w:tcPr>
          <w:p w:rsidR="00367FDF" w:rsidRPr="00367FDF" w:rsidRDefault="00367FDF" w:rsidP="00017772">
            <w:pPr>
              <w:rPr>
                <w:rFonts w:ascii="Arial" w:hAnsi="Arial" w:cs="Arial"/>
                <w:iCs/>
                <w:sz w:val="22"/>
                <w:szCs w:val="22"/>
                <w:lang w:val="en-GB"/>
              </w:rPr>
            </w:pPr>
          </w:p>
        </w:tc>
      </w:tr>
    </w:tbl>
    <w:p w:rsidR="00367FDF" w:rsidRPr="008F5322" w:rsidRDefault="00367FDF" w:rsidP="00367FDF">
      <w:pPr>
        <w:spacing w:after="0" w:line="240" w:lineRule="auto"/>
        <w:rPr>
          <w:b/>
          <w:lang w:val="en-GB"/>
        </w:rPr>
      </w:pPr>
    </w:p>
    <w:p w:rsidR="00367FDF" w:rsidRPr="003F1CE4" w:rsidRDefault="00367FDF" w:rsidP="00367FDF">
      <w:pPr>
        <w:spacing w:after="0" w:line="240" w:lineRule="auto"/>
        <w:rPr>
          <w:b/>
          <w:lang w:val="es-ES"/>
        </w:rPr>
      </w:pPr>
      <w:r w:rsidRPr="008F5322">
        <w:rPr>
          <w:b/>
          <w:lang w:val="es-ES"/>
        </w:rPr>
        <w:t>Recomendaciones para la Secretaría de la CMS</w:t>
      </w:r>
    </w:p>
    <w:p w:rsidR="00367FDF" w:rsidRPr="003F1CE4" w:rsidRDefault="00367FDF" w:rsidP="00367FDF">
      <w:pPr>
        <w:spacing w:after="0" w:line="240" w:lineRule="auto"/>
        <w:rPr>
          <w:lang w:val="es-ES"/>
        </w:rPr>
      </w:pPr>
    </w:p>
    <w:p w:rsidR="00367FDF" w:rsidRPr="00367FDF" w:rsidRDefault="00367FDF" w:rsidP="00367FDF">
      <w:pPr>
        <w:pStyle w:val="ListParagraph"/>
        <w:numPr>
          <w:ilvl w:val="0"/>
          <w:numId w:val="10"/>
        </w:numPr>
        <w:spacing w:after="0" w:line="240" w:lineRule="auto"/>
        <w:jc w:val="both"/>
        <w:rPr>
          <w:lang w:val="es-ES"/>
        </w:rPr>
      </w:pPr>
      <w:proofErr w:type="spellStart"/>
      <w:r w:rsidRPr="00367FDF">
        <w:rPr>
          <w:lang w:val="es-ES"/>
        </w:rPr>
        <w:t>Notarbartolo</w:t>
      </w:r>
      <w:proofErr w:type="spellEnd"/>
      <w:r w:rsidRPr="00367FDF">
        <w:rPr>
          <w:lang w:val="es-ES"/>
        </w:rPr>
        <w:t xml:space="preserve"> di </w:t>
      </w:r>
      <w:proofErr w:type="spellStart"/>
      <w:r w:rsidRPr="00367FDF">
        <w:rPr>
          <w:lang w:val="es-ES"/>
        </w:rPr>
        <w:t>Sciara</w:t>
      </w:r>
      <w:proofErr w:type="spellEnd"/>
      <w:r w:rsidRPr="00367FDF">
        <w:rPr>
          <w:lang w:val="es-ES"/>
        </w:rPr>
        <w:t xml:space="preserve"> et al., (2017) recomendó que el estado de los cetáceos del mar Rojo se supervise detenidamente, mientras que Carvalho et al. (2019) recomienda un enfoque preventivo para la gestión de los cetáceos en el mar Rojo debido a la falta de información sobre ellos y sus estados de conservación. </w:t>
      </w:r>
    </w:p>
    <w:p w:rsidR="00367FDF" w:rsidRPr="003F1CE4" w:rsidRDefault="00367FDF" w:rsidP="00367FDF">
      <w:pPr>
        <w:spacing w:after="0" w:line="240" w:lineRule="auto"/>
        <w:jc w:val="both"/>
        <w:rPr>
          <w:lang w:val="es-ES"/>
        </w:rPr>
      </w:pPr>
    </w:p>
    <w:p w:rsidR="00367FDF" w:rsidRDefault="00367FDF" w:rsidP="00367FDF">
      <w:pPr>
        <w:pStyle w:val="ListParagraph"/>
        <w:numPr>
          <w:ilvl w:val="0"/>
          <w:numId w:val="10"/>
        </w:numPr>
        <w:spacing w:after="0" w:line="240" w:lineRule="auto"/>
        <w:jc w:val="both"/>
        <w:rPr>
          <w:lang w:val="es-ES"/>
        </w:rPr>
      </w:pPr>
      <w:r w:rsidRPr="00367FDF">
        <w:rPr>
          <w:lang w:val="es-ES"/>
        </w:rPr>
        <w:t>Concretamente, se recomienda lo siguiente:</w:t>
      </w:r>
    </w:p>
    <w:p w:rsidR="00367FDF" w:rsidRPr="00367FDF" w:rsidRDefault="00367FDF" w:rsidP="00367FDF">
      <w:pPr>
        <w:pStyle w:val="ListParagraph"/>
        <w:rPr>
          <w:lang w:val="es-ES"/>
        </w:rPr>
      </w:pPr>
    </w:p>
    <w:p w:rsidR="00367FDF" w:rsidRDefault="00367FDF" w:rsidP="00367FDF">
      <w:pPr>
        <w:pStyle w:val="ListParagraph"/>
        <w:numPr>
          <w:ilvl w:val="0"/>
          <w:numId w:val="13"/>
        </w:numPr>
        <w:spacing w:after="0" w:line="240" w:lineRule="auto"/>
        <w:ind w:left="1134" w:hanging="425"/>
        <w:jc w:val="both"/>
        <w:rPr>
          <w:lang w:val="es-ES"/>
        </w:rPr>
      </w:pPr>
      <w:r w:rsidRPr="008F5322">
        <w:rPr>
          <w:lang w:val="es-ES"/>
        </w:rPr>
        <w:t>La investigación por parte de la Secretaría de la CMS del potencial del desarrollo de un Plan de Acción para los cetáceos de la región del mar Rojo.</w:t>
      </w:r>
    </w:p>
    <w:p w:rsidR="00367FDF" w:rsidRPr="003F1CE4" w:rsidRDefault="00367FDF" w:rsidP="00367FDF">
      <w:pPr>
        <w:pStyle w:val="ListParagraph"/>
        <w:spacing w:after="0" w:line="240" w:lineRule="auto"/>
        <w:ind w:left="1134"/>
        <w:jc w:val="both"/>
        <w:rPr>
          <w:lang w:val="es-ES"/>
        </w:rPr>
      </w:pPr>
    </w:p>
    <w:p w:rsidR="00367FDF" w:rsidRDefault="00367FDF" w:rsidP="00367FDF">
      <w:pPr>
        <w:pStyle w:val="ListParagraph"/>
        <w:numPr>
          <w:ilvl w:val="0"/>
          <w:numId w:val="13"/>
        </w:numPr>
        <w:spacing w:after="0" w:line="240" w:lineRule="auto"/>
        <w:ind w:left="1134" w:hanging="425"/>
        <w:jc w:val="both"/>
        <w:rPr>
          <w:lang w:val="es-ES"/>
        </w:rPr>
      </w:pPr>
      <w:r w:rsidRPr="008F5322">
        <w:rPr>
          <w:lang w:val="es-ES"/>
        </w:rPr>
        <w:t>La organización por parte de la Secretaría de la CMS, y en función de la disponibilidad de financiación adecuada, de un taller con las Partes interesadas que incluya a científicos, investigadores y conservacionistas de la región del mar Rojo para identificar la mejor forma de promover allí la conservación de los cetáceos y, concretamente, ayudar en el desarrollo de un Plan de Acción.</w:t>
      </w:r>
    </w:p>
    <w:p w:rsidR="00367FDF" w:rsidRPr="00367FDF" w:rsidRDefault="00367FDF" w:rsidP="00367FDF">
      <w:pPr>
        <w:spacing w:after="0" w:line="240" w:lineRule="auto"/>
        <w:jc w:val="both"/>
        <w:rPr>
          <w:lang w:val="es-ES"/>
        </w:rPr>
      </w:pPr>
    </w:p>
    <w:p w:rsidR="00367FDF" w:rsidRDefault="00367FDF" w:rsidP="00367FDF">
      <w:pPr>
        <w:pStyle w:val="ListParagraph"/>
        <w:numPr>
          <w:ilvl w:val="0"/>
          <w:numId w:val="13"/>
        </w:numPr>
        <w:spacing w:after="0" w:line="240" w:lineRule="auto"/>
        <w:ind w:left="1134" w:hanging="425"/>
        <w:jc w:val="both"/>
        <w:rPr>
          <w:lang w:val="es-ES"/>
        </w:rPr>
      </w:pPr>
      <w:r w:rsidRPr="00367FDF">
        <w:rPr>
          <w:lang w:val="es-ES"/>
        </w:rPr>
        <w:t>La consulta por parte de la Secretaría de la CMS de organismos regionales para buscar su apoyo en la promoción del Plan de Acción.</w:t>
      </w:r>
    </w:p>
    <w:p w:rsidR="00367FDF" w:rsidRPr="00367FDF" w:rsidRDefault="00367FDF" w:rsidP="00367FDF">
      <w:pPr>
        <w:pStyle w:val="ListParagraph"/>
        <w:rPr>
          <w:lang w:val="es-ES"/>
        </w:rPr>
      </w:pPr>
    </w:p>
    <w:p w:rsidR="00367FDF" w:rsidRDefault="00367FDF">
      <w:pPr>
        <w:rPr>
          <w:lang w:val="es-ES"/>
        </w:rPr>
      </w:pPr>
      <w:r>
        <w:rPr>
          <w:lang w:val="es-ES"/>
        </w:rPr>
        <w:br w:type="page"/>
      </w:r>
    </w:p>
    <w:p w:rsidR="00367FDF" w:rsidRPr="00293A75" w:rsidRDefault="00367FDF" w:rsidP="00367FDF">
      <w:pPr>
        <w:spacing w:after="0" w:line="240" w:lineRule="auto"/>
        <w:rPr>
          <w:b/>
        </w:rPr>
      </w:pPr>
      <w:proofErr w:type="spellStart"/>
      <w:r w:rsidRPr="00293A75">
        <w:rPr>
          <w:b/>
        </w:rPr>
        <w:lastRenderedPageBreak/>
        <w:t>Referenc</w:t>
      </w:r>
      <w:r>
        <w:rPr>
          <w:b/>
        </w:rPr>
        <w:t>ia</w:t>
      </w:r>
      <w:r w:rsidRPr="00293A75">
        <w:rPr>
          <w:b/>
        </w:rPr>
        <w:t>s</w:t>
      </w:r>
      <w:proofErr w:type="spellEnd"/>
    </w:p>
    <w:p w:rsidR="00367FDF" w:rsidRDefault="00367FDF" w:rsidP="00367FDF">
      <w:pPr>
        <w:spacing w:after="0" w:line="240" w:lineRule="auto"/>
      </w:pPr>
    </w:p>
    <w:p w:rsidR="00367FDF" w:rsidRPr="00CB20C0" w:rsidRDefault="00367FDF" w:rsidP="00017772">
      <w:pPr>
        <w:spacing w:after="0" w:line="240" w:lineRule="auto"/>
        <w:ind w:left="284" w:hanging="284"/>
        <w:jc w:val="both"/>
        <w:rPr>
          <w:sz w:val="20"/>
          <w:szCs w:val="20"/>
        </w:rPr>
      </w:pPr>
      <w:r w:rsidRPr="00CB20C0">
        <w:rPr>
          <w:sz w:val="20"/>
          <w:szCs w:val="20"/>
        </w:rPr>
        <w:t xml:space="preserve">Avila, I.C., </w:t>
      </w:r>
      <w:proofErr w:type="spellStart"/>
      <w:r w:rsidRPr="00CB20C0">
        <w:rPr>
          <w:sz w:val="20"/>
          <w:szCs w:val="20"/>
        </w:rPr>
        <w:t>Kaschner</w:t>
      </w:r>
      <w:proofErr w:type="spellEnd"/>
      <w:r w:rsidRPr="00CB20C0">
        <w:rPr>
          <w:sz w:val="20"/>
          <w:szCs w:val="20"/>
        </w:rPr>
        <w:t xml:space="preserve">, K. and </w:t>
      </w:r>
      <w:proofErr w:type="spellStart"/>
      <w:r w:rsidRPr="00CB20C0">
        <w:rPr>
          <w:sz w:val="20"/>
          <w:szCs w:val="20"/>
        </w:rPr>
        <w:t>Dormann</w:t>
      </w:r>
      <w:proofErr w:type="spellEnd"/>
      <w:r w:rsidRPr="00CB20C0">
        <w:rPr>
          <w:sz w:val="20"/>
          <w:szCs w:val="20"/>
        </w:rPr>
        <w:t>, C.F. (2018) Current global risks to marine mammals: Taking stock of the threats. Biological Conservation 221: 44-58. https://doi.org/10.1016/j.biocon.2018.02.021</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Baird, R.W. (2018) </w:t>
      </w:r>
      <w:r w:rsidRPr="00CB20C0">
        <w:rPr>
          <w:i/>
          <w:iCs/>
          <w:sz w:val="20"/>
          <w:szCs w:val="20"/>
        </w:rPr>
        <w:t>Pseudorca crassidens</w:t>
      </w:r>
      <w:r w:rsidRPr="00CB20C0">
        <w:rPr>
          <w:sz w:val="20"/>
          <w:szCs w:val="20"/>
        </w:rPr>
        <w:t>. </w:t>
      </w:r>
      <w:r w:rsidRPr="00CB20C0">
        <w:rPr>
          <w:i/>
          <w:iCs/>
          <w:sz w:val="20"/>
          <w:szCs w:val="20"/>
        </w:rPr>
        <w:t>The IUCN Red List of Threatened Species</w:t>
      </w:r>
      <w:r w:rsidRPr="00CB20C0">
        <w:rPr>
          <w:sz w:val="20"/>
          <w:szCs w:val="20"/>
        </w:rPr>
        <w:t> 2018: e.T18596A50371251. </w:t>
      </w:r>
      <w:hyperlink r:id="rId19" w:history="1">
        <w:r w:rsidRPr="00CB20C0">
          <w:rPr>
            <w:rStyle w:val="Hyperlink"/>
            <w:sz w:val="20"/>
            <w:szCs w:val="20"/>
          </w:rPr>
          <w:t>http://dx.doi.org/10.2305/IUCN.UK.2018-2.RLTS.T18596A50371251.en</w:t>
        </w:r>
      </w:hyperlink>
      <w:r w:rsidRPr="00CB20C0">
        <w:rPr>
          <w:sz w:val="20"/>
          <w:szCs w:val="20"/>
        </w:rPr>
        <w:t>. Downloaded on 18 February 2019.</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Hammond, P.S.,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w:t>
      </w:r>
      <w:proofErr w:type="gramStart"/>
      <w:r w:rsidRPr="00CB20C0">
        <w:rPr>
          <w:sz w:val="20"/>
          <w:szCs w:val="20"/>
        </w:rPr>
        <w:t>J.Y. ,</w:t>
      </w:r>
      <w:proofErr w:type="gramEnd"/>
      <w:r w:rsidRPr="00CB20C0">
        <w:rPr>
          <w:sz w:val="20"/>
          <w:szCs w:val="20"/>
        </w:rPr>
        <w:t xml:space="preserve"> Wells, R.S. &amp; Wilson, B. (2012)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longirostris</w:t>
      </w:r>
      <w:proofErr w:type="spellEnd"/>
      <w:r w:rsidRPr="00CB20C0">
        <w:rPr>
          <w:sz w:val="20"/>
          <w:szCs w:val="20"/>
        </w:rPr>
        <w:t>. </w:t>
      </w:r>
      <w:r w:rsidRPr="00CB20C0">
        <w:rPr>
          <w:i/>
          <w:iCs/>
          <w:sz w:val="20"/>
          <w:szCs w:val="20"/>
        </w:rPr>
        <w:t>The IUCN Red List of Threatened Species</w:t>
      </w:r>
      <w:r w:rsidRPr="00CB20C0">
        <w:rPr>
          <w:sz w:val="20"/>
          <w:szCs w:val="20"/>
        </w:rPr>
        <w:t> 2012: e.T20733A17837287. http://dx.doi.org/10.2305/IUCN.UK.2012.RLTS.T20733A17837287.en.</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r w:rsidRPr="00CB20C0">
        <w:rPr>
          <w:sz w:val="20"/>
          <w:szCs w:val="20"/>
        </w:rPr>
        <w:t>Braulik</w:t>
      </w:r>
      <w:proofErr w:type="spellEnd"/>
      <w:r w:rsidRPr="00CB20C0">
        <w:rPr>
          <w:sz w:val="20"/>
          <w:szCs w:val="20"/>
        </w:rPr>
        <w:t xml:space="preserve">, G.T., Findlay, K., </w:t>
      </w:r>
      <w:proofErr w:type="spellStart"/>
      <w:r w:rsidRPr="00CB20C0">
        <w:rPr>
          <w:sz w:val="20"/>
          <w:szCs w:val="20"/>
        </w:rPr>
        <w:t>Cerchio</w:t>
      </w:r>
      <w:proofErr w:type="spellEnd"/>
      <w:r w:rsidRPr="00CB20C0">
        <w:rPr>
          <w:sz w:val="20"/>
          <w:szCs w:val="20"/>
        </w:rPr>
        <w:t>, S., Baldwin, R. &amp; Perrin, W. (2017) </w:t>
      </w:r>
      <w:r w:rsidRPr="00CB20C0">
        <w:rPr>
          <w:i/>
          <w:iCs/>
          <w:sz w:val="20"/>
          <w:szCs w:val="20"/>
        </w:rPr>
        <w:t xml:space="preserve">Sousa </w:t>
      </w:r>
      <w:proofErr w:type="spellStart"/>
      <w:r w:rsidRPr="00CB20C0">
        <w:rPr>
          <w:i/>
          <w:iCs/>
          <w:sz w:val="20"/>
          <w:szCs w:val="20"/>
        </w:rPr>
        <w:t>plumbea</w:t>
      </w:r>
      <w:proofErr w:type="spellEnd"/>
      <w:r w:rsidRPr="00CB20C0">
        <w:rPr>
          <w:sz w:val="20"/>
          <w:szCs w:val="20"/>
        </w:rPr>
        <w:t>. </w:t>
      </w:r>
      <w:r w:rsidRPr="00CB20C0">
        <w:rPr>
          <w:i/>
          <w:iCs/>
          <w:sz w:val="20"/>
          <w:szCs w:val="20"/>
        </w:rPr>
        <w:t>The IUCN Red List of Threatened Species</w:t>
      </w:r>
      <w:r w:rsidRPr="00CB20C0">
        <w:rPr>
          <w:sz w:val="20"/>
          <w:szCs w:val="20"/>
        </w:rPr>
        <w:t> 2017: e.T82031633A82031644. http://dx.doi.org/10.2305/IUCN.UK.2017-3.RLTS.T82031633A82031644.en.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Carvalho, S., </w:t>
      </w:r>
      <w:proofErr w:type="spellStart"/>
      <w:r w:rsidRPr="00CB20C0">
        <w:rPr>
          <w:sz w:val="20"/>
          <w:szCs w:val="20"/>
        </w:rPr>
        <w:t>Küren</w:t>
      </w:r>
      <w:proofErr w:type="spellEnd"/>
      <w:r w:rsidRPr="00CB20C0">
        <w:rPr>
          <w:sz w:val="20"/>
          <w:szCs w:val="20"/>
        </w:rPr>
        <w:t xml:space="preserve">, B., </w:t>
      </w:r>
      <w:proofErr w:type="spellStart"/>
      <w:r w:rsidRPr="00CB20C0">
        <w:rPr>
          <w:sz w:val="20"/>
          <w:szCs w:val="20"/>
        </w:rPr>
        <w:t>Krokos</w:t>
      </w:r>
      <w:proofErr w:type="spellEnd"/>
      <w:r w:rsidRPr="00CB20C0">
        <w:rPr>
          <w:sz w:val="20"/>
          <w:szCs w:val="20"/>
        </w:rPr>
        <w:t xml:space="preserve">, G., </w:t>
      </w:r>
      <w:proofErr w:type="spellStart"/>
      <w:r w:rsidRPr="00CB20C0">
        <w:rPr>
          <w:sz w:val="20"/>
          <w:szCs w:val="20"/>
        </w:rPr>
        <w:t>Hoteit</w:t>
      </w:r>
      <w:proofErr w:type="spellEnd"/>
      <w:r w:rsidRPr="00CB20C0">
        <w:rPr>
          <w:sz w:val="20"/>
          <w:szCs w:val="20"/>
        </w:rPr>
        <w:t xml:space="preserve">, I. and Ellis, J. (2019) Chapter 3 – The Red Sea. In: World Seas: </w:t>
      </w:r>
      <w:proofErr w:type="gramStart"/>
      <w:r w:rsidRPr="00CB20C0">
        <w:rPr>
          <w:sz w:val="20"/>
          <w:szCs w:val="20"/>
        </w:rPr>
        <w:t>an</w:t>
      </w:r>
      <w:proofErr w:type="gramEnd"/>
      <w:r w:rsidRPr="00CB20C0">
        <w:rPr>
          <w:sz w:val="20"/>
          <w:szCs w:val="20"/>
        </w:rPr>
        <w:t xml:space="preserve"> Environmental Evaluation (Second edition). Volume II: the Indian Ocean to the Pacific. Pp 49-74. https://doi.org/10.1016/B978-0-08-100853-9.00004-X</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CMS (2018) Species List. Available at: https://www.cms.int/en/species Accessed 19th October 2018.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Cooke, J.G. &amp; Brownell Jr., R.L. (2018) </w:t>
      </w:r>
      <w:r w:rsidRPr="00CB20C0">
        <w:rPr>
          <w:i/>
          <w:iCs/>
          <w:sz w:val="20"/>
          <w:szCs w:val="20"/>
        </w:rPr>
        <w:t xml:space="preserve">Balaenoptera </w:t>
      </w:r>
      <w:proofErr w:type="spellStart"/>
      <w:r w:rsidRPr="00CB20C0">
        <w:rPr>
          <w:i/>
          <w:iCs/>
          <w:sz w:val="20"/>
          <w:szCs w:val="20"/>
        </w:rPr>
        <w:t>edeni</w:t>
      </w:r>
      <w:proofErr w:type="spellEnd"/>
      <w:r w:rsidRPr="00CB20C0">
        <w:rPr>
          <w:sz w:val="20"/>
          <w:szCs w:val="20"/>
        </w:rPr>
        <w:t>. </w:t>
      </w:r>
      <w:r w:rsidRPr="00CB20C0">
        <w:rPr>
          <w:i/>
          <w:iCs/>
          <w:sz w:val="20"/>
          <w:szCs w:val="20"/>
        </w:rPr>
        <w:t>The IUCN Red List of Threatened Species</w:t>
      </w:r>
      <w:r w:rsidRPr="00CB20C0">
        <w:rPr>
          <w:sz w:val="20"/>
          <w:szCs w:val="20"/>
        </w:rPr>
        <w:t> 2018: e.T2476A50349178. </w:t>
      </w:r>
      <w:hyperlink r:id="rId20" w:history="1">
        <w:r w:rsidRPr="00CB20C0">
          <w:rPr>
            <w:rStyle w:val="Hyperlink"/>
            <w:sz w:val="20"/>
            <w:szCs w:val="20"/>
          </w:rPr>
          <w:t>http://dx.doi.org/10.2305/IUCN.UK.2018-1.RLTS.T2476A50349178.en</w:t>
        </w:r>
      </w:hyperlink>
      <w:r w:rsidRPr="00CB20C0">
        <w:rPr>
          <w:sz w:val="20"/>
          <w:szCs w:val="20"/>
        </w:rPr>
        <w:t>.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r w:rsidRPr="00CB20C0">
        <w:rPr>
          <w:sz w:val="20"/>
          <w:szCs w:val="20"/>
        </w:rPr>
        <w:t>Fumagalli</w:t>
      </w:r>
      <w:proofErr w:type="spellEnd"/>
      <w:r w:rsidRPr="00CB20C0">
        <w:rPr>
          <w:sz w:val="20"/>
          <w:szCs w:val="20"/>
        </w:rPr>
        <w:t xml:space="preserve">, M., Cesario, A., Costa, M., </w:t>
      </w:r>
      <w:proofErr w:type="spellStart"/>
      <w:r w:rsidRPr="00CB20C0">
        <w:rPr>
          <w:sz w:val="20"/>
          <w:szCs w:val="20"/>
        </w:rPr>
        <w:t>Harraway</w:t>
      </w:r>
      <w:proofErr w:type="spellEnd"/>
      <w:r w:rsidRPr="00CB20C0">
        <w:rPr>
          <w:sz w:val="20"/>
          <w:szCs w:val="20"/>
        </w:rPr>
        <w:t xml:space="preserve">, J., </w:t>
      </w:r>
      <w:proofErr w:type="spellStart"/>
      <w:r w:rsidRPr="00CB20C0">
        <w:rPr>
          <w:sz w:val="20"/>
          <w:szCs w:val="20"/>
        </w:rPr>
        <w:t>Notarbartolo</w:t>
      </w:r>
      <w:proofErr w:type="spellEnd"/>
      <w:r w:rsidRPr="00CB20C0">
        <w:rPr>
          <w:sz w:val="20"/>
          <w:szCs w:val="20"/>
        </w:rPr>
        <w:t xml:space="preserve"> di </w:t>
      </w:r>
      <w:proofErr w:type="spellStart"/>
      <w:r w:rsidRPr="00CB20C0">
        <w:rPr>
          <w:sz w:val="20"/>
          <w:szCs w:val="20"/>
        </w:rPr>
        <w:t>Sciara</w:t>
      </w:r>
      <w:proofErr w:type="spellEnd"/>
      <w:r w:rsidRPr="00CB20C0">
        <w:rPr>
          <w:sz w:val="20"/>
          <w:szCs w:val="20"/>
        </w:rPr>
        <w:t xml:space="preserve">, G. and </w:t>
      </w:r>
      <w:proofErr w:type="spellStart"/>
      <w:r w:rsidRPr="00CB20C0">
        <w:rPr>
          <w:sz w:val="20"/>
          <w:szCs w:val="20"/>
        </w:rPr>
        <w:t>Slooten</w:t>
      </w:r>
      <w:proofErr w:type="spellEnd"/>
      <w:r w:rsidRPr="00CB20C0">
        <w:rPr>
          <w:sz w:val="20"/>
          <w:szCs w:val="20"/>
        </w:rPr>
        <w:t xml:space="preserve">, E. (2018) </w:t>
      </w:r>
      <w:proofErr w:type="spellStart"/>
      <w:r w:rsidRPr="00CB20C0">
        <w:rPr>
          <w:sz w:val="20"/>
          <w:szCs w:val="20"/>
        </w:rPr>
        <w:t>Behavioural</w:t>
      </w:r>
      <w:proofErr w:type="spellEnd"/>
      <w:r w:rsidRPr="00CB20C0">
        <w:rPr>
          <w:sz w:val="20"/>
          <w:szCs w:val="20"/>
        </w:rPr>
        <w:t xml:space="preserve"> responses of spinner dolphins to human interactions. Royal Society Open Science 5: 172044. </w:t>
      </w:r>
      <w:hyperlink r:id="rId21" w:history="1">
        <w:r w:rsidRPr="00CB20C0">
          <w:rPr>
            <w:rStyle w:val="Hyperlink"/>
            <w:sz w:val="20"/>
            <w:szCs w:val="20"/>
          </w:rPr>
          <w:t>http://dx.doi.org/10.1098/rsos.172044</w:t>
        </w:r>
      </w:hyperlink>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 </w:t>
      </w:r>
      <w:proofErr w:type="spellStart"/>
      <w:r w:rsidRPr="00CB20C0">
        <w:rPr>
          <w:sz w:val="20"/>
          <w:szCs w:val="20"/>
        </w:rPr>
        <w:t>Karczmarski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Wells, R.S. &amp; Wilson, B. (2008) </w:t>
      </w:r>
      <w:r w:rsidRPr="00CB20C0">
        <w:rPr>
          <w:i/>
          <w:iCs/>
          <w:sz w:val="20"/>
          <w:szCs w:val="20"/>
        </w:rPr>
        <w:t xml:space="preserve">Delphinus </w:t>
      </w:r>
      <w:proofErr w:type="spellStart"/>
      <w:r w:rsidRPr="00CB20C0">
        <w:rPr>
          <w:i/>
          <w:iCs/>
          <w:sz w:val="20"/>
          <w:szCs w:val="20"/>
        </w:rPr>
        <w:t>delphis</w:t>
      </w:r>
      <w:proofErr w:type="spellEnd"/>
      <w:r w:rsidRPr="00CB20C0">
        <w:rPr>
          <w:sz w:val="20"/>
          <w:szCs w:val="20"/>
        </w:rPr>
        <w:t>. </w:t>
      </w:r>
      <w:r w:rsidRPr="00CB20C0">
        <w:rPr>
          <w:i/>
          <w:iCs/>
          <w:sz w:val="20"/>
          <w:szCs w:val="20"/>
        </w:rPr>
        <w:t>The IUCN Red List of Threatened Species</w:t>
      </w:r>
      <w:r w:rsidRPr="00CB20C0">
        <w:rPr>
          <w:sz w:val="20"/>
          <w:szCs w:val="20"/>
        </w:rPr>
        <w:t>2008: e.T6336A12649851. http://dx.doi.org/10.2305/IUCN.UK.2008.RLTS.T6336A12649851.en.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w:t>
      </w:r>
      <w:proofErr w:type="gramStart"/>
      <w:r w:rsidRPr="00CB20C0">
        <w:rPr>
          <w:sz w:val="20"/>
          <w:szCs w:val="20"/>
        </w:rPr>
        <w:t>J.Y. ,</w:t>
      </w:r>
      <w:proofErr w:type="gramEnd"/>
      <w:r w:rsidRPr="00CB20C0">
        <w:rPr>
          <w:sz w:val="20"/>
          <w:szCs w:val="20"/>
        </w:rPr>
        <w:t xml:space="preserve"> Wells, R.S. &amp; Wilson, B. (2012a)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attenuata</w:t>
      </w:r>
      <w:proofErr w:type="spellEnd"/>
      <w:r w:rsidRPr="00CB20C0">
        <w:rPr>
          <w:sz w:val="20"/>
          <w:szCs w:val="20"/>
        </w:rPr>
        <w:t>. </w:t>
      </w:r>
      <w:r w:rsidRPr="00CB20C0">
        <w:rPr>
          <w:i/>
          <w:iCs/>
          <w:sz w:val="20"/>
          <w:szCs w:val="20"/>
        </w:rPr>
        <w:t>The IUCN Red List of Threatened Species</w:t>
      </w:r>
      <w:r w:rsidRPr="00CB20C0">
        <w:rPr>
          <w:sz w:val="20"/>
          <w:szCs w:val="20"/>
        </w:rPr>
        <w:t> 2012: e.T20729A17821189. http://dx.doi.org/10.2305/IUCN.UK.2012.RLTS.T20729A17821189.en.</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w:t>
      </w:r>
      <w:proofErr w:type="gramStart"/>
      <w:r w:rsidRPr="00CB20C0">
        <w:rPr>
          <w:sz w:val="20"/>
          <w:szCs w:val="20"/>
        </w:rPr>
        <w:t>J.Y. ,</w:t>
      </w:r>
      <w:proofErr w:type="gramEnd"/>
      <w:r w:rsidRPr="00CB20C0">
        <w:rPr>
          <w:sz w:val="20"/>
          <w:szCs w:val="20"/>
        </w:rPr>
        <w:t xml:space="preserve"> Wells, R.S. &amp; Wilson, B. (2012b) </w:t>
      </w:r>
      <w:r w:rsidRPr="00CB20C0">
        <w:rPr>
          <w:i/>
          <w:iCs/>
          <w:sz w:val="20"/>
          <w:szCs w:val="20"/>
        </w:rPr>
        <w:t xml:space="preserve">Tursiops </w:t>
      </w:r>
      <w:proofErr w:type="spellStart"/>
      <w:r w:rsidRPr="00CB20C0">
        <w:rPr>
          <w:i/>
          <w:iCs/>
          <w:sz w:val="20"/>
          <w:szCs w:val="20"/>
        </w:rPr>
        <w:t>aduncus</w:t>
      </w:r>
      <w:proofErr w:type="spellEnd"/>
      <w:r w:rsidRPr="00CB20C0">
        <w:rPr>
          <w:sz w:val="20"/>
          <w:szCs w:val="20"/>
        </w:rPr>
        <w:t>. </w:t>
      </w:r>
      <w:r w:rsidRPr="00CB20C0">
        <w:rPr>
          <w:i/>
          <w:iCs/>
          <w:sz w:val="20"/>
          <w:szCs w:val="20"/>
        </w:rPr>
        <w:t>The IUCN Red List of Threatened Species</w:t>
      </w:r>
      <w:r>
        <w:rPr>
          <w:i/>
          <w:iCs/>
          <w:sz w:val="20"/>
          <w:szCs w:val="20"/>
        </w:rPr>
        <w:t xml:space="preserve"> </w:t>
      </w:r>
      <w:r w:rsidRPr="00CB20C0">
        <w:rPr>
          <w:sz w:val="20"/>
          <w:szCs w:val="20"/>
        </w:rPr>
        <w:t>2012: e.T41714A17600466. http://dx.doi.org/10.2305/IUCN.UK.2012.RLTS.T41714A17600466.en.</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w:t>
      </w:r>
      <w:proofErr w:type="gramStart"/>
      <w:r w:rsidRPr="00CB20C0">
        <w:rPr>
          <w:sz w:val="20"/>
          <w:szCs w:val="20"/>
        </w:rPr>
        <w:t>J.Y. ,</w:t>
      </w:r>
      <w:proofErr w:type="gramEnd"/>
      <w:r w:rsidRPr="00CB20C0">
        <w:rPr>
          <w:sz w:val="20"/>
          <w:szCs w:val="20"/>
        </w:rPr>
        <w:t xml:space="preserve"> Wells, R.S. &amp; Wilson, B. (2012c) </w:t>
      </w:r>
      <w:r w:rsidRPr="00CB20C0">
        <w:rPr>
          <w:i/>
          <w:iCs/>
          <w:sz w:val="20"/>
          <w:szCs w:val="20"/>
        </w:rPr>
        <w:t xml:space="preserve">Tursiops </w:t>
      </w:r>
      <w:proofErr w:type="spellStart"/>
      <w:r w:rsidRPr="00CB20C0">
        <w:rPr>
          <w:i/>
          <w:iCs/>
          <w:sz w:val="20"/>
          <w:szCs w:val="20"/>
        </w:rPr>
        <w:t>truncatus</w:t>
      </w:r>
      <w:proofErr w:type="spellEnd"/>
      <w:r w:rsidRPr="00CB20C0">
        <w:rPr>
          <w:sz w:val="20"/>
          <w:szCs w:val="20"/>
        </w:rPr>
        <w:t>. </w:t>
      </w:r>
      <w:r w:rsidRPr="00CB20C0">
        <w:rPr>
          <w:i/>
          <w:iCs/>
          <w:sz w:val="20"/>
          <w:szCs w:val="20"/>
        </w:rPr>
        <w:t>The IUCN Red List of Threatened Species</w:t>
      </w:r>
      <w:r w:rsidRPr="00CB20C0">
        <w:rPr>
          <w:sz w:val="20"/>
          <w:szCs w:val="20"/>
        </w:rPr>
        <w:t> 2012: e.T22563A17347397. http://dx.doi.org/10.2305/IUCN.UK.2012.RLTS.T22563A17347397.en. </w:t>
      </w:r>
    </w:p>
    <w:p w:rsidR="00367FDF"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IUCN (2018) Regional Red List Assessments. Available at: https://newredlist.iucnredlist.org/about/regional Accessed 16 October 2018.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proofErr w:type="gramStart"/>
      <w:r w:rsidRPr="00CB20C0">
        <w:rPr>
          <w:sz w:val="20"/>
          <w:szCs w:val="20"/>
        </w:rPr>
        <w:t>Kleinertz,S</w:t>
      </w:r>
      <w:proofErr w:type="spellEnd"/>
      <w:r w:rsidRPr="00CB20C0">
        <w:rPr>
          <w:sz w:val="20"/>
          <w:szCs w:val="20"/>
        </w:rPr>
        <w:t>.</w:t>
      </w:r>
      <w:proofErr w:type="gramEnd"/>
      <w:r w:rsidRPr="00CB20C0">
        <w:rPr>
          <w:sz w:val="20"/>
          <w:szCs w:val="20"/>
        </w:rPr>
        <w:t xml:space="preserve">, </w:t>
      </w:r>
      <w:proofErr w:type="spellStart"/>
      <w:r w:rsidRPr="00CB20C0">
        <w:rPr>
          <w:sz w:val="20"/>
          <w:szCs w:val="20"/>
        </w:rPr>
        <w:t>Hermosilla</w:t>
      </w:r>
      <w:proofErr w:type="spellEnd"/>
      <w:r w:rsidRPr="00CB20C0">
        <w:rPr>
          <w:sz w:val="20"/>
          <w:szCs w:val="20"/>
        </w:rPr>
        <w:t xml:space="preserve">, C., </w:t>
      </w:r>
      <w:proofErr w:type="spellStart"/>
      <w:r w:rsidRPr="00CB20C0">
        <w:rPr>
          <w:sz w:val="20"/>
          <w:szCs w:val="20"/>
        </w:rPr>
        <w:t>Ziltener</w:t>
      </w:r>
      <w:proofErr w:type="spellEnd"/>
      <w:r w:rsidRPr="00CB20C0">
        <w:rPr>
          <w:sz w:val="20"/>
          <w:szCs w:val="20"/>
        </w:rPr>
        <w:t xml:space="preserve">, A., </w:t>
      </w:r>
      <w:proofErr w:type="spellStart"/>
      <w:r w:rsidRPr="00CB20C0">
        <w:rPr>
          <w:sz w:val="20"/>
          <w:szCs w:val="20"/>
        </w:rPr>
        <w:t>Kreicker</w:t>
      </w:r>
      <w:proofErr w:type="spellEnd"/>
      <w:r w:rsidRPr="00CB20C0">
        <w:rPr>
          <w:sz w:val="20"/>
          <w:szCs w:val="20"/>
        </w:rPr>
        <w:t xml:space="preserve">, S., </w:t>
      </w:r>
      <w:proofErr w:type="spellStart"/>
      <w:r w:rsidRPr="00CB20C0">
        <w:rPr>
          <w:sz w:val="20"/>
          <w:szCs w:val="20"/>
        </w:rPr>
        <w:t>Hirzmann</w:t>
      </w:r>
      <w:proofErr w:type="spellEnd"/>
      <w:r w:rsidRPr="00CB20C0">
        <w:rPr>
          <w:sz w:val="20"/>
          <w:szCs w:val="20"/>
        </w:rPr>
        <w:t xml:space="preserve">, J., Abdel-Ghaffar, F. and A. </w:t>
      </w:r>
      <w:proofErr w:type="spellStart"/>
      <w:r w:rsidRPr="00CB20C0">
        <w:rPr>
          <w:sz w:val="20"/>
          <w:szCs w:val="20"/>
        </w:rPr>
        <w:t>Taubert</w:t>
      </w:r>
      <w:proofErr w:type="spellEnd"/>
      <w:r w:rsidRPr="00CB20C0">
        <w:rPr>
          <w:sz w:val="20"/>
          <w:szCs w:val="20"/>
        </w:rPr>
        <w:t xml:space="preserve"> (2014) Gastrointestinal parasites of free-living Indo-Pacific bottlenose dolphins (</w:t>
      </w:r>
      <w:r w:rsidRPr="00CB20C0">
        <w:rPr>
          <w:i/>
          <w:sz w:val="20"/>
          <w:szCs w:val="20"/>
        </w:rPr>
        <w:t xml:space="preserve">Tursiops </w:t>
      </w:r>
      <w:proofErr w:type="spellStart"/>
      <w:r w:rsidRPr="00CB20C0">
        <w:rPr>
          <w:i/>
          <w:sz w:val="20"/>
          <w:szCs w:val="20"/>
        </w:rPr>
        <w:t>aduncus</w:t>
      </w:r>
      <w:proofErr w:type="spellEnd"/>
      <w:r w:rsidRPr="00CB20C0">
        <w:rPr>
          <w:sz w:val="20"/>
          <w:szCs w:val="20"/>
        </w:rPr>
        <w:t xml:space="preserve">) in the Northern Red Sea, Egypt. Parasitology Research. 113(4): 1405-1415.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National Red List (2018) Available at: </w:t>
      </w:r>
      <w:proofErr w:type="gramStart"/>
      <w:r w:rsidRPr="00CB20C0">
        <w:rPr>
          <w:sz w:val="20"/>
          <w:szCs w:val="20"/>
        </w:rPr>
        <w:t>http://www.nationalredlist.org/  Accessed</w:t>
      </w:r>
      <w:proofErr w:type="gramEnd"/>
      <w:r w:rsidRPr="00CB20C0">
        <w:rPr>
          <w:sz w:val="20"/>
          <w:szCs w:val="20"/>
        </w:rPr>
        <w:t xml:space="preserve"> 27 September 2018.</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r w:rsidRPr="00CB20C0">
        <w:rPr>
          <w:sz w:val="20"/>
          <w:szCs w:val="20"/>
        </w:rPr>
        <w:t>Notarbartolo</w:t>
      </w:r>
      <w:proofErr w:type="spellEnd"/>
      <w:r w:rsidRPr="00CB20C0">
        <w:rPr>
          <w:sz w:val="20"/>
          <w:szCs w:val="20"/>
        </w:rPr>
        <w:t xml:space="preserve"> di </w:t>
      </w:r>
      <w:proofErr w:type="spellStart"/>
      <w:r w:rsidRPr="00CB20C0">
        <w:rPr>
          <w:sz w:val="20"/>
          <w:szCs w:val="20"/>
        </w:rPr>
        <w:t>Sciara</w:t>
      </w:r>
      <w:proofErr w:type="spellEnd"/>
      <w:r w:rsidRPr="00CB20C0">
        <w:rPr>
          <w:sz w:val="20"/>
          <w:szCs w:val="20"/>
        </w:rPr>
        <w:t xml:space="preserve">, G., Hanafy, M.H., </w:t>
      </w:r>
      <w:proofErr w:type="spellStart"/>
      <w:r w:rsidRPr="00CB20C0">
        <w:rPr>
          <w:sz w:val="20"/>
          <w:szCs w:val="20"/>
        </w:rPr>
        <w:t>Fouda</w:t>
      </w:r>
      <w:proofErr w:type="spellEnd"/>
      <w:r w:rsidRPr="00CB20C0">
        <w:rPr>
          <w:sz w:val="20"/>
          <w:szCs w:val="20"/>
        </w:rPr>
        <w:t>, M.M., Afifi, A. and Costa, M. (2009) Spinner dolphin (</w:t>
      </w:r>
      <w:proofErr w:type="spellStart"/>
      <w:r w:rsidRPr="00CB20C0">
        <w:rPr>
          <w:i/>
          <w:sz w:val="20"/>
          <w:szCs w:val="20"/>
        </w:rPr>
        <w:t>Stenella</w:t>
      </w:r>
      <w:proofErr w:type="spellEnd"/>
      <w:r w:rsidRPr="00CB20C0">
        <w:rPr>
          <w:i/>
          <w:sz w:val="20"/>
          <w:szCs w:val="20"/>
        </w:rPr>
        <w:t xml:space="preserve"> </w:t>
      </w:r>
      <w:proofErr w:type="spellStart"/>
      <w:r w:rsidRPr="00CB20C0">
        <w:rPr>
          <w:i/>
          <w:sz w:val="20"/>
          <w:szCs w:val="20"/>
        </w:rPr>
        <w:t>longirostris</w:t>
      </w:r>
      <w:proofErr w:type="spellEnd"/>
      <w:r w:rsidRPr="00CB20C0">
        <w:rPr>
          <w:sz w:val="20"/>
          <w:szCs w:val="20"/>
        </w:rPr>
        <w:t xml:space="preserve">) resting habitat in </w:t>
      </w:r>
      <w:proofErr w:type="spellStart"/>
      <w:r w:rsidRPr="00CB20C0">
        <w:rPr>
          <w:sz w:val="20"/>
          <w:szCs w:val="20"/>
        </w:rPr>
        <w:t>Samadai</w:t>
      </w:r>
      <w:proofErr w:type="spellEnd"/>
      <w:r w:rsidRPr="00CB20C0">
        <w:rPr>
          <w:sz w:val="20"/>
          <w:szCs w:val="20"/>
        </w:rPr>
        <w:t xml:space="preserve"> Reef (Egypt, Red Sea) protected through tourism management. Journal of the Marine Biological Association of the United Kingdom 89(1):211-216. doi:10.1017/S0025315408002221</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proofErr w:type="spellStart"/>
      <w:r w:rsidRPr="00CB20C0">
        <w:rPr>
          <w:sz w:val="20"/>
          <w:szCs w:val="20"/>
        </w:rPr>
        <w:lastRenderedPageBreak/>
        <w:t>Notarbartolo</w:t>
      </w:r>
      <w:proofErr w:type="spellEnd"/>
      <w:r w:rsidRPr="00CB20C0">
        <w:rPr>
          <w:sz w:val="20"/>
          <w:szCs w:val="20"/>
        </w:rPr>
        <w:t xml:space="preserve"> di </w:t>
      </w:r>
      <w:proofErr w:type="spellStart"/>
      <w:r w:rsidRPr="00CB20C0">
        <w:rPr>
          <w:sz w:val="20"/>
          <w:szCs w:val="20"/>
        </w:rPr>
        <w:t>Sciara</w:t>
      </w:r>
      <w:proofErr w:type="spellEnd"/>
      <w:r w:rsidRPr="00CB20C0">
        <w:rPr>
          <w:sz w:val="20"/>
          <w:szCs w:val="20"/>
        </w:rPr>
        <w:t xml:space="preserve">, G., </w:t>
      </w:r>
      <w:proofErr w:type="spellStart"/>
      <w:r w:rsidRPr="00CB20C0">
        <w:rPr>
          <w:sz w:val="20"/>
          <w:szCs w:val="20"/>
        </w:rPr>
        <w:t>Kerem</w:t>
      </w:r>
      <w:proofErr w:type="spellEnd"/>
      <w:r w:rsidRPr="00CB20C0">
        <w:rPr>
          <w:sz w:val="20"/>
          <w:szCs w:val="20"/>
        </w:rPr>
        <w:t xml:space="preserve">, D., </w:t>
      </w:r>
      <w:proofErr w:type="spellStart"/>
      <w:r w:rsidRPr="00CB20C0">
        <w:rPr>
          <w:sz w:val="20"/>
          <w:szCs w:val="20"/>
        </w:rPr>
        <w:t>Smeenk</w:t>
      </w:r>
      <w:proofErr w:type="spellEnd"/>
      <w:r w:rsidRPr="00CB20C0">
        <w:rPr>
          <w:sz w:val="20"/>
          <w:szCs w:val="20"/>
        </w:rPr>
        <w:t xml:space="preserve">, C., Rudolph, P., Cesario, A., Costa, M., </w:t>
      </w:r>
      <w:proofErr w:type="spellStart"/>
      <w:r w:rsidRPr="00CB20C0">
        <w:rPr>
          <w:sz w:val="20"/>
          <w:szCs w:val="20"/>
        </w:rPr>
        <w:t>Elasar</w:t>
      </w:r>
      <w:proofErr w:type="spellEnd"/>
      <w:r w:rsidRPr="00CB20C0">
        <w:rPr>
          <w:sz w:val="20"/>
          <w:szCs w:val="20"/>
        </w:rPr>
        <w:t xml:space="preserve">, M., Feingold, D., </w:t>
      </w:r>
      <w:proofErr w:type="spellStart"/>
      <w:r w:rsidRPr="00CB20C0">
        <w:rPr>
          <w:sz w:val="20"/>
          <w:szCs w:val="20"/>
        </w:rPr>
        <w:t>Fumagalli</w:t>
      </w:r>
      <w:proofErr w:type="spellEnd"/>
      <w:r w:rsidRPr="00CB20C0">
        <w:rPr>
          <w:sz w:val="20"/>
          <w:szCs w:val="20"/>
        </w:rPr>
        <w:t xml:space="preserve">, M., Goffman, O., </w:t>
      </w:r>
      <w:proofErr w:type="spellStart"/>
      <w:r w:rsidRPr="00CB20C0">
        <w:rPr>
          <w:sz w:val="20"/>
          <w:szCs w:val="20"/>
        </w:rPr>
        <w:t>Hadar</w:t>
      </w:r>
      <w:proofErr w:type="spellEnd"/>
      <w:r w:rsidRPr="00CB20C0">
        <w:rPr>
          <w:sz w:val="20"/>
          <w:szCs w:val="20"/>
        </w:rPr>
        <w:t xml:space="preserve">, N., </w:t>
      </w:r>
      <w:proofErr w:type="spellStart"/>
      <w:r w:rsidRPr="00CB20C0">
        <w:rPr>
          <w:sz w:val="20"/>
          <w:szCs w:val="20"/>
        </w:rPr>
        <w:t>Mebrathu</w:t>
      </w:r>
      <w:proofErr w:type="spellEnd"/>
      <w:r w:rsidRPr="00CB20C0">
        <w:rPr>
          <w:sz w:val="20"/>
          <w:szCs w:val="20"/>
        </w:rPr>
        <w:t xml:space="preserve">, Y.T., </w:t>
      </w:r>
      <w:proofErr w:type="spellStart"/>
      <w:r w:rsidRPr="00CB20C0">
        <w:rPr>
          <w:sz w:val="20"/>
          <w:szCs w:val="20"/>
        </w:rPr>
        <w:t>Scheinin</w:t>
      </w:r>
      <w:proofErr w:type="spellEnd"/>
      <w:r w:rsidRPr="00CB20C0">
        <w:rPr>
          <w:sz w:val="20"/>
          <w:szCs w:val="20"/>
        </w:rPr>
        <w:t xml:space="preserve">, A. (2017) Cetaceans of the Red Sea. CMS Technical Series 33, 86 p.  Available at: https://www.cms.int/sites/default/files/publication/red_sea_cetaceans_report_web_final.pdf </w:t>
      </w:r>
    </w:p>
    <w:p w:rsidR="00367FDF" w:rsidRPr="00CB20C0" w:rsidRDefault="00367FDF" w:rsidP="00017772">
      <w:pPr>
        <w:spacing w:after="0" w:line="240" w:lineRule="auto"/>
        <w:ind w:left="284" w:hanging="284"/>
        <w:jc w:val="both"/>
        <w:rPr>
          <w:sz w:val="20"/>
          <w:szCs w:val="20"/>
        </w:rPr>
      </w:pPr>
    </w:p>
    <w:p w:rsidR="00367FDF" w:rsidRPr="00CB20C0" w:rsidRDefault="00367FDF" w:rsidP="00017772">
      <w:pPr>
        <w:spacing w:after="0" w:line="240" w:lineRule="auto"/>
        <w:ind w:left="284" w:hanging="284"/>
        <w:jc w:val="both"/>
        <w:rPr>
          <w:sz w:val="20"/>
          <w:szCs w:val="20"/>
        </w:rPr>
      </w:pPr>
      <w:r w:rsidRPr="00CB20C0">
        <w:rPr>
          <w:sz w:val="20"/>
          <w:szCs w:val="20"/>
        </w:rPr>
        <w:t xml:space="preserve">Taylor, B.L., Baird, R., Barlow, J., Dawson, S.M., Ford, J.K.B., Mead, J.G., </w:t>
      </w:r>
      <w:proofErr w:type="spellStart"/>
      <w:r w:rsidRPr="00CB20C0">
        <w:rPr>
          <w:sz w:val="20"/>
          <w:szCs w:val="20"/>
        </w:rPr>
        <w:t>Notarbartolo</w:t>
      </w:r>
      <w:proofErr w:type="spellEnd"/>
      <w:r w:rsidRPr="00CB20C0">
        <w:rPr>
          <w:sz w:val="20"/>
          <w:szCs w:val="20"/>
        </w:rPr>
        <w:t xml:space="preserve"> di </w:t>
      </w:r>
      <w:proofErr w:type="spellStart"/>
      <w:r w:rsidRPr="00CB20C0">
        <w:rPr>
          <w:sz w:val="20"/>
          <w:szCs w:val="20"/>
        </w:rPr>
        <w:t>Sciara</w:t>
      </w:r>
      <w:proofErr w:type="spellEnd"/>
      <w:r w:rsidRPr="00CB20C0">
        <w:rPr>
          <w:sz w:val="20"/>
          <w:szCs w:val="20"/>
        </w:rPr>
        <w:t>, G., Wade, P. &amp; Pitman, R.L. (2012) </w:t>
      </w:r>
      <w:r w:rsidRPr="00CB20C0">
        <w:rPr>
          <w:i/>
          <w:iCs/>
          <w:sz w:val="20"/>
          <w:szCs w:val="20"/>
        </w:rPr>
        <w:t>Grampus griseus</w:t>
      </w:r>
      <w:r w:rsidRPr="00CB20C0">
        <w:rPr>
          <w:sz w:val="20"/>
          <w:szCs w:val="20"/>
        </w:rPr>
        <w:t>. </w:t>
      </w:r>
      <w:r w:rsidRPr="00CB20C0">
        <w:rPr>
          <w:i/>
          <w:iCs/>
          <w:sz w:val="20"/>
          <w:szCs w:val="20"/>
        </w:rPr>
        <w:t>The IUCN Red List of Threatened Species</w:t>
      </w:r>
      <w:r w:rsidRPr="00CB20C0">
        <w:rPr>
          <w:sz w:val="20"/>
          <w:szCs w:val="20"/>
        </w:rPr>
        <w:t> 2012: e.T9461A17386190. http://dx.doi.org/10.2305/IUCN.UK.2012.RLTS.T9461A17386190.en.</w:t>
      </w:r>
    </w:p>
    <w:p w:rsidR="00017772" w:rsidRDefault="00017772" w:rsidP="00017772">
      <w:pPr>
        <w:pStyle w:val="ListParagraph"/>
        <w:spacing w:after="0" w:line="240" w:lineRule="auto"/>
        <w:ind w:left="1134"/>
        <w:jc w:val="both"/>
        <w:sectPr w:rsidR="00017772" w:rsidSect="004E1519">
          <w:headerReference w:type="even" r:id="rId22"/>
          <w:pgSz w:w="11906" w:h="16838" w:code="9"/>
          <w:pgMar w:top="1134" w:right="1134" w:bottom="1134" w:left="1134" w:header="720" w:footer="720" w:gutter="0"/>
          <w:cols w:space="720"/>
          <w:titlePg/>
          <w:docGrid w:linePitch="360"/>
        </w:sectPr>
      </w:pPr>
    </w:p>
    <w:p w:rsidR="00017772" w:rsidRPr="003F1CE4" w:rsidRDefault="00017772" w:rsidP="00017772">
      <w:pPr>
        <w:spacing w:after="0" w:line="240" w:lineRule="auto"/>
        <w:jc w:val="right"/>
        <w:rPr>
          <w:rFonts w:cs="Arial"/>
          <w:b/>
          <w:bCs/>
          <w:caps/>
          <w:lang w:val="es-ES"/>
        </w:rPr>
      </w:pPr>
      <w:r w:rsidRPr="008F5322">
        <w:rPr>
          <w:rFonts w:cs="Arial"/>
          <w:b/>
          <w:caps/>
          <w:lang w:val="es-ES"/>
        </w:rPr>
        <w:lastRenderedPageBreak/>
        <w:t xml:space="preserve">Anexo  2 </w:t>
      </w:r>
    </w:p>
    <w:p w:rsidR="00017772" w:rsidRPr="003F1CE4" w:rsidRDefault="00017772" w:rsidP="00017772">
      <w:pPr>
        <w:spacing w:after="0" w:line="240" w:lineRule="auto"/>
        <w:rPr>
          <w:rFonts w:cs="Arial"/>
          <w:lang w:val="es-ES"/>
        </w:rPr>
      </w:pPr>
    </w:p>
    <w:p w:rsidR="00017772" w:rsidRPr="003F1CE4" w:rsidRDefault="00017772" w:rsidP="00017772">
      <w:pPr>
        <w:spacing w:after="0" w:line="240" w:lineRule="auto"/>
        <w:jc w:val="center"/>
        <w:rPr>
          <w:rFonts w:cs="Arial"/>
          <w:lang w:val="es-ES"/>
        </w:rPr>
      </w:pPr>
      <w:r w:rsidRPr="008F5322">
        <w:rPr>
          <w:rFonts w:cs="Arial"/>
          <w:lang w:val="es-ES"/>
        </w:rPr>
        <w:t>DECISIONES PROPUESTAS</w:t>
      </w:r>
    </w:p>
    <w:p w:rsidR="00017772" w:rsidRPr="003F1CE4" w:rsidRDefault="00017772" w:rsidP="00017772">
      <w:pPr>
        <w:spacing w:after="0" w:line="240" w:lineRule="auto"/>
        <w:jc w:val="center"/>
        <w:rPr>
          <w:rFonts w:cs="Arial"/>
          <w:lang w:val="es-ES"/>
        </w:rPr>
      </w:pPr>
    </w:p>
    <w:p w:rsidR="00017772" w:rsidRPr="003F1CE4" w:rsidRDefault="00017772" w:rsidP="0001777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lang w:val="es-ES"/>
        </w:rPr>
      </w:pPr>
      <w:r w:rsidRPr="008F5322">
        <w:rPr>
          <w:rFonts w:cs="Arial"/>
          <w:b/>
          <w:bCs/>
          <w:caps/>
          <w:lang w:val="es-ES"/>
        </w:rPr>
        <w:t>Programa mundial de trabajo para los cetáceos</w:t>
      </w:r>
    </w:p>
    <w:p w:rsidR="00017772" w:rsidRPr="003F1CE4" w:rsidRDefault="00017772" w:rsidP="00017772">
      <w:pPr>
        <w:pStyle w:val="ListParagraph"/>
        <w:spacing w:after="0" w:line="240" w:lineRule="auto"/>
        <w:ind w:left="540"/>
        <w:contextualSpacing w:val="0"/>
        <w:rPr>
          <w:b/>
          <w:lang w:val="es-ES"/>
        </w:rPr>
      </w:pPr>
    </w:p>
    <w:p w:rsidR="00017772" w:rsidRPr="003F1CE4" w:rsidRDefault="00017772" w:rsidP="00017772">
      <w:pPr>
        <w:pStyle w:val="ListParagraph"/>
        <w:spacing w:after="0" w:line="240" w:lineRule="auto"/>
        <w:ind w:left="540"/>
        <w:contextualSpacing w:val="0"/>
        <w:rPr>
          <w:b/>
          <w:lang w:val="es-ES"/>
        </w:rPr>
      </w:pPr>
    </w:p>
    <w:p w:rsidR="00017772" w:rsidRPr="003F1CE4" w:rsidRDefault="00017772" w:rsidP="00017772">
      <w:pPr>
        <w:pStyle w:val="ListParagraph"/>
        <w:spacing w:after="0" w:line="240" w:lineRule="auto"/>
        <w:ind w:left="540" w:hanging="540"/>
        <w:contextualSpacing w:val="0"/>
        <w:rPr>
          <w:b/>
          <w:bCs/>
          <w:iCs/>
          <w:lang w:val="es-ES"/>
        </w:rPr>
      </w:pPr>
      <w:r w:rsidRPr="008F5322">
        <w:rPr>
          <w:b/>
          <w:bCs/>
          <w:iCs/>
          <w:lang w:val="es-ES"/>
        </w:rPr>
        <w:t>Dirigidas a las Partes</w:t>
      </w:r>
    </w:p>
    <w:p w:rsidR="00017772" w:rsidRPr="003F1CE4" w:rsidRDefault="00017772" w:rsidP="00017772">
      <w:pPr>
        <w:pStyle w:val="ListParagraph"/>
        <w:spacing w:after="0" w:line="240" w:lineRule="auto"/>
        <w:ind w:left="540"/>
        <w:contextualSpacing w:val="0"/>
        <w:rPr>
          <w:iCs/>
          <w:lang w:val="es-ES"/>
        </w:rPr>
      </w:pPr>
    </w:p>
    <w:p w:rsidR="00017772" w:rsidRPr="003F1CE4" w:rsidRDefault="00017772" w:rsidP="00017772">
      <w:pPr>
        <w:spacing w:after="0" w:line="240" w:lineRule="auto"/>
        <w:rPr>
          <w:rFonts w:eastAsia="Times New Roman" w:cs="Arial"/>
          <w:iCs/>
          <w:lang w:val="es-ES"/>
        </w:rPr>
      </w:pPr>
      <w:r w:rsidRPr="008F5322">
        <w:rPr>
          <w:rFonts w:eastAsia="Times New Roman" w:cs="Arial"/>
          <w:iCs/>
          <w:lang w:val="es-ES"/>
        </w:rPr>
        <w:t>13.AA</w:t>
      </w:r>
      <w:r w:rsidRPr="008F5322">
        <w:rPr>
          <w:rFonts w:eastAsia="Times New Roman" w:cs="Arial"/>
          <w:iCs/>
          <w:lang w:val="es-ES"/>
        </w:rPr>
        <w:tab/>
        <w:t xml:space="preserve">Se </w:t>
      </w:r>
      <w:r>
        <w:rPr>
          <w:rFonts w:eastAsia="Times New Roman" w:cs="Arial"/>
          <w:iCs/>
          <w:lang w:val="es-ES"/>
        </w:rPr>
        <w:t xml:space="preserve">le solicita a las </w:t>
      </w:r>
      <w:r w:rsidRPr="008F5322">
        <w:rPr>
          <w:rFonts w:eastAsia="Times New Roman" w:cs="Arial"/>
          <w:iCs/>
          <w:lang w:val="es-ES"/>
        </w:rPr>
        <w:t>Partes:</w:t>
      </w:r>
    </w:p>
    <w:p w:rsidR="00017772" w:rsidRPr="003F1CE4" w:rsidRDefault="00017772" w:rsidP="00017772">
      <w:pPr>
        <w:spacing w:after="0" w:line="240" w:lineRule="auto"/>
        <w:ind w:firstLine="540"/>
        <w:rPr>
          <w:rFonts w:eastAsia="Times New Roman" w:cs="Arial"/>
          <w:iCs/>
          <w:lang w:val="es-ES"/>
        </w:rPr>
      </w:pPr>
    </w:p>
    <w:p w:rsidR="00017772" w:rsidRPr="003F1CE4" w:rsidRDefault="00017772" w:rsidP="00E5279B">
      <w:pPr>
        <w:pStyle w:val="ListParagraph"/>
        <w:numPr>
          <w:ilvl w:val="0"/>
          <w:numId w:val="15"/>
        </w:numPr>
        <w:spacing w:after="0" w:line="240" w:lineRule="auto"/>
        <w:ind w:left="1134" w:hanging="425"/>
        <w:contextualSpacing w:val="0"/>
        <w:jc w:val="both"/>
        <w:rPr>
          <w:lang w:val="es-ES"/>
        </w:rPr>
      </w:pPr>
      <w:r>
        <w:rPr>
          <w:lang w:val="es-ES"/>
        </w:rPr>
        <w:t>c</w:t>
      </w:r>
      <w:r w:rsidRPr="008F5322">
        <w:rPr>
          <w:lang w:val="es-ES"/>
        </w:rPr>
        <w:t>olabor</w:t>
      </w:r>
      <w:r>
        <w:rPr>
          <w:lang w:val="es-ES"/>
        </w:rPr>
        <w:t>ar</w:t>
      </w:r>
      <w:r w:rsidRPr="008F5322">
        <w:rPr>
          <w:lang w:val="es-ES"/>
        </w:rPr>
        <w:t xml:space="preserve"> con la Secretaría en relación con el potencial del desarrollo de un Plan de Acción para los cetáceos de la región del mar Rojo.</w:t>
      </w:r>
    </w:p>
    <w:p w:rsidR="00017772" w:rsidRPr="003F1CE4" w:rsidRDefault="00017772" w:rsidP="00E5279B">
      <w:pPr>
        <w:pStyle w:val="ListParagraph"/>
        <w:spacing w:after="0" w:line="240" w:lineRule="auto"/>
        <w:ind w:left="1134" w:hanging="425"/>
        <w:contextualSpacing w:val="0"/>
        <w:jc w:val="both"/>
        <w:rPr>
          <w:lang w:val="es-ES"/>
        </w:rPr>
      </w:pPr>
    </w:p>
    <w:p w:rsidR="00017772" w:rsidRPr="003F1CE4" w:rsidRDefault="00017772" w:rsidP="00E5279B">
      <w:pPr>
        <w:pStyle w:val="ListParagraph"/>
        <w:numPr>
          <w:ilvl w:val="0"/>
          <w:numId w:val="15"/>
        </w:numPr>
        <w:spacing w:after="0" w:line="240" w:lineRule="auto"/>
        <w:ind w:left="1134" w:hanging="425"/>
        <w:contextualSpacing w:val="0"/>
        <w:jc w:val="both"/>
        <w:rPr>
          <w:lang w:val="es-ES"/>
        </w:rPr>
      </w:pPr>
      <w:r>
        <w:rPr>
          <w:rFonts w:eastAsia="Times New Roman" w:cs="Arial"/>
          <w:bCs/>
          <w:iCs/>
          <w:lang w:val="es-ES"/>
        </w:rPr>
        <w:t>p</w:t>
      </w:r>
      <w:r w:rsidRPr="008F5322">
        <w:rPr>
          <w:rFonts w:eastAsia="Times New Roman" w:cs="Arial"/>
          <w:bCs/>
          <w:iCs/>
          <w:lang w:val="es-ES"/>
        </w:rPr>
        <w:t>rest</w:t>
      </w:r>
      <w:r>
        <w:rPr>
          <w:rFonts w:eastAsia="Times New Roman" w:cs="Arial"/>
          <w:bCs/>
          <w:iCs/>
          <w:lang w:val="es-ES"/>
        </w:rPr>
        <w:t>ar</w:t>
      </w:r>
      <w:r w:rsidRPr="008F5322">
        <w:rPr>
          <w:rFonts w:eastAsia="Times New Roman" w:cs="Arial"/>
          <w:bCs/>
          <w:iCs/>
          <w:lang w:val="es-ES"/>
        </w:rPr>
        <w:t xml:space="preserve"> contribuciones voluntarias para ayudar en la aplicación de estas Decisiones.</w:t>
      </w:r>
    </w:p>
    <w:p w:rsidR="00017772" w:rsidRPr="003F1CE4" w:rsidRDefault="00017772" w:rsidP="00017772">
      <w:pPr>
        <w:pStyle w:val="ListParagraph"/>
        <w:spacing w:after="0" w:line="240" w:lineRule="auto"/>
        <w:contextualSpacing w:val="0"/>
        <w:rPr>
          <w:lang w:val="es-ES"/>
        </w:rPr>
      </w:pPr>
    </w:p>
    <w:p w:rsidR="00017772" w:rsidRPr="003F1CE4" w:rsidRDefault="00017772" w:rsidP="00017772">
      <w:pPr>
        <w:pStyle w:val="ListParagraph"/>
        <w:spacing w:after="0" w:line="240" w:lineRule="auto"/>
        <w:ind w:left="540" w:hanging="540"/>
        <w:contextualSpacing w:val="0"/>
        <w:rPr>
          <w:b/>
          <w:bCs/>
          <w:iCs/>
          <w:lang w:val="es-ES"/>
        </w:rPr>
      </w:pPr>
      <w:r w:rsidRPr="008F5322">
        <w:rPr>
          <w:b/>
          <w:bCs/>
          <w:iCs/>
          <w:lang w:val="es-ES"/>
        </w:rPr>
        <w:t>Dirigido al Grupo de Trabajo sobre mamíferos acuáticos del Consejo Científico</w:t>
      </w:r>
    </w:p>
    <w:p w:rsidR="00017772" w:rsidRPr="003F1CE4" w:rsidRDefault="00017772" w:rsidP="00017772">
      <w:pPr>
        <w:pStyle w:val="ListParagraph"/>
        <w:spacing w:after="0" w:line="240" w:lineRule="auto"/>
        <w:ind w:left="540"/>
        <w:contextualSpacing w:val="0"/>
        <w:rPr>
          <w:iCs/>
          <w:lang w:val="es-ES"/>
        </w:rPr>
      </w:pPr>
    </w:p>
    <w:p w:rsidR="00017772" w:rsidRPr="003F1CE4" w:rsidRDefault="00017772" w:rsidP="00017772">
      <w:pPr>
        <w:spacing w:after="0" w:line="240" w:lineRule="auto"/>
        <w:ind w:left="567" w:hanging="567"/>
        <w:rPr>
          <w:rFonts w:eastAsia="Times New Roman" w:cs="Arial"/>
          <w:iCs/>
          <w:lang w:val="es-ES"/>
        </w:rPr>
      </w:pPr>
      <w:r w:rsidRPr="008F5322">
        <w:rPr>
          <w:rFonts w:eastAsia="Times New Roman" w:cs="Arial"/>
          <w:iCs/>
          <w:lang w:val="es-ES"/>
        </w:rPr>
        <w:t>13.BB</w:t>
      </w:r>
      <w:r w:rsidRPr="008F5322">
        <w:rPr>
          <w:rFonts w:eastAsia="Times New Roman" w:cs="Arial"/>
          <w:iCs/>
          <w:lang w:val="es-ES"/>
        </w:rPr>
        <w:tab/>
        <w:t>El Grupo de Trabajo sobre mamíferos acuáticos deberá</w:t>
      </w:r>
      <w:r w:rsidR="002A775D">
        <w:rPr>
          <w:rFonts w:eastAsia="Times New Roman" w:cs="Arial"/>
          <w:iCs/>
          <w:lang w:val="es-ES"/>
        </w:rPr>
        <w:t>, sujeto a disponibilidad de recursos</w:t>
      </w:r>
      <w:r w:rsidRPr="008F5322">
        <w:rPr>
          <w:rFonts w:eastAsia="Times New Roman" w:cs="Arial"/>
          <w:iCs/>
          <w:lang w:val="es-ES"/>
        </w:rPr>
        <w:t>:</w:t>
      </w:r>
    </w:p>
    <w:p w:rsidR="00017772" w:rsidRPr="003F1CE4" w:rsidRDefault="00017772" w:rsidP="00017772">
      <w:pPr>
        <w:spacing w:after="0" w:line="240" w:lineRule="auto"/>
        <w:ind w:firstLine="540"/>
        <w:rPr>
          <w:rFonts w:eastAsia="Times New Roman" w:cs="Arial"/>
          <w:iCs/>
          <w:lang w:val="es-ES"/>
        </w:rPr>
      </w:pPr>
    </w:p>
    <w:p w:rsidR="00017772" w:rsidRPr="003F1CE4" w:rsidRDefault="00017772" w:rsidP="00E5279B">
      <w:pPr>
        <w:pStyle w:val="ListParagraph"/>
        <w:numPr>
          <w:ilvl w:val="0"/>
          <w:numId w:val="17"/>
        </w:numPr>
        <w:spacing w:after="0" w:line="240" w:lineRule="auto"/>
        <w:ind w:left="1134" w:hanging="425"/>
        <w:jc w:val="both"/>
        <w:rPr>
          <w:i/>
          <w:iCs/>
          <w:strike/>
          <w:lang w:val="es-ES"/>
        </w:rPr>
      </w:pPr>
      <w:r w:rsidRPr="008F5322">
        <w:rPr>
          <w:rFonts w:eastAsia="Times New Roman" w:cs="Arial"/>
          <w:i/>
          <w:lang w:val="es-ES"/>
        </w:rPr>
        <w:t xml:space="preserve">(12.16) </w:t>
      </w:r>
      <w:r>
        <w:rPr>
          <w:rFonts w:eastAsia="Times New Roman" w:cs="Arial"/>
          <w:lang w:val="es-ES"/>
        </w:rPr>
        <w:t>e</w:t>
      </w:r>
      <w:r w:rsidRPr="008F5322">
        <w:rPr>
          <w:rFonts w:eastAsia="Times New Roman" w:cs="Arial"/>
          <w:lang w:val="es-ES"/>
        </w:rPr>
        <w:t xml:space="preserve">n función de la disponibilidad de los recursos, </w:t>
      </w:r>
      <w:r w:rsidRPr="008F5322">
        <w:rPr>
          <w:rFonts w:eastAsia="Times New Roman" w:cs="Arial"/>
          <w:strike/>
          <w:lang w:val="es-ES"/>
        </w:rPr>
        <w:t>el Consejo Científico debería</w:t>
      </w:r>
      <w:r w:rsidRPr="008F5322">
        <w:rPr>
          <w:rFonts w:eastAsia="Times New Roman" w:cs="Arial"/>
          <w:lang w:val="es-ES"/>
        </w:rPr>
        <w:t xml:space="preserve"> analizar las amenazas regionales para los mamíferos acuáticos, que figuran en la CMS y no están incluidos en el Programa mundial de trabajo para los cetáceos</w:t>
      </w:r>
      <w:r>
        <w:rPr>
          <w:rFonts w:eastAsia="Times New Roman" w:cs="Arial"/>
          <w:lang w:val="es-ES"/>
        </w:rPr>
        <w:t>.</w:t>
      </w:r>
      <w:r w:rsidRPr="008F5322">
        <w:rPr>
          <w:rFonts w:eastAsia="Times New Roman" w:cs="Arial"/>
          <w:lang w:val="es-ES"/>
        </w:rPr>
        <w:t xml:space="preserve"> </w:t>
      </w:r>
      <w:r w:rsidRPr="008F5322">
        <w:rPr>
          <w:rFonts w:eastAsia="Times New Roman" w:cs="Arial"/>
          <w:strike/>
          <w:lang w:val="es-ES"/>
        </w:rPr>
        <w:t>y preparar para la Conferencia de las Partes de la CMS en su 13ª Reunión una sólida evaluación de las amenazas y prioridades regionales, así como programas similares de trabajo para esas otras especies mamíferas acuáticas.</w:t>
      </w:r>
    </w:p>
    <w:p w:rsidR="00017772" w:rsidRPr="003F1CE4" w:rsidRDefault="00017772" w:rsidP="00E5279B">
      <w:pPr>
        <w:spacing w:after="0" w:line="240" w:lineRule="auto"/>
        <w:ind w:left="1134" w:hanging="425"/>
        <w:jc w:val="both"/>
        <w:rPr>
          <w:lang w:val="es-ES"/>
        </w:rPr>
      </w:pPr>
    </w:p>
    <w:p w:rsidR="00017772" w:rsidRPr="003F1CE4" w:rsidRDefault="00017772" w:rsidP="00E5279B">
      <w:pPr>
        <w:pStyle w:val="ListParagraph"/>
        <w:numPr>
          <w:ilvl w:val="0"/>
          <w:numId w:val="17"/>
        </w:numPr>
        <w:spacing w:after="0" w:line="240" w:lineRule="auto"/>
        <w:ind w:left="1134" w:hanging="425"/>
        <w:contextualSpacing w:val="0"/>
        <w:jc w:val="both"/>
        <w:rPr>
          <w:lang w:val="es-ES"/>
        </w:rPr>
      </w:pPr>
      <w:r>
        <w:rPr>
          <w:lang w:val="es-ES"/>
        </w:rPr>
        <w:t>c</w:t>
      </w:r>
      <w:r w:rsidRPr="008F5322">
        <w:rPr>
          <w:lang w:val="es-ES"/>
        </w:rPr>
        <w:t>on base en esta evaluación de las amenazas y las prioridades regionales, y en función de la disponibilidad de recursos, preparar programas de trabajo para estas otras especies mamíferas acuáticas para su consideración por parte del Consejo Científico en su 5</w:t>
      </w:r>
      <w:r w:rsidRPr="008F5322">
        <w:rPr>
          <w:vertAlign w:val="superscript"/>
          <w:lang w:val="es-ES"/>
        </w:rPr>
        <w:t>ª</w:t>
      </w:r>
      <w:r w:rsidRPr="008F5322">
        <w:rPr>
          <w:lang w:val="es-ES"/>
        </w:rPr>
        <w:t xml:space="preserve"> o 6</w:t>
      </w:r>
      <w:r w:rsidRPr="008F5322">
        <w:rPr>
          <w:vertAlign w:val="superscript"/>
          <w:lang w:val="es-ES"/>
        </w:rPr>
        <w:t>ª</w:t>
      </w:r>
      <w:r w:rsidRPr="008F5322">
        <w:rPr>
          <w:lang w:val="es-ES"/>
        </w:rPr>
        <w:t xml:space="preserve"> Reunión del Comité del Periodo de Sesiones.</w:t>
      </w:r>
    </w:p>
    <w:p w:rsidR="00017772" w:rsidRPr="003F1CE4" w:rsidRDefault="00017772" w:rsidP="00E5279B">
      <w:pPr>
        <w:pStyle w:val="ListParagraph"/>
        <w:spacing w:after="0" w:line="240" w:lineRule="auto"/>
        <w:ind w:left="1134" w:hanging="425"/>
        <w:contextualSpacing w:val="0"/>
        <w:jc w:val="both"/>
        <w:rPr>
          <w:lang w:val="es-ES"/>
        </w:rPr>
      </w:pPr>
    </w:p>
    <w:p w:rsidR="00017772" w:rsidRPr="003F1CE4" w:rsidRDefault="00017772" w:rsidP="00E5279B">
      <w:pPr>
        <w:pStyle w:val="ListParagraph"/>
        <w:numPr>
          <w:ilvl w:val="0"/>
          <w:numId w:val="17"/>
        </w:numPr>
        <w:spacing w:after="0" w:line="240" w:lineRule="auto"/>
        <w:ind w:left="1134" w:hanging="425"/>
        <w:contextualSpacing w:val="0"/>
        <w:jc w:val="both"/>
        <w:rPr>
          <w:lang w:val="es-ES"/>
        </w:rPr>
      </w:pPr>
      <w:r>
        <w:rPr>
          <w:lang w:val="es-ES"/>
        </w:rPr>
        <w:t>s</w:t>
      </w:r>
      <w:r w:rsidRPr="008F5322">
        <w:rPr>
          <w:lang w:val="es-ES"/>
        </w:rPr>
        <w:t>i procede, ofrecer asesoramiento y realizar aportaciones para el desarrollo de un Plan de Acción para los cetáceos en la región del mar Rojo.</w:t>
      </w:r>
    </w:p>
    <w:p w:rsidR="00017772" w:rsidRPr="003F1CE4" w:rsidRDefault="00017772" w:rsidP="00017772">
      <w:pPr>
        <w:spacing w:after="0" w:line="240" w:lineRule="auto"/>
        <w:rPr>
          <w:lang w:val="es-ES"/>
        </w:rPr>
      </w:pPr>
    </w:p>
    <w:p w:rsidR="00017772" w:rsidRPr="003F1CE4" w:rsidRDefault="00017772" w:rsidP="00017772">
      <w:pPr>
        <w:pStyle w:val="ListParagraph"/>
        <w:spacing w:after="0" w:line="240" w:lineRule="auto"/>
        <w:ind w:left="540" w:hanging="540"/>
        <w:contextualSpacing w:val="0"/>
        <w:rPr>
          <w:b/>
          <w:bCs/>
          <w:iCs/>
          <w:lang w:val="es-ES"/>
        </w:rPr>
      </w:pPr>
      <w:r w:rsidRPr="008F5322">
        <w:rPr>
          <w:b/>
          <w:bCs/>
          <w:iCs/>
          <w:lang w:val="es-ES"/>
        </w:rPr>
        <w:t>Dirigido al Consejo Científico</w:t>
      </w:r>
    </w:p>
    <w:p w:rsidR="00017772" w:rsidRPr="003F1CE4" w:rsidRDefault="00017772" w:rsidP="00017772">
      <w:pPr>
        <w:pStyle w:val="ListParagraph"/>
        <w:spacing w:after="0" w:line="240" w:lineRule="auto"/>
        <w:ind w:left="540"/>
        <w:contextualSpacing w:val="0"/>
        <w:rPr>
          <w:iCs/>
          <w:lang w:val="es-ES"/>
        </w:rPr>
      </w:pPr>
    </w:p>
    <w:p w:rsidR="00017772" w:rsidRPr="003F1CE4" w:rsidRDefault="00017772" w:rsidP="00E5279B">
      <w:pPr>
        <w:spacing w:after="0" w:line="240" w:lineRule="auto"/>
        <w:ind w:left="567" w:hanging="567"/>
        <w:rPr>
          <w:rFonts w:eastAsia="Times New Roman" w:cs="Arial"/>
          <w:iCs/>
          <w:lang w:val="es-ES"/>
        </w:rPr>
      </w:pPr>
      <w:r w:rsidRPr="008F5322">
        <w:rPr>
          <w:rFonts w:eastAsia="Times New Roman" w:cs="Arial"/>
          <w:iCs/>
          <w:lang w:val="es-ES"/>
        </w:rPr>
        <w:t>13.CC</w:t>
      </w:r>
      <w:r w:rsidRPr="008F5322">
        <w:rPr>
          <w:rFonts w:eastAsia="Times New Roman" w:cs="Arial"/>
          <w:iCs/>
          <w:lang w:val="es-ES"/>
        </w:rPr>
        <w:tab/>
        <w:t>El Consejo Científico deberá:</w:t>
      </w:r>
    </w:p>
    <w:p w:rsidR="00017772" w:rsidRPr="003F1CE4" w:rsidRDefault="00017772" w:rsidP="00017772">
      <w:pPr>
        <w:spacing w:after="0" w:line="240" w:lineRule="auto"/>
        <w:ind w:firstLine="540"/>
        <w:rPr>
          <w:rFonts w:eastAsia="Times New Roman" w:cs="Arial"/>
          <w:iCs/>
          <w:lang w:val="es-ES"/>
        </w:rPr>
      </w:pPr>
    </w:p>
    <w:p w:rsidR="00017772" w:rsidRPr="003F1CE4" w:rsidRDefault="00E5279B" w:rsidP="00E5279B">
      <w:pPr>
        <w:pStyle w:val="ListParagraph"/>
        <w:numPr>
          <w:ilvl w:val="0"/>
          <w:numId w:val="14"/>
        </w:numPr>
        <w:spacing w:after="0" w:line="240" w:lineRule="auto"/>
        <w:ind w:left="1134" w:hanging="425"/>
        <w:contextualSpacing w:val="0"/>
        <w:jc w:val="both"/>
        <w:rPr>
          <w:lang w:val="es-ES"/>
        </w:rPr>
      </w:pPr>
      <w:r>
        <w:rPr>
          <w:rFonts w:eastAsia="Times New Roman" w:cs="Arial"/>
          <w:iCs/>
          <w:lang w:val="es-ES"/>
        </w:rPr>
        <w:t>e</w:t>
      </w:r>
      <w:r w:rsidR="00017772" w:rsidRPr="008F5322">
        <w:rPr>
          <w:rFonts w:eastAsia="Times New Roman" w:cs="Arial"/>
          <w:iCs/>
          <w:lang w:val="es-ES"/>
        </w:rPr>
        <w:t>studiar</w:t>
      </w:r>
      <w:r w:rsidR="00017772" w:rsidRPr="008F5322">
        <w:rPr>
          <w:lang w:val="es-ES"/>
        </w:rPr>
        <w:t xml:space="preserve"> las evaluaciones de las amenazas regionales y los programas de trabajo resultantes desarrollados por el Grupo de Trabajo sobre mamíferos acuáticos y ofrecer recomendaciones a la Conferencia de las Partes en su 14</w:t>
      </w:r>
      <w:r w:rsidR="00017772" w:rsidRPr="008F5322">
        <w:rPr>
          <w:vertAlign w:val="superscript"/>
          <w:lang w:val="es-ES"/>
        </w:rPr>
        <w:t>ª</w:t>
      </w:r>
      <w:r w:rsidR="00017772" w:rsidRPr="008F5322">
        <w:rPr>
          <w:lang w:val="es-ES"/>
        </w:rPr>
        <w:t xml:space="preserve"> Reunión.</w:t>
      </w:r>
    </w:p>
    <w:p w:rsidR="00017772" w:rsidRPr="003F1CE4" w:rsidRDefault="00017772" w:rsidP="00E5279B">
      <w:pPr>
        <w:pStyle w:val="ListParagraph"/>
        <w:spacing w:after="0" w:line="240" w:lineRule="auto"/>
        <w:ind w:left="1134" w:hanging="425"/>
        <w:contextualSpacing w:val="0"/>
        <w:jc w:val="both"/>
        <w:rPr>
          <w:lang w:val="es-ES"/>
        </w:rPr>
      </w:pPr>
    </w:p>
    <w:p w:rsidR="00017772" w:rsidRPr="003F1CE4" w:rsidRDefault="00E5279B" w:rsidP="00E5279B">
      <w:pPr>
        <w:pStyle w:val="ListParagraph"/>
        <w:numPr>
          <w:ilvl w:val="0"/>
          <w:numId w:val="14"/>
        </w:numPr>
        <w:spacing w:after="0" w:line="240" w:lineRule="auto"/>
        <w:ind w:left="1134" w:hanging="425"/>
        <w:contextualSpacing w:val="0"/>
        <w:jc w:val="both"/>
        <w:rPr>
          <w:lang w:val="es-ES"/>
        </w:rPr>
      </w:pPr>
      <w:r>
        <w:rPr>
          <w:lang w:val="es-ES"/>
        </w:rPr>
        <w:t>s</w:t>
      </w:r>
      <w:r w:rsidR="00017772" w:rsidRPr="008F5322">
        <w:rPr>
          <w:lang w:val="es-ES"/>
        </w:rPr>
        <w:t>i procede, estudiar el borrador del Plan de Acción para los cetáceos de la región del mar Rojo y ofrecer recomendaciones a la Conferencia de las Partes en su 15</w:t>
      </w:r>
      <w:r w:rsidR="00017772" w:rsidRPr="008F5322">
        <w:rPr>
          <w:vertAlign w:val="superscript"/>
          <w:lang w:val="es-ES"/>
        </w:rPr>
        <w:t xml:space="preserve">ª </w:t>
      </w:r>
      <w:r w:rsidR="00017772" w:rsidRPr="008F5322">
        <w:rPr>
          <w:lang w:val="es-ES"/>
        </w:rPr>
        <w:t>Reunión.</w:t>
      </w:r>
    </w:p>
    <w:p w:rsidR="00017772" w:rsidRPr="003F1CE4" w:rsidRDefault="00017772" w:rsidP="00017772">
      <w:pPr>
        <w:spacing w:after="0" w:line="240" w:lineRule="auto"/>
        <w:rPr>
          <w:lang w:val="es-ES"/>
        </w:rPr>
      </w:pPr>
    </w:p>
    <w:p w:rsidR="00E5279B" w:rsidRDefault="00E5279B">
      <w:pPr>
        <w:rPr>
          <w:b/>
          <w:bCs/>
          <w:iCs/>
          <w:lang w:val="es-ES"/>
        </w:rPr>
      </w:pPr>
      <w:r>
        <w:rPr>
          <w:b/>
          <w:bCs/>
          <w:iCs/>
          <w:lang w:val="es-ES"/>
        </w:rPr>
        <w:br w:type="page"/>
      </w:r>
    </w:p>
    <w:p w:rsidR="00017772" w:rsidRPr="003F1CE4" w:rsidRDefault="00017772" w:rsidP="00017772">
      <w:pPr>
        <w:pStyle w:val="ListParagraph"/>
        <w:spacing w:after="0" w:line="240" w:lineRule="auto"/>
        <w:ind w:left="540" w:hanging="540"/>
        <w:contextualSpacing w:val="0"/>
        <w:rPr>
          <w:b/>
          <w:bCs/>
          <w:iCs/>
          <w:lang w:val="es-ES"/>
        </w:rPr>
      </w:pPr>
      <w:r w:rsidRPr="008F5322">
        <w:rPr>
          <w:b/>
          <w:bCs/>
          <w:iCs/>
          <w:lang w:val="es-ES"/>
        </w:rPr>
        <w:lastRenderedPageBreak/>
        <w:t>Dirigido a la Secretaría</w:t>
      </w:r>
    </w:p>
    <w:p w:rsidR="00017772" w:rsidRPr="003F1CE4" w:rsidRDefault="00017772" w:rsidP="00017772">
      <w:pPr>
        <w:pStyle w:val="ListParagraph"/>
        <w:spacing w:after="0" w:line="240" w:lineRule="auto"/>
        <w:ind w:left="540"/>
        <w:contextualSpacing w:val="0"/>
        <w:rPr>
          <w:iCs/>
          <w:lang w:val="es-ES"/>
        </w:rPr>
      </w:pPr>
    </w:p>
    <w:p w:rsidR="00017772" w:rsidRPr="003F1CE4" w:rsidRDefault="00017772" w:rsidP="00E5279B">
      <w:pPr>
        <w:spacing w:after="0" w:line="240" w:lineRule="auto"/>
        <w:rPr>
          <w:rFonts w:eastAsia="Times New Roman" w:cs="Arial"/>
          <w:iCs/>
          <w:lang w:val="es-ES"/>
        </w:rPr>
      </w:pPr>
      <w:r w:rsidRPr="008F5322">
        <w:rPr>
          <w:rFonts w:eastAsia="Times New Roman" w:cs="Arial"/>
          <w:iCs/>
          <w:lang w:val="es-ES"/>
        </w:rPr>
        <w:t>13.DD</w:t>
      </w:r>
      <w:r w:rsidRPr="008F5322">
        <w:rPr>
          <w:rFonts w:eastAsia="Times New Roman" w:cs="Arial"/>
          <w:iCs/>
          <w:lang w:val="es-ES"/>
        </w:rPr>
        <w:tab/>
        <w:t>La Secretaría deberá:</w:t>
      </w:r>
    </w:p>
    <w:p w:rsidR="00017772" w:rsidRPr="003F1CE4" w:rsidRDefault="00017772" w:rsidP="00017772">
      <w:pPr>
        <w:spacing w:after="0" w:line="240" w:lineRule="auto"/>
        <w:ind w:firstLine="540"/>
        <w:rPr>
          <w:rFonts w:eastAsia="Times New Roman" w:cs="Arial"/>
          <w:iCs/>
          <w:lang w:val="es-ES"/>
        </w:rPr>
      </w:pPr>
    </w:p>
    <w:p w:rsidR="00017772" w:rsidRPr="003F1CE4" w:rsidRDefault="00E5279B" w:rsidP="00E5279B">
      <w:pPr>
        <w:pStyle w:val="ListParagraph"/>
        <w:numPr>
          <w:ilvl w:val="0"/>
          <w:numId w:val="16"/>
        </w:numPr>
        <w:spacing w:after="0" w:line="240" w:lineRule="auto"/>
        <w:ind w:left="1134" w:hanging="425"/>
        <w:contextualSpacing w:val="0"/>
        <w:jc w:val="both"/>
        <w:rPr>
          <w:lang w:val="es-ES"/>
        </w:rPr>
      </w:pPr>
      <w:r>
        <w:rPr>
          <w:lang w:val="es-ES"/>
        </w:rPr>
        <w:t>c</w:t>
      </w:r>
      <w:r w:rsidR="00017772" w:rsidRPr="008F5322">
        <w:rPr>
          <w:lang w:val="es-ES"/>
        </w:rPr>
        <w:t>onsultar a los Estados del área de distribución para investigar el potencial del desarrollo de un Plan de Acción para los cetáceos de la región del mar Rojo.</w:t>
      </w:r>
    </w:p>
    <w:p w:rsidR="00017772" w:rsidRPr="003F1CE4" w:rsidRDefault="00017772" w:rsidP="00E5279B">
      <w:pPr>
        <w:pStyle w:val="ListParagraph"/>
        <w:spacing w:after="0" w:line="240" w:lineRule="auto"/>
        <w:ind w:left="1134" w:hanging="425"/>
        <w:contextualSpacing w:val="0"/>
        <w:jc w:val="both"/>
        <w:rPr>
          <w:lang w:val="es-ES"/>
        </w:rPr>
      </w:pPr>
    </w:p>
    <w:p w:rsidR="00017772" w:rsidRPr="003F1CE4" w:rsidRDefault="00E5279B" w:rsidP="00E5279B">
      <w:pPr>
        <w:pStyle w:val="ListParagraph"/>
        <w:numPr>
          <w:ilvl w:val="0"/>
          <w:numId w:val="16"/>
        </w:numPr>
        <w:spacing w:after="0" w:line="240" w:lineRule="auto"/>
        <w:ind w:left="1134" w:hanging="425"/>
        <w:contextualSpacing w:val="0"/>
        <w:jc w:val="both"/>
        <w:rPr>
          <w:lang w:val="es-ES"/>
        </w:rPr>
      </w:pPr>
      <w:r>
        <w:rPr>
          <w:rFonts w:eastAsia="Times New Roman" w:cs="Arial"/>
          <w:iCs/>
          <w:lang w:val="es-ES"/>
        </w:rPr>
        <w:t>e</w:t>
      </w:r>
      <w:r w:rsidR="00017772" w:rsidRPr="008F5322">
        <w:rPr>
          <w:rFonts w:eastAsia="Times New Roman" w:cs="Arial"/>
          <w:iCs/>
          <w:lang w:val="es-ES"/>
        </w:rPr>
        <w:t xml:space="preserve">n función de la disponibilidad de los recursos, </w:t>
      </w:r>
      <w:r w:rsidR="00017772" w:rsidRPr="008F5322">
        <w:rPr>
          <w:lang w:val="es-ES"/>
        </w:rPr>
        <w:t>organizar un taller con las Partes interesadas que incluya a científicos y organizaciones de conservación de la región del mar Rojo para identificar la mejor forma de promover allí la conservación de los cetáceos y, concretamente, ayudar en el desarrollo de un Plan de Acción.</w:t>
      </w:r>
    </w:p>
    <w:p w:rsidR="00017772" w:rsidRPr="003F1CE4" w:rsidRDefault="00017772" w:rsidP="00E5279B">
      <w:pPr>
        <w:pStyle w:val="ListParagraph"/>
        <w:spacing w:after="0" w:line="240" w:lineRule="auto"/>
        <w:ind w:left="1134" w:hanging="425"/>
        <w:contextualSpacing w:val="0"/>
        <w:jc w:val="both"/>
        <w:rPr>
          <w:lang w:val="es-ES"/>
        </w:rPr>
      </w:pPr>
    </w:p>
    <w:p w:rsidR="00017772" w:rsidRPr="003F1CE4" w:rsidRDefault="00E5279B" w:rsidP="00E5279B">
      <w:pPr>
        <w:pStyle w:val="ListParagraph"/>
        <w:numPr>
          <w:ilvl w:val="0"/>
          <w:numId w:val="16"/>
        </w:numPr>
        <w:spacing w:after="0" w:line="240" w:lineRule="auto"/>
        <w:ind w:left="1134" w:hanging="425"/>
        <w:contextualSpacing w:val="0"/>
        <w:jc w:val="both"/>
        <w:rPr>
          <w:lang w:val="es-ES"/>
        </w:rPr>
      </w:pPr>
      <w:r>
        <w:rPr>
          <w:lang w:val="es-ES"/>
        </w:rPr>
        <w:t>c</w:t>
      </w:r>
      <w:r w:rsidR="00017772" w:rsidRPr="008F5322">
        <w:rPr>
          <w:lang w:val="es-ES"/>
        </w:rPr>
        <w:t>onsultar a los organismos regionales adecuados, incluida la Secretaría de la Organización Regional para la Protección del Medio Ambiente del Mar Rojo y el Golfo de Adén (PERSGA) para buscar su apoyo y promover la conservación de los cetáceos en el mar Rojo, según las recomendaciones del taller anteriormente mencionado.</w:t>
      </w:r>
    </w:p>
    <w:p w:rsidR="00017772" w:rsidRPr="003F1CE4" w:rsidRDefault="00017772" w:rsidP="00017772">
      <w:pPr>
        <w:spacing w:after="0" w:line="240" w:lineRule="auto"/>
        <w:rPr>
          <w:lang w:val="es-ES"/>
        </w:rPr>
      </w:pPr>
    </w:p>
    <w:p w:rsidR="00367FDF" w:rsidRPr="00017772" w:rsidRDefault="00367FDF" w:rsidP="00017772">
      <w:pPr>
        <w:pStyle w:val="ListParagraph"/>
        <w:spacing w:after="0" w:line="240" w:lineRule="auto"/>
        <w:ind w:left="1134"/>
        <w:jc w:val="both"/>
        <w:rPr>
          <w:lang w:val="es-ES"/>
        </w:rPr>
      </w:pPr>
    </w:p>
    <w:sectPr w:rsidR="00367FDF" w:rsidRPr="00017772" w:rsidSect="00017772">
      <w:headerReference w:type="even" r:id="rId23"/>
      <w:headerReference w:type="default" r:id="rId24"/>
      <w:footerReference w:type="even" r:id="rId25"/>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72" w:rsidRDefault="00017772" w:rsidP="00002A97">
      <w:pPr>
        <w:spacing w:after="0" w:line="240" w:lineRule="auto"/>
      </w:pPr>
      <w:r>
        <w:separator/>
      </w:r>
    </w:p>
  </w:endnote>
  <w:endnote w:type="continuationSeparator" w:id="0">
    <w:p w:rsidR="00017772" w:rsidRDefault="00017772"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17772" w:rsidRPr="00002A97" w:rsidRDefault="00017772">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17772" w:rsidRPr="00002A97" w:rsidRDefault="00017772">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3398"/>
      <w:docPartObj>
        <w:docPartGallery w:val="Page Numbers (Bottom of Page)"/>
        <w:docPartUnique/>
      </w:docPartObj>
    </w:sdtPr>
    <w:sdtEndPr>
      <w:rPr>
        <w:noProof/>
        <w:sz w:val="18"/>
        <w:szCs w:val="18"/>
      </w:rPr>
    </w:sdtEndPr>
    <w:sdtContent>
      <w:p w:rsidR="00017772" w:rsidRPr="00367FDF" w:rsidRDefault="00017772">
        <w:pPr>
          <w:pStyle w:val="Footer"/>
          <w:jc w:val="center"/>
          <w:rPr>
            <w:sz w:val="18"/>
            <w:szCs w:val="18"/>
          </w:rPr>
        </w:pPr>
        <w:r w:rsidRPr="00367FDF">
          <w:rPr>
            <w:sz w:val="18"/>
            <w:szCs w:val="18"/>
          </w:rPr>
          <w:fldChar w:fldCharType="begin"/>
        </w:r>
        <w:r w:rsidRPr="00367FDF">
          <w:rPr>
            <w:sz w:val="18"/>
            <w:szCs w:val="18"/>
          </w:rPr>
          <w:instrText xml:space="preserve"> PAGE   \* MERGEFORMAT </w:instrText>
        </w:r>
        <w:r w:rsidRPr="00367FDF">
          <w:rPr>
            <w:sz w:val="18"/>
            <w:szCs w:val="18"/>
          </w:rPr>
          <w:fldChar w:fldCharType="separate"/>
        </w:r>
        <w:r w:rsidRPr="00367FDF">
          <w:rPr>
            <w:noProof/>
            <w:sz w:val="18"/>
            <w:szCs w:val="18"/>
          </w:rPr>
          <w:t>2</w:t>
        </w:r>
        <w:r w:rsidRPr="00367FDF">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017772" w:rsidRPr="002E0DE9" w:rsidRDefault="00017772">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14</w:t>
        </w:r>
        <w:r w:rsidRPr="002E0DE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72" w:rsidRDefault="00017772" w:rsidP="00002A97">
      <w:pPr>
        <w:spacing w:after="0" w:line="240" w:lineRule="auto"/>
      </w:pPr>
      <w:r>
        <w:separator/>
      </w:r>
    </w:p>
  </w:footnote>
  <w:footnote w:type="continuationSeparator" w:id="0">
    <w:p w:rsidR="00017772" w:rsidRDefault="00017772" w:rsidP="00002A97">
      <w:pPr>
        <w:spacing w:after="0" w:line="240" w:lineRule="auto"/>
      </w:pPr>
      <w:r>
        <w:continuationSeparator/>
      </w:r>
    </w:p>
  </w:footnote>
  <w:footnote w:id="1">
    <w:p w:rsidR="00017772" w:rsidRPr="005E3C0F" w:rsidRDefault="00017772" w:rsidP="005E3C0F">
      <w:pPr>
        <w:pStyle w:val="FootnoteText"/>
        <w:rPr>
          <w:sz w:val="16"/>
          <w:szCs w:val="16"/>
          <w:lang w:val="es-ES"/>
        </w:rPr>
      </w:pPr>
      <w:r w:rsidRPr="004723FE">
        <w:rPr>
          <w:rStyle w:val="FootnoteReference"/>
          <w:sz w:val="16"/>
          <w:szCs w:val="16"/>
        </w:rPr>
        <w:footnoteRef/>
      </w:r>
      <w:r w:rsidRPr="005E3C0F">
        <w:rPr>
          <w:sz w:val="16"/>
          <w:szCs w:val="16"/>
          <w:lang w:val="es-ES"/>
        </w:rPr>
        <w:t xml:space="preserve"> Disponible para descargar en </w:t>
      </w:r>
      <w:hyperlink r:id="rId1" w:history="1">
        <w:r w:rsidRPr="005E3C0F">
          <w:rPr>
            <w:rStyle w:val="Hyperlink"/>
            <w:sz w:val="16"/>
            <w:szCs w:val="16"/>
            <w:lang w:val="es-ES"/>
          </w:rPr>
          <w:t>https://iwc.int/resolutions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2A775D" w:rsidRDefault="00017772" w:rsidP="00002A97">
    <w:pPr>
      <w:pStyle w:val="Header"/>
      <w:pBdr>
        <w:bottom w:val="single" w:sz="4" w:space="1" w:color="auto"/>
      </w:pBdr>
      <w:rPr>
        <w:i/>
        <w:sz w:val="18"/>
        <w:szCs w:val="18"/>
      </w:rPr>
    </w:pPr>
    <w:r w:rsidRPr="002A775D">
      <w:rPr>
        <w:rFonts w:eastAsia="Times New Roman" w:cs="Arial"/>
        <w:i/>
        <w:sz w:val="18"/>
        <w:szCs w:val="18"/>
        <w:lang w:eastAsia="es-ES"/>
      </w:rPr>
      <w:t>UNEP/CMS/COP13/Doc.26.2.10</w:t>
    </w:r>
    <w:r w:rsidR="002A775D" w:rsidRPr="002A775D">
      <w:rPr>
        <w:rFonts w:eastAsia="Times New Roman" w:cs="Arial"/>
        <w:i/>
        <w:sz w:val="18"/>
        <w:szCs w:val="18"/>
        <w:lang w:eastAsia="es-ES"/>
      </w:rPr>
      <w:t>/Rev.</w:t>
    </w:r>
    <w:r w:rsidR="00AA62EA">
      <w:rPr>
        <w:rFonts w:eastAsia="Times New Roman" w:cs="Arial"/>
        <w:i/>
        <w:sz w:val="18"/>
        <w:szCs w:val="18"/>
        <w:lang w:eastAsia="es-ES"/>
      </w:rP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002A97" w:rsidRDefault="00017772" w:rsidP="00017772">
    <w:pPr>
      <w:pStyle w:val="Header"/>
      <w:pBdr>
        <w:bottom w:val="single" w:sz="4" w:space="1" w:color="auto"/>
      </w:pBdr>
      <w:jc w:val="right"/>
      <w:rPr>
        <w:i/>
        <w:sz w:val="18"/>
        <w:szCs w:val="18"/>
      </w:rPr>
    </w:pPr>
    <w:r w:rsidRPr="002A775D">
      <w:rPr>
        <w:rFonts w:eastAsia="Times New Roman" w:cs="Arial"/>
        <w:i/>
        <w:sz w:val="18"/>
        <w:szCs w:val="18"/>
        <w:lang w:eastAsia="es-ES"/>
      </w:rPr>
      <w:t>UNEP/CMS/COP13/Doc.26.2.10/</w:t>
    </w:r>
    <w:r w:rsidR="002A775D" w:rsidRPr="002A775D">
      <w:rPr>
        <w:rFonts w:eastAsia="Times New Roman" w:cs="Arial"/>
        <w:i/>
        <w:sz w:val="18"/>
        <w:szCs w:val="18"/>
        <w:lang w:eastAsia="es-ES"/>
      </w:rPr>
      <w:t>Rev.</w:t>
    </w:r>
    <w:r w:rsidR="00AA62EA">
      <w:rPr>
        <w:rFonts w:eastAsia="Times New Roman" w:cs="Arial"/>
        <w:i/>
        <w:sz w:val="18"/>
        <w:szCs w:val="18"/>
        <w:lang w:eastAsia="es-ES"/>
      </w:rPr>
      <w:t>2</w:t>
    </w:r>
    <w:r w:rsidR="002A775D" w:rsidRPr="002A775D">
      <w:rPr>
        <w:rFonts w:eastAsia="Times New Roman" w:cs="Arial"/>
        <w:i/>
        <w:sz w:val="18"/>
        <w:szCs w:val="18"/>
        <w:lang w:eastAsia="es-ES"/>
      </w:rPr>
      <w:t>/</w:t>
    </w:r>
    <w:r w:rsidRPr="002A775D">
      <w:rPr>
        <w:rFonts w:eastAsia="Times New Roman" w:cs="Arial"/>
        <w:i/>
        <w:sz w:val="18"/>
        <w:szCs w:val="18"/>
        <w:lang w:eastAsia="es-ES"/>
      </w:rPr>
      <w:t>Anexo 2</w:t>
    </w:r>
  </w:p>
  <w:p w:rsidR="00017772" w:rsidRDefault="0001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2A775D" w:rsidRDefault="00017772" w:rsidP="00002A97">
    <w:pPr>
      <w:pStyle w:val="Header"/>
      <w:pBdr>
        <w:bottom w:val="single" w:sz="4" w:space="1" w:color="auto"/>
      </w:pBdr>
      <w:jc w:val="right"/>
      <w:rPr>
        <w:i/>
        <w:sz w:val="18"/>
        <w:szCs w:val="18"/>
      </w:rPr>
    </w:pPr>
    <w:r w:rsidRPr="002A775D">
      <w:rPr>
        <w:rFonts w:eastAsia="Times New Roman" w:cs="Arial"/>
        <w:i/>
        <w:sz w:val="18"/>
        <w:szCs w:val="18"/>
        <w:lang w:eastAsia="es-ES"/>
      </w:rPr>
      <w:t>UNEP/CMS/COP13/Doc.26.2.10</w:t>
    </w:r>
    <w:r w:rsidR="002A775D" w:rsidRPr="002A775D">
      <w:rPr>
        <w:rFonts w:eastAsia="Times New Roman" w:cs="Arial"/>
        <w:i/>
        <w:sz w:val="18"/>
        <w:szCs w:val="18"/>
        <w:lang w:eastAsia="es-ES"/>
      </w:rPr>
      <w:t>/Rev.</w:t>
    </w:r>
    <w:r w:rsidR="00AA62EA">
      <w:rPr>
        <w:rFonts w:eastAsia="Times New Roman" w:cs="Arial"/>
        <w:i/>
        <w:sz w:val="18"/>
        <w:szCs w:val="18"/>
        <w:lang w:eastAsia="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002A97" w:rsidRDefault="00017772"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17772" w:rsidRDefault="00017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4E1519" w:rsidRDefault="00017772" w:rsidP="004E1519">
    <w:pPr>
      <w:pStyle w:val="Header"/>
      <w:pBdr>
        <w:bottom w:val="single" w:sz="4" w:space="1" w:color="auto"/>
      </w:pBdr>
      <w:jc w:val="right"/>
      <w:rPr>
        <w:i/>
        <w:sz w:val="18"/>
        <w:szCs w:val="18"/>
      </w:rPr>
    </w:pPr>
    <w:r w:rsidRPr="004E1519">
      <w:rPr>
        <w:rFonts w:eastAsia="Times New Roman" w:cs="Arial"/>
        <w:i/>
        <w:sz w:val="18"/>
        <w:szCs w:val="18"/>
        <w:lang w:eastAsia="es-ES"/>
      </w:rPr>
      <w:t>UNEP/CMS/COP13/Doc.26.2.10/</w:t>
    </w:r>
    <w:r w:rsidR="002A775D">
      <w:rPr>
        <w:rFonts w:eastAsia="Times New Roman" w:cs="Arial"/>
        <w:i/>
        <w:sz w:val="18"/>
        <w:szCs w:val="18"/>
        <w:lang w:eastAsia="es-ES"/>
      </w:rPr>
      <w:t>Rev.</w:t>
    </w:r>
    <w:r w:rsidR="00AA62EA">
      <w:rPr>
        <w:rFonts w:eastAsia="Times New Roman" w:cs="Arial"/>
        <w:i/>
        <w:sz w:val="18"/>
        <w:szCs w:val="18"/>
        <w:lang w:eastAsia="es-ES"/>
      </w:rPr>
      <w:t>2</w:t>
    </w:r>
    <w:r w:rsidR="002A775D">
      <w:rPr>
        <w:rFonts w:eastAsia="Times New Roman" w:cs="Arial"/>
        <w:i/>
        <w:sz w:val="18"/>
        <w:szCs w:val="18"/>
        <w:lang w:eastAsia="es-ES"/>
      </w:rPr>
      <w:t>/</w:t>
    </w:r>
    <w:r w:rsidRPr="004E1519">
      <w:rPr>
        <w:rFonts w:eastAsia="Times New Roman" w:cs="Arial"/>
        <w:i/>
        <w:sz w:val="18"/>
        <w:szCs w:val="18"/>
        <w:lang w:eastAsia="es-ES"/>
      </w:rPr>
      <w:t>An</w:t>
    </w:r>
    <w:r>
      <w:rPr>
        <w:rFonts w:eastAsia="Times New Roman" w:cs="Arial"/>
        <w:i/>
        <w:sz w:val="18"/>
        <w:szCs w:val="18"/>
        <w:lang w:eastAsia="es-ES"/>
      </w:rPr>
      <w:t>exo 1</w:t>
    </w:r>
  </w:p>
  <w:p w:rsidR="00017772" w:rsidRDefault="000177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002A97" w:rsidRDefault="00017772" w:rsidP="00367FDF">
    <w:pPr>
      <w:pStyle w:val="Header"/>
      <w:pBdr>
        <w:bottom w:val="single" w:sz="4" w:space="1" w:color="auto"/>
      </w:pBdr>
      <w:rPr>
        <w:i/>
        <w:sz w:val="18"/>
        <w:szCs w:val="18"/>
      </w:rPr>
    </w:pPr>
    <w:r w:rsidRPr="002A775D">
      <w:rPr>
        <w:rFonts w:eastAsia="Times New Roman" w:cs="Arial"/>
        <w:i/>
        <w:sz w:val="18"/>
        <w:szCs w:val="18"/>
        <w:lang w:eastAsia="es-ES"/>
      </w:rPr>
      <w:t>UNEP/CMS/COP13/Doc.26.2.10/</w:t>
    </w:r>
    <w:r w:rsidR="002A775D" w:rsidRPr="002A775D">
      <w:rPr>
        <w:rFonts w:eastAsia="Times New Roman" w:cs="Arial"/>
        <w:i/>
        <w:sz w:val="18"/>
        <w:szCs w:val="18"/>
        <w:lang w:eastAsia="es-ES"/>
      </w:rPr>
      <w:t>Rev.</w:t>
    </w:r>
    <w:r w:rsidR="00AA62EA">
      <w:rPr>
        <w:rFonts w:eastAsia="Times New Roman" w:cs="Arial"/>
        <w:i/>
        <w:sz w:val="18"/>
        <w:szCs w:val="18"/>
        <w:lang w:eastAsia="es-ES"/>
      </w:rPr>
      <w:t>2</w:t>
    </w:r>
    <w:r w:rsidR="002A775D" w:rsidRPr="002A775D">
      <w:rPr>
        <w:rFonts w:eastAsia="Times New Roman" w:cs="Arial"/>
        <w:i/>
        <w:sz w:val="18"/>
        <w:szCs w:val="18"/>
        <w:lang w:eastAsia="es-ES"/>
      </w:rPr>
      <w:t>/</w:t>
    </w:r>
    <w:r w:rsidRPr="002A775D">
      <w:rPr>
        <w:rFonts w:eastAsia="Times New Roman" w:cs="Arial"/>
        <w:i/>
        <w:sz w:val="18"/>
        <w:szCs w:val="18"/>
        <w:lang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4E1519" w:rsidRDefault="00017772" w:rsidP="004E1519">
    <w:pPr>
      <w:pStyle w:val="Header"/>
      <w:pBdr>
        <w:bottom w:val="single" w:sz="4" w:space="1" w:color="auto"/>
      </w:pBdr>
      <w:jc w:val="right"/>
      <w:rPr>
        <w:i/>
        <w:sz w:val="18"/>
        <w:szCs w:val="18"/>
      </w:rPr>
    </w:pPr>
    <w:r w:rsidRPr="004E1519">
      <w:rPr>
        <w:rFonts w:eastAsia="Times New Roman" w:cs="Arial"/>
        <w:i/>
        <w:sz w:val="18"/>
        <w:szCs w:val="18"/>
        <w:lang w:eastAsia="es-ES"/>
      </w:rPr>
      <w:t>UNEP/CMS/COP13/Doc.26.2.10/</w:t>
    </w:r>
    <w:r w:rsidR="002A775D">
      <w:rPr>
        <w:rFonts w:eastAsia="Times New Roman" w:cs="Arial"/>
        <w:i/>
        <w:sz w:val="18"/>
        <w:szCs w:val="18"/>
        <w:lang w:eastAsia="es-ES"/>
      </w:rPr>
      <w:t>Rev.</w:t>
    </w:r>
    <w:r w:rsidR="00AA62EA">
      <w:rPr>
        <w:rFonts w:eastAsia="Times New Roman" w:cs="Arial"/>
        <w:i/>
        <w:sz w:val="18"/>
        <w:szCs w:val="18"/>
        <w:lang w:eastAsia="es-ES"/>
      </w:rPr>
      <w:t>2</w:t>
    </w:r>
    <w:r w:rsidR="002A775D">
      <w:rPr>
        <w:rFonts w:eastAsia="Times New Roman" w:cs="Arial"/>
        <w:i/>
        <w:sz w:val="18"/>
        <w:szCs w:val="18"/>
        <w:lang w:eastAsia="es-ES"/>
      </w:rPr>
      <w:t>/</w:t>
    </w:r>
    <w:r w:rsidRPr="004E1519">
      <w:rPr>
        <w:rFonts w:eastAsia="Times New Roman" w:cs="Arial"/>
        <w:i/>
        <w:sz w:val="18"/>
        <w:szCs w:val="18"/>
        <w:lang w:eastAsia="es-ES"/>
      </w:rPr>
      <w:t>An</w:t>
    </w:r>
    <w:r>
      <w:rPr>
        <w:rFonts w:eastAsia="Times New Roman" w:cs="Arial"/>
        <w:i/>
        <w:sz w:val="18"/>
        <w:szCs w:val="18"/>
        <w:lang w:eastAsia="es-ES"/>
      </w:rPr>
      <w:t>exo 1</w:t>
    </w:r>
  </w:p>
  <w:p w:rsidR="00017772" w:rsidRDefault="000177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002A97" w:rsidRDefault="00017772" w:rsidP="00367FDF">
    <w:pPr>
      <w:pStyle w:val="Header"/>
      <w:pBdr>
        <w:bottom w:val="single" w:sz="4" w:space="1" w:color="auto"/>
      </w:pBdr>
      <w:jc w:val="right"/>
      <w:rPr>
        <w:i/>
        <w:sz w:val="18"/>
        <w:szCs w:val="18"/>
      </w:rPr>
    </w:pPr>
    <w:r w:rsidRPr="002A775D">
      <w:rPr>
        <w:rFonts w:eastAsia="Times New Roman" w:cs="Arial"/>
        <w:i/>
        <w:sz w:val="18"/>
        <w:szCs w:val="18"/>
        <w:lang w:eastAsia="es-ES"/>
      </w:rPr>
      <w:t>UNEP/CMS/COP13/Doc.26.2.10/</w:t>
    </w:r>
    <w:r w:rsidR="002A775D" w:rsidRPr="002A775D">
      <w:rPr>
        <w:rFonts w:eastAsia="Times New Roman" w:cs="Arial"/>
        <w:i/>
        <w:sz w:val="18"/>
        <w:szCs w:val="18"/>
        <w:lang w:eastAsia="es-ES"/>
      </w:rPr>
      <w:t>Rev.</w:t>
    </w:r>
    <w:r w:rsidR="00AA62EA">
      <w:rPr>
        <w:rFonts w:eastAsia="Times New Roman" w:cs="Arial"/>
        <w:i/>
        <w:sz w:val="18"/>
        <w:szCs w:val="18"/>
        <w:lang w:eastAsia="es-ES"/>
      </w:rPr>
      <w:t>2</w:t>
    </w:r>
    <w:r w:rsidR="002A775D" w:rsidRPr="002A775D">
      <w:rPr>
        <w:rFonts w:eastAsia="Times New Roman" w:cs="Arial"/>
        <w:i/>
        <w:sz w:val="18"/>
        <w:szCs w:val="18"/>
        <w:lang w:eastAsia="es-ES"/>
      </w:rPr>
      <w:t>/</w:t>
    </w:r>
    <w:r w:rsidRPr="002A775D">
      <w:rPr>
        <w:rFonts w:eastAsia="Times New Roman" w:cs="Arial"/>
        <w:i/>
        <w:sz w:val="18"/>
        <w:szCs w:val="18"/>
        <w:lang w:eastAsia="es-E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2E0DE9" w:rsidRDefault="00017772" w:rsidP="00017772">
    <w:pPr>
      <w:pStyle w:val="Header"/>
      <w:pBdr>
        <w:bottom w:val="single" w:sz="4" w:space="1" w:color="auto"/>
      </w:pBdr>
      <w:rPr>
        <w:i/>
        <w:sz w:val="18"/>
        <w:szCs w:val="18"/>
      </w:rPr>
    </w:pPr>
    <w:r w:rsidRPr="002E0DE9">
      <w:rPr>
        <w:rFonts w:eastAsia="Times New Roman" w:cs="Arial"/>
        <w:i/>
        <w:sz w:val="18"/>
        <w:szCs w:val="18"/>
        <w:lang w:val="es-ES"/>
      </w:rPr>
      <w:t>UNEP/CMS/COP13/</w:t>
    </w:r>
    <w:proofErr w:type="spellStart"/>
    <w:r w:rsidRPr="002E0DE9">
      <w:rPr>
        <w:rFonts w:eastAsia="Times New Roman" w:cs="Arial"/>
        <w:i/>
        <w:sz w:val="18"/>
        <w:szCs w:val="18"/>
        <w:lang w:val="es-ES"/>
      </w:rPr>
      <w:t>Doc.</w:t>
    </w:r>
    <w:r w:rsidRPr="002E0DE9">
      <w:rPr>
        <w:rFonts w:eastAsia="Times New Roman" w:cs="Arial"/>
        <w:i/>
        <w:sz w:val="18"/>
        <w:szCs w:val="18"/>
        <w:shd w:val="clear" w:color="auto" w:fill="FFFF00"/>
        <w:lang w:val="es-ES"/>
      </w:rPr>
      <w:t>XX</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72" w:rsidRPr="002E0DE9" w:rsidRDefault="00017772" w:rsidP="00017772">
    <w:pPr>
      <w:pStyle w:val="Header"/>
      <w:pBdr>
        <w:bottom w:val="single" w:sz="4" w:space="1" w:color="auto"/>
      </w:pBdr>
      <w:rPr>
        <w:i/>
        <w:sz w:val="18"/>
        <w:szCs w:val="18"/>
      </w:rPr>
    </w:pPr>
    <w:r w:rsidRPr="002A775D">
      <w:rPr>
        <w:rFonts w:eastAsia="Times New Roman" w:cs="Arial"/>
        <w:i/>
        <w:sz w:val="18"/>
        <w:szCs w:val="18"/>
      </w:rPr>
      <w:t>UNEP/CMS/COP13/Doc.26.2.10/</w:t>
    </w:r>
    <w:r w:rsidR="002A775D" w:rsidRPr="002A775D">
      <w:rPr>
        <w:rFonts w:eastAsia="Times New Roman" w:cs="Arial"/>
        <w:i/>
        <w:sz w:val="18"/>
        <w:szCs w:val="18"/>
      </w:rPr>
      <w:t>Rev.</w:t>
    </w:r>
    <w:r w:rsidR="00AA62EA">
      <w:rPr>
        <w:rFonts w:eastAsia="Times New Roman" w:cs="Arial"/>
        <w:i/>
        <w:sz w:val="18"/>
        <w:szCs w:val="18"/>
      </w:rPr>
      <w:t>2</w:t>
    </w:r>
    <w:r w:rsidR="002A775D" w:rsidRPr="002A775D">
      <w:rPr>
        <w:rFonts w:eastAsia="Times New Roman" w:cs="Arial"/>
        <w:i/>
        <w:sz w:val="18"/>
        <w:szCs w:val="18"/>
      </w:rPr>
      <w:t>/</w:t>
    </w:r>
    <w:r w:rsidRPr="002A775D">
      <w:rPr>
        <w:rFonts w:eastAsia="Times New Roman" w:cs="Arial"/>
        <w:i/>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EC2F5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8C65BF"/>
    <w:multiLevelType w:val="hybridMultilevel"/>
    <w:tmpl w:val="46B03D5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96A38"/>
    <w:multiLevelType w:val="hybridMultilevel"/>
    <w:tmpl w:val="3A80D37A"/>
    <w:lvl w:ilvl="0" w:tplc="B3DEC3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F79AF"/>
    <w:multiLevelType w:val="hybridMultilevel"/>
    <w:tmpl w:val="060096D2"/>
    <w:lvl w:ilvl="0" w:tplc="66DA5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A7D2F"/>
    <w:multiLevelType w:val="hybridMultilevel"/>
    <w:tmpl w:val="A888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55EDD"/>
    <w:multiLevelType w:val="hybridMultilevel"/>
    <w:tmpl w:val="0A907572"/>
    <w:lvl w:ilvl="0" w:tplc="312249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E82C65"/>
    <w:multiLevelType w:val="hybridMultilevel"/>
    <w:tmpl w:val="B2249620"/>
    <w:lvl w:ilvl="0" w:tplc="B3DEC3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1AC3342"/>
    <w:multiLevelType w:val="hybridMultilevel"/>
    <w:tmpl w:val="708C41B4"/>
    <w:lvl w:ilvl="0" w:tplc="B3DEC3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num>
  <w:num w:numId="4">
    <w:abstractNumId w:val="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3"/>
  </w:num>
  <w:num w:numId="10">
    <w:abstractNumId w:val="15"/>
  </w:num>
  <w:num w:numId="11">
    <w:abstractNumId w:val="11"/>
  </w:num>
  <w:num w:numId="12">
    <w:abstractNumId w:val="6"/>
  </w:num>
  <w:num w:numId="13">
    <w:abstractNumId w:val="10"/>
  </w:num>
  <w:num w:numId="14">
    <w:abstractNumId w:val="14"/>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7772"/>
    <w:rsid w:val="000E192F"/>
    <w:rsid w:val="002A775D"/>
    <w:rsid w:val="002F7EC2"/>
    <w:rsid w:val="00367FDF"/>
    <w:rsid w:val="004C7808"/>
    <w:rsid w:val="004E1519"/>
    <w:rsid w:val="004F2646"/>
    <w:rsid w:val="005330F7"/>
    <w:rsid w:val="00563598"/>
    <w:rsid w:val="005E3C0F"/>
    <w:rsid w:val="00943D15"/>
    <w:rsid w:val="00AA62EA"/>
    <w:rsid w:val="00B104EC"/>
    <w:rsid w:val="00BC5707"/>
    <w:rsid w:val="00BF7838"/>
    <w:rsid w:val="00C70E1C"/>
    <w:rsid w:val="00E32F6F"/>
    <w:rsid w:val="00E5279B"/>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2FE6"/>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E32F6F"/>
    <w:rPr>
      <w:color w:val="0000FF"/>
      <w:u w:val="single"/>
    </w:rPr>
  </w:style>
  <w:style w:type="paragraph" w:styleId="FootnoteText">
    <w:name w:val="footnote text"/>
    <w:basedOn w:val="Normal"/>
    <w:link w:val="FootnoteTextChar"/>
    <w:uiPriority w:val="99"/>
    <w:semiHidden/>
    <w:unhideWhenUsed/>
    <w:rsid w:val="005E3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C0F"/>
    <w:rPr>
      <w:sz w:val="20"/>
      <w:szCs w:val="20"/>
    </w:rPr>
  </w:style>
  <w:style w:type="character" w:styleId="FootnoteReference">
    <w:name w:val="footnote reference"/>
    <w:basedOn w:val="DefaultParagraphFont"/>
    <w:uiPriority w:val="99"/>
    <w:semiHidden/>
    <w:unhideWhenUsed/>
    <w:rsid w:val="005E3C0F"/>
    <w:rPr>
      <w:vertAlign w:val="superscript"/>
    </w:rPr>
  </w:style>
  <w:style w:type="table" w:styleId="TableGrid">
    <w:name w:val="Table Grid"/>
    <w:basedOn w:val="TableNormal"/>
    <w:uiPriority w:val="59"/>
    <w:rsid w:val="004E1519"/>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publication/cetaceans-red-sea-cms-technical-series-no-33"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dx.doi.org/10.1098/rsos.172044"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dx.doi.org/10.2305/IUCN.UK.2018-1.RLTS.T2476A5034917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x.doi.org/10.2305/IUCN.UK.2018-2.RLTS.T18596A50371251.en" TargetMode="External"/><Relationship Id="rId4" Type="http://schemas.openxmlformats.org/officeDocument/2006/relationships/webSettings" Target="webSettings.xml"/><Relationship Id="rId9" Type="http://schemas.openxmlformats.org/officeDocument/2006/relationships/hyperlink" Target="https://www.cms.int/en/document/global-programme-work-cetaceans-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wc.int/resolutio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3971</Words>
  <Characters>23392</Characters>
  <Application>Microsoft Office Word</Application>
  <DocSecurity>0</DocSecurity>
  <Lines>1113</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2019-11-28T09:59:00Z</dcterms:created>
  <dcterms:modified xsi:type="dcterms:W3CDTF">2019-11-28T09:59:00Z</dcterms:modified>
</cp:coreProperties>
</file>