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6B1423" w:rsidRDefault="00BF42FC" w:rsidP="00BF42FC">
      <w:pPr>
        <w:jc w:val="right"/>
        <w:rPr>
          <w:sz w:val="22"/>
          <w:szCs w:val="22"/>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6B1423" w:rsidRDefault="00BF42FC" w:rsidP="00BF42FC">
      <w:pPr>
        <w:rPr>
          <w:szCs w:val="18"/>
          <w:lang w:val="en-GB"/>
        </w:rPr>
      </w:pPr>
      <w:bookmarkStart w:id="0" w:name="_GoBack"/>
      <w:bookmarkEnd w:id="0"/>
    </w:p>
    <w:p w:rsidR="00BF42FC" w:rsidRPr="006B1423" w:rsidRDefault="00BF42FC" w:rsidP="000F1354">
      <w:pPr>
        <w:pStyle w:val="Heading2"/>
        <w:keepNext w:val="0"/>
        <w:ind w:left="-90" w:right="-367"/>
        <w:jc w:val="center"/>
        <w:rPr>
          <w:rFonts w:cs="Arial"/>
          <w:sz w:val="18"/>
          <w:szCs w:val="18"/>
          <w:lang w:val="en-GB"/>
        </w:rPr>
      </w:pPr>
    </w:p>
    <w:p w:rsidR="00DF38F9" w:rsidRDefault="00866F03" w:rsidP="00DF38F9">
      <w:pPr>
        <w:jc w:val="center"/>
        <w:rPr>
          <w:b/>
          <w:sz w:val="22"/>
          <w:szCs w:val="22"/>
          <w:highlight w:val="yellow"/>
          <w:lang w:val="en-GB"/>
        </w:rPr>
      </w:pPr>
      <w:r w:rsidRPr="00866F03">
        <w:rPr>
          <w:b/>
          <w:sz w:val="22"/>
          <w:szCs w:val="22"/>
          <w:lang w:val="en-GB"/>
        </w:rPr>
        <w:t>RESOLUTIONS TO REPEAL IN PART</w:t>
      </w:r>
    </w:p>
    <w:p w:rsidR="00866F03" w:rsidRDefault="00866F03" w:rsidP="00DF38F9">
      <w:pPr>
        <w:jc w:val="center"/>
        <w:rPr>
          <w:b/>
          <w:sz w:val="22"/>
          <w:szCs w:val="22"/>
          <w:lang w:val="en-GB"/>
        </w:rPr>
      </w:pPr>
      <w:r>
        <w:rPr>
          <w:b/>
          <w:sz w:val="22"/>
          <w:szCs w:val="22"/>
          <w:lang w:val="en-GB"/>
        </w:rPr>
        <w:t>RESOLUTION 11.33, GUIDELINES FOR ASSESSING LISTING PROPOSALS TO APPENDICES I AND II OF THE CONVENTION</w:t>
      </w:r>
    </w:p>
    <w:p w:rsidR="000F1354" w:rsidRDefault="003E24AC" w:rsidP="000F1354">
      <w:pPr>
        <w:pStyle w:val="Heading2"/>
        <w:keepNext w:val="0"/>
        <w:ind w:left="-90" w:right="-367"/>
        <w:jc w:val="center"/>
        <w:rPr>
          <w:rFonts w:cs="Arial"/>
          <w:sz w:val="22"/>
          <w:szCs w:val="22"/>
          <w:lang w:val="en-GB"/>
        </w:rPr>
      </w:pPr>
      <w:r>
        <w:rPr>
          <w:rFonts w:cs="Arial"/>
          <w:sz w:val="22"/>
          <w:szCs w:val="22"/>
          <w:lang w:val="en-GB"/>
        </w:rPr>
        <w:t>UNEP/CMS/COP12/</w:t>
      </w:r>
      <w:r w:rsidR="00866F03" w:rsidRPr="00866F03">
        <w:rPr>
          <w:rFonts w:cs="Arial"/>
          <w:sz w:val="22"/>
          <w:szCs w:val="22"/>
          <w:lang w:val="en-GB"/>
        </w:rPr>
        <w:t>Doc.</w:t>
      </w:r>
      <w:r w:rsidR="00866F03">
        <w:rPr>
          <w:rFonts w:cs="Arial"/>
          <w:sz w:val="22"/>
          <w:szCs w:val="22"/>
          <w:lang w:val="en-GB"/>
        </w:rPr>
        <w:t>21.1.35</w:t>
      </w:r>
    </w:p>
    <w:p w:rsidR="00BF42FC" w:rsidRPr="006B1423" w:rsidRDefault="00BF42FC" w:rsidP="00BF42FC">
      <w:pPr>
        <w:jc w:val="center"/>
        <w:rPr>
          <w:b/>
          <w:szCs w:val="18"/>
          <w:lang w:val="en-GB"/>
        </w:rPr>
      </w:pPr>
    </w:p>
    <w:p w:rsidR="006356C5" w:rsidRPr="006B1423" w:rsidRDefault="006356C5" w:rsidP="00DF4423">
      <w:pPr>
        <w:tabs>
          <w:tab w:val="left" w:pos="1020"/>
        </w:tabs>
        <w:rPr>
          <w:rFonts w:cs="Arial"/>
          <w:b/>
          <w:sz w:val="20"/>
          <w:szCs w:val="20"/>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6356C5" w:rsidRPr="006B1423" w:rsidRDefault="006356C5" w:rsidP="006356C5">
      <w:pPr>
        <w:tabs>
          <w:tab w:val="left" w:pos="1020"/>
        </w:tabs>
        <w:rPr>
          <w:rFonts w:cs="Arial"/>
          <w:b/>
          <w:sz w:val="20"/>
          <w:szCs w:val="20"/>
        </w:rPr>
      </w:pPr>
    </w:p>
    <w:p w:rsidR="00866F03" w:rsidRPr="00866F03" w:rsidRDefault="00866F03" w:rsidP="006356C5">
      <w:pPr>
        <w:tabs>
          <w:tab w:val="left" w:pos="1020"/>
        </w:tabs>
        <w:rPr>
          <w:rFonts w:cs="Arial"/>
          <w:sz w:val="22"/>
          <w:szCs w:val="22"/>
        </w:rPr>
      </w:pPr>
      <w:r w:rsidRPr="00866F03">
        <w:rPr>
          <w:rFonts w:cs="Arial"/>
          <w:sz w:val="22"/>
          <w:szCs w:val="22"/>
        </w:rPr>
        <w:t>None</w:t>
      </w:r>
    </w:p>
    <w:p w:rsidR="00DF4423" w:rsidRPr="006B1423" w:rsidRDefault="00DF4423" w:rsidP="00DF4423">
      <w:pPr>
        <w:tabs>
          <w:tab w:val="left" w:pos="1020"/>
        </w:tabs>
        <w:rPr>
          <w:rFonts w:cs="Arial"/>
          <w:b/>
          <w:sz w:val="20"/>
          <w:szCs w:val="20"/>
        </w:rPr>
      </w:pPr>
    </w:p>
    <w:p w:rsidR="006B1423" w:rsidRPr="006B1423" w:rsidRDefault="006B1423" w:rsidP="00DF4423">
      <w:pPr>
        <w:tabs>
          <w:tab w:val="left" w:pos="1020"/>
        </w:tabs>
        <w:rPr>
          <w:rFonts w:cs="Arial"/>
          <w:b/>
          <w:sz w:val="20"/>
          <w:szCs w:val="20"/>
        </w:rPr>
      </w:pPr>
    </w:p>
    <w:p w:rsidR="008F20D3" w:rsidRP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8F20D3" w:rsidRPr="006B1423" w:rsidRDefault="008F20D3" w:rsidP="008F20D3">
      <w:pPr>
        <w:tabs>
          <w:tab w:val="left" w:pos="1020"/>
        </w:tabs>
        <w:rPr>
          <w:rFonts w:cs="Arial"/>
          <w:b/>
          <w:sz w:val="20"/>
          <w:szCs w:val="20"/>
        </w:rPr>
      </w:pPr>
    </w:p>
    <w:p w:rsidR="008F20D3" w:rsidRPr="008F20D3" w:rsidRDefault="008F20D3" w:rsidP="006B1423">
      <w:pPr>
        <w:pStyle w:val="ListParagraph"/>
        <w:tabs>
          <w:tab w:val="left" w:pos="1020"/>
        </w:tabs>
        <w:ind w:left="36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866F03">
        <w:rPr>
          <w:rFonts w:cs="Arial"/>
          <w:sz w:val="22"/>
          <w:szCs w:val="22"/>
        </w:rPr>
        <w:t>6</w:t>
      </w:r>
      <w:r>
        <w:rPr>
          <w:rFonts w:cs="Arial"/>
          <w:sz w:val="22"/>
          <w:szCs w:val="22"/>
        </w:rPr>
        <w:t xml:space="preserve">, </w:t>
      </w:r>
      <w:r w:rsidR="00AE45FB">
        <w:rPr>
          <w:rFonts w:cs="Arial"/>
          <w:sz w:val="22"/>
          <w:szCs w:val="22"/>
        </w:rPr>
        <w:t>p</w:t>
      </w:r>
      <w:r>
        <w:rPr>
          <w:rFonts w:cs="Arial"/>
          <w:sz w:val="22"/>
          <w:szCs w:val="22"/>
        </w:rPr>
        <w:t xml:space="preserve">ara. </w:t>
      </w:r>
      <w:r w:rsidR="00866F03">
        <w:rPr>
          <w:rFonts w:cs="Arial"/>
          <w:sz w:val="22"/>
          <w:szCs w:val="22"/>
        </w:rPr>
        <w:t>12.BB</w:t>
      </w:r>
    </w:p>
    <w:p w:rsidR="00464270" w:rsidRDefault="00464270" w:rsidP="006B1423">
      <w:pPr>
        <w:pStyle w:val="BodyText"/>
        <w:kinsoku w:val="0"/>
        <w:overflowPunct w:val="0"/>
        <w:adjustRightInd/>
        <w:ind w:left="360"/>
        <w:rPr>
          <w:b/>
          <w:szCs w:val="22"/>
        </w:rPr>
      </w:pPr>
      <w:r>
        <w:rPr>
          <w:szCs w:val="22"/>
        </w:rPr>
        <w:t xml:space="preserve">The Sessional Committee of the Scientific Council considered the issue at its first meeting (Bonn, 2016).  Discussions at the meeting pointed out to difficulties in producing an interpretation that would be applicable across all taxa covered by CMS and different circumstances that could be encountered, and the consequence need to consider each case on its own merits.  </w:t>
      </w:r>
    </w:p>
    <w:p w:rsidR="00464270" w:rsidRPr="006B1423" w:rsidRDefault="00464270" w:rsidP="006B1423">
      <w:pPr>
        <w:pStyle w:val="ListParagraph"/>
        <w:ind w:left="360"/>
        <w:jc w:val="both"/>
        <w:rPr>
          <w:b/>
          <w:szCs w:val="18"/>
        </w:rPr>
      </w:pPr>
    </w:p>
    <w:p w:rsidR="00464270" w:rsidRPr="00CE01A3" w:rsidRDefault="00464270" w:rsidP="006B1423">
      <w:pPr>
        <w:pStyle w:val="BodyText"/>
        <w:kinsoku w:val="0"/>
        <w:overflowPunct w:val="0"/>
        <w:adjustRightInd/>
        <w:ind w:left="360"/>
        <w:rPr>
          <w:b/>
          <w:szCs w:val="22"/>
        </w:rPr>
      </w:pPr>
      <w:r>
        <w:rPr>
          <w:szCs w:val="22"/>
          <w:lang w:val="en-US"/>
        </w:rPr>
        <w:t>The issue was further considered in the context of the revision of the template for the submission of proposals for the amendment of CMS Appendices, that Resolution 11.33 mandated the Scientific Council and the Secretariat to undertake.  In the explanatory note concerning section 3.2 “</w:t>
      </w:r>
      <w:r>
        <w:rPr>
          <w:i/>
          <w:szCs w:val="22"/>
          <w:lang w:val="en-US"/>
        </w:rPr>
        <w:t xml:space="preserve">Proportion of the population migrating, and why that is a significant </w:t>
      </w:r>
      <w:r w:rsidRPr="00F240D8">
        <w:rPr>
          <w:i/>
          <w:szCs w:val="22"/>
          <w:lang w:val="en-US"/>
        </w:rPr>
        <w:t>proportion</w:t>
      </w:r>
      <w:r>
        <w:rPr>
          <w:szCs w:val="22"/>
          <w:lang w:val="en-US"/>
        </w:rPr>
        <w:t xml:space="preserve">” </w:t>
      </w:r>
      <w:r w:rsidRPr="00F240D8">
        <w:rPr>
          <w:szCs w:val="22"/>
          <w:lang w:val="en-US"/>
        </w:rPr>
        <w:t>of</w:t>
      </w:r>
      <w:r>
        <w:rPr>
          <w:szCs w:val="22"/>
          <w:lang w:val="en-US"/>
        </w:rPr>
        <w:t xml:space="preserve"> the revised template, the following text was included:</w:t>
      </w:r>
    </w:p>
    <w:p w:rsidR="00464270" w:rsidRPr="006B1423" w:rsidRDefault="00464270" w:rsidP="006B1423">
      <w:pPr>
        <w:pStyle w:val="ListParagraph"/>
        <w:ind w:left="360"/>
        <w:jc w:val="both"/>
        <w:rPr>
          <w:b/>
          <w:szCs w:val="18"/>
        </w:rPr>
      </w:pPr>
    </w:p>
    <w:p w:rsidR="00464270" w:rsidRPr="00F240D8" w:rsidRDefault="00464270" w:rsidP="006B1423">
      <w:pPr>
        <w:pStyle w:val="BodyText"/>
        <w:kinsoku w:val="0"/>
        <w:overflowPunct w:val="0"/>
        <w:ind w:left="360"/>
        <w:rPr>
          <w:b/>
          <w:szCs w:val="22"/>
        </w:rPr>
      </w:pPr>
      <w:r>
        <w:rPr>
          <w:sz w:val="21"/>
          <w:szCs w:val="21"/>
        </w:rPr>
        <w:t>“</w:t>
      </w:r>
      <w:r w:rsidRPr="00F240D8">
        <w:rPr>
          <w:i/>
          <w:sz w:val="21"/>
          <w:szCs w:val="21"/>
        </w:rPr>
        <w:t xml:space="preserve">It is difficult to provide a guide on a numerical proportion that should be considered ‘significant’ due to differences in life history and ecology of the range of taxa to which the Convention applies.  Bearing this in mind, a pragmatic approach should be taken.  </w:t>
      </w:r>
      <w:r w:rsidRPr="00F240D8">
        <w:rPr>
          <w:i/>
          <w:iCs/>
          <w:sz w:val="21"/>
          <w:szCs w:val="21"/>
        </w:rPr>
        <w:t xml:space="preserve">In the spirit of the Convention text, and in the light of existing listings, the species or particular population should benefit from cross-border conservation action.  </w:t>
      </w:r>
      <w:r w:rsidRPr="00F240D8">
        <w:rPr>
          <w:i/>
          <w:sz w:val="21"/>
          <w:szCs w:val="21"/>
        </w:rPr>
        <w:t>However, some explanation of why the proposal covers a significant proportion of the species concerned (whether a global listing or a geographically distinct population) should be provided to enable reviewers to assess whether the definition is met, as it is the migratory nature of species populations that provides the basis for international co-operation under the Convention.</w:t>
      </w:r>
      <w:r>
        <w:rPr>
          <w:sz w:val="21"/>
          <w:szCs w:val="21"/>
        </w:rPr>
        <w:t>”</w:t>
      </w:r>
    </w:p>
    <w:p w:rsidR="00464270" w:rsidRPr="006B1423" w:rsidRDefault="00464270" w:rsidP="006B1423">
      <w:pPr>
        <w:pStyle w:val="ListParagraph"/>
        <w:ind w:left="360"/>
        <w:jc w:val="both"/>
        <w:rPr>
          <w:b/>
          <w:szCs w:val="18"/>
          <w:lang w:val="en-GB"/>
        </w:rPr>
      </w:pPr>
    </w:p>
    <w:p w:rsidR="00E4611F" w:rsidRDefault="00E4611F" w:rsidP="006B1423">
      <w:pPr>
        <w:pStyle w:val="ListParagraph"/>
        <w:tabs>
          <w:tab w:val="left" w:pos="1020"/>
        </w:tabs>
        <w:ind w:left="360"/>
        <w:jc w:val="both"/>
        <w:rPr>
          <w:sz w:val="22"/>
          <w:szCs w:val="22"/>
        </w:rPr>
      </w:pPr>
      <w:r>
        <w:rPr>
          <w:sz w:val="22"/>
          <w:szCs w:val="22"/>
        </w:rPr>
        <w:t>T</w:t>
      </w:r>
      <w:r w:rsidR="00464270">
        <w:rPr>
          <w:sz w:val="22"/>
          <w:szCs w:val="22"/>
        </w:rPr>
        <w:t xml:space="preserve">he revised template for the submission of proposals for the amendment of CMS Appendices was </w:t>
      </w:r>
      <w:r>
        <w:rPr>
          <w:sz w:val="22"/>
          <w:szCs w:val="22"/>
        </w:rPr>
        <w:t>approved by t</w:t>
      </w:r>
      <w:r w:rsidR="00464270">
        <w:rPr>
          <w:sz w:val="22"/>
          <w:szCs w:val="22"/>
        </w:rPr>
        <w:t>he 45</w:t>
      </w:r>
      <w:r w:rsidR="00464270" w:rsidRPr="00CE01A3">
        <w:rPr>
          <w:sz w:val="22"/>
          <w:szCs w:val="22"/>
          <w:vertAlign w:val="superscript"/>
        </w:rPr>
        <w:t>th</w:t>
      </w:r>
      <w:r w:rsidR="00464270">
        <w:rPr>
          <w:sz w:val="22"/>
          <w:szCs w:val="22"/>
        </w:rPr>
        <w:t xml:space="preserve"> Meeting of the Standing Committee (StC45) for approval of its use for the proposals to be submitted to the 12</w:t>
      </w:r>
      <w:r w:rsidR="00464270" w:rsidRPr="00CE01A3">
        <w:rPr>
          <w:sz w:val="22"/>
          <w:szCs w:val="22"/>
          <w:vertAlign w:val="superscript"/>
        </w:rPr>
        <w:t>th</w:t>
      </w:r>
      <w:r w:rsidR="00464270">
        <w:rPr>
          <w:sz w:val="22"/>
          <w:szCs w:val="22"/>
        </w:rPr>
        <w:t xml:space="preserve"> Meeting of the Conference of the Parties (COP12). </w:t>
      </w:r>
      <w:r>
        <w:rPr>
          <w:sz w:val="22"/>
          <w:szCs w:val="22"/>
        </w:rPr>
        <w:t>The template is submitted to COP12 in UNEP/CMS/COP12/Doc.25.2 for confirmation of its use for the submission of proposals also to subsequent meetings of the COP.</w:t>
      </w:r>
    </w:p>
    <w:p w:rsidR="00E4611F" w:rsidRDefault="00E4611F" w:rsidP="006B1423">
      <w:pPr>
        <w:pStyle w:val="ListParagraph"/>
        <w:tabs>
          <w:tab w:val="left" w:pos="1020"/>
        </w:tabs>
        <w:ind w:left="360"/>
        <w:jc w:val="both"/>
        <w:rPr>
          <w:sz w:val="22"/>
          <w:szCs w:val="22"/>
        </w:rPr>
      </w:pPr>
    </w:p>
    <w:p w:rsidR="00866F03" w:rsidRDefault="00E4611F" w:rsidP="006B1423">
      <w:pPr>
        <w:pStyle w:val="ListParagraph"/>
        <w:tabs>
          <w:tab w:val="left" w:pos="1020"/>
        </w:tabs>
        <w:ind w:left="360"/>
        <w:jc w:val="both"/>
        <w:rPr>
          <w:rFonts w:cs="Arial"/>
          <w:sz w:val="22"/>
          <w:szCs w:val="22"/>
        </w:rPr>
      </w:pPr>
      <w:r>
        <w:rPr>
          <w:rFonts w:cs="Arial"/>
          <w:sz w:val="22"/>
          <w:szCs w:val="22"/>
        </w:rPr>
        <w:t>The Scientific Council considers the request in draft Decision 12.BB as fulfilled.</w:t>
      </w:r>
    </w:p>
    <w:p w:rsidR="006B1423" w:rsidRPr="006B1423" w:rsidRDefault="006B1423" w:rsidP="00DF4423">
      <w:pPr>
        <w:tabs>
          <w:tab w:val="left" w:pos="1020"/>
        </w:tabs>
        <w:rPr>
          <w:rFonts w:cs="Arial"/>
          <w:b/>
          <w:szCs w:val="18"/>
        </w:rPr>
      </w:pPr>
    </w:p>
    <w:p w:rsidR="006356C5" w:rsidRPr="006B1423" w:rsidRDefault="006356C5" w:rsidP="00DF4423">
      <w:pPr>
        <w:tabs>
          <w:tab w:val="left" w:pos="1020"/>
        </w:tabs>
        <w:rPr>
          <w:rFonts w:cs="Arial"/>
          <w:b/>
          <w:szCs w:val="18"/>
        </w:rPr>
      </w:pPr>
    </w:p>
    <w:p w:rsidR="00DF4423" w:rsidRPr="00DF4423" w:rsidRDefault="00DF4423" w:rsidP="00DF4423">
      <w:pPr>
        <w:tabs>
          <w:tab w:val="left" w:pos="1020"/>
        </w:tabs>
        <w:rPr>
          <w:rFonts w:cs="Arial"/>
          <w:b/>
          <w:sz w:val="22"/>
          <w:szCs w:val="22"/>
        </w:rPr>
      </w:pPr>
      <w:r w:rsidRPr="00DF4423">
        <w:rPr>
          <w:rFonts w:cs="Arial"/>
          <w:b/>
          <w:sz w:val="22"/>
          <w:szCs w:val="22"/>
        </w:rPr>
        <w:t>RECOMMENDATIONS TO COP12</w:t>
      </w:r>
    </w:p>
    <w:p w:rsidR="000F1354" w:rsidRPr="006B1423" w:rsidRDefault="000F1354" w:rsidP="000F1354">
      <w:pPr>
        <w:jc w:val="center"/>
        <w:rPr>
          <w:rFonts w:cs="Arial"/>
          <w:szCs w:val="18"/>
        </w:rPr>
      </w:pPr>
    </w:p>
    <w:p w:rsidR="00397D2C" w:rsidRPr="00682AE7" w:rsidRDefault="00682AE7" w:rsidP="00682AE7">
      <w:pPr>
        <w:pStyle w:val="ListParagraph"/>
        <w:numPr>
          <w:ilvl w:val="0"/>
          <w:numId w:val="45"/>
        </w:numPr>
        <w:rPr>
          <w:rFonts w:cs="Arial"/>
          <w:sz w:val="22"/>
          <w:szCs w:val="22"/>
        </w:rPr>
      </w:pPr>
      <w:r w:rsidRPr="00682AE7">
        <w:rPr>
          <w:rFonts w:cs="Arial"/>
          <w:sz w:val="22"/>
          <w:szCs w:val="22"/>
        </w:rPr>
        <w:t>Consider the work requested in para</w:t>
      </w:r>
      <w:r w:rsidR="00B0238A">
        <w:rPr>
          <w:rFonts w:cs="Arial"/>
          <w:sz w:val="22"/>
          <w:szCs w:val="22"/>
        </w:rPr>
        <w:t>graph</w:t>
      </w:r>
      <w:r w:rsidR="00537955">
        <w:rPr>
          <w:rFonts w:cs="Arial"/>
          <w:sz w:val="22"/>
          <w:szCs w:val="22"/>
        </w:rPr>
        <w:t xml:space="preserve"> 6</w:t>
      </w:r>
      <w:r w:rsidRPr="00682AE7">
        <w:rPr>
          <w:rFonts w:cs="Arial"/>
          <w:sz w:val="22"/>
          <w:szCs w:val="22"/>
        </w:rPr>
        <w:t xml:space="preserve"> of Resolution 11.33 and converted in draft Decision 12.BB as completed</w:t>
      </w:r>
    </w:p>
    <w:p w:rsidR="00682AE7" w:rsidRPr="006B1423" w:rsidRDefault="00682AE7" w:rsidP="00682AE7">
      <w:pPr>
        <w:ind w:left="450"/>
        <w:rPr>
          <w:rFonts w:cs="Arial"/>
          <w:szCs w:val="18"/>
        </w:rPr>
      </w:pPr>
    </w:p>
    <w:p w:rsidR="00682AE7" w:rsidRPr="00682AE7" w:rsidRDefault="00537955" w:rsidP="00682AE7">
      <w:pPr>
        <w:pStyle w:val="ListParagraph"/>
        <w:numPr>
          <w:ilvl w:val="0"/>
          <w:numId w:val="45"/>
        </w:numPr>
        <w:rPr>
          <w:rFonts w:cs="Arial"/>
          <w:sz w:val="22"/>
          <w:szCs w:val="22"/>
        </w:rPr>
      </w:pPr>
      <w:r>
        <w:rPr>
          <w:rFonts w:cs="Arial"/>
          <w:sz w:val="22"/>
          <w:szCs w:val="22"/>
        </w:rPr>
        <w:t>Repeal paragraph 6</w:t>
      </w:r>
      <w:r w:rsidR="00682AE7">
        <w:rPr>
          <w:rFonts w:cs="Arial"/>
          <w:sz w:val="22"/>
          <w:szCs w:val="22"/>
        </w:rPr>
        <w:t xml:space="preserve"> of Resolution 11.33</w:t>
      </w:r>
    </w:p>
    <w:sectPr w:rsidR="00682AE7" w:rsidRPr="00682AE7" w:rsidSect="0052082F">
      <w:headerReference w:type="first" r:id="rId7"/>
      <w:footerReference w:type="first" r:id="rId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01" w:rsidRDefault="00BA5C01">
      <w:r>
        <w:separator/>
      </w:r>
    </w:p>
  </w:endnote>
  <w:endnote w:type="continuationSeparator" w:id="0">
    <w:p w:rsidR="00BA5C01" w:rsidRDefault="00B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cs="Arial"/>
        <w:szCs w:val="18"/>
      </w:rPr>
    </w:pP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01" w:rsidRDefault="00BA5C01">
      <w:r>
        <w:separator/>
      </w:r>
    </w:p>
  </w:footnote>
  <w:footnote w:type="continuationSeparator" w:id="0">
    <w:p w:rsidR="00BA5C01" w:rsidRDefault="00BA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A20B42">
    <w:pPr>
      <w:pStyle w:val="Header"/>
      <w:pBdr>
        <w:bottom w:val="single" w:sz="4" w:space="1" w:color="auto"/>
      </w:pBdr>
      <w:rPr>
        <w:rFonts w:cs="Arial"/>
        <w:i/>
        <w:szCs w:val="18"/>
      </w:rPr>
    </w:pPr>
    <w:r w:rsidRPr="008648EB">
      <w:rPr>
        <w:rFonts w:cs="Arial"/>
        <w:i/>
        <w:szCs w:val="18"/>
      </w:rPr>
      <w:t>UNEP/CMS/COP12/Doc.</w:t>
    </w:r>
    <w:r w:rsidR="00C85610">
      <w:rPr>
        <w:rFonts w:cs="Arial"/>
        <w:i/>
        <w:szCs w:val="18"/>
      </w:rPr>
      <w:t>21.1.35/</w:t>
    </w:r>
    <w:r w:rsidRPr="008648EB">
      <w:rPr>
        <w:rFonts w:cs="Arial"/>
        <w:i/>
        <w:szCs w:val="18"/>
      </w:rPr>
      <w:t>Add</w:t>
    </w:r>
    <w:r>
      <w:rPr>
        <w:rFonts w:cs="Arial"/>
        <w:i/>
        <w:szCs w:val="18"/>
      </w:rPr>
      <w:t>.In-S.1</w:t>
    </w:r>
    <w:r w:rsidR="00A20B42">
      <w:rPr>
        <w:rFonts w:cs="Arial"/>
        <w:i/>
        <w:szCs w:val="18"/>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EC011F"/>
    <w:multiLevelType w:val="hybridMultilevel"/>
    <w:tmpl w:val="6C8E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037DD4"/>
    <w:multiLevelType w:val="hybridMultilevel"/>
    <w:tmpl w:val="6FFC8434"/>
    <w:lvl w:ilvl="0" w:tplc="4E72E810">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3"/>
  </w:num>
  <w:num w:numId="5">
    <w:abstractNumId w:val="12"/>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7"/>
  </w:num>
  <w:num w:numId="10">
    <w:abstractNumId w:val="22"/>
  </w:num>
  <w:num w:numId="11">
    <w:abstractNumId w:val="38"/>
  </w:num>
  <w:num w:numId="12">
    <w:abstractNumId w:val="3"/>
  </w:num>
  <w:num w:numId="13">
    <w:abstractNumId w:val="19"/>
  </w:num>
  <w:num w:numId="14">
    <w:abstractNumId w:val="36"/>
  </w:num>
  <w:num w:numId="15">
    <w:abstractNumId w:val="2"/>
  </w:num>
  <w:num w:numId="16">
    <w:abstractNumId w:val="10"/>
  </w:num>
  <w:num w:numId="17">
    <w:abstractNumId w:val="39"/>
  </w:num>
  <w:num w:numId="18">
    <w:abstractNumId w:val="21"/>
  </w:num>
  <w:num w:numId="19">
    <w:abstractNumId w:val="37"/>
  </w:num>
  <w:num w:numId="20">
    <w:abstractNumId w:val="43"/>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0"/>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5"/>
  </w:num>
  <w:num w:numId="38">
    <w:abstractNumId w:val="9"/>
  </w:num>
  <w:num w:numId="39">
    <w:abstractNumId w:val="30"/>
  </w:num>
  <w:num w:numId="40">
    <w:abstractNumId w:val="41"/>
  </w:num>
  <w:num w:numId="41">
    <w:abstractNumId w:val="24"/>
  </w:num>
  <w:num w:numId="42">
    <w:abstractNumId w:val="8"/>
  </w:num>
  <w:num w:numId="43">
    <w:abstractNumId w:val="14"/>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4857"/>
    <w:rsid w:val="00254721"/>
    <w:rsid w:val="00260772"/>
    <w:rsid w:val="00263159"/>
    <w:rsid w:val="002779F7"/>
    <w:rsid w:val="00287F6F"/>
    <w:rsid w:val="002C187A"/>
    <w:rsid w:val="002C20F1"/>
    <w:rsid w:val="002D2863"/>
    <w:rsid w:val="002D5EC0"/>
    <w:rsid w:val="002E3DEA"/>
    <w:rsid w:val="002E7CC2"/>
    <w:rsid w:val="002F6F9B"/>
    <w:rsid w:val="00305783"/>
    <w:rsid w:val="00314C58"/>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46983"/>
    <w:rsid w:val="00454913"/>
    <w:rsid w:val="00457441"/>
    <w:rsid w:val="004579F6"/>
    <w:rsid w:val="00464270"/>
    <w:rsid w:val="004656D0"/>
    <w:rsid w:val="00473ABD"/>
    <w:rsid w:val="00482DCA"/>
    <w:rsid w:val="004B6CFD"/>
    <w:rsid w:val="004C204D"/>
    <w:rsid w:val="004D0436"/>
    <w:rsid w:val="004D0936"/>
    <w:rsid w:val="004F243D"/>
    <w:rsid w:val="004F3D8D"/>
    <w:rsid w:val="005076F1"/>
    <w:rsid w:val="00512B91"/>
    <w:rsid w:val="005158EB"/>
    <w:rsid w:val="0052082F"/>
    <w:rsid w:val="00537955"/>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AE7"/>
    <w:rsid w:val="00682B31"/>
    <w:rsid w:val="006864E1"/>
    <w:rsid w:val="006B1037"/>
    <w:rsid w:val="006B1423"/>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66F03"/>
    <w:rsid w:val="00872F67"/>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D73FC"/>
    <w:rsid w:val="009E3A84"/>
    <w:rsid w:val="009E7ACC"/>
    <w:rsid w:val="009F450E"/>
    <w:rsid w:val="009F54DA"/>
    <w:rsid w:val="00A0582A"/>
    <w:rsid w:val="00A06984"/>
    <w:rsid w:val="00A1324E"/>
    <w:rsid w:val="00A20B42"/>
    <w:rsid w:val="00A27BE3"/>
    <w:rsid w:val="00A339B9"/>
    <w:rsid w:val="00A40EDF"/>
    <w:rsid w:val="00A568DF"/>
    <w:rsid w:val="00A73A79"/>
    <w:rsid w:val="00A854E8"/>
    <w:rsid w:val="00A91596"/>
    <w:rsid w:val="00A93C52"/>
    <w:rsid w:val="00AA7368"/>
    <w:rsid w:val="00AA7A90"/>
    <w:rsid w:val="00AB4FF9"/>
    <w:rsid w:val="00AE45FB"/>
    <w:rsid w:val="00AE7B21"/>
    <w:rsid w:val="00AF1980"/>
    <w:rsid w:val="00AF2021"/>
    <w:rsid w:val="00B0238A"/>
    <w:rsid w:val="00B16E28"/>
    <w:rsid w:val="00B471BD"/>
    <w:rsid w:val="00B50C2D"/>
    <w:rsid w:val="00B64904"/>
    <w:rsid w:val="00BA5C01"/>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5610"/>
    <w:rsid w:val="00C87D68"/>
    <w:rsid w:val="00C9281B"/>
    <w:rsid w:val="00CA367A"/>
    <w:rsid w:val="00CB1D26"/>
    <w:rsid w:val="00CC4C21"/>
    <w:rsid w:val="00CC57AD"/>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23367"/>
    <w:rsid w:val="00E30B00"/>
    <w:rsid w:val="00E31B92"/>
    <w:rsid w:val="00E4611F"/>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79B8"/>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4EB1B8"/>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1</Pages>
  <Words>411</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Ximena Cancino</cp:lastModifiedBy>
  <cp:revision>2</cp:revision>
  <cp:lastPrinted>2017-07-07T11:51:00Z</cp:lastPrinted>
  <dcterms:created xsi:type="dcterms:W3CDTF">2017-07-12T07:30:00Z</dcterms:created>
  <dcterms:modified xsi:type="dcterms:W3CDTF">2017-07-12T07:30:00Z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