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C84E" w14:textId="77777777" w:rsidR="00682B31" w:rsidRPr="007A1B21" w:rsidRDefault="00682B31" w:rsidP="00682B31">
      <w:pPr>
        <w:tabs>
          <w:tab w:val="left" w:pos="-1057"/>
          <w:tab w:val="left" w:pos="-720"/>
        </w:tabs>
        <w:ind w:left="-90"/>
        <w:rPr>
          <w:spacing w:val="-8"/>
          <w:sz w:val="12"/>
          <w:szCs w:val="12"/>
          <w:lang w:val="en-GB"/>
        </w:rPr>
      </w:pPr>
    </w:p>
    <w:p w14:paraId="62191BFF" w14:textId="77777777" w:rsidR="00260772" w:rsidRPr="00D8376F" w:rsidRDefault="00260772" w:rsidP="003A0D8F">
      <w:pPr>
        <w:tabs>
          <w:tab w:val="left" w:pos="-1057"/>
          <w:tab w:val="left" w:pos="-720"/>
        </w:tabs>
        <w:rPr>
          <w:lang w:val="fr-FR"/>
        </w:rPr>
      </w:pPr>
      <w:r w:rsidRPr="00D8376F">
        <w:rPr>
          <w:lang w:val="fr-FR"/>
        </w:rPr>
        <w:t>12</w:t>
      </w:r>
      <w:r w:rsidRPr="00D8376F">
        <w:rPr>
          <w:vertAlign w:val="superscript"/>
          <w:lang w:val="fr-FR"/>
        </w:rPr>
        <w:t>ème</w:t>
      </w:r>
      <w:r w:rsidRPr="00D8376F">
        <w:rPr>
          <w:lang w:val="fr-FR"/>
        </w:rPr>
        <w:t xml:space="preserve"> SESSION DE LA CONFÉRENCE DES PARTIES</w:t>
      </w:r>
    </w:p>
    <w:p w14:paraId="7853E04C" w14:textId="77777777" w:rsidR="00260772" w:rsidRPr="00D8376F" w:rsidRDefault="00260772" w:rsidP="003A0D8F">
      <w:pPr>
        <w:pStyle w:val="Heading2"/>
        <w:keepNext w:val="0"/>
        <w:spacing w:line="228" w:lineRule="auto"/>
        <w:rPr>
          <w:b w:val="0"/>
          <w:bCs w:val="0"/>
          <w:sz w:val="22"/>
          <w:lang w:val="pt-PT"/>
        </w:rPr>
      </w:pPr>
      <w:r w:rsidRPr="00D8376F">
        <w:rPr>
          <w:b w:val="0"/>
          <w:sz w:val="22"/>
          <w:lang w:val="pt-PT"/>
        </w:rPr>
        <w:t>Manille, P</w:t>
      </w:r>
      <w:r w:rsidR="00436CD2" w:rsidRPr="00D8376F">
        <w:rPr>
          <w:b w:val="0"/>
          <w:sz w:val="22"/>
          <w:lang w:val="pt-PT"/>
        </w:rPr>
        <w:t>hilippines, 23 - 28 octobre 2017</w:t>
      </w:r>
    </w:p>
    <w:p w14:paraId="44D0BB92" w14:textId="296B3CBF" w:rsidR="00260772" w:rsidRPr="00D8376F" w:rsidRDefault="00260772" w:rsidP="003A0D8F">
      <w:pPr>
        <w:spacing w:line="228" w:lineRule="auto"/>
        <w:rPr>
          <w:iCs/>
          <w:lang w:val="pt-PT"/>
        </w:rPr>
      </w:pPr>
      <w:r w:rsidRPr="00D8376F">
        <w:rPr>
          <w:iCs/>
          <w:lang w:val="pt-PT"/>
        </w:rPr>
        <w:t xml:space="preserve">Point </w:t>
      </w:r>
      <w:r w:rsidR="00C63A47" w:rsidRPr="00D8376F">
        <w:rPr>
          <w:iCs/>
          <w:lang w:val="pt-PT"/>
        </w:rPr>
        <w:t>21.1</w:t>
      </w:r>
      <w:r w:rsidR="00700F71">
        <w:rPr>
          <w:iCs/>
          <w:lang w:val="pt-PT"/>
        </w:rPr>
        <w:t>.</w:t>
      </w:r>
      <w:r w:rsidR="00445546">
        <w:rPr>
          <w:iCs/>
          <w:lang w:val="pt-PT"/>
        </w:rPr>
        <w:t>2</w:t>
      </w:r>
      <w:r w:rsidR="009375F5">
        <w:rPr>
          <w:iCs/>
          <w:lang w:val="pt-PT"/>
        </w:rPr>
        <w:t>7</w:t>
      </w:r>
      <w:r w:rsidRPr="00D8376F">
        <w:rPr>
          <w:iCs/>
          <w:lang w:val="pt-PT"/>
        </w:rPr>
        <w:t xml:space="preserve"> de l’ordre du jour</w:t>
      </w: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D8376F" w14:paraId="6F27823F" w14:textId="77777777"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14:paraId="16B8A28A" w14:textId="77777777" w:rsidR="0081600F" w:rsidRPr="00037907" w:rsidRDefault="00EB2285" w:rsidP="00EB2285">
            <w:pPr>
              <w:tabs>
                <w:tab w:val="left" w:pos="-1057"/>
                <w:tab w:val="left" w:pos="-720"/>
                <w:tab w:val="left" w:pos="0"/>
                <w:tab w:val="left" w:pos="141"/>
                <w:tab w:val="left" w:pos="720"/>
                <w:tab w:val="left" w:pos="1155"/>
                <w:tab w:val="right" w:pos="9072"/>
                <w:tab w:val="right" w:pos="9432"/>
              </w:tabs>
              <w:rPr>
                <w:sz w:val="28"/>
                <w:szCs w:val="28"/>
                <w:lang w:val="en-GB"/>
              </w:rPr>
            </w:pPr>
            <w:r w:rsidRPr="00D8376F">
              <w:rPr>
                <w:b/>
                <w:lang w:val="fr-FR"/>
              </w:rPr>
              <w:tab/>
            </w:r>
            <w:r w:rsidRPr="00D8376F">
              <w:rPr>
                <w:b/>
                <w:lang w:val="fr-FR"/>
              </w:rPr>
              <w:tab/>
            </w:r>
            <w:r w:rsidRPr="00D8376F">
              <w:rPr>
                <w:b/>
                <w:lang w:val="fr-FR"/>
              </w:rPr>
              <w:tab/>
            </w:r>
            <w:r w:rsidRPr="00D8376F">
              <w:rPr>
                <w:b/>
                <w:lang w:val="fr-FR"/>
              </w:rPr>
              <w:tab/>
            </w:r>
            <w:r w:rsidR="00FA61AF" w:rsidRPr="00037907">
              <w:rPr>
                <w:b/>
                <w:sz w:val="28"/>
                <w:szCs w:val="28"/>
                <w:lang w:val="en-GB"/>
              </w:rPr>
              <w:t>CMS</w:t>
            </w:r>
          </w:p>
          <w:p w14:paraId="44403B16" w14:textId="77777777" w:rsidR="00FA61AF" w:rsidRPr="00D8376F" w:rsidRDefault="00FA61AF" w:rsidP="00972D36">
            <w:pPr>
              <w:tabs>
                <w:tab w:val="left" w:pos="-1057"/>
                <w:tab w:val="left" w:pos="-720"/>
                <w:tab w:val="left" w:pos="0"/>
                <w:tab w:val="left" w:pos="141"/>
                <w:tab w:val="left" w:pos="720"/>
                <w:tab w:val="right" w:pos="9072"/>
              </w:tabs>
              <w:rPr>
                <w:lang w:val="en-GB"/>
              </w:rPr>
            </w:pPr>
          </w:p>
        </w:tc>
      </w:tr>
      <w:tr w:rsidR="00260772" w:rsidRPr="007A1B21" w14:paraId="208791ED"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59BCA11F" w14:textId="77777777" w:rsidR="00260772" w:rsidRPr="00D8376F" w:rsidRDefault="009A4CD2" w:rsidP="00260772">
            <w:pPr>
              <w:rPr>
                <w:lang w:val="en-GB"/>
              </w:rPr>
            </w:pPr>
            <w:r w:rsidRPr="00D8376F">
              <w:rPr>
                <w:noProof/>
              </w:rPr>
              <w:drawing>
                <wp:inline distT="0" distB="0" distL="0" distR="0" wp14:anchorId="6612F111" wp14:editId="7FB7103C">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347E1461" w14:textId="77777777" w:rsidR="00260772" w:rsidRPr="00D8376F" w:rsidRDefault="00260772" w:rsidP="00260772">
            <w:pPr>
              <w:rPr>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63E09937" w14:textId="77777777" w:rsidR="00260772" w:rsidRPr="00D8376F" w:rsidRDefault="00260772" w:rsidP="00260772">
            <w:pPr>
              <w:pStyle w:val="Heading2"/>
              <w:pBdr>
                <w:top w:val="none" w:sz="0" w:space="0" w:color="auto"/>
                <w:left w:val="none" w:sz="0" w:space="0" w:color="auto"/>
                <w:bottom w:val="none" w:sz="0" w:space="0" w:color="auto"/>
                <w:right w:val="none" w:sz="0" w:space="0" w:color="auto"/>
              </w:pBdr>
              <w:ind w:left="-108"/>
              <w:rPr>
                <w:b w:val="0"/>
                <w:bCs w:val="0"/>
                <w:sz w:val="22"/>
              </w:rPr>
            </w:pPr>
          </w:p>
          <w:p w14:paraId="3A62B3DD" w14:textId="77777777" w:rsidR="00260772" w:rsidRPr="007A1B21" w:rsidRDefault="00260772" w:rsidP="00260772">
            <w:pPr>
              <w:pStyle w:val="Heading2"/>
              <w:pBdr>
                <w:top w:val="none" w:sz="0" w:space="0" w:color="auto"/>
                <w:left w:val="none" w:sz="0" w:space="0" w:color="auto"/>
                <w:bottom w:val="none" w:sz="0" w:space="0" w:color="auto"/>
                <w:right w:val="none" w:sz="0" w:space="0" w:color="auto"/>
              </w:pBdr>
              <w:ind w:left="-108"/>
              <w:rPr>
                <w:bCs w:val="0"/>
                <w:sz w:val="32"/>
                <w:szCs w:val="32"/>
                <w:lang w:val="fr-FR"/>
              </w:rPr>
            </w:pPr>
            <w:r w:rsidRPr="007A1B21">
              <w:rPr>
                <w:bCs w:val="0"/>
                <w:sz w:val="32"/>
                <w:szCs w:val="32"/>
                <w:lang w:val="fr-FR"/>
              </w:rPr>
              <w:t>CONVENTION SUR</w:t>
            </w:r>
          </w:p>
          <w:p w14:paraId="779AF9CD" w14:textId="77777777" w:rsidR="00260772" w:rsidRPr="007A1B21" w:rsidRDefault="00260772" w:rsidP="00260772">
            <w:pPr>
              <w:pStyle w:val="Heading2"/>
              <w:pBdr>
                <w:top w:val="none" w:sz="0" w:space="0" w:color="auto"/>
                <w:left w:val="none" w:sz="0" w:space="0" w:color="auto"/>
                <w:bottom w:val="none" w:sz="0" w:space="0" w:color="auto"/>
                <w:right w:val="none" w:sz="0" w:space="0" w:color="auto"/>
              </w:pBdr>
              <w:ind w:left="-108"/>
              <w:rPr>
                <w:bCs w:val="0"/>
                <w:sz w:val="32"/>
                <w:szCs w:val="32"/>
                <w:lang w:val="fr-FR"/>
              </w:rPr>
            </w:pPr>
            <w:r w:rsidRPr="007A1B21">
              <w:rPr>
                <w:bCs w:val="0"/>
                <w:sz w:val="32"/>
                <w:szCs w:val="32"/>
                <w:lang w:val="fr-FR"/>
              </w:rPr>
              <w:t>LES ESPÈCES</w:t>
            </w:r>
          </w:p>
          <w:p w14:paraId="0F6E297B" w14:textId="77777777" w:rsidR="00260772" w:rsidRPr="00D8376F" w:rsidRDefault="00260772" w:rsidP="00260772">
            <w:pPr>
              <w:pStyle w:val="Heading2"/>
              <w:pBdr>
                <w:top w:val="none" w:sz="0" w:space="0" w:color="auto"/>
                <w:left w:val="none" w:sz="0" w:space="0" w:color="auto"/>
                <w:bottom w:val="none" w:sz="0" w:space="0" w:color="auto"/>
                <w:right w:val="none" w:sz="0" w:space="0" w:color="auto"/>
              </w:pBdr>
              <w:ind w:left="-108"/>
              <w:rPr>
                <w:b w:val="0"/>
                <w:bCs w:val="0"/>
                <w:sz w:val="22"/>
                <w:lang w:val="fr-FR"/>
              </w:rPr>
            </w:pPr>
            <w:r w:rsidRPr="007A1B21">
              <w:rPr>
                <w:bCs w:val="0"/>
                <w:sz w:val="32"/>
                <w:szCs w:val="32"/>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103A1ED7" w14:textId="77777777" w:rsidR="00260772" w:rsidRPr="007A1B21" w:rsidRDefault="00260772" w:rsidP="00260772">
            <w:pPr>
              <w:tabs>
                <w:tab w:val="left" w:pos="5040"/>
                <w:tab w:val="left" w:pos="5760"/>
                <w:tab w:val="left" w:pos="6008"/>
                <w:tab w:val="left" w:pos="6480"/>
                <w:tab w:val="left" w:pos="7200"/>
                <w:tab w:val="left" w:pos="7920"/>
                <w:tab w:val="left" w:pos="8640"/>
              </w:tabs>
              <w:rPr>
                <w:sz w:val="12"/>
                <w:szCs w:val="12"/>
                <w:lang w:val="fr-FR"/>
              </w:rPr>
            </w:pPr>
          </w:p>
          <w:p w14:paraId="20BDD8B4" w14:textId="77777777" w:rsidR="00260772" w:rsidRPr="007A1B21" w:rsidRDefault="00260772" w:rsidP="00260772">
            <w:pPr>
              <w:tabs>
                <w:tab w:val="left" w:pos="5040"/>
                <w:tab w:val="left" w:pos="5760"/>
                <w:tab w:val="left" w:pos="6008"/>
                <w:tab w:val="left" w:pos="6480"/>
                <w:tab w:val="left" w:pos="7200"/>
                <w:tab w:val="left" w:pos="7920"/>
                <w:tab w:val="left" w:pos="8640"/>
              </w:tabs>
              <w:rPr>
                <w:lang w:val="fr-FR"/>
              </w:rPr>
            </w:pPr>
            <w:r w:rsidRPr="007A1B21">
              <w:rPr>
                <w:lang w:val="fr-FR"/>
              </w:rPr>
              <w:t>Distribution: Générale</w:t>
            </w:r>
          </w:p>
          <w:p w14:paraId="2E2F2684" w14:textId="77777777" w:rsidR="00260772" w:rsidRPr="007A1B21" w:rsidRDefault="00260772" w:rsidP="00260772">
            <w:pPr>
              <w:tabs>
                <w:tab w:val="left" w:pos="-1057"/>
                <w:tab w:val="left" w:pos="-720"/>
                <w:tab w:val="left" w:pos="5040"/>
                <w:tab w:val="left" w:pos="5760"/>
                <w:tab w:val="left" w:pos="6008"/>
                <w:tab w:val="left" w:pos="6480"/>
                <w:tab w:val="left" w:pos="7200"/>
                <w:tab w:val="left" w:pos="7920"/>
                <w:tab w:val="left" w:pos="8640"/>
              </w:tabs>
              <w:rPr>
                <w:lang w:val="fr-FR"/>
              </w:rPr>
            </w:pPr>
          </w:p>
          <w:p w14:paraId="61E56779" w14:textId="2970E91A" w:rsidR="00260772" w:rsidRPr="007A1B21" w:rsidRDefault="007A1B21" w:rsidP="00260772">
            <w:pPr>
              <w:tabs>
                <w:tab w:val="left" w:pos="5040"/>
                <w:tab w:val="left" w:pos="5760"/>
                <w:tab w:val="left" w:pos="6008"/>
                <w:tab w:val="left" w:pos="6480"/>
                <w:tab w:val="left" w:pos="7200"/>
                <w:tab w:val="left" w:pos="7920"/>
                <w:tab w:val="left" w:pos="8640"/>
              </w:tabs>
              <w:rPr>
                <w:lang w:val="fr-FR"/>
              </w:rPr>
            </w:pPr>
            <w:r w:rsidRPr="007A1B21">
              <w:rPr>
                <w:lang w:val="fr-FR"/>
              </w:rPr>
              <w:t>UNEP</w:t>
            </w:r>
            <w:r w:rsidR="00260772" w:rsidRPr="007A1B21">
              <w:rPr>
                <w:lang w:val="fr-FR"/>
              </w:rPr>
              <w:t>/CMS/COP12/Doc.</w:t>
            </w:r>
            <w:r w:rsidR="005612BD" w:rsidRPr="007A1B21">
              <w:rPr>
                <w:lang w:val="fr-FR"/>
              </w:rPr>
              <w:t>21.1.</w:t>
            </w:r>
            <w:r w:rsidR="00445546" w:rsidRPr="007A1B21">
              <w:rPr>
                <w:lang w:val="fr-FR"/>
              </w:rPr>
              <w:t>2</w:t>
            </w:r>
            <w:r w:rsidR="009375F5" w:rsidRPr="007A1B21">
              <w:rPr>
                <w:lang w:val="fr-FR"/>
              </w:rPr>
              <w:t>7</w:t>
            </w:r>
          </w:p>
          <w:p w14:paraId="38BF7EC6" w14:textId="6848BD5F" w:rsidR="00260772" w:rsidRPr="007A1B21" w:rsidRDefault="007A1B21" w:rsidP="00260772">
            <w:pPr>
              <w:tabs>
                <w:tab w:val="left" w:pos="5040"/>
                <w:tab w:val="left" w:pos="5760"/>
                <w:tab w:val="left" w:pos="6008"/>
                <w:tab w:val="left" w:pos="6480"/>
                <w:tab w:val="left" w:pos="7200"/>
                <w:tab w:val="left" w:pos="7920"/>
                <w:tab w:val="left" w:pos="8640"/>
              </w:tabs>
              <w:rPr>
                <w:lang w:val="fr-FR"/>
              </w:rPr>
            </w:pPr>
            <w:r w:rsidRPr="007A1B21">
              <w:rPr>
                <w:lang w:val="fr-FR"/>
              </w:rPr>
              <w:t>11 juillet</w:t>
            </w:r>
            <w:r w:rsidR="00436CD2" w:rsidRPr="007A1B21">
              <w:rPr>
                <w:lang w:val="fr-FR"/>
              </w:rPr>
              <w:t xml:space="preserve"> 2017</w:t>
            </w:r>
          </w:p>
          <w:p w14:paraId="256F4866" w14:textId="77777777" w:rsidR="00260772" w:rsidRPr="007A1B21" w:rsidRDefault="00260772" w:rsidP="00260772">
            <w:pPr>
              <w:tabs>
                <w:tab w:val="left" w:pos="5040"/>
                <w:tab w:val="left" w:pos="5760"/>
                <w:tab w:val="left" w:pos="6008"/>
                <w:tab w:val="left" w:pos="6480"/>
                <w:tab w:val="left" w:pos="7200"/>
                <w:tab w:val="left" w:pos="7920"/>
                <w:tab w:val="left" w:pos="8640"/>
              </w:tabs>
              <w:rPr>
                <w:lang w:val="fr-FR"/>
              </w:rPr>
            </w:pPr>
          </w:p>
          <w:p w14:paraId="39393C0F" w14:textId="77777777" w:rsidR="00260772" w:rsidRPr="007A1B21" w:rsidRDefault="00260772" w:rsidP="00260772">
            <w:pPr>
              <w:rPr>
                <w:lang w:val="fr-FR"/>
              </w:rPr>
            </w:pPr>
            <w:r w:rsidRPr="007A1B21">
              <w:rPr>
                <w:lang w:val="fr-FR"/>
              </w:rPr>
              <w:t>Français</w:t>
            </w:r>
          </w:p>
          <w:p w14:paraId="63C1DE78" w14:textId="77777777" w:rsidR="00260772" w:rsidRPr="007A1B21" w:rsidRDefault="00260772" w:rsidP="00260772">
            <w:pPr>
              <w:rPr>
                <w:lang w:val="fr-FR"/>
              </w:rPr>
            </w:pPr>
            <w:r w:rsidRPr="007A1B21">
              <w:rPr>
                <w:lang w:val="fr-FR"/>
              </w:rPr>
              <w:t>Original: Anglais</w:t>
            </w:r>
          </w:p>
          <w:p w14:paraId="1F808553" w14:textId="77777777" w:rsidR="00260772" w:rsidRPr="007A1B21" w:rsidRDefault="00260772" w:rsidP="00260772">
            <w:pPr>
              <w:rPr>
                <w:sz w:val="12"/>
                <w:szCs w:val="12"/>
                <w:lang w:val="fr-FR"/>
              </w:rPr>
            </w:pPr>
          </w:p>
        </w:tc>
      </w:tr>
    </w:tbl>
    <w:p w14:paraId="0BF60399" w14:textId="77777777" w:rsidR="00354A9C" w:rsidRPr="007A1B21" w:rsidRDefault="00354A9C" w:rsidP="00922791">
      <w:pPr>
        <w:tabs>
          <w:tab w:val="left" w:pos="7020"/>
        </w:tabs>
        <w:rPr>
          <w:lang w:val="fr-FR"/>
        </w:rPr>
      </w:pPr>
    </w:p>
    <w:p w14:paraId="77F4B788" w14:textId="77777777" w:rsidR="0052082F" w:rsidRPr="007A1B21" w:rsidRDefault="0052082F" w:rsidP="00354A9C">
      <w:pPr>
        <w:rPr>
          <w:lang w:val="fr-FR"/>
        </w:rPr>
      </w:pPr>
    </w:p>
    <w:p w14:paraId="60988943" w14:textId="13743BB9" w:rsidR="00EF193B" w:rsidRPr="007A1B21" w:rsidRDefault="00037907" w:rsidP="00EF193B">
      <w:pPr>
        <w:pStyle w:val="p1"/>
        <w:jc w:val="center"/>
        <w:rPr>
          <w:caps/>
          <w:sz w:val="22"/>
          <w:szCs w:val="22"/>
          <w:lang w:val="fr-FR"/>
        </w:rPr>
      </w:pPr>
      <w:r>
        <w:rPr>
          <w:b/>
          <w:bCs/>
          <w:caps/>
          <w:sz w:val="22"/>
          <w:szCs w:val="22"/>
          <w:lang w:val="fr-FR"/>
        </w:rPr>
        <w:t>RÉsolutions À</w:t>
      </w:r>
      <w:r w:rsidR="00EF193B" w:rsidRPr="007A1B21">
        <w:rPr>
          <w:b/>
          <w:bCs/>
          <w:caps/>
          <w:sz w:val="22"/>
          <w:szCs w:val="22"/>
          <w:lang w:val="fr-FR"/>
        </w:rPr>
        <w:t xml:space="preserve"> </w:t>
      </w:r>
      <w:r w:rsidR="007A1B21" w:rsidRPr="007A1B21">
        <w:rPr>
          <w:b/>
          <w:bCs/>
          <w:caps/>
          <w:sz w:val="22"/>
          <w:szCs w:val="22"/>
          <w:lang w:val="fr-FR"/>
        </w:rPr>
        <w:t>ABROGER EN PARTIE</w:t>
      </w:r>
    </w:p>
    <w:p w14:paraId="4F559489" w14:textId="45978365" w:rsidR="00FB0E0A" w:rsidRPr="007A1B21" w:rsidRDefault="00FB0E0A" w:rsidP="00FB0E0A">
      <w:pPr>
        <w:pStyle w:val="Heading2"/>
        <w:keepNext w:val="0"/>
        <w:ind w:left="-90" w:right="-367"/>
        <w:jc w:val="center"/>
        <w:rPr>
          <w:caps/>
          <w:sz w:val="22"/>
          <w:lang w:val="fr-FR"/>
        </w:rPr>
      </w:pPr>
    </w:p>
    <w:p w14:paraId="466125BB" w14:textId="5B5C6997" w:rsidR="00566AF2" w:rsidRPr="007A1B21" w:rsidRDefault="00FB0E0A" w:rsidP="00566AF2">
      <w:pPr>
        <w:pStyle w:val="p1"/>
        <w:jc w:val="center"/>
        <w:rPr>
          <w:b/>
          <w:bCs/>
          <w:caps/>
          <w:sz w:val="22"/>
          <w:szCs w:val="22"/>
          <w:lang w:val="fr-FR"/>
        </w:rPr>
      </w:pPr>
      <w:r w:rsidRPr="007A1B21">
        <w:rPr>
          <w:b/>
          <w:bCs/>
          <w:caps/>
          <w:sz w:val="22"/>
          <w:szCs w:val="22"/>
          <w:lang w:val="fr-FR"/>
        </w:rPr>
        <w:t>r</w:t>
      </w:r>
      <w:r w:rsidR="00037907">
        <w:rPr>
          <w:b/>
          <w:bCs/>
          <w:caps/>
          <w:sz w:val="22"/>
          <w:szCs w:val="22"/>
          <w:lang w:val="fr-FR"/>
        </w:rPr>
        <w:t>É</w:t>
      </w:r>
      <w:r w:rsidR="00905E5D" w:rsidRPr="007A1B21">
        <w:rPr>
          <w:b/>
          <w:bCs/>
          <w:caps/>
          <w:sz w:val="22"/>
          <w:szCs w:val="22"/>
          <w:lang w:val="fr-FR"/>
        </w:rPr>
        <w:t>solution</w:t>
      </w:r>
      <w:r w:rsidR="001C3800" w:rsidRPr="007A1B21">
        <w:rPr>
          <w:b/>
          <w:bCs/>
          <w:caps/>
          <w:sz w:val="22"/>
          <w:szCs w:val="22"/>
          <w:lang w:val="fr-FR"/>
        </w:rPr>
        <w:t xml:space="preserve"> 11</w:t>
      </w:r>
      <w:r w:rsidR="00566AF2" w:rsidRPr="007A1B21">
        <w:rPr>
          <w:b/>
          <w:bCs/>
          <w:caps/>
          <w:sz w:val="22"/>
          <w:szCs w:val="22"/>
          <w:lang w:val="fr-FR"/>
        </w:rPr>
        <w:t>.</w:t>
      </w:r>
      <w:r w:rsidR="009375F5" w:rsidRPr="007A1B21">
        <w:rPr>
          <w:b/>
          <w:bCs/>
          <w:caps/>
          <w:sz w:val="22"/>
          <w:szCs w:val="22"/>
          <w:lang w:val="fr-FR"/>
        </w:rPr>
        <w:t>10</w:t>
      </w:r>
      <w:r w:rsidRPr="007A1B21">
        <w:rPr>
          <w:b/>
          <w:bCs/>
          <w:caps/>
          <w:sz w:val="22"/>
          <w:szCs w:val="22"/>
          <w:lang w:val="fr-FR"/>
        </w:rPr>
        <w:t xml:space="preserve">, </w:t>
      </w:r>
      <w:r w:rsidR="009375F5" w:rsidRPr="007A1B21">
        <w:rPr>
          <w:b/>
          <w:bCs/>
          <w:caps/>
          <w:sz w:val="22"/>
          <w:szCs w:val="22"/>
          <w:lang w:val="fr-FR"/>
        </w:rPr>
        <w:t>Synergies et partenariats</w:t>
      </w:r>
    </w:p>
    <w:p w14:paraId="75C66DB1" w14:textId="4C8478B3" w:rsidR="00FB0E0A" w:rsidRPr="00D8376F" w:rsidRDefault="00FB0E0A" w:rsidP="00FB0E0A">
      <w:pPr>
        <w:rPr>
          <w:lang w:val="fr-FR"/>
        </w:rPr>
      </w:pPr>
    </w:p>
    <w:p w14:paraId="2F0A3A59" w14:textId="48BDAF2B" w:rsidR="001764E6" w:rsidRPr="00D8376F" w:rsidRDefault="005612BD" w:rsidP="005612BD">
      <w:pPr>
        <w:jc w:val="center"/>
        <w:rPr>
          <w:lang w:val="fr-FR"/>
        </w:rPr>
      </w:pPr>
      <w:r w:rsidRPr="00D8376F">
        <w:rPr>
          <w:i/>
          <w:lang w:val="fr-FR"/>
        </w:rPr>
        <w:t>(</w:t>
      </w:r>
      <w:r w:rsidR="007A1B21">
        <w:rPr>
          <w:bCs/>
          <w:i/>
          <w:lang w:val="fr-FR"/>
        </w:rPr>
        <w:t xml:space="preserve">Préparé </w:t>
      </w:r>
      <w:r w:rsidRPr="00D8376F">
        <w:rPr>
          <w:bCs/>
          <w:i/>
          <w:lang w:val="fr-FR"/>
        </w:rPr>
        <w:t>par le Secrétariat au nom du</w:t>
      </w:r>
      <w:r w:rsidRPr="00D8376F">
        <w:rPr>
          <w:bCs/>
          <w:lang w:val="fr-FR"/>
        </w:rPr>
        <w:t xml:space="preserve"> </w:t>
      </w:r>
      <w:r w:rsidRPr="00D8376F">
        <w:rPr>
          <w:bCs/>
          <w:i/>
          <w:lang w:val="fr-FR"/>
        </w:rPr>
        <w:t>Comité permanent)</w:t>
      </w:r>
    </w:p>
    <w:p w14:paraId="366D3941" w14:textId="158E6B42" w:rsidR="001764E6" w:rsidRDefault="001764E6" w:rsidP="00D605A4">
      <w:pPr>
        <w:tabs>
          <w:tab w:val="left" w:pos="8295"/>
        </w:tabs>
        <w:jc w:val="both"/>
        <w:rPr>
          <w:lang w:val="fr-FR"/>
        </w:rPr>
      </w:pPr>
    </w:p>
    <w:p w14:paraId="13B575B5" w14:textId="21AE8B54" w:rsidR="007A1B21" w:rsidRDefault="007A1B21" w:rsidP="00D605A4">
      <w:pPr>
        <w:tabs>
          <w:tab w:val="left" w:pos="8295"/>
        </w:tabs>
        <w:jc w:val="both"/>
        <w:rPr>
          <w:lang w:val="fr-FR"/>
        </w:rPr>
      </w:pPr>
    </w:p>
    <w:p w14:paraId="4023DBE0" w14:textId="77777777" w:rsidR="007A1B21" w:rsidRPr="00D8376F" w:rsidRDefault="007A1B21" w:rsidP="00D605A4">
      <w:pPr>
        <w:tabs>
          <w:tab w:val="left" w:pos="8295"/>
        </w:tabs>
        <w:jc w:val="both"/>
        <w:rPr>
          <w:lang w:val="fr-FR"/>
        </w:rPr>
      </w:pPr>
    </w:p>
    <w:p w14:paraId="173A530C" w14:textId="5F5DE658" w:rsidR="00D605A4" w:rsidRPr="00D8376F" w:rsidRDefault="00D605A4" w:rsidP="001764E6">
      <w:pPr>
        <w:jc w:val="both"/>
        <w:rPr>
          <w:lang w:val="fr-FR"/>
        </w:rPr>
      </w:pPr>
    </w:p>
    <w:p w14:paraId="3390C46F" w14:textId="6FAD023E" w:rsidR="00D605A4" w:rsidRPr="00D8376F" w:rsidRDefault="00D605A4" w:rsidP="00D605A4">
      <w:pPr>
        <w:rPr>
          <w:lang w:val="fr-FR"/>
        </w:rPr>
      </w:pPr>
    </w:p>
    <w:p w14:paraId="53CC9E54" w14:textId="5B3BEB40" w:rsidR="00D605A4" w:rsidRPr="00D8376F" w:rsidRDefault="00F55FDA" w:rsidP="00D605A4">
      <w:pPr>
        <w:rPr>
          <w:lang w:val="fr-FR"/>
        </w:rPr>
      </w:pPr>
      <w:r w:rsidRPr="00D8376F">
        <w:rPr>
          <w:noProof/>
        </w:rPr>
        <mc:AlternateContent>
          <mc:Choice Requires="wps">
            <w:drawing>
              <wp:anchor distT="0" distB="0" distL="114300" distR="114300" simplePos="0" relativeHeight="251657728" behindDoc="0" locked="0" layoutInCell="1" allowOverlap="1" wp14:anchorId="2CF6BFB0" wp14:editId="36F951C2">
                <wp:simplePos x="0" y="0"/>
                <wp:positionH relativeFrom="column">
                  <wp:posOffset>713740</wp:posOffset>
                </wp:positionH>
                <wp:positionV relativeFrom="paragraph">
                  <wp:posOffset>24764</wp:posOffset>
                </wp:positionV>
                <wp:extent cx="4371975" cy="246697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466975"/>
                        </a:xfrm>
                        <a:prstGeom prst="rect">
                          <a:avLst/>
                        </a:prstGeom>
                        <a:solidFill>
                          <a:srgbClr val="FFFFFF"/>
                        </a:solidFill>
                        <a:ln w="3175">
                          <a:solidFill>
                            <a:srgbClr val="000000"/>
                          </a:solidFill>
                          <a:miter lim="800000"/>
                          <a:headEnd/>
                          <a:tailEnd/>
                        </a:ln>
                      </wps:spPr>
                      <wps:txbx>
                        <w:txbxContent>
                          <w:p w14:paraId="3CC66167" w14:textId="77777777" w:rsidR="00E475D4" w:rsidRPr="007A1B21" w:rsidRDefault="00553795" w:rsidP="00E475D4">
                            <w:pPr>
                              <w:rPr>
                                <w:lang w:val="fr-FR"/>
                              </w:rPr>
                            </w:pPr>
                            <w:r w:rsidRPr="007A1B21">
                              <w:rPr>
                                <w:lang w:val="fr-FR"/>
                              </w:rPr>
                              <w:t>Résumé</w:t>
                            </w:r>
                            <w:r w:rsidR="00E475D4" w:rsidRPr="007A1B21">
                              <w:rPr>
                                <w:lang w:val="fr-FR"/>
                              </w:rPr>
                              <w:t>:</w:t>
                            </w:r>
                          </w:p>
                          <w:p w14:paraId="219388F5" w14:textId="77777777" w:rsidR="00E475D4" w:rsidRPr="007A1B21" w:rsidRDefault="00E475D4" w:rsidP="00E475D4">
                            <w:pPr>
                              <w:rPr>
                                <w:lang w:val="fr-FR"/>
                              </w:rPr>
                            </w:pPr>
                          </w:p>
                          <w:p w14:paraId="1BD8439A" w14:textId="3F9C3607" w:rsidR="009375F5" w:rsidRPr="007A1B21" w:rsidRDefault="005E4313" w:rsidP="009375F5">
                            <w:pPr>
                              <w:widowControl/>
                              <w:autoSpaceDE/>
                              <w:autoSpaceDN/>
                              <w:adjustRightInd/>
                              <w:rPr>
                                <w:i/>
                                <w:sz w:val="24"/>
                                <w:szCs w:val="24"/>
                                <w:lang w:val="fr-FR"/>
                              </w:rPr>
                            </w:pPr>
                            <w:r w:rsidRPr="007A1B21">
                              <w:rPr>
                                <w:color w:val="000000" w:themeColor="text1"/>
                                <w:lang w:val="fr-FR"/>
                              </w:rPr>
                              <w:t xml:space="preserve">Ce document </w:t>
                            </w:r>
                            <w:r w:rsidR="00037907">
                              <w:rPr>
                                <w:color w:val="000000" w:themeColor="text1"/>
                                <w:lang w:val="fr-FR"/>
                              </w:rPr>
                              <w:t>abroge</w:t>
                            </w:r>
                            <w:r w:rsidR="007A1B21">
                              <w:rPr>
                                <w:color w:val="000000" w:themeColor="text1"/>
                                <w:lang w:val="fr-FR"/>
                              </w:rPr>
                              <w:t xml:space="preserve"> en partie</w:t>
                            </w:r>
                            <w:r w:rsidRPr="007A1B21">
                              <w:rPr>
                                <w:color w:val="000000" w:themeColor="text1"/>
                                <w:lang w:val="fr-FR"/>
                              </w:rPr>
                              <w:t xml:space="preserve"> la</w:t>
                            </w:r>
                            <w:r w:rsidR="001A61C8">
                              <w:fldChar w:fldCharType="begin"/>
                            </w:r>
                            <w:r w:rsidR="001A61C8" w:rsidRPr="007A1B21">
                              <w:rPr>
                                <w:lang w:val="fr-FR"/>
                              </w:rPr>
                              <w:instrText xml:space="preserve"> HYPERLINK "http://www.cms.int/sites/default/files/document/Res6.03_F_0_0.pdf" \o "Res6.03_F_0_0.pdf" </w:instrText>
                            </w:r>
                            <w:r w:rsidR="001A61C8">
                              <w:fldChar w:fldCharType="separate"/>
                            </w:r>
                            <w:r w:rsidR="0018677A" w:rsidRPr="007A1B21">
                              <w:rPr>
                                <w:rStyle w:val="file"/>
                                <w:lang w:val="fr-FR"/>
                              </w:rPr>
                              <w:t xml:space="preserve"> </w:t>
                            </w:r>
                            <w:hyperlink r:id="rId8" w:tooltip="Res_11_10_Synergies_et_partenariats_F_revLCfinal (2).pdf" w:history="1">
                              <w:r w:rsidR="009375F5" w:rsidRPr="007A1B21">
                                <w:rPr>
                                  <w:rStyle w:val="Hyperlink"/>
                                  <w:lang w:val="fr-FR"/>
                                </w:rPr>
                                <w:t>Résolution 11.10</w:t>
                              </w:r>
                              <w:r w:rsidR="009375F5" w:rsidRPr="007A1B21">
                                <w:rPr>
                                  <w:rStyle w:val="Hyperlink"/>
                                  <w:i/>
                                  <w:lang w:val="fr-FR"/>
                                </w:rPr>
                                <w:t>: Synergies et partenariats</w:t>
                              </w:r>
                            </w:hyperlink>
                            <w:r w:rsidR="007A1B21">
                              <w:rPr>
                                <w:rStyle w:val="file"/>
                                <w:i/>
                                <w:lang w:val="fr-FR"/>
                              </w:rPr>
                              <w:t>.</w:t>
                            </w:r>
                          </w:p>
                          <w:p w14:paraId="493D5CAE" w14:textId="77777777" w:rsidR="007A1B21" w:rsidRPr="00037907" w:rsidRDefault="001A61C8" w:rsidP="007A1B21">
                            <w:pPr>
                              <w:widowControl/>
                              <w:autoSpaceDE/>
                              <w:autoSpaceDN/>
                              <w:adjustRightInd/>
                              <w:rPr>
                                <w:rStyle w:val="Hyperlink"/>
                                <w:lang w:val="fr-FR"/>
                              </w:rPr>
                            </w:pPr>
                            <w:r>
                              <w:rPr>
                                <w:rStyle w:val="Hyperlink"/>
                              </w:rPr>
                              <w:fldChar w:fldCharType="end"/>
                            </w:r>
                          </w:p>
                          <w:p w14:paraId="47E76608" w14:textId="2642A86D" w:rsidR="007A1B21" w:rsidRPr="007A1B21" w:rsidRDefault="007A1B21" w:rsidP="007A1B21">
                            <w:pPr>
                              <w:widowControl/>
                              <w:autoSpaceDE/>
                              <w:autoSpaceDN/>
                              <w:adjustRightInd/>
                              <w:jc w:val="both"/>
                              <w:rPr>
                                <w:sz w:val="24"/>
                                <w:szCs w:val="24"/>
                                <w:lang w:val="fr-FR"/>
                              </w:rPr>
                            </w:pPr>
                            <w:r>
                              <w:rPr>
                                <w:lang w:val="fr-FR"/>
                              </w:rPr>
                              <w:t xml:space="preserve">Le projet de résolution propose de </w:t>
                            </w:r>
                            <w:r>
                              <w:rPr>
                                <w:lang w:val="fr-FR"/>
                              </w:rPr>
                              <w:t>transférer</w:t>
                            </w:r>
                            <w:r>
                              <w:rPr>
                                <w:lang w:val="fr-FR"/>
                              </w:rPr>
                              <w:t xml:space="preserve"> deux paragraphes relatifs au Fonds pour l'environnement mondial </w:t>
                            </w:r>
                            <w:r>
                              <w:rPr>
                                <w:lang w:val="fr-FR"/>
                              </w:rPr>
                              <w:t>dans</w:t>
                            </w:r>
                            <w:r>
                              <w:rPr>
                                <w:lang w:val="fr-FR"/>
                              </w:rPr>
                              <w:t xml:space="preserve"> la Résolution 10.25, </w:t>
                            </w:r>
                            <w:r w:rsidRPr="007A1B21">
                              <w:rPr>
                                <w:i/>
                                <w:lang w:val="fr-FR"/>
                              </w:rPr>
                              <w:t xml:space="preserve">Renforcement de </w:t>
                            </w:r>
                            <w:r w:rsidRPr="007A1B21">
                              <w:rPr>
                                <w:i/>
                                <w:lang w:val="fr-FR"/>
                              </w:rPr>
                              <w:t xml:space="preserve">l'engagement </w:t>
                            </w:r>
                            <w:r w:rsidRPr="007A1B21">
                              <w:rPr>
                                <w:i/>
                                <w:lang w:val="fr-FR"/>
                              </w:rPr>
                              <w:t>dans le Fonds pour l'Environnement M</w:t>
                            </w:r>
                            <w:r w:rsidRPr="007A1B21">
                              <w:rPr>
                                <w:i/>
                                <w:lang w:val="fr-FR"/>
                              </w:rPr>
                              <w:t>ondial.</w:t>
                            </w:r>
                          </w:p>
                          <w:p w14:paraId="6609AC2E" w14:textId="77777777" w:rsidR="007A1B21" w:rsidRDefault="007A1B21" w:rsidP="007A1B21">
                            <w:pPr>
                              <w:jc w:val="both"/>
                              <w:rPr>
                                <w:lang w:val="fr-FR"/>
                              </w:rPr>
                            </w:pPr>
                          </w:p>
                          <w:p w14:paraId="13EC94C3" w14:textId="5ED3620A" w:rsidR="00E8776E" w:rsidRPr="007A1B21" w:rsidRDefault="007A1B21" w:rsidP="007A1B21">
                            <w:pPr>
                              <w:jc w:val="both"/>
                              <w:rPr>
                                <w:sz w:val="21"/>
                                <w:szCs w:val="21"/>
                                <w:lang w:val="fr-FR"/>
                              </w:rPr>
                            </w:pPr>
                            <w:r>
                              <w:rPr>
                                <w:lang w:val="fr-FR"/>
                              </w:rPr>
                              <w:t xml:space="preserve">Ce document doit </w:t>
                            </w:r>
                            <w:r>
                              <w:rPr>
                                <w:lang w:val="fr-FR"/>
                              </w:rPr>
                              <w:t>être lu conjointement avec UNEP/CMS/COP12/</w:t>
                            </w:r>
                            <w:r>
                              <w:rPr>
                                <w:lang w:val="fr-FR"/>
                              </w:rPr>
                              <w:t>Doc.23.1, qui propose des révisions à la Résolution.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6BFB0" id="_x0000_t202" coordsize="21600,21600" o:spt="202" path="m,l,21600r21600,l21600,xe">
                <v:stroke joinstyle="miter"/>
                <v:path gradientshapeok="t" o:connecttype="rect"/>
              </v:shapetype>
              <v:shape id="Text Box 4" o:spid="_x0000_s1026" type="#_x0000_t202" style="position:absolute;margin-left:56.2pt;margin-top:1.95pt;width:344.25pt;height:19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" strokeweight=".25pt">
                <v:textbox>
                  <w:txbxContent>
                    <w:p w14:paraId="3CC66167" w14:textId="77777777" w:rsidR="00E475D4" w:rsidRPr="007A1B21" w:rsidRDefault="00553795" w:rsidP="00E475D4">
                      <w:pPr>
                        <w:rPr>
                          <w:lang w:val="fr-FR"/>
                        </w:rPr>
                      </w:pPr>
                      <w:r w:rsidRPr="007A1B21">
                        <w:rPr>
                          <w:lang w:val="fr-FR"/>
                        </w:rPr>
                        <w:t>Résumé</w:t>
                      </w:r>
                      <w:r w:rsidR="00E475D4" w:rsidRPr="007A1B21">
                        <w:rPr>
                          <w:lang w:val="fr-FR"/>
                        </w:rPr>
                        <w:t>:</w:t>
                      </w:r>
                    </w:p>
                    <w:p w14:paraId="219388F5" w14:textId="77777777" w:rsidR="00E475D4" w:rsidRPr="007A1B21" w:rsidRDefault="00E475D4" w:rsidP="00E475D4">
                      <w:pPr>
                        <w:rPr>
                          <w:lang w:val="fr-FR"/>
                        </w:rPr>
                      </w:pPr>
                    </w:p>
                    <w:p w14:paraId="1BD8439A" w14:textId="3F9C3607" w:rsidR="009375F5" w:rsidRPr="007A1B21" w:rsidRDefault="005E4313" w:rsidP="009375F5">
                      <w:pPr>
                        <w:widowControl/>
                        <w:autoSpaceDE/>
                        <w:autoSpaceDN/>
                        <w:adjustRightInd/>
                        <w:rPr>
                          <w:i/>
                          <w:sz w:val="24"/>
                          <w:szCs w:val="24"/>
                          <w:lang w:val="fr-FR"/>
                        </w:rPr>
                      </w:pPr>
                      <w:r w:rsidRPr="007A1B21">
                        <w:rPr>
                          <w:color w:val="000000" w:themeColor="text1"/>
                          <w:lang w:val="fr-FR"/>
                        </w:rPr>
                        <w:t xml:space="preserve">Ce document </w:t>
                      </w:r>
                      <w:r w:rsidR="00037907">
                        <w:rPr>
                          <w:color w:val="000000" w:themeColor="text1"/>
                          <w:lang w:val="fr-FR"/>
                        </w:rPr>
                        <w:t>abroge</w:t>
                      </w:r>
                      <w:r w:rsidR="007A1B21">
                        <w:rPr>
                          <w:color w:val="000000" w:themeColor="text1"/>
                          <w:lang w:val="fr-FR"/>
                        </w:rPr>
                        <w:t xml:space="preserve"> en partie</w:t>
                      </w:r>
                      <w:r w:rsidRPr="007A1B21">
                        <w:rPr>
                          <w:color w:val="000000" w:themeColor="text1"/>
                          <w:lang w:val="fr-FR"/>
                        </w:rPr>
                        <w:t xml:space="preserve"> la</w:t>
                      </w:r>
                      <w:r w:rsidR="001A61C8">
                        <w:fldChar w:fldCharType="begin"/>
                      </w:r>
                      <w:r w:rsidR="001A61C8" w:rsidRPr="007A1B21">
                        <w:rPr>
                          <w:lang w:val="fr-FR"/>
                        </w:rPr>
                        <w:instrText xml:space="preserve"> HYPERLINK "http://www.cms.int/sites/default/files/document/Res6.03_F_0_0.pdf" \o "Res6.03_F_0_0.pdf" </w:instrText>
                      </w:r>
                      <w:r w:rsidR="001A61C8">
                        <w:fldChar w:fldCharType="separate"/>
                      </w:r>
                      <w:r w:rsidR="0018677A" w:rsidRPr="007A1B21">
                        <w:rPr>
                          <w:rStyle w:val="file"/>
                          <w:lang w:val="fr-FR"/>
                        </w:rPr>
                        <w:t xml:space="preserve"> </w:t>
                      </w:r>
                      <w:hyperlink r:id="rId9" w:tooltip="Res_11_10_Synergies_et_partenariats_F_revLCfinal (2).pdf" w:history="1">
                        <w:r w:rsidR="009375F5" w:rsidRPr="007A1B21">
                          <w:rPr>
                            <w:rStyle w:val="Hyperlink"/>
                            <w:lang w:val="fr-FR"/>
                          </w:rPr>
                          <w:t>Résolution 11.10</w:t>
                        </w:r>
                        <w:r w:rsidR="009375F5" w:rsidRPr="007A1B21">
                          <w:rPr>
                            <w:rStyle w:val="Hyperlink"/>
                            <w:i/>
                            <w:lang w:val="fr-FR"/>
                          </w:rPr>
                          <w:t>: Synergies et partenariats</w:t>
                        </w:r>
                      </w:hyperlink>
                      <w:r w:rsidR="007A1B21">
                        <w:rPr>
                          <w:rStyle w:val="file"/>
                          <w:i/>
                          <w:lang w:val="fr-FR"/>
                        </w:rPr>
                        <w:t>.</w:t>
                      </w:r>
                    </w:p>
                    <w:p w14:paraId="493D5CAE" w14:textId="77777777" w:rsidR="007A1B21" w:rsidRPr="00037907" w:rsidRDefault="001A61C8" w:rsidP="007A1B21">
                      <w:pPr>
                        <w:widowControl/>
                        <w:autoSpaceDE/>
                        <w:autoSpaceDN/>
                        <w:adjustRightInd/>
                        <w:rPr>
                          <w:rStyle w:val="Hyperlink"/>
                          <w:lang w:val="fr-FR"/>
                        </w:rPr>
                      </w:pPr>
                      <w:r>
                        <w:rPr>
                          <w:rStyle w:val="Hyperlink"/>
                        </w:rPr>
                        <w:fldChar w:fldCharType="end"/>
                      </w:r>
                    </w:p>
                    <w:p w14:paraId="47E76608" w14:textId="2642A86D" w:rsidR="007A1B21" w:rsidRPr="007A1B21" w:rsidRDefault="007A1B21" w:rsidP="007A1B21">
                      <w:pPr>
                        <w:widowControl/>
                        <w:autoSpaceDE/>
                        <w:autoSpaceDN/>
                        <w:adjustRightInd/>
                        <w:jc w:val="both"/>
                        <w:rPr>
                          <w:sz w:val="24"/>
                          <w:szCs w:val="24"/>
                          <w:lang w:val="fr-FR"/>
                        </w:rPr>
                      </w:pPr>
                      <w:r>
                        <w:rPr>
                          <w:lang w:val="fr-FR"/>
                        </w:rPr>
                        <w:t xml:space="preserve">Le projet de résolution propose de </w:t>
                      </w:r>
                      <w:r>
                        <w:rPr>
                          <w:lang w:val="fr-FR"/>
                        </w:rPr>
                        <w:t>transférer</w:t>
                      </w:r>
                      <w:r>
                        <w:rPr>
                          <w:lang w:val="fr-FR"/>
                        </w:rPr>
                        <w:t xml:space="preserve"> deux paragraphes relatifs au Fonds pour l'environnement mondial </w:t>
                      </w:r>
                      <w:r>
                        <w:rPr>
                          <w:lang w:val="fr-FR"/>
                        </w:rPr>
                        <w:t>dans</w:t>
                      </w:r>
                      <w:r>
                        <w:rPr>
                          <w:lang w:val="fr-FR"/>
                        </w:rPr>
                        <w:t xml:space="preserve"> la Résolution 10.25, </w:t>
                      </w:r>
                      <w:r w:rsidRPr="007A1B21">
                        <w:rPr>
                          <w:i/>
                          <w:lang w:val="fr-FR"/>
                        </w:rPr>
                        <w:t xml:space="preserve">Renforcement de </w:t>
                      </w:r>
                      <w:r w:rsidRPr="007A1B21">
                        <w:rPr>
                          <w:i/>
                          <w:lang w:val="fr-FR"/>
                        </w:rPr>
                        <w:t xml:space="preserve">l'engagement </w:t>
                      </w:r>
                      <w:r w:rsidRPr="007A1B21">
                        <w:rPr>
                          <w:i/>
                          <w:lang w:val="fr-FR"/>
                        </w:rPr>
                        <w:t>dans le Fonds pour l'Environnement M</w:t>
                      </w:r>
                      <w:r w:rsidRPr="007A1B21">
                        <w:rPr>
                          <w:i/>
                          <w:lang w:val="fr-FR"/>
                        </w:rPr>
                        <w:t>ondial.</w:t>
                      </w:r>
                    </w:p>
                    <w:p w14:paraId="6609AC2E" w14:textId="77777777" w:rsidR="007A1B21" w:rsidRDefault="007A1B21" w:rsidP="007A1B21">
                      <w:pPr>
                        <w:jc w:val="both"/>
                        <w:rPr>
                          <w:lang w:val="fr-FR"/>
                        </w:rPr>
                      </w:pPr>
                    </w:p>
                    <w:p w14:paraId="13EC94C3" w14:textId="5ED3620A" w:rsidR="00E8776E" w:rsidRPr="007A1B21" w:rsidRDefault="007A1B21" w:rsidP="007A1B21">
                      <w:pPr>
                        <w:jc w:val="both"/>
                        <w:rPr>
                          <w:sz w:val="21"/>
                          <w:szCs w:val="21"/>
                          <w:lang w:val="fr-FR"/>
                        </w:rPr>
                      </w:pPr>
                      <w:r>
                        <w:rPr>
                          <w:lang w:val="fr-FR"/>
                        </w:rPr>
                        <w:t xml:space="preserve">Ce document doit </w:t>
                      </w:r>
                      <w:r>
                        <w:rPr>
                          <w:lang w:val="fr-FR"/>
                        </w:rPr>
                        <w:t>être lu conjointement avec UNEP/CMS/COP12/</w:t>
                      </w:r>
                      <w:r>
                        <w:rPr>
                          <w:lang w:val="fr-FR"/>
                        </w:rPr>
                        <w:t>Doc.23.1, qui propose des révisions à la Résolution.</w:t>
                      </w:r>
                      <w:bookmarkStart w:id="1" w:name="_GoBack"/>
                      <w:bookmarkEnd w:id="1"/>
                    </w:p>
                  </w:txbxContent>
                </v:textbox>
              </v:shape>
            </w:pict>
          </mc:Fallback>
        </mc:AlternateContent>
      </w:r>
    </w:p>
    <w:p w14:paraId="6BE2EBB5" w14:textId="1394546E" w:rsidR="00D605A4" w:rsidRPr="00D8376F" w:rsidRDefault="00D605A4" w:rsidP="00D605A4">
      <w:pPr>
        <w:rPr>
          <w:lang w:val="fr-FR"/>
        </w:rPr>
      </w:pPr>
    </w:p>
    <w:p w14:paraId="7B796DDF" w14:textId="77777777" w:rsidR="00D605A4" w:rsidRPr="00D8376F" w:rsidRDefault="00D605A4" w:rsidP="00D605A4">
      <w:pPr>
        <w:rPr>
          <w:lang w:val="fr-FR"/>
        </w:rPr>
      </w:pPr>
    </w:p>
    <w:p w14:paraId="7C78EC3C" w14:textId="77777777" w:rsidR="00D605A4" w:rsidRPr="00D8376F" w:rsidRDefault="00D605A4" w:rsidP="00D605A4">
      <w:pPr>
        <w:rPr>
          <w:lang w:val="fr-FR"/>
        </w:rPr>
      </w:pPr>
    </w:p>
    <w:p w14:paraId="460BAD1D" w14:textId="77777777" w:rsidR="00D605A4" w:rsidRPr="00D8376F" w:rsidRDefault="00D605A4" w:rsidP="00D605A4">
      <w:pPr>
        <w:rPr>
          <w:lang w:val="fr-FR"/>
        </w:rPr>
      </w:pPr>
    </w:p>
    <w:p w14:paraId="48FCF9FE" w14:textId="77777777" w:rsidR="00D605A4" w:rsidRPr="00D8376F" w:rsidRDefault="00D605A4" w:rsidP="00D605A4">
      <w:pPr>
        <w:rPr>
          <w:lang w:val="fr-FR"/>
        </w:rPr>
      </w:pPr>
    </w:p>
    <w:p w14:paraId="2C0F518D" w14:textId="77777777" w:rsidR="00D605A4" w:rsidRPr="00D8376F" w:rsidRDefault="00D605A4" w:rsidP="00D605A4">
      <w:pPr>
        <w:rPr>
          <w:lang w:val="fr-FR"/>
        </w:rPr>
      </w:pPr>
    </w:p>
    <w:p w14:paraId="62B8649D" w14:textId="77777777" w:rsidR="00D605A4" w:rsidRPr="00D8376F" w:rsidRDefault="00D605A4" w:rsidP="00D605A4">
      <w:pPr>
        <w:rPr>
          <w:lang w:val="fr-FR"/>
        </w:rPr>
      </w:pPr>
    </w:p>
    <w:p w14:paraId="56F8C56F" w14:textId="77777777" w:rsidR="00D605A4" w:rsidRPr="00D8376F" w:rsidRDefault="00D605A4" w:rsidP="00D605A4">
      <w:pPr>
        <w:rPr>
          <w:lang w:val="fr-FR"/>
        </w:rPr>
      </w:pPr>
    </w:p>
    <w:p w14:paraId="20BB0A78" w14:textId="77777777" w:rsidR="00D605A4" w:rsidRPr="00D8376F" w:rsidRDefault="00D605A4" w:rsidP="00D605A4">
      <w:pPr>
        <w:rPr>
          <w:lang w:val="fr-FR"/>
        </w:rPr>
      </w:pPr>
    </w:p>
    <w:p w14:paraId="428D5A96" w14:textId="77777777" w:rsidR="00D605A4" w:rsidRPr="00D8376F" w:rsidRDefault="00D605A4" w:rsidP="00D605A4">
      <w:pPr>
        <w:rPr>
          <w:lang w:val="fr-FR"/>
        </w:rPr>
      </w:pPr>
    </w:p>
    <w:p w14:paraId="43D900C9" w14:textId="77777777" w:rsidR="00D605A4" w:rsidRPr="00D8376F" w:rsidRDefault="00D605A4" w:rsidP="00D605A4">
      <w:pPr>
        <w:rPr>
          <w:lang w:val="fr-FR"/>
        </w:rPr>
      </w:pPr>
    </w:p>
    <w:p w14:paraId="7700061E" w14:textId="77777777" w:rsidR="00D605A4" w:rsidRPr="00D8376F" w:rsidRDefault="00D605A4" w:rsidP="00D605A4">
      <w:pPr>
        <w:rPr>
          <w:lang w:val="fr-FR"/>
        </w:rPr>
      </w:pPr>
    </w:p>
    <w:p w14:paraId="56F7AAB4" w14:textId="77777777" w:rsidR="00D605A4" w:rsidRPr="00D8376F" w:rsidRDefault="00D605A4" w:rsidP="00D605A4">
      <w:pPr>
        <w:rPr>
          <w:lang w:val="fr-FR"/>
        </w:rPr>
      </w:pPr>
    </w:p>
    <w:p w14:paraId="765C9454" w14:textId="77777777" w:rsidR="00D605A4" w:rsidRPr="00D8376F" w:rsidRDefault="00D605A4" w:rsidP="00D605A4">
      <w:pPr>
        <w:rPr>
          <w:lang w:val="fr-FR"/>
        </w:rPr>
      </w:pPr>
    </w:p>
    <w:p w14:paraId="58B34BA8" w14:textId="77777777" w:rsidR="00D605A4" w:rsidRPr="00D8376F" w:rsidRDefault="00D605A4" w:rsidP="00D605A4">
      <w:pPr>
        <w:rPr>
          <w:lang w:val="fr-FR"/>
        </w:rPr>
      </w:pPr>
    </w:p>
    <w:p w14:paraId="716A50A8" w14:textId="77777777" w:rsidR="00D605A4" w:rsidRPr="00D8376F" w:rsidRDefault="00D605A4" w:rsidP="00D605A4">
      <w:pPr>
        <w:rPr>
          <w:lang w:val="fr-FR"/>
        </w:rPr>
      </w:pPr>
    </w:p>
    <w:p w14:paraId="16A53B10" w14:textId="77777777" w:rsidR="00D605A4" w:rsidRPr="00D8376F" w:rsidRDefault="00D605A4" w:rsidP="00D605A4">
      <w:pPr>
        <w:rPr>
          <w:lang w:val="fr-FR"/>
        </w:rPr>
      </w:pPr>
    </w:p>
    <w:p w14:paraId="5BD79C5E" w14:textId="77777777" w:rsidR="00D605A4" w:rsidRPr="00D8376F" w:rsidRDefault="00D605A4" w:rsidP="00D605A4">
      <w:pPr>
        <w:rPr>
          <w:lang w:val="fr-FR"/>
        </w:rPr>
      </w:pPr>
    </w:p>
    <w:p w14:paraId="7996ADE4" w14:textId="77777777" w:rsidR="00D605A4" w:rsidRPr="00D8376F" w:rsidRDefault="00D605A4" w:rsidP="00D605A4">
      <w:pPr>
        <w:rPr>
          <w:lang w:val="fr-FR"/>
        </w:rPr>
      </w:pPr>
    </w:p>
    <w:p w14:paraId="249A0BAD" w14:textId="77777777" w:rsidR="00D605A4" w:rsidRPr="00D8376F" w:rsidRDefault="00D605A4" w:rsidP="00D605A4">
      <w:pPr>
        <w:rPr>
          <w:lang w:val="fr-FR"/>
        </w:rPr>
      </w:pPr>
    </w:p>
    <w:p w14:paraId="44BEAB76" w14:textId="77777777" w:rsidR="00D605A4" w:rsidRPr="00D8376F" w:rsidRDefault="00D605A4" w:rsidP="00D605A4">
      <w:pPr>
        <w:tabs>
          <w:tab w:val="left" w:pos="1020"/>
        </w:tabs>
        <w:rPr>
          <w:lang w:val="fr-FR"/>
        </w:rPr>
        <w:sectPr w:rsidR="00D605A4" w:rsidRPr="00D8376F" w:rsidSect="0052082F">
          <w:headerReference w:type="even" r:id="rId10"/>
          <w:headerReference w:type="default" r:id="rId11"/>
          <w:footerReference w:type="even" r:id="rId12"/>
          <w:footerReference w:type="default" r:id="rId13"/>
          <w:headerReference w:type="first" r:id="rId14"/>
          <w:pgSz w:w="11905" w:h="16837" w:code="9"/>
          <w:pgMar w:top="1008" w:right="1411" w:bottom="1152" w:left="1411" w:header="432" w:footer="432" w:gutter="0"/>
          <w:cols w:space="720"/>
          <w:noEndnote/>
          <w:titlePg/>
          <w:docGrid w:linePitch="272"/>
        </w:sectPr>
      </w:pPr>
    </w:p>
    <w:p w14:paraId="72701F09" w14:textId="7E8AA342" w:rsidR="008A3AC6" w:rsidRPr="007A1B21" w:rsidRDefault="008A3AC6" w:rsidP="008A3AC6">
      <w:pPr>
        <w:pBdr>
          <w:top w:val="single" w:sz="6" w:space="0" w:color="FFFFFF"/>
          <w:left w:val="single" w:sz="6" w:space="0" w:color="FFFFFF"/>
          <w:bottom w:val="single" w:sz="6" w:space="0" w:color="FFFFFF"/>
          <w:right w:val="single" w:sz="6" w:space="0" w:color="FFFFFF"/>
        </w:pBdr>
        <w:jc w:val="right"/>
        <w:outlineLvl w:val="1"/>
        <w:rPr>
          <w:b/>
          <w:caps/>
          <w:lang w:val="fr-FR"/>
        </w:rPr>
      </w:pPr>
      <w:r w:rsidRPr="007A1B21">
        <w:rPr>
          <w:b/>
          <w:caps/>
          <w:lang w:val="fr-FR"/>
        </w:rPr>
        <w:lastRenderedPageBreak/>
        <w:t>AnnexE 1</w:t>
      </w:r>
    </w:p>
    <w:p w14:paraId="5263A311" w14:textId="77777777" w:rsidR="008A3AC6" w:rsidRPr="007A1B21" w:rsidRDefault="008A3AC6" w:rsidP="008A3AC6">
      <w:pPr>
        <w:pBdr>
          <w:top w:val="single" w:sz="6" w:space="0" w:color="FFFFFF"/>
          <w:left w:val="single" w:sz="6" w:space="0" w:color="FFFFFF"/>
          <w:bottom w:val="single" w:sz="6" w:space="0" w:color="FFFFFF"/>
          <w:right w:val="single" w:sz="6" w:space="0" w:color="FFFFFF"/>
        </w:pBdr>
        <w:ind w:left="-90" w:right="-367"/>
        <w:jc w:val="center"/>
        <w:outlineLvl w:val="1"/>
        <w:rPr>
          <w:bCs/>
          <w:caps/>
          <w:lang w:val="fr-FR"/>
        </w:rPr>
      </w:pPr>
    </w:p>
    <w:p w14:paraId="62E1914D" w14:textId="77777777" w:rsidR="00275105" w:rsidRPr="007A1B21" w:rsidRDefault="00275105" w:rsidP="00275105">
      <w:pPr>
        <w:jc w:val="center"/>
        <w:rPr>
          <w:lang w:val="fr-FR"/>
        </w:rPr>
      </w:pPr>
      <w:r w:rsidRPr="007A1B21">
        <w:rPr>
          <w:lang w:val="fr-FR"/>
        </w:rPr>
        <w:t>PROJET DE RÉSOLUTION</w:t>
      </w:r>
    </w:p>
    <w:p w14:paraId="140E0321" w14:textId="77777777" w:rsidR="008A3AC6" w:rsidRPr="007A1B21" w:rsidRDefault="008A3AC6" w:rsidP="008A3AC6">
      <w:pPr>
        <w:contextualSpacing/>
        <w:jc w:val="both"/>
        <w:outlineLvl w:val="0"/>
        <w:rPr>
          <w:b/>
          <w:lang w:val="fr-FR"/>
        </w:rPr>
      </w:pPr>
    </w:p>
    <w:p w14:paraId="687F845D" w14:textId="0F5E9D06" w:rsidR="00566AF2" w:rsidRPr="007A1B21" w:rsidRDefault="007A1B21" w:rsidP="00566AF2">
      <w:pPr>
        <w:pStyle w:val="p1"/>
        <w:jc w:val="center"/>
        <w:rPr>
          <w:b/>
          <w:bCs/>
          <w:caps/>
          <w:sz w:val="22"/>
          <w:szCs w:val="22"/>
          <w:lang w:val="fr-FR"/>
        </w:rPr>
      </w:pPr>
      <w:r>
        <w:rPr>
          <w:b/>
          <w:bCs/>
          <w:caps/>
          <w:sz w:val="22"/>
          <w:szCs w:val="22"/>
          <w:lang w:val="fr-FR"/>
        </w:rPr>
        <w:t>rÉ</w:t>
      </w:r>
      <w:r w:rsidR="001C3800" w:rsidRPr="007A1B21">
        <w:rPr>
          <w:b/>
          <w:bCs/>
          <w:caps/>
          <w:sz w:val="22"/>
          <w:szCs w:val="22"/>
          <w:lang w:val="fr-FR"/>
        </w:rPr>
        <w:t>solution 11</w:t>
      </w:r>
      <w:r w:rsidR="00566AF2" w:rsidRPr="007A1B21">
        <w:rPr>
          <w:b/>
          <w:bCs/>
          <w:caps/>
          <w:sz w:val="22"/>
          <w:szCs w:val="22"/>
          <w:lang w:val="fr-FR"/>
        </w:rPr>
        <w:t>.</w:t>
      </w:r>
      <w:r w:rsidR="00CB0366" w:rsidRPr="007A1B21">
        <w:rPr>
          <w:b/>
          <w:bCs/>
          <w:caps/>
          <w:sz w:val="22"/>
          <w:szCs w:val="22"/>
          <w:lang w:val="fr-FR"/>
        </w:rPr>
        <w:t>10</w:t>
      </w:r>
      <w:r w:rsidR="00566AF2" w:rsidRPr="007A1B21">
        <w:rPr>
          <w:b/>
          <w:bCs/>
          <w:caps/>
          <w:sz w:val="22"/>
          <w:szCs w:val="22"/>
          <w:lang w:val="fr-FR"/>
        </w:rPr>
        <w:t xml:space="preserve"> </w:t>
      </w:r>
      <w:r w:rsidR="00566AF2" w:rsidRPr="007A1B21">
        <w:rPr>
          <w:b/>
          <w:bCs/>
          <w:caps/>
          <w:sz w:val="22"/>
          <w:szCs w:val="22"/>
          <w:u w:val="single"/>
          <w:lang w:val="fr-FR"/>
        </w:rPr>
        <w:t>(Rev. COP12)</w:t>
      </w:r>
    </w:p>
    <w:p w14:paraId="1F5BBA58" w14:textId="77777777" w:rsidR="00566AF2" w:rsidRPr="007A1B21" w:rsidRDefault="00566AF2" w:rsidP="00566AF2">
      <w:pPr>
        <w:pStyle w:val="p1"/>
        <w:jc w:val="center"/>
        <w:rPr>
          <w:b/>
          <w:bCs/>
          <w:caps/>
          <w:sz w:val="22"/>
          <w:szCs w:val="22"/>
          <w:lang w:val="fr-FR"/>
        </w:rPr>
      </w:pPr>
    </w:p>
    <w:p w14:paraId="47828429" w14:textId="7A8352CD" w:rsidR="008A3AC6" w:rsidRPr="007A1B21" w:rsidRDefault="00CB0366" w:rsidP="008A3AC6">
      <w:pPr>
        <w:jc w:val="center"/>
        <w:rPr>
          <w:b/>
          <w:lang w:val="fr-FR"/>
        </w:rPr>
      </w:pPr>
      <w:r w:rsidRPr="007A1B21">
        <w:rPr>
          <w:b/>
          <w:bCs/>
          <w:caps/>
          <w:lang w:val="fr-FR"/>
        </w:rPr>
        <w:t>Synergies et partenariats</w:t>
      </w:r>
    </w:p>
    <w:p w14:paraId="7514F08F" w14:textId="77777777" w:rsidR="008A3AC6" w:rsidRPr="007A1B21" w:rsidRDefault="008A3AC6" w:rsidP="008A3AC6">
      <w:pPr>
        <w:jc w:val="center"/>
        <w:rPr>
          <w:lang w:val="fr-FR"/>
        </w:rPr>
      </w:pPr>
    </w:p>
    <w:p w14:paraId="61C4AFDF" w14:textId="38A4A8D2" w:rsidR="00E8776E" w:rsidRPr="007A1B21" w:rsidRDefault="008A3AC6" w:rsidP="00FB70A2">
      <w:pPr>
        <w:jc w:val="both"/>
        <w:rPr>
          <w:lang w:val="fr-FR"/>
        </w:rPr>
      </w:pPr>
      <w:r w:rsidRPr="007A1B21">
        <w:rPr>
          <w:i/>
          <w:lang w:val="fr-FR"/>
        </w:rPr>
        <w:t>NB:</w:t>
      </w:r>
      <w:r w:rsidRPr="007A1B21">
        <w:rPr>
          <w:i/>
          <w:lang w:val="fr-FR"/>
        </w:rPr>
        <w:tab/>
      </w:r>
      <w:r w:rsidRPr="00D8376F">
        <w:rPr>
          <w:i/>
          <w:iCs/>
          <w:color w:val="000000" w:themeColor="text1"/>
          <w:lang w:val="fr-FR"/>
        </w:rPr>
        <w:t xml:space="preserve">Le nouveau texte est </w:t>
      </w:r>
      <w:r w:rsidRPr="00D8376F">
        <w:rPr>
          <w:i/>
          <w:iCs/>
          <w:color w:val="000000" w:themeColor="text1"/>
          <w:u w:val="single"/>
          <w:lang w:val="fr-FR"/>
        </w:rPr>
        <w:t>souligné</w:t>
      </w:r>
      <w:r w:rsidRPr="00D8376F">
        <w:rPr>
          <w:i/>
          <w:iCs/>
          <w:color w:val="000000" w:themeColor="text1"/>
          <w:lang w:val="fr-FR"/>
        </w:rPr>
        <w:t xml:space="preserve">. Le texte à effacer est </w:t>
      </w:r>
      <w:r w:rsidRPr="00D8376F">
        <w:rPr>
          <w:i/>
          <w:iCs/>
          <w:strike/>
          <w:color w:val="000000" w:themeColor="text1"/>
          <w:lang w:val="fr-FR"/>
        </w:rPr>
        <w:t>barré</w:t>
      </w:r>
      <w:r w:rsidRPr="00D8376F">
        <w:rPr>
          <w:i/>
          <w:iCs/>
          <w:color w:val="000000" w:themeColor="text1"/>
          <w:lang w:val="fr-FR"/>
        </w:rPr>
        <w:t>.</w:t>
      </w:r>
    </w:p>
    <w:p w14:paraId="272CC510" w14:textId="77777777" w:rsidR="00593041" w:rsidRPr="007A1B21" w:rsidRDefault="00593041" w:rsidP="00593041">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1770"/>
      </w:tblGrid>
      <w:tr w:rsidR="006A610A" w:rsidRPr="00D8376F" w14:paraId="4DDF28D4" w14:textId="77777777" w:rsidTr="00275105">
        <w:trPr>
          <w:tblHeader/>
        </w:trPr>
        <w:tc>
          <w:tcPr>
            <w:tcW w:w="7308" w:type="dxa"/>
            <w:shd w:val="clear" w:color="auto" w:fill="D9D9D9" w:themeFill="background1" w:themeFillShade="D9"/>
          </w:tcPr>
          <w:p w14:paraId="7B90CCC0" w14:textId="0222DA96" w:rsidR="00496B06" w:rsidRPr="00D8376F" w:rsidRDefault="00496B06" w:rsidP="009F5EBD">
            <w:pPr>
              <w:rPr>
                <w:b/>
              </w:rPr>
            </w:pPr>
            <w:r w:rsidRPr="00D8376F">
              <w:rPr>
                <w:b/>
              </w:rPr>
              <w:t>Le paragraphe </w:t>
            </w:r>
          </w:p>
        </w:tc>
        <w:tc>
          <w:tcPr>
            <w:tcW w:w="1745" w:type="dxa"/>
            <w:shd w:val="clear" w:color="auto" w:fill="D9D9D9" w:themeFill="background1" w:themeFillShade="D9"/>
          </w:tcPr>
          <w:p w14:paraId="7D0BEF10" w14:textId="3D3027B1" w:rsidR="00496B06" w:rsidRPr="00D8376F" w:rsidRDefault="00496B06" w:rsidP="009F5EBD">
            <w:pPr>
              <w:rPr>
                <w:b/>
              </w:rPr>
            </w:pPr>
            <w:r w:rsidRPr="00D8376F">
              <w:rPr>
                <w:b/>
                <w:lang w:val="fr-FR"/>
              </w:rPr>
              <w:t>Commentaires</w:t>
            </w:r>
          </w:p>
        </w:tc>
      </w:tr>
      <w:tr w:rsidR="006A610A" w:rsidRPr="00D8376F" w14:paraId="144336C6" w14:textId="77777777" w:rsidTr="00275105">
        <w:tc>
          <w:tcPr>
            <w:tcW w:w="7308" w:type="dxa"/>
            <w:shd w:val="clear" w:color="auto" w:fill="auto"/>
          </w:tcPr>
          <w:p w14:paraId="052E3C23" w14:textId="05026724" w:rsidR="00593041" w:rsidRPr="007A1B21" w:rsidRDefault="002D5163" w:rsidP="002D5163">
            <w:pPr>
              <w:widowControl/>
              <w:autoSpaceDE/>
              <w:autoSpaceDN/>
              <w:adjustRightInd/>
              <w:jc w:val="both"/>
              <w:rPr>
                <w:szCs w:val="17"/>
                <w:lang w:val="fr-FR"/>
              </w:rPr>
            </w:pPr>
            <w:r w:rsidRPr="007A1B21">
              <w:rPr>
                <w:i/>
                <w:iCs/>
                <w:szCs w:val="17"/>
                <w:lang w:val="fr-FR"/>
              </w:rPr>
              <w:t xml:space="preserve">Rappelant </w:t>
            </w:r>
            <w:r w:rsidRPr="007A1B21">
              <w:rPr>
                <w:szCs w:val="17"/>
                <w:lang w:val="fr-FR"/>
              </w:rPr>
              <w:t>la Résolution 7.9 sur la « Coopération avec d’autres organismes et processus », la Résolution 8.11 sur la « Coopération avec d’autres conventions », la Résolution 9.6 sur « La coopération avec d’autres organismes » et la Résolution 10.21 sur les « Synergies et partenariats », ainsi que la Résolution 10.25 sur le « Renforcement de l’engagement dans le Fonds</w:t>
            </w:r>
            <w:r w:rsidR="00236459" w:rsidRPr="007A1B21">
              <w:rPr>
                <w:szCs w:val="17"/>
                <w:lang w:val="fr-FR"/>
              </w:rPr>
              <w:t xml:space="preserve"> pour l’Environnement Mondial »</w:t>
            </w:r>
            <w:r w:rsidRPr="007A1B21">
              <w:rPr>
                <w:szCs w:val="17"/>
                <w:lang w:val="fr-FR"/>
              </w:rPr>
              <w:t>; </w:t>
            </w:r>
          </w:p>
        </w:tc>
        <w:tc>
          <w:tcPr>
            <w:tcW w:w="1745" w:type="dxa"/>
            <w:shd w:val="clear" w:color="auto" w:fill="auto"/>
          </w:tcPr>
          <w:p w14:paraId="59C5CC80" w14:textId="4621A0D4" w:rsidR="00593041" w:rsidRPr="00D8376F" w:rsidRDefault="00446037" w:rsidP="009F5EBD">
            <w:r>
              <w:t>Conserver</w:t>
            </w:r>
          </w:p>
        </w:tc>
      </w:tr>
      <w:tr w:rsidR="006A610A" w:rsidRPr="00D8376F" w14:paraId="62EAFB41" w14:textId="77777777" w:rsidTr="00275105">
        <w:tc>
          <w:tcPr>
            <w:tcW w:w="7308" w:type="dxa"/>
            <w:shd w:val="clear" w:color="auto" w:fill="auto"/>
          </w:tcPr>
          <w:p w14:paraId="71990F76" w14:textId="1C49B2FD" w:rsidR="00446037" w:rsidRPr="007A1B21" w:rsidRDefault="002D5163" w:rsidP="002D5163">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l’importance de la coopération et des synergies avec d’autres organismes, y compris les Accords multilatéraux sur l'environnement (AEM) et organisations non gouvernementa</w:t>
            </w:r>
            <w:r w:rsidR="00236459" w:rsidRPr="007A1B21">
              <w:rPr>
                <w:szCs w:val="17"/>
                <w:lang w:val="fr-FR"/>
              </w:rPr>
              <w:t>les, ainsi que le secteur privé</w:t>
            </w:r>
            <w:r w:rsidRPr="007A1B21">
              <w:rPr>
                <w:szCs w:val="17"/>
                <w:lang w:val="fr-FR"/>
              </w:rPr>
              <w:t>;</w:t>
            </w:r>
          </w:p>
        </w:tc>
        <w:tc>
          <w:tcPr>
            <w:tcW w:w="1745" w:type="dxa"/>
            <w:shd w:val="clear" w:color="auto" w:fill="auto"/>
          </w:tcPr>
          <w:p w14:paraId="17F3114A" w14:textId="711A6EF1" w:rsidR="00446037" w:rsidRPr="00D8376F" w:rsidRDefault="00446037" w:rsidP="009F5EBD">
            <w:r w:rsidRPr="000904FF">
              <w:t>Conserver</w:t>
            </w:r>
          </w:p>
        </w:tc>
      </w:tr>
      <w:tr w:rsidR="006A610A" w:rsidRPr="00D8376F" w14:paraId="32583B04" w14:textId="77777777" w:rsidTr="00275105">
        <w:tc>
          <w:tcPr>
            <w:tcW w:w="7308" w:type="dxa"/>
            <w:shd w:val="clear" w:color="auto" w:fill="auto"/>
          </w:tcPr>
          <w:p w14:paraId="6BB5CF5E" w14:textId="33754032" w:rsidR="00446037" w:rsidRPr="007A1B21" w:rsidRDefault="002D5163" w:rsidP="002D5163">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le rôle déterminant des organisations partenaires dans le développement et la mise en oeuvre de la CMS, de ses initiatives et de ses campagnes de sensibilisation, y compris la négocia</w:t>
            </w:r>
            <w:r w:rsidR="00236459" w:rsidRPr="007A1B21">
              <w:rPr>
                <w:szCs w:val="17"/>
                <w:lang w:val="fr-FR"/>
              </w:rPr>
              <w:t>tion de la Convention elle-même</w:t>
            </w:r>
            <w:r w:rsidRPr="007A1B21">
              <w:rPr>
                <w:szCs w:val="17"/>
                <w:lang w:val="fr-FR"/>
              </w:rPr>
              <w:t>;</w:t>
            </w:r>
          </w:p>
        </w:tc>
        <w:tc>
          <w:tcPr>
            <w:tcW w:w="1745" w:type="dxa"/>
            <w:shd w:val="clear" w:color="auto" w:fill="auto"/>
          </w:tcPr>
          <w:p w14:paraId="38E1326C" w14:textId="1E1F188D" w:rsidR="00446037" w:rsidRPr="00D8376F" w:rsidRDefault="00446037" w:rsidP="009F5EBD">
            <w:r w:rsidRPr="000904FF">
              <w:t>Conserver</w:t>
            </w:r>
          </w:p>
        </w:tc>
      </w:tr>
      <w:tr w:rsidR="006A610A" w:rsidRPr="00D8376F" w14:paraId="7415AC76" w14:textId="77777777" w:rsidTr="00275105">
        <w:tc>
          <w:tcPr>
            <w:tcW w:w="7308" w:type="dxa"/>
            <w:shd w:val="clear" w:color="auto" w:fill="auto"/>
          </w:tcPr>
          <w:p w14:paraId="1E5912E4" w14:textId="2B87A5C2" w:rsidR="00446037" w:rsidRPr="007A1B21" w:rsidRDefault="002D5163" w:rsidP="002D5163">
            <w:pPr>
              <w:widowControl/>
              <w:autoSpaceDE/>
              <w:autoSpaceDN/>
              <w:adjustRightInd/>
              <w:jc w:val="both"/>
              <w:rPr>
                <w:szCs w:val="17"/>
                <w:lang w:val="fr-FR"/>
              </w:rPr>
            </w:pPr>
            <w:r w:rsidRPr="007A1B21">
              <w:rPr>
                <w:i/>
                <w:iCs/>
                <w:szCs w:val="17"/>
                <w:lang w:val="fr-FR"/>
              </w:rPr>
              <w:t xml:space="preserve">Appréciant </w:t>
            </w:r>
            <w:r w:rsidRPr="007A1B21">
              <w:rPr>
                <w:szCs w:val="17"/>
                <w:lang w:val="fr-FR"/>
              </w:rPr>
              <w:t>la valeur de ces partenariats permettant d’atteindre une audience plus vaste et d’améliorer la prise de conscience du grand public sur la Convention et sur l’importance de sauvegarder les espèces migratrices à l’échelle mondiale</w:t>
            </w:r>
            <w:r w:rsidR="00236459" w:rsidRPr="007A1B21">
              <w:rPr>
                <w:szCs w:val="17"/>
                <w:lang w:val="fr-FR"/>
              </w:rPr>
              <w:t>;</w:t>
            </w:r>
          </w:p>
        </w:tc>
        <w:tc>
          <w:tcPr>
            <w:tcW w:w="1745" w:type="dxa"/>
            <w:shd w:val="clear" w:color="auto" w:fill="auto"/>
          </w:tcPr>
          <w:p w14:paraId="5A3666E1" w14:textId="29FD9C96" w:rsidR="00446037" w:rsidRPr="00D8376F" w:rsidRDefault="00446037" w:rsidP="009F5EBD">
            <w:r w:rsidRPr="000904FF">
              <w:t>Conserver</w:t>
            </w:r>
          </w:p>
        </w:tc>
      </w:tr>
      <w:tr w:rsidR="006A610A" w:rsidRPr="00D8376F" w14:paraId="5AC03F18" w14:textId="77777777" w:rsidTr="00275105">
        <w:tc>
          <w:tcPr>
            <w:tcW w:w="7308" w:type="dxa"/>
            <w:shd w:val="clear" w:color="auto" w:fill="auto"/>
          </w:tcPr>
          <w:p w14:paraId="2D8C9C2F" w14:textId="0DEEDEF8" w:rsidR="00446037" w:rsidRPr="007A1B21" w:rsidRDefault="002D5163" w:rsidP="002D5163">
            <w:pPr>
              <w:widowControl/>
              <w:autoSpaceDE/>
              <w:autoSpaceDN/>
              <w:adjustRightInd/>
              <w:jc w:val="both"/>
              <w:rPr>
                <w:szCs w:val="17"/>
                <w:lang w:val="fr-FR"/>
              </w:rPr>
            </w:pPr>
            <w:r w:rsidRPr="007A1B21">
              <w:rPr>
                <w:i/>
                <w:iCs/>
                <w:szCs w:val="17"/>
                <w:lang w:val="fr-FR"/>
              </w:rPr>
              <w:t xml:space="preserve">Notant avec reconnaissance </w:t>
            </w:r>
            <w:r w:rsidRPr="007A1B21">
              <w:rPr>
                <w:szCs w:val="17"/>
                <w:lang w:val="fr-FR"/>
              </w:rPr>
              <w:t>tous les individus et toutes les organisations qui ont contribué aux succès de la campagne pour l’Année de la Tortue (2006), l’Année du Dauphin (2007/8), l’ «Année du Gorille » (2009) et de la campagne pour l’« Année de la Chauve-souris » (2011/12);</w:t>
            </w:r>
          </w:p>
        </w:tc>
        <w:tc>
          <w:tcPr>
            <w:tcW w:w="1745" w:type="dxa"/>
            <w:shd w:val="clear" w:color="auto" w:fill="auto"/>
          </w:tcPr>
          <w:p w14:paraId="065089B9" w14:textId="016CE549" w:rsidR="00446037" w:rsidRPr="00D8376F" w:rsidRDefault="00446037" w:rsidP="009F5EBD">
            <w:r w:rsidRPr="000904FF">
              <w:t>Conserver</w:t>
            </w:r>
          </w:p>
        </w:tc>
      </w:tr>
      <w:tr w:rsidR="006A610A" w:rsidRPr="00D8376F" w14:paraId="59394045" w14:textId="77777777" w:rsidTr="00275105">
        <w:tc>
          <w:tcPr>
            <w:tcW w:w="7308" w:type="dxa"/>
            <w:shd w:val="clear" w:color="auto" w:fill="auto"/>
          </w:tcPr>
          <w:p w14:paraId="38580050" w14:textId="3710BAA5" w:rsidR="00446037" w:rsidRPr="007A1B21" w:rsidRDefault="002D5163" w:rsidP="00236459">
            <w:pPr>
              <w:widowControl/>
              <w:autoSpaceDE/>
              <w:autoSpaceDN/>
              <w:adjustRightInd/>
              <w:jc w:val="both"/>
              <w:rPr>
                <w:szCs w:val="17"/>
                <w:lang w:val="fr-FR"/>
              </w:rPr>
            </w:pPr>
            <w:r w:rsidRPr="007A1B21">
              <w:rPr>
                <w:i/>
                <w:iCs/>
                <w:szCs w:val="17"/>
                <w:lang w:val="fr-FR"/>
              </w:rPr>
              <w:t xml:space="preserve">Exprimant </w:t>
            </w:r>
            <w:r w:rsidRPr="007A1B21">
              <w:rPr>
                <w:szCs w:val="17"/>
                <w:lang w:val="fr-FR"/>
              </w:rPr>
              <w:t>sa gratitude aux nombreuses organisations partenaires qui ont aidé à promouvoir la CMS et son mandat, par exemple, en facilitant les négociations et la mise en oeuvre des accords sur les espèces au titre de la Convention; </w:t>
            </w:r>
          </w:p>
        </w:tc>
        <w:tc>
          <w:tcPr>
            <w:tcW w:w="1745" w:type="dxa"/>
            <w:shd w:val="clear" w:color="auto" w:fill="auto"/>
          </w:tcPr>
          <w:p w14:paraId="2310DE9F" w14:textId="49A4DD3D" w:rsidR="00446037" w:rsidRPr="00D8376F" w:rsidRDefault="00446037" w:rsidP="009F5EBD">
            <w:r w:rsidRPr="000904FF">
              <w:t>Conserver</w:t>
            </w:r>
          </w:p>
        </w:tc>
      </w:tr>
      <w:tr w:rsidR="006A610A" w:rsidRPr="00D8376F" w14:paraId="0675C475" w14:textId="77777777" w:rsidTr="00275105">
        <w:tc>
          <w:tcPr>
            <w:tcW w:w="7308" w:type="dxa"/>
            <w:shd w:val="clear" w:color="auto" w:fill="auto"/>
          </w:tcPr>
          <w:p w14:paraId="2AA1594C" w14:textId="4E413811" w:rsidR="00446037" w:rsidRPr="007A1B21" w:rsidRDefault="002D5163" w:rsidP="002D5163">
            <w:pPr>
              <w:widowControl/>
              <w:autoSpaceDE/>
              <w:autoSpaceDN/>
              <w:adjustRightInd/>
              <w:jc w:val="both"/>
              <w:rPr>
                <w:szCs w:val="17"/>
                <w:lang w:val="fr-FR"/>
              </w:rPr>
            </w:pPr>
            <w:r w:rsidRPr="007A1B21">
              <w:rPr>
                <w:i/>
                <w:iCs/>
                <w:szCs w:val="17"/>
                <w:lang w:val="fr-FR"/>
              </w:rPr>
              <w:t xml:space="preserve">Accueillant </w:t>
            </w:r>
            <w:r w:rsidRPr="007A1B21">
              <w:rPr>
                <w:szCs w:val="17"/>
                <w:lang w:val="fr-FR"/>
              </w:rPr>
              <w:t>le rapport sur les synergies et les partenariats (PNUE/CMS/COP11/Doc.21.1), établi par le Secrétariat PNUE/CMS et des progrès accomplis en matière de renforcement de la coopération, de la coordination et des synergies ainsi que des partenariats avec les Conventions relatives à la biodiversité et d’autres institutions compétentes; </w:t>
            </w:r>
          </w:p>
        </w:tc>
        <w:tc>
          <w:tcPr>
            <w:tcW w:w="1745" w:type="dxa"/>
            <w:shd w:val="clear" w:color="auto" w:fill="auto"/>
          </w:tcPr>
          <w:p w14:paraId="0AEB7860" w14:textId="54C83E15" w:rsidR="00446037" w:rsidRPr="00D8376F" w:rsidRDefault="00446037" w:rsidP="009F5EBD">
            <w:r w:rsidRPr="000904FF">
              <w:t>Conserver</w:t>
            </w:r>
          </w:p>
        </w:tc>
      </w:tr>
      <w:tr w:rsidR="006A610A" w:rsidRPr="007A1B21" w14:paraId="0D5B8FBA" w14:textId="77777777" w:rsidTr="00275105">
        <w:tc>
          <w:tcPr>
            <w:tcW w:w="7308" w:type="dxa"/>
            <w:shd w:val="clear" w:color="auto" w:fill="auto"/>
          </w:tcPr>
          <w:p w14:paraId="1FCE5F2D" w14:textId="64F97CFF" w:rsidR="00BD3B21" w:rsidRPr="007A1B21" w:rsidRDefault="00BD3B21" w:rsidP="002D5163">
            <w:pPr>
              <w:widowControl/>
              <w:autoSpaceDE/>
              <w:autoSpaceDN/>
              <w:adjustRightInd/>
              <w:jc w:val="both"/>
              <w:rPr>
                <w:strike/>
                <w:szCs w:val="17"/>
                <w:lang w:val="fr-FR"/>
              </w:rPr>
            </w:pPr>
            <w:r w:rsidRPr="007A1B21">
              <w:rPr>
                <w:i/>
                <w:iCs/>
                <w:strike/>
                <w:szCs w:val="17"/>
                <w:lang w:val="fr-FR"/>
              </w:rPr>
              <w:t xml:space="preserve">Notant en l’appréciant </w:t>
            </w:r>
            <w:r w:rsidRPr="007A1B21">
              <w:rPr>
                <w:strike/>
                <w:szCs w:val="17"/>
                <w:lang w:val="fr-FR"/>
              </w:rPr>
              <w:t xml:space="preserve">l’appui donné par le PNUE qui a nommé des points focaux régionaux pour les AEM relatifs à la biodiversité et aux écosystèmes et qui sont chargés d’assurer la liaison avec ces AEM, leur promotion et leur implantation dans les régions du PNUE et </w:t>
            </w:r>
            <w:r w:rsidRPr="007A1B21">
              <w:rPr>
                <w:i/>
                <w:iCs/>
                <w:strike/>
                <w:szCs w:val="17"/>
                <w:lang w:val="fr-FR"/>
              </w:rPr>
              <w:t xml:space="preserve">reconnaissant </w:t>
            </w:r>
            <w:r w:rsidRPr="007A1B21">
              <w:rPr>
                <w:strike/>
                <w:szCs w:val="17"/>
                <w:lang w:val="fr-FR"/>
              </w:rPr>
              <w:t>leur coopération avec le Secrétariat;</w:t>
            </w:r>
          </w:p>
        </w:tc>
        <w:tc>
          <w:tcPr>
            <w:tcW w:w="1745" w:type="dxa"/>
            <w:shd w:val="clear" w:color="auto" w:fill="auto"/>
          </w:tcPr>
          <w:p w14:paraId="4B260A07" w14:textId="11512167" w:rsidR="00BD3B21" w:rsidRPr="007A1B21" w:rsidRDefault="007A1B21" w:rsidP="009F5EBD">
            <w:pPr>
              <w:rPr>
                <w:strike/>
                <w:lang w:val="fr-FR"/>
              </w:rPr>
            </w:pPr>
            <w:r w:rsidRPr="007A1B21">
              <w:rPr>
                <w:lang w:val="fr-FR"/>
              </w:rPr>
              <w:t>Abroger, les points focaux n’existent plus.</w:t>
            </w:r>
          </w:p>
        </w:tc>
      </w:tr>
      <w:tr w:rsidR="006A610A" w:rsidRPr="00D8376F" w14:paraId="3F02CC90" w14:textId="77777777" w:rsidTr="00275105">
        <w:tc>
          <w:tcPr>
            <w:tcW w:w="7308" w:type="dxa"/>
            <w:shd w:val="clear" w:color="auto" w:fill="auto"/>
          </w:tcPr>
          <w:p w14:paraId="5F802962" w14:textId="4B2395AD" w:rsidR="00BD3B21" w:rsidRPr="007A1B21" w:rsidRDefault="00BD3B21" w:rsidP="002D5163">
            <w:pPr>
              <w:widowControl/>
              <w:autoSpaceDE/>
              <w:autoSpaceDN/>
              <w:adjustRightInd/>
              <w:jc w:val="both"/>
              <w:rPr>
                <w:szCs w:val="17"/>
                <w:lang w:val="fr-FR"/>
              </w:rPr>
            </w:pPr>
            <w:r w:rsidRPr="007A1B21">
              <w:rPr>
                <w:i/>
                <w:iCs/>
                <w:szCs w:val="17"/>
                <w:lang w:val="fr-FR"/>
              </w:rPr>
              <w:t xml:space="preserve">Prenant note en outre </w:t>
            </w:r>
            <w:r w:rsidRPr="007A1B21">
              <w:rPr>
                <w:szCs w:val="17"/>
                <w:lang w:val="fr-FR"/>
              </w:rPr>
              <w:t>des résultats du projet du PNUE sur l'amélioration de l'efficacité et de la coopération entre les conventions relatives à la biodiversité et explorer les possibilités de synergies supplémentaires;</w:t>
            </w:r>
          </w:p>
        </w:tc>
        <w:tc>
          <w:tcPr>
            <w:tcW w:w="1745" w:type="dxa"/>
            <w:shd w:val="clear" w:color="auto" w:fill="auto"/>
          </w:tcPr>
          <w:p w14:paraId="52C086DE" w14:textId="7B7BDF18" w:rsidR="00BD3B21" w:rsidRPr="00D8376F" w:rsidRDefault="00BD3B21" w:rsidP="009F5EBD">
            <w:r w:rsidRPr="000904FF">
              <w:t>Conserver</w:t>
            </w:r>
          </w:p>
        </w:tc>
      </w:tr>
      <w:tr w:rsidR="006A610A" w:rsidRPr="00D8376F" w14:paraId="437B53A2" w14:textId="77777777" w:rsidTr="00275105">
        <w:tc>
          <w:tcPr>
            <w:tcW w:w="7308" w:type="dxa"/>
            <w:shd w:val="clear" w:color="auto" w:fill="auto"/>
          </w:tcPr>
          <w:p w14:paraId="2B50323F" w14:textId="2726C879" w:rsidR="00BD3B21" w:rsidRPr="007A1B21" w:rsidRDefault="00BD3B21" w:rsidP="002D5163">
            <w:pPr>
              <w:widowControl/>
              <w:autoSpaceDE/>
              <w:autoSpaceDN/>
              <w:adjustRightInd/>
              <w:jc w:val="both"/>
              <w:rPr>
                <w:szCs w:val="17"/>
                <w:lang w:val="fr-FR"/>
              </w:rPr>
            </w:pPr>
            <w:r w:rsidRPr="007A1B21">
              <w:rPr>
                <w:i/>
                <w:iCs/>
                <w:szCs w:val="17"/>
                <w:lang w:val="fr-FR"/>
              </w:rPr>
              <w:t xml:space="preserve">Accueillant </w:t>
            </w:r>
            <w:r w:rsidRPr="007A1B21">
              <w:rPr>
                <w:szCs w:val="17"/>
                <w:lang w:val="fr-FR"/>
              </w:rPr>
              <w:t>les décisions prises par la Convention sur la diversité biologique (CDB) et la Convention sur le commerce international des espèces de faune et de flore sauvages menacées d’extinction (CITES) sur la coopération, la coordination et les synergies entre les conventions relatives à la biodiversité;</w:t>
            </w:r>
          </w:p>
        </w:tc>
        <w:tc>
          <w:tcPr>
            <w:tcW w:w="1745" w:type="dxa"/>
            <w:shd w:val="clear" w:color="auto" w:fill="auto"/>
          </w:tcPr>
          <w:p w14:paraId="3EA4631E" w14:textId="54711BDC" w:rsidR="00BD3B21" w:rsidRPr="00D8376F" w:rsidRDefault="00BD3B21" w:rsidP="009F5EBD">
            <w:r w:rsidRPr="00867B16">
              <w:t>Conserver</w:t>
            </w:r>
          </w:p>
        </w:tc>
      </w:tr>
      <w:tr w:rsidR="006A610A" w:rsidRPr="00D8376F" w14:paraId="379873E0" w14:textId="77777777" w:rsidTr="00275105">
        <w:tc>
          <w:tcPr>
            <w:tcW w:w="7308" w:type="dxa"/>
            <w:shd w:val="clear" w:color="auto" w:fill="auto"/>
          </w:tcPr>
          <w:p w14:paraId="3E28BCE9" w14:textId="6817F153" w:rsidR="00BD3B21" w:rsidRPr="007A1B21" w:rsidRDefault="00BD3B21" w:rsidP="002D5163">
            <w:pPr>
              <w:widowControl/>
              <w:autoSpaceDE/>
              <w:autoSpaceDN/>
              <w:adjustRightInd/>
              <w:jc w:val="both"/>
              <w:rPr>
                <w:szCs w:val="17"/>
                <w:lang w:val="fr-FR"/>
              </w:rPr>
            </w:pPr>
            <w:r w:rsidRPr="007A1B21">
              <w:rPr>
                <w:i/>
                <w:iCs/>
                <w:szCs w:val="17"/>
                <w:lang w:val="fr-FR"/>
              </w:rPr>
              <w:lastRenderedPageBreak/>
              <w:t xml:space="preserve">Accueillant aussi </w:t>
            </w:r>
            <w:r w:rsidRPr="007A1B21">
              <w:rPr>
                <w:szCs w:val="17"/>
                <w:lang w:val="fr-FR"/>
              </w:rPr>
              <w:t>la coopération constante et importante entre les secrétariats des conventions relatives à la biodiversité, y compris les Mémorandums d’entente entre le Secrétariat de la CMS et les Secrétariats de la Commission baleinière internationale, l’UNESCO, la Convention de Ramsar, la Convention de Berne et la CITES;</w:t>
            </w:r>
          </w:p>
        </w:tc>
        <w:tc>
          <w:tcPr>
            <w:tcW w:w="1745" w:type="dxa"/>
            <w:shd w:val="clear" w:color="auto" w:fill="auto"/>
          </w:tcPr>
          <w:p w14:paraId="3BE41222" w14:textId="1246A928" w:rsidR="00BD3B21" w:rsidRPr="00D8376F" w:rsidRDefault="00BD3B21" w:rsidP="009F5EBD">
            <w:r w:rsidRPr="00867B16">
              <w:t>Conserver</w:t>
            </w:r>
          </w:p>
        </w:tc>
      </w:tr>
      <w:tr w:rsidR="006A610A" w:rsidRPr="00D8376F" w14:paraId="62E6A592" w14:textId="77777777" w:rsidTr="00275105">
        <w:tc>
          <w:tcPr>
            <w:tcW w:w="7308" w:type="dxa"/>
            <w:shd w:val="clear" w:color="auto" w:fill="auto"/>
          </w:tcPr>
          <w:p w14:paraId="0D734EE7" w14:textId="4564E464" w:rsidR="00BD3B21" w:rsidRPr="007A1B21" w:rsidRDefault="00BD3B21" w:rsidP="002D5163">
            <w:pPr>
              <w:widowControl/>
              <w:autoSpaceDE/>
              <w:autoSpaceDN/>
              <w:adjustRightInd/>
              <w:jc w:val="both"/>
              <w:rPr>
                <w:szCs w:val="17"/>
                <w:lang w:val="fr-FR"/>
              </w:rPr>
            </w:pPr>
            <w:r w:rsidRPr="007A1B21">
              <w:rPr>
                <w:i/>
                <w:iCs/>
                <w:szCs w:val="17"/>
                <w:lang w:val="fr-FR"/>
              </w:rPr>
              <w:t xml:space="preserve">Accueillant en outre </w:t>
            </w:r>
            <w:r w:rsidRPr="007A1B21">
              <w:rPr>
                <w:szCs w:val="17"/>
                <w:lang w:val="fr-FR"/>
              </w:rPr>
              <w:t>les Mémorandums d’entente avec le Réseau sur la Faune Sauvage Migratrice</w:t>
            </w:r>
            <w:r w:rsidRPr="002D5163">
              <w:rPr>
                <w:rStyle w:val="FootnoteReference"/>
                <w:rFonts w:cs="Arial"/>
                <w:szCs w:val="17"/>
                <w:vertAlign w:val="superscript"/>
              </w:rPr>
              <w:footnoteReference w:id="1"/>
            </w:r>
            <w:r w:rsidRPr="007A1B21">
              <w:rPr>
                <w:szCs w:val="12"/>
                <w:vertAlign w:val="superscript"/>
                <w:lang w:val="fr-FR"/>
              </w:rPr>
              <w:t xml:space="preserve"> </w:t>
            </w:r>
            <w:r w:rsidRPr="007A1B21">
              <w:rPr>
                <w:szCs w:val="17"/>
                <w:lang w:val="fr-FR"/>
              </w:rPr>
              <w:t>et le Centre de droit de l'environnement de l’UICN; </w:t>
            </w:r>
          </w:p>
        </w:tc>
        <w:tc>
          <w:tcPr>
            <w:tcW w:w="1745" w:type="dxa"/>
            <w:shd w:val="clear" w:color="auto" w:fill="auto"/>
          </w:tcPr>
          <w:p w14:paraId="1BA6A3CD" w14:textId="36C2B89F" w:rsidR="00BD3B21" w:rsidRPr="00867B16" w:rsidRDefault="00BD3B21" w:rsidP="009F5EBD">
            <w:r w:rsidRPr="00E8520B">
              <w:t>Conserver</w:t>
            </w:r>
          </w:p>
        </w:tc>
      </w:tr>
      <w:tr w:rsidR="006A610A" w:rsidRPr="00D8376F" w14:paraId="26B069B2" w14:textId="77777777" w:rsidTr="00275105">
        <w:tc>
          <w:tcPr>
            <w:tcW w:w="7308" w:type="dxa"/>
            <w:shd w:val="clear" w:color="auto" w:fill="auto"/>
          </w:tcPr>
          <w:p w14:paraId="19B43972" w14:textId="17D516F3" w:rsidR="00BD3B21" w:rsidRPr="007A1B21" w:rsidRDefault="00BD3B21" w:rsidP="00236459">
            <w:pPr>
              <w:widowControl/>
              <w:autoSpaceDE/>
              <w:autoSpaceDN/>
              <w:adjustRightInd/>
              <w:jc w:val="both"/>
              <w:rPr>
                <w:szCs w:val="17"/>
                <w:lang w:val="fr-FR"/>
              </w:rPr>
            </w:pPr>
            <w:r w:rsidRPr="007A1B21">
              <w:rPr>
                <w:i/>
                <w:iCs/>
                <w:szCs w:val="17"/>
                <w:lang w:val="fr-FR"/>
              </w:rPr>
              <w:t xml:space="preserve">Consciente </w:t>
            </w:r>
            <w:r w:rsidRPr="007A1B21">
              <w:rPr>
                <w:szCs w:val="17"/>
                <w:lang w:val="fr-FR"/>
              </w:rPr>
              <w:t xml:space="preserve">des débats en cours avec l’Organisation des Nations Unies pour l’alimentation et l’agriculture (FAO) concernant la formalisation d’un Mémorandum de coopération et </w:t>
            </w:r>
            <w:r w:rsidRPr="007A1B21">
              <w:rPr>
                <w:i/>
                <w:iCs/>
                <w:szCs w:val="17"/>
                <w:lang w:val="fr-FR"/>
              </w:rPr>
              <w:t xml:space="preserve">appréciant </w:t>
            </w:r>
            <w:r w:rsidRPr="007A1B21">
              <w:rPr>
                <w:szCs w:val="17"/>
                <w:lang w:val="fr-FR"/>
              </w:rPr>
              <w:t>les efforts importants faits par la CMS afin d’améliorer la relation avec les organisations qui ont des mandats ou buts différents, telle que la FAO, qui fournit des solutions multidisciplinaires visant à assurer simultanément la sécurité alimentaire, la conservation de la diversité biologique ainsi que la santé de la faune sauvage et de l’écosystème; </w:t>
            </w:r>
          </w:p>
        </w:tc>
        <w:tc>
          <w:tcPr>
            <w:tcW w:w="1745" w:type="dxa"/>
            <w:shd w:val="clear" w:color="auto" w:fill="auto"/>
          </w:tcPr>
          <w:p w14:paraId="320C8E00" w14:textId="67317903" w:rsidR="00BD3B21" w:rsidRPr="00867B16" w:rsidRDefault="00BD3B21" w:rsidP="009F5EBD">
            <w:r w:rsidRPr="00E8520B">
              <w:t>Conserver</w:t>
            </w:r>
          </w:p>
        </w:tc>
      </w:tr>
      <w:tr w:rsidR="006A610A" w:rsidRPr="00D8376F" w14:paraId="2B35F4B9" w14:textId="77777777" w:rsidTr="00275105">
        <w:tc>
          <w:tcPr>
            <w:tcW w:w="7308" w:type="dxa"/>
            <w:shd w:val="clear" w:color="auto" w:fill="auto"/>
          </w:tcPr>
          <w:p w14:paraId="22C2B22D" w14:textId="15B88564" w:rsidR="00BD3B21" w:rsidRPr="007A1B21" w:rsidRDefault="00BD3B21" w:rsidP="002D5163">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l’importance de la coopération continue entre les secrétariats des conventions relatives à la biodiversité à travers le Groupe de liaison sur la biodiversité pour mettre en oeuvre le Plan stratégique 2011-2020 pour la diversité biologique afin d’atteindre les objectifs d’Aichi pour la biodiversité (Décision X/2 de la CDB); </w:t>
            </w:r>
          </w:p>
        </w:tc>
        <w:tc>
          <w:tcPr>
            <w:tcW w:w="1745" w:type="dxa"/>
            <w:shd w:val="clear" w:color="auto" w:fill="auto"/>
          </w:tcPr>
          <w:p w14:paraId="223A21F8" w14:textId="6FFC4C57" w:rsidR="00BD3B21" w:rsidRPr="00867B16" w:rsidRDefault="00BD3B21" w:rsidP="009F5EBD">
            <w:r w:rsidRPr="00E8520B">
              <w:t>Conserver</w:t>
            </w:r>
          </w:p>
        </w:tc>
      </w:tr>
      <w:tr w:rsidR="006A610A" w:rsidRPr="00D8376F" w14:paraId="3F5FBC84" w14:textId="77777777" w:rsidTr="00275105">
        <w:tc>
          <w:tcPr>
            <w:tcW w:w="7308" w:type="dxa"/>
            <w:shd w:val="clear" w:color="auto" w:fill="auto"/>
          </w:tcPr>
          <w:p w14:paraId="3E5BE738" w14:textId="1679D424" w:rsidR="00BD3B21" w:rsidRPr="007A1B21" w:rsidRDefault="00BD3B21" w:rsidP="002D5163">
            <w:pPr>
              <w:widowControl/>
              <w:autoSpaceDE/>
              <w:autoSpaceDN/>
              <w:adjustRightInd/>
              <w:jc w:val="both"/>
              <w:rPr>
                <w:szCs w:val="17"/>
                <w:lang w:val="fr-FR"/>
              </w:rPr>
            </w:pPr>
            <w:r w:rsidRPr="007A1B21">
              <w:rPr>
                <w:i/>
                <w:iCs/>
                <w:szCs w:val="17"/>
                <w:lang w:val="fr-FR"/>
              </w:rPr>
              <w:t xml:space="preserve">Soulignant </w:t>
            </w:r>
            <w:r w:rsidRPr="007A1B21">
              <w:rPr>
                <w:szCs w:val="17"/>
                <w:lang w:val="fr-FR"/>
              </w:rPr>
              <w:t>le Plan stratégique pour la conservation des espèces migratrices 2015-2023 comme étant un cadre stratégique de synergies et de partenariats avec d'autres AEM, les organisations et les parties prenantes, qui fournira une contribution importante au Plan stratégique 2011-2020 pour la biodiversité;</w:t>
            </w:r>
          </w:p>
        </w:tc>
        <w:tc>
          <w:tcPr>
            <w:tcW w:w="1745" w:type="dxa"/>
            <w:shd w:val="clear" w:color="auto" w:fill="auto"/>
          </w:tcPr>
          <w:p w14:paraId="66C219AC" w14:textId="3D09A728" w:rsidR="00BD3B21" w:rsidRPr="00867B16" w:rsidRDefault="00BD3B21" w:rsidP="009F5EBD">
            <w:r w:rsidRPr="00E8520B">
              <w:t>Conserver</w:t>
            </w:r>
          </w:p>
        </w:tc>
      </w:tr>
      <w:tr w:rsidR="006A610A" w:rsidRPr="00D8376F" w14:paraId="49E2F4DE" w14:textId="77777777" w:rsidTr="00275105">
        <w:tc>
          <w:tcPr>
            <w:tcW w:w="7308" w:type="dxa"/>
            <w:shd w:val="clear" w:color="auto" w:fill="auto"/>
          </w:tcPr>
          <w:p w14:paraId="6CBBB1AF" w14:textId="650C262A" w:rsidR="00BD3B21" w:rsidRPr="007A1B21" w:rsidRDefault="00BD3B21" w:rsidP="002D5163">
            <w:pPr>
              <w:widowControl/>
              <w:autoSpaceDE/>
              <w:autoSpaceDN/>
              <w:adjustRightInd/>
              <w:jc w:val="both"/>
              <w:rPr>
                <w:szCs w:val="17"/>
                <w:lang w:val="fr-FR"/>
              </w:rPr>
            </w:pPr>
            <w:r w:rsidRPr="007A1B21">
              <w:rPr>
                <w:i/>
                <w:iCs/>
                <w:szCs w:val="17"/>
                <w:lang w:val="fr-FR"/>
              </w:rPr>
              <w:t xml:space="preserve">Reconnaissant en outre </w:t>
            </w:r>
            <w:r w:rsidRPr="007A1B21">
              <w:rPr>
                <w:szCs w:val="17"/>
                <w:lang w:val="fr-FR"/>
              </w:rPr>
              <w:t xml:space="preserve">le document final de la Conférence des Nations Unies sur le développement durable, </w:t>
            </w:r>
            <w:r w:rsidRPr="007A1B21">
              <w:rPr>
                <w:i/>
                <w:iCs/>
                <w:szCs w:val="17"/>
                <w:lang w:val="fr-FR"/>
              </w:rPr>
              <w:t>L'avenir que nous voulons</w:t>
            </w:r>
            <w:r w:rsidRPr="007A1B21">
              <w:rPr>
                <w:szCs w:val="17"/>
                <w:lang w:val="fr-FR"/>
              </w:rPr>
              <w:t xml:space="preserve">, qui constate les contributions importantes que les AEM ont apportées au développement durable et </w:t>
            </w:r>
            <w:r w:rsidRPr="007A1B21">
              <w:rPr>
                <w:i/>
                <w:iCs/>
                <w:szCs w:val="17"/>
                <w:lang w:val="fr-FR"/>
              </w:rPr>
              <w:t xml:space="preserve">encourageant </w:t>
            </w:r>
            <w:r w:rsidRPr="007A1B21">
              <w:rPr>
                <w:szCs w:val="17"/>
                <w:lang w:val="fr-FR"/>
              </w:rPr>
              <w:t>les parties aux AEM à envisager de nouvelles mesures pour promouvoir la cohérence des politiques à tous les niveaux requis, agir plus efficacement, réduire les chevauchements et doublons inutiles et renforcer la coordination et la coopération entre les AEM; et </w:t>
            </w:r>
          </w:p>
        </w:tc>
        <w:tc>
          <w:tcPr>
            <w:tcW w:w="1745" w:type="dxa"/>
            <w:shd w:val="clear" w:color="auto" w:fill="auto"/>
          </w:tcPr>
          <w:p w14:paraId="779C7FE2" w14:textId="365E859E" w:rsidR="00BD3B21" w:rsidRPr="00867B16" w:rsidRDefault="00BD3B21" w:rsidP="009F5EBD">
            <w:r w:rsidRPr="00E8520B">
              <w:t>Conserver</w:t>
            </w:r>
          </w:p>
        </w:tc>
      </w:tr>
      <w:tr w:rsidR="006A610A" w:rsidRPr="00D8376F" w14:paraId="3ED1C6FD" w14:textId="77777777" w:rsidTr="00275105">
        <w:tc>
          <w:tcPr>
            <w:tcW w:w="7308" w:type="dxa"/>
            <w:shd w:val="clear" w:color="auto" w:fill="auto"/>
          </w:tcPr>
          <w:p w14:paraId="26B59A5B" w14:textId="4F76F468" w:rsidR="00BD3B21" w:rsidRPr="007A1B21" w:rsidRDefault="00BD3B21" w:rsidP="002D5163">
            <w:pPr>
              <w:widowControl/>
              <w:autoSpaceDE/>
              <w:autoSpaceDN/>
              <w:adjustRightInd/>
              <w:jc w:val="both"/>
              <w:rPr>
                <w:szCs w:val="17"/>
                <w:lang w:val="fr-FR"/>
              </w:rPr>
            </w:pPr>
            <w:r w:rsidRPr="007A1B21">
              <w:rPr>
                <w:i/>
                <w:iCs/>
                <w:szCs w:val="17"/>
                <w:lang w:val="fr-FR"/>
              </w:rPr>
              <w:t xml:space="preserve">Convaincue </w:t>
            </w:r>
            <w:r w:rsidRPr="007A1B21">
              <w:rPr>
                <w:szCs w:val="17"/>
                <w:lang w:val="fr-FR"/>
              </w:rPr>
              <w:t>des énormes possibilités d'accroître la coopération, la coordination et les synergies entre les conventions relatives à la biodiversité pour améliorer la mise en oeuvre à l'échelle nationale de chacune de ces conventions </w:t>
            </w:r>
          </w:p>
        </w:tc>
        <w:tc>
          <w:tcPr>
            <w:tcW w:w="1745" w:type="dxa"/>
            <w:shd w:val="clear" w:color="auto" w:fill="auto"/>
          </w:tcPr>
          <w:p w14:paraId="1FEF6A67" w14:textId="6338E14D" w:rsidR="00BD3B21" w:rsidRPr="00867B16" w:rsidRDefault="00BD3B21" w:rsidP="009F5EBD">
            <w:r w:rsidRPr="00E8520B">
              <w:t>Conserver</w:t>
            </w:r>
          </w:p>
        </w:tc>
      </w:tr>
      <w:tr w:rsidR="00BD3B21" w:rsidRPr="007A1B21" w14:paraId="295EB332" w14:textId="77777777" w:rsidTr="00A74826">
        <w:tc>
          <w:tcPr>
            <w:tcW w:w="9053" w:type="dxa"/>
            <w:gridSpan w:val="2"/>
            <w:shd w:val="clear" w:color="auto" w:fill="D9D9D9" w:themeFill="background1" w:themeFillShade="D9"/>
          </w:tcPr>
          <w:p w14:paraId="34D5BC3E" w14:textId="6558CD1D" w:rsidR="00983987" w:rsidRDefault="00BD3B21" w:rsidP="00983987">
            <w:pPr>
              <w:jc w:val="center"/>
              <w:rPr>
                <w:i/>
                <w:lang w:val="fr-FR"/>
              </w:rPr>
            </w:pPr>
            <w:r w:rsidRPr="002D5163">
              <w:rPr>
                <w:i/>
                <w:lang w:val="fr-FR"/>
              </w:rPr>
              <w:t>La Conférence des Parties à la</w:t>
            </w:r>
          </w:p>
          <w:p w14:paraId="140F488B" w14:textId="52D0F1B6" w:rsidR="00BD3B21" w:rsidRPr="007A1B21" w:rsidRDefault="00BD3B21" w:rsidP="00983987">
            <w:pPr>
              <w:jc w:val="center"/>
              <w:rPr>
                <w:lang w:val="fr-FR"/>
              </w:rPr>
            </w:pPr>
            <w:r w:rsidRPr="002D5163">
              <w:rPr>
                <w:i/>
                <w:lang w:val="fr-FR"/>
              </w:rPr>
              <w:t>Convention sur la conservation des espèces migratrices appartenant à la faune sauvage</w:t>
            </w:r>
          </w:p>
        </w:tc>
      </w:tr>
      <w:tr w:rsidR="006A610A" w:rsidRPr="00D8376F" w14:paraId="70275F65" w14:textId="77777777" w:rsidTr="00275105">
        <w:tc>
          <w:tcPr>
            <w:tcW w:w="7308" w:type="dxa"/>
            <w:shd w:val="clear" w:color="auto" w:fill="auto"/>
          </w:tcPr>
          <w:p w14:paraId="30AAF781" w14:textId="30C47FC3" w:rsidR="00BD3B21" w:rsidRPr="007A1B21" w:rsidRDefault="00BD3B21" w:rsidP="002D5163">
            <w:pPr>
              <w:widowControl/>
              <w:autoSpaceDE/>
              <w:autoSpaceDN/>
              <w:adjustRightInd/>
              <w:jc w:val="both"/>
              <w:rPr>
                <w:szCs w:val="17"/>
                <w:lang w:val="fr-FR"/>
              </w:rPr>
            </w:pPr>
            <w:r w:rsidRPr="007A1B21">
              <w:rPr>
                <w:szCs w:val="17"/>
                <w:lang w:val="fr-FR"/>
              </w:rPr>
              <w:t xml:space="preserve">1. </w:t>
            </w:r>
            <w:r w:rsidRPr="007A1B21">
              <w:rPr>
                <w:i/>
                <w:iCs/>
                <w:szCs w:val="17"/>
                <w:lang w:val="fr-FR"/>
              </w:rPr>
              <w:t xml:space="preserve">Souligne </w:t>
            </w:r>
            <w:r w:rsidRPr="007A1B21">
              <w:rPr>
                <w:szCs w:val="17"/>
                <w:lang w:val="fr-FR"/>
              </w:rPr>
              <w:t>l’importance d’apporter un soutien aux objectifs des accords multilatéraux sur l’environnement relatifs à la biodiversité pour améliorer la collaboration, la communication et la coordination à l’échelle nationale avec les organisations et processus pertinents; </w:t>
            </w:r>
          </w:p>
        </w:tc>
        <w:tc>
          <w:tcPr>
            <w:tcW w:w="1745" w:type="dxa"/>
            <w:shd w:val="clear" w:color="auto" w:fill="auto"/>
          </w:tcPr>
          <w:p w14:paraId="29E5CE48" w14:textId="03842F37" w:rsidR="00BD3B21" w:rsidRPr="00D8376F" w:rsidRDefault="00BD3B21" w:rsidP="009F5EBD">
            <w:r w:rsidRPr="009100E3">
              <w:t>Conserver</w:t>
            </w:r>
          </w:p>
        </w:tc>
      </w:tr>
      <w:tr w:rsidR="006A610A" w:rsidRPr="00D8376F" w14:paraId="4C9E7D78" w14:textId="77777777" w:rsidTr="008A2722">
        <w:trPr>
          <w:trHeight w:val="295"/>
        </w:trPr>
        <w:tc>
          <w:tcPr>
            <w:tcW w:w="7308" w:type="dxa"/>
            <w:shd w:val="clear" w:color="auto" w:fill="auto"/>
          </w:tcPr>
          <w:p w14:paraId="31838B38" w14:textId="693C25BA" w:rsidR="00BD3B21" w:rsidRPr="007A1B21" w:rsidRDefault="00BD3B21" w:rsidP="002D5163">
            <w:pPr>
              <w:widowControl/>
              <w:autoSpaceDE/>
              <w:autoSpaceDN/>
              <w:adjustRightInd/>
              <w:jc w:val="both"/>
              <w:rPr>
                <w:szCs w:val="17"/>
                <w:lang w:val="fr-FR"/>
              </w:rPr>
            </w:pPr>
            <w:r w:rsidRPr="007A1B21">
              <w:rPr>
                <w:szCs w:val="17"/>
                <w:lang w:val="fr-FR"/>
              </w:rPr>
              <w:t xml:space="preserve">2. </w:t>
            </w:r>
            <w:r w:rsidRPr="007A1B21">
              <w:rPr>
                <w:i/>
                <w:iCs/>
                <w:szCs w:val="17"/>
                <w:lang w:val="fr-FR"/>
              </w:rPr>
              <w:t xml:space="preserve">Prie </w:t>
            </w:r>
            <w:r w:rsidRPr="007A1B21">
              <w:rPr>
                <w:szCs w:val="17"/>
                <w:lang w:val="fr-FR"/>
              </w:rPr>
              <w:t>le Secrétaire exécutif d'informer les accords liés à la biodiversité, y compris par le biais du Groupe de liaison de la biodiversité liée à des accords multilatéraux sur l'environnement et d'autres partenaires pertinents du plan stratégique pour les espèces migratrices 2015-2023 et, dans ce cadre, de poursuivre des activités liées aux synergies et partenariats; </w:t>
            </w:r>
          </w:p>
        </w:tc>
        <w:tc>
          <w:tcPr>
            <w:tcW w:w="1745" w:type="dxa"/>
            <w:shd w:val="clear" w:color="auto" w:fill="auto"/>
          </w:tcPr>
          <w:p w14:paraId="1E80C1FB" w14:textId="011411CC" w:rsidR="00BD3B21" w:rsidRPr="00D8376F" w:rsidRDefault="00BD3B21" w:rsidP="009F5EBD">
            <w:r w:rsidRPr="009100E3">
              <w:t>Conserver</w:t>
            </w:r>
          </w:p>
        </w:tc>
      </w:tr>
      <w:tr w:rsidR="006A610A" w:rsidRPr="00D8376F" w14:paraId="212282B0" w14:textId="77777777" w:rsidTr="00275105">
        <w:tc>
          <w:tcPr>
            <w:tcW w:w="7308" w:type="dxa"/>
            <w:shd w:val="clear" w:color="auto" w:fill="auto"/>
          </w:tcPr>
          <w:p w14:paraId="774042C7" w14:textId="3B638041" w:rsidR="00BD3B21" w:rsidRPr="007A1B21" w:rsidRDefault="00BD3B21" w:rsidP="00564E3A">
            <w:pPr>
              <w:widowControl/>
              <w:autoSpaceDE/>
              <w:autoSpaceDN/>
              <w:adjustRightInd/>
              <w:jc w:val="both"/>
              <w:rPr>
                <w:szCs w:val="17"/>
                <w:lang w:val="fr-FR"/>
              </w:rPr>
            </w:pPr>
            <w:r w:rsidRPr="007A1B21">
              <w:rPr>
                <w:szCs w:val="17"/>
                <w:lang w:val="fr-FR"/>
              </w:rPr>
              <w:t xml:space="preserve">3. </w:t>
            </w:r>
            <w:r w:rsidRPr="007A1B21">
              <w:rPr>
                <w:i/>
                <w:iCs/>
                <w:szCs w:val="17"/>
                <w:lang w:val="fr-FR"/>
              </w:rPr>
              <w:t xml:space="preserve">Prie </w:t>
            </w:r>
            <w:r w:rsidRPr="007A1B21">
              <w:rPr>
                <w:szCs w:val="17"/>
                <w:lang w:val="fr-FR"/>
              </w:rPr>
              <w:t>le Secrétariat de continuer à oeuvrer pour une coopération efficace et pratique avec les acteurs compétents, y compris les autres instruments et organisations internationales s’intéressant à la biodiversité; </w:t>
            </w:r>
          </w:p>
        </w:tc>
        <w:tc>
          <w:tcPr>
            <w:tcW w:w="1745" w:type="dxa"/>
            <w:shd w:val="clear" w:color="auto" w:fill="auto"/>
          </w:tcPr>
          <w:p w14:paraId="774EB27E" w14:textId="79FB7727" w:rsidR="00BD3B21" w:rsidRPr="00D8376F" w:rsidRDefault="00BD3B21" w:rsidP="009F5EBD">
            <w:r w:rsidRPr="009100E3">
              <w:t>Conserver</w:t>
            </w:r>
          </w:p>
        </w:tc>
      </w:tr>
      <w:tr w:rsidR="006A610A" w:rsidRPr="00D8376F" w14:paraId="1FB93180" w14:textId="77777777" w:rsidTr="00275105">
        <w:tc>
          <w:tcPr>
            <w:tcW w:w="7308" w:type="dxa"/>
            <w:shd w:val="clear" w:color="auto" w:fill="auto"/>
          </w:tcPr>
          <w:p w14:paraId="0140FC0F" w14:textId="733C02B2" w:rsidR="00BD3B21" w:rsidRPr="007A1B21" w:rsidRDefault="00BD3B21" w:rsidP="00564E3A">
            <w:pPr>
              <w:widowControl/>
              <w:autoSpaceDE/>
              <w:autoSpaceDN/>
              <w:adjustRightInd/>
              <w:jc w:val="both"/>
              <w:rPr>
                <w:szCs w:val="17"/>
                <w:lang w:val="fr-FR"/>
              </w:rPr>
            </w:pPr>
            <w:r w:rsidRPr="007A1B21">
              <w:rPr>
                <w:szCs w:val="17"/>
                <w:lang w:val="fr-FR"/>
              </w:rPr>
              <w:lastRenderedPageBreak/>
              <w:t xml:space="preserve">4. </w:t>
            </w:r>
            <w:r w:rsidRPr="007A1B21">
              <w:rPr>
                <w:i/>
                <w:iCs/>
                <w:szCs w:val="17"/>
                <w:lang w:val="fr-FR"/>
              </w:rPr>
              <w:t xml:space="preserve">Demande en outre </w:t>
            </w:r>
            <w:r w:rsidRPr="007A1B21">
              <w:rPr>
                <w:szCs w:val="17"/>
                <w:lang w:val="fr-FR"/>
              </w:rPr>
              <w:t xml:space="preserve">au Secrétariat d’identifier d’éventuels partenaires stratégiques et de s’engager avec ceux-ci pour la mise en place de campagnes et d’autres activités de sensibilisation et </w:t>
            </w:r>
            <w:r w:rsidRPr="007A1B21">
              <w:rPr>
                <w:i/>
                <w:iCs/>
                <w:szCs w:val="17"/>
                <w:lang w:val="fr-FR"/>
              </w:rPr>
              <w:t xml:space="preserve">encourage </w:t>
            </w:r>
            <w:r w:rsidRPr="007A1B21">
              <w:rPr>
                <w:szCs w:val="17"/>
                <w:lang w:val="fr-FR"/>
              </w:rPr>
              <w:t>tous les acteurs à contribuer à ces initiatives; </w:t>
            </w:r>
          </w:p>
        </w:tc>
        <w:tc>
          <w:tcPr>
            <w:tcW w:w="1745" w:type="dxa"/>
            <w:shd w:val="clear" w:color="auto" w:fill="auto"/>
          </w:tcPr>
          <w:p w14:paraId="35127257" w14:textId="36B061BE" w:rsidR="00BD3B21" w:rsidRPr="00D8376F" w:rsidRDefault="00BD3B21" w:rsidP="009F5EBD">
            <w:r w:rsidRPr="0029686B">
              <w:t>Conserver</w:t>
            </w:r>
          </w:p>
        </w:tc>
      </w:tr>
      <w:tr w:rsidR="006A610A" w:rsidRPr="00D8376F" w14:paraId="62B77684" w14:textId="77777777" w:rsidTr="00275105">
        <w:tc>
          <w:tcPr>
            <w:tcW w:w="7308" w:type="dxa"/>
            <w:shd w:val="clear" w:color="auto" w:fill="auto"/>
          </w:tcPr>
          <w:p w14:paraId="374A716A" w14:textId="604052A2" w:rsidR="00BD3B21" w:rsidRPr="007A1B21" w:rsidRDefault="00BD3B21" w:rsidP="00564E3A">
            <w:pPr>
              <w:widowControl/>
              <w:autoSpaceDE/>
              <w:autoSpaceDN/>
              <w:adjustRightInd/>
              <w:jc w:val="both"/>
              <w:rPr>
                <w:szCs w:val="17"/>
                <w:lang w:val="fr-FR"/>
              </w:rPr>
            </w:pPr>
            <w:r w:rsidRPr="007A1B21">
              <w:rPr>
                <w:szCs w:val="17"/>
                <w:lang w:val="fr-FR"/>
              </w:rPr>
              <w:t xml:space="preserve">5. </w:t>
            </w:r>
            <w:r w:rsidRPr="007A1B21">
              <w:rPr>
                <w:i/>
                <w:iCs/>
                <w:szCs w:val="17"/>
                <w:lang w:val="fr-FR"/>
              </w:rPr>
              <w:t xml:space="preserve">Prie aussi </w:t>
            </w:r>
            <w:r w:rsidRPr="007A1B21">
              <w:rPr>
                <w:szCs w:val="17"/>
                <w:lang w:val="fr-FR"/>
              </w:rPr>
              <w:t>le Secrétariat de faciliter une collaboration informelle avec des partenaires tels que la FAO qui peuvent aider à étendre le champ d’approches coopératives à un niveau multidisciplinaire et transdisciplinaire; </w:t>
            </w:r>
          </w:p>
        </w:tc>
        <w:tc>
          <w:tcPr>
            <w:tcW w:w="1745" w:type="dxa"/>
            <w:shd w:val="clear" w:color="auto" w:fill="auto"/>
          </w:tcPr>
          <w:p w14:paraId="3DEDB14C" w14:textId="27A28AFF" w:rsidR="00BD3B21" w:rsidRPr="00D8376F" w:rsidRDefault="00BD3B21" w:rsidP="009F5EBD">
            <w:r w:rsidRPr="0029686B">
              <w:t>Conserver</w:t>
            </w:r>
          </w:p>
        </w:tc>
      </w:tr>
      <w:tr w:rsidR="006A610A" w:rsidRPr="00D8376F" w14:paraId="1DDC105C" w14:textId="77777777" w:rsidTr="00275105">
        <w:tc>
          <w:tcPr>
            <w:tcW w:w="7308" w:type="dxa"/>
            <w:shd w:val="clear" w:color="auto" w:fill="auto"/>
          </w:tcPr>
          <w:p w14:paraId="3B6A71E9" w14:textId="1EAF0751" w:rsidR="00BD3B21" w:rsidRPr="007A1B21" w:rsidRDefault="00BD3B21" w:rsidP="00564E3A">
            <w:pPr>
              <w:widowControl/>
              <w:autoSpaceDE/>
              <w:autoSpaceDN/>
              <w:adjustRightInd/>
              <w:jc w:val="both"/>
              <w:rPr>
                <w:szCs w:val="17"/>
                <w:lang w:val="fr-FR"/>
              </w:rPr>
            </w:pPr>
            <w:r w:rsidRPr="007A1B21">
              <w:rPr>
                <w:szCs w:val="17"/>
                <w:lang w:val="fr-FR"/>
              </w:rPr>
              <w:t xml:space="preserve">6. </w:t>
            </w:r>
            <w:r w:rsidRPr="007A1B21">
              <w:rPr>
                <w:i/>
                <w:iCs/>
                <w:szCs w:val="17"/>
                <w:lang w:val="fr-FR"/>
              </w:rPr>
              <w:t xml:space="preserve">Prie en outre </w:t>
            </w:r>
            <w:r w:rsidRPr="007A1B21">
              <w:rPr>
                <w:szCs w:val="17"/>
                <w:lang w:val="fr-FR"/>
              </w:rPr>
              <w:t>le Secrétariat de continuer de renforcer les partenariats avec le secteur privé conformément au Code de conduite de la CMS; </w:t>
            </w:r>
          </w:p>
        </w:tc>
        <w:tc>
          <w:tcPr>
            <w:tcW w:w="1745" w:type="dxa"/>
            <w:shd w:val="clear" w:color="auto" w:fill="auto"/>
          </w:tcPr>
          <w:p w14:paraId="7DA0D36E" w14:textId="21BB225E" w:rsidR="00BD3B21" w:rsidRPr="00D8376F" w:rsidRDefault="00BD3B21" w:rsidP="009F5EBD">
            <w:r w:rsidRPr="0029686B">
              <w:t>Conserver</w:t>
            </w:r>
          </w:p>
        </w:tc>
      </w:tr>
      <w:tr w:rsidR="006A610A" w:rsidRPr="00D8376F" w14:paraId="4043C15F" w14:textId="77777777" w:rsidTr="00275105">
        <w:tc>
          <w:tcPr>
            <w:tcW w:w="7308" w:type="dxa"/>
            <w:shd w:val="clear" w:color="auto" w:fill="auto"/>
          </w:tcPr>
          <w:p w14:paraId="1EBE1887" w14:textId="2C908115" w:rsidR="00BD3B21" w:rsidRPr="007A1B21" w:rsidRDefault="00BD3B21" w:rsidP="00564E3A">
            <w:pPr>
              <w:pStyle w:val="p1"/>
              <w:jc w:val="both"/>
              <w:rPr>
                <w:sz w:val="22"/>
                <w:lang w:val="fr-FR"/>
              </w:rPr>
            </w:pPr>
            <w:r w:rsidRPr="007A1B21">
              <w:rPr>
                <w:sz w:val="22"/>
                <w:lang w:val="fr-FR"/>
              </w:rPr>
              <w:t xml:space="preserve">7. </w:t>
            </w:r>
            <w:r w:rsidRPr="007A1B21">
              <w:rPr>
                <w:i/>
                <w:iCs/>
                <w:sz w:val="22"/>
                <w:lang w:val="fr-FR"/>
              </w:rPr>
              <w:t xml:space="preserve">Demande en outre </w:t>
            </w:r>
            <w:r w:rsidRPr="007A1B21">
              <w:rPr>
                <w:sz w:val="22"/>
                <w:lang w:val="fr-FR"/>
              </w:rPr>
              <w:t>au Secrétariat, à ses Accords associés dans le cadre des mandats assignés par les Parties/États signataires, et au Conseil scientifique de renforcer leur engagement auprès des comités d’experts et des processus lancés par des partenaires, le cas échéant;  </w:t>
            </w:r>
          </w:p>
        </w:tc>
        <w:tc>
          <w:tcPr>
            <w:tcW w:w="1745" w:type="dxa"/>
            <w:shd w:val="clear" w:color="auto" w:fill="auto"/>
          </w:tcPr>
          <w:p w14:paraId="7DBFC05E" w14:textId="23223FCD" w:rsidR="00BD3B21" w:rsidRPr="00D8376F" w:rsidRDefault="00BD3B21" w:rsidP="009F5EBD">
            <w:r w:rsidRPr="0029686B">
              <w:t>Conserver</w:t>
            </w:r>
          </w:p>
        </w:tc>
      </w:tr>
      <w:tr w:rsidR="006A610A" w:rsidRPr="00D8376F" w14:paraId="12F9A031" w14:textId="77777777" w:rsidTr="00275105">
        <w:tc>
          <w:tcPr>
            <w:tcW w:w="7308" w:type="dxa"/>
            <w:shd w:val="clear" w:color="auto" w:fill="auto"/>
          </w:tcPr>
          <w:p w14:paraId="0C67AC83" w14:textId="0CBE3F33" w:rsidR="00BD3B21" w:rsidRDefault="00BD3B21" w:rsidP="00564E3A">
            <w:pPr>
              <w:widowControl/>
              <w:autoSpaceDE/>
              <w:autoSpaceDN/>
              <w:adjustRightInd/>
              <w:jc w:val="both"/>
              <w:rPr>
                <w:szCs w:val="17"/>
                <w:lang w:val="fr-FR"/>
              </w:rPr>
            </w:pPr>
            <w:r w:rsidRPr="00983987">
              <w:rPr>
                <w:szCs w:val="17"/>
                <w:lang w:val="fr-FR"/>
              </w:rPr>
              <w:t xml:space="preserve">8. </w:t>
            </w:r>
            <w:r w:rsidR="00983987" w:rsidRPr="00983987">
              <w:rPr>
                <w:i/>
                <w:iCs/>
                <w:szCs w:val="17"/>
                <w:lang w:val="fr-FR"/>
              </w:rPr>
              <w:t>Accueille</w:t>
            </w:r>
            <w:r w:rsidRPr="00983987">
              <w:rPr>
                <w:i/>
                <w:iCs/>
                <w:szCs w:val="17"/>
                <w:lang w:val="fr-FR"/>
              </w:rPr>
              <w:t xml:space="preserve"> </w:t>
            </w:r>
            <w:r w:rsidRPr="00983987">
              <w:rPr>
                <w:szCs w:val="17"/>
                <w:lang w:val="fr-FR"/>
              </w:rPr>
              <w:t xml:space="preserve">le programme de travail conjoint entre la CMS et CITES et </w:t>
            </w:r>
            <w:r w:rsidRPr="00983987">
              <w:rPr>
                <w:i/>
                <w:iCs/>
                <w:szCs w:val="17"/>
                <w:lang w:val="fr-FR"/>
              </w:rPr>
              <w:t xml:space="preserve">prie en outre </w:t>
            </w:r>
            <w:r w:rsidRPr="00983987">
              <w:rPr>
                <w:szCs w:val="17"/>
                <w:lang w:val="fr-FR"/>
              </w:rPr>
              <w:t xml:space="preserve">le Secrétariat de préparer des propositions, pour renforcer la coopération, la coordination et les synergies avec d’autres conventions relatives à la biodiversité, moyennant des plans de travail conjoints assortis de buts précis et de calendriers suivant de près le Plan stratégique de la CMS, pour examen </w:t>
            </w:r>
            <w:r w:rsidR="00983987" w:rsidRPr="00983987">
              <w:rPr>
                <w:szCs w:val="17"/>
                <w:u w:val="single"/>
                <w:lang w:val="fr-FR"/>
              </w:rPr>
              <w:t xml:space="preserve">aux </w:t>
            </w:r>
            <w:r w:rsidR="006A610A" w:rsidRPr="00983987">
              <w:rPr>
                <w:szCs w:val="17"/>
                <w:u w:val="single"/>
                <w:lang w:val="fr-FR"/>
              </w:rPr>
              <w:t>futures</w:t>
            </w:r>
            <w:r w:rsidR="006A610A" w:rsidRPr="00983987">
              <w:rPr>
                <w:szCs w:val="17"/>
                <w:u w:val="single"/>
                <w:lang w:val="fr-FR"/>
              </w:rPr>
              <w:t xml:space="preserve"> </w:t>
            </w:r>
            <w:r w:rsidR="00983987" w:rsidRPr="00983987">
              <w:rPr>
                <w:szCs w:val="17"/>
                <w:u w:val="single"/>
                <w:lang w:val="fr-FR"/>
              </w:rPr>
              <w:t xml:space="preserve">réunions </w:t>
            </w:r>
            <w:r w:rsidR="00983987" w:rsidRPr="00983987">
              <w:rPr>
                <w:szCs w:val="17"/>
                <w:lang w:val="fr-FR"/>
              </w:rPr>
              <w:t xml:space="preserve">de la </w:t>
            </w:r>
            <w:r w:rsidRPr="00983987">
              <w:rPr>
                <w:strike/>
                <w:szCs w:val="17"/>
                <w:lang w:val="fr-FR"/>
              </w:rPr>
              <w:t>par la prochaine</w:t>
            </w:r>
            <w:r w:rsidRPr="00983987">
              <w:rPr>
                <w:szCs w:val="17"/>
                <w:lang w:val="fr-FR"/>
              </w:rPr>
              <w:t xml:space="preserve"> </w:t>
            </w:r>
            <w:r w:rsidR="00983987" w:rsidRPr="00983987">
              <w:rPr>
                <w:szCs w:val="17"/>
                <w:lang w:val="fr-FR"/>
              </w:rPr>
              <w:t>C</w:t>
            </w:r>
            <w:r w:rsidRPr="00983987">
              <w:rPr>
                <w:szCs w:val="17"/>
                <w:lang w:val="fr-FR"/>
              </w:rPr>
              <w:t>onférence des Parties; </w:t>
            </w:r>
          </w:p>
          <w:p w14:paraId="4DF36C7A" w14:textId="771C1BE9" w:rsidR="00983987" w:rsidRPr="00983987" w:rsidRDefault="00983987" w:rsidP="00564E3A">
            <w:pPr>
              <w:widowControl/>
              <w:autoSpaceDE/>
              <w:autoSpaceDN/>
              <w:adjustRightInd/>
              <w:jc w:val="both"/>
              <w:rPr>
                <w:szCs w:val="17"/>
                <w:lang w:val="fr-FR"/>
              </w:rPr>
            </w:pPr>
          </w:p>
        </w:tc>
        <w:tc>
          <w:tcPr>
            <w:tcW w:w="1745" w:type="dxa"/>
            <w:shd w:val="clear" w:color="auto" w:fill="auto"/>
          </w:tcPr>
          <w:p w14:paraId="0E955C11" w14:textId="66A2BA0A" w:rsidR="00BD3B21" w:rsidRPr="00D8376F" w:rsidRDefault="00BD3B21" w:rsidP="009F5EBD">
            <w:r w:rsidRPr="00983987">
              <w:rPr>
                <w:color w:val="000000" w:themeColor="text1"/>
                <w:lang w:val="fr-FR"/>
              </w:rPr>
              <w:t>Conserver tel que modifié</w:t>
            </w:r>
          </w:p>
        </w:tc>
      </w:tr>
      <w:tr w:rsidR="006A610A" w:rsidRPr="00D8376F" w14:paraId="15F565CC" w14:textId="77777777" w:rsidTr="00275105">
        <w:tc>
          <w:tcPr>
            <w:tcW w:w="7308" w:type="dxa"/>
            <w:shd w:val="clear" w:color="auto" w:fill="auto"/>
          </w:tcPr>
          <w:p w14:paraId="27489A6D" w14:textId="77777777" w:rsidR="00BD3B21" w:rsidRDefault="00BD3B21" w:rsidP="002D5163">
            <w:pPr>
              <w:widowControl/>
              <w:autoSpaceDE/>
              <w:autoSpaceDN/>
              <w:adjustRightInd/>
              <w:jc w:val="both"/>
              <w:rPr>
                <w:szCs w:val="17"/>
                <w:lang w:val="fr-FR"/>
              </w:rPr>
            </w:pPr>
            <w:r w:rsidRPr="007A1B21">
              <w:rPr>
                <w:szCs w:val="17"/>
                <w:lang w:val="fr-FR"/>
              </w:rPr>
              <w:t xml:space="preserve">9. </w:t>
            </w:r>
            <w:r w:rsidRPr="007A1B21">
              <w:rPr>
                <w:i/>
                <w:iCs/>
                <w:szCs w:val="17"/>
                <w:lang w:val="fr-FR"/>
              </w:rPr>
              <w:t xml:space="preserve">Prie en outre </w:t>
            </w:r>
            <w:r w:rsidRPr="007A1B21">
              <w:rPr>
                <w:szCs w:val="17"/>
                <w:lang w:val="fr-FR"/>
              </w:rPr>
              <w:t>le Secrétariat de prendre des mesures pour renforcer la mise en oeuvre de la CMS moyennant des processus sur la révision des Stratégies et plans d’action nationaux relatifs à la biodiversité (SPANB), y compris en coopérant avec les bureaux régionaux du PNUE; </w:t>
            </w:r>
          </w:p>
          <w:p w14:paraId="19311ED7" w14:textId="6D06571B" w:rsidR="00983987" w:rsidRPr="007A1B21" w:rsidRDefault="00983987" w:rsidP="002D5163">
            <w:pPr>
              <w:widowControl/>
              <w:autoSpaceDE/>
              <w:autoSpaceDN/>
              <w:adjustRightInd/>
              <w:jc w:val="both"/>
              <w:rPr>
                <w:szCs w:val="17"/>
                <w:lang w:val="fr-FR"/>
              </w:rPr>
            </w:pPr>
          </w:p>
        </w:tc>
        <w:tc>
          <w:tcPr>
            <w:tcW w:w="1745" w:type="dxa"/>
            <w:shd w:val="clear" w:color="auto" w:fill="auto"/>
          </w:tcPr>
          <w:p w14:paraId="0C78EBA9" w14:textId="1A23927D" w:rsidR="00BD3B21" w:rsidRPr="00D8376F" w:rsidRDefault="00BD3B21" w:rsidP="009F5EBD">
            <w:r>
              <w:t>Conserver</w:t>
            </w:r>
          </w:p>
        </w:tc>
      </w:tr>
      <w:tr w:rsidR="006A610A" w:rsidRPr="00D8376F" w14:paraId="6C346287" w14:textId="77777777" w:rsidTr="00275105">
        <w:tc>
          <w:tcPr>
            <w:tcW w:w="7308" w:type="dxa"/>
            <w:shd w:val="clear" w:color="auto" w:fill="auto"/>
          </w:tcPr>
          <w:p w14:paraId="7129040B" w14:textId="77777777" w:rsidR="00BD3B21" w:rsidRDefault="00BD3B21" w:rsidP="00564E3A">
            <w:pPr>
              <w:widowControl/>
              <w:autoSpaceDE/>
              <w:autoSpaceDN/>
              <w:adjustRightInd/>
              <w:jc w:val="both"/>
              <w:rPr>
                <w:szCs w:val="17"/>
                <w:lang w:val="fr-FR"/>
              </w:rPr>
            </w:pPr>
            <w:r w:rsidRPr="007A1B21">
              <w:rPr>
                <w:szCs w:val="17"/>
                <w:lang w:val="fr-FR"/>
              </w:rPr>
              <w:t xml:space="preserve">10. </w:t>
            </w:r>
            <w:r w:rsidRPr="007A1B21">
              <w:rPr>
                <w:i/>
                <w:iCs/>
                <w:szCs w:val="17"/>
                <w:lang w:val="fr-FR"/>
              </w:rPr>
              <w:t xml:space="preserve">Demande en outre </w:t>
            </w:r>
            <w:r w:rsidRPr="007A1B21">
              <w:rPr>
                <w:szCs w:val="17"/>
                <w:lang w:val="fr-FR"/>
              </w:rPr>
              <w:t xml:space="preserve">au Secrétariat et </w:t>
            </w:r>
            <w:r w:rsidRPr="007A1B21">
              <w:rPr>
                <w:i/>
                <w:iCs/>
                <w:szCs w:val="17"/>
                <w:lang w:val="fr-FR"/>
              </w:rPr>
              <w:t xml:space="preserve">invite </w:t>
            </w:r>
            <w:r w:rsidRPr="007A1B21">
              <w:rPr>
                <w:szCs w:val="17"/>
                <w:lang w:val="fr-FR"/>
              </w:rPr>
              <w:t xml:space="preserve">les Secrétariats d’autres conventions de continuer d’assurer la liaison avec les </w:t>
            </w:r>
            <w:r w:rsidR="00983987" w:rsidRPr="00983987">
              <w:rPr>
                <w:szCs w:val="17"/>
                <w:u w:val="single"/>
                <w:lang w:val="fr-FR"/>
              </w:rPr>
              <w:t>bureaux régionaux</w:t>
            </w:r>
            <w:r w:rsidR="00983987">
              <w:rPr>
                <w:szCs w:val="17"/>
                <w:lang w:val="fr-FR"/>
              </w:rPr>
              <w:t xml:space="preserve"> </w:t>
            </w:r>
            <w:r w:rsidRPr="00983987">
              <w:rPr>
                <w:strike/>
                <w:szCs w:val="17"/>
                <w:lang w:val="fr-FR"/>
              </w:rPr>
              <w:t>points focaux régionaux relatifs à la biodiversité et aux écosystèmes des AEM</w:t>
            </w:r>
            <w:r w:rsidRPr="007A1B21">
              <w:rPr>
                <w:szCs w:val="17"/>
                <w:lang w:val="fr-FR"/>
              </w:rPr>
              <w:t xml:space="preserve"> du PNUE, et de faire tout leur possible pour contribuer à la mise en oeuvre des AEM relatifs à la biodiversité; </w:t>
            </w:r>
          </w:p>
          <w:p w14:paraId="7028B4B9" w14:textId="3C004377" w:rsidR="00983987" w:rsidRPr="007A1B21" w:rsidRDefault="00983987" w:rsidP="00564E3A">
            <w:pPr>
              <w:widowControl/>
              <w:autoSpaceDE/>
              <w:autoSpaceDN/>
              <w:adjustRightInd/>
              <w:jc w:val="both"/>
              <w:rPr>
                <w:szCs w:val="17"/>
                <w:lang w:val="fr-FR"/>
              </w:rPr>
            </w:pPr>
          </w:p>
        </w:tc>
        <w:tc>
          <w:tcPr>
            <w:tcW w:w="1745" w:type="dxa"/>
            <w:shd w:val="clear" w:color="auto" w:fill="auto"/>
          </w:tcPr>
          <w:p w14:paraId="64AA16AA" w14:textId="37EAB63A" w:rsidR="00BD3B21" w:rsidRPr="00D8376F" w:rsidRDefault="00BD3B21" w:rsidP="009F5EBD">
            <w:r w:rsidRPr="00007A61">
              <w:rPr>
                <w:color w:val="000000" w:themeColor="text1"/>
                <w:lang w:val="fr-FR"/>
              </w:rPr>
              <w:t>Conserver tel que modifié</w:t>
            </w:r>
          </w:p>
        </w:tc>
      </w:tr>
      <w:tr w:rsidR="006A610A" w:rsidRPr="00D8376F" w14:paraId="2EFCEC82" w14:textId="77777777" w:rsidTr="00275105">
        <w:tc>
          <w:tcPr>
            <w:tcW w:w="7308" w:type="dxa"/>
            <w:shd w:val="clear" w:color="auto" w:fill="auto"/>
          </w:tcPr>
          <w:p w14:paraId="2BB0CD5D" w14:textId="77777777" w:rsidR="00BD3B21" w:rsidRDefault="00BD3B21" w:rsidP="00564E3A">
            <w:pPr>
              <w:widowControl/>
              <w:autoSpaceDE/>
              <w:autoSpaceDN/>
              <w:adjustRightInd/>
              <w:jc w:val="both"/>
              <w:rPr>
                <w:szCs w:val="17"/>
                <w:lang w:val="fr-FR"/>
              </w:rPr>
            </w:pPr>
            <w:r w:rsidRPr="007A1B21">
              <w:rPr>
                <w:szCs w:val="17"/>
                <w:lang w:val="fr-FR"/>
              </w:rPr>
              <w:t xml:space="preserve">11. </w:t>
            </w:r>
            <w:r w:rsidRPr="007A1B21">
              <w:rPr>
                <w:i/>
                <w:iCs/>
                <w:szCs w:val="17"/>
                <w:lang w:val="fr-FR"/>
              </w:rPr>
              <w:t xml:space="preserve">Prie </w:t>
            </w:r>
            <w:r w:rsidRPr="007A1B21">
              <w:rPr>
                <w:szCs w:val="17"/>
                <w:lang w:val="fr-FR"/>
              </w:rPr>
              <w:t xml:space="preserve">le Secrétariat de la CMS et </w:t>
            </w:r>
            <w:r w:rsidRPr="007A1B21">
              <w:rPr>
                <w:i/>
                <w:iCs/>
                <w:szCs w:val="17"/>
                <w:lang w:val="fr-FR"/>
              </w:rPr>
              <w:t xml:space="preserve">invite </w:t>
            </w:r>
            <w:r w:rsidRPr="007A1B21">
              <w:rPr>
                <w:szCs w:val="17"/>
                <w:lang w:val="fr-FR"/>
              </w:rPr>
              <w:t xml:space="preserve">le Secrétariat de la Convention sur la diversité biologique et les secrétariats d'autres accords multilatéraux compétents à se pencher et conseiller sur les voies et moyens d'aborder de manière plus cohérente le niveau des espèces de la conservation de la biodiversité des espèces animales dans les processus de la CDB, y compris par rapport à la mise en oeuvre des conventions relatives à la biodiversité du plan stratégique pour la biodiversité 2011-2020 et ses objectifs d'Aichi; et </w:t>
            </w:r>
            <w:r w:rsidRPr="007A1B21">
              <w:rPr>
                <w:i/>
                <w:iCs/>
                <w:szCs w:val="17"/>
                <w:lang w:val="fr-FR"/>
              </w:rPr>
              <w:t xml:space="preserve">prie en outre </w:t>
            </w:r>
            <w:r w:rsidRPr="007A1B21">
              <w:rPr>
                <w:szCs w:val="17"/>
                <w:lang w:val="fr-FR"/>
              </w:rPr>
              <w:t xml:space="preserve">le Secrétariat de faire rapport sur les progrès réalisés au Conseil Scientifique </w:t>
            </w:r>
            <w:r w:rsidRPr="00983987">
              <w:rPr>
                <w:szCs w:val="17"/>
                <w:u w:val="single"/>
                <w:lang w:val="fr-FR"/>
              </w:rPr>
              <w:t xml:space="preserve">et à </w:t>
            </w:r>
            <w:r w:rsidR="00983987" w:rsidRPr="00983987">
              <w:rPr>
                <w:szCs w:val="17"/>
                <w:u w:val="single"/>
                <w:lang w:val="fr-FR"/>
              </w:rPr>
              <w:t>chaque réunion de la</w:t>
            </w:r>
            <w:r w:rsidR="006B092D" w:rsidRPr="00983987">
              <w:rPr>
                <w:u w:val="single"/>
                <w:lang w:val="fr-FR"/>
              </w:rPr>
              <w:t xml:space="preserve"> COP</w:t>
            </w:r>
            <w:r w:rsidR="00983987">
              <w:rPr>
                <w:u w:val="single"/>
                <w:lang w:val="fr-FR"/>
              </w:rPr>
              <w:t xml:space="preserve"> </w:t>
            </w:r>
            <w:r w:rsidR="006B092D" w:rsidRPr="00983987">
              <w:rPr>
                <w:strike/>
                <w:lang w:val="fr-FR"/>
              </w:rPr>
              <w:t>COP12</w:t>
            </w:r>
            <w:r w:rsidRPr="007A1B21">
              <w:rPr>
                <w:szCs w:val="17"/>
                <w:lang w:val="fr-FR"/>
              </w:rPr>
              <w:t>; </w:t>
            </w:r>
          </w:p>
          <w:p w14:paraId="296C296A" w14:textId="5D79FB76" w:rsidR="00983987" w:rsidRPr="007A1B21" w:rsidRDefault="00983987" w:rsidP="00564E3A">
            <w:pPr>
              <w:widowControl/>
              <w:autoSpaceDE/>
              <w:autoSpaceDN/>
              <w:adjustRightInd/>
              <w:jc w:val="both"/>
              <w:rPr>
                <w:szCs w:val="17"/>
                <w:lang w:val="fr-FR"/>
              </w:rPr>
            </w:pPr>
          </w:p>
        </w:tc>
        <w:tc>
          <w:tcPr>
            <w:tcW w:w="1745" w:type="dxa"/>
            <w:shd w:val="clear" w:color="auto" w:fill="auto"/>
          </w:tcPr>
          <w:p w14:paraId="357D9D01" w14:textId="425D8E29" w:rsidR="00BD3B21" w:rsidRPr="00D8376F" w:rsidRDefault="00BD3B21" w:rsidP="009F5EBD">
            <w:r w:rsidRPr="00007A61">
              <w:rPr>
                <w:color w:val="000000" w:themeColor="text1"/>
                <w:lang w:val="fr-FR"/>
              </w:rPr>
              <w:t>Conserver tel que modifié</w:t>
            </w:r>
          </w:p>
        </w:tc>
      </w:tr>
      <w:tr w:rsidR="006A610A" w:rsidRPr="00D8376F" w14:paraId="54BC70D9" w14:textId="77777777" w:rsidTr="00275105">
        <w:tc>
          <w:tcPr>
            <w:tcW w:w="7308" w:type="dxa"/>
            <w:shd w:val="clear" w:color="auto" w:fill="auto"/>
          </w:tcPr>
          <w:p w14:paraId="6E6E38A5" w14:textId="77777777" w:rsidR="00BD3B21" w:rsidRDefault="00BD3B21" w:rsidP="00564E3A">
            <w:pPr>
              <w:widowControl/>
              <w:autoSpaceDE/>
              <w:autoSpaceDN/>
              <w:adjustRightInd/>
              <w:jc w:val="both"/>
              <w:rPr>
                <w:szCs w:val="17"/>
                <w:lang w:val="fr-FR"/>
              </w:rPr>
            </w:pPr>
            <w:r w:rsidRPr="007A1B21">
              <w:rPr>
                <w:szCs w:val="17"/>
                <w:lang w:val="fr-FR"/>
              </w:rPr>
              <w:t xml:space="preserve">12. </w:t>
            </w:r>
            <w:r w:rsidRPr="007A1B21">
              <w:rPr>
                <w:i/>
                <w:iCs/>
                <w:szCs w:val="17"/>
                <w:lang w:val="fr-FR"/>
              </w:rPr>
              <w:t xml:space="preserve">Prie en outre </w:t>
            </w:r>
            <w:r w:rsidRPr="007A1B21">
              <w:rPr>
                <w:szCs w:val="17"/>
                <w:lang w:val="fr-FR"/>
              </w:rPr>
              <w:t>le Secrétariat d’intensifier la coopération par le biais du Groupe de liaison sur la biodiversité et le Partenariat sur les indicateurs de la biodiversité afin de disposer d’une meilleure série d’indicateurs de la biodiversité à l’échelle mondiale; </w:t>
            </w:r>
          </w:p>
          <w:p w14:paraId="06FF0BF6" w14:textId="199E7153" w:rsidR="00983987" w:rsidRPr="007A1B21" w:rsidRDefault="00983987" w:rsidP="00564E3A">
            <w:pPr>
              <w:widowControl/>
              <w:autoSpaceDE/>
              <w:autoSpaceDN/>
              <w:adjustRightInd/>
              <w:jc w:val="both"/>
              <w:rPr>
                <w:szCs w:val="17"/>
                <w:lang w:val="fr-FR"/>
              </w:rPr>
            </w:pPr>
          </w:p>
        </w:tc>
        <w:tc>
          <w:tcPr>
            <w:tcW w:w="1745" w:type="dxa"/>
            <w:shd w:val="clear" w:color="auto" w:fill="auto"/>
          </w:tcPr>
          <w:p w14:paraId="017A87E8" w14:textId="10075CAB" w:rsidR="00BD3B21" w:rsidRPr="00D8376F" w:rsidRDefault="00BD3B21" w:rsidP="009F5EBD">
            <w:r w:rsidRPr="00524B62">
              <w:t>Conserver</w:t>
            </w:r>
          </w:p>
        </w:tc>
      </w:tr>
      <w:tr w:rsidR="006A610A" w:rsidRPr="00D8376F" w14:paraId="42ECB2BB" w14:textId="77777777" w:rsidTr="00275105">
        <w:tc>
          <w:tcPr>
            <w:tcW w:w="7308" w:type="dxa"/>
            <w:shd w:val="clear" w:color="auto" w:fill="auto"/>
          </w:tcPr>
          <w:p w14:paraId="57DB574D" w14:textId="77777777" w:rsidR="00BD3B21" w:rsidRDefault="00BD3B21" w:rsidP="00564E3A">
            <w:pPr>
              <w:widowControl/>
              <w:autoSpaceDE/>
              <w:autoSpaceDN/>
              <w:adjustRightInd/>
              <w:jc w:val="both"/>
              <w:rPr>
                <w:szCs w:val="17"/>
                <w:lang w:val="fr-FR"/>
              </w:rPr>
            </w:pPr>
            <w:r w:rsidRPr="007A1B21">
              <w:rPr>
                <w:szCs w:val="17"/>
                <w:lang w:val="fr-FR"/>
              </w:rPr>
              <w:t xml:space="preserve">13. </w:t>
            </w:r>
            <w:r w:rsidRPr="007A1B21">
              <w:rPr>
                <w:i/>
                <w:iCs/>
                <w:szCs w:val="17"/>
                <w:lang w:val="fr-FR"/>
              </w:rPr>
              <w:t xml:space="preserve">Prie en outre </w:t>
            </w:r>
            <w:r w:rsidRPr="007A1B21">
              <w:rPr>
                <w:szCs w:val="17"/>
                <w:lang w:val="fr-FR"/>
              </w:rPr>
              <w:t>le Secrétariat de renforcer la coopération, la coordination et les synergies avec la Convention de Ramsar afin de poursuivre les actions les plus efficaces pour la conservation des oiseaux d'eau migrateurs et de leurs habitats en zone humide; </w:t>
            </w:r>
          </w:p>
          <w:p w14:paraId="0F624525" w14:textId="3C9FC1D2" w:rsidR="00983987" w:rsidRPr="007A1B21" w:rsidRDefault="00983987" w:rsidP="00564E3A">
            <w:pPr>
              <w:widowControl/>
              <w:autoSpaceDE/>
              <w:autoSpaceDN/>
              <w:adjustRightInd/>
              <w:jc w:val="both"/>
              <w:rPr>
                <w:szCs w:val="17"/>
                <w:lang w:val="fr-FR"/>
              </w:rPr>
            </w:pPr>
          </w:p>
        </w:tc>
        <w:tc>
          <w:tcPr>
            <w:tcW w:w="1745" w:type="dxa"/>
            <w:shd w:val="clear" w:color="auto" w:fill="auto"/>
          </w:tcPr>
          <w:p w14:paraId="48035550" w14:textId="057ACE96" w:rsidR="00BD3B21" w:rsidRPr="00D8376F" w:rsidRDefault="00BD3B21" w:rsidP="009F5EBD">
            <w:r w:rsidRPr="00524B62">
              <w:t>Conserver</w:t>
            </w:r>
          </w:p>
        </w:tc>
      </w:tr>
      <w:tr w:rsidR="006A610A" w:rsidRPr="00D8376F" w14:paraId="4C01D151" w14:textId="77777777" w:rsidTr="00275105">
        <w:tc>
          <w:tcPr>
            <w:tcW w:w="7308" w:type="dxa"/>
            <w:shd w:val="clear" w:color="auto" w:fill="auto"/>
          </w:tcPr>
          <w:p w14:paraId="184CAD20" w14:textId="31399CAA" w:rsidR="00BD3B21" w:rsidRPr="007A1B21" w:rsidRDefault="00BD3B21" w:rsidP="00564E3A">
            <w:pPr>
              <w:widowControl/>
              <w:autoSpaceDE/>
              <w:autoSpaceDN/>
              <w:adjustRightInd/>
              <w:jc w:val="both"/>
              <w:rPr>
                <w:szCs w:val="17"/>
                <w:lang w:val="fr-FR"/>
              </w:rPr>
            </w:pPr>
            <w:r w:rsidRPr="007A1B21">
              <w:rPr>
                <w:szCs w:val="17"/>
                <w:lang w:val="fr-FR"/>
              </w:rPr>
              <w:lastRenderedPageBreak/>
              <w:t xml:space="preserve">14. </w:t>
            </w:r>
            <w:r w:rsidRPr="007A1B21">
              <w:rPr>
                <w:i/>
                <w:iCs/>
                <w:szCs w:val="17"/>
                <w:lang w:val="fr-FR"/>
              </w:rPr>
              <w:t xml:space="preserve">Accueille </w:t>
            </w:r>
            <w:r w:rsidRPr="007A1B21">
              <w:rPr>
                <w:szCs w:val="17"/>
                <w:lang w:val="fr-FR"/>
              </w:rPr>
              <w:t xml:space="preserve">la Déclaration de Gangwon adoptée à l'occasion de la douzième réunion de la Conférence des Parties à la Convention sur la diversité biologique qui accueille l'importance accordée à la biodiversité dans le document final du Groupe de travail sur les objectifs de développement durable et appelle à la poursuite de l’inclusion et l'intégration de la biodiversité dans le développement de l’agenda post-2015 et </w:t>
            </w:r>
            <w:r w:rsidRPr="007A1B21">
              <w:rPr>
                <w:i/>
                <w:iCs/>
                <w:szCs w:val="17"/>
                <w:lang w:val="fr-FR"/>
              </w:rPr>
              <w:t xml:space="preserve">prie </w:t>
            </w:r>
            <w:r w:rsidRPr="007A1B21">
              <w:rPr>
                <w:szCs w:val="17"/>
                <w:lang w:val="fr-FR"/>
              </w:rPr>
              <w:t>le Secrétariat de continuer à s’engager dans le processus d’établir des objectifs de développement durable en coopération avec le Groupe de liaison sur la biodiversité; </w:t>
            </w:r>
          </w:p>
        </w:tc>
        <w:tc>
          <w:tcPr>
            <w:tcW w:w="1745" w:type="dxa"/>
            <w:shd w:val="clear" w:color="auto" w:fill="auto"/>
          </w:tcPr>
          <w:p w14:paraId="509A56D4" w14:textId="53540863" w:rsidR="00BD3B21" w:rsidRPr="00D8376F" w:rsidRDefault="00BD3B21" w:rsidP="009F5EBD">
            <w:r w:rsidRPr="00524B62">
              <w:t>Conserver</w:t>
            </w:r>
          </w:p>
        </w:tc>
      </w:tr>
      <w:tr w:rsidR="006A610A" w:rsidRPr="00D8376F" w14:paraId="31E26A0D" w14:textId="77777777" w:rsidTr="00275105">
        <w:tc>
          <w:tcPr>
            <w:tcW w:w="7308" w:type="dxa"/>
            <w:shd w:val="clear" w:color="auto" w:fill="auto"/>
          </w:tcPr>
          <w:p w14:paraId="175A64BB" w14:textId="33FC30D8" w:rsidR="00BD3B21" w:rsidRPr="007A1B21" w:rsidRDefault="00BD3B21" w:rsidP="002D5163">
            <w:pPr>
              <w:widowControl/>
              <w:autoSpaceDE/>
              <w:autoSpaceDN/>
              <w:adjustRightInd/>
              <w:jc w:val="both"/>
              <w:rPr>
                <w:strike/>
                <w:szCs w:val="17"/>
                <w:lang w:val="fr-FR"/>
              </w:rPr>
            </w:pPr>
            <w:r w:rsidRPr="007A1B21">
              <w:rPr>
                <w:strike/>
                <w:szCs w:val="17"/>
                <w:lang w:val="fr-FR"/>
              </w:rPr>
              <w:t xml:space="preserve">15. </w:t>
            </w:r>
            <w:r w:rsidRPr="007A1B21">
              <w:rPr>
                <w:i/>
                <w:iCs/>
                <w:strike/>
                <w:szCs w:val="17"/>
                <w:lang w:val="fr-FR"/>
              </w:rPr>
              <w:t xml:space="preserve">Accueille aussi </w:t>
            </w:r>
            <w:r w:rsidRPr="007A1B21">
              <w:rPr>
                <w:strike/>
                <w:szCs w:val="17"/>
                <w:lang w:val="fr-FR"/>
              </w:rPr>
              <w:t xml:space="preserve">la décision de la COP12 de la CBD qui prévoit un atelier en vue de préparer des options qui peuvent inclure des éléments contribuant à une carte de route possible, pour les Parties des différentes conventions relatives à la biodiversité afin de renforcer les synergies et améliorer l'efficacité entre-elles, sans préjudice des objectifs spécifiques et en reconnaissant les mandats respectifs et sous réserve de la disponibilité des ressources de ces conventions, en vue de renforcer leur mise en oeuvre à tous les niveaux et </w:t>
            </w:r>
            <w:r w:rsidRPr="007A1B21">
              <w:rPr>
                <w:i/>
                <w:iCs/>
                <w:strike/>
                <w:szCs w:val="17"/>
                <w:lang w:val="fr-FR"/>
              </w:rPr>
              <w:t xml:space="preserve">prie </w:t>
            </w:r>
            <w:r w:rsidRPr="007A1B21">
              <w:rPr>
                <w:strike/>
                <w:szCs w:val="17"/>
                <w:lang w:val="fr-FR"/>
              </w:rPr>
              <w:t>le Secrétaire exécutif et le Comité permanent de faciliter la sélection des représentants pour participer à cet atelier;</w:t>
            </w:r>
          </w:p>
        </w:tc>
        <w:tc>
          <w:tcPr>
            <w:tcW w:w="1745" w:type="dxa"/>
            <w:shd w:val="clear" w:color="auto" w:fill="auto"/>
          </w:tcPr>
          <w:p w14:paraId="01D70B8A" w14:textId="33D78FFE" w:rsidR="00BD3B21" w:rsidRPr="00D8376F" w:rsidRDefault="00983987" w:rsidP="009F5EBD">
            <w:r>
              <w:rPr>
                <w:color w:val="000000" w:themeColor="text1"/>
                <w:lang w:val="fr-FR"/>
              </w:rPr>
              <w:t xml:space="preserve">Abroger, </w:t>
            </w:r>
            <w:r w:rsidR="00BD3B21" w:rsidRPr="00C079EF">
              <w:rPr>
                <w:color w:val="000000" w:themeColor="text1"/>
                <w:lang w:val="fr-FR"/>
              </w:rPr>
              <w:t>travail achevé</w:t>
            </w:r>
          </w:p>
        </w:tc>
      </w:tr>
      <w:tr w:rsidR="006A610A" w:rsidRPr="00D8376F" w14:paraId="27C311E4" w14:textId="77777777" w:rsidTr="00275105">
        <w:tc>
          <w:tcPr>
            <w:tcW w:w="7308" w:type="dxa"/>
            <w:shd w:val="clear" w:color="auto" w:fill="auto"/>
          </w:tcPr>
          <w:p w14:paraId="3EA8F07E" w14:textId="0483CD03" w:rsidR="00BD3B21" w:rsidRPr="007A1B21" w:rsidRDefault="00BD3B21" w:rsidP="002D5163">
            <w:pPr>
              <w:widowControl/>
              <w:autoSpaceDE/>
              <w:autoSpaceDN/>
              <w:adjustRightInd/>
              <w:jc w:val="both"/>
              <w:rPr>
                <w:szCs w:val="17"/>
                <w:lang w:val="fr-FR"/>
              </w:rPr>
            </w:pPr>
            <w:r w:rsidRPr="007A1B21">
              <w:rPr>
                <w:strike/>
                <w:szCs w:val="17"/>
                <w:lang w:val="fr-FR"/>
              </w:rPr>
              <w:t>16</w:t>
            </w:r>
            <w:r w:rsidRPr="007A1B21">
              <w:rPr>
                <w:szCs w:val="17"/>
                <w:lang w:val="fr-FR"/>
              </w:rPr>
              <w:t>.</w:t>
            </w:r>
            <w:r w:rsidR="00780BAF" w:rsidRPr="007A1B21">
              <w:rPr>
                <w:szCs w:val="17"/>
                <w:lang w:val="fr-FR"/>
              </w:rPr>
              <w:t xml:space="preserve"> </w:t>
            </w:r>
            <w:r w:rsidR="00780BAF" w:rsidRPr="007A1B21">
              <w:rPr>
                <w:szCs w:val="17"/>
                <w:u w:val="single"/>
                <w:lang w:val="fr-FR"/>
              </w:rPr>
              <w:t>15.</w:t>
            </w:r>
            <w:r w:rsidRPr="007A1B21">
              <w:rPr>
                <w:szCs w:val="17"/>
                <w:lang w:val="fr-FR"/>
              </w:rPr>
              <w:t xml:space="preserve"> </w:t>
            </w:r>
            <w:r w:rsidRPr="007A1B21">
              <w:rPr>
                <w:i/>
                <w:iCs/>
                <w:szCs w:val="17"/>
                <w:lang w:val="fr-FR"/>
              </w:rPr>
              <w:t xml:space="preserve">Invite </w:t>
            </w:r>
            <w:r w:rsidRPr="007A1B21">
              <w:rPr>
                <w:szCs w:val="17"/>
                <w:lang w:val="fr-FR"/>
              </w:rPr>
              <w:t>les membres du Groupe de liaison sur la biodiversité à renforcer la coopération et la coordination afin d’accroitre les synergies parmi leurs explorations et développements de leurs systèmes de rapports en ligne respectifs étant un moyen d’augmenter les synergies sur les rapports nationaux au titre des conventions relatives à la biodiversité;</w:t>
            </w:r>
          </w:p>
        </w:tc>
        <w:tc>
          <w:tcPr>
            <w:tcW w:w="1745" w:type="dxa"/>
            <w:shd w:val="clear" w:color="auto" w:fill="auto"/>
          </w:tcPr>
          <w:p w14:paraId="721EEEFB" w14:textId="3795F6F1" w:rsidR="00BD3B21" w:rsidRPr="00D8376F" w:rsidRDefault="00BD3B21" w:rsidP="009F5EBD">
            <w:r>
              <w:t>Conserver</w:t>
            </w:r>
          </w:p>
        </w:tc>
      </w:tr>
      <w:tr w:rsidR="006A610A" w:rsidRPr="00D8376F" w14:paraId="1FD7051D" w14:textId="77777777" w:rsidTr="00275105">
        <w:tc>
          <w:tcPr>
            <w:tcW w:w="7308" w:type="dxa"/>
            <w:shd w:val="clear" w:color="auto" w:fill="auto"/>
          </w:tcPr>
          <w:p w14:paraId="4F0B1A5F" w14:textId="4F5C9779" w:rsidR="00BD3B21" w:rsidRPr="007A1B21" w:rsidRDefault="00BD3B21" w:rsidP="00E5213E">
            <w:pPr>
              <w:widowControl/>
              <w:autoSpaceDE/>
              <w:autoSpaceDN/>
              <w:adjustRightInd/>
              <w:jc w:val="both"/>
              <w:rPr>
                <w:szCs w:val="17"/>
                <w:lang w:val="fr-FR"/>
              </w:rPr>
            </w:pPr>
            <w:r w:rsidRPr="007A1B21">
              <w:rPr>
                <w:strike/>
                <w:szCs w:val="17"/>
                <w:lang w:val="fr-FR"/>
              </w:rPr>
              <w:t>17</w:t>
            </w:r>
            <w:r w:rsidRPr="007A1B21">
              <w:rPr>
                <w:szCs w:val="17"/>
                <w:lang w:val="fr-FR"/>
              </w:rPr>
              <w:t xml:space="preserve">. </w:t>
            </w:r>
            <w:r w:rsidR="00780BAF" w:rsidRPr="007A1B21">
              <w:rPr>
                <w:szCs w:val="17"/>
                <w:u w:val="single"/>
                <w:lang w:val="fr-FR"/>
              </w:rPr>
              <w:t xml:space="preserve">16. </w:t>
            </w:r>
            <w:r w:rsidRPr="007A1B21">
              <w:rPr>
                <w:i/>
                <w:iCs/>
                <w:szCs w:val="17"/>
                <w:lang w:val="fr-FR"/>
              </w:rPr>
              <w:t xml:space="preserve">Invite en outre </w:t>
            </w:r>
            <w:r w:rsidRPr="007A1B21">
              <w:rPr>
                <w:szCs w:val="17"/>
                <w:lang w:val="fr-FR"/>
              </w:rPr>
              <w:t>les membres du Groupe de liaison sur la biodiversité à étudier des moyens d’accroître la coopération s’agissant de leurs stratégies de sensibilisation et de communication; </w:t>
            </w:r>
          </w:p>
        </w:tc>
        <w:tc>
          <w:tcPr>
            <w:tcW w:w="1745" w:type="dxa"/>
            <w:shd w:val="clear" w:color="auto" w:fill="auto"/>
          </w:tcPr>
          <w:p w14:paraId="77FF7FCE" w14:textId="0FAEB18A" w:rsidR="00BD3B21" w:rsidRPr="00D8376F" w:rsidRDefault="00BD3B21" w:rsidP="009F5EBD">
            <w:r w:rsidRPr="00B14894">
              <w:t>Conserver</w:t>
            </w:r>
          </w:p>
        </w:tc>
      </w:tr>
      <w:tr w:rsidR="006A610A" w:rsidRPr="00D8376F" w14:paraId="4217C74C" w14:textId="77777777" w:rsidTr="00275105">
        <w:tc>
          <w:tcPr>
            <w:tcW w:w="7308" w:type="dxa"/>
            <w:shd w:val="clear" w:color="auto" w:fill="auto"/>
          </w:tcPr>
          <w:p w14:paraId="0E112B45" w14:textId="77777777" w:rsidR="00BD3B21" w:rsidRDefault="00BD3B21" w:rsidP="00E5213E">
            <w:pPr>
              <w:widowControl/>
              <w:autoSpaceDE/>
              <w:autoSpaceDN/>
              <w:adjustRightInd/>
              <w:jc w:val="both"/>
              <w:rPr>
                <w:szCs w:val="17"/>
                <w:lang w:val="fr-FR"/>
              </w:rPr>
            </w:pPr>
            <w:r w:rsidRPr="007A1B21">
              <w:rPr>
                <w:strike/>
                <w:szCs w:val="17"/>
                <w:lang w:val="fr-FR"/>
              </w:rPr>
              <w:t>18</w:t>
            </w:r>
            <w:r w:rsidRPr="007A1B21">
              <w:rPr>
                <w:szCs w:val="17"/>
                <w:lang w:val="fr-FR"/>
              </w:rPr>
              <w:t xml:space="preserve">. </w:t>
            </w:r>
            <w:r w:rsidR="00780BAF" w:rsidRPr="007A1B21">
              <w:rPr>
                <w:szCs w:val="17"/>
                <w:u w:val="single"/>
                <w:lang w:val="fr-FR"/>
              </w:rPr>
              <w:t xml:space="preserve">17. </w:t>
            </w:r>
            <w:r w:rsidRPr="007A1B21">
              <w:rPr>
                <w:i/>
                <w:iCs/>
                <w:szCs w:val="17"/>
                <w:lang w:val="fr-FR"/>
              </w:rPr>
              <w:t xml:space="preserve">Invite en outre </w:t>
            </w:r>
            <w:r w:rsidRPr="007A1B21">
              <w:rPr>
                <w:szCs w:val="17"/>
                <w:lang w:val="fr-FR"/>
              </w:rPr>
              <w:t>le Groupe de liaison sur la biodiversité à tenir dûment compte de la nécessité d’optimiser les activités de suivi et de renforcer l’efficacité en utilisant des cadres de suivi et des systèmes d’indicateurs cohérents; </w:t>
            </w:r>
          </w:p>
          <w:p w14:paraId="1C6EEE1D" w14:textId="3C185F6A" w:rsidR="006A610A" w:rsidRPr="007A1B21" w:rsidRDefault="006A610A" w:rsidP="00E5213E">
            <w:pPr>
              <w:widowControl/>
              <w:autoSpaceDE/>
              <w:autoSpaceDN/>
              <w:adjustRightInd/>
              <w:jc w:val="both"/>
              <w:rPr>
                <w:szCs w:val="17"/>
                <w:lang w:val="fr-FR"/>
              </w:rPr>
            </w:pPr>
          </w:p>
        </w:tc>
        <w:tc>
          <w:tcPr>
            <w:tcW w:w="1745" w:type="dxa"/>
            <w:shd w:val="clear" w:color="auto" w:fill="auto"/>
          </w:tcPr>
          <w:p w14:paraId="66B17D10" w14:textId="3BDDC17E" w:rsidR="00BD3B21" w:rsidRPr="00D8376F" w:rsidRDefault="00BD3B21" w:rsidP="009F5EBD">
            <w:r w:rsidRPr="00B14894">
              <w:t>Conserver</w:t>
            </w:r>
          </w:p>
        </w:tc>
      </w:tr>
      <w:tr w:rsidR="006A610A" w:rsidRPr="00D8376F" w14:paraId="21038038" w14:textId="77777777" w:rsidTr="00275105">
        <w:tc>
          <w:tcPr>
            <w:tcW w:w="7308" w:type="dxa"/>
            <w:shd w:val="clear" w:color="auto" w:fill="auto"/>
          </w:tcPr>
          <w:p w14:paraId="2560775B" w14:textId="77777777" w:rsidR="00BD3B21" w:rsidRDefault="00BD3B21" w:rsidP="00E5213E">
            <w:pPr>
              <w:widowControl/>
              <w:autoSpaceDE/>
              <w:autoSpaceDN/>
              <w:adjustRightInd/>
              <w:jc w:val="both"/>
              <w:rPr>
                <w:szCs w:val="17"/>
                <w:lang w:val="fr-FR"/>
              </w:rPr>
            </w:pPr>
            <w:r w:rsidRPr="007A1B21">
              <w:rPr>
                <w:strike/>
                <w:szCs w:val="17"/>
                <w:lang w:val="fr-FR"/>
              </w:rPr>
              <w:t>19</w:t>
            </w:r>
            <w:r w:rsidRPr="007A1B21">
              <w:rPr>
                <w:szCs w:val="17"/>
                <w:lang w:val="fr-FR"/>
              </w:rPr>
              <w:t xml:space="preserve">. </w:t>
            </w:r>
            <w:r w:rsidR="00780BAF" w:rsidRPr="007A1B21">
              <w:rPr>
                <w:szCs w:val="17"/>
                <w:u w:val="single"/>
                <w:lang w:val="fr-FR"/>
              </w:rPr>
              <w:t xml:space="preserve">18. </w:t>
            </w:r>
            <w:r w:rsidRPr="007A1B21">
              <w:rPr>
                <w:i/>
                <w:iCs/>
                <w:szCs w:val="17"/>
                <w:lang w:val="fr-FR"/>
              </w:rPr>
              <w:t xml:space="preserve">Prie </w:t>
            </w:r>
            <w:r w:rsidRPr="007A1B21">
              <w:rPr>
                <w:szCs w:val="17"/>
                <w:lang w:val="fr-FR"/>
              </w:rPr>
              <w:t xml:space="preserve">le Secrétariat, autant que possible, d'éviter la duplication des travaux sur les mêmes questions entre les AEM qui se consacrent aux questions de protection de la nature, et </w:t>
            </w:r>
            <w:r w:rsidRPr="007A1B21">
              <w:rPr>
                <w:i/>
                <w:iCs/>
                <w:szCs w:val="17"/>
                <w:lang w:val="fr-FR"/>
              </w:rPr>
              <w:t xml:space="preserve">invite </w:t>
            </w:r>
            <w:r w:rsidRPr="007A1B21">
              <w:rPr>
                <w:szCs w:val="17"/>
                <w:lang w:val="fr-FR"/>
              </w:rPr>
              <w:t>le Groupe de liaison sur la biodiversité à aborder, au cours de ses prochaines réunions, les options pour une coopération renforcée en matière de travail sur des questions transversales, comme le changement climatique, la viande de brousse et les espèces exotiques envahissantes, y compris en envisageant la possibilité d'identifier les AEM qui joueront un rôle central d'une manière conforme à leurs mandats, dispositions de gouvernance et programmes convenus; </w:t>
            </w:r>
          </w:p>
          <w:p w14:paraId="36F721CB" w14:textId="53B6C2EA" w:rsidR="006A610A" w:rsidRPr="007A1B21" w:rsidRDefault="006A610A" w:rsidP="00E5213E">
            <w:pPr>
              <w:widowControl/>
              <w:autoSpaceDE/>
              <w:autoSpaceDN/>
              <w:adjustRightInd/>
              <w:jc w:val="both"/>
              <w:rPr>
                <w:szCs w:val="17"/>
                <w:lang w:val="fr-FR"/>
              </w:rPr>
            </w:pPr>
          </w:p>
        </w:tc>
        <w:tc>
          <w:tcPr>
            <w:tcW w:w="1745" w:type="dxa"/>
            <w:shd w:val="clear" w:color="auto" w:fill="auto"/>
          </w:tcPr>
          <w:p w14:paraId="41D84608" w14:textId="4554C7C1" w:rsidR="00BD3B21" w:rsidRPr="00D8376F" w:rsidRDefault="00BD3B21" w:rsidP="009F5EBD">
            <w:r w:rsidRPr="00B14894">
              <w:t>Conserver</w:t>
            </w:r>
          </w:p>
        </w:tc>
      </w:tr>
      <w:tr w:rsidR="006A610A" w:rsidRPr="00983987" w14:paraId="0DB3F001" w14:textId="77777777" w:rsidTr="00275105">
        <w:tc>
          <w:tcPr>
            <w:tcW w:w="7308" w:type="dxa"/>
            <w:shd w:val="clear" w:color="auto" w:fill="auto"/>
          </w:tcPr>
          <w:p w14:paraId="4353B822" w14:textId="28D45072" w:rsidR="00BD3B21" w:rsidRPr="007A1B21" w:rsidRDefault="00BD3B21" w:rsidP="002D5163">
            <w:pPr>
              <w:widowControl/>
              <w:autoSpaceDE/>
              <w:autoSpaceDN/>
              <w:adjustRightInd/>
              <w:jc w:val="both"/>
              <w:rPr>
                <w:strike/>
                <w:szCs w:val="17"/>
                <w:lang w:val="fr-FR"/>
              </w:rPr>
            </w:pPr>
            <w:r w:rsidRPr="007A1B21">
              <w:rPr>
                <w:strike/>
                <w:szCs w:val="17"/>
                <w:lang w:val="fr-FR"/>
              </w:rPr>
              <w:t xml:space="preserve">20. </w:t>
            </w:r>
            <w:r w:rsidRPr="007A1B21">
              <w:rPr>
                <w:i/>
                <w:iCs/>
                <w:strike/>
                <w:szCs w:val="17"/>
                <w:lang w:val="fr-FR"/>
              </w:rPr>
              <w:t xml:space="preserve">Rappelant </w:t>
            </w:r>
            <w:r w:rsidRPr="007A1B21">
              <w:rPr>
                <w:strike/>
                <w:szCs w:val="17"/>
                <w:lang w:val="fr-FR"/>
              </w:rPr>
              <w:t xml:space="preserve">la résolution 10.25, </w:t>
            </w:r>
            <w:r w:rsidRPr="007A1B21">
              <w:rPr>
                <w:i/>
                <w:iCs/>
                <w:strike/>
                <w:szCs w:val="17"/>
                <w:lang w:val="fr-FR"/>
              </w:rPr>
              <w:t xml:space="preserve">accueille </w:t>
            </w:r>
            <w:r w:rsidRPr="007A1B21">
              <w:rPr>
                <w:strike/>
                <w:szCs w:val="17"/>
                <w:lang w:val="fr-FR"/>
              </w:rPr>
              <w:t xml:space="preserve">la décision de la CDB COP12 (CBD COP12/XII/30) sur le Fonds pour l'environnement mondial à renforcer les synergies programmatiques parmi les conventions relatives à la biodiversité et, dans ce contexte, </w:t>
            </w:r>
            <w:r w:rsidRPr="007A1B21">
              <w:rPr>
                <w:i/>
                <w:iCs/>
                <w:strike/>
                <w:szCs w:val="17"/>
                <w:lang w:val="fr-FR"/>
              </w:rPr>
              <w:t xml:space="preserve">demande </w:t>
            </w:r>
            <w:r w:rsidRPr="007A1B21">
              <w:rPr>
                <w:strike/>
                <w:szCs w:val="17"/>
                <w:lang w:val="fr-FR"/>
              </w:rPr>
              <w:t>au Comité permanent d'élaborer des éléments de conseils pour le Fonds pour l'environnement mondial concernant le financement des priorités nationales pour la CMS;</w:t>
            </w:r>
          </w:p>
        </w:tc>
        <w:tc>
          <w:tcPr>
            <w:tcW w:w="1745" w:type="dxa"/>
            <w:shd w:val="clear" w:color="auto" w:fill="auto"/>
          </w:tcPr>
          <w:p w14:paraId="7BC5267F" w14:textId="77777777" w:rsidR="00BD3B21" w:rsidRDefault="00983987" w:rsidP="009F5EBD">
            <w:pPr>
              <w:rPr>
                <w:lang w:val="fr-FR"/>
              </w:rPr>
            </w:pPr>
            <w:r w:rsidRPr="00983987">
              <w:rPr>
                <w:lang w:val="fr-FR"/>
              </w:rPr>
              <w:t>Transférer à la Résolution</w:t>
            </w:r>
            <w:r w:rsidR="00BD3B21" w:rsidRPr="00983987">
              <w:rPr>
                <w:lang w:val="fr-FR"/>
              </w:rPr>
              <w:t xml:space="preserve"> 10.25, </w:t>
            </w:r>
            <w:r w:rsidRPr="00983987">
              <w:rPr>
                <w:lang w:val="fr-FR"/>
              </w:rPr>
              <w:t xml:space="preserve">Renforcement de l’engagement </w:t>
            </w:r>
            <w:r w:rsidR="006A610A">
              <w:rPr>
                <w:lang w:val="fr-FR"/>
              </w:rPr>
              <w:t xml:space="preserve">dans </w:t>
            </w:r>
            <w:r w:rsidRPr="00983987">
              <w:rPr>
                <w:lang w:val="fr-FR"/>
              </w:rPr>
              <w:t xml:space="preserve">le </w:t>
            </w:r>
            <w:r w:rsidR="006A610A">
              <w:rPr>
                <w:lang w:val="fr-FR"/>
              </w:rPr>
              <w:t>fonds pour l’environnement mondial</w:t>
            </w:r>
          </w:p>
          <w:p w14:paraId="7DCBC791" w14:textId="2D82535F" w:rsidR="006A610A" w:rsidRPr="00983987" w:rsidRDefault="006A610A" w:rsidP="009F5EBD">
            <w:pPr>
              <w:rPr>
                <w:lang w:val="fr-FR"/>
              </w:rPr>
            </w:pPr>
          </w:p>
        </w:tc>
      </w:tr>
      <w:tr w:rsidR="006A610A" w:rsidRPr="006A610A" w14:paraId="534136A1" w14:textId="77777777" w:rsidTr="00275105">
        <w:tc>
          <w:tcPr>
            <w:tcW w:w="7308" w:type="dxa"/>
            <w:shd w:val="clear" w:color="auto" w:fill="auto"/>
          </w:tcPr>
          <w:p w14:paraId="4EF70FAD" w14:textId="4F13A679" w:rsidR="00BD3B21" w:rsidRPr="007A1B21" w:rsidRDefault="00BD3B21" w:rsidP="00E5213E">
            <w:pPr>
              <w:widowControl/>
              <w:autoSpaceDE/>
              <w:autoSpaceDN/>
              <w:adjustRightInd/>
              <w:jc w:val="both"/>
              <w:rPr>
                <w:strike/>
                <w:szCs w:val="17"/>
                <w:lang w:val="fr-FR"/>
              </w:rPr>
            </w:pPr>
            <w:r w:rsidRPr="007A1B21">
              <w:rPr>
                <w:strike/>
                <w:szCs w:val="17"/>
                <w:lang w:val="fr-FR"/>
              </w:rPr>
              <w:lastRenderedPageBreak/>
              <w:t xml:space="preserve">21. </w:t>
            </w:r>
            <w:r w:rsidRPr="007A1B21">
              <w:rPr>
                <w:i/>
                <w:iCs/>
                <w:strike/>
                <w:szCs w:val="17"/>
                <w:lang w:val="fr-FR"/>
              </w:rPr>
              <w:t xml:space="preserve">Prie </w:t>
            </w:r>
            <w:r w:rsidRPr="007A1B21">
              <w:rPr>
                <w:strike/>
                <w:szCs w:val="17"/>
                <w:lang w:val="fr-FR"/>
              </w:rPr>
              <w:t>le Secrétaire exécutif de fournir les éléments de conseils élaborées par le Comité permanent en temps opportun afin d’être examiné par la CBD COP13 pour qu'ils puissent être soumis au Fonds pour l'environnement mondial par la Conférence des Parties à la Convention sur la diversité biologique; </w:t>
            </w:r>
          </w:p>
        </w:tc>
        <w:tc>
          <w:tcPr>
            <w:tcW w:w="1745" w:type="dxa"/>
            <w:shd w:val="clear" w:color="auto" w:fill="auto"/>
          </w:tcPr>
          <w:p w14:paraId="22F412B3" w14:textId="77777777" w:rsidR="00BD3B21" w:rsidRDefault="006A610A" w:rsidP="009F5EBD">
            <w:pPr>
              <w:rPr>
                <w:lang w:val="fr-FR"/>
              </w:rPr>
            </w:pPr>
            <w:r w:rsidRPr="00983987">
              <w:rPr>
                <w:lang w:val="fr-FR"/>
              </w:rPr>
              <w:t xml:space="preserve">Transférer à la Résolution 10.25, Renforcement de l’engagement </w:t>
            </w:r>
            <w:r>
              <w:rPr>
                <w:lang w:val="fr-FR"/>
              </w:rPr>
              <w:t xml:space="preserve">dans </w:t>
            </w:r>
            <w:r w:rsidRPr="00983987">
              <w:rPr>
                <w:lang w:val="fr-FR"/>
              </w:rPr>
              <w:t xml:space="preserve">le </w:t>
            </w:r>
            <w:r>
              <w:rPr>
                <w:lang w:val="fr-FR"/>
              </w:rPr>
              <w:t>fonds pour l’environnement mondial</w:t>
            </w:r>
          </w:p>
          <w:p w14:paraId="77214AD8" w14:textId="623B95F0" w:rsidR="006A610A" w:rsidRPr="006A610A" w:rsidRDefault="006A610A" w:rsidP="009F5EBD">
            <w:pPr>
              <w:rPr>
                <w:lang w:val="fr-FR"/>
              </w:rPr>
            </w:pPr>
          </w:p>
        </w:tc>
      </w:tr>
      <w:tr w:rsidR="006A610A" w:rsidRPr="00D8376F" w14:paraId="1E44F626" w14:textId="77777777" w:rsidTr="00BD3B21">
        <w:tc>
          <w:tcPr>
            <w:tcW w:w="7308" w:type="dxa"/>
            <w:shd w:val="clear" w:color="auto" w:fill="auto"/>
          </w:tcPr>
          <w:p w14:paraId="3B5AD23F" w14:textId="77777777" w:rsidR="00BD3B21" w:rsidRDefault="00BD3B21" w:rsidP="00E5213E">
            <w:pPr>
              <w:widowControl/>
              <w:autoSpaceDE/>
              <w:autoSpaceDN/>
              <w:adjustRightInd/>
              <w:jc w:val="both"/>
              <w:rPr>
                <w:szCs w:val="17"/>
                <w:lang w:val="fr-FR"/>
              </w:rPr>
            </w:pPr>
            <w:r w:rsidRPr="007A1B21">
              <w:rPr>
                <w:strike/>
                <w:szCs w:val="17"/>
                <w:lang w:val="fr-FR"/>
              </w:rPr>
              <w:t>22</w:t>
            </w:r>
            <w:r w:rsidRPr="007A1B21">
              <w:rPr>
                <w:szCs w:val="17"/>
                <w:lang w:val="fr-FR"/>
              </w:rPr>
              <w:t>.</w:t>
            </w:r>
            <w:r w:rsidR="00780BAF" w:rsidRPr="007A1B21">
              <w:rPr>
                <w:szCs w:val="17"/>
                <w:u w:val="single"/>
                <w:lang w:val="fr-FR"/>
              </w:rPr>
              <w:t>19.</w:t>
            </w:r>
            <w:r w:rsidRPr="007A1B21">
              <w:rPr>
                <w:szCs w:val="17"/>
                <w:lang w:val="fr-FR"/>
              </w:rPr>
              <w:t xml:space="preserve"> </w:t>
            </w:r>
            <w:r w:rsidRPr="007A1B21">
              <w:rPr>
                <w:i/>
                <w:iCs/>
                <w:szCs w:val="17"/>
                <w:lang w:val="fr-FR"/>
              </w:rPr>
              <w:t xml:space="preserve">Prie </w:t>
            </w:r>
            <w:r w:rsidRPr="007A1B21">
              <w:rPr>
                <w:szCs w:val="17"/>
                <w:lang w:val="fr-FR"/>
              </w:rPr>
              <w:t>le Secrétariat de continuer de faire rapport au Comité permanent sur les progrès accomplis, y compris sur les résultats d’activités communes tel que discuté et approuvé au sein du Groupe de liaison sur la biodiversité; </w:t>
            </w:r>
          </w:p>
          <w:p w14:paraId="03124DAF" w14:textId="07A40B86" w:rsidR="006A610A" w:rsidRPr="007A1B21" w:rsidRDefault="006A610A" w:rsidP="00E5213E">
            <w:pPr>
              <w:widowControl/>
              <w:autoSpaceDE/>
              <w:autoSpaceDN/>
              <w:adjustRightInd/>
              <w:jc w:val="both"/>
              <w:rPr>
                <w:szCs w:val="17"/>
                <w:lang w:val="fr-FR"/>
              </w:rPr>
            </w:pPr>
          </w:p>
        </w:tc>
        <w:tc>
          <w:tcPr>
            <w:tcW w:w="1745" w:type="dxa"/>
            <w:shd w:val="clear" w:color="auto" w:fill="auto"/>
          </w:tcPr>
          <w:p w14:paraId="703AE3E0" w14:textId="458E287F" w:rsidR="00BD3B21" w:rsidRPr="00D8376F" w:rsidRDefault="00BD3B21" w:rsidP="009F5EBD">
            <w:r w:rsidRPr="009A4FFD">
              <w:t>Conserver</w:t>
            </w:r>
          </w:p>
        </w:tc>
      </w:tr>
      <w:tr w:rsidR="006A610A" w:rsidRPr="00D8376F" w14:paraId="5EC79151" w14:textId="77777777" w:rsidTr="00BD3B21">
        <w:tc>
          <w:tcPr>
            <w:tcW w:w="7308" w:type="dxa"/>
            <w:shd w:val="clear" w:color="auto" w:fill="auto"/>
          </w:tcPr>
          <w:p w14:paraId="02CBEEE4" w14:textId="77777777" w:rsidR="00BD3B21" w:rsidRDefault="00BD3B21" w:rsidP="002D5163">
            <w:pPr>
              <w:widowControl/>
              <w:autoSpaceDE/>
              <w:autoSpaceDN/>
              <w:adjustRightInd/>
              <w:jc w:val="both"/>
              <w:rPr>
                <w:szCs w:val="17"/>
                <w:lang w:val="fr-FR"/>
              </w:rPr>
            </w:pPr>
            <w:r w:rsidRPr="007A1B21">
              <w:rPr>
                <w:strike/>
                <w:szCs w:val="17"/>
                <w:lang w:val="fr-FR"/>
              </w:rPr>
              <w:t>23.</w:t>
            </w:r>
            <w:r w:rsidRPr="007A1B21">
              <w:rPr>
                <w:szCs w:val="17"/>
                <w:lang w:val="fr-FR"/>
              </w:rPr>
              <w:t xml:space="preserve"> </w:t>
            </w:r>
            <w:r w:rsidR="00780BAF" w:rsidRPr="007A1B21">
              <w:rPr>
                <w:szCs w:val="17"/>
                <w:u w:val="single"/>
                <w:lang w:val="fr-FR"/>
              </w:rPr>
              <w:t xml:space="preserve">20. </w:t>
            </w:r>
            <w:r w:rsidRPr="007A1B21">
              <w:rPr>
                <w:i/>
                <w:iCs/>
                <w:szCs w:val="17"/>
                <w:lang w:val="fr-FR"/>
              </w:rPr>
              <w:t xml:space="preserve">Reconnaît </w:t>
            </w:r>
            <w:r w:rsidRPr="007A1B21">
              <w:rPr>
                <w:szCs w:val="17"/>
                <w:lang w:val="fr-FR"/>
              </w:rPr>
              <w:t xml:space="preserve">que des ressources adéquates sont nécessaires pour permettre aux partenariats de se développer et que ces ressources pourraient être fournies en partie par les contributions volontaires des Parties, et </w:t>
            </w:r>
            <w:r w:rsidRPr="007A1B21">
              <w:rPr>
                <w:i/>
                <w:iCs/>
                <w:szCs w:val="17"/>
                <w:lang w:val="fr-FR"/>
              </w:rPr>
              <w:t xml:space="preserve">demande </w:t>
            </w:r>
            <w:r w:rsidRPr="007A1B21">
              <w:rPr>
                <w:szCs w:val="17"/>
                <w:lang w:val="fr-FR"/>
              </w:rPr>
              <w:t>aux Parties de faire en sorte que des ressources suffisantes soient allouées au Secrétariat afin que des partenariats puissent être créés et renforcés; </w:t>
            </w:r>
          </w:p>
          <w:p w14:paraId="7151F10B" w14:textId="68D3074C" w:rsidR="006A610A" w:rsidRPr="007A1B21" w:rsidRDefault="006A610A" w:rsidP="002D5163">
            <w:pPr>
              <w:widowControl/>
              <w:autoSpaceDE/>
              <w:autoSpaceDN/>
              <w:adjustRightInd/>
              <w:jc w:val="both"/>
              <w:rPr>
                <w:szCs w:val="17"/>
                <w:lang w:val="fr-FR"/>
              </w:rPr>
            </w:pPr>
          </w:p>
        </w:tc>
        <w:tc>
          <w:tcPr>
            <w:tcW w:w="1745" w:type="dxa"/>
            <w:shd w:val="clear" w:color="auto" w:fill="auto"/>
          </w:tcPr>
          <w:p w14:paraId="6F991500" w14:textId="79B45A03" w:rsidR="00BD3B21" w:rsidRPr="00D8376F" w:rsidRDefault="00BD3B21" w:rsidP="009F5EBD">
            <w:r w:rsidRPr="009A4FFD">
              <w:t>Conserver</w:t>
            </w:r>
          </w:p>
        </w:tc>
      </w:tr>
      <w:tr w:rsidR="006A610A" w:rsidRPr="00D8376F" w14:paraId="0DD7D15A" w14:textId="77777777" w:rsidTr="00BD3B21">
        <w:tc>
          <w:tcPr>
            <w:tcW w:w="7308" w:type="dxa"/>
            <w:shd w:val="clear" w:color="auto" w:fill="auto"/>
          </w:tcPr>
          <w:p w14:paraId="20E807A3" w14:textId="77777777" w:rsidR="00BD3B21" w:rsidRDefault="00BD3B21" w:rsidP="00E5213E">
            <w:pPr>
              <w:widowControl/>
              <w:autoSpaceDE/>
              <w:autoSpaceDN/>
              <w:adjustRightInd/>
              <w:jc w:val="both"/>
              <w:rPr>
                <w:szCs w:val="17"/>
                <w:lang w:val="fr-FR"/>
              </w:rPr>
            </w:pPr>
            <w:r w:rsidRPr="007A1B21">
              <w:rPr>
                <w:strike/>
                <w:szCs w:val="17"/>
                <w:lang w:val="fr-FR"/>
              </w:rPr>
              <w:t>24.</w:t>
            </w:r>
            <w:r w:rsidRPr="007A1B21">
              <w:rPr>
                <w:szCs w:val="17"/>
                <w:lang w:val="fr-FR"/>
              </w:rPr>
              <w:t xml:space="preserve"> </w:t>
            </w:r>
            <w:r w:rsidR="00780BAF" w:rsidRPr="007A1B21">
              <w:rPr>
                <w:szCs w:val="17"/>
                <w:u w:val="single"/>
                <w:lang w:val="fr-FR"/>
              </w:rPr>
              <w:t xml:space="preserve">21. </w:t>
            </w:r>
            <w:r w:rsidRPr="007A1B21">
              <w:rPr>
                <w:i/>
                <w:iCs/>
                <w:szCs w:val="17"/>
                <w:lang w:val="fr-FR"/>
              </w:rPr>
              <w:t xml:space="preserve">Prie instamment </w:t>
            </w:r>
            <w:r w:rsidRPr="007A1B21">
              <w:rPr>
                <w:szCs w:val="17"/>
                <w:lang w:val="fr-FR"/>
              </w:rPr>
              <w:t>les Parties d’établir une collaboration étroite au niveau national entre le point focal de la CMS et les points focaux des autres conventions compétentes pour que les gouvernements élaborent des approches cohérentes et synergiques entre les conventions et accroissent l'efficacité des efforts nationaux, par exemple en développant des groupes de travail sur la diversité biologique nationale pour coordonner le travail des points focaux d’AEM pertinents et d’autres parties prenantes, entre autres, à travers des mesures dans les SPANB, les rapports nationaux harmonisés et l’adoption des positions nationales cohérentes pour chaque AEM; </w:t>
            </w:r>
          </w:p>
          <w:p w14:paraId="26F40086" w14:textId="0623A7C6" w:rsidR="006A610A" w:rsidRPr="007A1B21" w:rsidRDefault="006A610A" w:rsidP="00E5213E">
            <w:pPr>
              <w:widowControl/>
              <w:autoSpaceDE/>
              <w:autoSpaceDN/>
              <w:adjustRightInd/>
              <w:jc w:val="both"/>
              <w:rPr>
                <w:szCs w:val="17"/>
                <w:lang w:val="fr-FR"/>
              </w:rPr>
            </w:pPr>
          </w:p>
        </w:tc>
        <w:tc>
          <w:tcPr>
            <w:tcW w:w="1745" w:type="dxa"/>
            <w:shd w:val="clear" w:color="auto" w:fill="auto"/>
          </w:tcPr>
          <w:p w14:paraId="79C4CC20" w14:textId="16EE290B" w:rsidR="00BD3B21" w:rsidRPr="00D8376F" w:rsidRDefault="00BD3B21" w:rsidP="009F5EBD">
            <w:r w:rsidRPr="009A4FFD">
              <w:t>Conserver</w:t>
            </w:r>
          </w:p>
        </w:tc>
      </w:tr>
      <w:tr w:rsidR="006A610A" w:rsidRPr="00D8376F" w14:paraId="51629394" w14:textId="77777777" w:rsidTr="00BD3B21">
        <w:tc>
          <w:tcPr>
            <w:tcW w:w="7308" w:type="dxa"/>
            <w:shd w:val="clear" w:color="auto" w:fill="auto"/>
          </w:tcPr>
          <w:p w14:paraId="4F303133" w14:textId="77777777" w:rsidR="00BD3B21" w:rsidRDefault="00BD3B21" w:rsidP="002D5163">
            <w:pPr>
              <w:widowControl/>
              <w:autoSpaceDE/>
              <w:autoSpaceDN/>
              <w:adjustRightInd/>
              <w:jc w:val="both"/>
              <w:rPr>
                <w:szCs w:val="17"/>
                <w:lang w:val="fr-FR"/>
              </w:rPr>
            </w:pPr>
            <w:r w:rsidRPr="007A1B21">
              <w:rPr>
                <w:strike/>
                <w:szCs w:val="17"/>
                <w:lang w:val="fr-FR"/>
              </w:rPr>
              <w:t>25.</w:t>
            </w:r>
            <w:r w:rsidRPr="007A1B21">
              <w:rPr>
                <w:szCs w:val="17"/>
                <w:lang w:val="fr-FR"/>
              </w:rPr>
              <w:t xml:space="preserve"> </w:t>
            </w:r>
            <w:r w:rsidR="00780BAF" w:rsidRPr="007A1B21">
              <w:rPr>
                <w:szCs w:val="17"/>
                <w:u w:val="single"/>
                <w:lang w:val="fr-FR"/>
              </w:rPr>
              <w:t xml:space="preserve">22. </w:t>
            </w:r>
            <w:r w:rsidRPr="007A1B21">
              <w:rPr>
                <w:i/>
                <w:iCs/>
                <w:szCs w:val="17"/>
                <w:lang w:val="fr-FR"/>
              </w:rPr>
              <w:t xml:space="preserve">Exhorte en outre </w:t>
            </w:r>
            <w:r w:rsidRPr="007A1B21">
              <w:rPr>
                <w:szCs w:val="17"/>
                <w:lang w:val="fr-FR"/>
              </w:rPr>
              <w:t>les Parties à faciliter la coopération entre les organisations internationales, et à promouvoir l'intégration des préoccupations liées à la biodiversité relative aux espèces migratrices dans tous les secteurs pertinents en coordonnant leurs positions nationales avec les diverses conventions et autres instances internationales dans lesquelles elles sont impliquées;</w:t>
            </w:r>
          </w:p>
          <w:p w14:paraId="5D16CFCD" w14:textId="3BF55E52" w:rsidR="006A610A" w:rsidRPr="007A1B21" w:rsidRDefault="006A610A" w:rsidP="002D5163">
            <w:pPr>
              <w:widowControl/>
              <w:autoSpaceDE/>
              <w:autoSpaceDN/>
              <w:adjustRightInd/>
              <w:jc w:val="both"/>
              <w:rPr>
                <w:szCs w:val="17"/>
                <w:lang w:val="fr-FR"/>
              </w:rPr>
            </w:pPr>
          </w:p>
        </w:tc>
        <w:tc>
          <w:tcPr>
            <w:tcW w:w="1745" w:type="dxa"/>
            <w:shd w:val="clear" w:color="auto" w:fill="auto"/>
          </w:tcPr>
          <w:p w14:paraId="4F2ECC5B" w14:textId="49A93987" w:rsidR="00BD3B21" w:rsidRPr="00D8376F" w:rsidRDefault="00BD3B21" w:rsidP="009F5EBD">
            <w:r w:rsidRPr="009A4FFD">
              <w:t>Conserver</w:t>
            </w:r>
          </w:p>
        </w:tc>
      </w:tr>
      <w:tr w:rsidR="006A610A" w:rsidRPr="00D8376F" w14:paraId="5BE3F294" w14:textId="77777777" w:rsidTr="00BD3B21">
        <w:tc>
          <w:tcPr>
            <w:tcW w:w="7308" w:type="dxa"/>
            <w:shd w:val="clear" w:color="auto" w:fill="auto"/>
          </w:tcPr>
          <w:p w14:paraId="1AF7BEB1" w14:textId="77777777" w:rsidR="00BD3B21" w:rsidRDefault="00BD3B21" w:rsidP="002D5163">
            <w:pPr>
              <w:widowControl/>
              <w:autoSpaceDE/>
              <w:autoSpaceDN/>
              <w:adjustRightInd/>
              <w:jc w:val="both"/>
              <w:rPr>
                <w:szCs w:val="17"/>
                <w:lang w:val="fr-FR"/>
              </w:rPr>
            </w:pPr>
            <w:r w:rsidRPr="007A1B21">
              <w:rPr>
                <w:strike/>
                <w:szCs w:val="17"/>
                <w:lang w:val="fr-FR"/>
              </w:rPr>
              <w:t>26</w:t>
            </w:r>
            <w:r w:rsidRPr="007A1B21">
              <w:rPr>
                <w:szCs w:val="17"/>
                <w:lang w:val="fr-FR"/>
              </w:rPr>
              <w:t xml:space="preserve">. </w:t>
            </w:r>
            <w:r w:rsidR="00780BAF" w:rsidRPr="007A1B21">
              <w:rPr>
                <w:szCs w:val="17"/>
                <w:u w:val="single"/>
                <w:lang w:val="fr-FR"/>
              </w:rPr>
              <w:t xml:space="preserve">23. </w:t>
            </w:r>
            <w:r w:rsidRPr="007A1B21">
              <w:rPr>
                <w:i/>
                <w:iCs/>
                <w:szCs w:val="17"/>
                <w:lang w:val="fr-FR"/>
              </w:rPr>
              <w:t xml:space="preserve">Encourage </w:t>
            </w:r>
            <w:r w:rsidRPr="007A1B21">
              <w:rPr>
                <w:szCs w:val="17"/>
                <w:lang w:val="fr-FR"/>
              </w:rPr>
              <w:t>les Parties, autres gouvernements et organisations à faire usage des outils en ligne tels que InforMEA lors du développement et de la mise en oeuvre d’activités de soutien mutuel parmi les Accords de la CMS et les conventions relatives à la biodiversité afin d’assurer la cohérence dans leur mise en oeuvre;</w:t>
            </w:r>
          </w:p>
          <w:p w14:paraId="57F5A9B2" w14:textId="0D8DFB8B" w:rsidR="006A610A" w:rsidRPr="007A1B21" w:rsidRDefault="006A610A" w:rsidP="002D5163">
            <w:pPr>
              <w:widowControl/>
              <w:autoSpaceDE/>
              <w:autoSpaceDN/>
              <w:adjustRightInd/>
              <w:jc w:val="both"/>
              <w:rPr>
                <w:szCs w:val="17"/>
                <w:lang w:val="fr-FR"/>
              </w:rPr>
            </w:pPr>
          </w:p>
        </w:tc>
        <w:tc>
          <w:tcPr>
            <w:tcW w:w="1745" w:type="dxa"/>
            <w:shd w:val="clear" w:color="auto" w:fill="auto"/>
          </w:tcPr>
          <w:p w14:paraId="067BF147" w14:textId="7C10C229" w:rsidR="00BD3B21" w:rsidRPr="00D8376F" w:rsidRDefault="00BD3B21" w:rsidP="009F5EBD">
            <w:r w:rsidRPr="009A4FFD">
              <w:t>Conserver</w:t>
            </w:r>
          </w:p>
        </w:tc>
      </w:tr>
      <w:tr w:rsidR="006A610A" w:rsidRPr="00D8376F" w14:paraId="7B2AE003" w14:textId="77777777" w:rsidTr="00BD3B21">
        <w:tc>
          <w:tcPr>
            <w:tcW w:w="7308" w:type="dxa"/>
            <w:shd w:val="clear" w:color="auto" w:fill="auto"/>
          </w:tcPr>
          <w:p w14:paraId="0BF3728D" w14:textId="77777777" w:rsidR="00BD3B21" w:rsidRDefault="00BD3B21" w:rsidP="00E5213E">
            <w:pPr>
              <w:widowControl/>
              <w:autoSpaceDE/>
              <w:autoSpaceDN/>
              <w:adjustRightInd/>
              <w:jc w:val="both"/>
              <w:rPr>
                <w:szCs w:val="17"/>
                <w:lang w:val="fr-FR"/>
              </w:rPr>
            </w:pPr>
            <w:r w:rsidRPr="007A1B21">
              <w:rPr>
                <w:strike/>
                <w:szCs w:val="17"/>
                <w:lang w:val="fr-FR"/>
              </w:rPr>
              <w:t>27</w:t>
            </w:r>
            <w:r w:rsidRPr="007A1B21">
              <w:rPr>
                <w:szCs w:val="17"/>
                <w:lang w:val="fr-FR"/>
              </w:rPr>
              <w:t xml:space="preserve">. </w:t>
            </w:r>
            <w:r w:rsidR="00780BAF" w:rsidRPr="007A1B21">
              <w:rPr>
                <w:szCs w:val="17"/>
                <w:u w:val="single"/>
                <w:lang w:val="fr-FR"/>
              </w:rPr>
              <w:t xml:space="preserve">24. </w:t>
            </w:r>
            <w:r w:rsidRPr="007A1B21">
              <w:rPr>
                <w:i/>
                <w:iCs/>
                <w:szCs w:val="17"/>
                <w:lang w:val="fr-FR"/>
              </w:rPr>
              <w:t xml:space="preserve">Prie instamment </w:t>
            </w:r>
            <w:r w:rsidRPr="007A1B21">
              <w:rPr>
                <w:szCs w:val="17"/>
                <w:lang w:val="fr-FR"/>
              </w:rPr>
              <w:t>les organisations partenaires de continuer de promouvoir et de publier les bénéfices qui leur reviennent ainsi qu’à la CMS et à la conservation provenant d’une collaboration effective; </w:t>
            </w:r>
          </w:p>
          <w:p w14:paraId="02C56FAE" w14:textId="453B3880" w:rsidR="006A610A" w:rsidRPr="007A1B21" w:rsidRDefault="006A610A" w:rsidP="00E5213E">
            <w:pPr>
              <w:widowControl/>
              <w:autoSpaceDE/>
              <w:autoSpaceDN/>
              <w:adjustRightInd/>
              <w:jc w:val="both"/>
              <w:rPr>
                <w:szCs w:val="17"/>
                <w:lang w:val="fr-FR"/>
              </w:rPr>
            </w:pPr>
          </w:p>
        </w:tc>
        <w:tc>
          <w:tcPr>
            <w:tcW w:w="1745" w:type="dxa"/>
            <w:shd w:val="clear" w:color="auto" w:fill="auto"/>
          </w:tcPr>
          <w:p w14:paraId="6B5A1D81" w14:textId="29F5A218" w:rsidR="00BD3B21" w:rsidRPr="00D8376F" w:rsidRDefault="00BD3B21" w:rsidP="009F5EBD">
            <w:r w:rsidRPr="009A4FFD">
              <w:t>Conserver</w:t>
            </w:r>
          </w:p>
        </w:tc>
      </w:tr>
      <w:tr w:rsidR="006A610A" w:rsidRPr="00D8376F" w14:paraId="703F68CB" w14:textId="77777777" w:rsidTr="00474B3D">
        <w:trPr>
          <w:trHeight w:val="457"/>
        </w:trPr>
        <w:tc>
          <w:tcPr>
            <w:tcW w:w="7308" w:type="dxa"/>
            <w:shd w:val="clear" w:color="auto" w:fill="auto"/>
          </w:tcPr>
          <w:p w14:paraId="4F09B7A2" w14:textId="77777777" w:rsidR="00BD3B21" w:rsidRDefault="00BD3B21" w:rsidP="002D5163">
            <w:pPr>
              <w:widowControl/>
              <w:autoSpaceDE/>
              <w:autoSpaceDN/>
              <w:adjustRightInd/>
              <w:jc w:val="both"/>
              <w:rPr>
                <w:szCs w:val="17"/>
                <w:lang w:val="fr-FR"/>
              </w:rPr>
            </w:pPr>
            <w:r w:rsidRPr="007A1B21">
              <w:rPr>
                <w:strike/>
                <w:szCs w:val="17"/>
                <w:lang w:val="fr-FR"/>
              </w:rPr>
              <w:t>28</w:t>
            </w:r>
            <w:r w:rsidRPr="007A1B21">
              <w:rPr>
                <w:szCs w:val="17"/>
                <w:lang w:val="fr-FR"/>
              </w:rPr>
              <w:t xml:space="preserve">. </w:t>
            </w:r>
            <w:r w:rsidR="00780BAF" w:rsidRPr="007A1B21">
              <w:rPr>
                <w:szCs w:val="17"/>
                <w:u w:val="single"/>
                <w:lang w:val="fr-FR"/>
              </w:rPr>
              <w:t xml:space="preserve">25. </w:t>
            </w:r>
            <w:r w:rsidRPr="007A1B21">
              <w:rPr>
                <w:i/>
                <w:iCs/>
                <w:szCs w:val="17"/>
                <w:lang w:val="fr-FR"/>
              </w:rPr>
              <w:t xml:space="preserve">Abroge </w:t>
            </w:r>
            <w:r w:rsidRPr="007A1B21">
              <w:rPr>
                <w:szCs w:val="17"/>
                <w:lang w:val="fr-FR"/>
              </w:rPr>
              <w:t>la Résolution 7.9, la Résolution 8.11, la Résolution 9.6 et la Résolution 10.21. </w:t>
            </w:r>
          </w:p>
          <w:p w14:paraId="23B7DB83" w14:textId="2F3CEAD5" w:rsidR="006A610A" w:rsidRPr="007A1B21" w:rsidRDefault="006A610A" w:rsidP="002D5163">
            <w:pPr>
              <w:widowControl/>
              <w:autoSpaceDE/>
              <w:autoSpaceDN/>
              <w:adjustRightInd/>
              <w:jc w:val="both"/>
              <w:rPr>
                <w:szCs w:val="17"/>
                <w:lang w:val="fr-FR"/>
              </w:rPr>
            </w:pPr>
          </w:p>
        </w:tc>
        <w:tc>
          <w:tcPr>
            <w:tcW w:w="1745" w:type="dxa"/>
            <w:shd w:val="clear" w:color="auto" w:fill="auto"/>
          </w:tcPr>
          <w:p w14:paraId="5F6CE94F" w14:textId="4F584EA8" w:rsidR="00BD3B21" w:rsidRPr="00D8376F" w:rsidRDefault="00BD3B21" w:rsidP="009F5EBD">
            <w:r w:rsidRPr="009A4FFD">
              <w:t>Conserver</w:t>
            </w:r>
          </w:p>
        </w:tc>
      </w:tr>
    </w:tbl>
    <w:p w14:paraId="4025EFA9" w14:textId="77777777" w:rsidR="00593041" w:rsidRPr="00D8376F" w:rsidRDefault="00593041" w:rsidP="00593041">
      <w:pPr>
        <w:jc w:val="both"/>
      </w:pPr>
    </w:p>
    <w:p w14:paraId="0A67EE54" w14:textId="77777777" w:rsidR="00593041" w:rsidRPr="00D8376F"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sectPr w:rsidR="00593041" w:rsidRPr="00D8376F" w:rsidSect="000B0491">
          <w:headerReference w:type="even" r:id="rId15"/>
          <w:headerReference w:type="default" r:id="rId16"/>
          <w:headerReference w:type="first" r:id="rId17"/>
          <w:footerReference w:type="first" r:id="rId18"/>
          <w:pgSz w:w="11907" w:h="16840"/>
          <w:pgMar w:top="1009" w:right="1412" w:bottom="1151" w:left="1412" w:header="720" w:footer="720" w:gutter="0"/>
          <w:cols w:space="720"/>
          <w:titlePg/>
          <w:docGrid w:linePitch="360"/>
        </w:sectPr>
      </w:pPr>
    </w:p>
    <w:p w14:paraId="502ECE60" w14:textId="2274A103" w:rsidR="00593041" w:rsidRPr="00D8376F"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pPr>
      <w:r w:rsidRPr="00D8376F">
        <w:rPr>
          <w:b/>
          <w:caps/>
          <w:lang w:val="en-GB"/>
        </w:rPr>
        <w:lastRenderedPageBreak/>
        <w:t>AnnexE 2</w:t>
      </w:r>
    </w:p>
    <w:p w14:paraId="2EB02C1E" w14:textId="77777777" w:rsidR="00593041" w:rsidRPr="00D8376F" w:rsidRDefault="00593041" w:rsidP="00593041">
      <w:pPr>
        <w:pBdr>
          <w:top w:val="single" w:sz="6" w:space="0" w:color="FFFFFF"/>
          <w:left w:val="single" w:sz="6" w:space="0" w:color="FFFFFF"/>
          <w:bottom w:val="single" w:sz="6" w:space="0" w:color="FFFFFF"/>
          <w:right w:val="single" w:sz="6" w:space="0" w:color="FFFFFF"/>
        </w:pBdr>
        <w:jc w:val="right"/>
        <w:outlineLvl w:val="1"/>
        <w:rPr>
          <w:b/>
          <w:caps/>
          <w:lang w:val="en-GB"/>
        </w:rPr>
      </w:pPr>
    </w:p>
    <w:p w14:paraId="1F79E1F1" w14:textId="63CC0359" w:rsidR="00EE6091" w:rsidRPr="00EE6091" w:rsidRDefault="00593041" w:rsidP="00EE6091">
      <w:pPr>
        <w:jc w:val="center"/>
        <w:rPr>
          <w:b/>
        </w:rPr>
      </w:pPr>
      <w:r w:rsidRPr="00D8376F">
        <w:rPr>
          <w:b/>
          <w:caps/>
        </w:rPr>
        <w:t>r</w:t>
      </w:r>
      <w:r w:rsidRPr="00D8376F">
        <w:rPr>
          <w:b/>
          <w:caps/>
          <w:color w:val="000000" w:themeColor="text1"/>
        </w:rPr>
        <w:t>é</w:t>
      </w:r>
      <w:r w:rsidRPr="00D8376F">
        <w:rPr>
          <w:b/>
          <w:caps/>
        </w:rPr>
        <w:t xml:space="preserve">solution </w:t>
      </w:r>
      <w:r w:rsidR="00CB0366">
        <w:rPr>
          <w:b/>
          <w:caps/>
        </w:rPr>
        <w:t>11.10</w:t>
      </w:r>
      <w:r w:rsidRPr="00D8376F">
        <w:rPr>
          <w:b/>
        </w:rPr>
        <w:t xml:space="preserve"> (REV. COP12</w:t>
      </w:r>
      <w:r w:rsidR="00EE6091" w:rsidRPr="00EE6091">
        <w:rPr>
          <w:b/>
        </w:rPr>
        <w:t>)</w:t>
      </w:r>
    </w:p>
    <w:p w14:paraId="21DDA8DA" w14:textId="77777777" w:rsidR="00EE6091" w:rsidRPr="00D8376F" w:rsidRDefault="00EE6091" w:rsidP="00EE6091">
      <w:pPr>
        <w:jc w:val="center"/>
        <w:rPr>
          <w:b/>
        </w:rPr>
      </w:pPr>
    </w:p>
    <w:p w14:paraId="519BEE54" w14:textId="24A95256" w:rsidR="0079075D" w:rsidRDefault="00CB0366" w:rsidP="00EE6091">
      <w:pPr>
        <w:jc w:val="center"/>
      </w:pPr>
      <w:r>
        <w:rPr>
          <w:b/>
          <w:bCs/>
          <w:caps/>
        </w:rPr>
        <w:t>Synergies et partenariats</w:t>
      </w:r>
    </w:p>
    <w:p w14:paraId="442B035B" w14:textId="77777777" w:rsidR="00DB735D" w:rsidRDefault="00DB735D" w:rsidP="00DB735D">
      <w:pPr>
        <w:jc w:val="both"/>
      </w:pPr>
    </w:p>
    <w:p w14:paraId="548EFBFE"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Rappelant </w:t>
      </w:r>
      <w:r w:rsidRPr="007A1B21">
        <w:rPr>
          <w:szCs w:val="17"/>
          <w:lang w:val="fr-FR"/>
        </w:rPr>
        <w:t>la Résolution 7.9 sur la « Coopération avec d’autres organismes et processus », la Résolution 8.11 sur la « Coopération avec d’autres conventions », la Résolution 9.6 sur « La coopération avec d’autres organismes » et la Résolution 10.21 sur les « Synergies et partenariats », ainsi que la Résolution 10.25 sur le « Renforcement de l’engagement dans le Fonds pour l’Environnement Mondial »; </w:t>
      </w:r>
    </w:p>
    <w:p w14:paraId="6224FB29" w14:textId="77777777" w:rsidR="00474B3D" w:rsidRPr="007A1B21" w:rsidRDefault="00474B3D" w:rsidP="001D6C91">
      <w:pPr>
        <w:widowControl/>
        <w:autoSpaceDE/>
        <w:autoSpaceDN/>
        <w:adjustRightInd/>
        <w:jc w:val="both"/>
        <w:rPr>
          <w:szCs w:val="17"/>
          <w:lang w:val="fr-FR"/>
        </w:rPr>
      </w:pPr>
    </w:p>
    <w:p w14:paraId="0C662CC0"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l’importance de la coopération et des synergies avec d’autres organismes, y compris les Accords multilatéraux sur l'environnement (AEM) et organisations non gouvernementales, ainsi que le secteur privé;</w:t>
      </w:r>
    </w:p>
    <w:p w14:paraId="3FC447BC" w14:textId="77777777" w:rsidR="00474B3D" w:rsidRPr="007A1B21" w:rsidRDefault="00474B3D" w:rsidP="001D6C91">
      <w:pPr>
        <w:widowControl/>
        <w:autoSpaceDE/>
        <w:autoSpaceDN/>
        <w:adjustRightInd/>
        <w:jc w:val="both"/>
        <w:rPr>
          <w:szCs w:val="17"/>
          <w:lang w:val="fr-FR"/>
        </w:rPr>
      </w:pPr>
    </w:p>
    <w:p w14:paraId="46CF6AF6"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le rôle déterminant des organisations partenaires dans le développement et la mise en oeuvre de la CMS, de ses initiatives et de ses campagnes de sensibilisation, y compris la négociation de la Convention elle-même;</w:t>
      </w:r>
    </w:p>
    <w:p w14:paraId="6800CA17" w14:textId="77777777" w:rsidR="00474B3D" w:rsidRPr="007A1B21" w:rsidRDefault="00474B3D" w:rsidP="001D6C91">
      <w:pPr>
        <w:widowControl/>
        <w:autoSpaceDE/>
        <w:autoSpaceDN/>
        <w:adjustRightInd/>
        <w:jc w:val="both"/>
        <w:rPr>
          <w:szCs w:val="17"/>
          <w:lang w:val="fr-FR"/>
        </w:rPr>
      </w:pPr>
    </w:p>
    <w:p w14:paraId="1E473576"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Appréciant </w:t>
      </w:r>
      <w:r w:rsidRPr="007A1B21">
        <w:rPr>
          <w:szCs w:val="17"/>
          <w:lang w:val="fr-FR"/>
        </w:rPr>
        <w:t>la valeur de ces partenariats permettant d’atteindre une audience plus vaste et d’améliorer la prise de conscience du grand public sur la Convention et sur l’importance de sauvegarder les espèces migratrices à l’échelle mondiale;</w:t>
      </w:r>
    </w:p>
    <w:p w14:paraId="0155C98C" w14:textId="77777777" w:rsidR="00474B3D" w:rsidRPr="007A1B21" w:rsidRDefault="00474B3D" w:rsidP="001D6C91">
      <w:pPr>
        <w:widowControl/>
        <w:autoSpaceDE/>
        <w:autoSpaceDN/>
        <w:adjustRightInd/>
        <w:jc w:val="both"/>
        <w:rPr>
          <w:szCs w:val="17"/>
          <w:lang w:val="fr-FR"/>
        </w:rPr>
      </w:pPr>
    </w:p>
    <w:p w14:paraId="2CDABE65" w14:textId="37D7B4A1" w:rsidR="00474B3D" w:rsidRDefault="00474B3D" w:rsidP="001D6C91">
      <w:pPr>
        <w:widowControl/>
        <w:autoSpaceDE/>
        <w:autoSpaceDN/>
        <w:adjustRightInd/>
        <w:jc w:val="both"/>
        <w:rPr>
          <w:szCs w:val="17"/>
          <w:lang w:val="fr-FR"/>
        </w:rPr>
      </w:pPr>
      <w:r w:rsidRPr="007A1B21">
        <w:rPr>
          <w:i/>
          <w:iCs/>
          <w:szCs w:val="17"/>
          <w:lang w:val="fr-FR"/>
        </w:rPr>
        <w:t xml:space="preserve">Notant avec reconnaissance </w:t>
      </w:r>
      <w:r w:rsidRPr="007A1B21">
        <w:rPr>
          <w:szCs w:val="17"/>
          <w:lang w:val="fr-FR"/>
        </w:rPr>
        <w:t>tous les individus et toutes les organisations qui ont contribué aux succès de la campagne pour l’Année de la Tortue (2006), l’Année du Dauphin (2007/8), l’ «Année du Gorille » (2009) et de la campagne pour l’« Année de la Chauve-souris » (2011/12);</w:t>
      </w:r>
    </w:p>
    <w:p w14:paraId="69395EC6" w14:textId="77777777" w:rsidR="006A610A" w:rsidRPr="007A1B21" w:rsidRDefault="006A610A" w:rsidP="001D6C91">
      <w:pPr>
        <w:widowControl/>
        <w:autoSpaceDE/>
        <w:autoSpaceDN/>
        <w:adjustRightInd/>
        <w:jc w:val="both"/>
        <w:rPr>
          <w:szCs w:val="17"/>
          <w:lang w:val="fr-FR"/>
        </w:rPr>
      </w:pPr>
    </w:p>
    <w:p w14:paraId="5EC6E9F4"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Exprimant </w:t>
      </w:r>
      <w:r w:rsidRPr="007A1B21">
        <w:rPr>
          <w:szCs w:val="17"/>
          <w:lang w:val="fr-FR"/>
        </w:rPr>
        <w:t>sa gratitude aux nombreuses organisations partenaires qui ont aidé à promouvoir la CMS et son mandat, par exemple, en facilitant les négociations et la mise en oeuvre des accords sur les espèces au titre de la Convention; </w:t>
      </w:r>
    </w:p>
    <w:p w14:paraId="5321B6A2" w14:textId="77777777" w:rsidR="00474B3D" w:rsidRPr="007A1B21" w:rsidRDefault="00474B3D" w:rsidP="001D6C91">
      <w:pPr>
        <w:widowControl/>
        <w:autoSpaceDE/>
        <w:autoSpaceDN/>
        <w:adjustRightInd/>
        <w:jc w:val="both"/>
        <w:rPr>
          <w:szCs w:val="17"/>
          <w:lang w:val="fr-FR"/>
        </w:rPr>
      </w:pPr>
    </w:p>
    <w:p w14:paraId="100A1780"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Accueillant </w:t>
      </w:r>
      <w:r w:rsidRPr="007A1B21">
        <w:rPr>
          <w:szCs w:val="17"/>
          <w:lang w:val="fr-FR"/>
        </w:rPr>
        <w:t>le rapport sur les synergies et les partenariats (PNUE/CMS/COP11/Doc.21.1), établi par le Secrétariat PNUE/CMS et des progrès accomplis en matière de renforcement de la coopération, de la coordination et des synergies ainsi que des partenariats avec les Conventions relatives à la biodiversité et d’autres institutions compétentes; </w:t>
      </w:r>
    </w:p>
    <w:p w14:paraId="4F683639" w14:textId="77777777" w:rsidR="00474B3D" w:rsidRPr="007A1B21" w:rsidRDefault="00474B3D" w:rsidP="001D6C91">
      <w:pPr>
        <w:widowControl/>
        <w:autoSpaceDE/>
        <w:autoSpaceDN/>
        <w:adjustRightInd/>
        <w:jc w:val="both"/>
        <w:rPr>
          <w:szCs w:val="17"/>
          <w:lang w:val="fr-FR"/>
        </w:rPr>
      </w:pPr>
    </w:p>
    <w:p w14:paraId="665BC5BF"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Prenant note en outre </w:t>
      </w:r>
      <w:r w:rsidRPr="007A1B21">
        <w:rPr>
          <w:szCs w:val="17"/>
          <w:lang w:val="fr-FR"/>
        </w:rPr>
        <w:t>des résultats du projet du PNUE sur l'amélioration de l'efficacité et de la coopération entre les conventions relatives à la biodiversité et explorer les possibilités de synergies supplémentaires;</w:t>
      </w:r>
    </w:p>
    <w:p w14:paraId="3F799F7E" w14:textId="77777777" w:rsidR="00474B3D" w:rsidRPr="007A1B21" w:rsidRDefault="00474B3D" w:rsidP="001D6C91">
      <w:pPr>
        <w:widowControl/>
        <w:autoSpaceDE/>
        <w:autoSpaceDN/>
        <w:adjustRightInd/>
        <w:jc w:val="both"/>
        <w:rPr>
          <w:szCs w:val="17"/>
          <w:lang w:val="fr-FR"/>
        </w:rPr>
      </w:pPr>
    </w:p>
    <w:p w14:paraId="69BE26B2"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Accueillant </w:t>
      </w:r>
      <w:r w:rsidRPr="007A1B21">
        <w:rPr>
          <w:szCs w:val="17"/>
          <w:lang w:val="fr-FR"/>
        </w:rPr>
        <w:t>les décisions prises par la Convention sur la diversité biologique (CDB) et la Convention sur le commerce international des espèces de faune et de flore sauvages menacées d’extinction (CITES) sur la coopération, la coordination et les synergies entre les conventions relatives à la biodiversité;</w:t>
      </w:r>
    </w:p>
    <w:p w14:paraId="37E87266" w14:textId="77777777" w:rsidR="00474B3D" w:rsidRPr="007A1B21" w:rsidRDefault="00474B3D" w:rsidP="001D6C91">
      <w:pPr>
        <w:widowControl/>
        <w:autoSpaceDE/>
        <w:autoSpaceDN/>
        <w:adjustRightInd/>
        <w:jc w:val="both"/>
        <w:rPr>
          <w:szCs w:val="17"/>
          <w:lang w:val="fr-FR"/>
        </w:rPr>
      </w:pPr>
    </w:p>
    <w:p w14:paraId="3EDF7399"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Accueillant aussi </w:t>
      </w:r>
      <w:r w:rsidRPr="007A1B21">
        <w:rPr>
          <w:szCs w:val="17"/>
          <w:lang w:val="fr-FR"/>
        </w:rPr>
        <w:t>la coopération constante et importante entre les secrétariats des conventions relatives à la biodiversité, y compris les Mémorandums d’entente entre le Secrétariat de la CMS et les Secrétariats de la Commission baleinière internationale, l’UNESCO, la Convention de Ramsar, la Convention de Berne et la CITES;</w:t>
      </w:r>
    </w:p>
    <w:p w14:paraId="6B7993C9" w14:textId="77777777" w:rsidR="00474B3D" w:rsidRPr="007A1B21" w:rsidRDefault="00474B3D" w:rsidP="001D6C91">
      <w:pPr>
        <w:widowControl/>
        <w:autoSpaceDE/>
        <w:autoSpaceDN/>
        <w:adjustRightInd/>
        <w:jc w:val="both"/>
        <w:rPr>
          <w:szCs w:val="17"/>
          <w:lang w:val="fr-FR"/>
        </w:rPr>
      </w:pPr>
    </w:p>
    <w:p w14:paraId="1D6294DE"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Accueillant en outre </w:t>
      </w:r>
      <w:r w:rsidRPr="007A1B21">
        <w:rPr>
          <w:szCs w:val="17"/>
          <w:lang w:val="fr-FR"/>
        </w:rPr>
        <w:t>les Mémorandums d’entente avec le Réseau sur la Faune Sauvage Migratrice</w:t>
      </w:r>
      <w:r w:rsidRPr="002D5163">
        <w:rPr>
          <w:rStyle w:val="FootnoteReference"/>
          <w:rFonts w:cs="Arial"/>
          <w:szCs w:val="17"/>
          <w:vertAlign w:val="superscript"/>
        </w:rPr>
        <w:footnoteReference w:id="2"/>
      </w:r>
      <w:r w:rsidRPr="007A1B21">
        <w:rPr>
          <w:szCs w:val="12"/>
          <w:vertAlign w:val="superscript"/>
          <w:lang w:val="fr-FR"/>
        </w:rPr>
        <w:t xml:space="preserve"> </w:t>
      </w:r>
      <w:r w:rsidRPr="007A1B21">
        <w:rPr>
          <w:szCs w:val="17"/>
          <w:lang w:val="fr-FR"/>
        </w:rPr>
        <w:t>et le Centre de droit de l'environnement de l’UICN; </w:t>
      </w:r>
    </w:p>
    <w:p w14:paraId="322772F7" w14:textId="5EC3FC2A" w:rsidR="00474B3D" w:rsidRDefault="00474B3D" w:rsidP="001D6C91">
      <w:pPr>
        <w:widowControl/>
        <w:autoSpaceDE/>
        <w:autoSpaceDN/>
        <w:adjustRightInd/>
        <w:jc w:val="both"/>
        <w:rPr>
          <w:szCs w:val="17"/>
          <w:lang w:val="fr-FR"/>
        </w:rPr>
      </w:pPr>
    </w:p>
    <w:p w14:paraId="1FADB871" w14:textId="77777777" w:rsidR="006A610A" w:rsidRPr="007A1B21" w:rsidRDefault="006A610A" w:rsidP="001D6C91">
      <w:pPr>
        <w:widowControl/>
        <w:autoSpaceDE/>
        <w:autoSpaceDN/>
        <w:adjustRightInd/>
        <w:jc w:val="both"/>
        <w:rPr>
          <w:szCs w:val="17"/>
          <w:lang w:val="fr-FR"/>
        </w:rPr>
      </w:pPr>
    </w:p>
    <w:p w14:paraId="69F5CBC8" w14:textId="77777777" w:rsidR="00474B3D" w:rsidRPr="007A1B21" w:rsidRDefault="00474B3D" w:rsidP="001D6C91">
      <w:pPr>
        <w:widowControl/>
        <w:autoSpaceDE/>
        <w:autoSpaceDN/>
        <w:adjustRightInd/>
        <w:jc w:val="both"/>
        <w:rPr>
          <w:szCs w:val="17"/>
          <w:lang w:val="fr-FR"/>
        </w:rPr>
      </w:pPr>
      <w:r w:rsidRPr="007A1B21">
        <w:rPr>
          <w:i/>
          <w:iCs/>
          <w:szCs w:val="17"/>
          <w:lang w:val="fr-FR"/>
        </w:rPr>
        <w:lastRenderedPageBreak/>
        <w:t xml:space="preserve">Consciente </w:t>
      </w:r>
      <w:r w:rsidRPr="007A1B21">
        <w:rPr>
          <w:szCs w:val="17"/>
          <w:lang w:val="fr-FR"/>
        </w:rPr>
        <w:t xml:space="preserve">des débats en cours avec l’Organisation des Nations Unies pour l’alimentation et l’agriculture (FAO) concernant la formalisation d’un Mémorandum de coopération et </w:t>
      </w:r>
      <w:r w:rsidRPr="007A1B21">
        <w:rPr>
          <w:i/>
          <w:iCs/>
          <w:szCs w:val="17"/>
          <w:lang w:val="fr-FR"/>
        </w:rPr>
        <w:t xml:space="preserve">appréciant </w:t>
      </w:r>
      <w:r w:rsidRPr="007A1B21">
        <w:rPr>
          <w:szCs w:val="17"/>
          <w:lang w:val="fr-FR"/>
        </w:rPr>
        <w:t>les efforts importants faits par la CMS afin d’améliorer la relation avec les organisations qui ont des mandats ou buts différents, telle que la FAO, qui fournit des solutions multidisciplinaires visant à assurer simultanément la sécurité alimentaire, la conservation de la diversité biologique ainsi que la santé de la faune sauvage et de l’écosystème; </w:t>
      </w:r>
    </w:p>
    <w:p w14:paraId="2E724BC4" w14:textId="77777777" w:rsidR="00474B3D" w:rsidRPr="007A1B21" w:rsidRDefault="00474B3D" w:rsidP="001D6C91">
      <w:pPr>
        <w:widowControl/>
        <w:autoSpaceDE/>
        <w:autoSpaceDN/>
        <w:adjustRightInd/>
        <w:jc w:val="both"/>
        <w:rPr>
          <w:szCs w:val="17"/>
          <w:lang w:val="fr-FR"/>
        </w:rPr>
      </w:pPr>
    </w:p>
    <w:p w14:paraId="1597AE45"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Reconnaissant </w:t>
      </w:r>
      <w:r w:rsidRPr="007A1B21">
        <w:rPr>
          <w:szCs w:val="17"/>
          <w:lang w:val="fr-FR"/>
        </w:rPr>
        <w:t>l’importance de la coopération continue entre les secrétariats des conventions relatives à la biodiversité à travers le Groupe de liaison sur la biodiversité pour mettre en oeuvre le Plan stratégique 2011-2020 pour la diversité biologique afin d’atteindre les objectifs d’Aichi pour la biodiversité (Décision X/2 de la CDB); </w:t>
      </w:r>
    </w:p>
    <w:p w14:paraId="71D17677" w14:textId="77777777" w:rsidR="00474B3D" w:rsidRPr="007A1B21" w:rsidRDefault="00474B3D" w:rsidP="001D6C91">
      <w:pPr>
        <w:widowControl/>
        <w:autoSpaceDE/>
        <w:autoSpaceDN/>
        <w:adjustRightInd/>
        <w:jc w:val="both"/>
        <w:rPr>
          <w:szCs w:val="17"/>
          <w:lang w:val="fr-FR"/>
        </w:rPr>
      </w:pPr>
    </w:p>
    <w:p w14:paraId="77055525"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Soulignant </w:t>
      </w:r>
      <w:r w:rsidRPr="007A1B21">
        <w:rPr>
          <w:szCs w:val="17"/>
          <w:lang w:val="fr-FR"/>
        </w:rPr>
        <w:t>le Plan stratégique pour la conservation des espèces migratrices 2015-2023 comme étant un cadre stratégique de synergies et de partenariats avec d'autres AEM, les organisations et les parties prenantes, qui fournira une contribution importante au Plan stratégique 2011-2020 pour la biodiversité;</w:t>
      </w:r>
    </w:p>
    <w:p w14:paraId="0BBAB263" w14:textId="77777777" w:rsidR="00474B3D" w:rsidRPr="007A1B21" w:rsidRDefault="00474B3D" w:rsidP="001D6C91">
      <w:pPr>
        <w:widowControl/>
        <w:autoSpaceDE/>
        <w:autoSpaceDN/>
        <w:adjustRightInd/>
        <w:jc w:val="both"/>
        <w:rPr>
          <w:szCs w:val="17"/>
          <w:lang w:val="fr-FR"/>
        </w:rPr>
      </w:pPr>
    </w:p>
    <w:p w14:paraId="22A0629B"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Reconnaissant en outre </w:t>
      </w:r>
      <w:r w:rsidRPr="007A1B21">
        <w:rPr>
          <w:szCs w:val="17"/>
          <w:lang w:val="fr-FR"/>
        </w:rPr>
        <w:t xml:space="preserve">le document final de la Conférence des Nations Unies sur le développement durable, </w:t>
      </w:r>
      <w:r w:rsidRPr="007A1B21">
        <w:rPr>
          <w:i/>
          <w:iCs/>
          <w:szCs w:val="17"/>
          <w:lang w:val="fr-FR"/>
        </w:rPr>
        <w:t>L'avenir que nous voulons</w:t>
      </w:r>
      <w:r w:rsidRPr="007A1B21">
        <w:rPr>
          <w:szCs w:val="17"/>
          <w:lang w:val="fr-FR"/>
        </w:rPr>
        <w:t xml:space="preserve">, qui constate les contributions importantes que les AEM ont apportées au développement durable et </w:t>
      </w:r>
      <w:r w:rsidRPr="007A1B21">
        <w:rPr>
          <w:i/>
          <w:iCs/>
          <w:szCs w:val="17"/>
          <w:lang w:val="fr-FR"/>
        </w:rPr>
        <w:t xml:space="preserve">encourageant </w:t>
      </w:r>
      <w:r w:rsidRPr="007A1B21">
        <w:rPr>
          <w:szCs w:val="17"/>
          <w:lang w:val="fr-FR"/>
        </w:rPr>
        <w:t>les parties aux AEM à envisager de nouvelles mesures pour promouvoir la cohérence des politiques à tous les niveaux requis, agir plus efficacement, réduire les chevauchements et doublons inutiles et renforcer la coordination et la coopération entre les AEM; et </w:t>
      </w:r>
    </w:p>
    <w:p w14:paraId="145A3CE2" w14:textId="77777777" w:rsidR="00474B3D" w:rsidRPr="007A1B21" w:rsidRDefault="00474B3D" w:rsidP="001D6C91">
      <w:pPr>
        <w:widowControl/>
        <w:autoSpaceDE/>
        <w:autoSpaceDN/>
        <w:adjustRightInd/>
        <w:jc w:val="both"/>
        <w:rPr>
          <w:szCs w:val="17"/>
          <w:lang w:val="fr-FR"/>
        </w:rPr>
      </w:pPr>
    </w:p>
    <w:p w14:paraId="7DF39904" w14:textId="77777777" w:rsidR="00474B3D" w:rsidRPr="007A1B21" w:rsidRDefault="00474B3D" w:rsidP="001D6C91">
      <w:pPr>
        <w:widowControl/>
        <w:autoSpaceDE/>
        <w:autoSpaceDN/>
        <w:adjustRightInd/>
        <w:jc w:val="both"/>
        <w:rPr>
          <w:szCs w:val="17"/>
          <w:lang w:val="fr-FR"/>
        </w:rPr>
      </w:pPr>
      <w:r w:rsidRPr="007A1B21">
        <w:rPr>
          <w:i/>
          <w:iCs/>
          <w:szCs w:val="17"/>
          <w:lang w:val="fr-FR"/>
        </w:rPr>
        <w:t xml:space="preserve">Convaincue </w:t>
      </w:r>
      <w:r w:rsidRPr="007A1B21">
        <w:rPr>
          <w:szCs w:val="17"/>
          <w:lang w:val="fr-FR"/>
        </w:rPr>
        <w:t>des énormes possibilités d'accroître la coopération, la coordination et les synergies entre les conventions relatives à la biodiversité pour améliorer la mise en oeuvre à l'échelle nationale de chacune de ces conventions </w:t>
      </w:r>
    </w:p>
    <w:p w14:paraId="64DE776D" w14:textId="4981B693" w:rsidR="00474B3D" w:rsidRDefault="00474B3D" w:rsidP="001D6C91">
      <w:pPr>
        <w:widowControl/>
        <w:autoSpaceDE/>
        <w:autoSpaceDN/>
        <w:adjustRightInd/>
        <w:jc w:val="both"/>
        <w:rPr>
          <w:szCs w:val="17"/>
          <w:lang w:val="fr-FR"/>
        </w:rPr>
      </w:pPr>
    </w:p>
    <w:p w14:paraId="1045F9ED" w14:textId="77777777" w:rsidR="006A610A" w:rsidRPr="007A1B21" w:rsidRDefault="006A610A" w:rsidP="001D6C91">
      <w:pPr>
        <w:widowControl/>
        <w:autoSpaceDE/>
        <w:autoSpaceDN/>
        <w:adjustRightInd/>
        <w:jc w:val="both"/>
        <w:rPr>
          <w:szCs w:val="17"/>
          <w:lang w:val="fr-FR"/>
        </w:rPr>
      </w:pPr>
    </w:p>
    <w:p w14:paraId="579BC310" w14:textId="77777777" w:rsidR="006A610A" w:rsidRDefault="00474B3D" w:rsidP="00474B3D">
      <w:pPr>
        <w:jc w:val="center"/>
        <w:rPr>
          <w:i/>
          <w:lang w:val="fr-FR"/>
        </w:rPr>
      </w:pPr>
      <w:r w:rsidRPr="002D5163">
        <w:rPr>
          <w:i/>
          <w:lang w:val="fr-FR"/>
        </w:rPr>
        <w:t xml:space="preserve">La Conférence des Parties à la </w:t>
      </w:r>
    </w:p>
    <w:p w14:paraId="05421DF3" w14:textId="12F8387D" w:rsidR="00474B3D" w:rsidRDefault="00474B3D" w:rsidP="00474B3D">
      <w:pPr>
        <w:jc w:val="center"/>
        <w:rPr>
          <w:i/>
          <w:lang w:val="fr-FR"/>
        </w:rPr>
      </w:pPr>
      <w:r w:rsidRPr="002D5163">
        <w:rPr>
          <w:i/>
          <w:lang w:val="fr-FR"/>
        </w:rPr>
        <w:t>Convention sur la conservation des espèces migratrices appartenant à la faune sauvage</w:t>
      </w:r>
    </w:p>
    <w:p w14:paraId="45987BD2" w14:textId="77777777" w:rsidR="00474B3D" w:rsidRPr="007A1B21" w:rsidRDefault="00474B3D" w:rsidP="001D6C91">
      <w:pPr>
        <w:jc w:val="both"/>
        <w:rPr>
          <w:lang w:val="fr-FR"/>
        </w:rPr>
      </w:pPr>
    </w:p>
    <w:p w14:paraId="5483B18B" w14:textId="01956B1B" w:rsidR="00474B3D" w:rsidRPr="007A1B21" w:rsidRDefault="00474B3D" w:rsidP="00777F15">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Souligne </w:t>
      </w:r>
      <w:r w:rsidRPr="007A1B21">
        <w:rPr>
          <w:szCs w:val="17"/>
          <w:lang w:val="fr-FR"/>
        </w:rPr>
        <w:t>l’importance d’apporter un soutien aux objectifs des accords multilatéraux sur l’environnement relatifs à la biodiversité pour améliorer la collaboration, la communication et la coordination à l’échelle nationale avec les organisations et processus pertinents; </w:t>
      </w:r>
    </w:p>
    <w:p w14:paraId="4AF5FF13" w14:textId="77777777" w:rsidR="00777F15" w:rsidRPr="007A1B21" w:rsidRDefault="00777F15" w:rsidP="00777F15">
      <w:pPr>
        <w:pStyle w:val="ListParagraph"/>
        <w:widowControl/>
        <w:autoSpaceDE/>
        <w:autoSpaceDN/>
        <w:adjustRightInd/>
        <w:ind w:left="360"/>
        <w:jc w:val="both"/>
        <w:rPr>
          <w:szCs w:val="17"/>
          <w:lang w:val="fr-FR"/>
        </w:rPr>
      </w:pPr>
    </w:p>
    <w:p w14:paraId="5B3EF929" w14:textId="5A4765DA"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w:t>
      </w:r>
      <w:r w:rsidRPr="007A1B21">
        <w:rPr>
          <w:szCs w:val="17"/>
          <w:lang w:val="fr-FR"/>
        </w:rPr>
        <w:t>le Secrétaire exécutif d'informer les accords liés à la biodiversité, y compris par le biais du Groupe de liaison de la biodiversité liée à des accords multilatéraux sur l'environnement et d'autres partenaires pertinents du plan stratégique pour les espèces migratrices 2015-2023 et, dans ce cadre, de poursuivre des activités liées aux synergies et partenariats; </w:t>
      </w:r>
    </w:p>
    <w:p w14:paraId="15A91944" w14:textId="77777777" w:rsidR="00777F15" w:rsidRPr="007A1B21" w:rsidRDefault="00777F15" w:rsidP="00777F15">
      <w:pPr>
        <w:widowControl/>
        <w:autoSpaceDE/>
        <w:autoSpaceDN/>
        <w:adjustRightInd/>
        <w:jc w:val="both"/>
        <w:rPr>
          <w:szCs w:val="17"/>
          <w:lang w:val="fr-FR"/>
        </w:rPr>
      </w:pPr>
    </w:p>
    <w:p w14:paraId="19E987AB" w14:textId="15470FD2"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w:t>
      </w:r>
      <w:r w:rsidRPr="007A1B21">
        <w:rPr>
          <w:szCs w:val="17"/>
          <w:lang w:val="fr-FR"/>
        </w:rPr>
        <w:t>le Secrétariat de continuer à oeuvrer pour une coopération efficace et pratique avec les acteurs compétents, y compris les autres instruments et organisations internationales s’intéressant à la biodiversité; </w:t>
      </w:r>
    </w:p>
    <w:p w14:paraId="1599E357" w14:textId="77777777" w:rsidR="00777F15" w:rsidRPr="007A1B21" w:rsidRDefault="00777F15" w:rsidP="00777F15">
      <w:pPr>
        <w:widowControl/>
        <w:autoSpaceDE/>
        <w:autoSpaceDN/>
        <w:adjustRightInd/>
        <w:jc w:val="both"/>
        <w:rPr>
          <w:szCs w:val="17"/>
          <w:lang w:val="fr-FR"/>
        </w:rPr>
      </w:pPr>
    </w:p>
    <w:p w14:paraId="2F066292" w14:textId="5D0D6754"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Demande en outre </w:t>
      </w:r>
      <w:r w:rsidRPr="007A1B21">
        <w:rPr>
          <w:szCs w:val="17"/>
          <w:lang w:val="fr-FR"/>
        </w:rPr>
        <w:t xml:space="preserve">au Secrétariat d’identifier d’éventuels partenaires stratégiques et de s’engager avec ceux-ci pour la mise en place de campagnes et d’autres activités de sensibilisation et </w:t>
      </w:r>
      <w:r w:rsidRPr="007A1B21">
        <w:rPr>
          <w:i/>
          <w:iCs/>
          <w:szCs w:val="17"/>
          <w:lang w:val="fr-FR"/>
        </w:rPr>
        <w:t xml:space="preserve">encourage </w:t>
      </w:r>
      <w:r w:rsidRPr="007A1B21">
        <w:rPr>
          <w:szCs w:val="17"/>
          <w:lang w:val="fr-FR"/>
        </w:rPr>
        <w:t>tous les acteurs à contribuer à ces initiatives; </w:t>
      </w:r>
    </w:p>
    <w:p w14:paraId="5107A2BE" w14:textId="77777777" w:rsidR="00777F15" w:rsidRPr="007A1B21" w:rsidRDefault="00777F15" w:rsidP="00777F15">
      <w:pPr>
        <w:widowControl/>
        <w:autoSpaceDE/>
        <w:autoSpaceDN/>
        <w:adjustRightInd/>
        <w:jc w:val="both"/>
        <w:rPr>
          <w:szCs w:val="17"/>
          <w:lang w:val="fr-FR"/>
        </w:rPr>
      </w:pPr>
    </w:p>
    <w:p w14:paraId="23003E67" w14:textId="5D1547CC"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aussi </w:t>
      </w:r>
      <w:r w:rsidRPr="007A1B21">
        <w:rPr>
          <w:szCs w:val="17"/>
          <w:lang w:val="fr-FR"/>
        </w:rPr>
        <w:t>le Secrétariat de faciliter une collaboration informelle avec des partenaires tels que la FAO qui peuvent aider à étendre le champ d’approches coopératives à un niveau multidisciplinaire et transdisciplinaire; </w:t>
      </w:r>
    </w:p>
    <w:p w14:paraId="7F578E81" w14:textId="77777777" w:rsidR="00777F15" w:rsidRPr="007A1B21" w:rsidRDefault="00777F15" w:rsidP="00777F15">
      <w:pPr>
        <w:widowControl/>
        <w:autoSpaceDE/>
        <w:autoSpaceDN/>
        <w:adjustRightInd/>
        <w:jc w:val="both"/>
        <w:rPr>
          <w:szCs w:val="17"/>
          <w:lang w:val="fr-FR"/>
        </w:rPr>
      </w:pPr>
    </w:p>
    <w:p w14:paraId="5B66B435" w14:textId="5F88C190"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en outre </w:t>
      </w:r>
      <w:r w:rsidRPr="007A1B21">
        <w:rPr>
          <w:szCs w:val="17"/>
          <w:lang w:val="fr-FR"/>
        </w:rPr>
        <w:t>le Secrétariat de continuer de renforcer les partenariats avec le secteur privé conformément au Code de conduite de la CMS; </w:t>
      </w:r>
    </w:p>
    <w:p w14:paraId="137BA541" w14:textId="77777777" w:rsidR="00777F15" w:rsidRPr="007A1B21" w:rsidRDefault="00777F15" w:rsidP="00777F15">
      <w:pPr>
        <w:widowControl/>
        <w:autoSpaceDE/>
        <w:autoSpaceDN/>
        <w:adjustRightInd/>
        <w:jc w:val="both"/>
        <w:rPr>
          <w:szCs w:val="17"/>
          <w:lang w:val="fr-FR"/>
        </w:rPr>
      </w:pPr>
    </w:p>
    <w:p w14:paraId="0E1C3757" w14:textId="0D60EC21"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Demande en outre </w:t>
      </w:r>
      <w:r w:rsidRPr="007A1B21">
        <w:rPr>
          <w:szCs w:val="17"/>
          <w:lang w:val="fr-FR"/>
        </w:rPr>
        <w:t xml:space="preserve">au Secrétariat, à ses Accords associés dans le cadre des mandats assignés par les Parties/États signataires, et au Conseil scientifique de renforcer leur </w:t>
      </w:r>
      <w:r w:rsidRPr="007A1B21">
        <w:rPr>
          <w:szCs w:val="17"/>
          <w:lang w:val="fr-FR"/>
        </w:rPr>
        <w:lastRenderedPageBreak/>
        <w:t>engagement auprès des comités d’experts et des processus lancés par des partenaires, le cas échéant;  </w:t>
      </w:r>
    </w:p>
    <w:p w14:paraId="0CF01849" w14:textId="77777777" w:rsidR="00777F15" w:rsidRPr="007A1B21" w:rsidRDefault="00777F15" w:rsidP="00777F15">
      <w:pPr>
        <w:widowControl/>
        <w:autoSpaceDE/>
        <w:autoSpaceDN/>
        <w:adjustRightInd/>
        <w:jc w:val="both"/>
        <w:rPr>
          <w:szCs w:val="17"/>
          <w:lang w:val="fr-FR"/>
        </w:rPr>
      </w:pPr>
    </w:p>
    <w:p w14:paraId="6B83AF2A" w14:textId="1F97DA3A" w:rsidR="00474B3D" w:rsidRPr="006A610A" w:rsidRDefault="006A610A" w:rsidP="001D6C91">
      <w:pPr>
        <w:pStyle w:val="ListParagraph"/>
        <w:widowControl/>
        <w:numPr>
          <w:ilvl w:val="0"/>
          <w:numId w:val="42"/>
        </w:numPr>
        <w:autoSpaceDE/>
        <w:autoSpaceDN/>
        <w:adjustRightInd/>
        <w:ind w:left="360"/>
        <w:jc w:val="both"/>
        <w:rPr>
          <w:szCs w:val="17"/>
          <w:lang w:val="fr-FR"/>
        </w:rPr>
      </w:pPr>
      <w:r>
        <w:rPr>
          <w:i/>
          <w:iCs/>
          <w:szCs w:val="17"/>
          <w:lang w:val="fr-FR"/>
        </w:rPr>
        <w:t>Accueille</w:t>
      </w:r>
      <w:r w:rsidR="00474B3D" w:rsidRPr="007A1B21">
        <w:rPr>
          <w:i/>
          <w:iCs/>
          <w:szCs w:val="17"/>
          <w:lang w:val="fr-FR"/>
        </w:rPr>
        <w:t xml:space="preserve"> </w:t>
      </w:r>
      <w:r w:rsidR="00474B3D" w:rsidRPr="007A1B21">
        <w:rPr>
          <w:szCs w:val="17"/>
          <w:lang w:val="fr-FR"/>
        </w:rPr>
        <w:t xml:space="preserve">le programme de travail conjoint entre la CMS et CITES et </w:t>
      </w:r>
      <w:r w:rsidR="00474B3D" w:rsidRPr="007A1B21">
        <w:rPr>
          <w:i/>
          <w:iCs/>
          <w:szCs w:val="17"/>
          <w:lang w:val="fr-FR"/>
        </w:rPr>
        <w:t xml:space="preserve">prie en outre </w:t>
      </w:r>
      <w:r w:rsidR="00474B3D" w:rsidRPr="007A1B21">
        <w:rPr>
          <w:szCs w:val="17"/>
          <w:lang w:val="fr-FR"/>
        </w:rPr>
        <w:t xml:space="preserve">le Secrétariat de préparer des propositions, pour renforcer la coopération, la coordination et les synergies avec d’autres conventions relatives à la biodiversité, moyennant des plans </w:t>
      </w:r>
      <w:r w:rsidR="00474B3D" w:rsidRPr="006A610A">
        <w:rPr>
          <w:szCs w:val="17"/>
          <w:lang w:val="fr-FR"/>
        </w:rPr>
        <w:t xml:space="preserve">de travail conjoints assortis de buts précis et de calendriers suivant de près le Plan stratégique de la CMS, pour examen </w:t>
      </w:r>
      <w:r w:rsidRPr="006A610A">
        <w:rPr>
          <w:szCs w:val="17"/>
          <w:lang w:val="fr-FR"/>
        </w:rPr>
        <w:t xml:space="preserve">aux futures réunions de la </w:t>
      </w:r>
      <w:r w:rsidR="00474B3D" w:rsidRPr="006A610A">
        <w:rPr>
          <w:szCs w:val="17"/>
          <w:lang w:val="fr-FR"/>
        </w:rPr>
        <w:t>Conférence des Parties; </w:t>
      </w:r>
    </w:p>
    <w:p w14:paraId="65680573" w14:textId="77777777" w:rsidR="00777F15" w:rsidRPr="007A1B21" w:rsidRDefault="00777F15" w:rsidP="00777F15">
      <w:pPr>
        <w:widowControl/>
        <w:autoSpaceDE/>
        <w:autoSpaceDN/>
        <w:adjustRightInd/>
        <w:jc w:val="both"/>
        <w:rPr>
          <w:szCs w:val="17"/>
          <w:lang w:val="fr-FR"/>
        </w:rPr>
      </w:pPr>
    </w:p>
    <w:p w14:paraId="35E3BEB1" w14:textId="1EDC42EB"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en outre </w:t>
      </w:r>
      <w:r w:rsidRPr="007A1B21">
        <w:rPr>
          <w:szCs w:val="17"/>
          <w:lang w:val="fr-FR"/>
        </w:rPr>
        <w:t>le Secrétariat de prendre des mesures pour renforcer la mise en oeuvre de la CMS moyennant des processus sur la révision des Stratégies et plans d’action nationaux relatifs à la biodiversité (SPANB), y compris en coopérant avec les bureaux régionaux du PNUE; </w:t>
      </w:r>
    </w:p>
    <w:p w14:paraId="30EB878A" w14:textId="77777777" w:rsidR="00777F15" w:rsidRPr="007A1B21" w:rsidRDefault="00777F15" w:rsidP="00777F15">
      <w:pPr>
        <w:widowControl/>
        <w:autoSpaceDE/>
        <w:autoSpaceDN/>
        <w:adjustRightInd/>
        <w:jc w:val="both"/>
        <w:rPr>
          <w:szCs w:val="17"/>
          <w:lang w:val="fr-FR"/>
        </w:rPr>
      </w:pPr>
    </w:p>
    <w:p w14:paraId="7D175D72" w14:textId="4A384827"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Demande en outre </w:t>
      </w:r>
      <w:r w:rsidRPr="007A1B21">
        <w:rPr>
          <w:szCs w:val="17"/>
          <w:lang w:val="fr-FR"/>
        </w:rPr>
        <w:t xml:space="preserve">au Secrétariat et </w:t>
      </w:r>
      <w:r w:rsidRPr="007A1B21">
        <w:rPr>
          <w:i/>
          <w:iCs/>
          <w:szCs w:val="17"/>
          <w:lang w:val="fr-FR"/>
        </w:rPr>
        <w:t xml:space="preserve">invite </w:t>
      </w:r>
      <w:r w:rsidRPr="007A1B21">
        <w:rPr>
          <w:szCs w:val="17"/>
          <w:lang w:val="fr-FR"/>
        </w:rPr>
        <w:t xml:space="preserve">les Secrétariats d’autres conventions de continuer d’assurer la liaison avec les </w:t>
      </w:r>
      <w:r w:rsidR="006A610A">
        <w:rPr>
          <w:szCs w:val="17"/>
          <w:lang w:val="fr-FR"/>
        </w:rPr>
        <w:t xml:space="preserve">bureaux régionaux du </w:t>
      </w:r>
      <w:r w:rsidRPr="007A1B21">
        <w:rPr>
          <w:szCs w:val="17"/>
          <w:lang w:val="fr-FR"/>
        </w:rPr>
        <w:t>PNUE, et de faire tout leur possible pour contribuer à la mise en oeuvre des AEM relatifs à la biodiversité; </w:t>
      </w:r>
    </w:p>
    <w:p w14:paraId="790591CB" w14:textId="77777777" w:rsidR="00777F15" w:rsidRPr="007A1B21" w:rsidRDefault="00777F15" w:rsidP="00777F15">
      <w:pPr>
        <w:widowControl/>
        <w:autoSpaceDE/>
        <w:autoSpaceDN/>
        <w:adjustRightInd/>
        <w:jc w:val="both"/>
        <w:rPr>
          <w:szCs w:val="17"/>
          <w:lang w:val="fr-FR"/>
        </w:rPr>
      </w:pPr>
    </w:p>
    <w:p w14:paraId="0468D3C1" w14:textId="52471020" w:rsidR="00474B3D" w:rsidRPr="006A610A" w:rsidRDefault="00474B3D" w:rsidP="001D6C91">
      <w:pPr>
        <w:pStyle w:val="ListParagraph"/>
        <w:widowControl/>
        <w:numPr>
          <w:ilvl w:val="0"/>
          <w:numId w:val="42"/>
        </w:numPr>
        <w:autoSpaceDE/>
        <w:autoSpaceDN/>
        <w:adjustRightInd/>
        <w:ind w:left="360"/>
        <w:jc w:val="both"/>
        <w:rPr>
          <w:szCs w:val="17"/>
          <w:u w:val="single"/>
          <w:lang w:val="fr-FR"/>
        </w:rPr>
      </w:pPr>
      <w:r w:rsidRPr="007A1B21">
        <w:rPr>
          <w:i/>
          <w:iCs/>
          <w:szCs w:val="17"/>
          <w:lang w:val="fr-FR"/>
        </w:rPr>
        <w:t xml:space="preserve">Prie </w:t>
      </w:r>
      <w:r w:rsidRPr="007A1B21">
        <w:rPr>
          <w:szCs w:val="17"/>
          <w:lang w:val="fr-FR"/>
        </w:rPr>
        <w:t xml:space="preserve">le Secrétariat de la CMS et </w:t>
      </w:r>
      <w:r w:rsidRPr="007A1B21">
        <w:rPr>
          <w:i/>
          <w:iCs/>
          <w:szCs w:val="17"/>
          <w:lang w:val="fr-FR"/>
        </w:rPr>
        <w:t xml:space="preserve">invite </w:t>
      </w:r>
      <w:r w:rsidRPr="007A1B21">
        <w:rPr>
          <w:szCs w:val="17"/>
          <w:lang w:val="fr-FR"/>
        </w:rPr>
        <w:t xml:space="preserve">le Secrétariat de la Convention sur la diversité biologique et les secrétariats d'autres accords multilatéraux compétents à se pencher et conseiller sur les voies et moyens d'aborder de manière plus cohérente le niveau des espèces de la conservation de la biodiversité des espèces animales dans les processus de la CDB, y compris par rapport à la mise en oeuvre des conventions relatives à la biodiversité du plan stratégique pour la biodiversité 2011-2020 et ses objectifs d'Aichi; et </w:t>
      </w:r>
      <w:r w:rsidRPr="007A1B21">
        <w:rPr>
          <w:i/>
          <w:iCs/>
          <w:szCs w:val="17"/>
          <w:lang w:val="fr-FR"/>
        </w:rPr>
        <w:t xml:space="preserve">prie en outre </w:t>
      </w:r>
      <w:r w:rsidRPr="007A1B21">
        <w:rPr>
          <w:szCs w:val="17"/>
          <w:lang w:val="fr-FR"/>
        </w:rPr>
        <w:t xml:space="preserve">le Secrétariat de faire rapport sur les progrès réalisés au Conseil Scientifique </w:t>
      </w:r>
      <w:r w:rsidRPr="006A610A">
        <w:rPr>
          <w:szCs w:val="17"/>
          <w:u w:val="single"/>
          <w:lang w:val="fr-FR"/>
        </w:rPr>
        <w:t xml:space="preserve">et à </w:t>
      </w:r>
      <w:r w:rsidR="006A610A" w:rsidRPr="006A610A">
        <w:rPr>
          <w:szCs w:val="17"/>
          <w:u w:val="single"/>
          <w:lang w:val="fr-FR"/>
        </w:rPr>
        <w:t xml:space="preserve">chaque réunion de la </w:t>
      </w:r>
      <w:r w:rsidRPr="006A610A">
        <w:rPr>
          <w:u w:val="single"/>
          <w:lang w:val="fr-FR"/>
        </w:rPr>
        <w:t>CO</w:t>
      </w:r>
      <w:r w:rsidR="006A610A" w:rsidRPr="006A610A">
        <w:rPr>
          <w:u w:val="single"/>
          <w:lang w:val="fr-FR"/>
        </w:rPr>
        <w:t>P</w:t>
      </w:r>
      <w:r w:rsidRPr="006A610A">
        <w:rPr>
          <w:szCs w:val="17"/>
          <w:u w:val="single"/>
          <w:lang w:val="fr-FR"/>
        </w:rPr>
        <w:t>; </w:t>
      </w:r>
    </w:p>
    <w:p w14:paraId="7D84141D" w14:textId="77777777" w:rsidR="00777F15" w:rsidRPr="006A610A" w:rsidRDefault="00777F15" w:rsidP="00777F15">
      <w:pPr>
        <w:widowControl/>
        <w:autoSpaceDE/>
        <w:autoSpaceDN/>
        <w:adjustRightInd/>
        <w:jc w:val="both"/>
        <w:rPr>
          <w:szCs w:val="17"/>
          <w:lang w:val="fr-FR"/>
        </w:rPr>
      </w:pPr>
    </w:p>
    <w:p w14:paraId="449057F9" w14:textId="79F5CAE8"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en outre </w:t>
      </w:r>
      <w:r w:rsidRPr="007A1B21">
        <w:rPr>
          <w:szCs w:val="17"/>
          <w:lang w:val="fr-FR"/>
        </w:rPr>
        <w:t>le Secrétariat d’intensifier la coopération par le biais du Groupe de liaison sur la biodiversité et le Partenariat sur les indicateurs de la biodiversité afin de disposer d’une meilleure série d’indicateurs de la biodiversité à l’échelle mondiale; </w:t>
      </w:r>
    </w:p>
    <w:p w14:paraId="284B9C73" w14:textId="77777777" w:rsidR="00777F15" w:rsidRPr="007A1B21" w:rsidRDefault="00777F15" w:rsidP="00777F15">
      <w:pPr>
        <w:widowControl/>
        <w:autoSpaceDE/>
        <w:autoSpaceDN/>
        <w:adjustRightInd/>
        <w:jc w:val="both"/>
        <w:rPr>
          <w:szCs w:val="17"/>
          <w:lang w:val="fr-FR"/>
        </w:rPr>
      </w:pPr>
    </w:p>
    <w:p w14:paraId="708BC285" w14:textId="5C394324"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en outre </w:t>
      </w:r>
      <w:r w:rsidRPr="007A1B21">
        <w:rPr>
          <w:szCs w:val="17"/>
          <w:lang w:val="fr-FR"/>
        </w:rPr>
        <w:t>le Secrétariat de renforcer la coopération, la coordination et les synergies avec la Convention de Ramsar afin de poursuivre les actions les plus efficaces pour la conservation des oiseaux d'eau migrateurs et de leurs habitats en zone humide; </w:t>
      </w:r>
    </w:p>
    <w:p w14:paraId="5DEB97DE" w14:textId="77777777" w:rsidR="00777F15" w:rsidRPr="007A1B21" w:rsidRDefault="00777F15" w:rsidP="00777F15">
      <w:pPr>
        <w:widowControl/>
        <w:autoSpaceDE/>
        <w:autoSpaceDN/>
        <w:adjustRightInd/>
        <w:jc w:val="both"/>
        <w:rPr>
          <w:szCs w:val="17"/>
          <w:lang w:val="fr-FR"/>
        </w:rPr>
      </w:pPr>
    </w:p>
    <w:p w14:paraId="3CB26B11" w14:textId="1EE9FE87"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Accueille </w:t>
      </w:r>
      <w:r w:rsidRPr="007A1B21">
        <w:rPr>
          <w:szCs w:val="17"/>
          <w:lang w:val="fr-FR"/>
        </w:rPr>
        <w:t xml:space="preserve">la Déclaration de Gangwon adoptée à l'occasion de la douzième réunion de la Conférence des Parties à la Convention sur la diversité biologique qui accueille l'importance accordée à la biodiversité dans le document final du Groupe de travail sur les objectifs de développement durable et appelle à la poursuite de l’inclusion et l'intégration de la biodiversité dans le développement de l’agenda post-2015 et </w:t>
      </w:r>
      <w:r w:rsidRPr="007A1B21">
        <w:rPr>
          <w:i/>
          <w:iCs/>
          <w:szCs w:val="17"/>
          <w:lang w:val="fr-FR"/>
        </w:rPr>
        <w:t xml:space="preserve">prie </w:t>
      </w:r>
      <w:r w:rsidRPr="007A1B21">
        <w:rPr>
          <w:szCs w:val="17"/>
          <w:lang w:val="fr-FR"/>
        </w:rPr>
        <w:t>le Secrétariat de continuer à s’engager dans le processus d’établir des objectifs de développement durable en coopération avec le Groupe de liaison sur la biodiversité; </w:t>
      </w:r>
    </w:p>
    <w:p w14:paraId="5E1C6975" w14:textId="77777777" w:rsidR="00777F15" w:rsidRPr="007A1B21" w:rsidRDefault="00777F15" w:rsidP="00777F15">
      <w:pPr>
        <w:widowControl/>
        <w:autoSpaceDE/>
        <w:autoSpaceDN/>
        <w:adjustRightInd/>
        <w:jc w:val="both"/>
        <w:rPr>
          <w:szCs w:val="17"/>
          <w:lang w:val="fr-FR"/>
        </w:rPr>
      </w:pPr>
    </w:p>
    <w:p w14:paraId="6EAABE73" w14:textId="418478BD"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Invite </w:t>
      </w:r>
      <w:r w:rsidRPr="007A1B21">
        <w:rPr>
          <w:szCs w:val="17"/>
          <w:lang w:val="fr-FR"/>
        </w:rPr>
        <w:t>les membres du Groupe de liaison sur la biodiversité à renforcer la coopération et la coordination afin d’accroitre les synergies parmi leurs explorations et développements de leurs systèmes de rapports en ligne respectifs étant un moyen d’augmenter les synergies sur les rapports nationaux au titre des conventions relatives à la biodiversité;</w:t>
      </w:r>
    </w:p>
    <w:p w14:paraId="18651566" w14:textId="77777777" w:rsidR="00777F15" w:rsidRPr="007A1B21" w:rsidRDefault="00777F15" w:rsidP="00777F15">
      <w:pPr>
        <w:widowControl/>
        <w:autoSpaceDE/>
        <w:autoSpaceDN/>
        <w:adjustRightInd/>
        <w:jc w:val="both"/>
        <w:rPr>
          <w:szCs w:val="17"/>
          <w:lang w:val="fr-FR"/>
        </w:rPr>
      </w:pPr>
    </w:p>
    <w:p w14:paraId="27593EFC" w14:textId="7CCD04BC"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Invite en outre </w:t>
      </w:r>
      <w:r w:rsidRPr="007A1B21">
        <w:rPr>
          <w:szCs w:val="17"/>
          <w:lang w:val="fr-FR"/>
        </w:rPr>
        <w:t>les membres du Groupe de liaison sur la biodiversité à étudier des moyens d’accroître la coopération s’agissant de leurs stratégies de sensibilisation et de communication; </w:t>
      </w:r>
    </w:p>
    <w:p w14:paraId="1892AD11" w14:textId="77777777" w:rsidR="00777F15" w:rsidRPr="007A1B21" w:rsidRDefault="00777F15" w:rsidP="00777F15">
      <w:pPr>
        <w:widowControl/>
        <w:autoSpaceDE/>
        <w:autoSpaceDN/>
        <w:adjustRightInd/>
        <w:jc w:val="both"/>
        <w:rPr>
          <w:szCs w:val="17"/>
          <w:lang w:val="fr-FR"/>
        </w:rPr>
      </w:pPr>
    </w:p>
    <w:p w14:paraId="25D2111B" w14:textId="0C0F5006"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Invite en outre </w:t>
      </w:r>
      <w:r w:rsidRPr="007A1B21">
        <w:rPr>
          <w:szCs w:val="17"/>
          <w:lang w:val="fr-FR"/>
        </w:rPr>
        <w:t>le Groupe de liaison sur la biodiversité à tenir dûment compte de la nécessité d’optimiser les activités de suivi et de renforcer l’efficacité en utilisant des cadres de suivi et des systèmes d’indicateurs cohérents; </w:t>
      </w:r>
    </w:p>
    <w:p w14:paraId="1D228738" w14:textId="6D977633" w:rsidR="00777F15" w:rsidRDefault="00777F15" w:rsidP="00777F15">
      <w:pPr>
        <w:widowControl/>
        <w:autoSpaceDE/>
        <w:autoSpaceDN/>
        <w:adjustRightInd/>
        <w:jc w:val="both"/>
        <w:rPr>
          <w:szCs w:val="17"/>
          <w:lang w:val="fr-FR"/>
        </w:rPr>
      </w:pPr>
    </w:p>
    <w:p w14:paraId="669E73BE" w14:textId="77777777" w:rsidR="006A610A" w:rsidRPr="007A1B21" w:rsidRDefault="006A610A" w:rsidP="00777F15">
      <w:pPr>
        <w:widowControl/>
        <w:autoSpaceDE/>
        <w:autoSpaceDN/>
        <w:adjustRightInd/>
        <w:jc w:val="both"/>
        <w:rPr>
          <w:szCs w:val="17"/>
          <w:lang w:val="fr-FR"/>
        </w:rPr>
      </w:pPr>
    </w:p>
    <w:p w14:paraId="06E6FE32" w14:textId="358CCE64"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lastRenderedPageBreak/>
        <w:t xml:space="preserve">Prie </w:t>
      </w:r>
      <w:r w:rsidRPr="007A1B21">
        <w:rPr>
          <w:szCs w:val="17"/>
          <w:lang w:val="fr-FR"/>
        </w:rPr>
        <w:t xml:space="preserve">le Secrétariat, autant que possible, d'éviter la duplication des travaux sur les mêmes questions entre les AEM qui se consacrent aux questions de protection de la nature, et </w:t>
      </w:r>
      <w:r w:rsidRPr="007A1B21">
        <w:rPr>
          <w:i/>
          <w:iCs/>
          <w:szCs w:val="17"/>
          <w:lang w:val="fr-FR"/>
        </w:rPr>
        <w:t xml:space="preserve">invite </w:t>
      </w:r>
      <w:r w:rsidRPr="007A1B21">
        <w:rPr>
          <w:szCs w:val="17"/>
          <w:lang w:val="fr-FR"/>
        </w:rPr>
        <w:t>le Groupe de liaison sur la biodiversité à aborder, au cours de ses prochaines réunions, les options pour une coopération renforcée en matière de travail sur des questions transversales, comme le changement climatique, la viande de brousse et les espèces exotiques envahissantes, y compris en envisageant la possibilité d'identifier les AEM qui joueront un rôle central d'une manière conforme à leurs mandats, dispositions de gouvernance et programmes convenus; </w:t>
      </w:r>
    </w:p>
    <w:p w14:paraId="620E377B" w14:textId="77777777" w:rsidR="00DB6360" w:rsidRPr="007A1B21" w:rsidRDefault="00DB6360" w:rsidP="00DB6360">
      <w:pPr>
        <w:widowControl/>
        <w:autoSpaceDE/>
        <w:autoSpaceDN/>
        <w:adjustRightInd/>
        <w:jc w:val="both"/>
        <w:rPr>
          <w:szCs w:val="17"/>
          <w:lang w:val="fr-FR"/>
        </w:rPr>
      </w:pPr>
    </w:p>
    <w:p w14:paraId="21B2C17D" w14:textId="195926DA"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w:t>
      </w:r>
      <w:r w:rsidRPr="007A1B21">
        <w:rPr>
          <w:szCs w:val="17"/>
          <w:lang w:val="fr-FR"/>
        </w:rPr>
        <w:t>le Secrétariat de continuer de faire rapport au Comité permanent sur les progrès accomplis, y compris sur les résultats d’activités communes tel que discuté et approuvé au sein du Groupe de liaison sur la biodiversité; </w:t>
      </w:r>
    </w:p>
    <w:p w14:paraId="7D09D471" w14:textId="77777777" w:rsidR="00DB6360" w:rsidRPr="007A1B21" w:rsidRDefault="00DB6360" w:rsidP="00DB6360">
      <w:pPr>
        <w:widowControl/>
        <w:autoSpaceDE/>
        <w:autoSpaceDN/>
        <w:adjustRightInd/>
        <w:jc w:val="both"/>
        <w:rPr>
          <w:szCs w:val="17"/>
          <w:lang w:val="fr-FR"/>
        </w:rPr>
      </w:pPr>
    </w:p>
    <w:p w14:paraId="61B5A67C" w14:textId="2BA67AB9"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Reconnaît </w:t>
      </w:r>
      <w:r w:rsidRPr="007A1B21">
        <w:rPr>
          <w:szCs w:val="17"/>
          <w:lang w:val="fr-FR"/>
        </w:rPr>
        <w:t xml:space="preserve">que des ressources adéquates sont nécessaires pour permettre aux partenariats de se développer et que ces ressources pourraient être fournies en partie par les contributions volontaires des Parties, et </w:t>
      </w:r>
      <w:r w:rsidRPr="007A1B21">
        <w:rPr>
          <w:i/>
          <w:iCs/>
          <w:szCs w:val="17"/>
          <w:lang w:val="fr-FR"/>
        </w:rPr>
        <w:t xml:space="preserve">demande </w:t>
      </w:r>
      <w:r w:rsidRPr="007A1B21">
        <w:rPr>
          <w:szCs w:val="17"/>
          <w:lang w:val="fr-FR"/>
        </w:rPr>
        <w:t>aux Parties de faire en sorte que des ressources suffisantes soient allouées au Secrétariat afin que des partenariats puissent être créés et renforcés; </w:t>
      </w:r>
    </w:p>
    <w:p w14:paraId="7E41FD0D" w14:textId="77777777" w:rsidR="00DB6360" w:rsidRPr="007A1B21" w:rsidRDefault="00DB6360" w:rsidP="00DB6360">
      <w:pPr>
        <w:widowControl/>
        <w:autoSpaceDE/>
        <w:autoSpaceDN/>
        <w:adjustRightInd/>
        <w:jc w:val="both"/>
        <w:rPr>
          <w:szCs w:val="17"/>
          <w:lang w:val="fr-FR"/>
        </w:rPr>
      </w:pPr>
    </w:p>
    <w:p w14:paraId="10C0C73B" w14:textId="63E1DC1A"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instamment </w:t>
      </w:r>
      <w:r w:rsidRPr="007A1B21">
        <w:rPr>
          <w:szCs w:val="17"/>
          <w:lang w:val="fr-FR"/>
        </w:rPr>
        <w:t>les Parties d’établir une collaboration étroite au niveau national entre le point focal de la CMS et les points focaux des autres conventions compétentes pour que les gouvernements élaborent des approches cohérentes et synergiques entre les conventions et accroissent l'efficacité des efforts nationaux, par exemple en développant des groupes de travail sur la diversité biologique nationale pour coordonner le travail des points focaux d’AEM pertinents et d’autres parties prenantes, entre autres, à travers des mesures dans les SPANB, les rapports nationaux harmonisés et l’adoption des positions nationales cohérentes pour chaque AEM; </w:t>
      </w:r>
    </w:p>
    <w:p w14:paraId="027CA342" w14:textId="77777777" w:rsidR="00DB6360" w:rsidRPr="007A1B21" w:rsidRDefault="00DB6360" w:rsidP="00DB6360">
      <w:pPr>
        <w:widowControl/>
        <w:autoSpaceDE/>
        <w:autoSpaceDN/>
        <w:adjustRightInd/>
        <w:jc w:val="both"/>
        <w:rPr>
          <w:szCs w:val="17"/>
          <w:lang w:val="fr-FR"/>
        </w:rPr>
      </w:pPr>
    </w:p>
    <w:p w14:paraId="4EA7D04A" w14:textId="412AFEDE" w:rsidR="00474B3D" w:rsidRPr="007A1B21" w:rsidRDefault="00DB6360"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E</w:t>
      </w:r>
      <w:r w:rsidR="00474B3D" w:rsidRPr="007A1B21">
        <w:rPr>
          <w:i/>
          <w:iCs/>
          <w:szCs w:val="17"/>
          <w:lang w:val="fr-FR"/>
        </w:rPr>
        <w:t xml:space="preserve">xhorte en outre </w:t>
      </w:r>
      <w:r w:rsidR="00474B3D" w:rsidRPr="007A1B21">
        <w:rPr>
          <w:szCs w:val="17"/>
          <w:lang w:val="fr-FR"/>
        </w:rPr>
        <w:t>les Parties à faciliter la coopération entre les organisations internationales, et à promouvoir l'intégration des préoccupations liées à la biodiversité relative aux espèces migratrices dans tous les secteurs pertinents en coordonnant leurs positions nationales avec les diverses conventions et autres instances internationales dans lesquelles elles sont impliquées;</w:t>
      </w:r>
    </w:p>
    <w:p w14:paraId="3CC72AA7" w14:textId="77777777" w:rsidR="00DB6360" w:rsidRPr="007A1B21" w:rsidRDefault="00DB6360" w:rsidP="00DB6360">
      <w:pPr>
        <w:widowControl/>
        <w:autoSpaceDE/>
        <w:autoSpaceDN/>
        <w:adjustRightInd/>
        <w:jc w:val="both"/>
        <w:rPr>
          <w:szCs w:val="17"/>
          <w:lang w:val="fr-FR"/>
        </w:rPr>
      </w:pPr>
    </w:p>
    <w:p w14:paraId="16EE8705" w14:textId="1F68E33B"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Encourage </w:t>
      </w:r>
      <w:r w:rsidRPr="007A1B21">
        <w:rPr>
          <w:szCs w:val="17"/>
          <w:lang w:val="fr-FR"/>
        </w:rPr>
        <w:t>les Parties, autres gouvernements et organisations à faire usage des outils en ligne tels que InforMEA lors du développement et de la mise en oeuvre d’activités de soutien mutuel parmi les Accords de la CMS et les conventions relatives à la biodiversité afin d’assurer la cohérence dans leur mise en oeuvre;</w:t>
      </w:r>
    </w:p>
    <w:p w14:paraId="4FCDE108" w14:textId="77777777" w:rsidR="00DB6360" w:rsidRPr="007A1B21" w:rsidRDefault="00DB6360" w:rsidP="00DB6360">
      <w:pPr>
        <w:widowControl/>
        <w:autoSpaceDE/>
        <w:autoSpaceDN/>
        <w:adjustRightInd/>
        <w:jc w:val="both"/>
        <w:rPr>
          <w:szCs w:val="17"/>
          <w:lang w:val="fr-FR"/>
        </w:rPr>
      </w:pPr>
    </w:p>
    <w:p w14:paraId="57BE8004" w14:textId="170E92E6"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Prie instamment </w:t>
      </w:r>
      <w:r w:rsidRPr="007A1B21">
        <w:rPr>
          <w:szCs w:val="17"/>
          <w:lang w:val="fr-FR"/>
        </w:rPr>
        <w:t>les organisations partenaires de continuer de promouvoir et de publier les bénéfices qui leur reviennent ainsi qu’à la CMS et à la conservation provenant d’une collaboration effective; </w:t>
      </w:r>
    </w:p>
    <w:p w14:paraId="1714FA0E" w14:textId="77777777" w:rsidR="00DB6360" w:rsidRPr="007A1B21" w:rsidRDefault="00DB6360" w:rsidP="00DB6360">
      <w:pPr>
        <w:widowControl/>
        <w:autoSpaceDE/>
        <w:autoSpaceDN/>
        <w:adjustRightInd/>
        <w:jc w:val="both"/>
        <w:rPr>
          <w:szCs w:val="17"/>
          <w:lang w:val="fr-FR"/>
        </w:rPr>
      </w:pPr>
    </w:p>
    <w:p w14:paraId="4241F1F2" w14:textId="24FC5756" w:rsidR="00474B3D" w:rsidRPr="007A1B21" w:rsidRDefault="00474B3D" w:rsidP="001D6C91">
      <w:pPr>
        <w:pStyle w:val="ListParagraph"/>
        <w:widowControl/>
        <w:numPr>
          <w:ilvl w:val="0"/>
          <w:numId w:val="42"/>
        </w:numPr>
        <w:autoSpaceDE/>
        <w:autoSpaceDN/>
        <w:adjustRightInd/>
        <w:ind w:left="360"/>
        <w:jc w:val="both"/>
        <w:rPr>
          <w:szCs w:val="17"/>
          <w:lang w:val="fr-FR"/>
        </w:rPr>
      </w:pPr>
      <w:r w:rsidRPr="007A1B21">
        <w:rPr>
          <w:i/>
          <w:iCs/>
          <w:szCs w:val="17"/>
          <w:lang w:val="fr-FR"/>
        </w:rPr>
        <w:t xml:space="preserve">Abroge </w:t>
      </w:r>
      <w:r w:rsidRPr="007A1B21">
        <w:rPr>
          <w:szCs w:val="17"/>
          <w:lang w:val="fr-FR"/>
        </w:rPr>
        <w:t>la Résolution 7.9, la Résolution 8.11, la Résolution 9.6 et la Résolution 10.21. </w:t>
      </w:r>
    </w:p>
    <w:p w14:paraId="7576FAD7" w14:textId="77777777" w:rsidR="00474B3D" w:rsidRPr="007A1B21" w:rsidRDefault="00474B3D" w:rsidP="00DB735D">
      <w:pPr>
        <w:jc w:val="both"/>
        <w:rPr>
          <w:lang w:val="fr-FR"/>
        </w:rPr>
      </w:pPr>
    </w:p>
    <w:sectPr w:rsidR="00474B3D" w:rsidRPr="007A1B21" w:rsidSect="0052082F">
      <w:headerReference w:type="even" r:id="rId19"/>
      <w:headerReference w:type="default" r:id="rId20"/>
      <w:headerReference w:type="first" r:id="rId21"/>
      <w:footerReference w:type="first" r:id="rId22"/>
      <w:pgSz w:w="11905" w:h="16837" w:code="9"/>
      <w:pgMar w:top="1008" w:right="1411" w:bottom="1152"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BA0A3" w14:textId="77777777" w:rsidR="00550F6F" w:rsidRDefault="00550F6F">
      <w:r>
        <w:separator/>
      </w:r>
    </w:p>
  </w:endnote>
  <w:endnote w:type="continuationSeparator" w:id="0">
    <w:p w14:paraId="578DA195" w14:textId="77777777" w:rsidR="00550F6F" w:rsidRDefault="0055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A8B8" w14:textId="2C7C6AE0" w:rsidR="00354A9C" w:rsidRPr="00922791" w:rsidRDefault="00354A9C" w:rsidP="00056DC1">
    <w:pPr>
      <w:pStyle w:val="Footer"/>
      <w:ind w:right="-367"/>
      <w:jc w:val="center"/>
      <w:rPr>
        <w:sz w:val="18"/>
        <w:szCs w:val="18"/>
      </w:rPr>
    </w:pPr>
    <w:r w:rsidRPr="00922791">
      <w:rPr>
        <w:sz w:val="18"/>
        <w:szCs w:val="18"/>
      </w:rPr>
      <w:fldChar w:fldCharType="begin"/>
    </w:r>
    <w:r w:rsidRPr="00922791">
      <w:rPr>
        <w:sz w:val="18"/>
        <w:szCs w:val="18"/>
      </w:rPr>
      <w:instrText xml:space="preserve"> PAGE   \* MERGEFORMAT </w:instrText>
    </w:r>
    <w:r w:rsidRPr="00922791">
      <w:rPr>
        <w:sz w:val="18"/>
        <w:szCs w:val="18"/>
      </w:rPr>
      <w:fldChar w:fldCharType="separate"/>
    </w:r>
    <w:r w:rsidR="00037907">
      <w:rPr>
        <w:noProof/>
        <w:sz w:val="18"/>
        <w:szCs w:val="18"/>
      </w:rPr>
      <w:t>10</w:t>
    </w:r>
    <w:r w:rsidRPr="00922791">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DBB" w14:textId="2FAA9D3B" w:rsidR="00354A9C" w:rsidRPr="00922791" w:rsidRDefault="00354A9C" w:rsidP="00056DC1">
    <w:pPr>
      <w:pStyle w:val="Footer"/>
      <w:ind w:right="-367"/>
      <w:jc w:val="center"/>
      <w:rPr>
        <w:sz w:val="18"/>
        <w:szCs w:val="18"/>
      </w:rPr>
    </w:pPr>
    <w:r w:rsidRPr="00922791">
      <w:rPr>
        <w:sz w:val="18"/>
        <w:szCs w:val="18"/>
      </w:rPr>
      <w:fldChar w:fldCharType="begin"/>
    </w:r>
    <w:r w:rsidRPr="00922791">
      <w:rPr>
        <w:sz w:val="18"/>
        <w:szCs w:val="18"/>
      </w:rPr>
      <w:instrText xml:space="preserve"> PAGE   \* MERGEFORMAT </w:instrText>
    </w:r>
    <w:r w:rsidRPr="00922791">
      <w:rPr>
        <w:sz w:val="18"/>
        <w:szCs w:val="18"/>
      </w:rPr>
      <w:fldChar w:fldCharType="separate"/>
    </w:r>
    <w:r w:rsidR="00037907">
      <w:rPr>
        <w:noProof/>
        <w:sz w:val="18"/>
        <w:szCs w:val="18"/>
      </w:rPr>
      <w:t>9</w:t>
    </w:r>
    <w:r w:rsidRPr="0092279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A321" w14:textId="3BFB68AC" w:rsidR="00593041" w:rsidRPr="00332843" w:rsidRDefault="00593041" w:rsidP="000669DF">
    <w:pPr>
      <w:pStyle w:val="Footer"/>
      <w:jc w:val="center"/>
      <w:rPr>
        <w:sz w:val="18"/>
        <w:szCs w:val="18"/>
      </w:rPr>
    </w:pPr>
    <w:r w:rsidRPr="00332843">
      <w:rPr>
        <w:sz w:val="18"/>
        <w:szCs w:val="18"/>
      </w:rPr>
      <w:fldChar w:fldCharType="begin"/>
    </w:r>
    <w:r w:rsidRPr="00332843">
      <w:rPr>
        <w:sz w:val="18"/>
        <w:szCs w:val="18"/>
      </w:rPr>
      <w:instrText xml:space="preserve"> PAGE   \* MERGEFORMAT </w:instrText>
    </w:r>
    <w:r w:rsidRPr="00332843">
      <w:rPr>
        <w:sz w:val="18"/>
        <w:szCs w:val="18"/>
      </w:rPr>
      <w:fldChar w:fldCharType="separate"/>
    </w:r>
    <w:r w:rsidR="00037907">
      <w:rPr>
        <w:noProof/>
        <w:sz w:val="18"/>
        <w:szCs w:val="18"/>
      </w:rPr>
      <w:t>2</w:t>
    </w:r>
    <w:r w:rsidRPr="00332843">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E596" w14:textId="65988E6C" w:rsidR="00D605A4" w:rsidRPr="00D605A4" w:rsidRDefault="00D605A4">
    <w:pPr>
      <w:pStyle w:val="Footer"/>
      <w:jc w:val="center"/>
      <w:rPr>
        <w:sz w:val="18"/>
        <w:szCs w:val="18"/>
      </w:rPr>
    </w:pPr>
    <w:r w:rsidRPr="00D605A4">
      <w:rPr>
        <w:sz w:val="18"/>
        <w:szCs w:val="18"/>
      </w:rPr>
      <w:fldChar w:fldCharType="begin"/>
    </w:r>
    <w:r w:rsidRPr="00D605A4">
      <w:rPr>
        <w:sz w:val="18"/>
        <w:szCs w:val="18"/>
      </w:rPr>
      <w:instrText xml:space="preserve"> PAGE   \* MERGEFORMAT </w:instrText>
    </w:r>
    <w:r w:rsidRPr="00D605A4">
      <w:rPr>
        <w:sz w:val="18"/>
        <w:szCs w:val="18"/>
      </w:rPr>
      <w:fldChar w:fldCharType="separate"/>
    </w:r>
    <w:r w:rsidR="00037907">
      <w:rPr>
        <w:noProof/>
        <w:sz w:val="18"/>
        <w:szCs w:val="18"/>
      </w:rPr>
      <w:t>7</w:t>
    </w:r>
    <w:r w:rsidRPr="00D605A4">
      <w:rPr>
        <w:noProof/>
        <w:sz w:val="18"/>
        <w:szCs w:val="18"/>
      </w:rPr>
      <w:fldChar w:fldCharType="end"/>
    </w:r>
  </w:p>
  <w:p w14:paraId="3B018E79" w14:textId="77777777"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6260" w14:textId="77777777" w:rsidR="00550F6F" w:rsidRDefault="00550F6F">
      <w:r>
        <w:separator/>
      </w:r>
    </w:p>
  </w:footnote>
  <w:footnote w:type="continuationSeparator" w:id="0">
    <w:p w14:paraId="65100058" w14:textId="77777777" w:rsidR="00550F6F" w:rsidRDefault="00550F6F">
      <w:r>
        <w:continuationSeparator/>
      </w:r>
    </w:p>
  </w:footnote>
  <w:footnote w:id="1">
    <w:p w14:paraId="4A9AA9A4" w14:textId="74A274C5" w:rsidR="00BD3B21" w:rsidRPr="007A1B21" w:rsidRDefault="00BD3B21" w:rsidP="00BD3B21">
      <w:pPr>
        <w:pStyle w:val="p1"/>
        <w:rPr>
          <w:rFonts w:ascii="Helvetica" w:hAnsi="Helvetica" w:cs="Times New Roman"/>
          <w:sz w:val="18"/>
          <w:szCs w:val="18"/>
          <w:lang w:val="fr-FR"/>
        </w:rPr>
      </w:pPr>
      <w:r w:rsidRPr="002D5163">
        <w:rPr>
          <w:rStyle w:val="FootnoteReference"/>
          <w:vertAlign w:val="superscript"/>
        </w:rPr>
        <w:footnoteRef/>
      </w:r>
      <w:r w:rsidRPr="007A1B21">
        <w:rPr>
          <w:vertAlign w:val="superscript"/>
          <w:lang w:val="fr-FR"/>
        </w:rPr>
        <w:t xml:space="preserve"> </w:t>
      </w:r>
      <w:r w:rsidRPr="007A1B21">
        <w:rPr>
          <w:rFonts w:ascii="Helvetica" w:hAnsi="Helvetica" w:cs="Times New Roman"/>
          <w:sz w:val="18"/>
          <w:szCs w:val="18"/>
          <w:lang w:val="fr-FR"/>
        </w:rPr>
        <w:t>Dénommé à présent Wild Migration.</w:t>
      </w:r>
    </w:p>
  </w:footnote>
  <w:footnote w:id="2">
    <w:p w14:paraId="60A2D728" w14:textId="77777777" w:rsidR="00474B3D" w:rsidRPr="007A1B21" w:rsidRDefault="00474B3D" w:rsidP="00474B3D">
      <w:pPr>
        <w:pStyle w:val="p1"/>
        <w:rPr>
          <w:rFonts w:ascii="Helvetica" w:hAnsi="Helvetica" w:cs="Times New Roman"/>
          <w:sz w:val="18"/>
          <w:szCs w:val="18"/>
          <w:lang w:val="fr-FR"/>
        </w:rPr>
      </w:pPr>
      <w:r w:rsidRPr="002D5163">
        <w:rPr>
          <w:rStyle w:val="FootnoteReference"/>
          <w:vertAlign w:val="superscript"/>
        </w:rPr>
        <w:footnoteRef/>
      </w:r>
      <w:r w:rsidRPr="007A1B21">
        <w:rPr>
          <w:vertAlign w:val="superscript"/>
          <w:lang w:val="fr-FR"/>
        </w:rPr>
        <w:t xml:space="preserve"> </w:t>
      </w:r>
      <w:r w:rsidRPr="007A1B21">
        <w:rPr>
          <w:rFonts w:ascii="Helvetica" w:hAnsi="Helvetica" w:cs="Times New Roman"/>
          <w:sz w:val="18"/>
          <w:szCs w:val="18"/>
          <w:lang w:val="fr-FR"/>
        </w:rPr>
        <w:t>Dénommé à présent Wild Migration.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6E74" w14:textId="77777777" w:rsidR="00354A9C" w:rsidRPr="00922791" w:rsidRDefault="00354A9C" w:rsidP="00922791">
    <w:pPr>
      <w:pStyle w:val="Heading1"/>
      <w:keepNext w:val="0"/>
      <w:pBdr>
        <w:bottom w:val="single" w:sz="4" w:space="1" w:color="auto"/>
      </w:pBdr>
      <w:tabs>
        <w:tab w:val="clear" w:pos="-720"/>
      </w:tabs>
      <w:ind w:left="261" w:right="-277" w:hanging="261"/>
      <w:rPr>
        <w:b w:val="0"/>
        <w:i/>
        <w:sz w:val="18"/>
        <w:szCs w:val="18"/>
        <w:lang w:val="en-US"/>
      </w:rPr>
    </w:pPr>
    <w:r w:rsidRPr="00922791">
      <w:rPr>
        <w:b w:val="0"/>
        <w:i/>
        <w:sz w:val="18"/>
        <w:szCs w:val="18"/>
        <w:lang w:val="en-US"/>
      </w:rPr>
      <w:t>U</w:t>
    </w:r>
    <w:r w:rsidR="002D5EC0" w:rsidRPr="00922791">
      <w:rPr>
        <w:b w:val="0"/>
        <w:i/>
        <w:sz w:val="18"/>
        <w:szCs w:val="18"/>
        <w:lang w:val="en-US"/>
      </w:rPr>
      <w:t>NEP/CMS/COP12</w:t>
    </w:r>
    <w:r w:rsidRPr="00922791">
      <w:rPr>
        <w:b w:val="0"/>
        <w:i/>
        <w:sz w:val="18"/>
        <w:szCs w:val="18"/>
        <w:lang w:val="en-US"/>
      </w:rPr>
      <w:t>/Doc.6.</w:t>
    </w:r>
    <w:r w:rsidR="002D5EC0" w:rsidRPr="00922791">
      <w:rPr>
        <w:b w:val="0"/>
        <w:i/>
        <w:sz w:val="18"/>
        <w:szCs w:val="18"/>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2B4C" w14:textId="77777777" w:rsidR="00254721" w:rsidRPr="00922791" w:rsidRDefault="00254721" w:rsidP="00922791">
    <w:pPr>
      <w:pStyle w:val="Heading1"/>
      <w:keepNext w:val="0"/>
      <w:pBdr>
        <w:bottom w:val="single" w:sz="4" w:space="1" w:color="auto"/>
      </w:pBdr>
      <w:tabs>
        <w:tab w:val="clear" w:pos="-720"/>
      </w:tabs>
      <w:ind w:left="261" w:right="-277" w:hanging="261"/>
      <w:jc w:val="right"/>
      <w:rPr>
        <w:b w:val="0"/>
        <w:i/>
        <w:sz w:val="18"/>
        <w:szCs w:val="18"/>
        <w:lang w:val="en-US"/>
      </w:rPr>
    </w:pPr>
    <w:r w:rsidRPr="00922791">
      <w:rPr>
        <w:b w:val="0"/>
        <w:i/>
        <w:sz w:val="18"/>
        <w:szCs w:val="18"/>
        <w:lang w:val="en-US"/>
      </w:rPr>
      <w:t>UNEP/CMS/COP11/Doc</w:t>
    </w:r>
    <w:r w:rsidR="00354A9C" w:rsidRPr="00922791">
      <w:rPr>
        <w:b w:val="0"/>
        <w:i/>
        <w:sz w:val="18"/>
        <w:szCs w:val="18"/>
        <w:lang w:val="en-US"/>
      </w:rPr>
      <w:t>.6.</w:t>
    </w:r>
    <w:r w:rsidR="00056DC1" w:rsidRPr="00922791">
      <w:rPr>
        <w:b w:val="0"/>
        <w:i/>
        <w:sz w:val="18"/>
        <w:szCs w:val="18"/>
        <w:lang w:val="en-US"/>
      </w:rPr>
      <w:t>1</w:t>
    </w:r>
  </w:p>
  <w:p w14:paraId="1CA60BF5" w14:textId="77777777" w:rsidR="00254721" w:rsidRPr="00354A9C" w:rsidRDefault="00254721"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2450" w14:textId="77777777" w:rsidR="00FA61AF" w:rsidRDefault="009A4CD2">
    <w:pPr>
      <w:pStyle w:val="Header"/>
    </w:pPr>
    <w:r>
      <w:rPr>
        <w:noProof/>
        <w:lang w:val="en-US"/>
      </w:rPr>
      <w:drawing>
        <wp:anchor distT="0" distB="0" distL="114300" distR="114300" simplePos="0" relativeHeight="251659776" behindDoc="1" locked="0" layoutInCell="1" allowOverlap="1" wp14:anchorId="20CC7700" wp14:editId="5EFDFF42">
          <wp:simplePos x="0" y="0"/>
          <wp:positionH relativeFrom="column">
            <wp:posOffset>-169545</wp:posOffset>
          </wp:positionH>
          <wp:positionV relativeFrom="paragraph">
            <wp:posOffset>-59055</wp:posOffset>
          </wp:positionV>
          <wp:extent cx="945515" cy="510540"/>
          <wp:effectExtent l="0" t="0" r="0" b="0"/>
          <wp:wrapTight wrapText="bothSides">
            <wp:wrapPolygon edited="0">
              <wp:start x="2176" y="2418"/>
              <wp:lineTo x="1306" y="14507"/>
              <wp:lineTo x="1306" y="18537"/>
              <wp:lineTo x="20019" y="18537"/>
              <wp:lineTo x="19584" y="5642"/>
              <wp:lineTo x="19148" y="2418"/>
              <wp:lineTo x="2176" y="2418"/>
            </wp:wrapPolygon>
          </wp:wrapTight>
          <wp:docPr id="18" name="Picture 18" descr="UNEnvironment_Logo_French_Shor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Environment_Logo_French_Shor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51367306" wp14:editId="30E7842C">
          <wp:simplePos x="0" y="0"/>
          <wp:positionH relativeFrom="column">
            <wp:posOffset>727710</wp:posOffset>
          </wp:positionH>
          <wp:positionV relativeFrom="paragraph">
            <wp:posOffset>-75565</wp:posOffset>
          </wp:positionV>
          <wp:extent cx="431165" cy="441325"/>
          <wp:effectExtent l="0" t="0" r="6985" b="0"/>
          <wp:wrapTight wrapText="bothSides">
            <wp:wrapPolygon edited="0">
              <wp:start x="0" y="0"/>
              <wp:lineTo x="0" y="20512"/>
              <wp:lineTo x="20996" y="20512"/>
              <wp:lineTo x="20996" y="0"/>
              <wp:lineTo x="0"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780" t="-1236" r="60236" b="48836"/>
                  <a:stretch>
                    <a:fillRect/>
                  </a:stretch>
                </pic:blipFill>
                <pic:spPr bwMode="auto">
                  <a:xfrm>
                    <a:off x="0" y="0"/>
                    <a:ext cx="431165" cy="441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6931" w14:textId="59D98BDB" w:rsidR="00593041" w:rsidRPr="00922791" w:rsidRDefault="00593041" w:rsidP="000669DF">
    <w:pPr>
      <w:pStyle w:val="Heading1"/>
      <w:keepNext w:val="0"/>
      <w:pBdr>
        <w:bottom w:val="single" w:sz="4" w:space="1" w:color="auto"/>
      </w:pBdr>
      <w:tabs>
        <w:tab w:val="clear" w:pos="-720"/>
      </w:tabs>
      <w:ind w:left="261" w:right="4" w:hanging="261"/>
      <w:rPr>
        <w:b w:val="0"/>
        <w:i/>
        <w:sz w:val="18"/>
        <w:szCs w:val="18"/>
        <w:lang w:val="en-US"/>
      </w:rPr>
    </w:pPr>
    <w:r w:rsidRPr="00922791">
      <w:rPr>
        <w:b w:val="0"/>
        <w:i/>
        <w:sz w:val="18"/>
        <w:szCs w:val="18"/>
        <w:lang w:val="en-US"/>
      </w:rPr>
      <w:t>U</w:t>
    </w:r>
    <w:r>
      <w:rPr>
        <w:b w:val="0"/>
        <w:i/>
        <w:sz w:val="18"/>
        <w:szCs w:val="18"/>
        <w:lang w:val="en-US"/>
      </w:rPr>
      <w:t>NEP/CMS/COP12</w:t>
    </w:r>
    <w:r w:rsidRPr="00922791">
      <w:rPr>
        <w:b w:val="0"/>
        <w:i/>
        <w:sz w:val="18"/>
        <w:szCs w:val="18"/>
        <w:lang w:val="en-US"/>
      </w:rPr>
      <w:t>/Doc</w:t>
    </w:r>
    <w:r>
      <w:rPr>
        <w:b w:val="0"/>
        <w:i/>
        <w:sz w:val="18"/>
        <w:szCs w:val="18"/>
        <w:lang w:val="en-US"/>
      </w:rPr>
      <w:t>.2</w:t>
    </w:r>
    <w:r w:rsidR="001F0A5C">
      <w:rPr>
        <w:b w:val="0"/>
        <w:i/>
        <w:sz w:val="18"/>
        <w:szCs w:val="18"/>
        <w:lang w:val="en-US"/>
      </w:rPr>
      <w:t>1</w:t>
    </w:r>
    <w:r>
      <w:rPr>
        <w:b w:val="0"/>
        <w:i/>
        <w:sz w:val="18"/>
        <w:szCs w:val="18"/>
        <w:lang w:val="en-US"/>
      </w:rPr>
      <w:t>.</w:t>
    </w:r>
    <w:r w:rsidR="001F0A5C">
      <w:rPr>
        <w:b w:val="0"/>
        <w:i/>
        <w:sz w:val="18"/>
        <w:szCs w:val="18"/>
        <w:lang w:val="en-US"/>
      </w:rPr>
      <w:t>1</w:t>
    </w:r>
    <w:r>
      <w:rPr>
        <w:b w:val="0"/>
        <w:i/>
        <w:sz w:val="18"/>
        <w:szCs w:val="18"/>
        <w:lang w:val="en-US"/>
      </w:rPr>
      <w:t>.</w:t>
    </w:r>
    <w:r w:rsidR="001F0A5C">
      <w:rPr>
        <w:b w:val="0"/>
        <w:i/>
        <w:sz w:val="18"/>
        <w:szCs w:val="18"/>
        <w:lang w:val="en-US"/>
      </w:rPr>
      <w:t>27</w:t>
    </w:r>
    <w:r>
      <w:rPr>
        <w:b w:val="0"/>
        <w:i/>
        <w:sz w:val="18"/>
        <w:szCs w:val="18"/>
        <w:lang w:val="en-US"/>
      </w:rPr>
      <w:t>/Annex</w:t>
    </w:r>
    <w:r w:rsidR="006A610A">
      <w:rPr>
        <w:b w:val="0"/>
        <w:i/>
        <w:sz w:val="18"/>
        <w:szCs w:val="18"/>
        <w:lang w:val="en-US"/>
      </w:rPr>
      <w:t>e</w:t>
    </w:r>
    <w:r>
      <w:rPr>
        <w:b w:val="0"/>
        <w:i/>
        <w:sz w:val="18"/>
        <w:szCs w:val="18"/>
        <w:lang w:val="en-US"/>
      </w:rPr>
      <w:t xml:space="preserve"> 1</w:t>
    </w:r>
  </w:p>
  <w:p w14:paraId="72E845B4" w14:textId="77777777" w:rsidR="00593041" w:rsidRPr="00332843" w:rsidRDefault="00593041" w:rsidP="00066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2C5A" w14:textId="1C80B961" w:rsidR="00593041" w:rsidRPr="007A1B21" w:rsidRDefault="006A610A" w:rsidP="000669DF">
    <w:pPr>
      <w:pStyle w:val="Heading1"/>
      <w:keepNext w:val="0"/>
      <w:pBdr>
        <w:bottom w:val="single" w:sz="4" w:space="1" w:color="auto"/>
      </w:pBdr>
      <w:tabs>
        <w:tab w:val="clear" w:pos="-720"/>
      </w:tabs>
      <w:ind w:left="261" w:right="4" w:hanging="261"/>
      <w:jc w:val="right"/>
      <w:rPr>
        <w:b w:val="0"/>
        <w:i/>
        <w:sz w:val="18"/>
        <w:szCs w:val="18"/>
        <w:lang w:val="fr-FR"/>
      </w:rPr>
    </w:pPr>
    <w:r>
      <w:rPr>
        <w:b w:val="0"/>
        <w:i/>
        <w:sz w:val="18"/>
        <w:szCs w:val="18"/>
        <w:lang w:val="fr-FR"/>
      </w:rPr>
      <w:t>UNEP</w:t>
    </w:r>
    <w:r w:rsidR="00593041" w:rsidRPr="007A1B21">
      <w:rPr>
        <w:b w:val="0"/>
        <w:i/>
        <w:sz w:val="18"/>
        <w:szCs w:val="18"/>
        <w:lang w:val="fr-FR"/>
      </w:rPr>
      <w:t>/CMS/COP12/Doc.21.1.</w:t>
    </w:r>
    <w:r w:rsidR="001F0A5C" w:rsidRPr="007A1B21">
      <w:rPr>
        <w:b w:val="0"/>
        <w:i/>
        <w:sz w:val="18"/>
        <w:szCs w:val="18"/>
        <w:lang w:val="fr-FR"/>
      </w:rPr>
      <w:t>27</w:t>
    </w:r>
    <w:r w:rsidR="00593041" w:rsidRPr="007A1B21">
      <w:rPr>
        <w:b w:val="0"/>
        <w:i/>
        <w:sz w:val="18"/>
        <w:szCs w:val="18"/>
        <w:lang w:val="fr-FR"/>
      </w:rPr>
      <w:t>/Annexe 1</w:t>
    </w:r>
  </w:p>
  <w:p w14:paraId="48343EFA" w14:textId="77777777" w:rsidR="00593041" w:rsidRPr="007A1B21" w:rsidRDefault="00593041" w:rsidP="000669DF">
    <w:pPr>
      <w:jc w:val="right"/>
      <w:rPr>
        <w:i/>
        <w:szCs w:val="2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89F9" w14:textId="5E2D752E" w:rsidR="00593041" w:rsidRPr="007A1B21" w:rsidRDefault="007A1B21" w:rsidP="007A1B21">
    <w:pPr>
      <w:pStyle w:val="Heading1"/>
      <w:keepNext w:val="0"/>
      <w:pBdr>
        <w:bottom w:val="single" w:sz="4" w:space="1" w:color="auto"/>
      </w:pBdr>
      <w:tabs>
        <w:tab w:val="clear" w:pos="-720"/>
      </w:tabs>
      <w:ind w:left="261" w:right="4" w:hanging="261"/>
      <w:rPr>
        <w:b w:val="0"/>
        <w:i/>
        <w:sz w:val="18"/>
        <w:szCs w:val="18"/>
        <w:lang w:val="fr-FR"/>
      </w:rPr>
    </w:pPr>
    <w:r>
      <w:rPr>
        <w:b w:val="0"/>
        <w:i/>
        <w:sz w:val="18"/>
        <w:szCs w:val="18"/>
        <w:lang w:val="fr-FR"/>
      </w:rPr>
      <w:t>UNEP</w:t>
    </w:r>
    <w:r w:rsidR="00593041" w:rsidRPr="007A1B21">
      <w:rPr>
        <w:b w:val="0"/>
        <w:i/>
        <w:sz w:val="18"/>
        <w:szCs w:val="18"/>
        <w:lang w:val="fr-FR"/>
      </w:rPr>
      <w:t>/CMS/COP12/Doc.21.1.</w:t>
    </w:r>
    <w:r w:rsidR="005642CF" w:rsidRPr="007A1B21">
      <w:rPr>
        <w:b w:val="0"/>
        <w:i/>
        <w:sz w:val="18"/>
        <w:szCs w:val="18"/>
        <w:lang w:val="fr-FR"/>
      </w:rPr>
      <w:t>2</w:t>
    </w:r>
    <w:r w:rsidR="001F0A5C" w:rsidRPr="007A1B21">
      <w:rPr>
        <w:b w:val="0"/>
        <w:i/>
        <w:sz w:val="18"/>
        <w:szCs w:val="18"/>
        <w:lang w:val="fr-FR"/>
      </w:rPr>
      <w:t>7</w:t>
    </w:r>
    <w:r w:rsidR="00593041" w:rsidRPr="007A1B21">
      <w:rPr>
        <w:b w:val="0"/>
        <w:i/>
        <w:sz w:val="18"/>
        <w:szCs w:val="18"/>
        <w:lang w:val="fr-FR"/>
      </w:rPr>
      <w:t>/Annexe 1</w:t>
    </w:r>
  </w:p>
  <w:p w14:paraId="35CB1B5B" w14:textId="77777777" w:rsidR="00593041" w:rsidRPr="007A1B21" w:rsidRDefault="00593041" w:rsidP="000669DF">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9B3E" w14:textId="0D2BCF3A" w:rsidR="00037907" w:rsidRPr="00922791" w:rsidRDefault="00037907" w:rsidP="000669DF">
    <w:pPr>
      <w:pStyle w:val="Heading1"/>
      <w:keepNext w:val="0"/>
      <w:pBdr>
        <w:bottom w:val="single" w:sz="4" w:space="1" w:color="auto"/>
      </w:pBdr>
      <w:tabs>
        <w:tab w:val="clear" w:pos="-720"/>
      </w:tabs>
      <w:ind w:left="261" w:right="4" w:hanging="261"/>
      <w:rPr>
        <w:b w:val="0"/>
        <w:i/>
        <w:sz w:val="18"/>
        <w:szCs w:val="18"/>
        <w:lang w:val="en-US"/>
      </w:rPr>
    </w:pPr>
    <w:r w:rsidRPr="00922791">
      <w:rPr>
        <w:b w:val="0"/>
        <w:i/>
        <w:sz w:val="18"/>
        <w:szCs w:val="18"/>
        <w:lang w:val="en-US"/>
      </w:rPr>
      <w:t>U</w:t>
    </w:r>
    <w:r>
      <w:rPr>
        <w:b w:val="0"/>
        <w:i/>
        <w:sz w:val="18"/>
        <w:szCs w:val="18"/>
        <w:lang w:val="en-US"/>
      </w:rPr>
      <w:t>NEP/CMS/COP12</w:t>
    </w:r>
    <w:r w:rsidRPr="00922791">
      <w:rPr>
        <w:b w:val="0"/>
        <w:i/>
        <w:sz w:val="18"/>
        <w:szCs w:val="18"/>
        <w:lang w:val="en-US"/>
      </w:rPr>
      <w:t>/Doc</w:t>
    </w:r>
    <w:r>
      <w:rPr>
        <w:b w:val="0"/>
        <w:i/>
        <w:sz w:val="18"/>
        <w:szCs w:val="18"/>
        <w:lang w:val="en-US"/>
      </w:rPr>
      <w:t>.21.1.27/Annexe 2</w:t>
    </w:r>
  </w:p>
  <w:p w14:paraId="414A680C" w14:textId="77777777" w:rsidR="00037907" w:rsidRPr="00332843" w:rsidRDefault="00037907" w:rsidP="000669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303D" w14:textId="12DA9595" w:rsidR="00037907" w:rsidRPr="007A1B21" w:rsidRDefault="00037907" w:rsidP="000669DF">
    <w:pPr>
      <w:pStyle w:val="Heading1"/>
      <w:keepNext w:val="0"/>
      <w:pBdr>
        <w:bottom w:val="single" w:sz="4" w:space="1" w:color="auto"/>
      </w:pBdr>
      <w:tabs>
        <w:tab w:val="clear" w:pos="-720"/>
      </w:tabs>
      <w:ind w:left="261" w:right="4" w:hanging="261"/>
      <w:jc w:val="right"/>
      <w:rPr>
        <w:b w:val="0"/>
        <w:i/>
        <w:sz w:val="18"/>
        <w:szCs w:val="18"/>
        <w:lang w:val="fr-FR"/>
      </w:rPr>
    </w:pPr>
    <w:r>
      <w:rPr>
        <w:b w:val="0"/>
        <w:i/>
        <w:sz w:val="18"/>
        <w:szCs w:val="18"/>
        <w:lang w:val="fr-FR"/>
      </w:rPr>
      <w:t>UNEP</w:t>
    </w:r>
    <w:r w:rsidRPr="007A1B21">
      <w:rPr>
        <w:b w:val="0"/>
        <w:i/>
        <w:sz w:val="18"/>
        <w:szCs w:val="18"/>
        <w:lang w:val="fr-FR"/>
      </w:rPr>
      <w:t>/CMS/COP12/Doc.21.1.27</w:t>
    </w:r>
    <w:r>
      <w:rPr>
        <w:b w:val="0"/>
        <w:i/>
        <w:sz w:val="18"/>
        <w:szCs w:val="18"/>
        <w:lang w:val="fr-FR"/>
      </w:rPr>
      <w:t>/Annexe 2</w:t>
    </w:r>
  </w:p>
  <w:p w14:paraId="44318048" w14:textId="77777777" w:rsidR="00037907" w:rsidRPr="007A1B21" w:rsidRDefault="00037907" w:rsidP="000669DF">
    <w:pPr>
      <w:jc w:val="right"/>
      <w:rPr>
        <w:i/>
        <w:szCs w:val="20"/>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3980" w14:textId="17231D5A" w:rsidR="00D605A4" w:rsidRPr="007A1B21" w:rsidRDefault="006A610A" w:rsidP="00037907">
    <w:pPr>
      <w:pStyle w:val="Header"/>
      <w:pBdr>
        <w:bottom w:val="single" w:sz="4" w:space="1" w:color="auto"/>
      </w:pBdr>
      <w:jc w:val="right"/>
      <w:rPr>
        <w:i/>
        <w:sz w:val="18"/>
        <w:szCs w:val="18"/>
        <w:lang w:val="fr-FR"/>
      </w:rPr>
    </w:pPr>
    <w:r>
      <w:rPr>
        <w:i/>
        <w:sz w:val="18"/>
        <w:szCs w:val="18"/>
        <w:lang w:val="fr-FR"/>
      </w:rPr>
      <w:t>UNEP</w:t>
    </w:r>
    <w:r w:rsidR="00D605A4" w:rsidRPr="007A1B21">
      <w:rPr>
        <w:i/>
        <w:sz w:val="18"/>
        <w:szCs w:val="18"/>
        <w:lang w:val="fr-FR"/>
      </w:rPr>
      <w:t>/CMS/COP12/Doc.</w:t>
    </w:r>
    <w:r w:rsidR="00B408EF" w:rsidRPr="007A1B21">
      <w:rPr>
        <w:i/>
        <w:sz w:val="18"/>
        <w:szCs w:val="18"/>
        <w:lang w:val="fr-FR"/>
      </w:rPr>
      <w:t>21.1.</w:t>
    </w:r>
    <w:r w:rsidR="005642CF" w:rsidRPr="007A1B21">
      <w:rPr>
        <w:i/>
        <w:sz w:val="18"/>
        <w:szCs w:val="18"/>
        <w:lang w:val="fr-FR"/>
      </w:rPr>
      <w:t>2</w:t>
    </w:r>
    <w:r w:rsidR="001F0A5C" w:rsidRPr="007A1B21">
      <w:rPr>
        <w:i/>
        <w:sz w:val="18"/>
        <w:szCs w:val="18"/>
        <w:lang w:val="fr-FR"/>
      </w:rPr>
      <w:t>7</w:t>
    </w:r>
    <w:r w:rsidR="00B408EF" w:rsidRPr="007A1B21">
      <w:rPr>
        <w:i/>
        <w:sz w:val="18"/>
        <w:szCs w:val="18"/>
        <w:lang w:val="fr-FR"/>
      </w:rPr>
      <w:t>/Annex</w:t>
    </w:r>
    <w:r w:rsidR="00EC4891" w:rsidRPr="007A1B21">
      <w:rPr>
        <w:i/>
        <w:sz w:val="18"/>
        <w:szCs w:val="18"/>
        <w:lang w:val="fr-FR"/>
      </w:rPr>
      <w:t>e</w:t>
    </w:r>
    <w:r w:rsidR="00B408EF" w:rsidRPr="007A1B21">
      <w:rPr>
        <w:i/>
        <w:sz w:val="18"/>
        <w:szCs w:val="18"/>
        <w:lang w:val="fr-FR"/>
      </w:rPr>
      <w:t xml:space="preserve"> </w:t>
    </w:r>
    <w:r w:rsidR="00496B06" w:rsidRPr="007A1B21">
      <w:rPr>
        <w:i/>
        <w:sz w:val="18"/>
        <w:szCs w:val="18"/>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0A0F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4321059"/>
    <w:multiLevelType w:val="hybridMultilevel"/>
    <w:tmpl w:val="29C4C866"/>
    <w:lvl w:ilvl="0" w:tplc="02387C26">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 w15:restartNumberingAfterBreak="0">
    <w:nsid w:val="0C3C082F"/>
    <w:multiLevelType w:val="hybridMultilevel"/>
    <w:tmpl w:val="3D8C7CA6"/>
    <w:lvl w:ilvl="0" w:tplc="F6CC7B94">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 w15:restartNumberingAfterBreak="0">
    <w:nsid w:val="0C4C6476"/>
    <w:multiLevelType w:val="hybridMultilevel"/>
    <w:tmpl w:val="82BCDF30"/>
    <w:lvl w:ilvl="0" w:tplc="5AE46228">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5" w15:restartNumberingAfterBreak="0">
    <w:nsid w:val="0F862808"/>
    <w:multiLevelType w:val="multilevel"/>
    <w:tmpl w:val="CF4C244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FF5CA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96530C"/>
    <w:multiLevelType w:val="hybridMultilevel"/>
    <w:tmpl w:val="B64AD86E"/>
    <w:lvl w:ilvl="0" w:tplc="46BAD9BE">
      <w:start w:val="1"/>
      <w:numFmt w:val="lowerLetter"/>
      <w:lvlText w:val="(%1)"/>
      <w:lvlJc w:val="left"/>
      <w:pPr>
        <w:tabs>
          <w:tab w:val="num" w:pos="927"/>
        </w:tabs>
        <w:ind w:left="927" w:hanging="360"/>
      </w:pPr>
      <w:rPr>
        <w:rFonts w:cs="Times New Roman" w:hint="default"/>
      </w:rPr>
    </w:lvl>
    <w:lvl w:ilvl="1" w:tplc="75AEF5EA">
      <w:start w:val="1"/>
      <w:numFmt w:val="lowerRoman"/>
      <w:lvlText w:val="%2."/>
      <w:lvlJc w:val="left"/>
      <w:pPr>
        <w:tabs>
          <w:tab w:val="num" w:pos="2007"/>
        </w:tabs>
        <w:ind w:left="2007" w:hanging="720"/>
      </w:pPr>
      <w:rPr>
        <w:rFonts w:cs="Times New Roman" w:hint="default"/>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8"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B583A"/>
    <w:multiLevelType w:val="hybridMultilevel"/>
    <w:tmpl w:val="1168376E"/>
    <w:lvl w:ilvl="0" w:tplc="B262D66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1D270E9F"/>
    <w:multiLevelType w:val="hybridMultilevel"/>
    <w:tmpl w:val="A808CC1E"/>
    <w:lvl w:ilvl="0" w:tplc="5E8807EA">
      <w:start w:val="1"/>
      <w:numFmt w:val="lowerLetter"/>
      <w:lvlText w:val="(%1)"/>
      <w:lvlJc w:val="left"/>
      <w:pPr>
        <w:tabs>
          <w:tab w:val="num" w:pos="1080"/>
        </w:tabs>
        <w:ind w:left="1080" w:hanging="720"/>
      </w:pPr>
      <w:rPr>
        <w:rFonts w:cs="Times New Roman" w:hint="default"/>
      </w:rPr>
    </w:lvl>
    <w:lvl w:ilvl="1" w:tplc="570610B2">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35796B"/>
    <w:multiLevelType w:val="hybridMultilevel"/>
    <w:tmpl w:val="46603AB6"/>
    <w:lvl w:ilvl="0" w:tplc="82B035B8">
      <w:start w:val="1"/>
      <w:numFmt w:val="decimal"/>
      <w:lvlText w:val="%1."/>
      <w:lvlJc w:val="left"/>
      <w:pPr>
        <w:tabs>
          <w:tab w:val="num" w:pos="719"/>
        </w:tabs>
        <w:ind w:left="719" w:hanging="435"/>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47A1F29"/>
    <w:multiLevelType w:val="hybridMultilevel"/>
    <w:tmpl w:val="60FCFC3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63D1A82"/>
    <w:multiLevelType w:val="multilevel"/>
    <w:tmpl w:val="5D0AB6AC"/>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C05689E"/>
    <w:multiLevelType w:val="hybridMultilevel"/>
    <w:tmpl w:val="C36214A6"/>
    <w:lvl w:ilvl="0" w:tplc="A29CC3F4">
      <w:start w:val="1"/>
      <w:numFmt w:val="decimal"/>
      <w:lvlText w:val="%1."/>
      <w:lvlJc w:val="left"/>
      <w:pPr>
        <w:tabs>
          <w:tab w:val="num" w:pos="1080"/>
        </w:tabs>
        <w:ind w:left="1080" w:hanging="720"/>
      </w:pPr>
      <w:rPr>
        <w:rFonts w:cs="Times New Roman" w:hint="default"/>
      </w:rPr>
    </w:lvl>
    <w:lvl w:ilvl="1" w:tplc="DE66B3EE">
      <w:numFmt w:val="none"/>
      <w:lvlText w:val=""/>
      <w:lvlJc w:val="left"/>
      <w:pPr>
        <w:tabs>
          <w:tab w:val="num" w:pos="360"/>
        </w:tabs>
      </w:pPr>
      <w:rPr>
        <w:rFonts w:cs="Times New Roman"/>
      </w:rPr>
    </w:lvl>
    <w:lvl w:ilvl="2" w:tplc="5F883EF8">
      <w:numFmt w:val="none"/>
      <w:lvlText w:val=""/>
      <w:lvlJc w:val="left"/>
      <w:pPr>
        <w:tabs>
          <w:tab w:val="num" w:pos="360"/>
        </w:tabs>
      </w:pPr>
      <w:rPr>
        <w:rFonts w:cs="Times New Roman"/>
      </w:rPr>
    </w:lvl>
    <w:lvl w:ilvl="3" w:tplc="058ACD36">
      <w:numFmt w:val="none"/>
      <w:lvlText w:val=""/>
      <w:lvlJc w:val="left"/>
      <w:pPr>
        <w:tabs>
          <w:tab w:val="num" w:pos="360"/>
        </w:tabs>
      </w:pPr>
      <w:rPr>
        <w:rFonts w:cs="Times New Roman"/>
      </w:rPr>
    </w:lvl>
    <w:lvl w:ilvl="4" w:tplc="1D6C37D0">
      <w:numFmt w:val="none"/>
      <w:lvlText w:val=""/>
      <w:lvlJc w:val="left"/>
      <w:pPr>
        <w:tabs>
          <w:tab w:val="num" w:pos="360"/>
        </w:tabs>
      </w:pPr>
      <w:rPr>
        <w:rFonts w:cs="Times New Roman"/>
      </w:rPr>
    </w:lvl>
    <w:lvl w:ilvl="5" w:tplc="7F7ACEF8">
      <w:numFmt w:val="none"/>
      <w:lvlText w:val=""/>
      <w:lvlJc w:val="left"/>
      <w:pPr>
        <w:tabs>
          <w:tab w:val="num" w:pos="360"/>
        </w:tabs>
      </w:pPr>
      <w:rPr>
        <w:rFonts w:cs="Times New Roman"/>
      </w:rPr>
    </w:lvl>
    <w:lvl w:ilvl="6" w:tplc="7D64E4F6">
      <w:numFmt w:val="none"/>
      <w:lvlText w:val=""/>
      <w:lvlJc w:val="left"/>
      <w:pPr>
        <w:tabs>
          <w:tab w:val="num" w:pos="360"/>
        </w:tabs>
      </w:pPr>
      <w:rPr>
        <w:rFonts w:cs="Times New Roman"/>
      </w:rPr>
    </w:lvl>
    <w:lvl w:ilvl="7" w:tplc="3AF66BCA">
      <w:numFmt w:val="none"/>
      <w:lvlText w:val=""/>
      <w:lvlJc w:val="left"/>
      <w:pPr>
        <w:tabs>
          <w:tab w:val="num" w:pos="360"/>
        </w:tabs>
      </w:pPr>
      <w:rPr>
        <w:rFonts w:cs="Times New Roman"/>
      </w:rPr>
    </w:lvl>
    <w:lvl w:ilvl="8" w:tplc="B61495FE">
      <w:numFmt w:val="none"/>
      <w:lvlText w:val=""/>
      <w:lvlJc w:val="left"/>
      <w:pPr>
        <w:tabs>
          <w:tab w:val="num" w:pos="360"/>
        </w:tabs>
      </w:pPr>
      <w:rPr>
        <w:rFonts w:cs="Times New Roman"/>
      </w:rPr>
    </w:lvl>
  </w:abstractNum>
  <w:abstractNum w:abstractNumId="15" w15:restartNumberingAfterBreak="0">
    <w:nsid w:val="320E740B"/>
    <w:multiLevelType w:val="hybridMultilevel"/>
    <w:tmpl w:val="328EEB48"/>
    <w:lvl w:ilvl="0" w:tplc="6AACACFA">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16" w15:restartNumberingAfterBreak="0">
    <w:nsid w:val="33410978"/>
    <w:multiLevelType w:val="multilevel"/>
    <w:tmpl w:val="F0441B7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6692AB0"/>
    <w:multiLevelType w:val="hybridMultilevel"/>
    <w:tmpl w:val="030A09D8"/>
    <w:lvl w:ilvl="0" w:tplc="E4F88CDA">
      <w:start w:val="1"/>
      <w:numFmt w:val="lowerLetter"/>
      <w:lvlText w:val="(%1)"/>
      <w:lvlJc w:val="left"/>
      <w:pPr>
        <w:tabs>
          <w:tab w:val="num" w:pos="1436"/>
        </w:tabs>
        <w:ind w:left="1436" w:hanging="870"/>
      </w:pPr>
      <w:rPr>
        <w:rFonts w:cs="Times New Roman" w:hint="default"/>
      </w:rPr>
    </w:lvl>
    <w:lvl w:ilvl="1" w:tplc="26DC1044">
      <w:start w:val="19"/>
      <w:numFmt w:val="decimal"/>
      <w:lvlText w:val="%2."/>
      <w:lvlJc w:val="left"/>
      <w:pPr>
        <w:tabs>
          <w:tab w:val="num" w:pos="1646"/>
        </w:tabs>
        <w:ind w:left="1646" w:hanging="360"/>
      </w:pPr>
      <w:rPr>
        <w:rFonts w:cs="Times New Roman" w:hint="default"/>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18" w15:restartNumberingAfterBreak="0">
    <w:nsid w:val="388B5E4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B24266A"/>
    <w:multiLevelType w:val="hybridMultilevel"/>
    <w:tmpl w:val="8EF849B6"/>
    <w:lvl w:ilvl="0" w:tplc="503C607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BB7178F"/>
    <w:multiLevelType w:val="hybridMultilevel"/>
    <w:tmpl w:val="CEF88AB6"/>
    <w:lvl w:ilvl="0" w:tplc="D29AFB4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3BBD753F"/>
    <w:multiLevelType w:val="hybridMultilevel"/>
    <w:tmpl w:val="915E3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016C36"/>
    <w:multiLevelType w:val="hybridMultilevel"/>
    <w:tmpl w:val="64A81B56"/>
    <w:lvl w:ilvl="0" w:tplc="CD8CEE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5470D4"/>
    <w:multiLevelType w:val="hybridMultilevel"/>
    <w:tmpl w:val="66C07506"/>
    <w:lvl w:ilvl="0" w:tplc="6E22793C">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7FE1E5A"/>
    <w:multiLevelType w:val="multilevel"/>
    <w:tmpl w:val="2342F328"/>
    <w:lvl w:ilvl="0">
      <w:start w:val="1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536292"/>
    <w:multiLevelType w:val="hybridMultilevel"/>
    <w:tmpl w:val="B3CE563E"/>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E613C"/>
    <w:multiLevelType w:val="hybridMultilevel"/>
    <w:tmpl w:val="047099D4"/>
    <w:lvl w:ilvl="0" w:tplc="9A8C7F10">
      <w:start w:val="1"/>
      <w:numFmt w:val="low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AA604A"/>
    <w:multiLevelType w:val="multilevel"/>
    <w:tmpl w:val="9F38C8DE"/>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57DC60A2"/>
    <w:multiLevelType w:val="hybridMultilevel"/>
    <w:tmpl w:val="21A4D126"/>
    <w:lvl w:ilvl="0" w:tplc="4530C0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0" w15:restartNumberingAfterBreak="0">
    <w:nsid w:val="5B9C4A93"/>
    <w:multiLevelType w:val="multilevel"/>
    <w:tmpl w:val="5394E882"/>
    <w:lvl w:ilvl="0">
      <w:start w:val="8"/>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1" w15:restartNumberingAfterBreak="0">
    <w:nsid w:val="5C394D27"/>
    <w:multiLevelType w:val="hybridMultilevel"/>
    <w:tmpl w:val="FED4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62CD5"/>
    <w:multiLevelType w:val="hybridMultilevel"/>
    <w:tmpl w:val="40821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E4D9E"/>
    <w:multiLevelType w:val="hybridMultilevel"/>
    <w:tmpl w:val="2AB6DA94"/>
    <w:lvl w:ilvl="0" w:tplc="2146FEA8">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4" w15:restartNumberingAfterBreak="0">
    <w:nsid w:val="69A413E5"/>
    <w:multiLevelType w:val="hybridMultilevel"/>
    <w:tmpl w:val="63EA5E14"/>
    <w:lvl w:ilvl="0" w:tplc="7F1E097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B624AC"/>
    <w:multiLevelType w:val="hybridMultilevel"/>
    <w:tmpl w:val="9F724B70"/>
    <w:lvl w:ilvl="0" w:tplc="224AF010">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6" w15:restartNumberingAfterBreak="0">
    <w:nsid w:val="6FD03DA1"/>
    <w:multiLevelType w:val="hybridMultilevel"/>
    <w:tmpl w:val="FC46D57C"/>
    <w:lvl w:ilvl="0" w:tplc="62ACF7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6BC6CB8"/>
    <w:multiLevelType w:val="hybridMultilevel"/>
    <w:tmpl w:val="2E1AF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8FD4C01"/>
    <w:multiLevelType w:val="hybridMultilevel"/>
    <w:tmpl w:val="AD8A31B2"/>
    <w:lvl w:ilvl="0" w:tplc="F6C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24298"/>
    <w:multiLevelType w:val="hybridMultilevel"/>
    <w:tmpl w:val="ED98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127857"/>
    <w:multiLevelType w:val="hybridMultilevel"/>
    <w:tmpl w:val="D1F8B00A"/>
    <w:lvl w:ilvl="0" w:tplc="E09C4CB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9"/>
  </w:num>
  <w:num w:numId="3">
    <w:abstractNumId w:val="10"/>
  </w:num>
  <w:num w:numId="4">
    <w:abstractNumId w:val="21"/>
  </w:num>
  <w:num w:numId="5">
    <w:abstractNumId w:val="11"/>
  </w:num>
  <w:num w:numId="6">
    <w:abstractNumId w:val="30"/>
  </w:num>
  <w:num w:numId="7">
    <w:abstractNumId w:val="1"/>
    <w:lvlOverride w:ilvl="0">
      <w:lvl w:ilvl="0">
        <w:start w:val="1"/>
        <w:numFmt w:val="decimal"/>
        <w:pStyle w:val="Level1"/>
        <w:lvlText w:val="%1."/>
        <w:lvlJc w:val="left"/>
        <w:rPr>
          <w:rFonts w:cs="Times New Roman"/>
        </w:rPr>
      </w:lvl>
    </w:lvlOverride>
    <w:lvlOverride w:ilvl="1">
      <w:lvl w:ilvl="1">
        <w:start w:val="1"/>
        <w:numFmt w:val="decimal"/>
        <w:pStyle w:val="Level2"/>
        <w:lvlText w:val="(%1%2"/>
        <w:lvlJc w:val="left"/>
        <w:rPr>
          <w:rFonts w:cs="Times New Roman"/>
        </w:rPr>
      </w:lvl>
    </w:lvlOverride>
    <w:lvlOverride w:ilvl="2">
      <w:lvl w:ilvl="2">
        <w:start w:val="1"/>
        <w:numFmt w:val="decimal"/>
        <w:pStyle w:val="Level3"/>
        <w:lvlText w:val="(%2%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8">
    <w:abstractNumId w:val="29"/>
  </w:num>
  <w:num w:numId="9">
    <w:abstractNumId w:val="7"/>
  </w:num>
  <w:num w:numId="10">
    <w:abstractNumId w:val="20"/>
  </w:num>
  <w:num w:numId="11">
    <w:abstractNumId w:val="35"/>
  </w:num>
  <w:num w:numId="12">
    <w:abstractNumId w:val="3"/>
  </w:num>
  <w:num w:numId="13">
    <w:abstractNumId w:val="17"/>
  </w:num>
  <w:num w:numId="14">
    <w:abstractNumId w:val="33"/>
  </w:num>
  <w:num w:numId="15">
    <w:abstractNumId w:val="2"/>
  </w:num>
  <w:num w:numId="16">
    <w:abstractNumId w:val="9"/>
  </w:num>
  <w:num w:numId="17">
    <w:abstractNumId w:val="36"/>
  </w:num>
  <w:num w:numId="18">
    <w:abstractNumId w:val="19"/>
  </w:num>
  <w:num w:numId="19">
    <w:abstractNumId w:val="34"/>
  </w:num>
  <w:num w:numId="20">
    <w:abstractNumId w:val="40"/>
  </w:num>
  <w:num w:numId="21">
    <w:abstractNumId w:val="4"/>
  </w:num>
  <w:num w:numId="22">
    <w:abstractNumId w:val="15"/>
  </w:num>
  <w:num w:numId="23">
    <w:abstractNumId w:val="23"/>
  </w:num>
  <w:num w:numId="24">
    <w:abstractNumId w:val="14"/>
  </w:num>
  <w:num w:numId="25">
    <w:abstractNumId w:val="27"/>
  </w:num>
  <w:num w:numId="26">
    <w:abstractNumId w:val="0"/>
  </w:num>
  <w:num w:numId="27">
    <w:abstractNumId w:val="37"/>
  </w:num>
  <w:num w:numId="28">
    <w:abstractNumId w:val="6"/>
  </w:num>
  <w:num w:numId="29">
    <w:abstractNumId w:val="18"/>
  </w:num>
  <w:num w:numId="30">
    <w:abstractNumId w:val="12"/>
  </w:num>
  <w:num w:numId="31">
    <w:abstractNumId w:val="25"/>
  </w:num>
  <w:num w:numId="32">
    <w:abstractNumId w:val="24"/>
  </w:num>
  <w:num w:numId="33">
    <w:abstractNumId w:val="5"/>
  </w:num>
  <w:num w:numId="34">
    <w:abstractNumId w:val="16"/>
  </w:num>
  <w:num w:numId="35">
    <w:abstractNumId w:val="13"/>
  </w:num>
  <w:num w:numId="36">
    <w:abstractNumId w:val="28"/>
  </w:num>
  <w:num w:numId="37">
    <w:abstractNumId w:val="32"/>
  </w:num>
  <w:num w:numId="38">
    <w:abstractNumId w:val="8"/>
  </w:num>
  <w:num w:numId="39">
    <w:abstractNumId w:val="26"/>
  </w:num>
  <w:num w:numId="40">
    <w:abstractNumId w:val="38"/>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7"/>
    <w:rsid w:val="00007296"/>
    <w:rsid w:val="000254DF"/>
    <w:rsid w:val="00033415"/>
    <w:rsid w:val="00036C53"/>
    <w:rsid w:val="00037907"/>
    <w:rsid w:val="000518C2"/>
    <w:rsid w:val="00056DC1"/>
    <w:rsid w:val="00060156"/>
    <w:rsid w:val="00070BBC"/>
    <w:rsid w:val="00073C92"/>
    <w:rsid w:val="00080F03"/>
    <w:rsid w:val="000900E1"/>
    <w:rsid w:val="0009076A"/>
    <w:rsid w:val="000B6220"/>
    <w:rsid w:val="000C21B1"/>
    <w:rsid w:val="000C3C87"/>
    <w:rsid w:val="000C7460"/>
    <w:rsid w:val="000E01C1"/>
    <w:rsid w:val="000F1156"/>
    <w:rsid w:val="000F52BA"/>
    <w:rsid w:val="001151A3"/>
    <w:rsid w:val="0012294F"/>
    <w:rsid w:val="001245DF"/>
    <w:rsid w:val="00130BFD"/>
    <w:rsid w:val="001419C7"/>
    <w:rsid w:val="00150AC4"/>
    <w:rsid w:val="00162D88"/>
    <w:rsid w:val="00166ABA"/>
    <w:rsid w:val="001743FD"/>
    <w:rsid w:val="001764E6"/>
    <w:rsid w:val="001808F1"/>
    <w:rsid w:val="0018677A"/>
    <w:rsid w:val="001A28EB"/>
    <w:rsid w:val="001A33B6"/>
    <w:rsid w:val="001A61C8"/>
    <w:rsid w:val="001C3800"/>
    <w:rsid w:val="001C6038"/>
    <w:rsid w:val="001E420A"/>
    <w:rsid w:val="001F0A5C"/>
    <w:rsid w:val="001F60A1"/>
    <w:rsid w:val="00200A67"/>
    <w:rsid w:val="00201F88"/>
    <w:rsid w:val="00202332"/>
    <w:rsid w:val="002210F4"/>
    <w:rsid w:val="00234857"/>
    <w:rsid w:val="00236459"/>
    <w:rsid w:val="00254721"/>
    <w:rsid w:val="00260772"/>
    <w:rsid w:val="00263159"/>
    <w:rsid w:val="00275105"/>
    <w:rsid w:val="002779F7"/>
    <w:rsid w:val="002C187A"/>
    <w:rsid w:val="002C20F1"/>
    <w:rsid w:val="002D2863"/>
    <w:rsid w:val="002D5163"/>
    <w:rsid w:val="002D5EC0"/>
    <w:rsid w:val="002E3DEA"/>
    <w:rsid w:val="002E7CC2"/>
    <w:rsid w:val="002F6F9B"/>
    <w:rsid w:val="0033063D"/>
    <w:rsid w:val="003331C6"/>
    <w:rsid w:val="00345044"/>
    <w:rsid w:val="00351095"/>
    <w:rsid w:val="00354A9C"/>
    <w:rsid w:val="0035546C"/>
    <w:rsid w:val="00364973"/>
    <w:rsid w:val="00372347"/>
    <w:rsid w:val="003779D4"/>
    <w:rsid w:val="00382398"/>
    <w:rsid w:val="003909E4"/>
    <w:rsid w:val="003A0D8F"/>
    <w:rsid w:val="003A3E30"/>
    <w:rsid w:val="003A70FE"/>
    <w:rsid w:val="003B0C35"/>
    <w:rsid w:val="003B219E"/>
    <w:rsid w:val="003E21B3"/>
    <w:rsid w:val="00411E65"/>
    <w:rsid w:val="00420040"/>
    <w:rsid w:val="00423388"/>
    <w:rsid w:val="00426D73"/>
    <w:rsid w:val="00436CD2"/>
    <w:rsid w:val="00445546"/>
    <w:rsid w:val="00446037"/>
    <w:rsid w:val="00454913"/>
    <w:rsid w:val="00457441"/>
    <w:rsid w:val="004579F6"/>
    <w:rsid w:val="004656D0"/>
    <w:rsid w:val="00473ABD"/>
    <w:rsid w:val="00474B3D"/>
    <w:rsid w:val="00482DCA"/>
    <w:rsid w:val="00496B06"/>
    <w:rsid w:val="004B6CFD"/>
    <w:rsid w:val="004C204D"/>
    <w:rsid w:val="004C2682"/>
    <w:rsid w:val="004D0436"/>
    <w:rsid w:val="004D06D4"/>
    <w:rsid w:val="004D0936"/>
    <w:rsid w:val="004F243D"/>
    <w:rsid w:val="004F3D8D"/>
    <w:rsid w:val="005076F1"/>
    <w:rsid w:val="00512B91"/>
    <w:rsid w:val="005158EB"/>
    <w:rsid w:val="0052082F"/>
    <w:rsid w:val="00542FCC"/>
    <w:rsid w:val="00550F6F"/>
    <w:rsid w:val="00553795"/>
    <w:rsid w:val="0055762E"/>
    <w:rsid w:val="005612BD"/>
    <w:rsid w:val="005642CF"/>
    <w:rsid w:val="00564E3A"/>
    <w:rsid w:val="00565445"/>
    <w:rsid w:val="00566AF2"/>
    <w:rsid w:val="00575334"/>
    <w:rsid w:val="00593041"/>
    <w:rsid w:val="00593736"/>
    <w:rsid w:val="005B0F06"/>
    <w:rsid w:val="005B6141"/>
    <w:rsid w:val="005C0A7F"/>
    <w:rsid w:val="005C3F15"/>
    <w:rsid w:val="005E4313"/>
    <w:rsid w:val="005F3989"/>
    <w:rsid w:val="005F4303"/>
    <w:rsid w:val="00601B52"/>
    <w:rsid w:val="0060280B"/>
    <w:rsid w:val="00604422"/>
    <w:rsid w:val="006226F2"/>
    <w:rsid w:val="00644060"/>
    <w:rsid w:val="00651341"/>
    <w:rsid w:val="00667726"/>
    <w:rsid w:val="006815B2"/>
    <w:rsid w:val="00682B31"/>
    <w:rsid w:val="006864E1"/>
    <w:rsid w:val="006A610A"/>
    <w:rsid w:val="006B092D"/>
    <w:rsid w:val="006B1037"/>
    <w:rsid w:val="006E56AD"/>
    <w:rsid w:val="006E5763"/>
    <w:rsid w:val="006F6A33"/>
    <w:rsid w:val="00700F71"/>
    <w:rsid w:val="007101BB"/>
    <w:rsid w:val="00712CA9"/>
    <w:rsid w:val="00713308"/>
    <w:rsid w:val="00727E01"/>
    <w:rsid w:val="00757614"/>
    <w:rsid w:val="007641A9"/>
    <w:rsid w:val="007656CB"/>
    <w:rsid w:val="007728B4"/>
    <w:rsid w:val="0077622E"/>
    <w:rsid w:val="00777913"/>
    <w:rsid w:val="00777F15"/>
    <w:rsid w:val="00777FE4"/>
    <w:rsid w:val="00780BAF"/>
    <w:rsid w:val="0079075D"/>
    <w:rsid w:val="007A1B21"/>
    <w:rsid w:val="007C1468"/>
    <w:rsid w:val="007C41D7"/>
    <w:rsid w:val="007F16FB"/>
    <w:rsid w:val="007F1BBA"/>
    <w:rsid w:val="0081600F"/>
    <w:rsid w:val="0082722D"/>
    <w:rsid w:val="008274F7"/>
    <w:rsid w:val="008441F9"/>
    <w:rsid w:val="00846A99"/>
    <w:rsid w:val="008641D1"/>
    <w:rsid w:val="00872F67"/>
    <w:rsid w:val="00893346"/>
    <w:rsid w:val="008A0D8D"/>
    <w:rsid w:val="008A2722"/>
    <w:rsid w:val="008A3AC6"/>
    <w:rsid w:val="008B1A69"/>
    <w:rsid w:val="008C1A39"/>
    <w:rsid w:val="008E7DFB"/>
    <w:rsid w:val="008F7327"/>
    <w:rsid w:val="008F76F8"/>
    <w:rsid w:val="00902CB0"/>
    <w:rsid w:val="00905E5D"/>
    <w:rsid w:val="009076C8"/>
    <w:rsid w:val="00915BBE"/>
    <w:rsid w:val="00921D62"/>
    <w:rsid w:val="00922791"/>
    <w:rsid w:val="00926953"/>
    <w:rsid w:val="00927CD6"/>
    <w:rsid w:val="00933572"/>
    <w:rsid w:val="009355AE"/>
    <w:rsid w:val="009363C7"/>
    <w:rsid w:val="009375F5"/>
    <w:rsid w:val="00945FFB"/>
    <w:rsid w:val="00971F31"/>
    <w:rsid w:val="00972D36"/>
    <w:rsid w:val="00980406"/>
    <w:rsid w:val="00983987"/>
    <w:rsid w:val="009A2C8F"/>
    <w:rsid w:val="009A4CD2"/>
    <w:rsid w:val="009A7B65"/>
    <w:rsid w:val="009D2AD6"/>
    <w:rsid w:val="009D3A07"/>
    <w:rsid w:val="009D4711"/>
    <w:rsid w:val="009D5DA6"/>
    <w:rsid w:val="009E3A84"/>
    <w:rsid w:val="009E7ACC"/>
    <w:rsid w:val="009F450E"/>
    <w:rsid w:val="009F54DA"/>
    <w:rsid w:val="00A06984"/>
    <w:rsid w:val="00A1324E"/>
    <w:rsid w:val="00A27BE3"/>
    <w:rsid w:val="00A339B9"/>
    <w:rsid w:val="00A40EDF"/>
    <w:rsid w:val="00A568DF"/>
    <w:rsid w:val="00A73A79"/>
    <w:rsid w:val="00A91596"/>
    <w:rsid w:val="00A93C52"/>
    <w:rsid w:val="00AA7368"/>
    <w:rsid w:val="00AA7A90"/>
    <w:rsid w:val="00AB4FF9"/>
    <w:rsid w:val="00AE7B21"/>
    <w:rsid w:val="00AF1980"/>
    <w:rsid w:val="00AF2021"/>
    <w:rsid w:val="00B04144"/>
    <w:rsid w:val="00B408EF"/>
    <w:rsid w:val="00B428EE"/>
    <w:rsid w:val="00B471BD"/>
    <w:rsid w:val="00B50C2D"/>
    <w:rsid w:val="00B64904"/>
    <w:rsid w:val="00B96468"/>
    <w:rsid w:val="00BA60CE"/>
    <w:rsid w:val="00BA7E03"/>
    <w:rsid w:val="00BC5607"/>
    <w:rsid w:val="00BD3B21"/>
    <w:rsid w:val="00BE0D1D"/>
    <w:rsid w:val="00BE2448"/>
    <w:rsid w:val="00BE24D4"/>
    <w:rsid w:val="00BF2BE7"/>
    <w:rsid w:val="00C04519"/>
    <w:rsid w:val="00C05102"/>
    <w:rsid w:val="00C13FA6"/>
    <w:rsid w:val="00C169ED"/>
    <w:rsid w:val="00C5484D"/>
    <w:rsid w:val="00C618F2"/>
    <w:rsid w:val="00C63A47"/>
    <w:rsid w:val="00C6433A"/>
    <w:rsid w:val="00C73207"/>
    <w:rsid w:val="00C7602A"/>
    <w:rsid w:val="00C82ED9"/>
    <w:rsid w:val="00C8458A"/>
    <w:rsid w:val="00C87D68"/>
    <w:rsid w:val="00C9281B"/>
    <w:rsid w:val="00CA367A"/>
    <w:rsid w:val="00CB0366"/>
    <w:rsid w:val="00CB1D26"/>
    <w:rsid w:val="00CC4C21"/>
    <w:rsid w:val="00CC57AD"/>
    <w:rsid w:val="00CE5B83"/>
    <w:rsid w:val="00CF6EDD"/>
    <w:rsid w:val="00D05922"/>
    <w:rsid w:val="00D42AE1"/>
    <w:rsid w:val="00D605A4"/>
    <w:rsid w:val="00D61B13"/>
    <w:rsid w:val="00D7746A"/>
    <w:rsid w:val="00D8376F"/>
    <w:rsid w:val="00D838FE"/>
    <w:rsid w:val="00D8406F"/>
    <w:rsid w:val="00D859C7"/>
    <w:rsid w:val="00D9021F"/>
    <w:rsid w:val="00DA1080"/>
    <w:rsid w:val="00DA12C2"/>
    <w:rsid w:val="00DB30A6"/>
    <w:rsid w:val="00DB6360"/>
    <w:rsid w:val="00DB735D"/>
    <w:rsid w:val="00DD6A9E"/>
    <w:rsid w:val="00DF20AB"/>
    <w:rsid w:val="00E23367"/>
    <w:rsid w:val="00E30B00"/>
    <w:rsid w:val="00E31B92"/>
    <w:rsid w:val="00E475D4"/>
    <w:rsid w:val="00E5213E"/>
    <w:rsid w:val="00E74D1C"/>
    <w:rsid w:val="00E8776E"/>
    <w:rsid w:val="00E9237A"/>
    <w:rsid w:val="00EA0B88"/>
    <w:rsid w:val="00EB2285"/>
    <w:rsid w:val="00EC4294"/>
    <w:rsid w:val="00EC4891"/>
    <w:rsid w:val="00EC681E"/>
    <w:rsid w:val="00ED02D3"/>
    <w:rsid w:val="00ED5E31"/>
    <w:rsid w:val="00EE6091"/>
    <w:rsid w:val="00EE64C1"/>
    <w:rsid w:val="00EF193B"/>
    <w:rsid w:val="00F05AA0"/>
    <w:rsid w:val="00F061CB"/>
    <w:rsid w:val="00F24050"/>
    <w:rsid w:val="00F248AA"/>
    <w:rsid w:val="00F31539"/>
    <w:rsid w:val="00F444EC"/>
    <w:rsid w:val="00F45FE3"/>
    <w:rsid w:val="00F54D03"/>
    <w:rsid w:val="00F55FDA"/>
    <w:rsid w:val="00F6347A"/>
    <w:rsid w:val="00F7503A"/>
    <w:rsid w:val="00F817C6"/>
    <w:rsid w:val="00F81FEF"/>
    <w:rsid w:val="00F901E4"/>
    <w:rsid w:val="00F978B9"/>
    <w:rsid w:val="00FA61AF"/>
    <w:rsid w:val="00FB0E0A"/>
    <w:rsid w:val="00FB70A2"/>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88AA32"/>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163"/>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b/>
      <w:bCs/>
      <w:sz w:val="3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customStyle="1" w:styleId="p1">
    <w:name w:val="p1"/>
    <w:basedOn w:val="Normal"/>
    <w:rsid w:val="00EF193B"/>
    <w:pPr>
      <w:widowControl/>
      <w:autoSpaceDE/>
      <w:autoSpaceDN/>
      <w:adjustRightInd/>
    </w:pPr>
    <w:rPr>
      <w:sz w:val="17"/>
      <w:szCs w:val="17"/>
    </w:rPr>
  </w:style>
  <w:style w:type="character" w:customStyle="1" w:styleId="apple-converted-space">
    <w:name w:val="apple-converted-space"/>
    <w:basedOn w:val="DefaultParagraphFont"/>
    <w:rsid w:val="00EF193B"/>
  </w:style>
  <w:style w:type="character" w:customStyle="1" w:styleId="file">
    <w:name w:val="file"/>
    <w:basedOn w:val="DefaultParagraphFont"/>
    <w:rsid w:val="00033415"/>
  </w:style>
  <w:style w:type="paragraph" w:customStyle="1" w:styleId="p2">
    <w:name w:val="p2"/>
    <w:basedOn w:val="Normal"/>
    <w:rsid w:val="0018677A"/>
    <w:pPr>
      <w:widowControl/>
      <w:autoSpaceDE/>
      <w:autoSpaceDN/>
      <w:adjustRightInd/>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023">
      <w:bodyDiv w:val="1"/>
      <w:marLeft w:val="0"/>
      <w:marRight w:val="0"/>
      <w:marTop w:val="0"/>
      <w:marBottom w:val="0"/>
      <w:divBdr>
        <w:top w:val="none" w:sz="0" w:space="0" w:color="auto"/>
        <w:left w:val="none" w:sz="0" w:space="0" w:color="auto"/>
        <w:bottom w:val="none" w:sz="0" w:space="0" w:color="auto"/>
        <w:right w:val="none" w:sz="0" w:space="0" w:color="auto"/>
      </w:divBdr>
    </w:div>
    <w:div w:id="69886097">
      <w:bodyDiv w:val="1"/>
      <w:marLeft w:val="0"/>
      <w:marRight w:val="0"/>
      <w:marTop w:val="0"/>
      <w:marBottom w:val="0"/>
      <w:divBdr>
        <w:top w:val="none" w:sz="0" w:space="0" w:color="auto"/>
        <w:left w:val="none" w:sz="0" w:space="0" w:color="auto"/>
        <w:bottom w:val="none" w:sz="0" w:space="0" w:color="auto"/>
        <w:right w:val="none" w:sz="0" w:space="0" w:color="auto"/>
      </w:divBdr>
    </w:div>
    <w:div w:id="91828403">
      <w:bodyDiv w:val="1"/>
      <w:marLeft w:val="0"/>
      <w:marRight w:val="0"/>
      <w:marTop w:val="0"/>
      <w:marBottom w:val="0"/>
      <w:divBdr>
        <w:top w:val="none" w:sz="0" w:space="0" w:color="auto"/>
        <w:left w:val="none" w:sz="0" w:space="0" w:color="auto"/>
        <w:bottom w:val="none" w:sz="0" w:space="0" w:color="auto"/>
        <w:right w:val="none" w:sz="0" w:space="0" w:color="auto"/>
      </w:divBdr>
    </w:div>
    <w:div w:id="114836355">
      <w:bodyDiv w:val="1"/>
      <w:marLeft w:val="0"/>
      <w:marRight w:val="0"/>
      <w:marTop w:val="0"/>
      <w:marBottom w:val="0"/>
      <w:divBdr>
        <w:top w:val="none" w:sz="0" w:space="0" w:color="auto"/>
        <w:left w:val="none" w:sz="0" w:space="0" w:color="auto"/>
        <w:bottom w:val="none" w:sz="0" w:space="0" w:color="auto"/>
        <w:right w:val="none" w:sz="0" w:space="0" w:color="auto"/>
      </w:divBdr>
    </w:div>
    <w:div w:id="126239880">
      <w:bodyDiv w:val="1"/>
      <w:marLeft w:val="0"/>
      <w:marRight w:val="0"/>
      <w:marTop w:val="0"/>
      <w:marBottom w:val="0"/>
      <w:divBdr>
        <w:top w:val="none" w:sz="0" w:space="0" w:color="auto"/>
        <w:left w:val="none" w:sz="0" w:space="0" w:color="auto"/>
        <w:bottom w:val="none" w:sz="0" w:space="0" w:color="auto"/>
        <w:right w:val="none" w:sz="0" w:space="0" w:color="auto"/>
      </w:divBdr>
    </w:div>
    <w:div w:id="18043408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230120462">
      <w:bodyDiv w:val="1"/>
      <w:marLeft w:val="0"/>
      <w:marRight w:val="0"/>
      <w:marTop w:val="0"/>
      <w:marBottom w:val="0"/>
      <w:divBdr>
        <w:top w:val="none" w:sz="0" w:space="0" w:color="auto"/>
        <w:left w:val="none" w:sz="0" w:space="0" w:color="auto"/>
        <w:bottom w:val="none" w:sz="0" w:space="0" w:color="auto"/>
        <w:right w:val="none" w:sz="0" w:space="0" w:color="auto"/>
      </w:divBdr>
    </w:div>
    <w:div w:id="246353830">
      <w:bodyDiv w:val="1"/>
      <w:marLeft w:val="0"/>
      <w:marRight w:val="0"/>
      <w:marTop w:val="0"/>
      <w:marBottom w:val="0"/>
      <w:divBdr>
        <w:top w:val="none" w:sz="0" w:space="0" w:color="auto"/>
        <w:left w:val="none" w:sz="0" w:space="0" w:color="auto"/>
        <w:bottom w:val="none" w:sz="0" w:space="0" w:color="auto"/>
        <w:right w:val="none" w:sz="0" w:space="0" w:color="auto"/>
      </w:divBdr>
    </w:div>
    <w:div w:id="256409220">
      <w:bodyDiv w:val="1"/>
      <w:marLeft w:val="0"/>
      <w:marRight w:val="0"/>
      <w:marTop w:val="0"/>
      <w:marBottom w:val="0"/>
      <w:divBdr>
        <w:top w:val="none" w:sz="0" w:space="0" w:color="auto"/>
        <w:left w:val="none" w:sz="0" w:space="0" w:color="auto"/>
        <w:bottom w:val="none" w:sz="0" w:space="0" w:color="auto"/>
        <w:right w:val="none" w:sz="0" w:space="0" w:color="auto"/>
      </w:divBdr>
    </w:div>
    <w:div w:id="265231097">
      <w:bodyDiv w:val="1"/>
      <w:marLeft w:val="0"/>
      <w:marRight w:val="0"/>
      <w:marTop w:val="0"/>
      <w:marBottom w:val="0"/>
      <w:divBdr>
        <w:top w:val="none" w:sz="0" w:space="0" w:color="auto"/>
        <w:left w:val="none" w:sz="0" w:space="0" w:color="auto"/>
        <w:bottom w:val="none" w:sz="0" w:space="0" w:color="auto"/>
        <w:right w:val="none" w:sz="0" w:space="0" w:color="auto"/>
      </w:divBdr>
    </w:div>
    <w:div w:id="269628116">
      <w:bodyDiv w:val="1"/>
      <w:marLeft w:val="0"/>
      <w:marRight w:val="0"/>
      <w:marTop w:val="0"/>
      <w:marBottom w:val="0"/>
      <w:divBdr>
        <w:top w:val="none" w:sz="0" w:space="0" w:color="auto"/>
        <w:left w:val="none" w:sz="0" w:space="0" w:color="auto"/>
        <w:bottom w:val="none" w:sz="0" w:space="0" w:color="auto"/>
        <w:right w:val="none" w:sz="0" w:space="0" w:color="auto"/>
      </w:divBdr>
    </w:div>
    <w:div w:id="319699028">
      <w:bodyDiv w:val="1"/>
      <w:marLeft w:val="0"/>
      <w:marRight w:val="0"/>
      <w:marTop w:val="0"/>
      <w:marBottom w:val="0"/>
      <w:divBdr>
        <w:top w:val="none" w:sz="0" w:space="0" w:color="auto"/>
        <w:left w:val="none" w:sz="0" w:space="0" w:color="auto"/>
        <w:bottom w:val="none" w:sz="0" w:space="0" w:color="auto"/>
        <w:right w:val="none" w:sz="0" w:space="0" w:color="auto"/>
      </w:divBdr>
    </w:div>
    <w:div w:id="404229998">
      <w:bodyDiv w:val="1"/>
      <w:marLeft w:val="0"/>
      <w:marRight w:val="0"/>
      <w:marTop w:val="0"/>
      <w:marBottom w:val="0"/>
      <w:divBdr>
        <w:top w:val="none" w:sz="0" w:space="0" w:color="auto"/>
        <w:left w:val="none" w:sz="0" w:space="0" w:color="auto"/>
        <w:bottom w:val="none" w:sz="0" w:space="0" w:color="auto"/>
        <w:right w:val="none" w:sz="0" w:space="0" w:color="auto"/>
      </w:divBdr>
    </w:div>
    <w:div w:id="461652521">
      <w:bodyDiv w:val="1"/>
      <w:marLeft w:val="0"/>
      <w:marRight w:val="0"/>
      <w:marTop w:val="0"/>
      <w:marBottom w:val="0"/>
      <w:divBdr>
        <w:top w:val="none" w:sz="0" w:space="0" w:color="auto"/>
        <w:left w:val="none" w:sz="0" w:space="0" w:color="auto"/>
        <w:bottom w:val="none" w:sz="0" w:space="0" w:color="auto"/>
        <w:right w:val="none" w:sz="0" w:space="0" w:color="auto"/>
      </w:divBdr>
    </w:div>
    <w:div w:id="485584374">
      <w:bodyDiv w:val="1"/>
      <w:marLeft w:val="0"/>
      <w:marRight w:val="0"/>
      <w:marTop w:val="0"/>
      <w:marBottom w:val="0"/>
      <w:divBdr>
        <w:top w:val="none" w:sz="0" w:space="0" w:color="auto"/>
        <w:left w:val="none" w:sz="0" w:space="0" w:color="auto"/>
        <w:bottom w:val="none" w:sz="0" w:space="0" w:color="auto"/>
        <w:right w:val="none" w:sz="0" w:space="0" w:color="auto"/>
      </w:divBdr>
    </w:div>
    <w:div w:id="493880095">
      <w:bodyDiv w:val="1"/>
      <w:marLeft w:val="0"/>
      <w:marRight w:val="0"/>
      <w:marTop w:val="0"/>
      <w:marBottom w:val="0"/>
      <w:divBdr>
        <w:top w:val="none" w:sz="0" w:space="0" w:color="auto"/>
        <w:left w:val="none" w:sz="0" w:space="0" w:color="auto"/>
        <w:bottom w:val="none" w:sz="0" w:space="0" w:color="auto"/>
        <w:right w:val="none" w:sz="0" w:space="0" w:color="auto"/>
      </w:divBdr>
    </w:div>
    <w:div w:id="513423062">
      <w:bodyDiv w:val="1"/>
      <w:marLeft w:val="0"/>
      <w:marRight w:val="0"/>
      <w:marTop w:val="0"/>
      <w:marBottom w:val="0"/>
      <w:divBdr>
        <w:top w:val="none" w:sz="0" w:space="0" w:color="auto"/>
        <w:left w:val="none" w:sz="0" w:space="0" w:color="auto"/>
        <w:bottom w:val="none" w:sz="0" w:space="0" w:color="auto"/>
        <w:right w:val="none" w:sz="0" w:space="0" w:color="auto"/>
      </w:divBdr>
    </w:div>
    <w:div w:id="513688697">
      <w:bodyDiv w:val="1"/>
      <w:marLeft w:val="0"/>
      <w:marRight w:val="0"/>
      <w:marTop w:val="0"/>
      <w:marBottom w:val="0"/>
      <w:divBdr>
        <w:top w:val="none" w:sz="0" w:space="0" w:color="auto"/>
        <w:left w:val="none" w:sz="0" w:space="0" w:color="auto"/>
        <w:bottom w:val="none" w:sz="0" w:space="0" w:color="auto"/>
        <w:right w:val="none" w:sz="0" w:space="0" w:color="auto"/>
      </w:divBdr>
    </w:div>
    <w:div w:id="528029224">
      <w:bodyDiv w:val="1"/>
      <w:marLeft w:val="0"/>
      <w:marRight w:val="0"/>
      <w:marTop w:val="0"/>
      <w:marBottom w:val="0"/>
      <w:divBdr>
        <w:top w:val="none" w:sz="0" w:space="0" w:color="auto"/>
        <w:left w:val="none" w:sz="0" w:space="0" w:color="auto"/>
        <w:bottom w:val="none" w:sz="0" w:space="0" w:color="auto"/>
        <w:right w:val="none" w:sz="0" w:space="0" w:color="auto"/>
      </w:divBdr>
    </w:div>
    <w:div w:id="536553395">
      <w:bodyDiv w:val="1"/>
      <w:marLeft w:val="0"/>
      <w:marRight w:val="0"/>
      <w:marTop w:val="0"/>
      <w:marBottom w:val="0"/>
      <w:divBdr>
        <w:top w:val="none" w:sz="0" w:space="0" w:color="auto"/>
        <w:left w:val="none" w:sz="0" w:space="0" w:color="auto"/>
        <w:bottom w:val="none" w:sz="0" w:space="0" w:color="auto"/>
        <w:right w:val="none" w:sz="0" w:space="0" w:color="auto"/>
      </w:divBdr>
    </w:div>
    <w:div w:id="588928850">
      <w:bodyDiv w:val="1"/>
      <w:marLeft w:val="0"/>
      <w:marRight w:val="0"/>
      <w:marTop w:val="0"/>
      <w:marBottom w:val="0"/>
      <w:divBdr>
        <w:top w:val="none" w:sz="0" w:space="0" w:color="auto"/>
        <w:left w:val="none" w:sz="0" w:space="0" w:color="auto"/>
        <w:bottom w:val="none" w:sz="0" w:space="0" w:color="auto"/>
        <w:right w:val="none" w:sz="0" w:space="0" w:color="auto"/>
      </w:divBdr>
    </w:div>
    <w:div w:id="651059738">
      <w:bodyDiv w:val="1"/>
      <w:marLeft w:val="0"/>
      <w:marRight w:val="0"/>
      <w:marTop w:val="0"/>
      <w:marBottom w:val="0"/>
      <w:divBdr>
        <w:top w:val="none" w:sz="0" w:space="0" w:color="auto"/>
        <w:left w:val="none" w:sz="0" w:space="0" w:color="auto"/>
        <w:bottom w:val="none" w:sz="0" w:space="0" w:color="auto"/>
        <w:right w:val="none" w:sz="0" w:space="0" w:color="auto"/>
      </w:divBdr>
    </w:div>
    <w:div w:id="684870183">
      <w:bodyDiv w:val="1"/>
      <w:marLeft w:val="0"/>
      <w:marRight w:val="0"/>
      <w:marTop w:val="0"/>
      <w:marBottom w:val="0"/>
      <w:divBdr>
        <w:top w:val="none" w:sz="0" w:space="0" w:color="auto"/>
        <w:left w:val="none" w:sz="0" w:space="0" w:color="auto"/>
        <w:bottom w:val="none" w:sz="0" w:space="0" w:color="auto"/>
        <w:right w:val="none" w:sz="0" w:space="0" w:color="auto"/>
      </w:divBdr>
    </w:div>
    <w:div w:id="688020993">
      <w:bodyDiv w:val="1"/>
      <w:marLeft w:val="0"/>
      <w:marRight w:val="0"/>
      <w:marTop w:val="0"/>
      <w:marBottom w:val="0"/>
      <w:divBdr>
        <w:top w:val="none" w:sz="0" w:space="0" w:color="auto"/>
        <w:left w:val="none" w:sz="0" w:space="0" w:color="auto"/>
        <w:bottom w:val="none" w:sz="0" w:space="0" w:color="auto"/>
        <w:right w:val="none" w:sz="0" w:space="0" w:color="auto"/>
      </w:divBdr>
    </w:div>
    <w:div w:id="701252486">
      <w:bodyDiv w:val="1"/>
      <w:marLeft w:val="0"/>
      <w:marRight w:val="0"/>
      <w:marTop w:val="0"/>
      <w:marBottom w:val="0"/>
      <w:divBdr>
        <w:top w:val="none" w:sz="0" w:space="0" w:color="auto"/>
        <w:left w:val="none" w:sz="0" w:space="0" w:color="auto"/>
        <w:bottom w:val="none" w:sz="0" w:space="0" w:color="auto"/>
        <w:right w:val="none" w:sz="0" w:space="0" w:color="auto"/>
      </w:divBdr>
    </w:div>
    <w:div w:id="704643337">
      <w:bodyDiv w:val="1"/>
      <w:marLeft w:val="0"/>
      <w:marRight w:val="0"/>
      <w:marTop w:val="0"/>
      <w:marBottom w:val="0"/>
      <w:divBdr>
        <w:top w:val="none" w:sz="0" w:space="0" w:color="auto"/>
        <w:left w:val="none" w:sz="0" w:space="0" w:color="auto"/>
        <w:bottom w:val="none" w:sz="0" w:space="0" w:color="auto"/>
        <w:right w:val="none" w:sz="0" w:space="0" w:color="auto"/>
      </w:divBdr>
    </w:div>
    <w:div w:id="722867151">
      <w:bodyDiv w:val="1"/>
      <w:marLeft w:val="0"/>
      <w:marRight w:val="0"/>
      <w:marTop w:val="0"/>
      <w:marBottom w:val="0"/>
      <w:divBdr>
        <w:top w:val="none" w:sz="0" w:space="0" w:color="auto"/>
        <w:left w:val="none" w:sz="0" w:space="0" w:color="auto"/>
        <w:bottom w:val="none" w:sz="0" w:space="0" w:color="auto"/>
        <w:right w:val="none" w:sz="0" w:space="0" w:color="auto"/>
      </w:divBdr>
    </w:div>
    <w:div w:id="732850782">
      <w:bodyDiv w:val="1"/>
      <w:marLeft w:val="0"/>
      <w:marRight w:val="0"/>
      <w:marTop w:val="0"/>
      <w:marBottom w:val="0"/>
      <w:divBdr>
        <w:top w:val="none" w:sz="0" w:space="0" w:color="auto"/>
        <w:left w:val="none" w:sz="0" w:space="0" w:color="auto"/>
        <w:bottom w:val="none" w:sz="0" w:space="0" w:color="auto"/>
        <w:right w:val="none" w:sz="0" w:space="0" w:color="auto"/>
      </w:divBdr>
    </w:div>
    <w:div w:id="737942971">
      <w:bodyDiv w:val="1"/>
      <w:marLeft w:val="0"/>
      <w:marRight w:val="0"/>
      <w:marTop w:val="0"/>
      <w:marBottom w:val="0"/>
      <w:divBdr>
        <w:top w:val="none" w:sz="0" w:space="0" w:color="auto"/>
        <w:left w:val="none" w:sz="0" w:space="0" w:color="auto"/>
        <w:bottom w:val="none" w:sz="0" w:space="0" w:color="auto"/>
        <w:right w:val="none" w:sz="0" w:space="0" w:color="auto"/>
      </w:divBdr>
    </w:div>
    <w:div w:id="772632095">
      <w:bodyDiv w:val="1"/>
      <w:marLeft w:val="0"/>
      <w:marRight w:val="0"/>
      <w:marTop w:val="0"/>
      <w:marBottom w:val="0"/>
      <w:divBdr>
        <w:top w:val="none" w:sz="0" w:space="0" w:color="auto"/>
        <w:left w:val="none" w:sz="0" w:space="0" w:color="auto"/>
        <w:bottom w:val="none" w:sz="0" w:space="0" w:color="auto"/>
        <w:right w:val="none" w:sz="0" w:space="0" w:color="auto"/>
      </w:divBdr>
    </w:div>
    <w:div w:id="774906422">
      <w:bodyDiv w:val="1"/>
      <w:marLeft w:val="0"/>
      <w:marRight w:val="0"/>
      <w:marTop w:val="0"/>
      <w:marBottom w:val="0"/>
      <w:divBdr>
        <w:top w:val="none" w:sz="0" w:space="0" w:color="auto"/>
        <w:left w:val="none" w:sz="0" w:space="0" w:color="auto"/>
        <w:bottom w:val="none" w:sz="0" w:space="0" w:color="auto"/>
        <w:right w:val="none" w:sz="0" w:space="0" w:color="auto"/>
      </w:divBdr>
    </w:div>
    <w:div w:id="861364244">
      <w:bodyDiv w:val="1"/>
      <w:marLeft w:val="0"/>
      <w:marRight w:val="0"/>
      <w:marTop w:val="0"/>
      <w:marBottom w:val="0"/>
      <w:divBdr>
        <w:top w:val="none" w:sz="0" w:space="0" w:color="auto"/>
        <w:left w:val="none" w:sz="0" w:space="0" w:color="auto"/>
        <w:bottom w:val="none" w:sz="0" w:space="0" w:color="auto"/>
        <w:right w:val="none" w:sz="0" w:space="0" w:color="auto"/>
      </w:divBdr>
    </w:div>
    <w:div w:id="909577399">
      <w:bodyDiv w:val="1"/>
      <w:marLeft w:val="0"/>
      <w:marRight w:val="0"/>
      <w:marTop w:val="0"/>
      <w:marBottom w:val="0"/>
      <w:divBdr>
        <w:top w:val="none" w:sz="0" w:space="0" w:color="auto"/>
        <w:left w:val="none" w:sz="0" w:space="0" w:color="auto"/>
        <w:bottom w:val="none" w:sz="0" w:space="0" w:color="auto"/>
        <w:right w:val="none" w:sz="0" w:space="0" w:color="auto"/>
      </w:divBdr>
    </w:div>
    <w:div w:id="1109545614">
      <w:bodyDiv w:val="1"/>
      <w:marLeft w:val="0"/>
      <w:marRight w:val="0"/>
      <w:marTop w:val="0"/>
      <w:marBottom w:val="0"/>
      <w:divBdr>
        <w:top w:val="none" w:sz="0" w:space="0" w:color="auto"/>
        <w:left w:val="none" w:sz="0" w:space="0" w:color="auto"/>
        <w:bottom w:val="none" w:sz="0" w:space="0" w:color="auto"/>
        <w:right w:val="none" w:sz="0" w:space="0" w:color="auto"/>
      </w:divBdr>
    </w:div>
    <w:div w:id="1112867272">
      <w:bodyDiv w:val="1"/>
      <w:marLeft w:val="0"/>
      <w:marRight w:val="0"/>
      <w:marTop w:val="0"/>
      <w:marBottom w:val="0"/>
      <w:divBdr>
        <w:top w:val="none" w:sz="0" w:space="0" w:color="auto"/>
        <w:left w:val="none" w:sz="0" w:space="0" w:color="auto"/>
        <w:bottom w:val="none" w:sz="0" w:space="0" w:color="auto"/>
        <w:right w:val="none" w:sz="0" w:space="0" w:color="auto"/>
      </w:divBdr>
    </w:div>
    <w:div w:id="1175725329">
      <w:bodyDiv w:val="1"/>
      <w:marLeft w:val="0"/>
      <w:marRight w:val="0"/>
      <w:marTop w:val="0"/>
      <w:marBottom w:val="0"/>
      <w:divBdr>
        <w:top w:val="none" w:sz="0" w:space="0" w:color="auto"/>
        <w:left w:val="none" w:sz="0" w:space="0" w:color="auto"/>
        <w:bottom w:val="none" w:sz="0" w:space="0" w:color="auto"/>
        <w:right w:val="none" w:sz="0" w:space="0" w:color="auto"/>
      </w:divBdr>
    </w:div>
    <w:div w:id="1191724641">
      <w:bodyDiv w:val="1"/>
      <w:marLeft w:val="0"/>
      <w:marRight w:val="0"/>
      <w:marTop w:val="0"/>
      <w:marBottom w:val="0"/>
      <w:divBdr>
        <w:top w:val="none" w:sz="0" w:space="0" w:color="auto"/>
        <w:left w:val="none" w:sz="0" w:space="0" w:color="auto"/>
        <w:bottom w:val="none" w:sz="0" w:space="0" w:color="auto"/>
        <w:right w:val="none" w:sz="0" w:space="0" w:color="auto"/>
      </w:divBdr>
    </w:div>
    <w:div w:id="1199125682">
      <w:bodyDiv w:val="1"/>
      <w:marLeft w:val="0"/>
      <w:marRight w:val="0"/>
      <w:marTop w:val="0"/>
      <w:marBottom w:val="0"/>
      <w:divBdr>
        <w:top w:val="none" w:sz="0" w:space="0" w:color="auto"/>
        <w:left w:val="none" w:sz="0" w:space="0" w:color="auto"/>
        <w:bottom w:val="none" w:sz="0" w:space="0" w:color="auto"/>
        <w:right w:val="none" w:sz="0" w:space="0" w:color="auto"/>
      </w:divBdr>
    </w:div>
    <w:div w:id="1200624620">
      <w:bodyDiv w:val="1"/>
      <w:marLeft w:val="0"/>
      <w:marRight w:val="0"/>
      <w:marTop w:val="0"/>
      <w:marBottom w:val="0"/>
      <w:divBdr>
        <w:top w:val="none" w:sz="0" w:space="0" w:color="auto"/>
        <w:left w:val="none" w:sz="0" w:space="0" w:color="auto"/>
        <w:bottom w:val="none" w:sz="0" w:space="0" w:color="auto"/>
        <w:right w:val="none" w:sz="0" w:space="0" w:color="auto"/>
      </w:divBdr>
    </w:div>
    <w:div w:id="1217157030">
      <w:bodyDiv w:val="1"/>
      <w:marLeft w:val="0"/>
      <w:marRight w:val="0"/>
      <w:marTop w:val="0"/>
      <w:marBottom w:val="0"/>
      <w:divBdr>
        <w:top w:val="none" w:sz="0" w:space="0" w:color="auto"/>
        <w:left w:val="none" w:sz="0" w:space="0" w:color="auto"/>
        <w:bottom w:val="none" w:sz="0" w:space="0" w:color="auto"/>
        <w:right w:val="none" w:sz="0" w:space="0" w:color="auto"/>
      </w:divBdr>
    </w:div>
    <w:div w:id="1224563332">
      <w:bodyDiv w:val="1"/>
      <w:marLeft w:val="0"/>
      <w:marRight w:val="0"/>
      <w:marTop w:val="0"/>
      <w:marBottom w:val="0"/>
      <w:divBdr>
        <w:top w:val="none" w:sz="0" w:space="0" w:color="auto"/>
        <w:left w:val="none" w:sz="0" w:space="0" w:color="auto"/>
        <w:bottom w:val="none" w:sz="0" w:space="0" w:color="auto"/>
        <w:right w:val="none" w:sz="0" w:space="0" w:color="auto"/>
      </w:divBdr>
    </w:div>
    <w:div w:id="1249846314">
      <w:bodyDiv w:val="1"/>
      <w:marLeft w:val="0"/>
      <w:marRight w:val="0"/>
      <w:marTop w:val="0"/>
      <w:marBottom w:val="0"/>
      <w:divBdr>
        <w:top w:val="none" w:sz="0" w:space="0" w:color="auto"/>
        <w:left w:val="none" w:sz="0" w:space="0" w:color="auto"/>
        <w:bottom w:val="none" w:sz="0" w:space="0" w:color="auto"/>
        <w:right w:val="none" w:sz="0" w:space="0" w:color="auto"/>
      </w:divBdr>
    </w:div>
    <w:div w:id="1254901301">
      <w:bodyDiv w:val="1"/>
      <w:marLeft w:val="0"/>
      <w:marRight w:val="0"/>
      <w:marTop w:val="0"/>
      <w:marBottom w:val="0"/>
      <w:divBdr>
        <w:top w:val="none" w:sz="0" w:space="0" w:color="auto"/>
        <w:left w:val="none" w:sz="0" w:space="0" w:color="auto"/>
        <w:bottom w:val="none" w:sz="0" w:space="0" w:color="auto"/>
        <w:right w:val="none" w:sz="0" w:space="0" w:color="auto"/>
      </w:divBdr>
    </w:div>
    <w:div w:id="1380089173">
      <w:bodyDiv w:val="1"/>
      <w:marLeft w:val="0"/>
      <w:marRight w:val="0"/>
      <w:marTop w:val="0"/>
      <w:marBottom w:val="0"/>
      <w:divBdr>
        <w:top w:val="none" w:sz="0" w:space="0" w:color="auto"/>
        <w:left w:val="none" w:sz="0" w:space="0" w:color="auto"/>
        <w:bottom w:val="none" w:sz="0" w:space="0" w:color="auto"/>
        <w:right w:val="none" w:sz="0" w:space="0" w:color="auto"/>
      </w:divBdr>
    </w:div>
    <w:div w:id="1386181691">
      <w:bodyDiv w:val="1"/>
      <w:marLeft w:val="0"/>
      <w:marRight w:val="0"/>
      <w:marTop w:val="0"/>
      <w:marBottom w:val="0"/>
      <w:divBdr>
        <w:top w:val="none" w:sz="0" w:space="0" w:color="auto"/>
        <w:left w:val="none" w:sz="0" w:space="0" w:color="auto"/>
        <w:bottom w:val="none" w:sz="0" w:space="0" w:color="auto"/>
        <w:right w:val="none" w:sz="0" w:space="0" w:color="auto"/>
      </w:divBdr>
    </w:div>
    <w:div w:id="1394698987">
      <w:bodyDiv w:val="1"/>
      <w:marLeft w:val="0"/>
      <w:marRight w:val="0"/>
      <w:marTop w:val="0"/>
      <w:marBottom w:val="0"/>
      <w:divBdr>
        <w:top w:val="none" w:sz="0" w:space="0" w:color="auto"/>
        <w:left w:val="none" w:sz="0" w:space="0" w:color="auto"/>
        <w:bottom w:val="none" w:sz="0" w:space="0" w:color="auto"/>
        <w:right w:val="none" w:sz="0" w:space="0" w:color="auto"/>
      </w:divBdr>
    </w:div>
    <w:div w:id="1454321454">
      <w:bodyDiv w:val="1"/>
      <w:marLeft w:val="0"/>
      <w:marRight w:val="0"/>
      <w:marTop w:val="0"/>
      <w:marBottom w:val="0"/>
      <w:divBdr>
        <w:top w:val="none" w:sz="0" w:space="0" w:color="auto"/>
        <w:left w:val="none" w:sz="0" w:space="0" w:color="auto"/>
        <w:bottom w:val="none" w:sz="0" w:space="0" w:color="auto"/>
        <w:right w:val="none" w:sz="0" w:space="0" w:color="auto"/>
      </w:divBdr>
    </w:div>
    <w:div w:id="1460301676">
      <w:bodyDiv w:val="1"/>
      <w:marLeft w:val="0"/>
      <w:marRight w:val="0"/>
      <w:marTop w:val="0"/>
      <w:marBottom w:val="0"/>
      <w:divBdr>
        <w:top w:val="none" w:sz="0" w:space="0" w:color="auto"/>
        <w:left w:val="none" w:sz="0" w:space="0" w:color="auto"/>
        <w:bottom w:val="none" w:sz="0" w:space="0" w:color="auto"/>
        <w:right w:val="none" w:sz="0" w:space="0" w:color="auto"/>
      </w:divBdr>
    </w:div>
    <w:div w:id="1482889809">
      <w:bodyDiv w:val="1"/>
      <w:marLeft w:val="0"/>
      <w:marRight w:val="0"/>
      <w:marTop w:val="0"/>
      <w:marBottom w:val="0"/>
      <w:divBdr>
        <w:top w:val="none" w:sz="0" w:space="0" w:color="auto"/>
        <w:left w:val="none" w:sz="0" w:space="0" w:color="auto"/>
        <w:bottom w:val="none" w:sz="0" w:space="0" w:color="auto"/>
        <w:right w:val="none" w:sz="0" w:space="0" w:color="auto"/>
      </w:divBdr>
    </w:div>
    <w:div w:id="1497722184">
      <w:bodyDiv w:val="1"/>
      <w:marLeft w:val="0"/>
      <w:marRight w:val="0"/>
      <w:marTop w:val="0"/>
      <w:marBottom w:val="0"/>
      <w:divBdr>
        <w:top w:val="none" w:sz="0" w:space="0" w:color="auto"/>
        <w:left w:val="none" w:sz="0" w:space="0" w:color="auto"/>
        <w:bottom w:val="none" w:sz="0" w:space="0" w:color="auto"/>
        <w:right w:val="none" w:sz="0" w:space="0" w:color="auto"/>
      </w:divBdr>
    </w:div>
    <w:div w:id="1502348742">
      <w:bodyDiv w:val="1"/>
      <w:marLeft w:val="0"/>
      <w:marRight w:val="0"/>
      <w:marTop w:val="0"/>
      <w:marBottom w:val="0"/>
      <w:divBdr>
        <w:top w:val="none" w:sz="0" w:space="0" w:color="auto"/>
        <w:left w:val="none" w:sz="0" w:space="0" w:color="auto"/>
        <w:bottom w:val="none" w:sz="0" w:space="0" w:color="auto"/>
        <w:right w:val="none" w:sz="0" w:space="0" w:color="auto"/>
      </w:divBdr>
    </w:div>
    <w:div w:id="1520125763">
      <w:bodyDiv w:val="1"/>
      <w:marLeft w:val="0"/>
      <w:marRight w:val="0"/>
      <w:marTop w:val="0"/>
      <w:marBottom w:val="0"/>
      <w:divBdr>
        <w:top w:val="none" w:sz="0" w:space="0" w:color="auto"/>
        <w:left w:val="none" w:sz="0" w:space="0" w:color="auto"/>
        <w:bottom w:val="none" w:sz="0" w:space="0" w:color="auto"/>
        <w:right w:val="none" w:sz="0" w:space="0" w:color="auto"/>
      </w:divBdr>
    </w:div>
    <w:div w:id="1546256512">
      <w:bodyDiv w:val="1"/>
      <w:marLeft w:val="0"/>
      <w:marRight w:val="0"/>
      <w:marTop w:val="0"/>
      <w:marBottom w:val="0"/>
      <w:divBdr>
        <w:top w:val="none" w:sz="0" w:space="0" w:color="auto"/>
        <w:left w:val="none" w:sz="0" w:space="0" w:color="auto"/>
        <w:bottom w:val="none" w:sz="0" w:space="0" w:color="auto"/>
        <w:right w:val="none" w:sz="0" w:space="0" w:color="auto"/>
      </w:divBdr>
    </w:div>
    <w:div w:id="1566642022">
      <w:bodyDiv w:val="1"/>
      <w:marLeft w:val="0"/>
      <w:marRight w:val="0"/>
      <w:marTop w:val="0"/>
      <w:marBottom w:val="0"/>
      <w:divBdr>
        <w:top w:val="none" w:sz="0" w:space="0" w:color="auto"/>
        <w:left w:val="none" w:sz="0" w:space="0" w:color="auto"/>
        <w:bottom w:val="none" w:sz="0" w:space="0" w:color="auto"/>
        <w:right w:val="none" w:sz="0" w:space="0" w:color="auto"/>
      </w:divBdr>
    </w:div>
    <w:div w:id="1593926554">
      <w:bodyDiv w:val="1"/>
      <w:marLeft w:val="0"/>
      <w:marRight w:val="0"/>
      <w:marTop w:val="0"/>
      <w:marBottom w:val="0"/>
      <w:divBdr>
        <w:top w:val="none" w:sz="0" w:space="0" w:color="auto"/>
        <w:left w:val="none" w:sz="0" w:space="0" w:color="auto"/>
        <w:bottom w:val="none" w:sz="0" w:space="0" w:color="auto"/>
        <w:right w:val="none" w:sz="0" w:space="0" w:color="auto"/>
      </w:divBdr>
    </w:div>
    <w:div w:id="1618491835">
      <w:bodyDiv w:val="1"/>
      <w:marLeft w:val="0"/>
      <w:marRight w:val="0"/>
      <w:marTop w:val="0"/>
      <w:marBottom w:val="0"/>
      <w:divBdr>
        <w:top w:val="none" w:sz="0" w:space="0" w:color="auto"/>
        <w:left w:val="none" w:sz="0" w:space="0" w:color="auto"/>
        <w:bottom w:val="none" w:sz="0" w:space="0" w:color="auto"/>
        <w:right w:val="none" w:sz="0" w:space="0" w:color="auto"/>
      </w:divBdr>
    </w:div>
    <w:div w:id="1643386105">
      <w:bodyDiv w:val="1"/>
      <w:marLeft w:val="0"/>
      <w:marRight w:val="0"/>
      <w:marTop w:val="0"/>
      <w:marBottom w:val="0"/>
      <w:divBdr>
        <w:top w:val="none" w:sz="0" w:space="0" w:color="auto"/>
        <w:left w:val="none" w:sz="0" w:space="0" w:color="auto"/>
        <w:bottom w:val="none" w:sz="0" w:space="0" w:color="auto"/>
        <w:right w:val="none" w:sz="0" w:space="0" w:color="auto"/>
      </w:divBdr>
    </w:div>
    <w:div w:id="1672565469">
      <w:bodyDiv w:val="1"/>
      <w:marLeft w:val="0"/>
      <w:marRight w:val="0"/>
      <w:marTop w:val="0"/>
      <w:marBottom w:val="0"/>
      <w:divBdr>
        <w:top w:val="none" w:sz="0" w:space="0" w:color="auto"/>
        <w:left w:val="none" w:sz="0" w:space="0" w:color="auto"/>
        <w:bottom w:val="none" w:sz="0" w:space="0" w:color="auto"/>
        <w:right w:val="none" w:sz="0" w:space="0" w:color="auto"/>
      </w:divBdr>
    </w:div>
    <w:div w:id="1788616586">
      <w:bodyDiv w:val="1"/>
      <w:marLeft w:val="0"/>
      <w:marRight w:val="0"/>
      <w:marTop w:val="0"/>
      <w:marBottom w:val="0"/>
      <w:divBdr>
        <w:top w:val="none" w:sz="0" w:space="0" w:color="auto"/>
        <w:left w:val="none" w:sz="0" w:space="0" w:color="auto"/>
        <w:bottom w:val="none" w:sz="0" w:space="0" w:color="auto"/>
        <w:right w:val="none" w:sz="0" w:space="0" w:color="auto"/>
      </w:divBdr>
    </w:div>
    <w:div w:id="1815953708">
      <w:bodyDiv w:val="1"/>
      <w:marLeft w:val="0"/>
      <w:marRight w:val="0"/>
      <w:marTop w:val="0"/>
      <w:marBottom w:val="0"/>
      <w:divBdr>
        <w:top w:val="none" w:sz="0" w:space="0" w:color="auto"/>
        <w:left w:val="none" w:sz="0" w:space="0" w:color="auto"/>
        <w:bottom w:val="none" w:sz="0" w:space="0" w:color="auto"/>
        <w:right w:val="none" w:sz="0" w:space="0" w:color="auto"/>
      </w:divBdr>
    </w:div>
    <w:div w:id="1861042071">
      <w:bodyDiv w:val="1"/>
      <w:marLeft w:val="0"/>
      <w:marRight w:val="0"/>
      <w:marTop w:val="0"/>
      <w:marBottom w:val="0"/>
      <w:divBdr>
        <w:top w:val="none" w:sz="0" w:space="0" w:color="auto"/>
        <w:left w:val="none" w:sz="0" w:space="0" w:color="auto"/>
        <w:bottom w:val="none" w:sz="0" w:space="0" w:color="auto"/>
        <w:right w:val="none" w:sz="0" w:space="0" w:color="auto"/>
      </w:divBdr>
    </w:div>
    <w:div w:id="1904752466">
      <w:bodyDiv w:val="1"/>
      <w:marLeft w:val="0"/>
      <w:marRight w:val="0"/>
      <w:marTop w:val="0"/>
      <w:marBottom w:val="0"/>
      <w:divBdr>
        <w:top w:val="none" w:sz="0" w:space="0" w:color="auto"/>
        <w:left w:val="none" w:sz="0" w:space="0" w:color="auto"/>
        <w:bottom w:val="none" w:sz="0" w:space="0" w:color="auto"/>
        <w:right w:val="none" w:sz="0" w:space="0" w:color="auto"/>
      </w:divBdr>
    </w:div>
    <w:div w:id="1967154856">
      <w:bodyDiv w:val="1"/>
      <w:marLeft w:val="0"/>
      <w:marRight w:val="0"/>
      <w:marTop w:val="0"/>
      <w:marBottom w:val="0"/>
      <w:divBdr>
        <w:top w:val="none" w:sz="0" w:space="0" w:color="auto"/>
        <w:left w:val="none" w:sz="0" w:space="0" w:color="auto"/>
        <w:bottom w:val="none" w:sz="0" w:space="0" w:color="auto"/>
        <w:right w:val="none" w:sz="0" w:space="0" w:color="auto"/>
      </w:divBdr>
    </w:div>
    <w:div w:id="1994141023">
      <w:bodyDiv w:val="1"/>
      <w:marLeft w:val="0"/>
      <w:marRight w:val="0"/>
      <w:marTop w:val="0"/>
      <w:marBottom w:val="0"/>
      <w:divBdr>
        <w:top w:val="none" w:sz="0" w:space="0" w:color="auto"/>
        <w:left w:val="none" w:sz="0" w:space="0" w:color="auto"/>
        <w:bottom w:val="none" w:sz="0" w:space="0" w:color="auto"/>
        <w:right w:val="none" w:sz="0" w:space="0" w:color="auto"/>
      </w:divBdr>
    </w:div>
    <w:div w:id="1998530988">
      <w:bodyDiv w:val="1"/>
      <w:marLeft w:val="0"/>
      <w:marRight w:val="0"/>
      <w:marTop w:val="0"/>
      <w:marBottom w:val="0"/>
      <w:divBdr>
        <w:top w:val="none" w:sz="0" w:space="0" w:color="auto"/>
        <w:left w:val="none" w:sz="0" w:space="0" w:color="auto"/>
        <w:bottom w:val="none" w:sz="0" w:space="0" w:color="auto"/>
        <w:right w:val="none" w:sz="0" w:space="0" w:color="auto"/>
      </w:divBdr>
    </w:div>
    <w:div w:id="1998609812">
      <w:bodyDiv w:val="1"/>
      <w:marLeft w:val="0"/>
      <w:marRight w:val="0"/>
      <w:marTop w:val="0"/>
      <w:marBottom w:val="0"/>
      <w:divBdr>
        <w:top w:val="none" w:sz="0" w:space="0" w:color="auto"/>
        <w:left w:val="none" w:sz="0" w:space="0" w:color="auto"/>
        <w:bottom w:val="none" w:sz="0" w:space="0" w:color="auto"/>
        <w:right w:val="none" w:sz="0" w:space="0" w:color="auto"/>
      </w:divBdr>
    </w:div>
    <w:div w:id="2000309068">
      <w:bodyDiv w:val="1"/>
      <w:marLeft w:val="0"/>
      <w:marRight w:val="0"/>
      <w:marTop w:val="0"/>
      <w:marBottom w:val="0"/>
      <w:divBdr>
        <w:top w:val="none" w:sz="0" w:space="0" w:color="auto"/>
        <w:left w:val="none" w:sz="0" w:space="0" w:color="auto"/>
        <w:bottom w:val="none" w:sz="0" w:space="0" w:color="auto"/>
        <w:right w:val="none" w:sz="0" w:space="0" w:color="auto"/>
      </w:divBdr>
    </w:div>
    <w:div w:id="2010057907">
      <w:bodyDiv w:val="1"/>
      <w:marLeft w:val="0"/>
      <w:marRight w:val="0"/>
      <w:marTop w:val="0"/>
      <w:marBottom w:val="0"/>
      <w:divBdr>
        <w:top w:val="none" w:sz="0" w:space="0" w:color="auto"/>
        <w:left w:val="none" w:sz="0" w:space="0" w:color="auto"/>
        <w:bottom w:val="none" w:sz="0" w:space="0" w:color="auto"/>
        <w:right w:val="none" w:sz="0" w:space="0" w:color="auto"/>
      </w:divBdr>
    </w:div>
    <w:div w:id="2022471611">
      <w:bodyDiv w:val="1"/>
      <w:marLeft w:val="0"/>
      <w:marRight w:val="0"/>
      <w:marTop w:val="0"/>
      <w:marBottom w:val="0"/>
      <w:divBdr>
        <w:top w:val="none" w:sz="0" w:space="0" w:color="auto"/>
        <w:left w:val="none" w:sz="0" w:space="0" w:color="auto"/>
        <w:bottom w:val="none" w:sz="0" w:space="0" w:color="auto"/>
        <w:right w:val="none" w:sz="0" w:space="0" w:color="auto"/>
      </w:divBdr>
    </w:div>
    <w:div w:id="20766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int/sites/default/files/document/Res_11_10_Synergies_et_partenariats_F_revLCfinal%20%282%29.pdf"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cms.int/sites/default/files/document/Res_11_10_Synergies_et_partenariats_F_revLCfinal%20%282%29.pdf" TargetMode="External"/><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1</TotalTime>
  <Pages>10</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17TH MEETING OF THE</vt:lpstr>
    </vt:vector>
  </TitlesOfParts>
  <Company>United Nations Volunteers (UNV) programme</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 MEETING OF THE</dc:title>
  <dc:subject/>
  <dc:creator>barbara.schoenberg@cms.int</dc:creator>
  <cp:keywords/>
  <cp:lastModifiedBy>CMS Secretariat</cp:lastModifiedBy>
  <cp:revision>2</cp:revision>
  <cp:lastPrinted>2017-01-20T10:09:00Z</cp:lastPrinted>
  <dcterms:created xsi:type="dcterms:W3CDTF">2017-07-17T08:34:00Z</dcterms:created>
  <dcterms:modified xsi:type="dcterms:W3CDTF">2017-07-17T08:34:00Z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