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F9E7B" w14:textId="77777777" w:rsidR="00346215" w:rsidRPr="00682B31" w:rsidRDefault="00346215" w:rsidP="00346215">
      <w:pPr>
        <w:tabs>
          <w:tab w:val="left" w:pos="-1057"/>
          <w:tab w:val="left" w:pos="-720"/>
        </w:tabs>
        <w:ind w:left="-90"/>
        <w:rPr>
          <w:rFonts w:cs="Arial"/>
          <w:spacing w:val="-8"/>
          <w:sz w:val="12"/>
          <w:szCs w:val="12"/>
          <w:lang w:val="en-GB"/>
        </w:rPr>
      </w:pPr>
      <w:bookmarkStart w:id="0" w:name="_GoBack"/>
      <w:bookmarkEnd w:id="0"/>
    </w:p>
    <w:p w14:paraId="695F9485" w14:textId="77777777" w:rsidR="00346215" w:rsidRPr="00260772" w:rsidRDefault="00346215" w:rsidP="00346215">
      <w:pPr>
        <w:tabs>
          <w:tab w:val="left" w:pos="-1057"/>
          <w:tab w:val="left" w:pos="-720"/>
        </w:tabs>
        <w:rPr>
          <w:rFonts w:cs="Arial"/>
          <w:sz w:val="22"/>
          <w:szCs w:val="22"/>
          <w:lang w:val="fr-FR"/>
        </w:rPr>
      </w:pPr>
      <w:r w:rsidRPr="00260772">
        <w:rPr>
          <w:rFonts w:cs="Arial"/>
          <w:sz w:val="22"/>
          <w:szCs w:val="22"/>
          <w:lang w:val="fr-FR"/>
        </w:rPr>
        <w:t>12</w:t>
      </w:r>
      <w:r w:rsidRPr="00260772">
        <w:rPr>
          <w:rFonts w:cs="Arial"/>
          <w:sz w:val="22"/>
          <w:szCs w:val="22"/>
          <w:vertAlign w:val="superscript"/>
          <w:lang w:val="fr-FR"/>
        </w:rPr>
        <w:t>ème</w:t>
      </w:r>
      <w:r w:rsidRPr="00260772">
        <w:rPr>
          <w:rFonts w:cs="Arial"/>
          <w:sz w:val="22"/>
          <w:szCs w:val="22"/>
          <w:lang w:val="fr-FR"/>
        </w:rPr>
        <w:t xml:space="preserve"> SESSION DE LA CONFÉRENCE DES PARTIES</w:t>
      </w:r>
    </w:p>
    <w:p w14:paraId="12D1A93B" w14:textId="77777777" w:rsidR="00346215" w:rsidRPr="001E7B2E" w:rsidRDefault="00346215" w:rsidP="00346215">
      <w:pPr>
        <w:pStyle w:val="Heading2"/>
        <w:keepNext w:val="0"/>
        <w:spacing w:line="228" w:lineRule="auto"/>
        <w:rPr>
          <w:rFonts w:cs="Arial"/>
          <w:b w:val="0"/>
          <w:bCs w:val="0"/>
          <w:sz w:val="22"/>
          <w:szCs w:val="22"/>
          <w:lang w:val="pt-PT"/>
        </w:rPr>
      </w:pPr>
      <w:r w:rsidRPr="001E7B2E">
        <w:rPr>
          <w:rFonts w:cs="Arial"/>
          <w:b w:val="0"/>
          <w:sz w:val="22"/>
          <w:szCs w:val="22"/>
          <w:lang w:val="pt-PT"/>
        </w:rPr>
        <w:t>Manille, P</w:t>
      </w:r>
      <w:r>
        <w:rPr>
          <w:rFonts w:cs="Arial"/>
          <w:b w:val="0"/>
          <w:sz w:val="22"/>
          <w:szCs w:val="22"/>
          <w:lang w:val="pt-PT"/>
        </w:rPr>
        <w:t>hilippines, 23 - 28 octobre 2017</w:t>
      </w:r>
    </w:p>
    <w:p w14:paraId="1055FA07" w14:textId="1423E7B0" w:rsidR="00346215" w:rsidRPr="001E7B2E" w:rsidRDefault="00346215" w:rsidP="00346215">
      <w:pPr>
        <w:spacing w:line="228" w:lineRule="auto"/>
        <w:rPr>
          <w:rFonts w:cs="Arial"/>
          <w:iCs/>
          <w:sz w:val="22"/>
          <w:szCs w:val="22"/>
          <w:lang w:val="pt-PT"/>
        </w:rPr>
      </w:pPr>
      <w:r w:rsidRPr="00346215">
        <w:rPr>
          <w:rFonts w:cs="Arial"/>
          <w:iCs/>
          <w:sz w:val="22"/>
          <w:szCs w:val="22"/>
          <w:lang w:val="pt-PT"/>
        </w:rPr>
        <w:t>Point 15 de</w:t>
      </w:r>
      <w:r w:rsidRPr="001E7B2E">
        <w:rPr>
          <w:rFonts w:cs="Arial"/>
          <w:iCs/>
          <w:sz w:val="22"/>
          <w:szCs w:val="22"/>
          <w:lang w:val="pt-PT"/>
        </w:rPr>
        <w:t xml:space="preserv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346215" w:rsidRPr="002F6F9B" w14:paraId="31923E87" w14:textId="77777777" w:rsidTr="00F21588">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D659DDB" w14:textId="77777777" w:rsidR="00346215" w:rsidRPr="00FA61AF" w:rsidRDefault="00346215" w:rsidP="00F21588">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260772">
              <w:rPr>
                <w:rFonts w:cs="Arial"/>
                <w:b/>
                <w:sz w:val="28"/>
                <w:szCs w:val="28"/>
                <w:lang w:val="fr-FR"/>
              </w:rPr>
              <w:tab/>
            </w:r>
            <w:r w:rsidRPr="00260772">
              <w:rPr>
                <w:rFonts w:cs="Arial"/>
                <w:b/>
                <w:sz w:val="28"/>
                <w:szCs w:val="28"/>
                <w:lang w:val="fr-FR"/>
              </w:rPr>
              <w:tab/>
            </w:r>
            <w:r w:rsidRPr="00260772">
              <w:rPr>
                <w:rFonts w:cs="Arial"/>
                <w:b/>
                <w:sz w:val="28"/>
                <w:szCs w:val="28"/>
                <w:lang w:val="fr-FR"/>
              </w:rPr>
              <w:tab/>
            </w:r>
            <w:r w:rsidRPr="00260772">
              <w:rPr>
                <w:rFonts w:cs="Arial"/>
                <w:b/>
                <w:sz w:val="28"/>
                <w:szCs w:val="28"/>
                <w:lang w:val="fr-FR"/>
              </w:rPr>
              <w:tab/>
            </w:r>
            <w:r w:rsidRPr="002F6F9B">
              <w:rPr>
                <w:rFonts w:cs="Arial"/>
                <w:b/>
                <w:sz w:val="28"/>
                <w:szCs w:val="28"/>
                <w:lang w:val="en-GB"/>
              </w:rPr>
              <w:t>CMS</w:t>
            </w:r>
          </w:p>
          <w:p w14:paraId="4E65C70E" w14:textId="77777777" w:rsidR="00346215" w:rsidRPr="002F6F9B" w:rsidRDefault="00346215" w:rsidP="00F21588">
            <w:pPr>
              <w:tabs>
                <w:tab w:val="left" w:pos="-1057"/>
                <w:tab w:val="left" w:pos="-720"/>
                <w:tab w:val="left" w:pos="0"/>
                <w:tab w:val="left" w:pos="141"/>
                <w:tab w:val="left" w:pos="720"/>
                <w:tab w:val="right" w:pos="9072"/>
              </w:tabs>
              <w:rPr>
                <w:rFonts w:cs="Arial"/>
                <w:sz w:val="22"/>
                <w:szCs w:val="22"/>
                <w:lang w:val="en-GB"/>
              </w:rPr>
            </w:pPr>
          </w:p>
        </w:tc>
      </w:tr>
      <w:tr w:rsidR="00346215" w:rsidRPr="00682B31" w14:paraId="58D5209F" w14:textId="77777777" w:rsidTr="00F21588">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2757DBC" w14:textId="77777777" w:rsidR="00346215" w:rsidRPr="00682B31" w:rsidRDefault="00346215" w:rsidP="00F21588">
            <w:pPr>
              <w:rPr>
                <w:rFonts w:cs="Arial"/>
                <w:sz w:val="22"/>
                <w:szCs w:val="22"/>
                <w:lang w:val="en-GB"/>
              </w:rPr>
            </w:pPr>
            <w:r w:rsidRPr="00682B31">
              <w:rPr>
                <w:rFonts w:cs="Arial"/>
                <w:noProof/>
                <w:sz w:val="22"/>
                <w:szCs w:val="22"/>
              </w:rPr>
              <w:drawing>
                <wp:inline distT="0" distB="0" distL="0" distR="0" wp14:anchorId="035147FC" wp14:editId="60434851">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0657416" w14:textId="77777777" w:rsidR="00346215" w:rsidRPr="00682B31" w:rsidRDefault="00346215" w:rsidP="00F21588">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F231ADA" w14:textId="77777777" w:rsidR="00346215" w:rsidRPr="00682B31" w:rsidRDefault="00346215" w:rsidP="00F21588">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10C9F325" w14:textId="77777777" w:rsidR="00346215" w:rsidRPr="00667726" w:rsidRDefault="00346215" w:rsidP="00F21588">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CONVENTION SUR</w:t>
            </w:r>
          </w:p>
          <w:p w14:paraId="2E817B0E" w14:textId="77777777" w:rsidR="00346215" w:rsidRPr="00667726" w:rsidRDefault="00346215" w:rsidP="00F21588">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LES ESPÈCES</w:t>
            </w:r>
          </w:p>
          <w:p w14:paraId="385A8CCC" w14:textId="77777777" w:rsidR="00346215" w:rsidRPr="00667726" w:rsidRDefault="00346215" w:rsidP="00F21588">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sidRPr="00667726">
              <w:rPr>
                <w:rFonts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D8373E" w14:textId="77777777" w:rsidR="00346215" w:rsidRPr="00667726" w:rsidRDefault="00346215" w:rsidP="00F21588">
            <w:pPr>
              <w:tabs>
                <w:tab w:val="left" w:pos="5040"/>
                <w:tab w:val="left" w:pos="5760"/>
                <w:tab w:val="left" w:pos="6008"/>
                <w:tab w:val="left" w:pos="6480"/>
                <w:tab w:val="left" w:pos="7200"/>
                <w:tab w:val="left" w:pos="7920"/>
                <w:tab w:val="left" w:pos="8640"/>
              </w:tabs>
              <w:rPr>
                <w:rFonts w:cs="Arial"/>
                <w:sz w:val="12"/>
                <w:szCs w:val="12"/>
                <w:lang w:val="fr-FR"/>
              </w:rPr>
            </w:pPr>
          </w:p>
          <w:p w14:paraId="75CC03C9" w14:textId="77777777" w:rsidR="00346215" w:rsidRPr="00260772" w:rsidRDefault="00346215" w:rsidP="00F21588">
            <w:pPr>
              <w:tabs>
                <w:tab w:val="left" w:pos="5040"/>
                <w:tab w:val="left" w:pos="5760"/>
                <w:tab w:val="left" w:pos="6008"/>
                <w:tab w:val="left" w:pos="6480"/>
                <w:tab w:val="left" w:pos="7200"/>
                <w:tab w:val="left" w:pos="7920"/>
                <w:tab w:val="left" w:pos="8640"/>
              </w:tabs>
              <w:rPr>
                <w:rFonts w:cs="Arial"/>
                <w:sz w:val="22"/>
                <w:szCs w:val="22"/>
                <w:lang w:val="fr-FR"/>
              </w:rPr>
            </w:pPr>
            <w:proofErr w:type="gramStart"/>
            <w:r w:rsidRPr="00260772">
              <w:rPr>
                <w:rFonts w:cs="Arial"/>
                <w:sz w:val="22"/>
                <w:szCs w:val="22"/>
                <w:lang w:val="fr-FR"/>
              </w:rPr>
              <w:t>Distribution:</w:t>
            </w:r>
            <w:proofErr w:type="gramEnd"/>
            <w:r w:rsidRPr="00260772">
              <w:rPr>
                <w:rFonts w:cs="Arial"/>
                <w:sz w:val="22"/>
                <w:szCs w:val="22"/>
                <w:lang w:val="fr-FR"/>
              </w:rPr>
              <w:t xml:space="preserve"> Générale</w:t>
            </w:r>
          </w:p>
          <w:p w14:paraId="2EBA340D" w14:textId="77777777" w:rsidR="00346215" w:rsidRPr="00260772" w:rsidRDefault="00346215" w:rsidP="00F21588">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fr-FR"/>
              </w:rPr>
            </w:pPr>
          </w:p>
          <w:p w14:paraId="386B9E48" w14:textId="3C113F27" w:rsidR="00346215" w:rsidRPr="00346215" w:rsidRDefault="00346215" w:rsidP="00F21588">
            <w:pPr>
              <w:tabs>
                <w:tab w:val="left" w:pos="5040"/>
                <w:tab w:val="left" w:pos="5760"/>
                <w:tab w:val="left" w:pos="6008"/>
                <w:tab w:val="left" w:pos="6480"/>
                <w:tab w:val="left" w:pos="7200"/>
                <w:tab w:val="left" w:pos="7920"/>
                <w:tab w:val="left" w:pos="8640"/>
              </w:tabs>
              <w:rPr>
                <w:rFonts w:cs="Arial"/>
                <w:sz w:val="22"/>
                <w:szCs w:val="22"/>
                <w:lang w:val="fr-FR"/>
              </w:rPr>
            </w:pPr>
            <w:r w:rsidRPr="00260772">
              <w:rPr>
                <w:rFonts w:cs="Arial"/>
                <w:sz w:val="22"/>
                <w:szCs w:val="22"/>
                <w:lang w:val="fr-FR"/>
              </w:rPr>
              <w:t>UNEP/CMS/</w:t>
            </w:r>
            <w:r w:rsidRPr="00346215">
              <w:rPr>
                <w:rFonts w:cs="Arial"/>
                <w:sz w:val="22"/>
                <w:szCs w:val="22"/>
                <w:lang w:val="fr-FR"/>
              </w:rPr>
              <w:t>COP12/Doc.15</w:t>
            </w:r>
          </w:p>
          <w:p w14:paraId="13A3F58B" w14:textId="5686BDF3" w:rsidR="00346215" w:rsidRPr="001E7B2E" w:rsidRDefault="00346215" w:rsidP="00F21588">
            <w:pPr>
              <w:tabs>
                <w:tab w:val="left" w:pos="5040"/>
                <w:tab w:val="left" w:pos="5760"/>
                <w:tab w:val="left" w:pos="6008"/>
                <w:tab w:val="left" w:pos="6480"/>
                <w:tab w:val="left" w:pos="7200"/>
                <w:tab w:val="left" w:pos="7920"/>
                <w:tab w:val="left" w:pos="8640"/>
              </w:tabs>
              <w:rPr>
                <w:rFonts w:cs="Arial"/>
                <w:sz w:val="22"/>
                <w:szCs w:val="22"/>
                <w:lang w:val="en-GB"/>
              </w:rPr>
            </w:pPr>
            <w:r w:rsidRPr="00346215">
              <w:rPr>
                <w:rFonts w:cs="Arial"/>
                <w:sz w:val="22"/>
                <w:szCs w:val="22"/>
                <w:lang w:val="en-GB"/>
              </w:rPr>
              <w:t xml:space="preserve">03 </w:t>
            </w:r>
            <w:proofErr w:type="spellStart"/>
            <w:r w:rsidRPr="00346215">
              <w:rPr>
                <w:rFonts w:cs="Arial"/>
                <w:sz w:val="22"/>
                <w:szCs w:val="22"/>
                <w:lang w:val="en-GB"/>
              </w:rPr>
              <w:t>août</w:t>
            </w:r>
            <w:proofErr w:type="spellEnd"/>
            <w:r w:rsidRPr="00346215">
              <w:rPr>
                <w:rFonts w:cs="Arial"/>
                <w:sz w:val="22"/>
                <w:szCs w:val="22"/>
                <w:lang w:val="en-GB"/>
              </w:rPr>
              <w:t xml:space="preserve"> 2017</w:t>
            </w:r>
          </w:p>
          <w:p w14:paraId="140F909E" w14:textId="77777777" w:rsidR="00346215" w:rsidRPr="001E7B2E" w:rsidRDefault="00346215" w:rsidP="00F21588">
            <w:pPr>
              <w:tabs>
                <w:tab w:val="left" w:pos="5040"/>
                <w:tab w:val="left" w:pos="5760"/>
                <w:tab w:val="left" w:pos="6008"/>
                <w:tab w:val="left" w:pos="6480"/>
                <w:tab w:val="left" w:pos="7200"/>
                <w:tab w:val="left" w:pos="7920"/>
                <w:tab w:val="left" w:pos="8640"/>
              </w:tabs>
              <w:rPr>
                <w:rFonts w:cs="Arial"/>
                <w:sz w:val="12"/>
                <w:szCs w:val="12"/>
                <w:lang w:val="en-GB"/>
              </w:rPr>
            </w:pPr>
          </w:p>
          <w:p w14:paraId="342BBCF0" w14:textId="77777777" w:rsidR="00346215" w:rsidRPr="001E7B2E" w:rsidRDefault="00346215" w:rsidP="00F21588">
            <w:pPr>
              <w:rPr>
                <w:rFonts w:cs="Arial"/>
                <w:sz w:val="22"/>
                <w:szCs w:val="22"/>
                <w:lang w:val="fr-FR"/>
              </w:rPr>
            </w:pPr>
            <w:r w:rsidRPr="001E7B2E">
              <w:rPr>
                <w:rFonts w:cs="Arial"/>
                <w:sz w:val="22"/>
                <w:szCs w:val="22"/>
                <w:lang w:val="fr-FR"/>
              </w:rPr>
              <w:t>Français</w:t>
            </w:r>
          </w:p>
          <w:p w14:paraId="0CFC1E3B" w14:textId="77777777" w:rsidR="00346215" w:rsidRPr="001E7B2E" w:rsidRDefault="00346215" w:rsidP="00F21588">
            <w:pPr>
              <w:rPr>
                <w:rFonts w:cs="Arial"/>
                <w:sz w:val="22"/>
                <w:szCs w:val="22"/>
                <w:lang w:val="en-GB"/>
              </w:rPr>
            </w:pPr>
            <w:r w:rsidRPr="001E7B2E">
              <w:rPr>
                <w:rFonts w:cs="Arial"/>
                <w:sz w:val="22"/>
                <w:szCs w:val="22"/>
                <w:lang w:val="en-GB"/>
              </w:rPr>
              <w:t xml:space="preserve">Original: </w:t>
            </w:r>
            <w:proofErr w:type="spellStart"/>
            <w:r w:rsidRPr="001E7B2E">
              <w:rPr>
                <w:rFonts w:cs="Arial"/>
                <w:sz w:val="22"/>
                <w:szCs w:val="22"/>
                <w:lang w:val="en-GB"/>
              </w:rPr>
              <w:t>Anglais</w:t>
            </w:r>
            <w:proofErr w:type="spellEnd"/>
          </w:p>
          <w:p w14:paraId="3F206525" w14:textId="77777777" w:rsidR="00346215" w:rsidRPr="00682B31" w:rsidRDefault="00346215" w:rsidP="00F21588">
            <w:pPr>
              <w:rPr>
                <w:rFonts w:cs="Arial"/>
                <w:sz w:val="12"/>
                <w:szCs w:val="12"/>
                <w:lang w:val="en-GB"/>
              </w:rPr>
            </w:pPr>
          </w:p>
        </w:tc>
      </w:tr>
    </w:tbl>
    <w:p w14:paraId="27861067" w14:textId="71FF8C74" w:rsidR="00591DCA" w:rsidRDefault="00591DCA" w:rsidP="001D40C8">
      <w:pPr>
        <w:jc w:val="center"/>
        <w:rPr>
          <w:rFonts w:cs="Arial"/>
          <w:sz w:val="24"/>
          <w:lang w:val="fr-FR"/>
        </w:rPr>
      </w:pPr>
    </w:p>
    <w:p w14:paraId="73BC3DBE" w14:textId="77777777" w:rsidR="00591DCA" w:rsidRDefault="00591DCA" w:rsidP="001D40C8">
      <w:pPr>
        <w:jc w:val="center"/>
        <w:rPr>
          <w:rFonts w:cs="Arial"/>
          <w:sz w:val="24"/>
          <w:lang w:val="fr-FR"/>
        </w:rPr>
      </w:pPr>
    </w:p>
    <w:p w14:paraId="001EE2C2" w14:textId="253CC609" w:rsidR="001D40C8" w:rsidRPr="00AD068F" w:rsidRDefault="001D40C8" w:rsidP="001D40C8">
      <w:pPr>
        <w:jc w:val="center"/>
        <w:rPr>
          <w:rFonts w:eastAsia="MS Mincho" w:cs="Arial"/>
          <w:b/>
          <w:bCs/>
          <w:color w:val="000000"/>
          <w:sz w:val="22"/>
          <w:szCs w:val="22"/>
          <w:lang w:val="fr-FR"/>
        </w:rPr>
      </w:pPr>
      <w:r w:rsidRPr="00AD068F">
        <w:rPr>
          <w:b/>
          <w:color w:val="000000"/>
          <w:sz w:val="22"/>
          <w:lang w:val="fr-FR"/>
        </w:rPr>
        <w:t xml:space="preserve">PLAN STRATÉGIQUE POUR LES ESPÈCES MIGRATRICES 2015-2023 : </w:t>
      </w:r>
    </w:p>
    <w:p w14:paraId="3BEDDA8F" w14:textId="77777777" w:rsidR="001D40C8" w:rsidRPr="00AD068F" w:rsidRDefault="001D40C8" w:rsidP="001D40C8">
      <w:pPr>
        <w:jc w:val="center"/>
        <w:rPr>
          <w:rFonts w:eastAsia="MS Mincho" w:cs="Arial"/>
          <w:b/>
          <w:bCs/>
          <w:color w:val="000000"/>
          <w:sz w:val="22"/>
          <w:szCs w:val="22"/>
          <w:lang w:val="fr-FR"/>
        </w:rPr>
      </w:pPr>
      <w:r w:rsidRPr="00AD068F">
        <w:rPr>
          <w:b/>
          <w:color w:val="000000"/>
          <w:sz w:val="22"/>
          <w:lang w:val="fr-FR"/>
        </w:rPr>
        <w:t>MISE EN ŒUVRE ET SUIVI</w:t>
      </w:r>
    </w:p>
    <w:p w14:paraId="2EE66EA0" w14:textId="77777777" w:rsidR="001D40C8" w:rsidRPr="00AD068F" w:rsidRDefault="001D40C8" w:rsidP="001D40C8">
      <w:pPr>
        <w:jc w:val="center"/>
        <w:rPr>
          <w:rFonts w:eastAsia="MS Mincho" w:cs="Arial"/>
          <w:b/>
          <w:bCs/>
          <w:color w:val="000000"/>
          <w:sz w:val="22"/>
          <w:szCs w:val="22"/>
          <w:lang w:val="fr-FR"/>
        </w:rPr>
      </w:pPr>
    </w:p>
    <w:p w14:paraId="592ECDB6" w14:textId="77777777" w:rsidR="001D40C8" w:rsidRPr="001D40C8" w:rsidRDefault="001D40C8" w:rsidP="001D40C8">
      <w:pPr>
        <w:jc w:val="center"/>
        <w:rPr>
          <w:rFonts w:cs="Arial"/>
          <w:i/>
          <w:sz w:val="22"/>
          <w:szCs w:val="22"/>
          <w:lang w:val="fr-FR"/>
        </w:rPr>
      </w:pPr>
      <w:r w:rsidRPr="00AD068F">
        <w:rPr>
          <w:i/>
          <w:sz w:val="22"/>
          <w:lang w:val="fr-FR"/>
        </w:rPr>
        <w:t>(Préparé par le Groupe de travail sur le Plan stratégique)</w:t>
      </w:r>
    </w:p>
    <w:p w14:paraId="739693EF" w14:textId="77777777" w:rsidR="001D40C8" w:rsidRPr="001D40C8" w:rsidRDefault="001D40C8" w:rsidP="001D40C8">
      <w:pPr>
        <w:jc w:val="center"/>
        <w:rPr>
          <w:rFonts w:cs="Arial"/>
          <w:i/>
          <w:sz w:val="22"/>
          <w:szCs w:val="22"/>
          <w:lang w:val="fr-FR"/>
        </w:rPr>
      </w:pPr>
    </w:p>
    <w:p w14:paraId="72B62956" w14:textId="40EF4987" w:rsidR="001D40C8" w:rsidRPr="001D40C8" w:rsidRDefault="008C069B" w:rsidP="001D40C8">
      <w:pPr>
        <w:rPr>
          <w:rFonts w:cs="Arial"/>
          <w:sz w:val="22"/>
          <w:szCs w:val="22"/>
          <w:lang w:val="fr-FR"/>
        </w:rPr>
      </w:pPr>
      <w:r>
        <w:rPr>
          <w:noProof/>
        </w:rPr>
        <mc:AlternateContent>
          <mc:Choice Requires="wps">
            <w:drawing>
              <wp:anchor distT="0" distB="0" distL="114300" distR="114300" simplePos="0" relativeHeight="251663360" behindDoc="0" locked="0" layoutInCell="1" allowOverlap="1" wp14:anchorId="56725F31" wp14:editId="02318606">
                <wp:simplePos x="0" y="0"/>
                <wp:positionH relativeFrom="column">
                  <wp:posOffset>956310</wp:posOffset>
                </wp:positionH>
                <wp:positionV relativeFrom="paragraph">
                  <wp:posOffset>144145</wp:posOffset>
                </wp:positionV>
                <wp:extent cx="4610100" cy="4191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91000"/>
                        </a:xfrm>
                        <a:prstGeom prst="rect">
                          <a:avLst/>
                        </a:prstGeom>
                        <a:solidFill>
                          <a:srgbClr val="FFFFFF"/>
                        </a:solidFill>
                        <a:ln w="3175">
                          <a:solidFill>
                            <a:srgbClr val="000000"/>
                          </a:solidFill>
                          <a:miter lim="800000"/>
                          <a:headEnd/>
                          <a:tailEnd/>
                        </a:ln>
                      </wps:spPr>
                      <wps:txbx>
                        <w:txbxContent>
                          <w:p w14:paraId="47BE3609" w14:textId="77777777" w:rsidR="0076556E" w:rsidRPr="00AD068F" w:rsidRDefault="0076556E" w:rsidP="001D40C8">
                            <w:pPr>
                              <w:jc w:val="both"/>
                              <w:rPr>
                                <w:rFonts w:cs="Arial"/>
                                <w:sz w:val="22"/>
                                <w:szCs w:val="22"/>
                                <w:lang w:val="fr-FR"/>
                              </w:rPr>
                            </w:pPr>
                            <w:r w:rsidRPr="00AD068F">
                              <w:rPr>
                                <w:sz w:val="22"/>
                                <w:lang w:val="fr-FR"/>
                              </w:rPr>
                              <w:t>Résumé</w:t>
                            </w:r>
                          </w:p>
                          <w:p w14:paraId="672BDD8B" w14:textId="77777777" w:rsidR="0076556E" w:rsidRPr="00AD068F" w:rsidRDefault="0076556E" w:rsidP="001D40C8">
                            <w:pPr>
                              <w:jc w:val="both"/>
                              <w:rPr>
                                <w:rFonts w:cs="Arial"/>
                                <w:sz w:val="22"/>
                                <w:szCs w:val="22"/>
                                <w:lang w:val="fr-FR"/>
                              </w:rPr>
                            </w:pPr>
                          </w:p>
                          <w:p w14:paraId="18DF1B61" w14:textId="77777777" w:rsidR="0076556E" w:rsidRPr="00AD068F" w:rsidRDefault="0076556E" w:rsidP="001D40C8">
                            <w:pPr>
                              <w:jc w:val="both"/>
                              <w:rPr>
                                <w:rFonts w:cs="Arial"/>
                                <w:sz w:val="22"/>
                                <w:szCs w:val="22"/>
                                <w:lang w:val="fr-FR"/>
                              </w:rPr>
                            </w:pPr>
                            <w:r w:rsidRPr="00AD068F">
                              <w:rPr>
                                <w:sz w:val="22"/>
                                <w:lang w:val="fr-FR"/>
                              </w:rPr>
                              <w:t xml:space="preserve">Le présent document résume les travaux entrepris par le Groupe de travail sur le Plan stratégique au cours du dernier exercice triennal, conformément au mandat qui lui a été confié dans la Résolution 11.2. Ces travaux portent principalement sur la définition des indicateurs pour les objectifs du Plan, et sur l’élaboration du </w:t>
                            </w:r>
                            <w:r w:rsidRPr="00AD068F">
                              <w:rPr>
                                <w:i/>
                                <w:sz w:val="22"/>
                                <w:lang w:val="fr-FR"/>
                              </w:rPr>
                              <w:t>Guide d’accompagnement de la mise en œuvre</w:t>
                            </w:r>
                            <w:r w:rsidRPr="00AD068F">
                              <w:rPr>
                                <w:sz w:val="22"/>
                                <w:lang w:val="fr-FR"/>
                              </w:rPr>
                              <w:t xml:space="preserve"> du Plan stratégique.</w:t>
                            </w:r>
                          </w:p>
                          <w:p w14:paraId="422A11B5" w14:textId="77777777" w:rsidR="0076556E" w:rsidRPr="00AD068F" w:rsidRDefault="0076556E" w:rsidP="001D40C8">
                            <w:pPr>
                              <w:jc w:val="both"/>
                              <w:rPr>
                                <w:rFonts w:cs="Arial"/>
                                <w:sz w:val="22"/>
                                <w:szCs w:val="22"/>
                                <w:lang w:val="fr-FR"/>
                              </w:rPr>
                            </w:pPr>
                          </w:p>
                          <w:p w14:paraId="62F632CE" w14:textId="77777777" w:rsidR="0076556E" w:rsidRPr="00AD068F" w:rsidRDefault="0076556E" w:rsidP="001D40C8">
                            <w:pPr>
                              <w:jc w:val="both"/>
                              <w:rPr>
                                <w:rFonts w:cs="Arial"/>
                                <w:sz w:val="22"/>
                                <w:szCs w:val="22"/>
                                <w:lang w:val="fr-FR"/>
                              </w:rPr>
                            </w:pPr>
                            <w:r w:rsidRPr="00AD068F">
                              <w:rPr>
                                <w:sz w:val="22"/>
                                <w:lang w:val="fr-FR"/>
                              </w:rPr>
                              <w:t>Ce document comprend un projet de Résolution, qui invite les Parties à adopter l’ensemble des indicateurs définis par le Groupe de travail et à approuver l’approche suivie pour mettre au point le Guide d’accompagnement en tant que ressource flexible disponible en ligne.</w:t>
                            </w:r>
                          </w:p>
                          <w:p w14:paraId="1A07F1D0" w14:textId="77777777" w:rsidR="0076556E" w:rsidRPr="00AD068F" w:rsidRDefault="0076556E" w:rsidP="001D40C8">
                            <w:pPr>
                              <w:jc w:val="both"/>
                              <w:rPr>
                                <w:rFonts w:cs="Arial"/>
                                <w:sz w:val="22"/>
                                <w:szCs w:val="22"/>
                                <w:lang w:val="fr-FR"/>
                              </w:rPr>
                            </w:pPr>
                          </w:p>
                          <w:p w14:paraId="3DD47E65" w14:textId="77777777" w:rsidR="0076556E" w:rsidRPr="00AD068F" w:rsidRDefault="0076556E" w:rsidP="001D40C8">
                            <w:pPr>
                              <w:jc w:val="both"/>
                              <w:rPr>
                                <w:rFonts w:cs="Arial"/>
                                <w:sz w:val="22"/>
                                <w:szCs w:val="22"/>
                                <w:lang w:val="fr-FR"/>
                              </w:rPr>
                            </w:pPr>
                            <w:r w:rsidRPr="00AD068F">
                              <w:rPr>
                                <w:sz w:val="22"/>
                                <w:lang w:val="fr-FR"/>
                              </w:rPr>
                              <w:t>Le Guide d’accompagnement et un ensemble de fiches d’information sur les indicateurs (fournis séparément dans le document UNEP/CMS/COP12/Inf.26) sont des documents évolutifs qui seront actualisés à la demande de la Conférence des Parties afin de fournir à toutes les Parties les outils nécessaires pour la mise en œuvre du Plan stratégique.</w:t>
                            </w:r>
                          </w:p>
                          <w:p w14:paraId="1C01CD9F" w14:textId="77777777" w:rsidR="0076556E" w:rsidRPr="00AD068F" w:rsidRDefault="0076556E" w:rsidP="001D40C8">
                            <w:pPr>
                              <w:jc w:val="both"/>
                              <w:rPr>
                                <w:rFonts w:cs="Arial"/>
                                <w:sz w:val="22"/>
                                <w:szCs w:val="22"/>
                                <w:lang w:val="fr-FR"/>
                              </w:rPr>
                            </w:pPr>
                          </w:p>
                          <w:p w14:paraId="0C3A19F1" w14:textId="4651BDE0" w:rsidR="0076556E" w:rsidRPr="004D1C9D" w:rsidRDefault="0076556E" w:rsidP="001D40C8">
                            <w:pPr>
                              <w:jc w:val="both"/>
                              <w:rPr>
                                <w:rFonts w:cs="Arial"/>
                                <w:sz w:val="22"/>
                                <w:szCs w:val="22"/>
                                <w:lang w:val="fr-FR"/>
                              </w:rPr>
                            </w:pPr>
                            <w:r w:rsidRPr="00AD068F">
                              <w:rPr>
                                <w:sz w:val="22"/>
                                <w:lang w:val="fr-FR"/>
                              </w:rPr>
                              <w:t>Il est par ailleurs proposé que la COP identifie les éléments à ajouter au Guide d’accompagnement et/ou aux Fiches d’information sur les indicateurs au cours du prochain exercice triennal et envisage d’autres travaux intersessions.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25F31" id="_x0000_t202" coordsize="21600,21600" o:spt="202" path="m,l,21600r21600,l21600,xe">
                <v:stroke joinstyle="miter"/>
                <v:path gradientshapeok="t" o:connecttype="rect"/>
              </v:shapetype>
              <v:shape id="Zone de texte 2" o:spid="_x0000_s1026" type="#_x0000_t202" style="position:absolute;margin-left:75.3pt;margin-top:11.35pt;width:363pt;height:3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" strokeweight=".25pt">
                <v:textbox>
                  <w:txbxContent>
                    <w:p w14:paraId="47BE3609" w14:textId="77777777" w:rsidR="0076556E" w:rsidRPr="00AD068F" w:rsidRDefault="0076556E" w:rsidP="001D40C8">
                      <w:pPr>
                        <w:jc w:val="both"/>
                        <w:rPr>
                          <w:rFonts w:cs="Arial"/>
                          <w:sz w:val="22"/>
                          <w:szCs w:val="22"/>
                          <w:lang w:val="fr-FR"/>
                        </w:rPr>
                      </w:pPr>
                      <w:r w:rsidRPr="00AD068F">
                        <w:rPr>
                          <w:sz w:val="22"/>
                          <w:lang w:val="fr-FR"/>
                        </w:rPr>
                        <w:t>Résumé</w:t>
                      </w:r>
                    </w:p>
                    <w:p w14:paraId="672BDD8B" w14:textId="77777777" w:rsidR="0076556E" w:rsidRPr="00AD068F" w:rsidRDefault="0076556E" w:rsidP="001D40C8">
                      <w:pPr>
                        <w:jc w:val="both"/>
                        <w:rPr>
                          <w:rFonts w:cs="Arial"/>
                          <w:sz w:val="22"/>
                          <w:szCs w:val="22"/>
                          <w:lang w:val="fr-FR"/>
                        </w:rPr>
                      </w:pPr>
                    </w:p>
                    <w:p w14:paraId="18DF1B61" w14:textId="77777777" w:rsidR="0076556E" w:rsidRPr="00AD068F" w:rsidRDefault="0076556E" w:rsidP="001D40C8">
                      <w:pPr>
                        <w:jc w:val="both"/>
                        <w:rPr>
                          <w:rFonts w:cs="Arial"/>
                          <w:sz w:val="22"/>
                          <w:szCs w:val="22"/>
                          <w:lang w:val="fr-FR"/>
                        </w:rPr>
                      </w:pPr>
                      <w:r w:rsidRPr="00AD068F">
                        <w:rPr>
                          <w:sz w:val="22"/>
                          <w:lang w:val="fr-FR"/>
                        </w:rPr>
                        <w:t xml:space="preserve">Le présent document résume les travaux entrepris par le Groupe de travail sur le Plan stratégique au cours du dernier exercice triennal, conformément au mandat qui lui a été confié dans la Résolution 11.2. Ces travaux portent principalement sur la définition des indicateurs pour les objectifs du Plan, et sur l’élaboration du </w:t>
                      </w:r>
                      <w:r w:rsidRPr="00AD068F">
                        <w:rPr>
                          <w:i/>
                          <w:sz w:val="22"/>
                          <w:lang w:val="fr-FR"/>
                        </w:rPr>
                        <w:t>Guide d’accompagnement de la mise en œuvre</w:t>
                      </w:r>
                      <w:r w:rsidRPr="00AD068F">
                        <w:rPr>
                          <w:sz w:val="22"/>
                          <w:lang w:val="fr-FR"/>
                        </w:rPr>
                        <w:t xml:space="preserve"> du Plan stratégique.</w:t>
                      </w:r>
                    </w:p>
                    <w:p w14:paraId="422A11B5" w14:textId="77777777" w:rsidR="0076556E" w:rsidRPr="00AD068F" w:rsidRDefault="0076556E" w:rsidP="001D40C8">
                      <w:pPr>
                        <w:jc w:val="both"/>
                        <w:rPr>
                          <w:rFonts w:cs="Arial"/>
                          <w:sz w:val="22"/>
                          <w:szCs w:val="22"/>
                          <w:lang w:val="fr-FR"/>
                        </w:rPr>
                      </w:pPr>
                    </w:p>
                    <w:p w14:paraId="62F632CE" w14:textId="77777777" w:rsidR="0076556E" w:rsidRPr="00AD068F" w:rsidRDefault="0076556E" w:rsidP="001D40C8">
                      <w:pPr>
                        <w:jc w:val="both"/>
                        <w:rPr>
                          <w:rFonts w:cs="Arial"/>
                          <w:sz w:val="22"/>
                          <w:szCs w:val="22"/>
                          <w:lang w:val="fr-FR"/>
                        </w:rPr>
                      </w:pPr>
                      <w:r w:rsidRPr="00AD068F">
                        <w:rPr>
                          <w:sz w:val="22"/>
                          <w:lang w:val="fr-FR"/>
                        </w:rPr>
                        <w:t>Ce document comprend un projet de Résolution, qui invite les Parties à adopter l’ensemble des indicateurs définis par le Groupe de travail et à approuver l’approche suivie pour mettre au point le Guide d’accompagnement en tant que ressource flexible disponible en ligne.</w:t>
                      </w:r>
                    </w:p>
                    <w:p w14:paraId="1A07F1D0" w14:textId="77777777" w:rsidR="0076556E" w:rsidRPr="00AD068F" w:rsidRDefault="0076556E" w:rsidP="001D40C8">
                      <w:pPr>
                        <w:jc w:val="both"/>
                        <w:rPr>
                          <w:rFonts w:cs="Arial"/>
                          <w:sz w:val="22"/>
                          <w:szCs w:val="22"/>
                          <w:lang w:val="fr-FR"/>
                        </w:rPr>
                      </w:pPr>
                    </w:p>
                    <w:p w14:paraId="3DD47E65" w14:textId="77777777" w:rsidR="0076556E" w:rsidRPr="00AD068F" w:rsidRDefault="0076556E" w:rsidP="001D40C8">
                      <w:pPr>
                        <w:jc w:val="both"/>
                        <w:rPr>
                          <w:rFonts w:cs="Arial"/>
                          <w:sz w:val="22"/>
                          <w:szCs w:val="22"/>
                          <w:lang w:val="fr-FR"/>
                        </w:rPr>
                      </w:pPr>
                      <w:r w:rsidRPr="00AD068F">
                        <w:rPr>
                          <w:sz w:val="22"/>
                          <w:lang w:val="fr-FR"/>
                        </w:rPr>
                        <w:t>Le Guide d’accompagnement et un ensemble de fiches d’information sur les indicateurs (fournis séparément dans le document UNEP/CMS/COP12/Inf.26) sont des documents évolutifs qui seront actualisés à la demande de la Conférence des Parties afin de fournir à toutes les Parties les outils nécessaires pour la mise en œuvre du Plan stratégique.</w:t>
                      </w:r>
                    </w:p>
                    <w:p w14:paraId="1C01CD9F" w14:textId="77777777" w:rsidR="0076556E" w:rsidRPr="00AD068F" w:rsidRDefault="0076556E" w:rsidP="001D40C8">
                      <w:pPr>
                        <w:jc w:val="both"/>
                        <w:rPr>
                          <w:rFonts w:cs="Arial"/>
                          <w:sz w:val="22"/>
                          <w:szCs w:val="22"/>
                          <w:lang w:val="fr-FR"/>
                        </w:rPr>
                      </w:pPr>
                    </w:p>
                    <w:p w14:paraId="0C3A19F1" w14:textId="4651BDE0" w:rsidR="0076556E" w:rsidRPr="004D1C9D" w:rsidRDefault="0076556E" w:rsidP="001D40C8">
                      <w:pPr>
                        <w:jc w:val="both"/>
                        <w:rPr>
                          <w:rFonts w:cs="Arial"/>
                          <w:sz w:val="22"/>
                          <w:szCs w:val="22"/>
                          <w:lang w:val="fr-FR"/>
                        </w:rPr>
                      </w:pPr>
                      <w:r w:rsidRPr="00AD068F">
                        <w:rPr>
                          <w:sz w:val="22"/>
                          <w:lang w:val="fr-FR"/>
                        </w:rPr>
                        <w:t>Il est par ailleurs proposé que la COP identifie les éléments à ajouter au Guide d’accompagnement et/ou aux Fiches d’information sur les indicateurs au cours du prochain exercice triennal et envisage d’autres travaux intersessions.</w:t>
                      </w:r>
                    </w:p>
                  </w:txbxContent>
                </v:textbox>
              </v:shape>
            </w:pict>
          </mc:Fallback>
        </mc:AlternateContent>
      </w:r>
    </w:p>
    <w:p w14:paraId="515CCFA3" w14:textId="77777777" w:rsidR="001D40C8" w:rsidRPr="001D40C8" w:rsidRDefault="001D40C8" w:rsidP="001D40C8">
      <w:pPr>
        <w:rPr>
          <w:rFonts w:cs="Arial"/>
          <w:sz w:val="22"/>
          <w:szCs w:val="22"/>
          <w:lang w:val="fr-FR"/>
        </w:rPr>
      </w:pPr>
    </w:p>
    <w:p w14:paraId="709682BE" w14:textId="77777777" w:rsidR="001D40C8" w:rsidRPr="001D40C8" w:rsidRDefault="001D40C8" w:rsidP="001D40C8">
      <w:pPr>
        <w:rPr>
          <w:rFonts w:cs="Arial"/>
          <w:sz w:val="22"/>
          <w:szCs w:val="22"/>
          <w:lang w:val="fr-FR"/>
        </w:rPr>
      </w:pPr>
    </w:p>
    <w:p w14:paraId="5922ADC1" w14:textId="77777777" w:rsidR="001D40C8" w:rsidRPr="001D40C8" w:rsidRDefault="001D40C8" w:rsidP="001D40C8">
      <w:pPr>
        <w:rPr>
          <w:rFonts w:cs="Arial"/>
          <w:sz w:val="22"/>
          <w:szCs w:val="22"/>
          <w:lang w:val="fr-FR"/>
        </w:rPr>
      </w:pPr>
    </w:p>
    <w:p w14:paraId="2270B356" w14:textId="77777777" w:rsidR="001D40C8" w:rsidRPr="001D40C8" w:rsidRDefault="001D40C8" w:rsidP="001D40C8">
      <w:pPr>
        <w:rPr>
          <w:rFonts w:cs="Arial"/>
          <w:sz w:val="22"/>
          <w:szCs w:val="22"/>
          <w:lang w:val="fr-FR"/>
        </w:rPr>
      </w:pPr>
    </w:p>
    <w:p w14:paraId="589CA522" w14:textId="77777777" w:rsidR="001D40C8" w:rsidRPr="001D40C8" w:rsidRDefault="001D40C8" w:rsidP="001D40C8">
      <w:pPr>
        <w:rPr>
          <w:rFonts w:cs="Arial"/>
          <w:sz w:val="22"/>
          <w:szCs w:val="22"/>
          <w:lang w:val="fr-FR"/>
        </w:rPr>
      </w:pPr>
    </w:p>
    <w:p w14:paraId="0C7800B7" w14:textId="77777777" w:rsidR="001D40C8" w:rsidRPr="001D40C8" w:rsidRDefault="001D40C8" w:rsidP="001D40C8">
      <w:pPr>
        <w:rPr>
          <w:rFonts w:cs="Arial"/>
          <w:sz w:val="22"/>
          <w:szCs w:val="22"/>
          <w:lang w:val="fr-FR"/>
        </w:rPr>
      </w:pPr>
    </w:p>
    <w:p w14:paraId="72C02D84" w14:textId="77777777" w:rsidR="001D40C8" w:rsidRPr="001D40C8" w:rsidRDefault="001D40C8" w:rsidP="001D40C8">
      <w:pPr>
        <w:rPr>
          <w:rFonts w:cs="Arial"/>
          <w:sz w:val="22"/>
          <w:szCs w:val="22"/>
          <w:lang w:val="fr-FR"/>
        </w:rPr>
      </w:pPr>
    </w:p>
    <w:p w14:paraId="519F1444" w14:textId="77777777" w:rsidR="001D40C8" w:rsidRPr="001D40C8" w:rsidRDefault="001D40C8" w:rsidP="001D40C8">
      <w:pPr>
        <w:rPr>
          <w:rFonts w:cs="Arial"/>
          <w:sz w:val="22"/>
          <w:szCs w:val="22"/>
          <w:lang w:val="fr-FR"/>
        </w:rPr>
      </w:pPr>
    </w:p>
    <w:p w14:paraId="5ED96385" w14:textId="77777777" w:rsidR="001D40C8" w:rsidRPr="001D40C8" w:rsidRDefault="001D40C8" w:rsidP="001D40C8">
      <w:pPr>
        <w:rPr>
          <w:rFonts w:cs="Arial"/>
          <w:sz w:val="22"/>
          <w:szCs w:val="22"/>
          <w:lang w:val="fr-FR"/>
        </w:rPr>
      </w:pPr>
    </w:p>
    <w:p w14:paraId="54CBD7F5" w14:textId="77777777" w:rsidR="001D40C8" w:rsidRPr="001D40C8" w:rsidRDefault="001D40C8" w:rsidP="001D40C8">
      <w:pPr>
        <w:rPr>
          <w:rFonts w:cs="Arial"/>
          <w:sz w:val="22"/>
          <w:szCs w:val="22"/>
          <w:lang w:val="fr-FR"/>
        </w:rPr>
      </w:pPr>
    </w:p>
    <w:p w14:paraId="2B28A866" w14:textId="77777777" w:rsidR="001D40C8" w:rsidRPr="001D40C8" w:rsidRDefault="001D40C8" w:rsidP="001D40C8">
      <w:pPr>
        <w:rPr>
          <w:rFonts w:cs="Arial"/>
          <w:sz w:val="22"/>
          <w:szCs w:val="22"/>
          <w:lang w:val="fr-FR"/>
        </w:rPr>
      </w:pPr>
    </w:p>
    <w:p w14:paraId="51D11517" w14:textId="77777777" w:rsidR="001D40C8" w:rsidRPr="001D40C8" w:rsidRDefault="001D40C8" w:rsidP="001D40C8">
      <w:pPr>
        <w:rPr>
          <w:rFonts w:cs="Arial"/>
          <w:sz w:val="22"/>
          <w:szCs w:val="22"/>
          <w:lang w:val="fr-FR"/>
        </w:rPr>
      </w:pPr>
    </w:p>
    <w:p w14:paraId="5D22EA7F" w14:textId="77777777" w:rsidR="001D40C8" w:rsidRPr="001D40C8" w:rsidRDefault="001D40C8" w:rsidP="001D40C8">
      <w:pPr>
        <w:rPr>
          <w:rFonts w:cs="Arial"/>
          <w:sz w:val="22"/>
          <w:szCs w:val="22"/>
          <w:lang w:val="fr-FR"/>
        </w:rPr>
      </w:pPr>
    </w:p>
    <w:p w14:paraId="1F8AED7E" w14:textId="77777777" w:rsidR="001D40C8" w:rsidRPr="001D40C8" w:rsidRDefault="001D40C8" w:rsidP="001D40C8">
      <w:pPr>
        <w:rPr>
          <w:rFonts w:cs="Arial"/>
          <w:sz w:val="22"/>
          <w:szCs w:val="22"/>
          <w:lang w:val="fr-FR"/>
        </w:rPr>
      </w:pPr>
    </w:p>
    <w:p w14:paraId="2FC5CF12" w14:textId="77777777" w:rsidR="001D40C8" w:rsidRPr="001D40C8" w:rsidRDefault="001D40C8" w:rsidP="001D40C8">
      <w:pPr>
        <w:rPr>
          <w:rFonts w:cs="Arial"/>
          <w:sz w:val="22"/>
          <w:szCs w:val="22"/>
          <w:lang w:val="fr-FR"/>
        </w:rPr>
      </w:pPr>
    </w:p>
    <w:p w14:paraId="52A5A647" w14:textId="77777777" w:rsidR="001D40C8" w:rsidRPr="001D40C8" w:rsidRDefault="001D40C8" w:rsidP="001D40C8">
      <w:pPr>
        <w:rPr>
          <w:rFonts w:cs="Arial"/>
          <w:sz w:val="22"/>
          <w:szCs w:val="22"/>
          <w:lang w:val="fr-FR"/>
        </w:rPr>
      </w:pPr>
    </w:p>
    <w:p w14:paraId="37E8C93C" w14:textId="77777777" w:rsidR="001D40C8" w:rsidRPr="001D40C8" w:rsidRDefault="001D40C8" w:rsidP="001D40C8">
      <w:pPr>
        <w:rPr>
          <w:rFonts w:cs="Arial"/>
          <w:sz w:val="22"/>
          <w:szCs w:val="22"/>
          <w:lang w:val="fr-FR"/>
        </w:rPr>
      </w:pPr>
    </w:p>
    <w:p w14:paraId="787CDBA9" w14:textId="77777777" w:rsidR="001D40C8" w:rsidRPr="001D40C8" w:rsidRDefault="001D40C8" w:rsidP="001D40C8">
      <w:pPr>
        <w:rPr>
          <w:rFonts w:cs="Arial"/>
          <w:sz w:val="22"/>
          <w:szCs w:val="22"/>
          <w:lang w:val="fr-FR"/>
        </w:rPr>
      </w:pPr>
    </w:p>
    <w:p w14:paraId="6903CC91" w14:textId="77777777" w:rsidR="001D40C8" w:rsidRPr="001D40C8" w:rsidRDefault="001D40C8" w:rsidP="001D40C8">
      <w:pPr>
        <w:rPr>
          <w:rFonts w:cs="Arial"/>
          <w:sz w:val="22"/>
          <w:szCs w:val="22"/>
          <w:lang w:val="fr-FR"/>
        </w:rPr>
      </w:pPr>
    </w:p>
    <w:p w14:paraId="51CBBF5A" w14:textId="77777777" w:rsidR="001D40C8" w:rsidRPr="001D40C8" w:rsidRDefault="001D40C8" w:rsidP="001D40C8">
      <w:pPr>
        <w:rPr>
          <w:rFonts w:cs="Arial"/>
          <w:sz w:val="22"/>
          <w:szCs w:val="22"/>
          <w:lang w:val="fr-FR"/>
        </w:rPr>
      </w:pPr>
    </w:p>
    <w:p w14:paraId="1078B006" w14:textId="77777777" w:rsidR="001D40C8" w:rsidRPr="001D40C8" w:rsidRDefault="001D40C8" w:rsidP="001D40C8">
      <w:pPr>
        <w:rPr>
          <w:rFonts w:cs="Arial"/>
          <w:sz w:val="22"/>
          <w:szCs w:val="22"/>
          <w:lang w:val="fr-FR"/>
        </w:rPr>
      </w:pPr>
    </w:p>
    <w:p w14:paraId="01057EDF" w14:textId="77777777" w:rsidR="001D40C8" w:rsidRPr="001D40C8" w:rsidRDefault="001D40C8" w:rsidP="001D40C8">
      <w:pPr>
        <w:rPr>
          <w:rFonts w:cs="Arial"/>
          <w:sz w:val="22"/>
          <w:szCs w:val="22"/>
          <w:lang w:val="fr-FR"/>
        </w:rPr>
      </w:pPr>
    </w:p>
    <w:p w14:paraId="4AE0D653" w14:textId="77777777" w:rsidR="001D40C8" w:rsidRPr="001D40C8" w:rsidRDefault="001D40C8" w:rsidP="001D40C8">
      <w:pPr>
        <w:rPr>
          <w:rFonts w:cs="Arial"/>
          <w:sz w:val="22"/>
          <w:szCs w:val="22"/>
          <w:lang w:val="fr-FR"/>
        </w:rPr>
      </w:pPr>
    </w:p>
    <w:p w14:paraId="2E8B1987" w14:textId="77777777" w:rsidR="001D40C8" w:rsidRPr="001D40C8" w:rsidRDefault="001D40C8" w:rsidP="001D40C8">
      <w:pPr>
        <w:rPr>
          <w:rFonts w:cs="Arial"/>
          <w:sz w:val="22"/>
          <w:szCs w:val="22"/>
          <w:lang w:val="fr-FR"/>
        </w:rPr>
      </w:pPr>
    </w:p>
    <w:p w14:paraId="295F1A26" w14:textId="77777777" w:rsidR="001D40C8" w:rsidRPr="001D40C8" w:rsidRDefault="001D40C8" w:rsidP="001D40C8">
      <w:pPr>
        <w:rPr>
          <w:rFonts w:cs="Arial"/>
          <w:sz w:val="22"/>
          <w:szCs w:val="22"/>
          <w:lang w:val="fr-FR"/>
        </w:rPr>
      </w:pPr>
    </w:p>
    <w:p w14:paraId="407AEFEF" w14:textId="77777777" w:rsidR="001D40C8" w:rsidRPr="001D40C8" w:rsidRDefault="001D40C8" w:rsidP="001D40C8">
      <w:pPr>
        <w:rPr>
          <w:rFonts w:cs="Arial"/>
          <w:sz w:val="22"/>
          <w:szCs w:val="22"/>
          <w:lang w:val="fr-FR"/>
        </w:rPr>
      </w:pPr>
    </w:p>
    <w:p w14:paraId="47536C48" w14:textId="77777777" w:rsidR="001D40C8" w:rsidRPr="001D40C8" w:rsidRDefault="001D40C8" w:rsidP="001D40C8">
      <w:pPr>
        <w:rPr>
          <w:rFonts w:cs="Arial"/>
          <w:sz w:val="22"/>
          <w:szCs w:val="22"/>
          <w:lang w:val="fr-FR"/>
        </w:rPr>
      </w:pPr>
    </w:p>
    <w:p w14:paraId="666DD26E" w14:textId="77777777" w:rsidR="001D40C8" w:rsidRPr="001D40C8" w:rsidRDefault="001D40C8" w:rsidP="001D40C8">
      <w:pPr>
        <w:rPr>
          <w:rFonts w:cs="Arial"/>
          <w:sz w:val="22"/>
          <w:szCs w:val="22"/>
          <w:lang w:val="fr-FR"/>
        </w:rPr>
      </w:pPr>
    </w:p>
    <w:p w14:paraId="1E2EC2B8" w14:textId="77777777" w:rsidR="001D40C8" w:rsidRPr="001D40C8" w:rsidRDefault="001D40C8" w:rsidP="001D40C8">
      <w:pPr>
        <w:rPr>
          <w:rFonts w:cs="Arial"/>
          <w:sz w:val="22"/>
          <w:szCs w:val="22"/>
          <w:lang w:val="fr-FR"/>
        </w:rPr>
      </w:pPr>
    </w:p>
    <w:p w14:paraId="02F0D0E2" w14:textId="77777777" w:rsidR="001D40C8" w:rsidRPr="001D40C8" w:rsidRDefault="001D40C8" w:rsidP="001D40C8">
      <w:pPr>
        <w:rPr>
          <w:rFonts w:cs="Arial"/>
          <w:sz w:val="22"/>
          <w:szCs w:val="22"/>
          <w:lang w:val="fr-FR"/>
        </w:rPr>
      </w:pPr>
    </w:p>
    <w:p w14:paraId="6B8A1EE1" w14:textId="77777777" w:rsidR="001D40C8" w:rsidRPr="001D40C8" w:rsidRDefault="001D40C8" w:rsidP="001D40C8">
      <w:pPr>
        <w:rPr>
          <w:rFonts w:cs="Arial"/>
          <w:sz w:val="22"/>
          <w:szCs w:val="22"/>
          <w:lang w:val="fr-FR"/>
        </w:rPr>
      </w:pPr>
    </w:p>
    <w:p w14:paraId="2CCF8119" w14:textId="77777777" w:rsidR="001D40C8" w:rsidRPr="001D40C8" w:rsidRDefault="001D40C8" w:rsidP="001D40C8">
      <w:pPr>
        <w:tabs>
          <w:tab w:val="left" w:pos="1020"/>
        </w:tabs>
        <w:rPr>
          <w:rFonts w:cs="Arial"/>
          <w:sz w:val="22"/>
          <w:szCs w:val="22"/>
          <w:lang w:val="fr-FR"/>
        </w:rPr>
        <w:sectPr w:rsidR="001D40C8" w:rsidRPr="001D40C8" w:rsidSect="002F5087">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66" w:right="1134" w:bottom="1418" w:left="1134" w:header="142" w:footer="431" w:gutter="0"/>
          <w:cols w:space="720"/>
          <w:noEndnote/>
          <w:titlePg/>
          <w:docGrid w:linePitch="272"/>
        </w:sectPr>
      </w:pPr>
    </w:p>
    <w:p w14:paraId="2F986118" w14:textId="77777777" w:rsidR="001D40C8" w:rsidRPr="001D40C8" w:rsidRDefault="001D40C8" w:rsidP="001D40C8">
      <w:pPr>
        <w:jc w:val="center"/>
        <w:rPr>
          <w:rFonts w:eastAsia="MS Mincho" w:cs="Arial"/>
          <w:b/>
          <w:bCs/>
          <w:color w:val="000000"/>
          <w:sz w:val="22"/>
          <w:szCs w:val="22"/>
          <w:lang w:val="fr-FR"/>
        </w:rPr>
      </w:pPr>
    </w:p>
    <w:p w14:paraId="03D1945D" w14:textId="77777777" w:rsidR="001D40C8" w:rsidRPr="00016CD7" w:rsidRDefault="001D40C8" w:rsidP="001D40C8">
      <w:pPr>
        <w:jc w:val="center"/>
        <w:rPr>
          <w:rFonts w:eastAsia="MS Mincho" w:cs="Arial"/>
          <w:b/>
          <w:bCs/>
          <w:color w:val="000000"/>
          <w:sz w:val="22"/>
          <w:szCs w:val="22"/>
          <w:lang w:val="fr-FR"/>
        </w:rPr>
      </w:pPr>
      <w:r w:rsidRPr="00016CD7">
        <w:rPr>
          <w:b/>
          <w:color w:val="000000"/>
          <w:sz w:val="22"/>
          <w:lang w:val="fr-FR"/>
        </w:rPr>
        <w:t xml:space="preserve">PLAN STRATÉGIQUE POUR LES ESPÈCES MIGRATRICES 2015-2023 : </w:t>
      </w:r>
    </w:p>
    <w:p w14:paraId="1A356192" w14:textId="77777777" w:rsidR="001D40C8" w:rsidRPr="00016CD7" w:rsidRDefault="001D40C8" w:rsidP="001D40C8">
      <w:pPr>
        <w:jc w:val="center"/>
        <w:rPr>
          <w:rFonts w:eastAsia="MS Mincho" w:cs="Arial"/>
          <w:b/>
          <w:bCs/>
          <w:color w:val="000000"/>
          <w:sz w:val="22"/>
          <w:szCs w:val="22"/>
          <w:lang w:val="fr-FR"/>
        </w:rPr>
      </w:pPr>
      <w:r w:rsidRPr="00016CD7">
        <w:rPr>
          <w:b/>
          <w:color w:val="000000"/>
          <w:sz w:val="22"/>
          <w:lang w:val="fr-FR"/>
        </w:rPr>
        <w:t>MISE EN ŒUVRE ET SUIVI</w:t>
      </w:r>
    </w:p>
    <w:p w14:paraId="0CECD0D8" w14:textId="77777777" w:rsidR="001D40C8" w:rsidRPr="00016CD7" w:rsidRDefault="001D40C8" w:rsidP="001D40C8">
      <w:pPr>
        <w:jc w:val="both"/>
        <w:rPr>
          <w:rFonts w:cs="Arial"/>
          <w:sz w:val="22"/>
          <w:szCs w:val="22"/>
          <w:lang w:val="fr-FR"/>
        </w:rPr>
      </w:pPr>
    </w:p>
    <w:p w14:paraId="7414A7C9" w14:textId="77777777" w:rsidR="001D40C8" w:rsidRPr="00016CD7" w:rsidRDefault="001D40C8" w:rsidP="001D40C8">
      <w:pPr>
        <w:jc w:val="both"/>
        <w:rPr>
          <w:rFonts w:cs="Arial"/>
          <w:sz w:val="22"/>
          <w:szCs w:val="22"/>
          <w:lang w:val="fr-FR"/>
        </w:rPr>
      </w:pPr>
    </w:p>
    <w:p w14:paraId="5775C87F" w14:textId="0C3D08CE" w:rsidR="001D40C8" w:rsidRPr="00016CD7" w:rsidRDefault="00AD068F" w:rsidP="001D40C8">
      <w:pPr>
        <w:jc w:val="both"/>
        <w:rPr>
          <w:rFonts w:cs="Arial"/>
          <w:sz w:val="22"/>
          <w:szCs w:val="22"/>
          <w:u w:val="single"/>
          <w:lang w:val="fr-FR"/>
        </w:rPr>
      </w:pPr>
      <w:r w:rsidRPr="00016CD7">
        <w:rPr>
          <w:sz w:val="22"/>
          <w:u w:val="single"/>
          <w:lang w:val="fr-FR"/>
        </w:rPr>
        <w:t>Contexte</w:t>
      </w:r>
    </w:p>
    <w:p w14:paraId="5C99A15A" w14:textId="77777777" w:rsidR="001D40C8" w:rsidRPr="00016CD7" w:rsidRDefault="001D40C8" w:rsidP="001D40C8">
      <w:pPr>
        <w:jc w:val="both"/>
        <w:rPr>
          <w:rFonts w:cs="Arial"/>
          <w:sz w:val="22"/>
          <w:szCs w:val="22"/>
          <w:u w:val="single"/>
          <w:lang w:val="fr-FR"/>
        </w:rPr>
      </w:pPr>
    </w:p>
    <w:p w14:paraId="0CCFE525" w14:textId="166BC9B8" w:rsidR="001D40C8" w:rsidRPr="00016CD7" w:rsidRDefault="001D40C8" w:rsidP="00672E2E">
      <w:pPr>
        <w:pStyle w:val="ListParagraph"/>
        <w:numPr>
          <w:ilvl w:val="0"/>
          <w:numId w:val="14"/>
        </w:numPr>
        <w:ind w:left="426" w:hanging="426"/>
        <w:jc w:val="both"/>
        <w:textAlignment w:val="baseline"/>
        <w:rPr>
          <w:rFonts w:ascii="Arial" w:hAnsi="Arial" w:cs="Arial"/>
          <w:bCs/>
          <w:lang w:val="fr-FR"/>
        </w:rPr>
      </w:pPr>
      <w:r w:rsidRPr="00016CD7">
        <w:rPr>
          <w:rFonts w:ascii="Arial" w:eastAsiaTheme="minorEastAsia" w:hAnsi="Arial"/>
          <w:color w:val="000000" w:themeColor="text1"/>
          <w:kern w:val="24"/>
          <w:lang w:val="fr-FR"/>
        </w:rPr>
        <w:t>Le Plan stratégique pour les espèces migratrices (SPMS) 2015-2023 a été adopté dans la Résolution 11.2 de la 11</w:t>
      </w:r>
      <w:r w:rsidR="00AD068F" w:rsidRPr="00016CD7">
        <w:rPr>
          <w:rFonts w:ascii="Arial" w:eastAsiaTheme="minorEastAsia" w:hAnsi="Arial" w:cs="Arial"/>
          <w:color w:val="000000" w:themeColor="text1"/>
          <w:kern w:val="24"/>
          <w:vertAlign w:val="superscript"/>
          <w:lang w:val="fr-FR"/>
        </w:rPr>
        <w:t>è</w:t>
      </w:r>
      <w:r w:rsidR="00AD068F" w:rsidRPr="00016CD7">
        <w:rPr>
          <w:rFonts w:ascii="Arial" w:eastAsiaTheme="minorEastAsia" w:hAnsi="Arial"/>
          <w:color w:val="000000" w:themeColor="text1"/>
          <w:kern w:val="24"/>
          <w:vertAlign w:val="superscript"/>
          <w:lang w:val="fr-FR"/>
        </w:rPr>
        <w:t>me</w:t>
      </w:r>
      <w:r w:rsidR="00AD068F" w:rsidRPr="00016CD7">
        <w:rPr>
          <w:rFonts w:ascii="Arial" w:eastAsiaTheme="minorEastAsia" w:hAnsi="Arial"/>
          <w:color w:val="000000" w:themeColor="text1"/>
          <w:kern w:val="24"/>
          <w:lang w:val="fr-FR"/>
        </w:rPr>
        <w:t xml:space="preserve"> </w:t>
      </w:r>
      <w:r w:rsidRPr="00016CD7">
        <w:rPr>
          <w:rFonts w:ascii="Arial" w:eastAsiaTheme="minorEastAsia" w:hAnsi="Arial"/>
          <w:color w:val="000000" w:themeColor="text1"/>
          <w:kern w:val="24"/>
          <w:lang w:val="fr-FR"/>
        </w:rPr>
        <w:t>Réunion de la Conférence des Parties à la CMS (Quito, novembre 2014) pour porter les questions relatives aux espèces migratrices à un niveau politique plus élevé afin de soutenir la mise en œuvre des objectifs de la CMS et de ses accords associés.</w:t>
      </w:r>
    </w:p>
    <w:p w14:paraId="1E96820D" w14:textId="77777777" w:rsidR="001D40C8" w:rsidRPr="00016CD7" w:rsidRDefault="001D40C8" w:rsidP="001D40C8">
      <w:pPr>
        <w:pStyle w:val="ListParagraph"/>
        <w:ind w:left="426" w:hanging="426"/>
        <w:jc w:val="both"/>
        <w:textAlignment w:val="baseline"/>
        <w:rPr>
          <w:rFonts w:ascii="Arial" w:hAnsi="Arial" w:cs="Arial"/>
          <w:bCs/>
          <w:lang w:val="fr-FR"/>
        </w:rPr>
      </w:pPr>
    </w:p>
    <w:p w14:paraId="0F07FCC0" w14:textId="686C958D" w:rsidR="001D40C8" w:rsidRPr="00016CD7" w:rsidRDefault="001D40C8" w:rsidP="00672E2E">
      <w:pPr>
        <w:pStyle w:val="ListParagraph"/>
        <w:numPr>
          <w:ilvl w:val="0"/>
          <w:numId w:val="14"/>
        </w:numPr>
        <w:ind w:left="426" w:hanging="426"/>
        <w:jc w:val="both"/>
        <w:textAlignment w:val="baseline"/>
        <w:rPr>
          <w:rFonts w:ascii="Arial" w:hAnsi="Arial" w:cs="Arial"/>
          <w:bCs/>
          <w:lang w:val="fr-FR"/>
        </w:rPr>
      </w:pPr>
      <w:r w:rsidRPr="00016CD7">
        <w:rPr>
          <w:rFonts w:ascii="Arial" w:hAnsi="Arial"/>
          <w:lang w:val="fr-FR"/>
        </w:rPr>
        <w:t xml:space="preserve">Le SPMS fournit un vaste cadre susceptible de </w:t>
      </w:r>
      <w:r w:rsidR="00016CD7" w:rsidRPr="00016CD7">
        <w:rPr>
          <w:rFonts w:ascii="Arial" w:hAnsi="Arial"/>
          <w:lang w:val="fr-FR"/>
        </w:rPr>
        <w:t>canaliser</w:t>
      </w:r>
      <w:r w:rsidRPr="00016CD7">
        <w:rPr>
          <w:rFonts w:ascii="Arial" w:hAnsi="Arial"/>
          <w:lang w:val="fr-FR"/>
        </w:rPr>
        <w:t xml:space="preserve"> tous les efforts de conservation des espèces migratrices déployés par la communauté internationale dans son ensemble </w:t>
      </w:r>
      <w:r w:rsidR="00016CD7" w:rsidRPr="00016CD7">
        <w:rPr>
          <w:rFonts w:ascii="Arial" w:hAnsi="Arial"/>
          <w:lang w:val="fr-FR"/>
        </w:rPr>
        <w:t>dans la</w:t>
      </w:r>
      <w:r w:rsidRPr="00016CD7">
        <w:rPr>
          <w:rFonts w:ascii="Arial" w:hAnsi="Arial"/>
          <w:lang w:val="fr-FR"/>
        </w:rPr>
        <w:t xml:space="preserve"> même </w:t>
      </w:r>
      <w:r w:rsidR="00016CD7" w:rsidRPr="00016CD7">
        <w:rPr>
          <w:rFonts w:ascii="Arial" w:hAnsi="Arial"/>
          <w:lang w:val="fr-FR"/>
        </w:rPr>
        <w:t>direction</w:t>
      </w:r>
      <w:r w:rsidRPr="00016CD7">
        <w:rPr>
          <w:rFonts w:ascii="Arial" w:hAnsi="Arial"/>
          <w:lang w:val="fr-FR"/>
        </w:rPr>
        <w:t>. Ce faisant, il guide la mise en œuvre des accords de la CMS à un niveau stratégique et crée des opportunités pour une cohérence accrue et une meilleure visibilité des priorités de la CMS en termes politiques et stratégiques aux niveaux national, régional et mondial.</w:t>
      </w:r>
    </w:p>
    <w:p w14:paraId="407804ED" w14:textId="77777777" w:rsidR="001D40C8" w:rsidRPr="00016CD7" w:rsidRDefault="001D40C8" w:rsidP="001D40C8">
      <w:pPr>
        <w:pStyle w:val="ListParagraph"/>
        <w:ind w:left="426" w:hanging="426"/>
        <w:rPr>
          <w:rFonts w:ascii="Arial" w:hAnsi="Arial" w:cs="Arial"/>
          <w:bCs/>
          <w:lang w:val="fr-FR"/>
        </w:rPr>
      </w:pPr>
    </w:p>
    <w:p w14:paraId="5761D442" w14:textId="77777777" w:rsidR="001D40C8" w:rsidRPr="00016CD7" w:rsidRDefault="001D40C8" w:rsidP="00672E2E">
      <w:pPr>
        <w:pStyle w:val="ListParagraph"/>
        <w:numPr>
          <w:ilvl w:val="0"/>
          <w:numId w:val="14"/>
        </w:numPr>
        <w:spacing w:after="80"/>
        <w:ind w:left="425" w:hanging="425"/>
        <w:contextualSpacing w:val="0"/>
        <w:jc w:val="both"/>
        <w:textAlignment w:val="baseline"/>
        <w:rPr>
          <w:rFonts w:ascii="Arial" w:hAnsi="Arial" w:cs="Arial"/>
          <w:bCs/>
          <w:lang w:val="fr-FR"/>
        </w:rPr>
      </w:pPr>
      <w:r w:rsidRPr="00016CD7">
        <w:rPr>
          <w:rFonts w:ascii="Arial" w:hAnsi="Arial"/>
          <w:lang w:val="fr-FR"/>
        </w:rPr>
        <w:t>En adoptant le SPMS, les Parties de la CMS ont reconnu, dans la Résolution 11.2, la nécessité d’autres activités ou instruments habilitants pour la mise en œuvre et le suivi – qui sont essentiels pour la réussite et l’efficacité du Plan stratégique – et ont prévu des travaux intersessions supplémentaires pour renforcer l’ensemble des outils de soutien à la mise en œuvre du Plan stratégique, incluant :</w:t>
      </w:r>
    </w:p>
    <w:p w14:paraId="5F18D1D9" w14:textId="77777777" w:rsidR="001D40C8" w:rsidRPr="00016CD7" w:rsidRDefault="001D40C8" w:rsidP="001D40C8">
      <w:pPr>
        <w:pStyle w:val="ListParagraph"/>
        <w:spacing w:after="40"/>
        <w:ind w:left="714" w:hanging="357"/>
        <w:contextualSpacing w:val="0"/>
        <w:jc w:val="both"/>
        <w:rPr>
          <w:rFonts w:ascii="Arial" w:eastAsia="MS Mincho" w:hAnsi="Arial" w:cs="Arial"/>
          <w:lang w:val="fr-FR"/>
        </w:rPr>
      </w:pPr>
      <w:r w:rsidRPr="00016CD7">
        <w:rPr>
          <w:rFonts w:ascii="Arial" w:hAnsi="Arial"/>
          <w:lang w:val="fr-FR"/>
        </w:rPr>
        <w:t xml:space="preserve">a) </w:t>
      </w:r>
      <w:r w:rsidRPr="00016CD7">
        <w:rPr>
          <w:lang w:val="fr-FR"/>
        </w:rPr>
        <w:tab/>
      </w:r>
      <w:r w:rsidRPr="00016CD7">
        <w:rPr>
          <w:rFonts w:ascii="Arial" w:hAnsi="Arial"/>
          <w:lang w:val="fr-FR"/>
        </w:rPr>
        <w:t xml:space="preserve">les indicateurs du Plan stratégique pour les espèces migratrices, reprenant autant que possible les travaux existants tels que ceux menés au titre du Partenariat mondial pour les indicateurs de biodiversité ; et </w:t>
      </w:r>
    </w:p>
    <w:p w14:paraId="563764EC" w14:textId="77777777" w:rsidR="001D40C8" w:rsidRPr="00016CD7" w:rsidRDefault="001D40C8" w:rsidP="001D40C8">
      <w:pPr>
        <w:pStyle w:val="ListParagraph"/>
        <w:ind w:hanging="360"/>
        <w:jc w:val="both"/>
        <w:rPr>
          <w:rFonts w:ascii="Arial" w:eastAsia="MS Mincho" w:hAnsi="Arial" w:cs="Arial"/>
          <w:lang w:val="fr-FR"/>
        </w:rPr>
      </w:pPr>
      <w:r w:rsidRPr="00016CD7">
        <w:rPr>
          <w:rFonts w:ascii="Arial" w:hAnsi="Arial"/>
          <w:lang w:val="fr-FR"/>
        </w:rPr>
        <w:t xml:space="preserve">b) </w:t>
      </w:r>
      <w:r w:rsidRPr="00016CD7">
        <w:rPr>
          <w:lang w:val="fr-FR"/>
        </w:rPr>
        <w:tab/>
      </w:r>
      <w:r w:rsidRPr="00016CD7">
        <w:rPr>
          <w:rFonts w:ascii="Arial" w:hAnsi="Arial"/>
          <w:lang w:val="fr-FR"/>
        </w:rPr>
        <w:t>un Guide d’accompagnement de la mise en œuvre du nouveau Plan stratégique basé sur les outils disponibles et visant à fournir des orientations sur la mise en œuvre du Plan.</w:t>
      </w:r>
    </w:p>
    <w:p w14:paraId="26278B93" w14:textId="77777777" w:rsidR="001D40C8" w:rsidRPr="001D40C8" w:rsidRDefault="001D40C8" w:rsidP="001D40C8">
      <w:pPr>
        <w:pStyle w:val="ListParagraph"/>
        <w:rPr>
          <w:rFonts w:ascii="Arial" w:hAnsi="Arial" w:cs="Arial"/>
          <w:bCs/>
          <w:highlight w:val="yellow"/>
          <w:lang w:val="fr-FR"/>
        </w:rPr>
      </w:pPr>
    </w:p>
    <w:p w14:paraId="56225813" w14:textId="3A8248BE" w:rsidR="001D40C8" w:rsidRPr="00016CD7" w:rsidRDefault="001D40C8" w:rsidP="00672E2E">
      <w:pPr>
        <w:pStyle w:val="ListParagraph"/>
        <w:numPr>
          <w:ilvl w:val="0"/>
          <w:numId w:val="14"/>
        </w:numPr>
        <w:ind w:left="426" w:hanging="426"/>
        <w:jc w:val="both"/>
        <w:textAlignment w:val="baseline"/>
        <w:rPr>
          <w:rFonts w:ascii="Arial" w:hAnsi="Arial" w:cs="Arial"/>
          <w:bCs/>
          <w:lang w:val="fr-FR"/>
        </w:rPr>
      </w:pPr>
      <w:r w:rsidRPr="00016CD7">
        <w:rPr>
          <w:rFonts w:ascii="Arial" w:hAnsi="Arial"/>
          <w:lang w:val="fr-FR"/>
        </w:rPr>
        <w:t>Les Parties ont par ailleurs décidé d’étendre le mandat du Groupe de travail sur le Plan stratégique pour inclure l’élaboration des indicateurs et du Guide d’accompagnement pendant l</w:t>
      </w:r>
      <w:r w:rsidR="00994062" w:rsidRPr="00016CD7">
        <w:rPr>
          <w:rFonts w:ascii="Arial" w:hAnsi="Arial"/>
          <w:lang w:val="fr-FR"/>
        </w:rPr>
        <w:t xml:space="preserve">a période triennale 2015-2017. </w:t>
      </w:r>
      <w:r w:rsidRPr="00016CD7">
        <w:rPr>
          <w:rFonts w:ascii="Arial" w:hAnsi="Arial"/>
          <w:lang w:val="fr-FR"/>
        </w:rPr>
        <w:t>Le Groupe de travail a tenu deux réunions (</w:t>
      </w:r>
      <w:r w:rsidR="00BB17FB">
        <w:rPr>
          <w:rFonts w:ascii="Arial" w:hAnsi="Arial"/>
          <w:lang w:val="fr-FR"/>
        </w:rPr>
        <w:t xml:space="preserve">ses </w:t>
      </w:r>
      <w:r w:rsidRPr="00016CD7">
        <w:rPr>
          <w:rFonts w:ascii="Arial" w:hAnsi="Arial"/>
          <w:lang w:val="fr-FR"/>
        </w:rPr>
        <w:t>3</w:t>
      </w:r>
      <w:proofErr w:type="gramStart"/>
      <w:r w:rsidR="00016CD7" w:rsidRPr="00016CD7">
        <w:rPr>
          <w:rFonts w:ascii="Arial" w:eastAsiaTheme="minorEastAsia" w:hAnsi="Arial" w:cs="Arial"/>
          <w:color w:val="000000" w:themeColor="text1"/>
          <w:kern w:val="24"/>
          <w:vertAlign w:val="superscript"/>
          <w:lang w:val="fr-FR"/>
        </w:rPr>
        <w:t>è</w:t>
      </w:r>
      <w:r w:rsidR="00016CD7" w:rsidRPr="00016CD7">
        <w:rPr>
          <w:rFonts w:ascii="Arial" w:eastAsiaTheme="minorEastAsia" w:hAnsi="Arial"/>
          <w:color w:val="000000" w:themeColor="text1"/>
          <w:kern w:val="24"/>
          <w:vertAlign w:val="superscript"/>
          <w:lang w:val="fr-FR"/>
        </w:rPr>
        <w:t>me</w:t>
      </w:r>
      <w:r w:rsidR="00016CD7" w:rsidRPr="00016CD7">
        <w:rPr>
          <w:rFonts w:ascii="Arial" w:hAnsi="Arial"/>
          <w:vertAlign w:val="superscript"/>
          <w:lang w:val="fr-FR"/>
        </w:rPr>
        <w:t xml:space="preserve"> </w:t>
      </w:r>
      <w:r w:rsidRPr="00016CD7">
        <w:rPr>
          <w:rFonts w:ascii="Arial" w:hAnsi="Arial"/>
          <w:lang w:val="fr-FR"/>
        </w:rPr>
        <w:t xml:space="preserve"> et</w:t>
      </w:r>
      <w:proofErr w:type="gramEnd"/>
      <w:r w:rsidRPr="00016CD7">
        <w:rPr>
          <w:rFonts w:ascii="Arial" w:hAnsi="Arial"/>
          <w:lang w:val="fr-FR"/>
        </w:rPr>
        <w:t xml:space="preserve"> 4</w:t>
      </w:r>
      <w:r w:rsidR="00016CD7" w:rsidRPr="00016CD7">
        <w:rPr>
          <w:rFonts w:ascii="Arial" w:eastAsiaTheme="minorEastAsia" w:hAnsi="Arial" w:cs="Arial"/>
          <w:color w:val="000000" w:themeColor="text1"/>
          <w:kern w:val="24"/>
          <w:vertAlign w:val="superscript"/>
          <w:lang w:val="fr-FR"/>
        </w:rPr>
        <w:t>è</w:t>
      </w:r>
      <w:r w:rsidR="00016CD7" w:rsidRPr="00016CD7">
        <w:rPr>
          <w:rFonts w:ascii="Arial" w:eastAsiaTheme="minorEastAsia" w:hAnsi="Arial"/>
          <w:color w:val="000000" w:themeColor="text1"/>
          <w:kern w:val="24"/>
          <w:vertAlign w:val="superscript"/>
          <w:lang w:val="fr-FR"/>
        </w:rPr>
        <w:t>me</w:t>
      </w:r>
      <w:r w:rsidR="000F0165" w:rsidRPr="000F0165">
        <w:rPr>
          <w:rFonts w:ascii="Arial" w:hAnsi="Arial"/>
          <w:lang w:val="fr-FR"/>
        </w:rPr>
        <w:t xml:space="preserve"> </w:t>
      </w:r>
      <w:r w:rsidR="000F0165" w:rsidRPr="00016CD7">
        <w:rPr>
          <w:rFonts w:ascii="Arial" w:hAnsi="Arial"/>
          <w:lang w:val="fr-FR"/>
        </w:rPr>
        <w:t>réunions</w:t>
      </w:r>
      <w:r w:rsidRPr="00016CD7">
        <w:rPr>
          <w:rFonts w:ascii="Arial" w:hAnsi="Arial"/>
          <w:lang w:val="fr-FR"/>
        </w:rPr>
        <w:t xml:space="preserve">) au cours de la période triennale – en octobre 2015 et en novembre 2016 – et a rendu compte à chaque fois aux réunions du Comité permanent de la CMS qui ont suivi </w:t>
      </w:r>
      <w:r w:rsidR="00994062" w:rsidRPr="00016CD7">
        <w:rPr>
          <w:rFonts w:ascii="Arial" w:hAnsi="Arial"/>
          <w:lang w:val="fr-FR"/>
        </w:rPr>
        <w:t>immédiatement (StC44 et StC45).</w:t>
      </w:r>
      <w:r w:rsidRPr="00016CD7">
        <w:rPr>
          <w:rFonts w:ascii="Arial" w:hAnsi="Arial"/>
          <w:lang w:val="fr-FR"/>
        </w:rPr>
        <w:t xml:space="preserve"> Le présent document résume les résultats des deux principales tâches entreprises par le SPWG et formule des propositions relatives aux prochaines étapes pour examen par la </w:t>
      </w:r>
      <w:r w:rsidR="00016CD7" w:rsidRPr="00016CD7">
        <w:rPr>
          <w:rFonts w:ascii="Arial" w:hAnsi="Arial"/>
          <w:lang w:val="fr-FR"/>
        </w:rPr>
        <w:t>COP</w:t>
      </w:r>
      <w:r w:rsidRPr="00016CD7">
        <w:rPr>
          <w:rFonts w:ascii="Arial" w:hAnsi="Arial"/>
          <w:lang w:val="fr-FR"/>
        </w:rPr>
        <w:t>.</w:t>
      </w:r>
    </w:p>
    <w:p w14:paraId="7E99AA4A" w14:textId="77777777" w:rsidR="001D40C8" w:rsidRPr="001D40C8" w:rsidRDefault="001D40C8" w:rsidP="001D40C8">
      <w:pPr>
        <w:pStyle w:val="ListParagraph"/>
        <w:ind w:left="426" w:hanging="426"/>
        <w:jc w:val="both"/>
        <w:textAlignment w:val="baseline"/>
        <w:rPr>
          <w:rFonts w:ascii="Arial" w:hAnsi="Arial" w:cs="Arial"/>
          <w:bCs/>
          <w:highlight w:val="yellow"/>
          <w:lang w:val="fr-FR"/>
        </w:rPr>
      </w:pPr>
    </w:p>
    <w:p w14:paraId="6826CD78" w14:textId="77777777" w:rsidR="001D40C8" w:rsidRPr="00016CD7" w:rsidRDefault="001D40C8" w:rsidP="00672E2E">
      <w:pPr>
        <w:pStyle w:val="ListParagraph"/>
        <w:numPr>
          <w:ilvl w:val="0"/>
          <w:numId w:val="14"/>
        </w:numPr>
        <w:ind w:left="426" w:hanging="426"/>
        <w:jc w:val="both"/>
        <w:textAlignment w:val="baseline"/>
        <w:rPr>
          <w:rFonts w:ascii="Arial" w:hAnsi="Arial" w:cs="Arial"/>
          <w:bCs/>
          <w:lang w:val="fr-FR"/>
        </w:rPr>
      </w:pPr>
      <w:r w:rsidRPr="00016CD7">
        <w:rPr>
          <w:rFonts w:ascii="Arial" w:hAnsi="Arial"/>
          <w:lang w:val="fr-FR"/>
        </w:rPr>
        <w:t>Les activités du SPWG ont été en partie financées par le Gouvernement de la République fédérale d’Allemagne, par l’intermédiaire du Ministère fédéral de l’environnement, de la conservation de la nature, du bâtiment et de la sûreté nucléaire (BMUB).</w:t>
      </w:r>
    </w:p>
    <w:p w14:paraId="33A566B6" w14:textId="77777777" w:rsidR="001D40C8" w:rsidRPr="001D40C8" w:rsidRDefault="001D40C8" w:rsidP="001D40C8">
      <w:pPr>
        <w:ind w:left="426" w:hanging="426"/>
        <w:jc w:val="both"/>
        <w:rPr>
          <w:rFonts w:eastAsia="MS Mincho" w:cs="Arial"/>
          <w:highlight w:val="yellow"/>
          <w:u w:val="single"/>
          <w:lang w:val="fr-FR"/>
        </w:rPr>
      </w:pPr>
    </w:p>
    <w:p w14:paraId="6B622018" w14:textId="77777777" w:rsidR="001D40C8" w:rsidRPr="00BB17FB" w:rsidRDefault="001D40C8" w:rsidP="001D40C8">
      <w:pPr>
        <w:ind w:left="426" w:hanging="426"/>
        <w:jc w:val="both"/>
        <w:rPr>
          <w:rFonts w:eastAsia="MS Mincho" w:cs="Arial"/>
          <w:sz w:val="22"/>
          <w:szCs w:val="22"/>
          <w:u w:val="single"/>
          <w:lang w:val="fr-FR"/>
        </w:rPr>
      </w:pPr>
      <w:r w:rsidRPr="00BB17FB">
        <w:rPr>
          <w:sz w:val="22"/>
          <w:u w:val="single"/>
          <w:lang w:val="fr-FR"/>
        </w:rPr>
        <w:t>Guide d’accompagnement</w:t>
      </w:r>
    </w:p>
    <w:p w14:paraId="2E76199A" w14:textId="77777777" w:rsidR="001D40C8" w:rsidRPr="00BB17FB" w:rsidRDefault="001D40C8" w:rsidP="001D40C8">
      <w:pPr>
        <w:pStyle w:val="ListParagraph"/>
        <w:ind w:left="426" w:hanging="426"/>
        <w:rPr>
          <w:rFonts w:ascii="Arial" w:hAnsi="Arial" w:cs="Arial"/>
          <w:bCs/>
          <w:lang w:val="fr-FR"/>
        </w:rPr>
      </w:pPr>
    </w:p>
    <w:p w14:paraId="03C0FD8B" w14:textId="77777777" w:rsidR="001D40C8" w:rsidRPr="00BB17FB" w:rsidRDefault="001D40C8" w:rsidP="00672E2E">
      <w:pPr>
        <w:pStyle w:val="ListParagraph"/>
        <w:numPr>
          <w:ilvl w:val="0"/>
          <w:numId w:val="14"/>
        </w:numPr>
        <w:ind w:left="426" w:hanging="426"/>
        <w:jc w:val="both"/>
        <w:textAlignment w:val="baseline"/>
        <w:rPr>
          <w:rFonts w:ascii="Arial" w:hAnsi="Arial" w:cs="Arial"/>
          <w:bCs/>
          <w:lang w:val="fr-FR"/>
        </w:rPr>
      </w:pPr>
      <w:r w:rsidRPr="00BB17FB">
        <w:rPr>
          <w:rFonts w:ascii="Arial" w:hAnsi="Arial"/>
          <w:lang w:val="fr-FR"/>
        </w:rPr>
        <w:t>Le chapitre 4 du SPMS décrit les principaux domaines dans lesquels des conditions favorables de haut niveau doivent être créées, afin de permettre l’application de toute la gamme de mesures de mise en œuvre requises. Ceci concerne en particulier les mécanismes d’exécution, les infrastructures d’appui et l’évaluation des performances.</w:t>
      </w:r>
      <w:r w:rsidR="00994062" w:rsidRPr="00BB17FB">
        <w:rPr>
          <w:rFonts w:ascii="Arial" w:hAnsi="Arial"/>
          <w:lang w:val="fr-FR"/>
        </w:rPr>
        <w:t xml:space="preserve"> </w:t>
      </w:r>
      <w:r w:rsidRPr="00BB17FB">
        <w:rPr>
          <w:rFonts w:ascii="Arial" w:hAnsi="Arial"/>
          <w:lang w:val="fr-FR"/>
        </w:rPr>
        <w:t>Le chapitre prévoit des suggestions pour aider les acteurs gouvernementaux et non gouvernementaux à transposer et à intégrer les objectifs mondiaux du Plan dans leurs contextes régi</w:t>
      </w:r>
      <w:r w:rsidR="00994062" w:rsidRPr="00BB17FB">
        <w:rPr>
          <w:rFonts w:ascii="Arial" w:hAnsi="Arial"/>
          <w:lang w:val="fr-FR"/>
        </w:rPr>
        <w:t>onaux et nationaux spécifiques.</w:t>
      </w:r>
      <w:r w:rsidRPr="00BB17FB">
        <w:rPr>
          <w:rFonts w:ascii="Arial" w:hAnsi="Arial"/>
          <w:lang w:val="fr-FR"/>
        </w:rPr>
        <w:t xml:space="preserve"> Afin d’appuyer la mise en œuvre du SPMS, le Guide d’accompagnement renferme des orientations plus précises sur ces aspects et vise à aider les experts nationaux et les autres parties prenantes à mettre en place et à </w:t>
      </w:r>
      <w:r w:rsidRPr="00BB17FB">
        <w:rPr>
          <w:rFonts w:ascii="Arial" w:hAnsi="Arial"/>
          <w:lang w:val="fr-FR"/>
        </w:rPr>
        <w:lastRenderedPageBreak/>
        <w:t>appliquer les moyens de mise en œuvre nécessaires, afin d’atteindre les buts et les objectifs du Plan stratégique pour les espèces migratrices.</w:t>
      </w:r>
    </w:p>
    <w:p w14:paraId="1DCB73BF" w14:textId="77777777" w:rsidR="001D40C8" w:rsidRPr="001D40C8" w:rsidRDefault="001D40C8" w:rsidP="001D40C8">
      <w:pPr>
        <w:pStyle w:val="ListParagraph"/>
        <w:ind w:left="360"/>
        <w:jc w:val="both"/>
        <w:textAlignment w:val="baseline"/>
        <w:rPr>
          <w:rFonts w:ascii="Arial" w:hAnsi="Arial" w:cs="Arial"/>
          <w:bCs/>
          <w:highlight w:val="yellow"/>
          <w:lang w:val="fr-FR"/>
        </w:rPr>
      </w:pPr>
    </w:p>
    <w:p w14:paraId="21242D59" w14:textId="72E3610D" w:rsidR="001D40C8" w:rsidRPr="00F21588" w:rsidRDefault="001D40C8" w:rsidP="00672E2E">
      <w:pPr>
        <w:pStyle w:val="ListParagraph"/>
        <w:numPr>
          <w:ilvl w:val="0"/>
          <w:numId w:val="14"/>
        </w:numPr>
        <w:ind w:left="426" w:hanging="426"/>
        <w:jc w:val="both"/>
        <w:textAlignment w:val="baseline"/>
        <w:rPr>
          <w:rFonts w:ascii="Arial" w:hAnsi="Arial" w:cs="Arial"/>
          <w:bCs/>
          <w:lang w:val="fr-FR"/>
        </w:rPr>
      </w:pPr>
      <w:r w:rsidRPr="00F21588">
        <w:rPr>
          <w:rFonts w:ascii="Arial" w:hAnsi="Arial"/>
          <w:lang w:val="fr-FR"/>
        </w:rPr>
        <w:t xml:space="preserve">Le SPWG a </w:t>
      </w:r>
      <w:r w:rsidR="00BB17FB" w:rsidRPr="00F21588">
        <w:rPr>
          <w:rFonts w:ascii="Arial" w:hAnsi="Arial"/>
          <w:lang w:val="fr-FR"/>
        </w:rPr>
        <w:t>examin</w:t>
      </w:r>
      <w:r w:rsidR="00BB17FB" w:rsidRPr="00F21588">
        <w:rPr>
          <w:rFonts w:ascii="Arial" w:hAnsi="Arial" w:cs="Arial"/>
          <w:lang w:val="fr-FR"/>
        </w:rPr>
        <w:t>é</w:t>
      </w:r>
      <w:r w:rsidRPr="00F21588">
        <w:rPr>
          <w:rFonts w:ascii="Arial" w:hAnsi="Arial"/>
          <w:lang w:val="fr-FR"/>
        </w:rPr>
        <w:t xml:space="preserve"> la mise au point du Guide d’accompagnement lors de sa 3</w:t>
      </w:r>
      <w:proofErr w:type="gramStart"/>
      <w:r w:rsidR="00BB17FB" w:rsidRPr="00F21588">
        <w:rPr>
          <w:rFonts w:ascii="Arial" w:eastAsiaTheme="minorEastAsia" w:hAnsi="Arial" w:cs="Arial"/>
          <w:color w:val="000000" w:themeColor="text1"/>
          <w:kern w:val="24"/>
          <w:vertAlign w:val="superscript"/>
          <w:lang w:val="fr-FR"/>
        </w:rPr>
        <w:t>è</w:t>
      </w:r>
      <w:r w:rsidR="00BB17FB" w:rsidRPr="00F21588">
        <w:rPr>
          <w:rFonts w:ascii="Arial" w:eastAsiaTheme="minorEastAsia" w:hAnsi="Arial"/>
          <w:color w:val="000000" w:themeColor="text1"/>
          <w:kern w:val="24"/>
          <w:vertAlign w:val="superscript"/>
          <w:lang w:val="fr-FR"/>
        </w:rPr>
        <w:t>me</w:t>
      </w:r>
      <w:r w:rsidR="00BB17FB" w:rsidRPr="00F21588">
        <w:rPr>
          <w:rFonts w:ascii="Arial" w:hAnsi="Arial"/>
          <w:vertAlign w:val="superscript"/>
          <w:lang w:val="fr-FR"/>
        </w:rPr>
        <w:t xml:space="preserve"> </w:t>
      </w:r>
      <w:r w:rsidRPr="00F21588">
        <w:rPr>
          <w:rFonts w:ascii="Arial" w:hAnsi="Arial"/>
          <w:lang w:val="fr-FR"/>
        </w:rPr>
        <w:t xml:space="preserve"> réunion</w:t>
      </w:r>
      <w:proofErr w:type="gramEnd"/>
      <w:r w:rsidRPr="00F21588">
        <w:rPr>
          <w:rFonts w:ascii="Arial" w:hAnsi="Arial"/>
          <w:lang w:val="fr-FR"/>
        </w:rPr>
        <w:t>, sur la base d’une analyse des programmes de travail, des plans d’action et d’autres outils d’appui à la mise en œuvre utilisés au sein de la CMS, ainsi que d’autres instruments de la Famille CMS</w:t>
      </w:r>
      <w:r w:rsidR="00994062" w:rsidRPr="00F21588">
        <w:rPr>
          <w:rFonts w:ascii="Arial" w:hAnsi="Arial"/>
          <w:lang w:val="fr-FR"/>
        </w:rPr>
        <w:t xml:space="preserve">, préparée par le Secrétariat. </w:t>
      </w:r>
      <w:r w:rsidRPr="00F21588">
        <w:rPr>
          <w:rFonts w:ascii="Arial" w:hAnsi="Arial"/>
          <w:lang w:val="fr-FR"/>
        </w:rPr>
        <w:t>Compte tenu du grand nombre de ressources et d’instruments concernés, il a été décidé d’examiner la possibilité de concevoir le guide sous la forme d'une boîte à outils en ligne pour les raisons suivantes :</w:t>
      </w:r>
    </w:p>
    <w:p w14:paraId="03EC6356" w14:textId="77777777" w:rsidR="001D40C8" w:rsidRPr="00F21588" w:rsidRDefault="001D40C8" w:rsidP="001D40C8">
      <w:pPr>
        <w:ind w:left="426" w:hanging="426"/>
        <w:jc w:val="both"/>
        <w:textAlignment w:val="baseline"/>
        <w:rPr>
          <w:rFonts w:cs="Arial"/>
          <w:bCs/>
          <w:lang w:val="fr-FR"/>
        </w:rPr>
      </w:pPr>
    </w:p>
    <w:p w14:paraId="1EAB8FF8" w14:textId="77777777" w:rsidR="001D40C8" w:rsidRPr="00F21588" w:rsidRDefault="001D40C8" w:rsidP="001D40C8">
      <w:pPr>
        <w:spacing w:after="40"/>
        <w:ind w:left="851" w:hanging="284"/>
        <w:jc w:val="both"/>
        <w:rPr>
          <w:rFonts w:eastAsia="MS Mincho" w:cs="Arial"/>
          <w:sz w:val="22"/>
          <w:szCs w:val="22"/>
          <w:lang w:val="fr-FR"/>
        </w:rPr>
      </w:pPr>
      <w:r w:rsidRPr="00F21588">
        <w:rPr>
          <w:sz w:val="22"/>
          <w:lang w:val="fr-FR"/>
        </w:rPr>
        <w:t>a) faire du Guide d’accompagnement une boîte à outils évolutive ;</w:t>
      </w:r>
    </w:p>
    <w:p w14:paraId="36BED9A3" w14:textId="77777777" w:rsidR="001D40C8" w:rsidRPr="00F21588" w:rsidRDefault="001D40C8" w:rsidP="001D40C8">
      <w:pPr>
        <w:spacing w:after="40"/>
        <w:ind w:left="851" w:hanging="284"/>
        <w:jc w:val="both"/>
        <w:rPr>
          <w:rFonts w:eastAsia="MS Mincho" w:cs="Arial"/>
          <w:sz w:val="22"/>
          <w:szCs w:val="22"/>
          <w:lang w:val="fr-FR"/>
        </w:rPr>
      </w:pPr>
      <w:r w:rsidRPr="00F21588">
        <w:rPr>
          <w:sz w:val="22"/>
          <w:lang w:val="fr-FR"/>
        </w:rPr>
        <w:t xml:space="preserve">b) permettre une actualisation régulière et des ajouts à mesure que de nouvelles informations sont reçues ; </w:t>
      </w:r>
    </w:p>
    <w:p w14:paraId="52B01310" w14:textId="77777777" w:rsidR="001D40C8" w:rsidRPr="00F21588" w:rsidRDefault="001D40C8" w:rsidP="001D40C8">
      <w:pPr>
        <w:spacing w:after="40"/>
        <w:ind w:left="851" w:hanging="284"/>
        <w:jc w:val="both"/>
        <w:rPr>
          <w:rFonts w:eastAsia="MS Mincho" w:cs="Arial"/>
          <w:sz w:val="22"/>
          <w:szCs w:val="22"/>
          <w:lang w:val="fr-FR"/>
        </w:rPr>
      </w:pPr>
      <w:r w:rsidRPr="00F21588">
        <w:rPr>
          <w:sz w:val="22"/>
          <w:lang w:val="fr-FR"/>
        </w:rPr>
        <w:t>c) fournir aux Parties et aux autres parties prenantes toutes les directives actuellement disponibles dans la Famille CMS pour les aider à mettre en œuvre le Plan stratégique ;</w:t>
      </w:r>
    </w:p>
    <w:p w14:paraId="47D82647" w14:textId="77777777" w:rsidR="001D40C8" w:rsidRPr="00F21588" w:rsidRDefault="001D40C8" w:rsidP="001D40C8">
      <w:pPr>
        <w:spacing w:after="40"/>
        <w:ind w:left="851" w:hanging="284"/>
        <w:jc w:val="both"/>
        <w:rPr>
          <w:rFonts w:eastAsia="MS Mincho" w:cs="Arial"/>
          <w:sz w:val="22"/>
          <w:szCs w:val="22"/>
          <w:lang w:val="fr-FR"/>
        </w:rPr>
      </w:pPr>
      <w:r w:rsidRPr="00F21588">
        <w:rPr>
          <w:sz w:val="22"/>
          <w:lang w:val="fr-FR"/>
        </w:rPr>
        <w:t>d) fournir des informations sur chaque objectif, notamment les données relatives à tous les outils de la Famille CMS à l’appui de cet objectif ;</w:t>
      </w:r>
    </w:p>
    <w:p w14:paraId="4A4146FC" w14:textId="77777777" w:rsidR="001D40C8" w:rsidRPr="00F21588" w:rsidRDefault="001D40C8" w:rsidP="001D40C8">
      <w:pPr>
        <w:ind w:left="851" w:hanging="284"/>
        <w:jc w:val="both"/>
        <w:rPr>
          <w:rFonts w:eastAsia="MS Mincho" w:cs="Arial"/>
          <w:sz w:val="22"/>
          <w:szCs w:val="22"/>
          <w:lang w:val="fr-FR"/>
        </w:rPr>
      </w:pPr>
      <w:r w:rsidRPr="00F21588">
        <w:rPr>
          <w:sz w:val="22"/>
          <w:lang w:val="fr-FR"/>
        </w:rPr>
        <w:t>e) encourager l’utilisation du Plan stratégique et des objectifs dans l’ensemble de la Famille.</w:t>
      </w:r>
    </w:p>
    <w:p w14:paraId="454D1F8B" w14:textId="77777777" w:rsidR="001D40C8" w:rsidRPr="001D40C8" w:rsidRDefault="001D40C8" w:rsidP="001D40C8">
      <w:pPr>
        <w:ind w:left="426" w:hanging="426"/>
        <w:jc w:val="both"/>
        <w:rPr>
          <w:rFonts w:eastAsia="MS Mincho" w:cs="Arial"/>
          <w:sz w:val="22"/>
          <w:szCs w:val="22"/>
          <w:highlight w:val="yellow"/>
          <w:lang w:val="fr-FR"/>
        </w:rPr>
      </w:pPr>
    </w:p>
    <w:p w14:paraId="3ABFE3D9" w14:textId="180F12A1" w:rsidR="001D40C8" w:rsidRPr="004E015D" w:rsidRDefault="001D40C8" w:rsidP="001D40C8">
      <w:pPr>
        <w:ind w:left="450"/>
        <w:jc w:val="both"/>
        <w:rPr>
          <w:rFonts w:eastAsia="MS Mincho" w:cs="Arial"/>
          <w:sz w:val="22"/>
          <w:szCs w:val="22"/>
          <w:lang w:val="fr-FR"/>
        </w:rPr>
      </w:pPr>
      <w:r w:rsidRPr="004E015D">
        <w:rPr>
          <w:sz w:val="22"/>
          <w:lang w:val="fr-FR"/>
        </w:rPr>
        <w:t xml:space="preserve">Cette méthode de présentation en ligne propose donc des moyens plus souples et plus dynamiques d’accéder aux ressources, et permettra au Guide d’accompagnement d’être progressivement complété et actualisé à l’avenir s’il en est ainsi convenu par la </w:t>
      </w:r>
      <w:r w:rsidR="00276665" w:rsidRPr="004E015D">
        <w:rPr>
          <w:sz w:val="22"/>
          <w:lang w:val="fr-FR"/>
        </w:rPr>
        <w:t>COP</w:t>
      </w:r>
      <w:r w:rsidRPr="004E015D">
        <w:rPr>
          <w:sz w:val="22"/>
          <w:lang w:val="fr-FR"/>
        </w:rPr>
        <w:t>.</w:t>
      </w:r>
    </w:p>
    <w:p w14:paraId="6E94D931" w14:textId="77777777" w:rsidR="001D40C8" w:rsidRPr="004E015D" w:rsidRDefault="001D40C8" w:rsidP="001D40C8">
      <w:pPr>
        <w:ind w:left="426" w:hanging="426"/>
        <w:jc w:val="both"/>
        <w:rPr>
          <w:rFonts w:eastAsia="MS Mincho" w:cs="Arial"/>
          <w:sz w:val="22"/>
          <w:szCs w:val="22"/>
          <w:lang w:val="fr-FR"/>
        </w:rPr>
      </w:pPr>
    </w:p>
    <w:p w14:paraId="5F5D1314" w14:textId="77777777" w:rsidR="001D40C8" w:rsidRPr="004E015D" w:rsidRDefault="001D40C8" w:rsidP="00672E2E">
      <w:pPr>
        <w:pStyle w:val="ListParagraph"/>
        <w:numPr>
          <w:ilvl w:val="0"/>
          <w:numId w:val="14"/>
        </w:numPr>
        <w:ind w:left="426" w:hanging="426"/>
        <w:jc w:val="both"/>
        <w:rPr>
          <w:rFonts w:ascii="Arial" w:eastAsia="MS Mincho" w:hAnsi="Arial" w:cs="Arial"/>
          <w:lang w:val="fr-FR"/>
        </w:rPr>
      </w:pPr>
      <w:r w:rsidRPr="004E015D">
        <w:rPr>
          <w:rFonts w:ascii="Arial" w:hAnsi="Arial"/>
          <w:lang w:val="fr-FR"/>
        </w:rPr>
        <w:t>Le Secrétariat a été prié de préparer un projet de guide pour examen par le SPWG lors de sa prochaine réunion. Pour plus de commodité, le contenu du Guide d’accompagnement a été structuré selon les 16 objectifs du Plan stratégique. La présentation dans un cadre disponible en ligne permet aussi de structurer simultanément le contenu du guide suivant les rubriques fonctionnelles adoptées au chapitre 4 du Plan. Il est donc possible d’accéder au guide grâce à un menu « matriciel » plutôt que par une simple table des matières.</w:t>
      </w:r>
    </w:p>
    <w:p w14:paraId="10B1BDDC" w14:textId="77777777" w:rsidR="001D40C8" w:rsidRPr="004E015D" w:rsidRDefault="001D40C8" w:rsidP="001D40C8">
      <w:pPr>
        <w:pStyle w:val="ListParagraph"/>
        <w:ind w:left="426" w:hanging="426"/>
        <w:jc w:val="both"/>
        <w:rPr>
          <w:rFonts w:ascii="Arial" w:eastAsia="MS Mincho" w:hAnsi="Arial" w:cs="Arial"/>
          <w:lang w:val="fr-FR"/>
        </w:rPr>
      </w:pPr>
    </w:p>
    <w:p w14:paraId="0DCD615D" w14:textId="77777777" w:rsidR="001D40C8" w:rsidRPr="004E015D" w:rsidRDefault="001D40C8" w:rsidP="00672E2E">
      <w:pPr>
        <w:pStyle w:val="ListParagraph"/>
        <w:numPr>
          <w:ilvl w:val="0"/>
          <w:numId w:val="14"/>
        </w:numPr>
        <w:ind w:left="426" w:hanging="426"/>
        <w:jc w:val="both"/>
        <w:rPr>
          <w:rFonts w:ascii="Arial" w:eastAsia="MS Mincho" w:hAnsi="Arial" w:cs="Arial"/>
          <w:lang w:val="fr-FR"/>
        </w:rPr>
      </w:pPr>
      <w:r w:rsidRPr="004E015D">
        <w:rPr>
          <w:rFonts w:ascii="Arial" w:hAnsi="Arial"/>
          <w:lang w:val="fr-FR"/>
        </w:rPr>
        <w:t>Un premier cycle de consultation sur la base d’un projet de Guide d’accompagnement partiellement rempli a été entrepris en septembre-octobre 2016 auprès des membres du SPWG, du Comité permanent et du Conseil scientifique de la CMS. La consultation visait à susciter des observations de haut niveau sur l’approche adoptée, notamment en ce qui concerne :</w:t>
      </w:r>
    </w:p>
    <w:p w14:paraId="1B1CE85B" w14:textId="77777777" w:rsidR="001D40C8" w:rsidRPr="004E015D" w:rsidRDefault="001D40C8" w:rsidP="001D40C8">
      <w:pPr>
        <w:ind w:left="426" w:hanging="426"/>
        <w:jc w:val="both"/>
        <w:rPr>
          <w:rFonts w:eastAsia="MS Mincho" w:cs="Arial"/>
          <w:lang w:val="fr-FR"/>
        </w:rPr>
      </w:pPr>
    </w:p>
    <w:p w14:paraId="3F0AAE0B" w14:textId="77777777" w:rsidR="001D40C8" w:rsidRPr="004E015D" w:rsidRDefault="001D40C8" w:rsidP="001D40C8">
      <w:pPr>
        <w:spacing w:after="40"/>
        <w:ind w:left="851" w:hanging="284"/>
        <w:jc w:val="both"/>
        <w:rPr>
          <w:rFonts w:eastAsia="MS Mincho" w:cs="Arial"/>
          <w:sz w:val="22"/>
          <w:szCs w:val="22"/>
          <w:lang w:val="fr-FR"/>
        </w:rPr>
      </w:pPr>
      <w:r w:rsidRPr="004E015D">
        <w:rPr>
          <w:sz w:val="22"/>
          <w:lang w:val="fr-FR"/>
        </w:rPr>
        <w:t>a) la facilité d’utilisation de l’outil en ligne, y compris toute suggestion sur la façon de l’améliorer ;</w:t>
      </w:r>
    </w:p>
    <w:p w14:paraId="17C3C4AC" w14:textId="77777777" w:rsidR="001D40C8" w:rsidRPr="004E015D" w:rsidRDefault="001D40C8" w:rsidP="001D40C8">
      <w:pPr>
        <w:spacing w:after="40"/>
        <w:ind w:left="851" w:hanging="284"/>
        <w:jc w:val="both"/>
        <w:rPr>
          <w:rFonts w:eastAsia="MS Mincho" w:cs="Arial"/>
          <w:sz w:val="22"/>
          <w:szCs w:val="22"/>
          <w:lang w:val="fr-FR"/>
        </w:rPr>
      </w:pPr>
      <w:r w:rsidRPr="004E015D">
        <w:rPr>
          <w:sz w:val="22"/>
          <w:lang w:val="fr-FR"/>
        </w:rPr>
        <w:t>b) la capacité de l’information disponible dans les outils analysés à guider l’action à l’appui de l’objectif ;</w:t>
      </w:r>
    </w:p>
    <w:p w14:paraId="4C5CCACF" w14:textId="77777777" w:rsidR="001D40C8" w:rsidRPr="004E015D" w:rsidRDefault="001D40C8" w:rsidP="001D40C8">
      <w:pPr>
        <w:ind w:left="851" w:hanging="284"/>
        <w:jc w:val="both"/>
        <w:rPr>
          <w:rFonts w:eastAsia="MS Mincho" w:cs="Arial"/>
          <w:sz w:val="22"/>
          <w:szCs w:val="22"/>
          <w:lang w:val="fr-FR"/>
        </w:rPr>
      </w:pPr>
      <w:r w:rsidRPr="004E015D">
        <w:rPr>
          <w:sz w:val="22"/>
          <w:lang w:val="fr-FR"/>
        </w:rPr>
        <w:t>c) le niveau de détail fourni sur chaque outil analysé.</w:t>
      </w:r>
    </w:p>
    <w:p w14:paraId="1EDD3640" w14:textId="77777777" w:rsidR="001D40C8" w:rsidRPr="004E015D" w:rsidRDefault="001D40C8" w:rsidP="001D40C8">
      <w:pPr>
        <w:ind w:left="426" w:hanging="426"/>
        <w:jc w:val="both"/>
        <w:rPr>
          <w:rFonts w:eastAsia="MS Mincho" w:cs="Arial"/>
          <w:sz w:val="22"/>
          <w:szCs w:val="22"/>
          <w:lang w:val="fr-FR"/>
        </w:rPr>
      </w:pPr>
    </w:p>
    <w:p w14:paraId="277700EE" w14:textId="154A7B57" w:rsidR="001D40C8" w:rsidRPr="00276665" w:rsidRDefault="001D40C8" w:rsidP="001D40C8">
      <w:pPr>
        <w:ind w:left="426" w:hanging="426"/>
        <w:jc w:val="both"/>
        <w:rPr>
          <w:rFonts w:eastAsia="MS Mincho" w:cs="Arial"/>
          <w:sz w:val="22"/>
          <w:szCs w:val="22"/>
          <w:lang w:val="fr-FR"/>
        </w:rPr>
      </w:pPr>
      <w:r w:rsidRPr="004E015D">
        <w:rPr>
          <w:sz w:val="22"/>
          <w:lang w:val="fr-FR"/>
        </w:rPr>
        <w:t>10.</w:t>
      </w:r>
      <w:r w:rsidRPr="00276665">
        <w:rPr>
          <w:lang w:val="fr-FR"/>
        </w:rPr>
        <w:tab/>
      </w:r>
      <w:r w:rsidRPr="00276665">
        <w:rPr>
          <w:sz w:val="22"/>
          <w:lang w:val="fr-FR"/>
        </w:rPr>
        <w:t>La poursuite de l’élaboration du Guide d’accompagnement a été envisagée lors de la 4</w:t>
      </w:r>
      <w:proofErr w:type="gramStart"/>
      <w:r w:rsidR="00276665" w:rsidRPr="00276665">
        <w:rPr>
          <w:rFonts w:eastAsiaTheme="minorEastAsia" w:cs="Arial"/>
          <w:color w:val="000000" w:themeColor="text1"/>
          <w:kern w:val="24"/>
          <w:sz w:val="22"/>
          <w:szCs w:val="22"/>
          <w:vertAlign w:val="superscript"/>
          <w:lang w:val="fr-FR"/>
        </w:rPr>
        <w:t>è</w:t>
      </w:r>
      <w:r w:rsidR="00276665" w:rsidRPr="00276665">
        <w:rPr>
          <w:rFonts w:eastAsiaTheme="minorEastAsia"/>
          <w:color w:val="000000" w:themeColor="text1"/>
          <w:kern w:val="24"/>
          <w:sz w:val="22"/>
          <w:szCs w:val="22"/>
          <w:vertAlign w:val="superscript"/>
          <w:lang w:val="fr-FR"/>
        </w:rPr>
        <w:t>me</w:t>
      </w:r>
      <w:r w:rsidR="00276665" w:rsidRPr="00276665">
        <w:rPr>
          <w:sz w:val="22"/>
          <w:vertAlign w:val="superscript"/>
          <w:lang w:val="fr-FR"/>
        </w:rPr>
        <w:t xml:space="preserve"> </w:t>
      </w:r>
      <w:r w:rsidRPr="00276665">
        <w:rPr>
          <w:sz w:val="22"/>
          <w:lang w:val="fr-FR"/>
        </w:rPr>
        <w:t xml:space="preserve"> réunion</w:t>
      </w:r>
      <w:proofErr w:type="gramEnd"/>
      <w:r w:rsidRPr="00276665">
        <w:rPr>
          <w:sz w:val="22"/>
          <w:lang w:val="fr-FR"/>
        </w:rPr>
        <w:t xml:space="preserve"> du SPWG (SPWG4) en novembre 2016. Dans l’ensemble, le Groupe de travail a jugé favorablement le travail entrepris et a fourni des orientations pour poursuivre la conception du guide, notamment la rédaction d’un résumé exécutif pour faciliter son utilisation et la finalisation des versions française et espagnole dans la mesure du possible en se basant, le cas échéant, sur les versions des instruments de référence déjà existantes dans la langue officielle.</w:t>
      </w:r>
    </w:p>
    <w:p w14:paraId="1B6B6F79" w14:textId="103F8522" w:rsidR="001D40C8" w:rsidRDefault="001D40C8" w:rsidP="001D40C8">
      <w:pPr>
        <w:ind w:left="426" w:hanging="426"/>
        <w:jc w:val="both"/>
        <w:rPr>
          <w:rFonts w:eastAsia="MS Mincho" w:cs="Arial"/>
          <w:sz w:val="22"/>
          <w:szCs w:val="22"/>
          <w:lang w:val="fr-FR"/>
        </w:rPr>
      </w:pPr>
    </w:p>
    <w:p w14:paraId="6FE32B5C" w14:textId="17E9DD3E" w:rsidR="0076556E" w:rsidRDefault="0076556E" w:rsidP="001D40C8">
      <w:pPr>
        <w:ind w:left="426" w:hanging="426"/>
        <w:jc w:val="both"/>
        <w:rPr>
          <w:rFonts w:eastAsia="MS Mincho" w:cs="Arial"/>
          <w:sz w:val="22"/>
          <w:szCs w:val="22"/>
          <w:lang w:val="fr-FR"/>
        </w:rPr>
      </w:pPr>
    </w:p>
    <w:p w14:paraId="083CB4FA" w14:textId="689154A5" w:rsidR="0076556E" w:rsidRPr="00276665" w:rsidRDefault="0076556E" w:rsidP="001D40C8">
      <w:pPr>
        <w:ind w:left="426" w:hanging="426"/>
        <w:jc w:val="both"/>
        <w:rPr>
          <w:rFonts w:eastAsia="MS Mincho" w:cs="Arial"/>
          <w:sz w:val="22"/>
          <w:szCs w:val="22"/>
          <w:lang w:val="fr-FR"/>
        </w:rPr>
      </w:pPr>
    </w:p>
    <w:p w14:paraId="03A0339A" w14:textId="656A6BB4" w:rsidR="001D40C8" w:rsidRPr="00276665" w:rsidRDefault="001D40C8" w:rsidP="001D40C8">
      <w:pPr>
        <w:ind w:left="426" w:hanging="426"/>
        <w:jc w:val="both"/>
        <w:rPr>
          <w:rFonts w:eastAsia="MS Mincho" w:cs="Arial"/>
          <w:sz w:val="22"/>
          <w:szCs w:val="22"/>
          <w:lang w:val="fr-FR"/>
        </w:rPr>
      </w:pPr>
      <w:r w:rsidRPr="00276665">
        <w:rPr>
          <w:sz w:val="22"/>
          <w:lang w:val="fr-FR"/>
        </w:rPr>
        <w:t>11.</w:t>
      </w:r>
      <w:r w:rsidRPr="00276665">
        <w:rPr>
          <w:lang w:val="fr-FR"/>
        </w:rPr>
        <w:tab/>
      </w:r>
      <w:r w:rsidRPr="00276665">
        <w:rPr>
          <w:sz w:val="22"/>
          <w:lang w:val="fr-FR"/>
        </w:rPr>
        <w:t>La 4</w:t>
      </w:r>
      <w:proofErr w:type="gramStart"/>
      <w:r w:rsidR="00276665" w:rsidRPr="00276665">
        <w:rPr>
          <w:rFonts w:eastAsiaTheme="minorEastAsia" w:cs="Arial"/>
          <w:color w:val="000000" w:themeColor="text1"/>
          <w:kern w:val="24"/>
          <w:sz w:val="22"/>
          <w:szCs w:val="22"/>
          <w:vertAlign w:val="superscript"/>
          <w:lang w:val="fr-FR"/>
        </w:rPr>
        <w:t>è</w:t>
      </w:r>
      <w:r w:rsidR="00276665" w:rsidRPr="00276665">
        <w:rPr>
          <w:rFonts w:eastAsiaTheme="minorEastAsia"/>
          <w:color w:val="000000" w:themeColor="text1"/>
          <w:kern w:val="24"/>
          <w:sz w:val="22"/>
          <w:szCs w:val="22"/>
          <w:vertAlign w:val="superscript"/>
          <w:lang w:val="fr-FR"/>
        </w:rPr>
        <w:t>me</w:t>
      </w:r>
      <w:r w:rsidR="00276665" w:rsidRPr="00276665">
        <w:rPr>
          <w:sz w:val="22"/>
          <w:szCs w:val="22"/>
          <w:vertAlign w:val="superscript"/>
          <w:lang w:val="fr-FR"/>
        </w:rPr>
        <w:t xml:space="preserve"> </w:t>
      </w:r>
      <w:r w:rsidRPr="00276665">
        <w:rPr>
          <w:sz w:val="22"/>
          <w:lang w:val="fr-FR"/>
        </w:rPr>
        <w:t xml:space="preserve"> réunion</w:t>
      </w:r>
      <w:proofErr w:type="gramEnd"/>
      <w:r w:rsidRPr="00276665">
        <w:rPr>
          <w:sz w:val="22"/>
          <w:lang w:val="fr-FR"/>
        </w:rPr>
        <w:t xml:space="preserve"> du SPWG a également recommandé de soumettre une version révisée du Guide d’accompagnement à une série de consultations publiques au cours du premier semestre de 2017 avant sa transmission à la CdP12 pour examen. Cette consultation s’est déroulée entre avril et juin 2017.</w:t>
      </w:r>
    </w:p>
    <w:p w14:paraId="33E848BA" w14:textId="77777777" w:rsidR="001D40C8" w:rsidRPr="00276665" w:rsidRDefault="001D40C8" w:rsidP="001D40C8">
      <w:pPr>
        <w:ind w:left="426" w:hanging="426"/>
        <w:jc w:val="both"/>
        <w:rPr>
          <w:rFonts w:eastAsia="MS Mincho" w:cs="Arial"/>
          <w:sz w:val="22"/>
          <w:szCs w:val="22"/>
          <w:lang w:val="fr-FR"/>
        </w:rPr>
      </w:pPr>
    </w:p>
    <w:p w14:paraId="713AE0BB" w14:textId="77777777" w:rsidR="001D40C8" w:rsidRPr="00276665" w:rsidRDefault="001D40C8" w:rsidP="001D40C8">
      <w:pPr>
        <w:ind w:left="426" w:hanging="426"/>
        <w:jc w:val="both"/>
        <w:rPr>
          <w:rFonts w:eastAsia="MS Mincho" w:cs="Arial"/>
          <w:sz w:val="22"/>
          <w:szCs w:val="22"/>
          <w:lang w:val="fr-FR"/>
        </w:rPr>
      </w:pPr>
      <w:r w:rsidRPr="00276665">
        <w:rPr>
          <w:sz w:val="22"/>
          <w:lang w:val="fr-FR"/>
        </w:rPr>
        <w:t>12.</w:t>
      </w:r>
      <w:r w:rsidRPr="00276665">
        <w:rPr>
          <w:lang w:val="fr-FR"/>
        </w:rPr>
        <w:tab/>
      </w:r>
      <w:r w:rsidRPr="00276665">
        <w:rPr>
          <w:sz w:val="22"/>
          <w:lang w:val="fr-FR"/>
        </w:rPr>
        <w:t xml:space="preserve">En raison de son volume, la version révisée du Guide d’accompagnement existe uniquement sous forme électronique à l’adresse </w:t>
      </w:r>
      <w:hyperlink r:id="rId15">
        <w:r w:rsidRPr="00276665">
          <w:rPr>
            <w:rStyle w:val="Hyperlink"/>
            <w:sz w:val="22"/>
            <w:lang w:val="fr-FR"/>
          </w:rPr>
          <w:t>http://www.cms.int/en/strategic-plan/companion-volume</w:t>
        </w:r>
      </w:hyperlink>
      <w:r w:rsidRPr="00276665">
        <w:rPr>
          <w:rStyle w:val="Hyperlink"/>
          <w:sz w:val="22"/>
          <w:lang w:val="fr-FR"/>
        </w:rPr>
        <w:t>.</w:t>
      </w:r>
      <w:r w:rsidRPr="00276665">
        <w:rPr>
          <w:sz w:val="22"/>
          <w:lang w:val="fr-FR"/>
        </w:rPr>
        <w:t xml:space="preserve"> Suivant les directives du SPWG, les versions française et espagnole comprennent uniquement des extraits, dans la langue respective, des instruments pour lesquels une version en langue officielle est déjà disponible. Les détails relatifs à l’approche utilisée pour développer le contenu de la matrice en ligne et les directives sur son utilisation sont fournis dans la Présentation du guide. Un Résumé exécutif du Guide d’accompagnement a été transmis à la CdP12 dans le document UNEP/CMS/COP12/Inf.28.</w:t>
      </w:r>
    </w:p>
    <w:p w14:paraId="0F575461" w14:textId="77777777" w:rsidR="001D40C8" w:rsidRPr="001D40C8" w:rsidRDefault="001D40C8" w:rsidP="001D40C8">
      <w:pPr>
        <w:ind w:left="426" w:hanging="426"/>
        <w:jc w:val="both"/>
        <w:rPr>
          <w:rFonts w:eastAsia="MS Mincho" w:cs="Arial"/>
          <w:sz w:val="22"/>
          <w:szCs w:val="22"/>
          <w:highlight w:val="yellow"/>
          <w:lang w:val="fr-FR"/>
        </w:rPr>
      </w:pPr>
    </w:p>
    <w:p w14:paraId="244CB8C6" w14:textId="3EB2D3F3" w:rsidR="001D40C8" w:rsidRPr="004E015D" w:rsidRDefault="001D40C8" w:rsidP="001D40C8">
      <w:pPr>
        <w:ind w:left="426" w:hanging="426"/>
        <w:jc w:val="both"/>
        <w:rPr>
          <w:rFonts w:eastAsia="MS Mincho" w:cs="Arial"/>
          <w:sz w:val="22"/>
          <w:szCs w:val="22"/>
          <w:lang w:val="fr-FR"/>
        </w:rPr>
      </w:pPr>
      <w:r w:rsidRPr="004E015D">
        <w:rPr>
          <w:sz w:val="22"/>
          <w:lang w:val="fr-FR"/>
        </w:rPr>
        <w:t>13.</w:t>
      </w:r>
      <w:r w:rsidRPr="004E015D">
        <w:rPr>
          <w:lang w:val="fr-FR"/>
        </w:rPr>
        <w:tab/>
      </w:r>
      <w:r w:rsidRPr="004E015D">
        <w:rPr>
          <w:sz w:val="22"/>
          <w:lang w:val="fr-FR"/>
        </w:rPr>
        <w:t xml:space="preserve">Le Guide d’accompagnement est de par sa nature un « travail en cours » en raison du volume de ressources concerné et du fait que la Famille CMS produira régulièrement de nouveaux éléments. Il ne s’agit donc pas d’un texte proposé pour une négociation détaillée au niveau de la </w:t>
      </w:r>
      <w:r w:rsidR="004E015D">
        <w:rPr>
          <w:sz w:val="22"/>
          <w:lang w:val="fr-FR"/>
        </w:rPr>
        <w:t>COP</w:t>
      </w:r>
      <w:r w:rsidRPr="004E015D">
        <w:rPr>
          <w:sz w:val="22"/>
          <w:lang w:val="fr-FR"/>
        </w:rPr>
        <w:t>, car la Conférence des Parties est plutôt invitée à approuver l’approche adoptée, notamment pour poursuivre l’élaboration et assurer la maintenance de cette ressource évolutive disponible sur le site Web de la CMS.</w:t>
      </w:r>
    </w:p>
    <w:p w14:paraId="2E594BDD" w14:textId="77777777" w:rsidR="001D40C8" w:rsidRPr="001D40C8" w:rsidRDefault="001D40C8" w:rsidP="001D40C8">
      <w:pPr>
        <w:ind w:left="426" w:hanging="426"/>
        <w:jc w:val="both"/>
        <w:rPr>
          <w:rFonts w:eastAsia="MS Mincho" w:cs="Arial"/>
          <w:sz w:val="22"/>
          <w:szCs w:val="22"/>
          <w:highlight w:val="yellow"/>
          <w:lang w:val="fr-FR"/>
        </w:rPr>
      </w:pPr>
    </w:p>
    <w:p w14:paraId="32C01F26" w14:textId="77777777" w:rsidR="001D40C8" w:rsidRPr="004E015D" w:rsidRDefault="001D40C8" w:rsidP="001D40C8">
      <w:pPr>
        <w:ind w:left="426" w:hanging="426"/>
        <w:jc w:val="both"/>
        <w:rPr>
          <w:rFonts w:cs="Arial"/>
          <w:sz w:val="22"/>
          <w:szCs w:val="22"/>
          <w:u w:val="single"/>
          <w:lang w:val="fr-FR"/>
        </w:rPr>
      </w:pPr>
      <w:r w:rsidRPr="004E015D">
        <w:rPr>
          <w:sz w:val="22"/>
          <w:u w:val="single"/>
          <w:lang w:val="fr-FR"/>
        </w:rPr>
        <w:t>Suivi et indicateurs</w:t>
      </w:r>
    </w:p>
    <w:p w14:paraId="0F77C1AF" w14:textId="77777777" w:rsidR="001D40C8" w:rsidRPr="004E015D" w:rsidRDefault="001D40C8" w:rsidP="001D40C8">
      <w:pPr>
        <w:ind w:left="426" w:hanging="426"/>
        <w:jc w:val="both"/>
        <w:rPr>
          <w:rFonts w:cs="Arial"/>
          <w:sz w:val="22"/>
          <w:szCs w:val="22"/>
          <w:lang w:val="fr-FR"/>
        </w:rPr>
      </w:pPr>
    </w:p>
    <w:p w14:paraId="004E17FE" w14:textId="77777777" w:rsidR="001D40C8" w:rsidRPr="004E015D" w:rsidRDefault="001D40C8" w:rsidP="001D40C8">
      <w:pPr>
        <w:ind w:left="426" w:hanging="426"/>
        <w:jc w:val="both"/>
        <w:rPr>
          <w:rFonts w:eastAsia="MS Mincho" w:cs="Arial"/>
          <w:sz w:val="22"/>
          <w:szCs w:val="22"/>
          <w:lang w:val="fr-FR"/>
        </w:rPr>
      </w:pPr>
      <w:r w:rsidRPr="004E015D">
        <w:rPr>
          <w:sz w:val="22"/>
          <w:lang w:val="fr-FR"/>
        </w:rPr>
        <w:t>14.</w:t>
      </w:r>
      <w:r w:rsidRPr="004E015D">
        <w:rPr>
          <w:lang w:val="fr-FR"/>
        </w:rPr>
        <w:tab/>
      </w:r>
      <w:r w:rsidRPr="004E015D">
        <w:rPr>
          <w:sz w:val="22"/>
          <w:lang w:val="fr-FR"/>
        </w:rPr>
        <w:t>L’annexe B du Plan stratégique adoptée par la CdP11 contenait une première sélection indicative d’indicateurs fondamentaux pour suivre les progrès accomplis dans la réalisation des 16 objectifs du Plan.</w:t>
      </w:r>
    </w:p>
    <w:p w14:paraId="4EFB0E57" w14:textId="77777777" w:rsidR="001D40C8" w:rsidRPr="004E015D" w:rsidRDefault="001D40C8" w:rsidP="001D40C8">
      <w:pPr>
        <w:ind w:left="426" w:hanging="426"/>
        <w:jc w:val="both"/>
        <w:rPr>
          <w:rFonts w:eastAsia="MS Mincho" w:cs="Arial"/>
          <w:sz w:val="22"/>
          <w:szCs w:val="22"/>
          <w:lang w:val="fr-FR"/>
        </w:rPr>
      </w:pPr>
    </w:p>
    <w:p w14:paraId="1061F9C0" w14:textId="6D79D8E8" w:rsidR="001D40C8" w:rsidRPr="004E015D" w:rsidRDefault="001D40C8" w:rsidP="001D40C8">
      <w:pPr>
        <w:ind w:left="426" w:hanging="426"/>
        <w:jc w:val="both"/>
        <w:rPr>
          <w:rFonts w:eastAsia="MS Mincho" w:cs="Arial"/>
          <w:sz w:val="22"/>
          <w:szCs w:val="22"/>
          <w:lang w:val="fr-FR"/>
        </w:rPr>
      </w:pPr>
      <w:r w:rsidRPr="004E015D">
        <w:rPr>
          <w:sz w:val="22"/>
          <w:lang w:val="fr-FR"/>
        </w:rPr>
        <w:t>15.</w:t>
      </w:r>
      <w:r w:rsidRPr="004E015D">
        <w:rPr>
          <w:lang w:val="fr-FR"/>
        </w:rPr>
        <w:tab/>
      </w:r>
      <w:r w:rsidRPr="004E015D">
        <w:rPr>
          <w:sz w:val="22"/>
          <w:lang w:val="fr-FR"/>
        </w:rPr>
        <w:t xml:space="preserve">L’Annexe 2 à la Résolution 11.2 a invité le SPWG à « développer des indicateurs détaillés ou [à] identifier des indicateurs existants pour le Plan stratégique » pour l’exercice triennal 2015-2017 en tenant compte des indicateurs </w:t>
      </w:r>
      <w:r w:rsidR="004E015D" w:rsidRPr="004E015D">
        <w:rPr>
          <w:sz w:val="22"/>
          <w:lang w:val="fr-FR"/>
        </w:rPr>
        <w:t xml:space="preserve">fondamentaux </w:t>
      </w:r>
      <w:r w:rsidRPr="004E015D">
        <w:rPr>
          <w:sz w:val="22"/>
          <w:lang w:val="fr-FR"/>
        </w:rPr>
        <w:t>mentionnés ci-dessus, de la mise en œuvre du Plan stratégique pour la biodiversité 2011-2020, des documents stratégiques des autres accords environnementaux multilatéraux relatifs à la biodiversité mondiale et de tous les autres documents et matériels pertinents qu’il jugera utiles. Le Groupe de travail a également été chargé de consulter le Conseil scientifique de la CMS, le cas échéant, sur les bases scientifiques qui sous-tendent les indicateurs pertinents.</w:t>
      </w:r>
    </w:p>
    <w:p w14:paraId="19B6E9F5" w14:textId="77777777" w:rsidR="001D40C8" w:rsidRPr="004E015D" w:rsidRDefault="001D40C8" w:rsidP="001D40C8">
      <w:pPr>
        <w:ind w:left="426" w:hanging="426"/>
        <w:jc w:val="both"/>
        <w:rPr>
          <w:rFonts w:eastAsia="MS Mincho" w:cs="Arial"/>
          <w:sz w:val="22"/>
          <w:szCs w:val="22"/>
          <w:lang w:val="fr-FR"/>
        </w:rPr>
      </w:pPr>
    </w:p>
    <w:p w14:paraId="193A201E" w14:textId="76832EFE" w:rsidR="001D40C8" w:rsidRPr="004E015D" w:rsidRDefault="001D40C8" w:rsidP="001D40C8">
      <w:pPr>
        <w:ind w:left="426" w:hanging="426"/>
        <w:jc w:val="both"/>
        <w:rPr>
          <w:rFonts w:eastAsia="MS Mincho" w:cs="Arial"/>
          <w:sz w:val="22"/>
          <w:szCs w:val="22"/>
          <w:lang w:val="fr-FR"/>
        </w:rPr>
      </w:pPr>
      <w:r w:rsidRPr="004E015D">
        <w:rPr>
          <w:sz w:val="22"/>
          <w:lang w:val="fr-FR"/>
        </w:rPr>
        <w:t>16.</w:t>
      </w:r>
      <w:r w:rsidRPr="004E015D">
        <w:rPr>
          <w:lang w:val="fr-FR"/>
        </w:rPr>
        <w:tab/>
      </w:r>
      <w:r w:rsidRPr="004E015D">
        <w:rPr>
          <w:sz w:val="22"/>
          <w:lang w:val="fr-FR"/>
        </w:rPr>
        <w:t>Une première discussion sur les indicateurs du SPMS a eu lieu lors de la réunion du SPWG en octobre 2015. Le SPWG a noté que l’annexe B du SPMS souligne que le choix des indicateurs « n’implique pas seulement d’identifier les questions pour lesquelles des données peuvent être générées, mais il s’agit aussi de réfléchir attentivement à la capacité, en fin de compte, de générer des "scénarios" adéquats sur le succès ou non du Plan, en termes de véritables résultats stratégiques et d’impacts réels sur les espèces migratrices, plutôt que de se contenter d’avoir des indicateurs de mise en œuvre des processus »</w:t>
      </w:r>
      <w:r w:rsidR="004E015D" w:rsidRPr="004E015D">
        <w:rPr>
          <w:sz w:val="22"/>
          <w:lang w:val="fr-FR"/>
        </w:rPr>
        <w:t>.</w:t>
      </w:r>
    </w:p>
    <w:p w14:paraId="65EED6A5" w14:textId="77777777" w:rsidR="001D40C8" w:rsidRPr="001D40C8" w:rsidRDefault="001D40C8" w:rsidP="001D40C8">
      <w:pPr>
        <w:ind w:left="426" w:hanging="426"/>
        <w:jc w:val="both"/>
        <w:rPr>
          <w:rFonts w:eastAsia="MS Mincho" w:cs="Arial"/>
          <w:sz w:val="22"/>
          <w:szCs w:val="22"/>
          <w:highlight w:val="yellow"/>
          <w:lang w:val="fr-FR"/>
        </w:rPr>
      </w:pPr>
    </w:p>
    <w:p w14:paraId="16AD572E" w14:textId="77777777" w:rsidR="001D40C8" w:rsidRPr="00C571B0" w:rsidRDefault="001D40C8" w:rsidP="001D40C8">
      <w:pPr>
        <w:ind w:left="426" w:hanging="426"/>
        <w:jc w:val="both"/>
        <w:rPr>
          <w:rFonts w:eastAsia="MS Mincho" w:cs="Arial"/>
          <w:sz w:val="22"/>
          <w:szCs w:val="22"/>
          <w:lang w:val="fr-FR"/>
        </w:rPr>
      </w:pPr>
      <w:r w:rsidRPr="00C571B0">
        <w:rPr>
          <w:sz w:val="22"/>
          <w:lang w:val="fr-FR"/>
        </w:rPr>
        <w:t>17.</w:t>
      </w:r>
      <w:r w:rsidRPr="00C571B0">
        <w:rPr>
          <w:lang w:val="fr-FR"/>
        </w:rPr>
        <w:tab/>
      </w:r>
      <w:r w:rsidRPr="00C571B0">
        <w:rPr>
          <w:sz w:val="22"/>
          <w:lang w:val="fr-FR"/>
        </w:rPr>
        <w:t>L’identification des indicateurs possibles ne constitue donc que la première étape. La collecte de données, la mise en œuvre de l’indicateur, le suivi et la mise à jour constituent d’autres aspects qui devraient être examinés dès le départ afin que le Plan puisse disposer d’un ensemble d’indicateurs fiables et efficaces qui font régulièrement l’objet de rapports et sont exploités à un coût raisonnable. De plus, ces activités doivent être menées de manière économe en temps et en ressources, en s’appuyant autant que possible sur les processus existants, afin de ne pas engendrer de nouvelles charges pour les Parties.</w:t>
      </w:r>
    </w:p>
    <w:p w14:paraId="12F62E05" w14:textId="548E37F2" w:rsidR="001D40C8" w:rsidRDefault="001D40C8" w:rsidP="001D40C8">
      <w:pPr>
        <w:ind w:left="426" w:hanging="426"/>
        <w:jc w:val="both"/>
        <w:rPr>
          <w:rFonts w:eastAsia="MS Mincho" w:cs="Arial"/>
          <w:sz w:val="22"/>
          <w:szCs w:val="22"/>
          <w:lang w:val="fr-FR"/>
        </w:rPr>
      </w:pPr>
    </w:p>
    <w:p w14:paraId="6F0531C7" w14:textId="77777777" w:rsidR="00591DCA" w:rsidRPr="00C571B0" w:rsidRDefault="00591DCA" w:rsidP="001D40C8">
      <w:pPr>
        <w:ind w:left="426" w:hanging="426"/>
        <w:jc w:val="both"/>
        <w:rPr>
          <w:rFonts w:eastAsia="MS Mincho" w:cs="Arial"/>
          <w:sz w:val="22"/>
          <w:szCs w:val="22"/>
          <w:lang w:val="fr-FR"/>
        </w:rPr>
      </w:pPr>
    </w:p>
    <w:p w14:paraId="09503309" w14:textId="595B5988" w:rsidR="001D40C8" w:rsidRPr="00C571B0" w:rsidRDefault="001D40C8" w:rsidP="001D40C8">
      <w:pPr>
        <w:ind w:left="426" w:hanging="426"/>
        <w:jc w:val="both"/>
        <w:rPr>
          <w:rFonts w:eastAsia="MS Mincho" w:cs="Arial"/>
          <w:sz w:val="22"/>
          <w:szCs w:val="22"/>
          <w:lang w:val="fr-FR"/>
        </w:rPr>
      </w:pPr>
      <w:r w:rsidRPr="00C571B0">
        <w:rPr>
          <w:sz w:val="22"/>
          <w:lang w:val="fr-FR"/>
        </w:rPr>
        <w:lastRenderedPageBreak/>
        <w:t>18.</w:t>
      </w:r>
      <w:r w:rsidRPr="00C571B0">
        <w:rPr>
          <w:lang w:val="fr-FR"/>
        </w:rPr>
        <w:tab/>
      </w:r>
      <w:r w:rsidRPr="00C571B0">
        <w:rPr>
          <w:sz w:val="22"/>
          <w:lang w:val="fr-FR"/>
        </w:rPr>
        <w:t>Par conséquent, il convient de poser les bonnes questions dès le départ, tant au sujet des éléments à mesurer que des données à exploiter, afin de définir soigneusement la portée du suivi et de parvenir à un équilibre entre les possibilités et les charges des Parties à la Convention et du Secrétariat. Toutes les lacunes en matière d’information existantes ne justifieront pas nécessairement l’établissement d’un indicateur, car tout dépendra des facteurs tels que la faisabilité scientifique et l’</w:t>
      </w:r>
      <w:proofErr w:type="spellStart"/>
      <w:r w:rsidRPr="00C571B0">
        <w:rPr>
          <w:sz w:val="22"/>
          <w:lang w:val="fr-FR"/>
        </w:rPr>
        <w:t>abordabilité</w:t>
      </w:r>
      <w:proofErr w:type="spellEnd"/>
      <w:r w:rsidRPr="00C571B0">
        <w:rPr>
          <w:sz w:val="22"/>
          <w:lang w:val="fr-FR"/>
        </w:rPr>
        <w:t>. Il n’est pas non plus nécessaire de mesurer tous les aspects faisables d’un objectif, mais plutôt ceux qui fournissent un</w:t>
      </w:r>
      <w:r w:rsidR="0076556E">
        <w:rPr>
          <w:sz w:val="22"/>
          <w:lang w:val="fr-FR"/>
        </w:rPr>
        <w:t>e</w:t>
      </w:r>
      <w:r w:rsidRPr="00C571B0">
        <w:rPr>
          <w:sz w:val="22"/>
          <w:lang w:val="fr-FR"/>
        </w:rPr>
        <w:t xml:space="preserve"> « indicat</w:t>
      </w:r>
      <w:r w:rsidR="003F0AE7" w:rsidRPr="00C571B0">
        <w:rPr>
          <w:sz w:val="22"/>
          <w:lang w:val="fr-FR"/>
        </w:rPr>
        <w:t>ion</w:t>
      </w:r>
      <w:r w:rsidRPr="00C571B0">
        <w:rPr>
          <w:sz w:val="22"/>
          <w:lang w:val="fr-FR"/>
        </w:rPr>
        <w:t xml:space="preserve"> clé » d</w:t>
      </w:r>
      <w:r w:rsidR="00C571B0" w:rsidRPr="00C571B0">
        <w:rPr>
          <w:sz w:val="22"/>
          <w:lang w:val="fr-FR"/>
        </w:rPr>
        <w:t>e la situation d’ensemble</w:t>
      </w:r>
      <w:r w:rsidRPr="00C571B0">
        <w:rPr>
          <w:sz w:val="22"/>
          <w:lang w:val="fr-FR"/>
        </w:rPr>
        <w:t>.</w:t>
      </w:r>
    </w:p>
    <w:p w14:paraId="64C2A31B" w14:textId="77777777" w:rsidR="001D40C8" w:rsidRPr="00C571B0" w:rsidRDefault="001D40C8" w:rsidP="001D40C8">
      <w:pPr>
        <w:pStyle w:val="Default"/>
        <w:ind w:left="426" w:hanging="426"/>
        <w:rPr>
          <w:rFonts w:eastAsia="MS Mincho"/>
          <w:sz w:val="22"/>
          <w:szCs w:val="22"/>
          <w:lang w:val="fr-FR"/>
        </w:rPr>
      </w:pPr>
    </w:p>
    <w:p w14:paraId="19F81D8D" w14:textId="795D73DE" w:rsidR="001D40C8" w:rsidRPr="00C571B0" w:rsidRDefault="001D40C8" w:rsidP="001D40C8">
      <w:pPr>
        <w:ind w:left="426" w:hanging="426"/>
        <w:jc w:val="both"/>
        <w:rPr>
          <w:rFonts w:eastAsia="MS Mincho" w:cs="Arial"/>
          <w:sz w:val="22"/>
          <w:szCs w:val="22"/>
          <w:lang w:val="fr-FR"/>
        </w:rPr>
      </w:pPr>
      <w:r w:rsidRPr="00C571B0">
        <w:rPr>
          <w:sz w:val="22"/>
          <w:lang w:val="fr-FR"/>
        </w:rPr>
        <w:t>19.</w:t>
      </w:r>
      <w:r w:rsidRPr="00C571B0">
        <w:rPr>
          <w:lang w:val="fr-FR"/>
        </w:rPr>
        <w:tab/>
      </w:r>
      <w:r w:rsidRPr="00C571B0">
        <w:rPr>
          <w:sz w:val="22"/>
          <w:lang w:val="fr-FR"/>
        </w:rPr>
        <w:t xml:space="preserve">Les processus de collecte des données existantes, de suivi et d’établissement de rapports pertinents, tant dans la Famille CMS qu’au-delà, devraient être </w:t>
      </w:r>
      <w:r w:rsidR="00C571B0" w:rsidRPr="00C571B0">
        <w:rPr>
          <w:sz w:val="22"/>
          <w:lang w:val="fr-FR"/>
        </w:rPr>
        <w:t>utilis</w:t>
      </w:r>
      <w:r w:rsidR="00C571B0" w:rsidRPr="00C571B0">
        <w:rPr>
          <w:rFonts w:cs="Arial"/>
          <w:sz w:val="22"/>
          <w:lang w:val="fr-FR"/>
        </w:rPr>
        <w:t>é</w:t>
      </w:r>
      <w:r w:rsidR="00C571B0" w:rsidRPr="00C571B0">
        <w:rPr>
          <w:sz w:val="22"/>
          <w:lang w:val="fr-FR"/>
        </w:rPr>
        <w:t>s</w:t>
      </w:r>
      <w:r w:rsidRPr="00C571B0">
        <w:rPr>
          <w:sz w:val="22"/>
          <w:lang w:val="fr-FR"/>
        </w:rPr>
        <w:t xml:space="preserve"> autant que possible. Cependant, il pourrait aussi être opportun d’ajuster, si possible, les processus d’établissement des rapports au sein de la Famille CMS comme il convient (en les rattachant plus spécifiquement aux objectifs adoptés, par exemple) afin d’optimiser la collecte d’informations ciblées à travers les canaux existants.</w:t>
      </w:r>
    </w:p>
    <w:p w14:paraId="5E925C6C" w14:textId="77777777" w:rsidR="001D40C8" w:rsidRPr="001D40C8" w:rsidRDefault="001D40C8" w:rsidP="001D40C8">
      <w:pPr>
        <w:pStyle w:val="Default"/>
        <w:ind w:left="426" w:hanging="426"/>
        <w:rPr>
          <w:rFonts w:eastAsia="MS Mincho"/>
          <w:sz w:val="22"/>
          <w:szCs w:val="22"/>
          <w:highlight w:val="yellow"/>
          <w:lang w:val="fr-FR"/>
        </w:rPr>
      </w:pPr>
    </w:p>
    <w:p w14:paraId="2FF08FE6" w14:textId="0CC9BDC4" w:rsidR="001D40C8" w:rsidRPr="007F494B" w:rsidRDefault="001D40C8" w:rsidP="001D40C8">
      <w:pPr>
        <w:ind w:left="426" w:hanging="426"/>
        <w:jc w:val="both"/>
        <w:rPr>
          <w:rFonts w:eastAsia="MS Mincho" w:cs="Arial"/>
          <w:sz w:val="22"/>
          <w:szCs w:val="22"/>
          <w:lang w:val="fr-FR"/>
        </w:rPr>
      </w:pPr>
      <w:r w:rsidRPr="007F494B">
        <w:rPr>
          <w:sz w:val="22"/>
          <w:lang w:val="fr-FR"/>
        </w:rPr>
        <w:t>20.</w:t>
      </w:r>
      <w:r w:rsidRPr="001D40C8">
        <w:rPr>
          <w:lang w:val="fr-FR"/>
        </w:rPr>
        <w:tab/>
      </w:r>
      <w:r w:rsidRPr="007F494B">
        <w:rPr>
          <w:sz w:val="22"/>
          <w:lang w:val="fr-FR"/>
        </w:rPr>
        <w:t xml:space="preserve">Dans ce contexte, la transmission de rapports nationaux par les Parties à chaque réunion de la </w:t>
      </w:r>
      <w:r w:rsidR="00B15B68" w:rsidRPr="007F494B">
        <w:rPr>
          <w:sz w:val="22"/>
          <w:lang w:val="fr-FR"/>
        </w:rPr>
        <w:t>COP</w:t>
      </w:r>
      <w:r w:rsidRPr="007F494B">
        <w:rPr>
          <w:sz w:val="22"/>
          <w:lang w:val="fr-FR"/>
        </w:rPr>
        <w:t xml:space="preserve"> pourrait jouer un rôle essentiel dans la fourniture d’informations sur les indicateurs qui sont plus directement pertinentes pour les objectifs. Les rapports nationaux peuvent parfois constituer la seule source normalisée à l’échelle mondiale pour un indicateur donné qui est réalisable et abordable dans un avenir proche.</w:t>
      </w:r>
    </w:p>
    <w:p w14:paraId="3ACD3D47" w14:textId="77777777" w:rsidR="001D40C8" w:rsidRPr="007F494B" w:rsidRDefault="001D40C8" w:rsidP="001D40C8">
      <w:pPr>
        <w:ind w:left="426" w:hanging="426"/>
        <w:jc w:val="both"/>
        <w:rPr>
          <w:rFonts w:eastAsia="MS Mincho" w:cs="Arial"/>
          <w:sz w:val="22"/>
          <w:szCs w:val="22"/>
          <w:lang w:val="fr-FR"/>
        </w:rPr>
      </w:pPr>
    </w:p>
    <w:p w14:paraId="6EB494A6" w14:textId="0BA7FFA5" w:rsidR="00706457" w:rsidRPr="007F494B" w:rsidRDefault="001D40C8" w:rsidP="001D40C8">
      <w:pPr>
        <w:ind w:left="426" w:hanging="426"/>
        <w:jc w:val="both"/>
        <w:rPr>
          <w:sz w:val="22"/>
          <w:lang w:val="fr-FR"/>
        </w:rPr>
      </w:pPr>
      <w:r w:rsidRPr="007F494B">
        <w:rPr>
          <w:sz w:val="22"/>
          <w:lang w:val="fr-FR"/>
        </w:rPr>
        <w:t>21.</w:t>
      </w:r>
      <w:r w:rsidRPr="007F494B">
        <w:rPr>
          <w:lang w:val="fr-FR"/>
        </w:rPr>
        <w:tab/>
      </w:r>
      <w:r w:rsidRPr="007F494B">
        <w:rPr>
          <w:sz w:val="22"/>
          <w:lang w:val="fr-FR"/>
        </w:rPr>
        <w:t xml:space="preserve">Cependant, dans de nombreux cas, les questions figurant dans le modèle CMS de rapport national ne traitent pas des problèmes spécifiques qui serviraient de base pour </w:t>
      </w:r>
      <w:r w:rsidR="00B15B68" w:rsidRPr="007F494B">
        <w:rPr>
          <w:sz w:val="22"/>
          <w:lang w:val="fr-FR"/>
        </w:rPr>
        <w:t xml:space="preserve">faire des </w:t>
      </w:r>
      <w:r w:rsidR="0076556E">
        <w:rPr>
          <w:sz w:val="22"/>
          <w:lang w:val="fr-FR"/>
        </w:rPr>
        <w:t>é</w:t>
      </w:r>
      <w:r w:rsidR="00B15B68" w:rsidRPr="007F494B">
        <w:rPr>
          <w:sz w:val="22"/>
          <w:lang w:val="fr-FR"/>
        </w:rPr>
        <w:t>valuations par rapport</w:t>
      </w:r>
      <w:r w:rsidRPr="007F494B">
        <w:rPr>
          <w:sz w:val="22"/>
          <w:lang w:val="fr-FR"/>
        </w:rPr>
        <w:t xml:space="preserve"> aux objectifs. Elles auraient cependant un potentiel très prometteur de </w:t>
      </w:r>
      <w:r w:rsidR="00097761" w:rsidRPr="007F494B">
        <w:rPr>
          <w:sz w:val="22"/>
          <w:lang w:val="fr-FR"/>
        </w:rPr>
        <w:t xml:space="preserve">remplir ce but, </w:t>
      </w:r>
      <w:r w:rsidR="00097761" w:rsidRPr="007F494B">
        <w:rPr>
          <w:rFonts w:cs="Arial"/>
          <w:sz w:val="22"/>
          <w:lang w:val="fr-FR"/>
        </w:rPr>
        <w:t>à</w:t>
      </w:r>
      <w:r w:rsidRPr="007F494B">
        <w:rPr>
          <w:sz w:val="22"/>
          <w:lang w:val="fr-FR"/>
        </w:rPr>
        <w:t xml:space="preserve"> </w:t>
      </w:r>
      <w:r w:rsidR="00097761" w:rsidRPr="007F494B">
        <w:rPr>
          <w:sz w:val="22"/>
          <w:lang w:val="fr-FR"/>
        </w:rPr>
        <w:t xml:space="preserve">des </w:t>
      </w:r>
      <w:r w:rsidRPr="007F494B">
        <w:rPr>
          <w:sz w:val="22"/>
          <w:lang w:val="fr-FR"/>
        </w:rPr>
        <w:t>coût</w:t>
      </w:r>
      <w:r w:rsidR="0076556E">
        <w:rPr>
          <w:sz w:val="22"/>
          <w:lang w:val="fr-FR"/>
        </w:rPr>
        <w:t>s</w:t>
      </w:r>
      <w:r w:rsidRPr="007F494B">
        <w:rPr>
          <w:sz w:val="22"/>
          <w:lang w:val="fr-FR"/>
        </w:rPr>
        <w:t xml:space="preserve"> </w:t>
      </w:r>
      <w:r w:rsidR="00097761" w:rsidRPr="007F494B">
        <w:rPr>
          <w:sz w:val="22"/>
          <w:lang w:val="fr-FR"/>
        </w:rPr>
        <w:t xml:space="preserve">contenus </w:t>
      </w:r>
      <w:r w:rsidRPr="007F494B">
        <w:rPr>
          <w:sz w:val="22"/>
          <w:lang w:val="fr-FR"/>
        </w:rPr>
        <w:t xml:space="preserve">et </w:t>
      </w:r>
      <w:r w:rsidR="00097761" w:rsidRPr="007F494B">
        <w:rPr>
          <w:sz w:val="22"/>
          <w:lang w:val="fr-FR"/>
        </w:rPr>
        <w:t xml:space="preserve">avec </w:t>
      </w:r>
      <w:r w:rsidR="007F494B" w:rsidRPr="007F494B">
        <w:rPr>
          <w:sz w:val="22"/>
          <w:lang w:val="fr-FR"/>
        </w:rPr>
        <w:t>une rationalisation du fardeau</w:t>
      </w:r>
      <w:r w:rsidRPr="007F494B">
        <w:rPr>
          <w:sz w:val="22"/>
          <w:lang w:val="fr-FR"/>
        </w:rPr>
        <w:t xml:space="preserve"> pour les Parties</w:t>
      </w:r>
      <w:r w:rsidR="007F494B" w:rsidRPr="007F494B">
        <w:rPr>
          <w:sz w:val="22"/>
          <w:lang w:val="fr-FR"/>
        </w:rPr>
        <w:t>,</w:t>
      </w:r>
      <w:r w:rsidRPr="007F494B">
        <w:rPr>
          <w:sz w:val="22"/>
          <w:lang w:val="fr-FR"/>
        </w:rPr>
        <w:t xml:space="preserve"> si le modèle était modifié.</w:t>
      </w:r>
    </w:p>
    <w:p w14:paraId="20B78590" w14:textId="77777777" w:rsidR="001D40C8" w:rsidRPr="001D40C8" w:rsidRDefault="001D40C8" w:rsidP="001D40C8">
      <w:pPr>
        <w:ind w:left="426" w:hanging="426"/>
        <w:jc w:val="both"/>
        <w:rPr>
          <w:rFonts w:eastAsia="MS Mincho" w:cs="Arial"/>
          <w:sz w:val="22"/>
          <w:szCs w:val="22"/>
          <w:highlight w:val="yellow"/>
          <w:lang w:val="fr-FR"/>
        </w:rPr>
      </w:pPr>
    </w:p>
    <w:p w14:paraId="3B8BB676" w14:textId="4527A615" w:rsidR="001D40C8" w:rsidRPr="007F494B" w:rsidRDefault="001D40C8" w:rsidP="001D40C8">
      <w:pPr>
        <w:pStyle w:val="Default"/>
        <w:ind w:left="426" w:hanging="426"/>
        <w:jc w:val="both"/>
        <w:rPr>
          <w:bCs/>
          <w:iCs/>
          <w:sz w:val="22"/>
          <w:szCs w:val="22"/>
          <w:lang w:val="fr-FR"/>
        </w:rPr>
      </w:pPr>
      <w:r w:rsidRPr="007F494B">
        <w:rPr>
          <w:sz w:val="22"/>
          <w:lang w:val="fr-FR"/>
        </w:rPr>
        <w:t>22.</w:t>
      </w:r>
      <w:r w:rsidRPr="007F494B">
        <w:rPr>
          <w:lang w:val="fr-FR"/>
        </w:rPr>
        <w:tab/>
      </w:r>
      <w:r w:rsidRPr="007F494B">
        <w:rPr>
          <w:sz w:val="22"/>
          <w:lang w:val="fr-FR"/>
        </w:rPr>
        <w:t xml:space="preserve">Conformément à la demande formulée dans la Résolution 11.2 §11, le Secrétariat a envisagé les modifications du modèle CMS de rapport national, le cas échéant, en lien avec l’évaluation de la mise en œuvre du Plan stratégique, et les indicateurs pour lesquels ces rapports sont identifiés comme une source d’information potentiellement importante. Cette question est examinée en détail dans la proposition relative à la révision du modèle CMS de rapport national présenté au titre du point 19.2 de l’ordre du jour de la </w:t>
      </w:r>
      <w:r w:rsidR="007F494B">
        <w:rPr>
          <w:sz w:val="22"/>
          <w:lang w:val="fr-FR"/>
        </w:rPr>
        <w:t>COP</w:t>
      </w:r>
      <w:r w:rsidRPr="007F494B">
        <w:rPr>
          <w:sz w:val="22"/>
          <w:lang w:val="fr-FR"/>
        </w:rPr>
        <w:t xml:space="preserve">12 dans le document CMS/COP12/Doc.19.2. La proposition vise à rationaliser nettement les exigences en matière d’établissement de rapports (la majorité des suggestions relatives aux objectifs du SPMS devrait conduire à une réduction des questions existantes ou </w:t>
      </w:r>
      <w:r w:rsidR="007F494B">
        <w:rPr>
          <w:sz w:val="22"/>
          <w:lang w:val="fr-FR"/>
        </w:rPr>
        <w:t>n’</w:t>
      </w:r>
      <w:r w:rsidR="0076556E">
        <w:rPr>
          <w:sz w:val="22"/>
          <w:lang w:val="fr-FR"/>
        </w:rPr>
        <w:t>i</w:t>
      </w:r>
      <w:r w:rsidR="007F494B">
        <w:rPr>
          <w:sz w:val="22"/>
          <w:lang w:val="fr-FR"/>
        </w:rPr>
        <w:t xml:space="preserve">mpliqueraient pas un changement </w:t>
      </w:r>
      <w:r w:rsidRPr="007F494B">
        <w:rPr>
          <w:sz w:val="22"/>
          <w:lang w:val="fr-FR"/>
        </w:rPr>
        <w:t xml:space="preserve">de leur longueur) et à soutenir parallèlement le suivi du SPMS. Conformément à la demande de la </w:t>
      </w:r>
      <w:r w:rsidR="007F494B">
        <w:rPr>
          <w:sz w:val="22"/>
          <w:lang w:val="fr-FR"/>
        </w:rPr>
        <w:t>COP</w:t>
      </w:r>
      <w:r w:rsidRPr="007F494B">
        <w:rPr>
          <w:sz w:val="22"/>
          <w:lang w:val="fr-FR"/>
        </w:rPr>
        <w:t>11, la proposition au titre du point 19.2 de l’ordre du jour vise donc à accroître l’efficacité du rapport national à mesurer les progrès accomplis dans la réalisation des objectifs de la Convention sans augmenter les charges pour les Parties.</w:t>
      </w:r>
    </w:p>
    <w:p w14:paraId="79E39BD7" w14:textId="77777777" w:rsidR="001D40C8" w:rsidRPr="001D40C8" w:rsidRDefault="001D40C8" w:rsidP="001D40C8">
      <w:pPr>
        <w:ind w:left="426" w:hanging="426"/>
        <w:jc w:val="both"/>
        <w:rPr>
          <w:rFonts w:eastAsia="MS Mincho" w:cs="Arial"/>
          <w:sz w:val="22"/>
          <w:szCs w:val="22"/>
          <w:highlight w:val="yellow"/>
          <w:lang w:val="fr-FR"/>
        </w:rPr>
      </w:pPr>
    </w:p>
    <w:p w14:paraId="2BDE722E" w14:textId="384AF363" w:rsidR="001D40C8" w:rsidRPr="00CD3216" w:rsidRDefault="001D40C8" w:rsidP="001D40C8">
      <w:pPr>
        <w:ind w:left="426" w:hanging="426"/>
        <w:jc w:val="both"/>
        <w:rPr>
          <w:rFonts w:eastAsia="MS Mincho" w:cs="Arial"/>
          <w:sz w:val="22"/>
          <w:szCs w:val="22"/>
          <w:lang w:val="fr-FR"/>
        </w:rPr>
      </w:pPr>
      <w:r w:rsidRPr="00CD3216">
        <w:rPr>
          <w:sz w:val="22"/>
          <w:lang w:val="fr-FR"/>
        </w:rPr>
        <w:t>23.</w:t>
      </w:r>
      <w:r w:rsidRPr="00CD3216">
        <w:rPr>
          <w:lang w:val="fr-FR"/>
        </w:rPr>
        <w:tab/>
      </w:r>
      <w:r w:rsidRPr="00CD3216">
        <w:rPr>
          <w:sz w:val="22"/>
          <w:lang w:val="fr-FR"/>
        </w:rPr>
        <w:t xml:space="preserve">Le SPWG a élaboré un ensemble de « fiches d’information » sur les indicateurs relatifs aux objectifs du SPMS, sur la base des contributions du Comité permanent et du Conseil scientifique de la CMS et d’autres consultations, notamment deux consultations publiques tenues entre avril et août 2016 et entre mars et juin 2017. Conformément au mandat attribué par la </w:t>
      </w:r>
      <w:r w:rsidR="00CD3216" w:rsidRPr="00CD3216">
        <w:rPr>
          <w:sz w:val="22"/>
          <w:lang w:val="fr-FR"/>
        </w:rPr>
        <w:t>COP</w:t>
      </w:r>
      <w:r w:rsidRPr="00CD3216">
        <w:rPr>
          <w:sz w:val="22"/>
          <w:lang w:val="fr-FR"/>
        </w:rPr>
        <w:t>11, le SPWG a jugé important de tenir compte de toutes les réflexions sous-jacentes et des informations de base, tant pour la collecte des données que pour l’exploitation des indicateurs dans le suivi du SPMS. Cette information a donc été mise au point pour chaque objectif et est incluse dans les fiches d’information individuelles. En temps voulu, les indicateurs et autres éléments pertinents des fiches d’information contribueront à la section « Suivi et évaluation » du Guide d’accompagnement pour la mise en œuvre du Plan stratégique décrit ci-dessus.</w:t>
      </w:r>
    </w:p>
    <w:p w14:paraId="0FCF17EB" w14:textId="72EC8FEE" w:rsidR="001D40C8" w:rsidRDefault="001D40C8" w:rsidP="001D40C8">
      <w:pPr>
        <w:ind w:left="426" w:hanging="426"/>
        <w:jc w:val="both"/>
        <w:rPr>
          <w:rFonts w:eastAsia="MS Mincho" w:cs="Arial"/>
          <w:sz w:val="22"/>
          <w:szCs w:val="22"/>
          <w:lang w:val="fr-FR"/>
        </w:rPr>
      </w:pPr>
    </w:p>
    <w:p w14:paraId="785A92A5" w14:textId="193C7E6A" w:rsidR="00591DCA" w:rsidRDefault="00591DCA" w:rsidP="001D40C8">
      <w:pPr>
        <w:ind w:left="426" w:hanging="426"/>
        <w:jc w:val="both"/>
        <w:rPr>
          <w:rFonts w:eastAsia="MS Mincho" w:cs="Arial"/>
          <w:sz w:val="22"/>
          <w:szCs w:val="22"/>
          <w:lang w:val="fr-FR"/>
        </w:rPr>
      </w:pPr>
    </w:p>
    <w:p w14:paraId="40CA7995" w14:textId="77777777" w:rsidR="00591DCA" w:rsidRPr="00CD3216" w:rsidRDefault="00591DCA" w:rsidP="001D40C8">
      <w:pPr>
        <w:ind w:left="426" w:hanging="426"/>
        <w:jc w:val="both"/>
        <w:rPr>
          <w:rFonts w:eastAsia="MS Mincho" w:cs="Arial"/>
          <w:sz w:val="22"/>
          <w:szCs w:val="22"/>
          <w:lang w:val="fr-FR"/>
        </w:rPr>
      </w:pPr>
    </w:p>
    <w:p w14:paraId="16D5579C" w14:textId="51E6D007" w:rsidR="001D40C8" w:rsidRPr="008E225D" w:rsidRDefault="001D40C8" w:rsidP="001D40C8">
      <w:pPr>
        <w:ind w:left="426" w:hanging="426"/>
        <w:jc w:val="both"/>
        <w:rPr>
          <w:rFonts w:eastAsia="MS Mincho" w:cs="Arial"/>
          <w:sz w:val="22"/>
          <w:szCs w:val="22"/>
          <w:lang w:val="fr-FR"/>
        </w:rPr>
      </w:pPr>
      <w:r w:rsidRPr="008E225D">
        <w:rPr>
          <w:sz w:val="22"/>
          <w:lang w:val="fr-FR"/>
        </w:rPr>
        <w:t xml:space="preserve">24. </w:t>
      </w:r>
      <w:r w:rsidRPr="008E225D">
        <w:rPr>
          <w:lang w:val="fr-FR"/>
        </w:rPr>
        <w:tab/>
      </w:r>
      <w:r w:rsidRPr="008E225D">
        <w:rPr>
          <w:sz w:val="22"/>
          <w:lang w:val="fr-FR"/>
        </w:rPr>
        <w:t xml:space="preserve">Les fiches d’information sur les indicateurs sont transmises à la </w:t>
      </w:r>
      <w:r w:rsidR="0072206A" w:rsidRPr="008E225D">
        <w:rPr>
          <w:sz w:val="22"/>
          <w:lang w:val="fr-FR"/>
        </w:rPr>
        <w:t>COP</w:t>
      </w:r>
      <w:r w:rsidRPr="008E225D">
        <w:rPr>
          <w:sz w:val="22"/>
          <w:lang w:val="fr-FR"/>
        </w:rPr>
        <w:t xml:space="preserve">12 uniquement à titre d’information et sont présentées séparément dans le document </w:t>
      </w:r>
      <w:r w:rsidRPr="008E225D">
        <w:rPr>
          <w:rFonts w:eastAsiaTheme="minorHAnsi"/>
          <w:color w:val="000000"/>
          <w:sz w:val="22"/>
          <w:lang w:val="fr-FR"/>
        </w:rPr>
        <w:lastRenderedPageBreak/>
        <w:t>UNEP/CMS/COP12/Inf.26</w:t>
      </w:r>
      <w:r w:rsidRPr="008E225D">
        <w:rPr>
          <w:sz w:val="22"/>
          <w:lang w:val="fr-FR"/>
        </w:rPr>
        <w:t>.</w:t>
      </w:r>
      <w:r w:rsidRPr="008E225D">
        <w:rPr>
          <w:rFonts w:eastAsiaTheme="minorHAnsi"/>
          <w:color w:val="000000"/>
          <w:sz w:val="22"/>
          <w:lang w:val="fr-FR"/>
        </w:rPr>
        <w:t xml:space="preserve"> </w:t>
      </w:r>
      <w:r w:rsidRPr="008E225D">
        <w:rPr>
          <w:sz w:val="22"/>
          <w:lang w:val="fr-FR"/>
        </w:rPr>
        <w:t xml:space="preserve">Elles seront maintenues en tant que documents de référence évolutifs à l'appui de l’utilisation des indicateurs, notamment en remplissant les sections actuellement incomplètes et en procédant à des mises à jour suivant les décisions pertinentes de la </w:t>
      </w:r>
      <w:r w:rsidR="008E225D" w:rsidRPr="008E225D">
        <w:rPr>
          <w:sz w:val="22"/>
          <w:lang w:val="fr-FR"/>
        </w:rPr>
        <w:t>COP</w:t>
      </w:r>
      <w:r w:rsidRPr="008E225D">
        <w:rPr>
          <w:sz w:val="22"/>
          <w:lang w:val="fr-FR"/>
        </w:rPr>
        <w:t>.</w:t>
      </w:r>
    </w:p>
    <w:p w14:paraId="118EA8DB" w14:textId="77777777" w:rsidR="001D40C8" w:rsidRPr="001D40C8" w:rsidRDefault="001D40C8" w:rsidP="001D40C8">
      <w:pPr>
        <w:ind w:left="426" w:hanging="426"/>
        <w:jc w:val="both"/>
        <w:rPr>
          <w:rFonts w:eastAsia="MS Mincho" w:cs="Arial"/>
          <w:sz w:val="22"/>
          <w:szCs w:val="22"/>
          <w:highlight w:val="yellow"/>
          <w:lang w:val="fr-FR"/>
        </w:rPr>
      </w:pPr>
    </w:p>
    <w:p w14:paraId="28F0A157" w14:textId="77777777" w:rsidR="001D40C8" w:rsidRPr="001D40C8" w:rsidRDefault="001D40C8" w:rsidP="001D40C8">
      <w:pPr>
        <w:rPr>
          <w:rFonts w:eastAsia="MS Mincho" w:cs="Arial"/>
          <w:sz w:val="22"/>
          <w:szCs w:val="22"/>
          <w:highlight w:val="yellow"/>
          <w:lang w:val="fr-FR"/>
        </w:rPr>
      </w:pPr>
    </w:p>
    <w:p w14:paraId="326A60E5" w14:textId="77777777" w:rsidR="001D40C8" w:rsidRPr="008E225D" w:rsidRDefault="001D40C8" w:rsidP="001D40C8">
      <w:pPr>
        <w:widowControl/>
        <w:ind w:left="426" w:hanging="426"/>
        <w:rPr>
          <w:rFonts w:eastAsiaTheme="minorHAnsi" w:cs="Arial"/>
          <w:color w:val="000000"/>
          <w:sz w:val="22"/>
          <w:szCs w:val="22"/>
          <w:u w:val="single"/>
          <w:lang w:val="fr-FR"/>
        </w:rPr>
      </w:pPr>
      <w:r w:rsidRPr="008E225D">
        <w:rPr>
          <w:rFonts w:eastAsiaTheme="minorHAnsi"/>
          <w:color w:val="000000"/>
          <w:sz w:val="22"/>
          <w:u w:val="single"/>
          <w:lang w:val="fr-FR"/>
        </w:rPr>
        <w:t>Actions recommandées</w:t>
      </w:r>
    </w:p>
    <w:p w14:paraId="36140650" w14:textId="77777777" w:rsidR="001D40C8" w:rsidRPr="008E225D" w:rsidRDefault="001D40C8" w:rsidP="001D40C8">
      <w:pPr>
        <w:widowControl/>
        <w:ind w:left="426" w:hanging="426"/>
        <w:rPr>
          <w:rFonts w:eastAsiaTheme="minorHAnsi" w:cs="Arial"/>
          <w:color w:val="000000"/>
          <w:sz w:val="22"/>
          <w:szCs w:val="22"/>
          <w:lang w:val="fr-FR"/>
        </w:rPr>
      </w:pPr>
    </w:p>
    <w:p w14:paraId="3942EBBA" w14:textId="77777777" w:rsidR="001D40C8" w:rsidRPr="008E225D" w:rsidRDefault="001D40C8" w:rsidP="001D40C8">
      <w:pPr>
        <w:widowControl/>
        <w:ind w:left="426" w:hanging="426"/>
        <w:rPr>
          <w:rFonts w:eastAsiaTheme="minorHAnsi" w:cs="Arial"/>
          <w:color w:val="000000"/>
          <w:sz w:val="22"/>
          <w:szCs w:val="22"/>
          <w:lang w:val="fr-FR"/>
        </w:rPr>
      </w:pPr>
      <w:r w:rsidRPr="008E225D">
        <w:rPr>
          <w:rFonts w:eastAsiaTheme="minorHAnsi"/>
          <w:color w:val="000000"/>
          <w:sz w:val="22"/>
          <w:lang w:val="fr-FR"/>
        </w:rPr>
        <w:t>25.</w:t>
      </w:r>
      <w:r w:rsidRPr="008E225D">
        <w:rPr>
          <w:lang w:val="fr-FR"/>
        </w:rPr>
        <w:tab/>
      </w:r>
      <w:r w:rsidRPr="008E225D">
        <w:rPr>
          <w:rFonts w:eastAsiaTheme="minorHAnsi"/>
          <w:color w:val="000000"/>
          <w:sz w:val="22"/>
          <w:lang w:val="fr-FR"/>
        </w:rPr>
        <w:t>La Confére</w:t>
      </w:r>
      <w:r w:rsidR="002F64AB" w:rsidRPr="008E225D">
        <w:rPr>
          <w:rFonts w:eastAsiaTheme="minorHAnsi"/>
          <w:color w:val="000000"/>
          <w:sz w:val="22"/>
          <w:lang w:val="fr-FR"/>
        </w:rPr>
        <w:t>nce des Parties est invitée à :</w:t>
      </w:r>
    </w:p>
    <w:p w14:paraId="575A0F0B" w14:textId="77777777" w:rsidR="001D40C8" w:rsidRPr="008E225D" w:rsidRDefault="001D40C8" w:rsidP="001D40C8">
      <w:pPr>
        <w:widowControl/>
        <w:rPr>
          <w:rFonts w:eastAsiaTheme="minorHAnsi" w:cs="Arial"/>
          <w:color w:val="000000"/>
          <w:sz w:val="22"/>
          <w:szCs w:val="22"/>
          <w:lang w:val="fr-FR"/>
        </w:rPr>
      </w:pPr>
    </w:p>
    <w:p w14:paraId="34FFF5FC" w14:textId="77777777" w:rsidR="001D40C8" w:rsidRPr="008E225D" w:rsidRDefault="001D40C8" w:rsidP="001D40C8">
      <w:pPr>
        <w:ind w:left="788" w:hanging="248"/>
        <w:jc w:val="both"/>
        <w:rPr>
          <w:rFonts w:eastAsia="MS Mincho" w:cs="Arial"/>
          <w:sz w:val="22"/>
          <w:szCs w:val="22"/>
          <w:lang w:val="fr-FR"/>
        </w:rPr>
      </w:pPr>
      <w:r w:rsidRPr="008E225D">
        <w:rPr>
          <w:sz w:val="22"/>
          <w:lang w:val="fr-FR"/>
        </w:rPr>
        <w:t>a) prendre note du rapport sur le travail effectué par le Groupe de travail sur le Plan stratégique au cours de la période triennale 2015-2017, tel qu’il figure dans le document ci-dessus ;</w:t>
      </w:r>
    </w:p>
    <w:p w14:paraId="5A8C87FB" w14:textId="77777777" w:rsidR="001D40C8" w:rsidRPr="008E225D" w:rsidRDefault="001D40C8" w:rsidP="001D40C8">
      <w:pPr>
        <w:rPr>
          <w:rFonts w:eastAsia="MS Mincho" w:cs="Arial"/>
          <w:sz w:val="22"/>
          <w:szCs w:val="22"/>
          <w:lang w:val="fr-FR"/>
        </w:rPr>
      </w:pPr>
    </w:p>
    <w:p w14:paraId="5C49944E" w14:textId="77777777" w:rsidR="001D40C8" w:rsidRPr="008E225D" w:rsidRDefault="001D40C8" w:rsidP="001D40C8">
      <w:pPr>
        <w:spacing w:after="40"/>
        <w:ind w:left="788" w:hanging="249"/>
        <w:jc w:val="both"/>
        <w:rPr>
          <w:rFonts w:eastAsia="MS Mincho" w:cs="Arial"/>
          <w:sz w:val="22"/>
          <w:szCs w:val="22"/>
          <w:lang w:val="fr-FR"/>
        </w:rPr>
      </w:pPr>
      <w:r w:rsidRPr="008E225D">
        <w:rPr>
          <w:sz w:val="22"/>
          <w:lang w:val="fr-FR"/>
        </w:rPr>
        <w:t xml:space="preserve">b) adopter les amendements à la Résolution 11.2 figurant à l’annexe 1 du présent document ; et, de </w:t>
      </w:r>
      <w:r w:rsidR="00BF37BF" w:rsidRPr="008E225D">
        <w:rPr>
          <w:sz w:val="22"/>
          <w:lang w:val="fr-FR"/>
        </w:rPr>
        <w:t>ce</w:t>
      </w:r>
      <w:r w:rsidRPr="008E225D">
        <w:rPr>
          <w:sz w:val="22"/>
          <w:lang w:val="fr-FR"/>
        </w:rPr>
        <w:t xml:space="preserve"> fait :</w:t>
      </w:r>
    </w:p>
    <w:p w14:paraId="0DCB524D" w14:textId="77777777" w:rsidR="001D40C8" w:rsidRPr="008E225D" w:rsidRDefault="001D40C8" w:rsidP="00672E2E">
      <w:pPr>
        <w:pStyle w:val="ListParagraph"/>
        <w:numPr>
          <w:ilvl w:val="0"/>
          <w:numId w:val="13"/>
        </w:numPr>
        <w:spacing w:after="40"/>
        <w:ind w:left="1434" w:hanging="357"/>
        <w:contextualSpacing w:val="0"/>
        <w:jc w:val="both"/>
        <w:rPr>
          <w:rFonts w:ascii="Arial" w:eastAsia="MS Mincho" w:hAnsi="Arial" w:cs="Arial"/>
          <w:lang w:val="fr-FR"/>
        </w:rPr>
      </w:pPr>
      <w:proofErr w:type="gramStart"/>
      <w:r w:rsidRPr="008E225D">
        <w:rPr>
          <w:rFonts w:ascii="Arial" w:hAnsi="Arial"/>
          <w:lang w:val="fr-FR"/>
        </w:rPr>
        <w:t>approuver</w:t>
      </w:r>
      <w:proofErr w:type="gramEnd"/>
      <w:r w:rsidRPr="008E225D">
        <w:rPr>
          <w:rFonts w:ascii="Arial" w:hAnsi="Arial"/>
          <w:lang w:val="fr-FR"/>
        </w:rPr>
        <w:t xml:space="preserve"> l’approche adoptée pour présenter le Guide d’accompagnement sous forme de ressource évolutive disponible sur le site Web de la CMS, y compris pour poursuivre son élaboration et pour sa maintenance ;</w:t>
      </w:r>
    </w:p>
    <w:p w14:paraId="4C20FEE8" w14:textId="77777777" w:rsidR="001D40C8" w:rsidRPr="008E225D" w:rsidRDefault="001D40C8" w:rsidP="00672E2E">
      <w:pPr>
        <w:pStyle w:val="ListParagraph"/>
        <w:numPr>
          <w:ilvl w:val="0"/>
          <w:numId w:val="13"/>
        </w:numPr>
        <w:spacing w:after="40"/>
        <w:ind w:left="1434" w:hanging="357"/>
        <w:contextualSpacing w:val="0"/>
        <w:jc w:val="both"/>
        <w:rPr>
          <w:rFonts w:ascii="Arial" w:eastAsia="MS Mincho" w:hAnsi="Arial" w:cs="Arial"/>
          <w:lang w:val="fr-FR"/>
        </w:rPr>
      </w:pPr>
      <w:proofErr w:type="gramStart"/>
      <w:r w:rsidRPr="008E225D">
        <w:rPr>
          <w:rFonts w:ascii="Arial" w:hAnsi="Arial"/>
          <w:lang w:val="fr-FR"/>
        </w:rPr>
        <w:t>adopter</w:t>
      </w:r>
      <w:proofErr w:type="gramEnd"/>
      <w:r w:rsidRPr="008E225D">
        <w:rPr>
          <w:rFonts w:ascii="Arial" w:hAnsi="Arial"/>
          <w:lang w:val="fr-FR"/>
        </w:rPr>
        <w:t xml:space="preserve"> l’ensemble d'indicateurs figurant à l’annexe B ; et</w:t>
      </w:r>
    </w:p>
    <w:p w14:paraId="28DFE732" w14:textId="77777777" w:rsidR="001D40C8" w:rsidRPr="008E225D" w:rsidRDefault="001D40C8" w:rsidP="00672E2E">
      <w:pPr>
        <w:pStyle w:val="ListParagraph"/>
        <w:numPr>
          <w:ilvl w:val="0"/>
          <w:numId w:val="13"/>
        </w:numPr>
        <w:jc w:val="both"/>
        <w:rPr>
          <w:rFonts w:ascii="Arial" w:eastAsia="MS Mincho" w:hAnsi="Arial" w:cs="Arial"/>
          <w:lang w:val="fr-FR"/>
        </w:rPr>
      </w:pPr>
      <w:proofErr w:type="gramStart"/>
      <w:r w:rsidRPr="008E225D">
        <w:rPr>
          <w:rFonts w:ascii="Arial" w:hAnsi="Arial"/>
          <w:lang w:val="fr-FR"/>
        </w:rPr>
        <w:t>approuver</w:t>
      </w:r>
      <w:proofErr w:type="gramEnd"/>
      <w:r w:rsidRPr="008E225D">
        <w:rPr>
          <w:rFonts w:ascii="Arial" w:hAnsi="Arial"/>
          <w:lang w:val="fr-FR"/>
        </w:rPr>
        <w:t xml:space="preserve"> la poursuite de l’élaboration des Fiches d’information sur les indicateurs en tant que documents de travail à l’appui de l’utilisation des indicateurs ;</w:t>
      </w:r>
    </w:p>
    <w:p w14:paraId="30B525A2" w14:textId="77777777" w:rsidR="001D40C8" w:rsidRPr="008E225D" w:rsidRDefault="001D40C8" w:rsidP="001D40C8">
      <w:pPr>
        <w:pStyle w:val="ListParagraph"/>
        <w:ind w:left="1440"/>
        <w:jc w:val="both"/>
        <w:rPr>
          <w:rFonts w:ascii="Arial" w:eastAsia="MS Mincho" w:hAnsi="Arial" w:cs="Arial"/>
          <w:lang w:val="fr-FR"/>
        </w:rPr>
      </w:pPr>
    </w:p>
    <w:p w14:paraId="307181BB" w14:textId="6FF263BC" w:rsidR="001D40C8" w:rsidRPr="001D40C8" w:rsidRDefault="001D40C8" w:rsidP="001D40C8">
      <w:pPr>
        <w:ind w:left="788" w:hanging="248"/>
        <w:jc w:val="both"/>
        <w:rPr>
          <w:rFonts w:eastAsia="MS Mincho" w:cs="Arial"/>
          <w:sz w:val="22"/>
          <w:szCs w:val="22"/>
          <w:lang w:val="fr-FR"/>
        </w:rPr>
      </w:pPr>
      <w:r w:rsidRPr="008E225D">
        <w:rPr>
          <w:sz w:val="22"/>
          <w:lang w:val="fr-FR"/>
        </w:rPr>
        <w:t>c) adopter le projet de décision</w:t>
      </w:r>
      <w:r w:rsidR="008E225D" w:rsidRPr="008E225D">
        <w:rPr>
          <w:sz w:val="22"/>
          <w:lang w:val="fr-FR"/>
        </w:rPr>
        <w:t>s</w:t>
      </w:r>
      <w:r w:rsidRPr="008E225D">
        <w:rPr>
          <w:sz w:val="22"/>
          <w:lang w:val="fr-FR"/>
        </w:rPr>
        <w:t xml:space="preserve"> figurant à l’annexe 2 du présent document.</w:t>
      </w:r>
    </w:p>
    <w:p w14:paraId="1F088323" w14:textId="77777777" w:rsidR="00231BE0" w:rsidRPr="001D40C8" w:rsidRDefault="00231BE0" w:rsidP="0076556E">
      <w:pPr>
        <w:ind w:left="788" w:hanging="248"/>
        <w:jc w:val="both"/>
        <w:rPr>
          <w:rFonts w:eastAsia="MS Mincho" w:cs="Arial"/>
          <w:sz w:val="22"/>
          <w:szCs w:val="22"/>
          <w:lang w:val="fr-FR"/>
        </w:rPr>
        <w:sectPr w:rsidR="00231BE0" w:rsidRPr="001D40C8" w:rsidSect="007A50F4">
          <w:headerReference w:type="even" r:id="rId16"/>
          <w:headerReference w:type="default" r:id="rId17"/>
          <w:footerReference w:type="even" r:id="rId18"/>
          <w:footerReference w:type="default" r:id="rId19"/>
          <w:headerReference w:type="first" r:id="rId20"/>
          <w:footerReference w:type="first" r:id="rId21"/>
          <w:pgSz w:w="11906" w:h="16838" w:code="9"/>
          <w:pgMar w:top="851" w:right="1418" w:bottom="1418" w:left="1418" w:header="426" w:footer="510" w:gutter="0"/>
          <w:pgNumType w:start="2"/>
          <w:cols w:space="708"/>
          <w:titlePg/>
          <w:docGrid w:linePitch="360"/>
        </w:sectPr>
      </w:pPr>
    </w:p>
    <w:p w14:paraId="249BA0DF" w14:textId="026588FF" w:rsidR="00D27010" w:rsidRPr="001D40C8" w:rsidRDefault="00D27010" w:rsidP="007A50F4">
      <w:pPr>
        <w:jc w:val="right"/>
        <w:rPr>
          <w:rFonts w:eastAsia="MS Mincho" w:cs="Arial"/>
          <w:b/>
          <w:sz w:val="22"/>
          <w:szCs w:val="22"/>
          <w:lang w:val="fr-FR"/>
        </w:rPr>
      </w:pPr>
      <w:r w:rsidRPr="001D40C8">
        <w:rPr>
          <w:rFonts w:eastAsia="MS Mincho" w:cs="Arial"/>
          <w:b/>
          <w:sz w:val="22"/>
          <w:szCs w:val="22"/>
          <w:lang w:val="fr-FR"/>
        </w:rPr>
        <w:lastRenderedPageBreak/>
        <w:t>ANNEX</w:t>
      </w:r>
      <w:r w:rsidR="00C00D73">
        <w:rPr>
          <w:rFonts w:eastAsia="MS Mincho" w:cs="Arial"/>
          <w:b/>
          <w:sz w:val="22"/>
          <w:szCs w:val="22"/>
          <w:lang w:val="fr-FR"/>
        </w:rPr>
        <w:t>E</w:t>
      </w:r>
      <w:r w:rsidRPr="001D40C8">
        <w:rPr>
          <w:rFonts w:eastAsia="MS Mincho" w:cs="Arial"/>
          <w:b/>
          <w:sz w:val="22"/>
          <w:szCs w:val="22"/>
          <w:lang w:val="fr-FR"/>
        </w:rPr>
        <w:t xml:space="preserve"> 1</w:t>
      </w:r>
    </w:p>
    <w:p w14:paraId="0177459C" w14:textId="77777777" w:rsidR="00D27010" w:rsidRPr="001D40C8" w:rsidRDefault="00D27010" w:rsidP="001C6974">
      <w:pPr>
        <w:rPr>
          <w:rFonts w:eastAsia="MS Mincho" w:cs="Arial"/>
          <w:sz w:val="22"/>
          <w:szCs w:val="22"/>
          <w:lang w:val="fr-FR"/>
        </w:rPr>
      </w:pPr>
    </w:p>
    <w:p w14:paraId="57B626CB" w14:textId="77777777" w:rsidR="00821924" w:rsidRPr="001D40C8" w:rsidRDefault="001D40C8" w:rsidP="007027A2">
      <w:pPr>
        <w:jc w:val="center"/>
        <w:rPr>
          <w:rFonts w:eastAsia="MS Mincho" w:cs="Arial"/>
          <w:sz w:val="22"/>
          <w:szCs w:val="22"/>
          <w:lang w:val="fr-FR"/>
        </w:rPr>
      </w:pPr>
      <w:r w:rsidRPr="008E225D">
        <w:rPr>
          <w:rFonts w:eastAsia="MS Mincho" w:cs="Arial"/>
          <w:sz w:val="22"/>
          <w:szCs w:val="22"/>
          <w:lang w:val="fr-FR"/>
        </w:rPr>
        <w:t>Modifications proposées</w:t>
      </w:r>
      <w:r w:rsidR="004E24CF" w:rsidRPr="008E225D">
        <w:rPr>
          <w:rFonts w:eastAsia="MS Mincho" w:cs="Arial"/>
          <w:sz w:val="22"/>
          <w:szCs w:val="22"/>
          <w:lang w:val="fr-FR"/>
        </w:rPr>
        <w:t xml:space="preserve"> </w:t>
      </w:r>
      <w:r w:rsidRPr="008E225D">
        <w:rPr>
          <w:rFonts w:eastAsia="MS Mincho" w:cs="Arial"/>
          <w:sz w:val="22"/>
          <w:szCs w:val="22"/>
          <w:lang w:val="fr-FR"/>
        </w:rPr>
        <w:t>pour la RÉSOLUTION</w:t>
      </w:r>
      <w:r w:rsidR="002F64AB" w:rsidRPr="008E225D">
        <w:rPr>
          <w:rFonts w:eastAsia="MS Mincho" w:cs="Arial"/>
          <w:sz w:val="22"/>
          <w:szCs w:val="22"/>
          <w:lang w:val="fr-FR"/>
        </w:rPr>
        <w:t> </w:t>
      </w:r>
      <w:r w:rsidR="007027A2" w:rsidRPr="008E225D">
        <w:rPr>
          <w:rFonts w:eastAsia="MS Mincho" w:cs="Arial"/>
          <w:sz w:val="22"/>
          <w:szCs w:val="22"/>
          <w:lang w:val="fr-FR"/>
        </w:rPr>
        <w:t>11.2</w:t>
      </w:r>
    </w:p>
    <w:p w14:paraId="01FB31A3" w14:textId="77777777" w:rsidR="00F033FC" w:rsidRPr="001D40C8" w:rsidRDefault="00F033FC" w:rsidP="007027A2">
      <w:pPr>
        <w:jc w:val="center"/>
        <w:rPr>
          <w:rFonts w:eastAsia="MS Mincho" w:cs="Arial"/>
          <w:sz w:val="22"/>
          <w:szCs w:val="22"/>
          <w:lang w:val="fr-FR"/>
        </w:rPr>
      </w:pPr>
    </w:p>
    <w:p w14:paraId="0A5A5606" w14:textId="10056BB3" w:rsidR="00821924" w:rsidRPr="006124BC" w:rsidRDefault="00254CBB" w:rsidP="007027A2">
      <w:pPr>
        <w:jc w:val="center"/>
        <w:rPr>
          <w:rFonts w:eastAsia="MS Mincho" w:cs="Arial"/>
          <w:sz w:val="22"/>
          <w:szCs w:val="22"/>
          <w:lang w:val="fr-FR"/>
        </w:rPr>
      </w:pPr>
      <w:r w:rsidRPr="006124BC">
        <w:rPr>
          <w:b/>
          <w:caps/>
          <w:sz w:val="22"/>
          <w:szCs w:val="22"/>
          <w:lang w:val="fr-FR"/>
        </w:rPr>
        <w:t>PLAN STRATÉGIQUE POUR LES ESPÈCES MIGRATRICES 2015-2023</w:t>
      </w:r>
    </w:p>
    <w:p w14:paraId="46A2CF1D" w14:textId="77777777" w:rsidR="007027A2" w:rsidRPr="006124BC" w:rsidRDefault="007027A2" w:rsidP="007027A2">
      <w:pPr>
        <w:pStyle w:val="ListParagraph"/>
        <w:ind w:left="0"/>
        <w:jc w:val="both"/>
        <w:rPr>
          <w:rFonts w:ascii="Arial" w:hAnsi="Arial" w:cs="Arial"/>
          <w:lang w:val="fr-FR"/>
        </w:rPr>
      </w:pPr>
    </w:p>
    <w:p w14:paraId="6EF06872" w14:textId="77777777" w:rsidR="007027A2" w:rsidRPr="001D40C8" w:rsidRDefault="007027A2" w:rsidP="007027A2">
      <w:pPr>
        <w:jc w:val="both"/>
        <w:rPr>
          <w:rFonts w:cs="Arial"/>
          <w:i/>
          <w:sz w:val="22"/>
          <w:szCs w:val="22"/>
          <w:lang w:val="fr-FR"/>
        </w:rPr>
      </w:pPr>
      <w:proofErr w:type="gramStart"/>
      <w:r w:rsidRPr="001D40C8">
        <w:rPr>
          <w:rFonts w:cs="Arial"/>
          <w:i/>
          <w:sz w:val="22"/>
          <w:szCs w:val="22"/>
          <w:lang w:val="fr-FR"/>
        </w:rPr>
        <w:t>NB:</w:t>
      </w:r>
      <w:proofErr w:type="gramEnd"/>
      <w:r w:rsidRPr="001D40C8">
        <w:rPr>
          <w:rFonts w:cs="Arial"/>
          <w:i/>
          <w:sz w:val="22"/>
          <w:szCs w:val="22"/>
          <w:lang w:val="fr-FR"/>
        </w:rPr>
        <w:tab/>
      </w:r>
      <w:r w:rsidR="001D40C8" w:rsidRPr="008E225D">
        <w:rPr>
          <w:rFonts w:cs="Arial"/>
          <w:i/>
          <w:sz w:val="22"/>
          <w:szCs w:val="22"/>
          <w:lang w:val="fr-FR"/>
        </w:rPr>
        <w:t xml:space="preserve">Le nouveau texte est </w:t>
      </w:r>
      <w:r w:rsidR="001D40C8" w:rsidRPr="008E225D">
        <w:rPr>
          <w:rFonts w:cs="Arial"/>
          <w:i/>
          <w:sz w:val="22"/>
          <w:szCs w:val="22"/>
          <w:u w:val="single"/>
          <w:lang w:val="fr-FR"/>
        </w:rPr>
        <w:t>souligné</w:t>
      </w:r>
      <w:r w:rsidRPr="008E225D">
        <w:rPr>
          <w:rFonts w:cs="Arial"/>
          <w:i/>
          <w:sz w:val="22"/>
          <w:szCs w:val="22"/>
          <w:lang w:val="fr-FR"/>
        </w:rPr>
        <w:t xml:space="preserve">. </w:t>
      </w:r>
      <w:r w:rsidR="001D40C8" w:rsidRPr="008E225D">
        <w:rPr>
          <w:rFonts w:cs="Arial"/>
          <w:i/>
          <w:sz w:val="22"/>
          <w:szCs w:val="22"/>
          <w:lang w:val="fr-FR"/>
        </w:rPr>
        <w:t xml:space="preserve">Le texte à effacer est </w:t>
      </w:r>
      <w:r w:rsidR="001D40C8" w:rsidRPr="008E225D">
        <w:rPr>
          <w:rFonts w:cs="Arial"/>
          <w:i/>
          <w:strike/>
          <w:sz w:val="22"/>
          <w:szCs w:val="22"/>
          <w:lang w:val="fr-FR"/>
        </w:rPr>
        <w:t>barré</w:t>
      </w:r>
      <w:r w:rsidRPr="008E225D">
        <w:rPr>
          <w:rFonts w:cs="Arial"/>
          <w:i/>
          <w:sz w:val="22"/>
          <w:szCs w:val="22"/>
          <w:lang w:val="fr-FR"/>
        </w:rPr>
        <w:t>.</w:t>
      </w:r>
    </w:p>
    <w:p w14:paraId="1752FAD8" w14:textId="77777777" w:rsidR="00AF31AD" w:rsidRPr="001D40C8" w:rsidRDefault="00AF31AD" w:rsidP="007027A2">
      <w:pPr>
        <w:jc w:val="both"/>
        <w:rPr>
          <w:rFonts w:cs="Arial"/>
          <w:i/>
          <w:sz w:val="22"/>
          <w:szCs w:val="22"/>
          <w:lang w:val="fr-FR"/>
        </w:rPr>
      </w:pPr>
    </w:p>
    <w:p w14:paraId="69829260" w14:textId="77777777"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 xml:space="preserve">Rappelant </w:t>
      </w:r>
      <w:r w:rsidRPr="006124BC">
        <w:rPr>
          <w:rFonts w:cs="Arial"/>
          <w:spacing w:val="-4"/>
          <w:sz w:val="22"/>
          <w:szCs w:val="22"/>
          <w:lang w:val="fr-FR"/>
        </w:rPr>
        <w:t>la résolution 10.5 de la CMS qui a accueilli favorablement l’actualisation du Plan stratégique de la Convention sur la conservation des espèces migratrices appartenant à la faune sauvage (2006-2011) pour la période triennale suivante (2012-2014), sans apporter de modifications de fond ;</w:t>
      </w:r>
    </w:p>
    <w:p w14:paraId="51364DD5" w14:textId="77777777" w:rsidR="0074369A" w:rsidRPr="006124BC" w:rsidRDefault="0074369A" w:rsidP="0074369A">
      <w:pPr>
        <w:tabs>
          <w:tab w:val="left" w:pos="2694"/>
        </w:tabs>
        <w:jc w:val="both"/>
        <w:rPr>
          <w:rFonts w:cs="Arial"/>
          <w:spacing w:val="-4"/>
          <w:sz w:val="22"/>
          <w:szCs w:val="22"/>
          <w:lang w:val="fr-FR"/>
        </w:rPr>
      </w:pPr>
    </w:p>
    <w:p w14:paraId="2B54BFDE" w14:textId="77777777"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Tenant compte</w:t>
      </w:r>
      <w:r w:rsidRPr="006124BC">
        <w:rPr>
          <w:rFonts w:cs="Arial"/>
          <w:spacing w:val="-4"/>
          <w:sz w:val="22"/>
          <w:szCs w:val="22"/>
          <w:lang w:val="fr-FR"/>
        </w:rPr>
        <w:t xml:space="preserve"> du fait que la résolution 10.5 de la CMS a également créé un groupe de travail chargé d’élaborer un nouveau plan stratégique pour la période 2015-2023 devant être soumis à la 11ème session de la Conférence des Parties à la CMS en 2014 ;</w:t>
      </w:r>
    </w:p>
    <w:p w14:paraId="6D51792B" w14:textId="77777777" w:rsidR="0074369A" w:rsidRPr="006124BC" w:rsidRDefault="0074369A" w:rsidP="0074369A">
      <w:pPr>
        <w:tabs>
          <w:tab w:val="left" w:pos="2694"/>
        </w:tabs>
        <w:jc w:val="both"/>
        <w:rPr>
          <w:rFonts w:cs="Arial"/>
          <w:spacing w:val="-4"/>
          <w:sz w:val="22"/>
          <w:szCs w:val="22"/>
          <w:lang w:val="fr-FR"/>
        </w:rPr>
      </w:pPr>
    </w:p>
    <w:p w14:paraId="69A2586F" w14:textId="77777777"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Rappelant</w:t>
      </w:r>
      <w:r w:rsidRPr="006124BC">
        <w:rPr>
          <w:rFonts w:cs="Arial"/>
          <w:spacing w:val="-4"/>
          <w:sz w:val="22"/>
          <w:szCs w:val="22"/>
          <w:lang w:val="fr-FR"/>
        </w:rPr>
        <w:t xml:space="preserve"> la décision X/20 de la Conférence des Parties à la Convention sur la diversité biologique dans laquelle la CMS est reconnue comme le partenaire principal en matière de conservation et d’utilisation durable des espèces migratrices dans l’ensemble de leurs aires de répartition ;</w:t>
      </w:r>
    </w:p>
    <w:p w14:paraId="1427973C" w14:textId="77777777" w:rsidR="0074369A" w:rsidRPr="006124BC" w:rsidRDefault="0074369A" w:rsidP="0074369A">
      <w:pPr>
        <w:tabs>
          <w:tab w:val="left" w:pos="2694"/>
        </w:tabs>
        <w:jc w:val="both"/>
        <w:rPr>
          <w:rFonts w:cs="Arial"/>
          <w:spacing w:val="-4"/>
          <w:sz w:val="22"/>
          <w:szCs w:val="22"/>
          <w:lang w:val="fr-FR"/>
        </w:rPr>
      </w:pPr>
    </w:p>
    <w:p w14:paraId="4DE18468" w14:textId="77777777" w:rsidR="0074369A" w:rsidRPr="0061757B" w:rsidRDefault="0074369A" w:rsidP="0074369A">
      <w:pPr>
        <w:tabs>
          <w:tab w:val="left" w:pos="2694"/>
        </w:tabs>
        <w:jc w:val="both"/>
        <w:rPr>
          <w:rFonts w:cs="Arial"/>
          <w:spacing w:val="-4"/>
          <w:sz w:val="22"/>
          <w:szCs w:val="22"/>
          <w:lang w:val="fr-FR"/>
        </w:rPr>
      </w:pPr>
      <w:r w:rsidRPr="0061757B">
        <w:rPr>
          <w:rFonts w:cs="Arial"/>
          <w:i/>
          <w:spacing w:val="-4"/>
          <w:sz w:val="22"/>
          <w:szCs w:val="22"/>
          <w:lang w:val="fr-FR"/>
        </w:rPr>
        <w:t>Rappelant</w:t>
      </w:r>
      <w:r w:rsidRPr="0061757B">
        <w:rPr>
          <w:rFonts w:cs="Arial"/>
          <w:spacing w:val="-4"/>
          <w:sz w:val="22"/>
          <w:szCs w:val="22"/>
          <w:lang w:val="fr-FR"/>
        </w:rPr>
        <w:t xml:space="preserve"> en outre la décision X/2 de la Conférence des Parties à la Convention sur la diversité biologique par laquelle le Plan stratégique 2011-2020 et les Objectifs d’Aichi pour la biodiversité ont été adoptés, et qui a invité le Groupe pour la gestion de l’environnement (EMG) des Nations Unies à identifier des mesures propres à assurer la mise en œuvre effective et efficace du Plan stratégique à l’échelle du système des Nations Unies ;</w:t>
      </w:r>
    </w:p>
    <w:p w14:paraId="5FA158AE" w14:textId="77777777" w:rsidR="0074369A" w:rsidRPr="0061757B" w:rsidRDefault="0074369A" w:rsidP="0074369A">
      <w:pPr>
        <w:tabs>
          <w:tab w:val="left" w:pos="2694"/>
        </w:tabs>
        <w:jc w:val="both"/>
        <w:rPr>
          <w:rFonts w:cs="Arial"/>
          <w:spacing w:val="-4"/>
          <w:sz w:val="22"/>
          <w:szCs w:val="22"/>
          <w:lang w:val="fr-FR"/>
        </w:rPr>
      </w:pPr>
    </w:p>
    <w:p w14:paraId="4BD3EF51" w14:textId="0B867470"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Notant</w:t>
      </w:r>
      <w:r w:rsidRPr="006124BC">
        <w:rPr>
          <w:rFonts w:cs="Arial"/>
          <w:spacing w:val="-4"/>
          <w:sz w:val="22"/>
          <w:szCs w:val="22"/>
          <w:lang w:val="fr-FR"/>
        </w:rPr>
        <w:t xml:space="preserve"> l’accord des hauts responsables du Groupe pour la gestion de l’environnement en novembre 2012 pour soutenir la mise en œuvre des processus de planification stratégique des accords environnementaux multilatéraux relatifs à la biodiversité, incluant les espèces </w:t>
      </w:r>
      <w:proofErr w:type="gramStart"/>
      <w:r w:rsidRPr="006124BC">
        <w:rPr>
          <w:rFonts w:cs="Arial"/>
          <w:spacing w:val="-4"/>
          <w:sz w:val="22"/>
          <w:szCs w:val="22"/>
          <w:lang w:val="fr-FR"/>
        </w:rPr>
        <w:t>migratrices;</w:t>
      </w:r>
      <w:proofErr w:type="gramEnd"/>
    </w:p>
    <w:p w14:paraId="1C90C3AE" w14:textId="77777777" w:rsidR="0074369A" w:rsidRPr="006124BC" w:rsidRDefault="0074369A" w:rsidP="0074369A">
      <w:pPr>
        <w:tabs>
          <w:tab w:val="left" w:pos="2694"/>
        </w:tabs>
        <w:jc w:val="both"/>
        <w:rPr>
          <w:rFonts w:cs="Arial"/>
          <w:spacing w:val="-4"/>
          <w:sz w:val="22"/>
          <w:szCs w:val="22"/>
          <w:lang w:val="fr-FR"/>
        </w:rPr>
      </w:pPr>
    </w:p>
    <w:p w14:paraId="78AFA819" w14:textId="77777777" w:rsidR="0074369A" w:rsidRPr="006124BC" w:rsidRDefault="0074369A" w:rsidP="0074369A">
      <w:pPr>
        <w:tabs>
          <w:tab w:val="left" w:pos="2694"/>
        </w:tabs>
        <w:jc w:val="both"/>
        <w:rPr>
          <w:rFonts w:cs="Arial"/>
          <w:spacing w:val="-4"/>
          <w:sz w:val="22"/>
          <w:szCs w:val="22"/>
          <w:lang w:val="fr-FR"/>
        </w:rPr>
      </w:pPr>
      <w:r w:rsidRPr="006124BC">
        <w:rPr>
          <w:rFonts w:cs="Arial"/>
          <w:i/>
          <w:spacing w:val="-4"/>
          <w:sz w:val="22"/>
          <w:szCs w:val="22"/>
          <w:lang w:val="fr-FR"/>
        </w:rPr>
        <w:t>Notant</w:t>
      </w:r>
      <w:r w:rsidRPr="006124BC">
        <w:rPr>
          <w:rFonts w:cs="Arial"/>
          <w:spacing w:val="-4"/>
          <w:sz w:val="22"/>
          <w:szCs w:val="22"/>
          <w:lang w:val="fr-FR"/>
        </w:rPr>
        <w:t xml:space="preserve"> que la décision X/2 de la Conférence des Parties à la Convention sur la diversité biologique a exhorté les Parties et les autres gouvernements à soutenir l’actualisation des stratégies et plans d'action nationaux pour la biodiversité (SPANB) en tant qu’instruments efficaces pour promouvoir la mise en œuvre du Plan stratégique pour la biodiversité et l’intégration de la diversité biologique au niveau national, en tenant compte des synergies entre les conventions relatives à la biodiversité conformément à leurs mandats respectifs ;</w:t>
      </w:r>
    </w:p>
    <w:p w14:paraId="35ADCAF0" w14:textId="33981D93" w:rsidR="0074369A" w:rsidRPr="006124BC" w:rsidRDefault="0074369A" w:rsidP="0074369A">
      <w:pPr>
        <w:tabs>
          <w:tab w:val="left" w:pos="2694"/>
        </w:tabs>
        <w:jc w:val="both"/>
        <w:rPr>
          <w:rFonts w:cs="Arial"/>
          <w:i/>
          <w:spacing w:val="-4"/>
          <w:sz w:val="22"/>
          <w:szCs w:val="22"/>
          <w:lang w:val="fr-FR"/>
        </w:rPr>
      </w:pPr>
    </w:p>
    <w:p w14:paraId="37669DF7" w14:textId="77777777" w:rsidR="004D3DB7" w:rsidRDefault="0074369A" w:rsidP="004E1148">
      <w:pPr>
        <w:jc w:val="both"/>
        <w:rPr>
          <w:rFonts w:cs="Arial"/>
          <w:spacing w:val="-4"/>
          <w:sz w:val="22"/>
          <w:szCs w:val="22"/>
          <w:lang w:val="fr-FR"/>
        </w:rPr>
      </w:pPr>
      <w:r w:rsidRPr="006124BC">
        <w:rPr>
          <w:rFonts w:cs="Arial"/>
          <w:i/>
          <w:spacing w:val="-4"/>
          <w:sz w:val="22"/>
          <w:szCs w:val="22"/>
          <w:lang w:val="fr-FR"/>
        </w:rPr>
        <w:t>Notant</w:t>
      </w:r>
      <w:r w:rsidRPr="006124BC">
        <w:rPr>
          <w:rFonts w:cs="Arial"/>
          <w:spacing w:val="-4"/>
          <w:sz w:val="22"/>
          <w:szCs w:val="22"/>
          <w:lang w:val="fr-FR"/>
        </w:rPr>
        <w:t xml:space="preserve"> que le paragraphe 19 de la résolution 65/161 de l’Assemblée générale des Nations Unies a déclaré la période 2011-2020 Décennie des Nations Unies pour la diversité biologique, en vue de contribuer à la mise en œuvre du Plan stratégique pour la biodiversité 2011-2020, et a demandé au Secrétaire général, en consultation avec les États membres, de diriger la coordination des activités de la Décennie au nom du système des Nations Unies, avec le soutien du Secrétariat de la Convention sur la diversité biologique, des secrétariats des autres conventions relatives à la biodiversité et des fonds, programmes et agences des Nations Unies concernés ;</w:t>
      </w:r>
    </w:p>
    <w:p w14:paraId="071D6DC1" w14:textId="77777777" w:rsidR="004D3DB7" w:rsidRDefault="004D3DB7" w:rsidP="004E1148">
      <w:pPr>
        <w:jc w:val="both"/>
        <w:rPr>
          <w:rFonts w:cs="Arial"/>
          <w:spacing w:val="-4"/>
          <w:sz w:val="22"/>
          <w:szCs w:val="22"/>
          <w:lang w:val="fr-FR"/>
        </w:rPr>
      </w:pPr>
    </w:p>
    <w:p w14:paraId="1D18FF78" w14:textId="51BC0A9E" w:rsidR="00B15943" w:rsidRPr="006124BC" w:rsidRDefault="0074369A" w:rsidP="004E1148">
      <w:pPr>
        <w:jc w:val="both"/>
        <w:rPr>
          <w:rFonts w:cs="Arial"/>
          <w:sz w:val="22"/>
          <w:szCs w:val="22"/>
          <w:lang w:val="fr-FR"/>
        </w:rPr>
      </w:pPr>
      <w:r w:rsidRPr="006124BC">
        <w:rPr>
          <w:rFonts w:cs="Arial"/>
          <w:i/>
          <w:sz w:val="22"/>
          <w:szCs w:val="22"/>
          <w:lang w:val="fr-FR"/>
        </w:rPr>
        <w:t>Prenant note</w:t>
      </w:r>
      <w:r w:rsidRPr="006124BC">
        <w:rPr>
          <w:rFonts w:cs="Arial"/>
          <w:sz w:val="22"/>
          <w:szCs w:val="22"/>
          <w:lang w:val="fr-FR"/>
        </w:rPr>
        <w:t xml:space="preserve"> du rapport de la Présidente du Groupe de travail sur le Plan stratégique de la CMS (document PNUE/CMS/COP11/Doc.15.2) ;</w:t>
      </w:r>
      <w:r w:rsidR="004D3DB7">
        <w:rPr>
          <w:rFonts w:cs="Arial"/>
          <w:sz w:val="22"/>
          <w:szCs w:val="22"/>
          <w:lang w:val="fr-FR"/>
        </w:rPr>
        <w:t xml:space="preserve"> </w:t>
      </w:r>
      <w:r w:rsidR="001D40C8" w:rsidRPr="004D3DB7">
        <w:rPr>
          <w:sz w:val="22"/>
          <w:u w:val="single"/>
          <w:lang w:val="fr-FR"/>
        </w:rPr>
        <w:t xml:space="preserve">et </w:t>
      </w:r>
      <w:r w:rsidR="004D3DB7" w:rsidRPr="004D3DB7">
        <w:rPr>
          <w:sz w:val="22"/>
          <w:u w:val="single"/>
          <w:lang w:val="fr-FR"/>
        </w:rPr>
        <w:t>du</w:t>
      </w:r>
      <w:r w:rsidR="001D40C8" w:rsidRPr="004D3DB7">
        <w:rPr>
          <w:sz w:val="22"/>
          <w:u w:val="single"/>
          <w:lang w:val="fr-FR"/>
        </w:rPr>
        <w:t xml:space="preserve"> document intitulé </w:t>
      </w:r>
      <w:r w:rsidR="001D40C8" w:rsidRPr="004D3DB7">
        <w:rPr>
          <w:i/>
          <w:sz w:val="22"/>
          <w:u w:val="single"/>
          <w:lang w:val="fr-FR"/>
        </w:rPr>
        <w:t>Plan stratégique pour les espèces migratrices 2015-2023 : mise en œuvre et suivi</w:t>
      </w:r>
      <w:r w:rsidR="001D40C8" w:rsidRPr="004D3DB7">
        <w:rPr>
          <w:sz w:val="22"/>
          <w:u w:val="single"/>
          <w:lang w:val="fr-FR"/>
        </w:rPr>
        <w:t xml:space="preserve"> (document UNEP/CMS/COP12/Doc.15) présenté à la </w:t>
      </w:r>
      <w:r w:rsidR="004D3DB7" w:rsidRPr="004D3DB7">
        <w:rPr>
          <w:sz w:val="22"/>
          <w:u w:val="single"/>
          <w:lang w:val="fr-FR"/>
        </w:rPr>
        <w:t>COP</w:t>
      </w:r>
      <w:r w:rsidR="001D40C8" w:rsidRPr="004D3DB7">
        <w:rPr>
          <w:sz w:val="22"/>
          <w:u w:val="single"/>
          <w:lang w:val="fr-FR"/>
        </w:rPr>
        <w:t>12 </w:t>
      </w:r>
      <w:r w:rsidR="00B15943" w:rsidRPr="004D3DB7">
        <w:rPr>
          <w:rFonts w:cs="Arial"/>
          <w:sz w:val="22"/>
          <w:szCs w:val="22"/>
          <w:lang w:val="fr-FR"/>
        </w:rPr>
        <w:t>;</w:t>
      </w:r>
    </w:p>
    <w:p w14:paraId="630D5045" w14:textId="658A064B" w:rsidR="0076556E" w:rsidRDefault="0076556E" w:rsidP="004E1148">
      <w:pPr>
        <w:jc w:val="both"/>
        <w:rPr>
          <w:rFonts w:cs="Arial"/>
          <w:sz w:val="22"/>
          <w:szCs w:val="22"/>
          <w:lang w:val="fr-FR"/>
        </w:rPr>
      </w:pPr>
      <w:r>
        <w:rPr>
          <w:rFonts w:cs="Arial"/>
          <w:sz w:val="22"/>
          <w:szCs w:val="22"/>
          <w:lang w:val="fr-FR"/>
        </w:rPr>
        <w:br w:type="page"/>
      </w:r>
    </w:p>
    <w:p w14:paraId="10CD5151" w14:textId="0886B0B3" w:rsidR="00B15943" w:rsidRPr="006124BC" w:rsidRDefault="005515D8" w:rsidP="004E1148">
      <w:pPr>
        <w:jc w:val="both"/>
        <w:rPr>
          <w:rFonts w:cs="Arial"/>
          <w:sz w:val="22"/>
          <w:szCs w:val="22"/>
          <w:highlight w:val="yellow"/>
          <w:lang w:val="fr-FR"/>
        </w:rPr>
      </w:pPr>
      <w:r w:rsidRPr="00591DCA">
        <w:rPr>
          <w:rFonts w:cs="Arial"/>
          <w:i/>
          <w:sz w:val="22"/>
          <w:szCs w:val="22"/>
          <w:lang w:val="fr-FR"/>
        </w:rPr>
        <w:lastRenderedPageBreak/>
        <w:t>Se félicitant</w:t>
      </w:r>
      <w:r w:rsidRPr="006124BC">
        <w:rPr>
          <w:rFonts w:cs="Arial"/>
          <w:sz w:val="22"/>
          <w:szCs w:val="22"/>
          <w:lang w:val="fr-FR"/>
        </w:rPr>
        <w:t xml:space="preserve"> du travail de ce Groupe pour la préparation du nouveau Plan, qui a pris en compte les leçons tirées de la mise en œuvre du Plan stratégique 2006-2014, les résultats du processus de Structure future, ainsi que les processus de planification stratégique dans d’autres accords environnementaux multilatéraux ; et qui a offert des possibilités considérables de contributions à l’élaboration du Plan ;</w:t>
      </w:r>
      <w:r w:rsidRPr="006124BC">
        <w:rPr>
          <w:rFonts w:cs="Arial"/>
          <w:i/>
          <w:sz w:val="22"/>
          <w:szCs w:val="22"/>
          <w:lang w:val="fr-FR"/>
        </w:rPr>
        <w:t xml:space="preserve"> </w:t>
      </w:r>
      <w:r w:rsidR="001D40C8" w:rsidRPr="004D3DB7">
        <w:rPr>
          <w:sz w:val="22"/>
          <w:u w:val="single"/>
          <w:lang w:val="fr-FR"/>
        </w:rPr>
        <w:t>et pour les autres travaux qu’il a entrepris au cours de la période triennale 2015-2017 en lien avec la mise en œuvre et le suivi du Plan stratégique </w:t>
      </w:r>
      <w:r w:rsidR="00B15943" w:rsidRPr="004D3DB7">
        <w:rPr>
          <w:rFonts w:cs="Arial"/>
          <w:sz w:val="22"/>
          <w:szCs w:val="22"/>
          <w:u w:val="single"/>
          <w:lang w:val="fr-FR"/>
        </w:rPr>
        <w:t>;</w:t>
      </w:r>
    </w:p>
    <w:p w14:paraId="2FB559A2" w14:textId="77777777" w:rsidR="00B15943" w:rsidRPr="006124BC" w:rsidRDefault="00B15943" w:rsidP="00B15943">
      <w:pPr>
        <w:rPr>
          <w:rFonts w:cs="Arial"/>
          <w:sz w:val="22"/>
          <w:szCs w:val="22"/>
          <w:highlight w:val="yellow"/>
          <w:lang w:val="fr-FR"/>
        </w:rPr>
      </w:pPr>
    </w:p>
    <w:p w14:paraId="5B3C6115" w14:textId="77777777" w:rsidR="00B15943" w:rsidRPr="00720B4C" w:rsidRDefault="001D40C8" w:rsidP="00FB3096">
      <w:pPr>
        <w:jc w:val="both"/>
        <w:rPr>
          <w:rFonts w:cs="Arial"/>
          <w:sz w:val="22"/>
          <w:szCs w:val="22"/>
          <w:u w:val="single"/>
          <w:lang w:val="fr-FR"/>
        </w:rPr>
      </w:pPr>
      <w:r w:rsidRPr="00C35AE3">
        <w:rPr>
          <w:i/>
          <w:sz w:val="22"/>
          <w:u w:val="single"/>
          <w:lang w:val="fr-FR"/>
        </w:rPr>
        <w:t>Prenant note</w:t>
      </w:r>
      <w:r w:rsidRPr="00C35AE3">
        <w:rPr>
          <w:sz w:val="22"/>
          <w:u w:val="single"/>
          <w:lang w:val="fr-FR"/>
        </w:rPr>
        <w:t xml:space="preserve"> de l’information fournie par les Parties dans leurs rapports nationaux sur les activités entreprises au titre du Plan stratégique au cours du dernier exercice triennal </w:t>
      </w:r>
      <w:r w:rsidR="00B15943" w:rsidRPr="00C35AE3">
        <w:rPr>
          <w:rFonts w:cs="Arial"/>
          <w:sz w:val="22"/>
          <w:szCs w:val="22"/>
          <w:u w:val="single"/>
          <w:lang w:val="fr-FR"/>
        </w:rPr>
        <w:t>;</w:t>
      </w:r>
    </w:p>
    <w:p w14:paraId="36655C8A" w14:textId="77777777" w:rsidR="00B15943" w:rsidRPr="001D40C8" w:rsidRDefault="00B15943" w:rsidP="00FB3096">
      <w:pPr>
        <w:jc w:val="both"/>
        <w:rPr>
          <w:rFonts w:cs="Arial"/>
          <w:sz w:val="22"/>
          <w:szCs w:val="22"/>
          <w:lang w:val="fr-FR"/>
        </w:rPr>
      </w:pPr>
    </w:p>
    <w:p w14:paraId="699BE1E9" w14:textId="27447F94" w:rsidR="00B15943" w:rsidRPr="0061757B" w:rsidRDefault="005515D8" w:rsidP="00FB3096">
      <w:pPr>
        <w:jc w:val="both"/>
        <w:rPr>
          <w:rFonts w:cs="Arial"/>
          <w:sz w:val="22"/>
          <w:szCs w:val="22"/>
          <w:lang w:val="fr-FR"/>
        </w:rPr>
      </w:pPr>
      <w:r w:rsidRPr="0061757B">
        <w:rPr>
          <w:rFonts w:cs="Arial"/>
          <w:i/>
          <w:sz w:val="22"/>
          <w:szCs w:val="22"/>
          <w:lang w:val="fr-FR"/>
        </w:rPr>
        <w:t xml:space="preserve">Se félicitant </w:t>
      </w:r>
      <w:r w:rsidRPr="0061757B">
        <w:rPr>
          <w:rFonts w:cs="Arial"/>
          <w:sz w:val="22"/>
          <w:szCs w:val="22"/>
          <w:lang w:val="fr-FR"/>
        </w:rPr>
        <w:t>des contributions des Parties et acteurs concernés au développement du Plan stratégique, incluant le rapport int</w:t>
      </w:r>
      <w:r w:rsidR="00C00D73" w:rsidRPr="0061757B">
        <w:rPr>
          <w:rFonts w:cs="Arial"/>
          <w:sz w:val="22"/>
          <w:szCs w:val="22"/>
          <w:lang w:val="fr-FR"/>
        </w:rPr>
        <w:t xml:space="preserve">itulé Une affiliation </w:t>
      </w:r>
      <w:proofErr w:type="gramStart"/>
      <w:r w:rsidR="00C00D73" w:rsidRPr="0061757B">
        <w:rPr>
          <w:rFonts w:cs="Arial"/>
          <w:sz w:val="22"/>
          <w:szCs w:val="22"/>
          <w:lang w:val="fr-FR"/>
        </w:rPr>
        <w:t>naturelle</w:t>
      </w:r>
      <w:r w:rsidRPr="0061757B">
        <w:rPr>
          <w:rFonts w:cs="Arial"/>
          <w:sz w:val="22"/>
          <w:szCs w:val="22"/>
          <w:lang w:val="fr-FR"/>
        </w:rPr>
        <w:t>:</w:t>
      </w:r>
      <w:proofErr w:type="gramEnd"/>
      <w:r w:rsidRPr="0061757B">
        <w:rPr>
          <w:rFonts w:cs="Arial"/>
          <w:sz w:val="22"/>
          <w:szCs w:val="22"/>
          <w:lang w:val="fr-FR"/>
        </w:rPr>
        <w:t xml:space="preserve"> Développer le rôle des ONG au sein de la Famille de la Convention sur les espèces migr</w:t>
      </w:r>
      <w:r w:rsidR="0030275D" w:rsidRPr="0061757B">
        <w:rPr>
          <w:rFonts w:cs="Arial"/>
          <w:sz w:val="22"/>
          <w:szCs w:val="22"/>
          <w:lang w:val="fr-FR"/>
        </w:rPr>
        <w:t>atrices</w:t>
      </w:r>
      <w:r w:rsidR="0030275D">
        <w:rPr>
          <w:rStyle w:val="FootnoteReference"/>
          <w:rFonts w:cs="Arial"/>
          <w:sz w:val="22"/>
          <w:szCs w:val="22"/>
        </w:rPr>
        <w:footnoteReference w:id="1"/>
      </w:r>
      <w:r w:rsidRPr="0061757B">
        <w:rPr>
          <w:rFonts w:cs="Arial"/>
          <w:sz w:val="22"/>
          <w:szCs w:val="22"/>
          <w:lang w:val="fr-FR"/>
        </w:rPr>
        <w:t xml:space="preserve"> ; et reconnaissant que les partenariats clés pour l’exécution du Plan stratégique </w:t>
      </w:r>
      <w:r w:rsidRPr="00C35AE3">
        <w:rPr>
          <w:rFonts w:cs="Arial"/>
          <w:strike/>
          <w:sz w:val="22"/>
          <w:szCs w:val="22"/>
          <w:lang w:val="fr-FR"/>
        </w:rPr>
        <w:t>associeront</w:t>
      </w:r>
      <w:r w:rsidR="00C35AE3">
        <w:rPr>
          <w:rFonts w:cs="Arial"/>
          <w:strike/>
          <w:sz w:val="22"/>
          <w:szCs w:val="22"/>
          <w:lang w:val="fr-FR"/>
        </w:rPr>
        <w:t xml:space="preserve"> </w:t>
      </w:r>
      <w:r w:rsidR="00C35AE3" w:rsidRPr="00C35AE3">
        <w:rPr>
          <w:rFonts w:cs="Arial"/>
          <w:sz w:val="22"/>
          <w:szCs w:val="22"/>
          <w:u w:val="single"/>
          <w:lang w:val="fr-FR"/>
        </w:rPr>
        <w:t>associent</w:t>
      </w:r>
      <w:r w:rsidRPr="0061757B">
        <w:rPr>
          <w:rFonts w:cs="Arial"/>
          <w:sz w:val="22"/>
          <w:szCs w:val="22"/>
          <w:lang w:val="fr-FR"/>
        </w:rPr>
        <w:t xml:space="preserve"> les autres conventions, la société civile, le secteur privé et les organismes régionaux ; </w:t>
      </w:r>
    </w:p>
    <w:p w14:paraId="1C36A84D" w14:textId="77777777" w:rsidR="00B15943" w:rsidRPr="0061757B" w:rsidRDefault="00B15943" w:rsidP="00FB3096">
      <w:pPr>
        <w:ind w:firstLine="720"/>
        <w:jc w:val="both"/>
        <w:rPr>
          <w:rFonts w:cs="Arial"/>
          <w:sz w:val="22"/>
          <w:szCs w:val="22"/>
          <w:lang w:val="fr-FR"/>
        </w:rPr>
      </w:pPr>
    </w:p>
    <w:p w14:paraId="77E340BA" w14:textId="77777777" w:rsidR="00B15943" w:rsidRPr="00720B4C" w:rsidRDefault="001D40C8" w:rsidP="00C35AE3">
      <w:pPr>
        <w:jc w:val="both"/>
        <w:rPr>
          <w:rFonts w:cs="Arial"/>
          <w:sz w:val="22"/>
          <w:szCs w:val="22"/>
          <w:u w:val="single"/>
          <w:lang w:val="fr-FR"/>
        </w:rPr>
      </w:pPr>
      <w:r w:rsidRPr="00C35AE3">
        <w:rPr>
          <w:i/>
          <w:sz w:val="22"/>
          <w:u w:val="single"/>
          <w:lang w:val="fr-FR"/>
        </w:rPr>
        <w:t>Considérant</w:t>
      </w:r>
      <w:r w:rsidRPr="00C35AE3">
        <w:rPr>
          <w:sz w:val="22"/>
          <w:u w:val="single"/>
          <w:lang w:val="fr-FR"/>
        </w:rPr>
        <w:t xml:space="preserve"> qu’il reste beaucoup d’efforts à accomplir sans délai si les objectifs du Plan stratégique doivent être atteints d’ici 2023 </w:t>
      </w:r>
      <w:r w:rsidR="00B15943" w:rsidRPr="00C35AE3">
        <w:rPr>
          <w:rFonts w:cs="Arial"/>
          <w:sz w:val="22"/>
          <w:szCs w:val="22"/>
          <w:u w:val="single"/>
          <w:lang w:val="fr-FR"/>
        </w:rPr>
        <w:t>;</w:t>
      </w:r>
      <w:r w:rsidR="00B15943" w:rsidRPr="001D40C8">
        <w:rPr>
          <w:rFonts w:cs="Arial"/>
          <w:sz w:val="22"/>
          <w:szCs w:val="22"/>
          <w:lang w:val="fr-FR"/>
        </w:rPr>
        <w:t xml:space="preserve"> and</w:t>
      </w:r>
    </w:p>
    <w:p w14:paraId="64370698" w14:textId="77777777" w:rsidR="00B15943" w:rsidRPr="001D40C8" w:rsidRDefault="00B15943" w:rsidP="00FB3096">
      <w:pPr>
        <w:jc w:val="both"/>
        <w:rPr>
          <w:rFonts w:cs="Arial"/>
          <w:sz w:val="22"/>
          <w:szCs w:val="22"/>
          <w:lang w:val="fr-FR"/>
        </w:rPr>
      </w:pPr>
    </w:p>
    <w:p w14:paraId="0DE391F2" w14:textId="00822DA0" w:rsidR="00B15943" w:rsidRPr="006124BC" w:rsidRDefault="005515D8" w:rsidP="00B15943">
      <w:pPr>
        <w:rPr>
          <w:rFonts w:cs="Arial"/>
          <w:sz w:val="22"/>
          <w:szCs w:val="22"/>
          <w:lang w:val="fr-FR"/>
        </w:rPr>
      </w:pPr>
      <w:r w:rsidRPr="006124BC">
        <w:rPr>
          <w:rFonts w:cs="Arial"/>
          <w:i/>
          <w:sz w:val="22"/>
          <w:szCs w:val="22"/>
          <w:lang w:val="fr-FR"/>
        </w:rPr>
        <w:t xml:space="preserve">Consciente </w:t>
      </w:r>
      <w:r w:rsidRPr="006124BC">
        <w:rPr>
          <w:rFonts w:cs="Arial"/>
          <w:sz w:val="22"/>
          <w:szCs w:val="22"/>
          <w:lang w:val="fr-FR"/>
        </w:rPr>
        <w:t xml:space="preserve">de la nécessité d'éviter d’alourdir les procédures de </w:t>
      </w:r>
      <w:proofErr w:type="spellStart"/>
      <w:r w:rsidRPr="006124BC">
        <w:rPr>
          <w:rFonts w:cs="Arial"/>
          <w:sz w:val="22"/>
          <w:szCs w:val="22"/>
          <w:lang w:val="fr-FR"/>
        </w:rPr>
        <w:t>compte-rendus</w:t>
      </w:r>
      <w:proofErr w:type="spellEnd"/>
      <w:r w:rsidRPr="006124BC">
        <w:rPr>
          <w:rFonts w:cs="Arial"/>
          <w:sz w:val="22"/>
          <w:szCs w:val="22"/>
          <w:lang w:val="fr-FR"/>
        </w:rPr>
        <w:t xml:space="preserve"> qui risquent de détourner l’action de la mise en </w:t>
      </w:r>
      <w:proofErr w:type="gramStart"/>
      <w:r w:rsidRPr="006124BC">
        <w:rPr>
          <w:rFonts w:cs="Arial"/>
          <w:sz w:val="22"/>
          <w:szCs w:val="22"/>
          <w:lang w:val="fr-FR"/>
        </w:rPr>
        <w:t>œuvre;</w:t>
      </w:r>
      <w:proofErr w:type="gramEnd"/>
    </w:p>
    <w:p w14:paraId="6E62B03A" w14:textId="77777777" w:rsidR="00B15943" w:rsidRPr="006124BC" w:rsidRDefault="00B15943" w:rsidP="00B15943">
      <w:pPr>
        <w:rPr>
          <w:rFonts w:cs="Arial"/>
          <w:sz w:val="22"/>
          <w:szCs w:val="22"/>
          <w:lang w:val="fr-FR"/>
        </w:rPr>
      </w:pPr>
    </w:p>
    <w:p w14:paraId="2D10235F" w14:textId="77777777" w:rsidR="00FE3F30" w:rsidRPr="006124BC" w:rsidRDefault="00FE3F30" w:rsidP="00FE3F30">
      <w:pPr>
        <w:jc w:val="center"/>
        <w:rPr>
          <w:rFonts w:cs="Arial"/>
          <w:i/>
          <w:sz w:val="22"/>
          <w:szCs w:val="22"/>
          <w:lang w:val="fr-FR"/>
        </w:rPr>
      </w:pPr>
      <w:r w:rsidRPr="006124BC">
        <w:rPr>
          <w:rFonts w:cs="Arial"/>
          <w:i/>
          <w:sz w:val="22"/>
          <w:szCs w:val="22"/>
          <w:lang w:val="fr-FR"/>
        </w:rPr>
        <w:t>La Conférence des Parties à la</w:t>
      </w:r>
    </w:p>
    <w:p w14:paraId="2FFB2271" w14:textId="77777777" w:rsidR="00591DCA" w:rsidRDefault="00FE3F30" w:rsidP="00591DCA">
      <w:pPr>
        <w:rPr>
          <w:rFonts w:cs="Arial"/>
          <w:sz w:val="22"/>
          <w:szCs w:val="22"/>
          <w:lang w:val="fr-FR"/>
        </w:rPr>
      </w:pPr>
      <w:r w:rsidRPr="006124BC">
        <w:rPr>
          <w:rFonts w:cs="Arial"/>
          <w:i/>
          <w:sz w:val="22"/>
          <w:szCs w:val="22"/>
          <w:lang w:val="fr-FR"/>
        </w:rPr>
        <w:t>Convention sur la conservation des espèces migratrices appartenant à la faune sauvage</w:t>
      </w:r>
      <w:r w:rsidRPr="006124BC" w:rsidDel="00FE3F30">
        <w:rPr>
          <w:rFonts w:cs="Arial"/>
          <w:i/>
          <w:sz w:val="22"/>
          <w:szCs w:val="22"/>
          <w:lang w:val="fr-FR"/>
        </w:rPr>
        <w:t xml:space="preserve"> </w:t>
      </w:r>
    </w:p>
    <w:p w14:paraId="6FACEE2A" w14:textId="77777777" w:rsidR="00591DCA" w:rsidRDefault="00591DCA" w:rsidP="00591DCA">
      <w:pPr>
        <w:rPr>
          <w:rFonts w:cs="Arial"/>
          <w:sz w:val="22"/>
          <w:szCs w:val="22"/>
          <w:lang w:val="fr-FR"/>
        </w:rPr>
      </w:pPr>
    </w:p>
    <w:p w14:paraId="24C5ACCB" w14:textId="099336E0" w:rsidR="00B15943" w:rsidRPr="00591DCA" w:rsidRDefault="00FE3F30" w:rsidP="00591DCA">
      <w:pPr>
        <w:rPr>
          <w:rFonts w:cs="Arial"/>
          <w:i/>
          <w:sz w:val="22"/>
          <w:szCs w:val="22"/>
          <w:lang w:val="fr-FR" w:eastAsia="en-GB"/>
        </w:rPr>
      </w:pPr>
      <w:r w:rsidRPr="00591DCA">
        <w:rPr>
          <w:rFonts w:cs="Arial"/>
          <w:i/>
          <w:sz w:val="22"/>
          <w:szCs w:val="22"/>
          <w:lang w:val="fr-FR" w:eastAsia="en-GB"/>
        </w:rPr>
        <w:t xml:space="preserve">Plan stratégique pour les espèces migratrices 2015-2023 </w:t>
      </w:r>
    </w:p>
    <w:p w14:paraId="4E82A08B" w14:textId="77777777" w:rsidR="00B15943" w:rsidRPr="006124BC" w:rsidRDefault="00B15943" w:rsidP="0076556E">
      <w:pPr>
        <w:pStyle w:val="ListParagraph"/>
        <w:widowControl w:val="0"/>
        <w:ind w:left="0"/>
        <w:jc w:val="both"/>
        <w:rPr>
          <w:rFonts w:ascii="Arial" w:hAnsi="Arial" w:cs="Arial"/>
          <w:i/>
          <w:lang w:val="fr-FR" w:eastAsia="en-GB"/>
        </w:rPr>
      </w:pPr>
    </w:p>
    <w:p w14:paraId="101BD8EC" w14:textId="5F17902D" w:rsidR="00FE3F30" w:rsidRPr="006124BC" w:rsidRDefault="00FE3F30" w:rsidP="0076556E">
      <w:pPr>
        <w:pStyle w:val="ListParagraph"/>
        <w:numPr>
          <w:ilvl w:val="0"/>
          <w:numId w:val="2"/>
        </w:numPr>
        <w:jc w:val="both"/>
        <w:rPr>
          <w:rFonts w:ascii="Arial" w:hAnsi="Arial" w:cs="Arial"/>
          <w:lang w:val="fr-FR" w:eastAsia="en-GB"/>
        </w:rPr>
      </w:pPr>
      <w:r w:rsidRPr="006124BC">
        <w:rPr>
          <w:rFonts w:ascii="Arial" w:hAnsi="Arial" w:cs="Arial"/>
          <w:i/>
          <w:lang w:val="fr-FR" w:eastAsia="en-GB"/>
        </w:rPr>
        <w:t xml:space="preserve">Adopte </w:t>
      </w:r>
      <w:r w:rsidRPr="006124BC">
        <w:rPr>
          <w:rFonts w:ascii="Arial" w:hAnsi="Arial" w:cs="Arial"/>
          <w:lang w:val="fr-FR" w:eastAsia="en-GB"/>
        </w:rPr>
        <w:t>le Plan stratégique pour les espèces migrat</w:t>
      </w:r>
      <w:r w:rsidR="00591DCA">
        <w:rPr>
          <w:rFonts w:ascii="Arial" w:hAnsi="Arial" w:cs="Arial"/>
          <w:lang w:val="fr-FR" w:eastAsia="en-GB"/>
        </w:rPr>
        <w:t>rices 2015-2023 qui figure à l’a</w:t>
      </w:r>
      <w:r w:rsidRPr="006124BC">
        <w:rPr>
          <w:rFonts w:ascii="Arial" w:hAnsi="Arial" w:cs="Arial"/>
          <w:lang w:val="fr-FR" w:eastAsia="en-GB"/>
        </w:rPr>
        <w:t>nnexe 1 de la présente résolution ;</w:t>
      </w:r>
    </w:p>
    <w:p w14:paraId="6907DFDD" w14:textId="77777777" w:rsidR="00B15943" w:rsidRPr="006124BC" w:rsidRDefault="00B15943" w:rsidP="0076556E">
      <w:pPr>
        <w:jc w:val="both"/>
        <w:rPr>
          <w:rFonts w:cs="Arial"/>
          <w:sz w:val="22"/>
          <w:szCs w:val="22"/>
          <w:lang w:val="fr-FR"/>
        </w:rPr>
      </w:pPr>
    </w:p>
    <w:p w14:paraId="6E240A1B" w14:textId="77777777" w:rsidR="00B15943" w:rsidRPr="00C35AE3" w:rsidRDefault="00B15943" w:rsidP="0076556E">
      <w:pPr>
        <w:pStyle w:val="ListParagraph"/>
        <w:widowControl w:val="0"/>
        <w:numPr>
          <w:ilvl w:val="0"/>
          <w:numId w:val="2"/>
        </w:numPr>
        <w:contextualSpacing w:val="0"/>
        <w:jc w:val="both"/>
        <w:rPr>
          <w:rFonts w:ascii="Arial" w:hAnsi="Arial" w:cs="Arial"/>
          <w:lang w:val="fr-FR" w:eastAsia="en-GB"/>
        </w:rPr>
      </w:pPr>
      <w:proofErr w:type="spellStart"/>
      <w:r w:rsidRPr="00C35AE3">
        <w:rPr>
          <w:rFonts w:ascii="Arial" w:hAnsi="Arial" w:cs="Arial"/>
          <w:i/>
          <w:strike/>
          <w:lang w:val="fr-FR" w:eastAsia="en-GB"/>
        </w:rPr>
        <w:t>Requests</w:t>
      </w:r>
      <w:proofErr w:type="spellEnd"/>
      <w:r w:rsidRPr="00C35AE3">
        <w:rPr>
          <w:rFonts w:ascii="Arial" w:hAnsi="Arial" w:cs="Arial"/>
          <w:lang w:val="fr-FR" w:eastAsia="en-GB"/>
        </w:rPr>
        <w:t xml:space="preserve"> </w:t>
      </w:r>
      <w:r w:rsidR="001D40C8" w:rsidRPr="00C35AE3">
        <w:rPr>
          <w:rFonts w:ascii="Arial" w:hAnsi="Arial"/>
          <w:i/>
          <w:u w:val="single"/>
        </w:rPr>
        <w:t>Réitère</w:t>
      </w:r>
      <w:r w:rsidR="001D40C8" w:rsidRPr="00C35AE3">
        <w:rPr>
          <w:rFonts w:ascii="Arial" w:hAnsi="Arial"/>
          <w:u w:val="single"/>
        </w:rPr>
        <w:t xml:space="preserve"> sa demande</w:t>
      </w:r>
      <w:r w:rsidR="001D40C8" w:rsidRPr="00C35AE3">
        <w:rPr>
          <w:rFonts w:ascii="Arial" w:hAnsi="Arial"/>
        </w:rPr>
        <w:t xml:space="preserve"> au Secrétariat afin qu’il intègre les buts et les objectifs du Plan stratégique dans les programmes de travail au titre de la Convention et prenne des mesures pour sensibiliser au Plan ;</w:t>
      </w:r>
    </w:p>
    <w:p w14:paraId="77A4B26E" w14:textId="77777777" w:rsidR="00B15943" w:rsidRPr="001D40C8" w:rsidRDefault="00B15943" w:rsidP="0076556E">
      <w:pPr>
        <w:jc w:val="both"/>
        <w:rPr>
          <w:rFonts w:cs="Arial"/>
          <w:sz w:val="22"/>
          <w:szCs w:val="22"/>
          <w:lang w:val="fr-FR"/>
        </w:rPr>
      </w:pPr>
      <w:r w:rsidRPr="001D40C8">
        <w:rPr>
          <w:rFonts w:cs="Arial"/>
          <w:sz w:val="22"/>
          <w:szCs w:val="22"/>
          <w:lang w:val="fr-FR"/>
        </w:rPr>
        <w:t xml:space="preserve"> </w:t>
      </w:r>
    </w:p>
    <w:p w14:paraId="428E120F" w14:textId="77777777" w:rsidR="00FE3F30" w:rsidRPr="006124BC" w:rsidRDefault="00FE3F30" w:rsidP="0076556E">
      <w:pPr>
        <w:pStyle w:val="ListParagraph"/>
        <w:numPr>
          <w:ilvl w:val="0"/>
          <w:numId w:val="2"/>
        </w:numPr>
        <w:jc w:val="both"/>
        <w:rPr>
          <w:rFonts w:ascii="Arial" w:hAnsi="Arial" w:cs="Arial"/>
          <w:lang w:val="fr-FR" w:eastAsia="en-GB"/>
        </w:rPr>
      </w:pPr>
      <w:r w:rsidRPr="006124BC">
        <w:rPr>
          <w:rFonts w:ascii="Arial" w:hAnsi="Arial" w:cs="Arial"/>
          <w:i/>
          <w:lang w:val="fr-FR" w:eastAsia="en-GB"/>
        </w:rPr>
        <w:t xml:space="preserve">Prie instamment </w:t>
      </w:r>
      <w:r w:rsidRPr="006124BC">
        <w:rPr>
          <w:rFonts w:ascii="Arial" w:hAnsi="Arial" w:cs="Arial"/>
          <w:lang w:val="fr-FR" w:eastAsia="en-GB"/>
        </w:rPr>
        <w:t>les Parties et invite les autres États, les instruments de la Famille CMS, les organes multilatéraux, les organisations intergouvernementales et les organisations de la société civile, qui travaillent à la conservation des espèces migratrices, à intégrer les buts et objectifs du Plan stratégique dans les instruments de politique et de planification pertinents ; et à prendre également des mesures pour faire connaître ce Plan ;</w:t>
      </w:r>
    </w:p>
    <w:p w14:paraId="28168B99" w14:textId="77777777" w:rsidR="00B15943" w:rsidRPr="006124BC" w:rsidRDefault="00B15943" w:rsidP="0076556E">
      <w:pPr>
        <w:jc w:val="both"/>
        <w:rPr>
          <w:rFonts w:cs="Arial"/>
          <w:sz w:val="22"/>
          <w:szCs w:val="22"/>
          <w:lang w:val="fr-FR"/>
        </w:rPr>
      </w:pPr>
    </w:p>
    <w:p w14:paraId="03F62947" w14:textId="77777777" w:rsidR="00B15943" w:rsidRPr="00C35AE3" w:rsidRDefault="001D40C8" w:rsidP="0076556E">
      <w:pPr>
        <w:pStyle w:val="ListParagraph"/>
        <w:widowControl w:val="0"/>
        <w:numPr>
          <w:ilvl w:val="0"/>
          <w:numId w:val="2"/>
        </w:numPr>
        <w:contextualSpacing w:val="0"/>
        <w:jc w:val="both"/>
        <w:rPr>
          <w:rFonts w:ascii="Arial" w:hAnsi="Arial" w:cs="Arial"/>
          <w:lang w:val="fr-FR" w:eastAsia="en-GB"/>
        </w:rPr>
      </w:pPr>
      <w:r w:rsidRPr="00C35AE3">
        <w:rPr>
          <w:rFonts w:ascii="Arial" w:hAnsi="Arial"/>
          <w:i/>
        </w:rPr>
        <w:t>Invite</w:t>
      </w:r>
      <w:r w:rsidRPr="00C35AE3">
        <w:rPr>
          <w:rFonts w:ascii="Arial" w:hAnsi="Arial"/>
        </w:rPr>
        <w:t xml:space="preserve"> </w:t>
      </w:r>
      <w:r w:rsidRPr="00C35AE3">
        <w:rPr>
          <w:rFonts w:ascii="Arial" w:hAnsi="Arial"/>
          <w:u w:val="single"/>
        </w:rPr>
        <w:t>les</w:t>
      </w:r>
      <w:r w:rsidRPr="00C35AE3">
        <w:rPr>
          <w:rFonts w:ascii="Arial" w:hAnsi="Arial"/>
        </w:rPr>
        <w:t xml:space="preserve"> organes décisionnaires des instruments de la CMS </w:t>
      </w:r>
      <w:r w:rsidRPr="00C35AE3">
        <w:rPr>
          <w:rFonts w:ascii="Arial" w:hAnsi="Arial"/>
          <w:u w:val="single"/>
        </w:rPr>
        <w:t>qui ne l’ont pas encore fait</w:t>
      </w:r>
      <w:r w:rsidRPr="00C35AE3">
        <w:rPr>
          <w:rFonts w:ascii="Arial" w:hAnsi="Arial"/>
        </w:rPr>
        <w:t xml:space="preserve"> à envisager l’adoption du Plan stratégique lors de leurs prochaines réunions ;</w:t>
      </w:r>
    </w:p>
    <w:p w14:paraId="159A4138" w14:textId="77777777" w:rsidR="00B15943" w:rsidRPr="001D40C8" w:rsidRDefault="00B15943" w:rsidP="00B15943">
      <w:pPr>
        <w:pStyle w:val="ListParagraph"/>
        <w:widowControl w:val="0"/>
        <w:ind w:left="0"/>
        <w:jc w:val="both"/>
        <w:rPr>
          <w:rFonts w:ascii="Arial" w:hAnsi="Arial" w:cs="Arial"/>
          <w:lang w:val="fr-FR" w:eastAsia="en-GB"/>
        </w:rPr>
      </w:pPr>
    </w:p>
    <w:p w14:paraId="59C4AC34" w14:textId="4BFD093B" w:rsidR="00B15943" w:rsidRPr="006124BC" w:rsidRDefault="005D7647" w:rsidP="00B15943">
      <w:pPr>
        <w:pStyle w:val="ListParagraph"/>
        <w:widowControl w:val="0"/>
        <w:ind w:hanging="720"/>
        <w:jc w:val="both"/>
        <w:rPr>
          <w:rFonts w:ascii="Arial" w:hAnsi="Arial" w:cs="Arial"/>
          <w:i/>
          <w:lang w:val="fr-FR" w:eastAsia="en-GB"/>
        </w:rPr>
      </w:pPr>
      <w:r w:rsidRPr="006124BC">
        <w:rPr>
          <w:rFonts w:ascii="Arial" w:hAnsi="Arial" w:cs="Arial"/>
          <w:i/>
          <w:lang w:val="fr-FR" w:eastAsia="en-GB"/>
        </w:rPr>
        <w:t xml:space="preserve">Sous-objectifs à l’appui des objectifs du Plan stratégique </w:t>
      </w:r>
    </w:p>
    <w:p w14:paraId="690F1CD5" w14:textId="77777777" w:rsidR="00B15943" w:rsidRPr="006124BC" w:rsidRDefault="00B15943" w:rsidP="00B15943">
      <w:pPr>
        <w:pStyle w:val="ListParagraph"/>
        <w:widowControl w:val="0"/>
        <w:ind w:left="0"/>
        <w:jc w:val="both"/>
        <w:rPr>
          <w:rFonts w:ascii="Arial" w:hAnsi="Arial" w:cs="Arial"/>
          <w:lang w:val="fr-FR" w:eastAsia="en-GB"/>
        </w:rPr>
      </w:pPr>
    </w:p>
    <w:p w14:paraId="3099349A" w14:textId="77777777" w:rsidR="005D7647" w:rsidRPr="006124BC" w:rsidRDefault="005D7647" w:rsidP="0076556E">
      <w:pPr>
        <w:pStyle w:val="ListParagraph"/>
        <w:numPr>
          <w:ilvl w:val="0"/>
          <w:numId w:val="2"/>
        </w:numPr>
        <w:jc w:val="both"/>
        <w:rPr>
          <w:rFonts w:ascii="Arial" w:hAnsi="Arial" w:cs="Arial"/>
          <w:i/>
          <w:lang w:val="fr-FR" w:eastAsia="en-GB"/>
        </w:rPr>
      </w:pPr>
      <w:r w:rsidRPr="006124BC">
        <w:rPr>
          <w:rFonts w:ascii="Arial" w:hAnsi="Arial" w:cs="Arial"/>
          <w:i/>
          <w:lang w:val="fr-FR" w:eastAsia="en-GB"/>
        </w:rPr>
        <w:t xml:space="preserve">Encourage </w:t>
      </w:r>
      <w:r w:rsidRPr="006124BC">
        <w:rPr>
          <w:rFonts w:ascii="Arial" w:hAnsi="Arial" w:cs="Arial"/>
          <w:lang w:val="fr-FR" w:eastAsia="en-GB"/>
        </w:rPr>
        <w:t>les organes décisionnaires des instruments de la CMS, ainsi que les autres partenaires et parties prenantes travaillant pour la conservation des espèces migratrices, le cas échéant, à identifier des sous-objectifs existants ou à en développer de nouveaux pour les espèces et les questions relatives à ces instruments et organisations, afin de soutenir la réalisation des objectifs du Plan stratégique pour les espèces migratrices ; et à informer le Secrétariat de la CMS au sujet de ces sous-objectifs ;</w:t>
      </w:r>
    </w:p>
    <w:p w14:paraId="2A16CC63" w14:textId="354B79CE" w:rsidR="0076556E" w:rsidRDefault="0076556E" w:rsidP="0076556E">
      <w:pPr>
        <w:jc w:val="both"/>
        <w:rPr>
          <w:rFonts w:cs="Arial"/>
          <w:sz w:val="22"/>
          <w:szCs w:val="22"/>
          <w:lang w:val="fr-FR"/>
        </w:rPr>
      </w:pPr>
      <w:r>
        <w:rPr>
          <w:rFonts w:cs="Arial"/>
          <w:sz w:val="22"/>
          <w:szCs w:val="22"/>
          <w:lang w:val="fr-FR"/>
        </w:rPr>
        <w:br w:type="page"/>
      </w:r>
    </w:p>
    <w:p w14:paraId="2B8CA5CF" w14:textId="77777777" w:rsidR="00B15943" w:rsidRPr="006124BC" w:rsidRDefault="00B15943" w:rsidP="0076556E">
      <w:pPr>
        <w:jc w:val="both"/>
        <w:rPr>
          <w:rFonts w:cs="Arial"/>
          <w:sz w:val="22"/>
          <w:szCs w:val="22"/>
          <w:lang w:val="fr-FR"/>
        </w:rPr>
      </w:pPr>
    </w:p>
    <w:p w14:paraId="47ABACB5" w14:textId="70BAA749" w:rsidR="001D40C8" w:rsidRPr="00C35AE3" w:rsidRDefault="005D7647" w:rsidP="0076556E">
      <w:pPr>
        <w:pStyle w:val="ListParagraph"/>
        <w:widowControl w:val="0"/>
        <w:numPr>
          <w:ilvl w:val="0"/>
          <w:numId w:val="2"/>
        </w:numPr>
        <w:contextualSpacing w:val="0"/>
        <w:jc w:val="both"/>
        <w:rPr>
          <w:rFonts w:ascii="Arial" w:hAnsi="Arial" w:cs="Arial"/>
          <w:color w:val="000000"/>
        </w:rPr>
      </w:pPr>
      <w:r w:rsidRPr="005D7647">
        <w:t xml:space="preserve"> </w:t>
      </w:r>
      <w:r w:rsidRPr="006124BC">
        <w:rPr>
          <w:rFonts w:ascii="Arial" w:hAnsi="Arial" w:cs="Arial"/>
          <w:i/>
          <w:lang w:val="fr-FR"/>
        </w:rPr>
        <w:t>Prie</w:t>
      </w:r>
      <w:r w:rsidRPr="006124BC">
        <w:rPr>
          <w:rFonts w:ascii="Arial" w:hAnsi="Arial" w:cs="Arial"/>
          <w:lang w:val="fr-FR"/>
        </w:rPr>
        <w:t xml:space="preserve"> le Secrétariat de tenir un registre des sous-objectifs conçu en tant que document évolutif pouvant être complété et actualisé par les contributions des instruments de la Famille CMS et d’autres partenaires et parties prenantes qui souhaitent y participer</w:t>
      </w:r>
      <w:proofErr w:type="gramStart"/>
      <w:r w:rsidRPr="006124BC">
        <w:rPr>
          <w:rFonts w:ascii="Arial" w:hAnsi="Arial" w:cs="Arial"/>
          <w:lang w:val="fr-FR"/>
        </w:rPr>
        <w:t xml:space="preserve"> ;</w:t>
      </w:r>
      <w:r w:rsidR="001D40C8" w:rsidRPr="00C35AE3">
        <w:rPr>
          <w:rFonts w:ascii="Arial" w:hAnsi="Arial"/>
        </w:rPr>
        <w:t>et</w:t>
      </w:r>
      <w:proofErr w:type="gramEnd"/>
      <w:r w:rsidR="001D40C8" w:rsidRPr="00C35AE3">
        <w:rPr>
          <w:rFonts w:ascii="Arial" w:hAnsi="Arial"/>
        </w:rPr>
        <w:t xml:space="preserve"> à fournir </w:t>
      </w:r>
      <w:r w:rsidR="001D40C8" w:rsidRPr="00C35AE3">
        <w:rPr>
          <w:rFonts w:ascii="Arial" w:hAnsi="Arial"/>
          <w:u w:val="single"/>
        </w:rPr>
        <w:t>un rapport sur le</w:t>
      </w:r>
      <w:r w:rsidR="001D40C8" w:rsidRPr="00C35AE3">
        <w:rPr>
          <w:rFonts w:ascii="Arial" w:hAnsi="Arial"/>
        </w:rPr>
        <w:t xml:space="preserve"> </w:t>
      </w:r>
      <w:r w:rsidR="001D40C8" w:rsidRPr="00C35AE3">
        <w:rPr>
          <w:rFonts w:ascii="Arial" w:hAnsi="Arial"/>
          <w:strike/>
        </w:rPr>
        <w:t>des mises à jour sur les ajouts effectués dans le</w:t>
      </w:r>
      <w:r w:rsidR="001D40C8" w:rsidRPr="00C35AE3">
        <w:rPr>
          <w:rFonts w:ascii="Arial" w:hAnsi="Arial"/>
        </w:rPr>
        <w:t xml:space="preserve"> registre lors des futures sessions de la Conférence des Parties pour la durée du Plan stratégique ;</w:t>
      </w:r>
    </w:p>
    <w:p w14:paraId="200D852E" w14:textId="77777777" w:rsidR="00B15943" w:rsidRPr="006124BC" w:rsidRDefault="00B15943" w:rsidP="0076556E">
      <w:pPr>
        <w:jc w:val="both"/>
        <w:rPr>
          <w:rFonts w:cs="Arial"/>
          <w:sz w:val="22"/>
          <w:szCs w:val="22"/>
          <w:lang w:val="fr-FR"/>
        </w:rPr>
      </w:pPr>
    </w:p>
    <w:p w14:paraId="3DD5227A" w14:textId="32B0D34D" w:rsidR="00486243" w:rsidRPr="003C5BAF" w:rsidRDefault="005D7647" w:rsidP="0076556E">
      <w:pPr>
        <w:jc w:val="both"/>
        <w:rPr>
          <w:rFonts w:cs="Arial"/>
          <w:i/>
          <w:sz w:val="22"/>
          <w:szCs w:val="22"/>
          <w:lang w:val="fr-FR" w:eastAsia="en-GB"/>
        </w:rPr>
      </w:pPr>
      <w:r w:rsidRPr="003C5BAF">
        <w:rPr>
          <w:rFonts w:cs="Arial"/>
          <w:i/>
          <w:sz w:val="22"/>
          <w:szCs w:val="22"/>
          <w:lang w:val="fr-FR" w:eastAsia="en-GB"/>
        </w:rPr>
        <w:t xml:space="preserve">Indicateurs et guide d’accompagnement </w:t>
      </w:r>
    </w:p>
    <w:p w14:paraId="349871BF" w14:textId="77777777" w:rsidR="00B15943" w:rsidRPr="001D40C8" w:rsidRDefault="00B15943" w:rsidP="0076556E">
      <w:pPr>
        <w:jc w:val="both"/>
        <w:rPr>
          <w:rFonts w:cs="Arial"/>
          <w:sz w:val="22"/>
          <w:szCs w:val="22"/>
          <w:lang w:val="fr-FR"/>
        </w:rPr>
      </w:pPr>
    </w:p>
    <w:p w14:paraId="5750748B" w14:textId="4E736CC2" w:rsidR="00B15943" w:rsidRPr="006124BC" w:rsidRDefault="005D7647" w:rsidP="0076556E">
      <w:pPr>
        <w:pStyle w:val="ListParagraph"/>
        <w:widowControl w:val="0"/>
        <w:numPr>
          <w:ilvl w:val="0"/>
          <w:numId w:val="2"/>
        </w:numPr>
        <w:contextualSpacing w:val="0"/>
        <w:jc w:val="both"/>
        <w:rPr>
          <w:rFonts w:ascii="Arial" w:hAnsi="Arial" w:cs="Arial"/>
          <w:lang w:val="fr-FR" w:eastAsia="en-GB"/>
        </w:rPr>
      </w:pPr>
      <w:r w:rsidRPr="006124BC">
        <w:rPr>
          <w:rFonts w:ascii="Arial" w:hAnsi="Arial" w:cs="Arial"/>
          <w:i/>
          <w:strike/>
          <w:lang w:val="fr-FR" w:eastAsia="en-GB"/>
        </w:rPr>
        <w:t>Prend note</w:t>
      </w:r>
      <w:r w:rsidRPr="006124BC">
        <w:rPr>
          <w:rFonts w:ascii="Arial" w:hAnsi="Arial" w:cs="Arial"/>
          <w:strike/>
          <w:lang w:val="fr-FR" w:eastAsia="en-GB"/>
        </w:rPr>
        <w:t xml:space="preserve"> des propositions d’indicateurs fondamentaux et de trame du guide d’accompagnement, telles que présentées dans le document PNUE/CMS/Conf.11/Doc.15.2 ;</w:t>
      </w:r>
    </w:p>
    <w:p w14:paraId="4493CF43" w14:textId="77777777" w:rsidR="00B15943" w:rsidRPr="006124BC" w:rsidRDefault="00B15943" w:rsidP="0076556E">
      <w:pPr>
        <w:pStyle w:val="ListParagraph"/>
        <w:widowControl w:val="0"/>
        <w:ind w:left="0"/>
        <w:contextualSpacing w:val="0"/>
        <w:jc w:val="both"/>
        <w:rPr>
          <w:rFonts w:ascii="Arial" w:hAnsi="Arial" w:cs="Arial"/>
          <w:lang w:val="fr-FR" w:eastAsia="en-GB"/>
        </w:rPr>
      </w:pPr>
    </w:p>
    <w:p w14:paraId="75832437" w14:textId="77777777" w:rsidR="001D40C8" w:rsidRDefault="00B15943" w:rsidP="0076556E">
      <w:pPr>
        <w:pStyle w:val="ListParagraph"/>
        <w:widowControl w:val="0"/>
        <w:ind w:left="360" w:hanging="360"/>
        <w:contextualSpacing w:val="0"/>
        <w:jc w:val="both"/>
        <w:rPr>
          <w:rFonts w:ascii="Arial" w:hAnsi="Arial" w:cs="Arial"/>
          <w:u w:val="single"/>
        </w:rPr>
      </w:pPr>
      <w:r w:rsidRPr="00C35AE3">
        <w:rPr>
          <w:rFonts w:ascii="Arial" w:hAnsi="Arial" w:cs="Arial"/>
          <w:u w:val="single"/>
          <w:lang w:val="fr-FR" w:eastAsia="en-GB"/>
        </w:rPr>
        <w:t>7 bis.</w:t>
      </w:r>
      <w:r w:rsidRPr="00C35AE3">
        <w:rPr>
          <w:rFonts w:ascii="Arial" w:hAnsi="Arial" w:cs="Arial"/>
          <w:u w:val="single"/>
          <w:lang w:val="fr-FR" w:eastAsia="en-GB"/>
        </w:rPr>
        <w:tab/>
      </w:r>
      <w:r w:rsidR="001D40C8" w:rsidRPr="00C35AE3">
        <w:rPr>
          <w:rFonts w:ascii="Arial" w:hAnsi="Arial"/>
          <w:i/>
          <w:u w:val="single"/>
        </w:rPr>
        <w:t>Adopte</w:t>
      </w:r>
      <w:r w:rsidR="001D40C8" w:rsidRPr="00C35AE3">
        <w:rPr>
          <w:rFonts w:ascii="Arial" w:hAnsi="Arial"/>
          <w:u w:val="single"/>
        </w:rPr>
        <w:t xml:space="preserve"> la liste d’indicateurs figurant à l’annexe B du Plan stratégique pour appuyer le suivi des progrès accomplis vers la réalisation des 16 objectifs du Plan stratégique ;</w:t>
      </w:r>
    </w:p>
    <w:p w14:paraId="43113AE1" w14:textId="77777777" w:rsidR="00B15943" w:rsidRPr="001D40C8" w:rsidRDefault="00B15943" w:rsidP="0076556E">
      <w:pPr>
        <w:jc w:val="both"/>
        <w:rPr>
          <w:rFonts w:cs="Arial"/>
          <w:u w:val="single"/>
          <w:lang w:val="fr-FR" w:eastAsia="en-GB"/>
        </w:rPr>
      </w:pPr>
    </w:p>
    <w:p w14:paraId="76B1C5A2" w14:textId="77777777" w:rsidR="005D7647" w:rsidRPr="00942661" w:rsidRDefault="005D7647" w:rsidP="0076556E">
      <w:pPr>
        <w:pStyle w:val="ListParagraph"/>
        <w:ind w:left="360" w:hanging="360"/>
        <w:jc w:val="both"/>
        <w:rPr>
          <w:rFonts w:ascii="Arial" w:hAnsi="Arial" w:cs="Arial"/>
          <w:strike/>
          <w:u w:val="single"/>
          <w:lang w:val="fr-FR" w:eastAsia="en-GB"/>
        </w:rPr>
      </w:pPr>
      <w:r w:rsidRPr="00942661">
        <w:rPr>
          <w:rFonts w:ascii="Arial" w:hAnsi="Arial" w:cs="Arial"/>
          <w:strike/>
          <w:u w:val="single"/>
          <w:lang w:val="fr-FR" w:eastAsia="en-GB"/>
        </w:rPr>
        <w:t>8.</w:t>
      </w:r>
      <w:r w:rsidRPr="00942661">
        <w:rPr>
          <w:rFonts w:ascii="Arial" w:hAnsi="Arial" w:cs="Arial"/>
          <w:strike/>
          <w:u w:val="single"/>
          <w:lang w:val="fr-FR" w:eastAsia="en-GB"/>
        </w:rPr>
        <w:tab/>
      </w:r>
      <w:r w:rsidRPr="00942661">
        <w:rPr>
          <w:rFonts w:ascii="Arial" w:hAnsi="Arial" w:cs="Arial"/>
          <w:i/>
          <w:strike/>
          <w:u w:val="single"/>
          <w:lang w:val="fr-FR" w:eastAsia="en-GB"/>
        </w:rPr>
        <w:t>Confirme</w:t>
      </w:r>
      <w:r w:rsidRPr="00942661">
        <w:rPr>
          <w:rFonts w:ascii="Arial" w:hAnsi="Arial" w:cs="Arial"/>
          <w:strike/>
          <w:u w:val="single"/>
          <w:lang w:val="fr-FR" w:eastAsia="en-GB"/>
        </w:rPr>
        <w:t xml:space="preserve"> la nécessité de travaux intersessions supplémentaires pour renforcer l’ensemble des outils de soutien à la mise en œuvre du Plan stratégique, incluant :</w:t>
      </w:r>
    </w:p>
    <w:p w14:paraId="1CF7BC55" w14:textId="77777777" w:rsidR="005D7647" w:rsidRPr="00942661" w:rsidRDefault="005D7647" w:rsidP="0076556E">
      <w:pPr>
        <w:pStyle w:val="ListParagraph"/>
        <w:ind w:left="360" w:hanging="360"/>
        <w:jc w:val="both"/>
        <w:rPr>
          <w:rFonts w:ascii="Arial" w:hAnsi="Arial" w:cs="Arial"/>
          <w:strike/>
          <w:u w:val="single"/>
          <w:lang w:val="fr-FR" w:eastAsia="en-GB"/>
        </w:rPr>
      </w:pPr>
    </w:p>
    <w:p w14:paraId="6700D2AE" w14:textId="77777777" w:rsidR="005D7647" w:rsidRPr="00942661" w:rsidRDefault="005D7647" w:rsidP="0076556E">
      <w:pPr>
        <w:pStyle w:val="ListParagraph"/>
        <w:ind w:left="360" w:hanging="360"/>
        <w:jc w:val="both"/>
        <w:rPr>
          <w:rFonts w:ascii="Arial" w:hAnsi="Arial" w:cs="Arial"/>
          <w:strike/>
          <w:u w:val="single"/>
          <w:lang w:val="fr-FR" w:eastAsia="en-GB"/>
        </w:rPr>
      </w:pPr>
      <w:r w:rsidRPr="00942661">
        <w:rPr>
          <w:rFonts w:ascii="Arial" w:hAnsi="Arial" w:cs="Arial"/>
          <w:strike/>
          <w:u w:val="single"/>
          <w:lang w:val="fr-FR" w:eastAsia="en-GB"/>
        </w:rPr>
        <w:t>a)</w:t>
      </w:r>
      <w:r w:rsidRPr="00942661">
        <w:rPr>
          <w:rFonts w:ascii="Arial" w:hAnsi="Arial" w:cs="Arial"/>
          <w:strike/>
          <w:u w:val="single"/>
          <w:lang w:val="fr-FR" w:eastAsia="en-GB"/>
        </w:rPr>
        <w:tab/>
        <w:t xml:space="preserve">les indicateurs du Plan stratégique pour les espèces migratrices, reprenant autant que possible les travaux existants tels que ceux menés au titre du Partenariat mondial pour les indicateurs de biodiversité ; et </w:t>
      </w:r>
    </w:p>
    <w:p w14:paraId="259F5A31" w14:textId="77777777" w:rsidR="005D7647" w:rsidRPr="00942661" w:rsidRDefault="005D7647" w:rsidP="0076556E">
      <w:pPr>
        <w:pStyle w:val="ListParagraph"/>
        <w:ind w:left="360" w:hanging="360"/>
        <w:jc w:val="both"/>
        <w:rPr>
          <w:rFonts w:ascii="Arial" w:hAnsi="Arial" w:cs="Arial"/>
          <w:strike/>
          <w:u w:val="single"/>
          <w:lang w:val="fr-FR" w:eastAsia="en-GB"/>
        </w:rPr>
      </w:pPr>
    </w:p>
    <w:p w14:paraId="070CAEF8" w14:textId="6D53E2BD" w:rsidR="00F86FB7" w:rsidRPr="00942661" w:rsidRDefault="005D7647" w:rsidP="0076556E">
      <w:pPr>
        <w:pStyle w:val="ListParagraph"/>
        <w:widowControl w:val="0"/>
        <w:ind w:left="360" w:hanging="360"/>
        <w:contextualSpacing w:val="0"/>
        <w:jc w:val="both"/>
        <w:rPr>
          <w:rFonts w:ascii="Arial" w:hAnsi="Arial" w:cs="Arial"/>
          <w:strike/>
          <w:u w:val="single"/>
          <w:lang w:val="fr-FR" w:eastAsia="en-GB"/>
        </w:rPr>
      </w:pPr>
      <w:r w:rsidRPr="00942661">
        <w:rPr>
          <w:rFonts w:ascii="Arial" w:hAnsi="Arial" w:cs="Arial"/>
          <w:strike/>
          <w:u w:val="single"/>
          <w:lang w:val="fr-FR" w:eastAsia="en-GB"/>
        </w:rPr>
        <w:t>b)</w:t>
      </w:r>
      <w:r w:rsidRPr="00942661">
        <w:rPr>
          <w:rFonts w:ascii="Arial" w:hAnsi="Arial" w:cs="Arial"/>
          <w:strike/>
          <w:u w:val="single"/>
          <w:lang w:val="fr-FR" w:eastAsia="en-GB"/>
        </w:rPr>
        <w:tab/>
        <w:t>le guide d’accompagnement de la mise en œuvre du nouveau Plan stratégique, basé sur les outils disponibles, visant à fournir des orientations sur la mise en œuvre du Plan ;</w:t>
      </w:r>
    </w:p>
    <w:p w14:paraId="212D592E" w14:textId="77777777" w:rsidR="00B15943" w:rsidRPr="006124BC" w:rsidRDefault="00B15943" w:rsidP="0076556E">
      <w:pPr>
        <w:jc w:val="both"/>
        <w:rPr>
          <w:rFonts w:cs="Arial"/>
          <w:sz w:val="22"/>
          <w:szCs w:val="22"/>
          <w:lang w:val="fr-FR"/>
        </w:rPr>
      </w:pPr>
    </w:p>
    <w:p w14:paraId="63C2F0EE" w14:textId="77777777" w:rsidR="001D40C8" w:rsidRPr="00C35AE3" w:rsidRDefault="00B15943" w:rsidP="0076556E">
      <w:pPr>
        <w:ind w:left="360" w:hanging="360"/>
        <w:jc w:val="both"/>
        <w:rPr>
          <w:rFonts w:cs="Arial"/>
          <w:sz w:val="22"/>
          <w:szCs w:val="22"/>
          <w:u w:val="single"/>
          <w:lang w:val="fr-FR"/>
        </w:rPr>
      </w:pPr>
      <w:r w:rsidRPr="00C35AE3">
        <w:rPr>
          <w:rFonts w:cs="Arial"/>
          <w:sz w:val="22"/>
          <w:szCs w:val="22"/>
          <w:u w:val="single"/>
          <w:lang w:val="fr-FR"/>
        </w:rPr>
        <w:t>8 bis.</w:t>
      </w:r>
      <w:r w:rsidRPr="00C35AE3">
        <w:rPr>
          <w:rFonts w:cs="Arial"/>
          <w:sz w:val="22"/>
          <w:szCs w:val="22"/>
          <w:u w:val="single"/>
          <w:lang w:val="fr-FR"/>
        </w:rPr>
        <w:tab/>
      </w:r>
      <w:r w:rsidR="001D40C8" w:rsidRPr="00C35AE3">
        <w:rPr>
          <w:i/>
          <w:sz w:val="22"/>
          <w:u w:val="single"/>
          <w:lang w:val="fr-FR"/>
        </w:rPr>
        <w:t>Approuve</w:t>
      </w:r>
      <w:r w:rsidR="001D40C8" w:rsidRPr="00C35AE3">
        <w:rPr>
          <w:sz w:val="22"/>
          <w:u w:val="single"/>
          <w:lang w:val="fr-FR"/>
        </w:rPr>
        <w:t xml:space="preserve"> l’approche adoptée pour présenter le Guide d’accompagnement sous la forme d’une ressource évolutive disponible sur le site Web de la CMS, tel que décrit dans le document UNEP/CMS/COP12/Doc.15, </w:t>
      </w:r>
      <w:r w:rsidR="001D40C8" w:rsidRPr="00C35AE3">
        <w:rPr>
          <w:i/>
          <w:sz w:val="22"/>
          <w:u w:val="single"/>
          <w:lang w:val="fr-FR"/>
        </w:rPr>
        <w:t>prie instamment</w:t>
      </w:r>
      <w:r w:rsidR="001D40C8" w:rsidRPr="00C35AE3">
        <w:rPr>
          <w:sz w:val="22"/>
          <w:u w:val="single"/>
          <w:lang w:val="fr-FR"/>
        </w:rPr>
        <w:t xml:space="preserve"> les Parties et </w:t>
      </w:r>
      <w:r w:rsidR="001D40C8" w:rsidRPr="00C35AE3">
        <w:rPr>
          <w:i/>
          <w:sz w:val="22"/>
          <w:u w:val="single"/>
          <w:lang w:val="fr-FR"/>
        </w:rPr>
        <w:t>invite</w:t>
      </w:r>
      <w:r w:rsidR="001D40C8" w:rsidRPr="00C35AE3">
        <w:rPr>
          <w:sz w:val="22"/>
          <w:u w:val="single"/>
          <w:lang w:val="fr-FR"/>
        </w:rPr>
        <w:t xml:space="preserve"> les autres à utiliser pleinement le Guide d’accompagnement pour soutenir leur mise en œuvre du Plan stratégique, et </w:t>
      </w:r>
      <w:r w:rsidR="001D40C8" w:rsidRPr="00C35AE3">
        <w:rPr>
          <w:i/>
          <w:sz w:val="22"/>
          <w:u w:val="single"/>
          <w:lang w:val="fr-FR"/>
        </w:rPr>
        <w:t>sollicite</w:t>
      </w:r>
      <w:r w:rsidR="001D40C8" w:rsidRPr="00C35AE3">
        <w:rPr>
          <w:sz w:val="22"/>
          <w:u w:val="single"/>
          <w:lang w:val="fr-FR"/>
        </w:rPr>
        <w:t xml:space="preserve"> l’apport d’informations pertinentes provenant des instruments de la Famille CMS afin d’améliorer davantage le contenu du Guide d’accompagnement ;</w:t>
      </w:r>
    </w:p>
    <w:p w14:paraId="48A1D5A5" w14:textId="77777777" w:rsidR="00AF6D58" w:rsidRDefault="00AF6D58">
      <w:pPr>
        <w:jc w:val="both"/>
        <w:rPr>
          <w:rFonts w:cs="Arial"/>
          <w:sz w:val="22"/>
          <w:szCs w:val="22"/>
          <w:highlight w:val="yellow"/>
          <w:u w:val="single"/>
          <w:lang w:val="fr-FR"/>
        </w:rPr>
      </w:pPr>
    </w:p>
    <w:p w14:paraId="75C107AC" w14:textId="77777777" w:rsidR="00B71D2A" w:rsidRPr="00C35AE3" w:rsidRDefault="009B0850" w:rsidP="00B15943">
      <w:pPr>
        <w:rPr>
          <w:rFonts w:cs="Arial"/>
          <w:sz w:val="22"/>
          <w:szCs w:val="22"/>
          <w:u w:val="single"/>
          <w:lang w:val="fr-FR"/>
        </w:rPr>
      </w:pPr>
      <w:r w:rsidRPr="00C35AE3">
        <w:rPr>
          <w:rFonts w:cs="Arial"/>
          <w:sz w:val="22"/>
          <w:szCs w:val="22"/>
          <w:u w:val="single"/>
          <w:lang w:val="fr-FR"/>
        </w:rPr>
        <w:t>8 ter</w:t>
      </w:r>
      <w:r w:rsidR="00B71D2A" w:rsidRPr="00C35AE3">
        <w:rPr>
          <w:rFonts w:cs="Arial"/>
          <w:sz w:val="22"/>
          <w:szCs w:val="22"/>
          <w:u w:val="single"/>
          <w:lang w:val="fr-FR"/>
        </w:rPr>
        <w:t>.</w:t>
      </w:r>
      <w:r w:rsidR="00B71D2A" w:rsidRPr="00C35AE3">
        <w:rPr>
          <w:rFonts w:cs="Arial"/>
          <w:sz w:val="22"/>
          <w:szCs w:val="22"/>
          <w:u w:val="single"/>
          <w:lang w:val="fr-FR"/>
        </w:rPr>
        <w:tab/>
      </w:r>
      <w:r w:rsidR="001D40C8" w:rsidRPr="0076556E">
        <w:rPr>
          <w:i/>
          <w:sz w:val="22"/>
          <w:u w:val="single"/>
          <w:lang w:val="fr-FR"/>
        </w:rPr>
        <w:t xml:space="preserve">Prie </w:t>
      </w:r>
      <w:r w:rsidR="001D40C8" w:rsidRPr="0076556E">
        <w:rPr>
          <w:sz w:val="22"/>
          <w:u w:val="single"/>
          <w:lang w:val="fr-FR"/>
        </w:rPr>
        <w:t>le Secrétariat de</w:t>
      </w:r>
    </w:p>
    <w:p w14:paraId="09505357" w14:textId="77777777" w:rsidR="00B71D2A" w:rsidRPr="00C35AE3" w:rsidRDefault="00B71D2A" w:rsidP="00B15943">
      <w:pPr>
        <w:rPr>
          <w:rFonts w:cs="Arial"/>
          <w:sz w:val="22"/>
          <w:szCs w:val="22"/>
          <w:lang w:val="fr-FR"/>
        </w:rPr>
      </w:pPr>
    </w:p>
    <w:p w14:paraId="6999DBD6" w14:textId="77777777" w:rsidR="00B71D2A" w:rsidRPr="00C35AE3" w:rsidRDefault="001D40C8" w:rsidP="0076556E">
      <w:pPr>
        <w:widowControl/>
        <w:numPr>
          <w:ilvl w:val="0"/>
          <w:numId w:val="12"/>
        </w:numPr>
        <w:ind w:left="720" w:hanging="720"/>
        <w:jc w:val="both"/>
        <w:rPr>
          <w:rFonts w:cs="Arial"/>
          <w:sz w:val="22"/>
          <w:szCs w:val="22"/>
          <w:u w:val="single"/>
          <w:lang w:val="fr-FR"/>
        </w:rPr>
      </w:pPr>
      <w:proofErr w:type="gramStart"/>
      <w:r w:rsidRPr="00C35AE3">
        <w:rPr>
          <w:color w:val="000000"/>
          <w:sz w:val="22"/>
          <w:u w:val="single"/>
          <w:lang w:val="fr-FR"/>
        </w:rPr>
        <w:t>continuer</w:t>
      </w:r>
      <w:proofErr w:type="gramEnd"/>
      <w:r w:rsidRPr="00C35AE3">
        <w:rPr>
          <w:color w:val="000000"/>
          <w:sz w:val="22"/>
          <w:u w:val="single"/>
          <w:lang w:val="fr-FR"/>
        </w:rPr>
        <w:t xml:space="preserve"> à compléter et à actualiser les Fiches d’information sur les indicateurs présentées dans le document UNEP/CMS/COP12/Inf.26, le cas échéant, afin de constituer une référence dynamique sur l’utilisation des indicateurs ; et</w:t>
      </w:r>
    </w:p>
    <w:p w14:paraId="4E939987" w14:textId="77777777" w:rsidR="00B71D2A" w:rsidRPr="00C35AE3" w:rsidRDefault="00B71D2A" w:rsidP="0076556E">
      <w:pPr>
        <w:ind w:left="709" w:hanging="709"/>
        <w:jc w:val="both"/>
        <w:rPr>
          <w:rFonts w:cs="Arial"/>
          <w:sz w:val="22"/>
          <w:szCs w:val="22"/>
          <w:u w:val="single"/>
          <w:lang w:val="fr-FR"/>
        </w:rPr>
      </w:pPr>
    </w:p>
    <w:p w14:paraId="0F75A264" w14:textId="77777777" w:rsidR="00B71D2A" w:rsidRPr="00C35AE3" w:rsidRDefault="001D40C8" w:rsidP="0076556E">
      <w:pPr>
        <w:widowControl/>
        <w:numPr>
          <w:ilvl w:val="0"/>
          <w:numId w:val="12"/>
        </w:numPr>
        <w:ind w:left="709" w:hanging="709"/>
        <w:jc w:val="both"/>
        <w:rPr>
          <w:rFonts w:cs="Arial"/>
          <w:sz w:val="22"/>
          <w:szCs w:val="22"/>
          <w:u w:val="single"/>
          <w:lang w:val="fr-FR"/>
        </w:rPr>
      </w:pPr>
      <w:proofErr w:type="gramStart"/>
      <w:r w:rsidRPr="00C35AE3">
        <w:rPr>
          <w:sz w:val="22"/>
          <w:u w:val="single"/>
          <w:lang w:val="fr-FR"/>
        </w:rPr>
        <w:t>continuer</w:t>
      </w:r>
      <w:proofErr w:type="gramEnd"/>
      <w:r w:rsidRPr="00C35AE3">
        <w:rPr>
          <w:sz w:val="22"/>
          <w:u w:val="single"/>
          <w:lang w:val="fr-FR"/>
        </w:rPr>
        <w:t xml:space="preserve"> d’améliorer le Guide d’accompagnement pour la mise en œuvre du Plan stratégique ;</w:t>
      </w:r>
    </w:p>
    <w:p w14:paraId="2EE3A1B5" w14:textId="77777777" w:rsidR="00B71D2A" w:rsidRPr="001D40C8" w:rsidRDefault="00B71D2A" w:rsidP="0076556E">
      <w:pPr>
        <w:jc w:val="both"/>
        <w:rPr>
          <w:rFonts w:cs="Arial"/>
          <w:strike/>
          <w:sz w:val="22"/>
          <w:szCs w:val="22"/>
          <w:lang w:val="fr-FR"/>
        </w:rPr>
      </w:pPr>
    </w:p>
    <w:p w14:paraId="7ABDE982" w14:textId="77777777" w:rsidR="00302B1B" w:rsidRPr="006124BC" w:rsidRDefault="00302B1B" w:rsidP="0076556E">
      <w:pPr>
        <w:jc w:val="both"/>
        <w:rPr>
          <w:rFonts w:cs="Arial"/>
          <w:i/>
          <w:strike/>
          <w:sz w:val="22"/>
          <w:szCs w:val="22"/>
          <w:lang w:val="fr-FR"/>
        </w:rPr>
      </w:pPr>
      <w:r w:rsidRPr="006124BC">
        <w:rPr>
          <w:rFonts w:cs="Arial"/>
          <w:i/>
          <w:strike/>
          <w:sz w:val="22"/>
          <w:szCs w:val="22"/>
          <w:lang w:val="fr-FR"/>
        </w:rPr>
        <w:t>Extension du mandat du Groupe de travail sur le Plan stratégique</w:t>
      </w:r>
    </w:p>
    <w:p w14:paraId="62B40AFF" w14:textId="77777777" w:rsidR="00302B1B" w:rsidRPr="006124BC" w:rsidRDefault="00302B1B" w:rsidP="0076556E">
      <w:pPr>
        <w:jc w:val="both"/>
        <w:rPr>
          <w:rFonts w:cs="Arial"/>
          <w:i/>
          <w:strike/>
          <w:sz w:val="22"/>
          <w:szCs w:val="22"/>
          <w:lang w:val="fr-FR"/>
        </w:rPr>
      </w:pPr>
    </w:p>
    <w:p w14:paraId="27B61097" w14:textId="0429FDFF" w:rsidR="003D63EA" w:rsidRPr="0061757B" w:rsidRDefault="00302B1B" w:rsidP="00591DCA">
      <w:pPr>
        <w:ind w:left="426" w:hanging="426"/>
        <w:jc w:val="both"/>
        <w:rPr>
          <w:rFonts w:cs="Arial"/>
          <w:strike/>
          <w:sz w:val="22"/>
          <w:szCs w:val="22"/>
          <w:lang w:val="fr-FR"/>
        </w:rPr>
      </w:pPr>
      <w:r w:rsidRPr="0061757B">
        <w:rPr>
          <w:rFonts w:cs="Arial"/>
          <w:i/>
          <w:strike/>
          <w:sz w:val="22"/>
          <w:szCs w:val="22"/>
          <w:lang w:val="fr-FR"/>
        </w:rPr>
        <w:t>9.</w:t>
      </w:r>
      <w:r w:rsidRPr="0061757B">
        <w:rPr>
          <w:rFonts w:cs="Arial"/>
          <w:i/>
          <w:strike/>
          <w:sz w:val="22"/>
          <w:szCs w:val="22"/>
          <w:lang w:val="fr-FR"/>
        </w:rPr>
        <w:tab/>
        <w:t>Décide d’étendre le mandat du Groupe de travail sur le Plan stratégique pour inclure l’élaboration des indicateurs et du guide d’accompagnement pendant la période triennale 2015-2017 ; et prie le Groupe de travail de présenter des rapports d’étape au Comité permanent pour approbation de leur mise en œuvre progressive. Le nouveau mandat du Groupe de travail sur le Plan stratégique est joint en Annexe 2 à la présente résolution ;</w:t>
      </w:r>
    </w:p>
    <w:p w14:paraId="0111434B" w14:textId="77777777" w:rsidR="00B15943" w:rsidRPr="0061757B" w:rsidRDefault="00B15943" w:rsidP="0076556E">
      <w:pPr>
        <w:jc w:val="both"/>
        <w:rPr>
          <w:rFonts w:cs="Arial"/>
          <w:sz w:val="22"/>
          <w:szCs w:val="22"/>
          <w:lang w:val="fr-FR"/>
        </w:rPr>
      </w:pPr>
    </w:p>
    <w:p w14:paraId="408BE899" w14:textId="77777777" w:rsidR="003C5BAF" w:rsidRPr="003C5BAF" w:rsidRDefault="003C5BAF" w:rsidP="0076556E">
      <w:pPr>
        <w:widowControl/>
        <w:numPr>
          <w:ilvl w:val="0"/>
          <w:numId w:val="15"/>
        </w:numPr>
        <w:autoSpaceDE/>
        <w:autoSpaceDN/>
        <w:adjustRightInd/>
        <w:jc w:val="both"/>
        <w:rPr>
          <w:rFonts w:eastAsia="Calibri" w:cs="Arial"/>
          <w:strike/>
          <w:color w:val="000000"/>
          <w:sz w:val="22"/>
          <w:szCs w:val="22"/>
          <w:lang w:val="fr-FR"/>
        </w:rPr>
      </w:pPr>
      <w:r w:rsidRPr="003C5BAF">
        <w:rPr>
          <w:rFonts w:eastAsia="Calibri" w:cs="Arial"/>
          <w:i/>
          <w:strike/>
          <w:sz w:val="22"/>
          <w:szCs w:val="22"/>
          <w:lang w:val="fr-FR"/>
        </w:rPr>
        <w:t>Prie</w:t>
      </w:r>
      <w:r w:rsidRPr="003C5BAF">
        <w:rPr>
          <w:rFonts w:eastAsia="Calibri" w:cs="Arial"/>
          <w:strike/>
          <w:sz w:val="22"/>
          <w:szCs w:val="22"/>
          <w:lang w:val="fr-FR"/>
        </w:rPr>
        <w:t xml:space="preserve"> le Secrétariat d’entreprendre la compilation préalable nécessaire pour nourrir les efforts du Groupe de travail, incluant </w:t>
      </w:r>
      <w:r w:rsidRPr="003C5BAF">
        <w:rPr>
          <w:rFonts w:eastAsia="Calibri" w:cs="Arial"/>
          <w:strike/>
          <w:sz w:val="22"/>
          <w:szCs w:val="22"/>
          <w:lang w:val="fr-FR" w:eastAsia="en-GB"/>
        </w:rPr>
        <w:t>:</w:t>
      </w:r>
    </w:p>
    <w:p w14:paraId="5266FF76" w14:textId="77777777" w:rsidR="003C5BAF" w:rsidRPr="003C5BAF" w:rsidRDefault="003C5BAF" w:rsidP="0076556E">
      <w:pPr>
        <w:autoSpaceDE/>
        <w:autoSpaceDN/>
        <w:adjustRightInd/>
        <w:jc w:val="both"/>
        <w:rPr>
          <w:rFonts w:eastAsia="Calibri" w:cs="Arial"/>
          <w:strike/>
          <w:color w:val="000000"/>
          <w:sz w:val="22"/>
          <w:szCs w:val="22"/>
          <w:lang w:val="fr-FR"/>
        </w:rPr>
      </w:pPr>
    </w:p>
    <w:p w14:paraId="54632F74" w14:textId="77777777" w:rsidR="003C5BAF" w:rsidRPr="003C5BAF" w:rsidRDefault="003C5BAF" w:rsidP="0076556E">
      <w:pPr>
        <w:widowControl/>
        <w:numPr>
          <w:ilvl w:val="0"/>
          <w:numId w:val="10"/>
        </w:numPr>
        <w:autoSpaceDE/>
        <w:autoSpaceDN/>
        <w:adjustRightInd/>
        <w:ind w:hanging="720"/>
        <w:jc w:val="both"/>
        <w:rPr>
          <w:rFonts w:eastAsia="Calibri" w:cs="Arial"/>
          <w:strike/>
          <w:color w:val="000000"/>
          <w:sz w:val="22"/>
          <w:szCs w:val="22"/>
          <w:lang w:val="fr-FR"/>
        </w:rPr>
      </w:pPr>
      <w:r w:rsidRPr="003C5BAF">
        <w:rPr>
          <w:rFonts w:eastAsia="Calibri" w:cs="Arial"/>
          <w:strike/>
          <w:sz w:val="22"/>
          <w:szCs w:val="22"/>
          <w:lang w:val="fr-FR"/>
        </w:rPr>
        <w:t>Les travaux entrepris par les forums internationaux pertinents spécialisés sur les indicateurs, tels que le Partenariat mondial pour les indicateurs de biodiversité ; et</w:t>
      </w:r>
    </w:p>
    <w:p w14:paraId="7C2049F5" w14:textId="77777777" w:rsidR="003C5BAF" w:rsidRPr="003C5BAF" w:rsidRDefault="003C5BAF" w:rsidP="0076556E">
      <w:pPr>
        <w:autoSpaceDE/>
        <w:autoSpaceDN/>
        <w:adjustRightInd/>
        <w:ind w:left="720" w:hanging="720"/>
        <w:jc w:val="both"/>
        <w:rPr>
          <w:rFonts w:eastAsia="Calibri" w:cs="Arial"/>
          <w:strike/>
          <w:color w:val="000000"/>
          <w:sz w:val="22"/>
          <w:szCs w:val="22"/>
          <w:lang w:val="fr-FR"/>
        </w:rPr>
      </w:pPr>
    </w:p>
    <w:p w14:paraId="7DC22D84" w14:textId="77777777" w:rsidR="003C5BAF" w:rsidRPr="003C5BAF" w:rsidRDefault="003C5BAF" w:rsidP="0076556E">
      <w:pPr>
        <w:widowControl/>
        <w:numPr>
          <w:ilvl w:val="0"/>
          <w:numId w:val="10"/>
        </w:numPr>
        <w:autoSpaceDE/>
        <w:autoSpaceDN/>
        <w:adjustRightInd/>
        <w:ind w:hanging="720"/>
        <w:jc w:val="both"/>
        <w:rPr>
          <w:rFonts w:eastAsia="Calibri" w:cs="Arial"/>
          <w:strike/>
          <w:color w:val="000000"/>
          <w:sz w:val="22"/>
          <w:szCs w:val="22"/>
          <w:lang w:val="fr-FR"/>
        </w:rPr>
      </w:pPr>
      <w:r w:rsidRPr="003C5BAF">
        <w:rPr>
          <w:rFonts w:eastAsia="Calibri" w:cs="Arial"/>
          <w:strike/>
          <w:sz w:val="22"/>
          <w:szCs w:val="22"/>
          <w:lang w:val="fr-FR"/>
        </w:rPr>
        <w:lastRenderedPageBreak/>
        <w:t>L’analyse des programmes de travail et plans d’action adoptés au titre de la Convention et des instruments de la Famille CMS, avec leurs propres indicateurs, afin de créer des synergies ;</w:t>
      </w:r>
    </w:p>
    <w:p w14:paraId="5F448445" w14:textId="77777777" w:rsidR="003C5BAF" w:rsidRPr="006124BC" w:rsidRDefault="003C5BAF" w:rsidP="0076556E">
      <w:pPr>
        <w:jc w:val="both"/>
        <w:rPr>
          <w:rFonts w:cs="Arial"/>
          <w:sz w:val="22"/>
          <w:szCs w:val="22"/>
          <w:lang w:val="fr-FR"/>
        </w:rPr>
      </w:pPr>
    </w:p>
    <w:p w14:paraId="4049D6B6" w14:textId="77777777" w:rsidR="00672E2E" w:rsidRPr="00672E2E" w:rsidRDefault="00672E2E" w:rsidP="0076556E">
      <w:pPr>
        <w:jc w:val="both"/>
        <w:rPr>
          <w:rFonts w:cs="Arial"/>
          <w:i/>
          <w:sz w:val="22"/>
          <w:szCs w:val="22"/>
          <w:lang w:val="fr-FR"/>
        </w:rPr>
      </w:pPr>
      <w:r w:rsidRPr="00672E2E">
        <w:rPr>
          <w:rFonts w:cs="Arial"/>
          <w:i/>
          <w:sz w:val="22"/>
          <w:szCs w:val="22"/>
          <w:lang w:val="fr-FR"/>
        </w:rPr>
        <w:t>Mise en œuvre</w:t>
      </w:r>
    </w:p>
    <w:p w14:paraId="6BBED5DD" w14:textId="77777777" w:rsidR="00672E2E" w:rsidRPr="00672E2E" w:rsidRDefault="00672E2E" w:rsidP="0076556E">
      <w:pPr>
        <w:jc w:val="both"/>
        <w:rPr>
          <w:rFonts w:cs="Arial"/>
          <w:i/>
          <w:sz w:val="22"/>
          <w:szCs w:val="22"/>
          <w:lang w:val="fr-FR"/>
        </w:rPr>
      </w:pPr>
    </w:p>
    <w:p w14:paraId="62933E3B" w14:textId="131F5FA5" w:rsidR="003C5BAF" w:rsidRPr="00672E2E" w:rsidRDefault="00672E2E" w:rsidP="00591DCA">
      <w:pPr>
        <w:ind w:left="426" w:hanging="426"/>
        <w:jc w:val="both"/>
        <w:rPr>
          <w:rFonts w:cs="Arial"/>
          <w:strike/>
          <w:sz w:val="22"/>
          <w:szCs w:val="22"/>
          <w:lang w:val="fr-FR"/>
        </w:rPr>
      </w:pPr>
      <w:r w:rsidRPr="00672E2E">
        <w:rPr>
          <w:rFonts w:cs="Arial"/>
          <w:i/>
          <w:strike/>
          <w:sz w:val="22"/>
          <w:szCs w:val="22"/>
          <w:lang w:val="fr-FR"/>
        </w:rPr>
        <w:t>11.</w:t>
      </w:r>
      <w:r w:rsidRPr="00672E2E">
        <w:rPr>
          <w:rFonts w:cs="Arial"/>
          <w:i/>
          <w:strike/>
          <w:sz w:val="22"/>
          <w:szCs w:val="22"/>
          <w:lang w:val="fr-FR"/>
        </w:rPr>
        <w:tab/>
        <w:t xml:space="preserve">Prie </w:t>
      </w:r>
      <w:r w:rsidRPr="00672E2E">
        <w:rPr>
          <w:rFonts w:cs="Arial"/>
          <w:strike/>
          <w:sz w:val="22"/>
          <w:szCs w:val="22"/>
          <w:lang w:val="fr-FR"/>
        </w:rPr>
        <w:t xml:space="preserve">en outre le Secrétariat d’examiner les modifications du modèle CMS de rapport national qui pourraient être envisagées, le cas échéant, en lien avec l’évaluation de la mise en œuvre du Plan stratégique, et les indicateurs pour lesquels ces rapports sont identifiés comme une source importante d’information et la possibilité de rationaliser les processus de </w:t>
      </w:r>
      <w:proofErr w:type="spellStart"/>
      <w:r w:rsidRPr="00672E2E">
        <w:rPr>
          <w:rFonts w:cs="Arial"/>
          <w:strike/>
          <w:sz w:val="22"/>
          <w:szCs w:val="22"/>
          <w:lang w:val="fr-FR"/>
        </w:rPr>
        <w:t>compte-rendus</w:t>
      </w:r>
      <w:proofErr w:type="spellEnd"/>
      <w:r w:rsidRPr="00672E2E">
        <w:rPr>
          <w:rFonts w:cs="Arial"/>
          <w:strike/>
          <w:sz w:val="22"/>
          <w:szCs w:val="22"/>
          <w:lang w:val="fr-FR"/>
        </w:rPr>
        <w:t xml:space="preserve"> existants pour réduire les charges de </w:t>
      </w:r>
      <w:proofErr w:type="spellStart"/>
      <w:r w:rsidRPr="00672E2E">
        <w:rPr>
          <w:rFonts w:cs="Arial"/>
          <w:strike/>
          <w:sz w:val="22"/>
          <w:szCs w:val="22"/>
          <w:lang w:val="fr-FR"/>
        </w:rPr>
        <w:t>compte-rendus</w:t>
      </w:r>
      <w:proofErr w:type="spellEnd"/>
      <w:r w:rsidRPr="00672E2E">
        <w:rPr>
          <w:rFonts w:cs="Arial"/>
          <w:strike/>
          <w:sz w:val="22"/>
          <w:szCs w:val="22"/>
          <w:lang w:val="fr-FR"/>
        </w:rPr>
        <w:t>; et de soumettre toute proposition de révision au Comité permanent pour examen et transmission à la 12ème session de la Conférence des Parties ;</w:t>
      </w:r>
      <w:proofErr w:type="spellStart"/>
      <w:r w:rsidR="003C5BAF" w:rsidRPr="00672E2E">
        <w:rPr>
          <w:rFonts w:cs="Arial"/>
          <w:strike/>
          <w:sz w:val="22"/>
          <w:szCs w:val="22"/>
          <w:lang w:val="fr-FR"/>
        </w:rPr>
        <w:t>Implementation</w:t>
      </w:r>
      <w:proofErr w:type="spellEnd"/>
    </w:p>
    <w:p w14:paraId="5DDC18AA" w14:textId="77777777" w:rsidR="003C5BAF" w:rsidRPr="006124BC" w:rsidRDefault="003C5BAF" w:rsidP="0076556E">
      <w:pPr>
        <w:pStyle w:val="ListParagraph"/>
        <w:widowControl w:val="0"/>
        <w:ind w:left="0"/>
        <w:jc w:val="both"/>
        <w:rPr>
          <w:rFonts w:ascii="Arial" w:hAnsi="Arial" w:cs="Arial"/>
          <w:lang w:val="fr-FR" w:eastAsia="en-GB"/>
        </w:rPr>
      </w:pPr>
    </w:p>
    <w:p w14:paraId="2A93DFE6" w14:textId="77777777" w:rsidR="00672E2E" w:rsidRPr="00672E2E" w:rsidRDefault="00672E2E" w:rsidP="0076556E">
      <w:pPr>
        <w:autoSpaceDE/>
        <w:autoSpaceDN/>
        <w:adjustRightInd/>
        <w:jc w:val="both"/>
        <w:rPr>
          <w:rFonts w:eastAsia="Calibri" w:cs="Arial"/>
          <w:sz w:val="22"/>
          <w:szCs w:val="22"/>
          <w:lang w:val="fr-FR"/>
        </w:rPr>
      </w:pPr>
    </w:p>
    <w:p w14:paraId="0601530D" w14:textId="7B9E54F0" w:rsidR="00672E2E" w:rsidRPr="00672E2E" w:rsidRDefault="00672E2E" w:rsidP="0076556E">
      <w:pPr>
        <w:widowControl/>
        <w:numPr>
          <w:ilvl w:val="0"/>
          <w:numId w:val="17"/>
        </w:numPr>
        <w:autoSpaceDE/>
        <w:autoSpaceDN/>
        <w:adjustRightInd/>
        <w:ind w:left="360"/>
        <w:jc w:val="both"/>
        <w:rPr>
          <w:rFonts w:eastAsia="Calibri" w:cs="Arial"/>
          <w:sz w:val="22"/>
          <w:szCs w:val="22"/>
          <w:lang w:val="fr-FR" w:eastAsia="en-GB"/>
        </w:rPr>
      </w:pPr>
      <w:r w:rsidRPr="00672E2E">
        <w:rPr>
          <w:rFonts w:eastAsia="Calibri" w:cs="Arial"/>
          <w:noProof/>
          <w:sz w:val="22"/>
          <w:szCs w:val="22"/>
        </w:rPr>
        <mc:AlternateContent>
          <mc:Choice Requires="wps">
            <w:drawing>
              <wp:anchor distT="0" distB="0" distL="114300" distR="114300" simplePos="0" relativeHeight="251665408" behindDoc="0" locked="0" layoutInCell="1" allowOverlap="1" wp14:anchorId="3F4CF815" wp14:editId="06D62389">
                <wp:simplePos x="0" y="0"/>
                <wp:positionH relativeFrom="column">
                  <wp:posOffset>3367405</wp:posOffset>
                </wp:positionH>
                <wp:positionV relativeFrom="paragraph">
                  <wp:posOffset>513080</wp:posOffset>
                </wp:positionV>
                <wp:extent cx="2273300" cy="76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73300" cy="76200"/>
                        </a:xfrm>
                        <a:prstGeom prst="rect">
                          <a:avLst/>
                        </a:prstGeom>
                        <a:solidFill>
                          <a:srgbClr val="FFFFFF"/>
                        </a:solidFill>
                        <a:ln w="9525">
                          <a:noFill/>
                          <a:miter lim="800000"/>
                          <a:headEnd/>
                          <a:tailEnd/>
                        </a:ln>
                      </wps:spPr>
                      <wps:txbx>
                        <w:txbxContent>
                          <w:p w14:paraId="14DA7A1D" w14:textId="77777777" w:rsidR="0076556E" w:rsidRPr="00F8334A" w:rsidRDefault="0076556E" w:rsidP="00672E2E">
                            <w:pPr>
                              <w:jc w:val="right"/>
                              <w:rPr>
                                <w:b/>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CF815" id="Text Box 2" o:spid="_x0000_s1027" type="#_x0000_t202" style="position:absolute;left:0;text-align:left;margin-left:265.15pt;margin-top:40.4pt;width:179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" stroked="f">
                <v:textbox>
                  <w:txbxContent>
                    <w:p w14:paraId="14DA7A1D" w14:textId="77777777" w:rsidR="0076556E" w:rsidRPr="00F8334A" w:rsidRDefault="0076556E" w:rsidP="00672E2E">
                      <w:pPr>
                        <w:jc w:val="right"/>
                        <w:rPr>
                          <w:b/>
                          <w:lang w:val="fr-FR"/>
                        </w:rPr>
                      </w:pPr>
                    </w:p>
                  </w:txbxContent>
                </v:textbox>
              </v:shape>
            </w:pict>
          </mc:Fallback>
        </mc:AlternateContent>
      </w:r>
      <w:r w:rsidRPr="00672E2E">
        <w:rPr>
          <w:rFonts w:eastAsia="Calibri" w:cs="Arial"/>
          <w:i/>
          <w:sz w:val="22"/>
          <w:szCs w:val="22"/>
          <w:lang w:val="fr-FR"/>
        </w:rPr>
        <w:t>Décide</w:t>
      </w:r>
      <w:r w:rsidRPr="00672E2E">
        <w:rPr>
          <w:rFonts w:eastAsia="Calibri" w:cs="Arial"/>
          <w:sz w:val="22"/>
          <w:szCs w:val="22"/>
          <w:lang w:val="fr-FR"/>
        </w:rPr>
        <w:t xml:space="preserve"> d’examiner, lors de ses </w:t>
      </w:r>
      <w:r w:rsidRPr="00C35AE3">
        <w:rPr>
          <w:rFonts w:eastAsia="Calibri" w:cs="Arial"/>
          <w:strike/>
          <w:sz w:val="22"/>
          <w:szCs w:val="22"/>
          <w:lang w:val="fr-FR"/>
        </w:rPr>
        <w:t>12</w:t>
      </w:r>
      <w:r w:rsidRPr="00C35AE3">
        <w:rPr>
          <w:rFonts w:eastAsia="Calibri" w:cs="Arial"/>
          <w:strike/>
          <w:sz w:val="22"/>
          <w:szCs w:val="22"/>
          <w:vertAlign w:val="superscript"/>
          <w:lang w:val="fr-FR"/>
        </w:rPr>
        <w:t>ème</w:t>
      </w:r>
      <w:r w:rsidRPr="00C35AE3">
        <w:rPr>
          <w:rFonts w:eastAsia="Calibri" w:cs="Arial"/>
          <w:strike/>
          <w:sz w:val="22"/>
          <w:szCs w:val="22"/>
          <w:lang w:val="fr-FR"/>
        </w:rPr>
        <w:t>,</w:t>
      </w:r>
      <w:r w:rsidRPr="00672E2E">
        <w:rPr>
          <w:rFonts w:eastAsia="Calibri" w:cs="Arial"/>
          <w:sz w:val="22"/>
          <w:szCs w:val="22"/>
          <w:lang w:val="fr-FR"/>
        </w:rPr>
        <w:t xml:space="preserve"> 13</w:t>
      </w:r>
      <w:r w:rsidRPr="00672E2E">
        <w:rPr>
          <w:rFonts w:eastAsia="Calibri" w:cs="Arial"/>
          <w:sz w:val="22"/>
          <w:szCs w:val="22"/>
          <w:vertAlign w:val="superscript"/>
          <w:lang w:val="fr-FR"/>
        </w:rPr>
        <w:t>ème</w:t>
      </w:r>
      <w:r w:rsidRPr="00672E2E">
        <w:rPr>
          <w:rFonts w:eastAsia="Calibri" w:cs="Arial"/>
          <w:sz w:val="22"/>
          <w:szCs w:val="22"/>
          <w:lang w:val="fr-FR"/>
        </w:rPr>
        <w:t>, et 14</w:t>
      </w:r>
      <w:r w:rsidRPr="00672E2E">
        <w:rPr>
          <w:rFonts w:eastAsia="Calibri" w:cs="Arial"/>
          <w:sz w:val="22"/>
          <w:szCs w:val="22"/>
          <w:vertAlign w:val="superscript"/>
          <w:lang w:val="fr-FR"/>
        </w:rPr>
        <w:t>ème</w:t>
      </w:r>
      <w:r w:rsidRPr="00672E2E">
        <w:rPr>
          <w:rFonts w:eastAsia="Calibri" w:cs="Arial"/>
          <w:sz w:val="22"/>
          <w:szCs w:val="22"/>
          <w:lang w:val="fr-FR"/>
        </w:rPr>
        <w:t xml:space="preserve"> sessions, la mise en œuvre du Plan stratégique à la lumière de ses buts, objectifs et indicateurs, et conformément aux dispositions du paragraphe 7 de son chapitre 4 ;</w:t>
      </w:r>
    </w:p>
    <w:p w14:paraId="7BDBBAB0" w14:textId="77777777" w:rsidR="00672E2E" w:rsidRPr="00672E2E" w:rsidRDefault="00672E2E" w:rsidP="0076556E">
      <w:pPr>
        <w:autoSpaceDE/>
        <w:autoSpaceDN/>
        <w:adjustRightInd/>
        <w:jc w:val="both"/>
        <w:rPr>
          <w:rFonts w:eastAsia="Calibri" w:cs="Arial"/>
          <w:sz w:val="22"/>
          <w:szCs w:val="22"/>
          <w:lang w:val="fr-FR"/>
        </w:rPr>
      </w:pPr>
    </w:p>
    <w:p w14:paraId="3795EF25" w14:textId="58F8D394" w:rsidR="00672E2E" w:rsidRPr="00672E2E" w:rsidRDefault="009B635E" w:rsidP="0076556E">
      <w:pPr>
        <w:widowControl/>
        <w:autoSpaceDE/>
        <w:autoSpaceDN/>
        <w:adjustRightInd/>
        <w:ind w:left="360" w:hanging="360"/>
        <w:jc w:val="both"/>
        <w:rPr>
          <w:rFonts w:eastAsia="Calibri" w:cs="Arial"/>
          <w:sz w:val="22"/>
          <w:szCs w:val="22"/>
          <w:lang w:val="fr-FR"/>
        </w:rPr>
      </w:pPr>
      <w:r w:rsidRPr="00326E3F">
        <w:rPr>
          <w:rFonts w:eastAsia="Calibri" w:cs="Arial"/>
          <w:sz w:val="22"/>
          <w:szCs w:val="22"/>
          <w:lang w:val="fr-FR"/>
        </w:rPr>
        <w:t>13.</w:t>
      </w:r>
      <w:r>
        <w:rPr>
          <w:rFonts w:eastAsia="Calibri" w:cs="Arial"/>
          <w:i/>
          <w:sz w:val="22"/>
          <w:szCs w:val="22"/>
          <w:lang w:val="fr-FR"/>
        </w:rPr>
        <w:t xml:space="preserve"> </w:t>
      </w:r>
      <w:r w:rsidR="00672E2E" w:rsidRPr="00672E2E">
        <w:rPr>
          <w:rFonts w:eastAsia="Calibri" w:cs="Arial"/>
          <w:i/>
          <w:sz w:val="22"/>
          <w:szCs w:val="22"/>
          <w:lang w:val="fr-FR"/>
        </w:rPr>
        <w:t>Reconnaît</w:t>
      </w:r>
      <w:r w:rsidR="00672E2E" w:rsidRPr="00672E2E">
        <w:rPr>
          <w:rFonts w:eastAsia="Calibri" w:cs="Arial"/>
          <w:sz w:val="22"/>
          <w:szCs w:val="22"/>
          <w:lang w:val="fr-FR"/>
        </w:rPr>
        <w:t xml:space="preserve"> qu’un large éventail d’organisations de la société civile et d’autres parties prenantes apportent une contribution précieuse à la mise en œuvre de la Convention et à la conservation des espèces migratrices ; et </w:t>
      </w:r>
      <w:r w:rsidR="00672E2E" w:rsidRPr="00672E2E">
        <w:rPr>
          <w:rFonts w:eastAsia="Calibri" w:cs="Arial"/>
          <w:i/>
          <w:sz w:val="22"/>
          <w:szCs w:val="22"/>
          <w:lang w:val="fr-FR"/>
        </w:rPr>
        <w:t>encourage</w:t>
      </w:r>
      <w:r w:rsidR="00672E2E" w:rsidRPr="00672E2E">
        <w:rPr>
          <w:rFonts w:eastAsia="Calibri" w:cs="Arial"/>
          <w:sz w:val="22"/>
          <w:szCs w:val="22"/>
          <w:lang w:val="fr-FR"/>
        </w:rPr>
        <w:t xml:space="preserve"> ces organisations à rendre compte de ce travail lors des sessions de la Conférence des Parties ; et</w:t>
      </w:r>
    </w:p>
    <w:p w14:paraId="0E042600" w14:textId="77777777" w:rsidR="00672E2E" w:rsidRPr="00672E2E" w:rsidRDefault="00672E2E" w:rsidP="0076556E">
      <w:pPr>
        <w:autoSpaceDE/>
        <w:autoSpaceDN/>
        <w:adjustRightInd/>
        <w:jc w:val="both"/>
        <w:rPr>
          <w:rFonts w:eastAsia="Calibri" w:cs="Arial"/>
          <w:sz w:val="22"/>
          <w:szCs w:val="22"/>
          <w:lang w:val="fr-FR"/>
        </w:rPr>
      </w:pPr>
    </w:p>
    <w:p w14:paraId="50329362" w14:textId="09EED8AD" w:rsidR="00672E2E" w:rsidRPr="00672E2E" w:rsidRDefault="009B635E" w:rsidP="0076556E">
      <w:pPr>
        <w:widowControl/>
        <w:autoSpaceDE/>
        <w:autoSpaceDN/>
        <w:adjustRightInd/>
        <w:ind w:left="360" w:hanging="360"/>
        <w:jc w:val="both"/>
        <w:rPr>
          <w:rFonts w:eastAsia="Calibri" w:cs="Arial"/>
          <w:sz w:val="22"/>
          <w:szCs w:val="22"/>
          <w:lang w:val="fr-FR"/>
        </w:rPr>
      </w:pPr>
      <w:r w:rsidRPr="00326E3F">
        <w:rPr>
          <w:rFonts w:eastAsia="Calibri" w:cs="Arial"/>
          <w:sz w:val="22"/>
          <w:szCs w:val="22"/>
          <w:lang w:val="fr-FR"/>
        </w:rPr>
        <w:t>14.</w:t>
      </w:r>
      <w:r>
        <w:rPr>
          <w:rFonts w:eastAsia="Calibri" w:cs="Arial"/>
          <w:i/>
          <w:sz w:val="22"/>
          <w:szCs w:val="22"/>
          <w:lang w:val="fr-FR"/>
        </w:rPr>
        <w:t xml:space="preserve"> </w:t>
      </w:r>
      <w:r w:rsidR="00672E2E" w:rsidRPr="00672E2E">
        <w:rPr>
          <w:rFonts w:eastAsia="Calibri" w:cs="Arial"/>
          <w:i/>
          <w:sz w:val="22"/>
          <w:szCs w:val="22"/>
          <w:lang w:val="fr-FR"/>
        </w:rPr>
        <w:t>Invite</w:t>
      </w:r>
      <w:r w:rsidR="00672E2E" w:rsidRPr="00672E2E">
        <w:rPr>
          <w:rFonts w:eastAsia="Calibri" w:cs="Arial"/>
          <w:sz w:val="22"/>
          <w:szCs w:val="22"/>
          <w:lang w:val="fr-FR"/>
        </w:rPr>
        <w:t xml:space="preserve"> le PNUE, les Parties, les donateurs multilatéraux et les autres partenaires à apporter une aide financière à la mise en œuvre de la présente résolution. </w:t>
      </w:r>
    </w:p>
    <w:p w14:paraId="59EBECBB" w14:textId="77777777" w:rsidR="00B15943" w:rsidRPr="006124BC" w:rsidRDefault="00B15943" w:rsidP="0076556E">
      <w:pPr>
        <w:pStyle w:val="ListParagraph"/>
        <w:ind w:left="0"/>
        <w:jc w:val="both"/>
        <w:rPr>
          <w:rFonts w:ascii="Arial" w:hAnsi="Arial" w:cs="Arial"/>
          <w:lang w:val="fr-FR"/>
        </w:rPr>
      </w:pPr>
    </w:p>
    <w:p w14:paraId="4AE5987A" w14:textId="77777777" w:rsidR="00B15943" w:rsidRPr="006124BC" w:rsidRDefault="00B15943" w:rsidP="00B15943">
      <w:pPr>
        <w:pStyle w:val="ListParagraph"/>
        <w:widowControl w:val="0"/>
        <w:ind w:left="0"/>
        <w:contextualSpacing w:val="0"/>
        <w:jc w:val="both"/>
        <w:rPr>
          <w:rFonts w:ascii="Arial" w:hAnsi="Arial" w:cs="Arial"/>
          <w:lang w:val="fr-FR"/>
        </w:rPr>
      </w:pPr>
    </w:p>
    <w:p w14:paraId="6517524A" w14:textId="77777777" w:rsidR="00B15943" w:rsidRPr="006124BC" w:rsidRDefault="00B15943" w:rsidP="00B15943">
      <w:pPr>
        <w:pStyle w:val="ListParagraph"/>
        <w:rPr>
          <w:lang w:val="fr-FR"/>
        </w:rPr>
        <w:sectPr w:rsidR="00B15943" w:rsidRPr="006124BC" w:rsidSect="00231BE0">
          <w:headerReference w:type="even" r:id="rId22"/>
          <w:headerReference w:type="default" r:id="rId23"/>
          <w:headerReference w:type="first" r:id="rId24"/>
          <w:footerReference w:type="first" r:id="rId25"/>
          <w:pgSz w:w="11906" w:h="16838" w:code="9"/>
          <w:pgMar w:top="851" w:right="1418" w:bottom="1418" w:left="1418" w:header="426" w:footer="510" w:gutter="0"/>
          <w:cols w:space="708"/>
          <w:titlePg/>
          <w:docGrid w:linePitch="360"/>
        </w:sectPr>
      </w:pPr>
    </w:p>
    <w:p w14:paraId="4ABCD625" w14:textId="3338E4FF" w:rsidR="00B15943" w:rsidRPr="001D40C8" w:rsidRDefault="008C069B" w:rsidP="00B15943">
      <w:pPr>
        <w:jc w:val="center"/>
        <w:rPr>
          <w:lang w:val="fr-FR"/>
        </w:rPr>
      </w:pPr>
      <w:r>
        <w:rPr>
          <w:noProof/>
        </w:rPr>
        <w:lastRenderedPageBreak/>
        <mc:AlternateContent>
          <mc:Choice Requires="wps">
            <w:drawing>
              <wp:anchor distT="0" distB="0" distL="114300" distR="114300" simplePos="0" relativeHeight="251661312" behindDoc="0" locked="0" layoutInCell="1" allowOverlap="1" wp14:anchorId="7CBAC9C4" wp14:editId="13C4937A">
                <wp:simplePos x="0" y="0"/>
                <wp:positionH relativeFrom="column">
                  <wp:posOffset>3335655</wp:posOffset>
                </wp:positionH>
                <wp:positionV relativeFrom="paragraph">
                  <wp:posOffset>-266700</wp:posOffset>
                </wp:positionV>
                <wp:extent cx="2192655" cy="292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6A644" w14:textId="6B484397" w:rsidR="0076556E" w:rsidRPr="007A50F4" w:rsidRDefault="0076556E" w:rsidP="00B15943">
                            <w:pPr>
                              <w:rPr>
                                <w:b/>
                                <w:sz w:val="22"/>
                                <w:szCs w:val="22"/>
                              </w:rPr>
                            </w:pPr>
                            <w:proofErr w:type="spellStart"/>
                            <w:r w:rsidRPr="00800383">
                              <w:rPr>
                                <w:b/>
                                <w:sz w:val="22"/>
                                <w:szCs w:val="22"/>
                              </w:rPr>
                              <w:t>Annexe</w:t>
                            </w:r>
                            <w:proofErr w:type="spellEnd"/>
                            <w:r w:rsidRPr="00800383">
                              <w:rPr>
                                <w:b/>
                                <w:sz w:val="22"/>
                                <w:szCs w:val="22"/>
                              </w:rPr>
                              <w:t xml:space="preserve"> 1 à la </w:t>
                            </w:r>
                            <w:proofErr w:type="spellStart"/>
                            <w:r w:rsidRPr="00800383">
                              <w:rPr>
                                <w:b/>
                                <w:sz w:val="22"/>
                                <w:szCs w:val="22"/>
                              </w:rPr>
                              <w:t>Résolution</w:t>
                            </w:r>
                            <w:proofErr w:type="spellEnd"/>
                            <w:r w:rsidRPr="00800383">
                              <w:rPr>
                                <w:b/>
                                <w:sz w:val="22"/>
                                <w:szCs w:val="22"/>
                              </w:rPr>
                              <w:t xml:space="preserve"> 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AC9C4" id="Text Box 5" o:spid="_x0000_s1028" type="#_x0000_t202" style="position:absolute;left:0;text-align:left;margin-left:262.65pt;margin-top:-21pt;width:172.6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FshQIAABY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" stroked="f">
                <v:textbox>
                  <w:txbxContent>
                    <w:p w14:paraId="6066A644" w14:textId="6B484397" w:rsidR="0076556E" w:rsidRPr="007A50F4" w:rsidRDefault="0076556E" w:rsidP="00B15943">
                      <w:pPr>
                        <w:rPr>
                          <w:b/>
                          <w:sz w:val="22"/>
                          <w:szCs w:val="22"/>
                        </w:rPr>
                      </w:pPr>
                      <w:proofErr w:type="spellStart"/>
                      <w:r w:rsidRPr="00800383">
                        <w:rPr>
                          <w:b/>
                          <w:sz w:val="22"/>
                          <w:szCs w:val="22"/>
                        </w:rPr>
                        <w:t>Annexe</w:t>
                      </w:r>
                      <w:proofErr w:type="spellEnd"/>
                      <w:r w:rsidRPr="00800383">
                        <w:rPr>
                          <w:b/>
                          <w:sz w:val="22"/>
                          <w:szCs w:val="22"/>
                        </w:rPr>
                        <w:t xml:space="preserve"> 1 à la </w:t>
                      </w:r>
                      <w:proofErr w:type="spellStart"/>
                      <w:r w:rsidRPr="00800383">
                        <w:rPr>
                          <w:b/>
                          <w:sz w:val="22"/>
                          <w:szCs w:val="22"/>
                        </w:rPr>
                        <w:t>Résolution</w:t>
                      </w:r>
                      <w:proofErr w:type="spellEnd"/>
                      <w:r w:rsidRPr="00800383">
                        <w:rPr>
                          <w:b/>
                          <w:sz w:val="22"/>
                          <w:szCs w:val="22"/>
                        </w:rPr>
                        <w:t xml:space="preserve"> 11.2</w:t>
                      </w:r>
                    </w:p>
                  </w:txbxContent>
                </v:textbox>
              </v:shape>
            </w:pict>
          </mc:Fallback>
        </mc:AlternateContent>
      </w:r>
      <w:r w:rsidR="00B15943" w:rsidRPr="001D40C8">
        <w:rPr>
          <w:noProof/>
        </w:rPr>
        <w:drawing>
          <wp:inline distT="0" distB="0" distL="0" distR="0" wp14:anchorId="24DB64C8" wp14:editId="0FB61ACF">
            <wp:extent cx="1837690" cy="1837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a:noFill/>
                    </a:ln>
                  </pic:spPr>
                </pic:pic>
              </a:graphicData>
            </a:graphic>
          </wp:inline>
        </w:drawing>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B15943" w:rsidRPr="001D40C8" w14:paraId="0753136E" w14:textId="77777777" w:rsidTr="00B15943">
        <w:tc>
          <w:tcPr>
            <w:tcW w:w="8613" w:type="dxa"/>
            <w:shd w:val="clear" w:color="auto" w:fill="E6E6E6"/>
          </w:tcPr>
          <w:p w14:paraId="2F79E112" w14:textId="77777777" w:rsidR="00800383" w:rsidRPr="006124BC" w:rsidRDefault="00B15943" w:rsidP="00800383">
            <w:pPr>
              <w:ind w:left="454" w:right="-91" w:hanging="454"/>
              <w:jc w:val="center"/>
              <w:rPr>
                <w:rFonts w:eastAsia="MS Mincho"/>
                <w:b/>
                <w:color w:val="000080"/>
                <w:sz w:val="36"/>
                <w:szCs w:val="36"/>
                <w:lang w:val="fr-FR"/>
              </w:rPr>
            </w:pPr>
            <w:r w:rsidRPr="006124BC">
              <w:rPr>
                <w:sz w:val="36"/>
                <w:szCs w:val="36"/>
                <w:lang w:val="fr-FR"/>
              </w:rPr>
              <w:br w:type="page"/>
            </w:r>
            <w:r w:rsidRPr="006124BC">
              <w:rPr>
                <w:rFonts w:eastAsia="MS Mincho"/>
                <w:sz w:val="36"/>
                <w:szCs w:val="36"/>
                <w:lang w:val="fr-FR"/>
              </w:rPr>
              <w:br w:type="page"/>
            </w:r>
            <w:r w:rsidR="00800383" w:rsidRPr="006124BC">
              <w:rPr>
                <w:rFonts w:eastAsia="MS Mincho"/>
                <w:b/>
                <w:color w:val="000080"/>
                <w:sz w:val="36"/>
                <w:szCs w:val="36"/>
                <w:lang w:val="fr-FR"/>
              </w:rPr>
              <w:t>Plan stratégique pour les espèces migratrices</w:t>
            </w:r>
          </w:p>
          <w:p w14:paraId="6F90211C" w14:textId="71BC3DB0" w:rsidR="00B15943" w:rsidRPr="001D40C8" w:rsidRDefault="00800383" w:rsidP="00800383">
            <w:pPr>
              <w:ind w:left="454" w:right="-88" w:hanging="454"/>
              <w:jc w:val="center"/>
              <w:rPr>
                <w:rFonts w:eastAsia="MS Mincho"/>
                <w:b/>
                <w:color w:val="000080"/>
                <w:sz w:val="36"/>
                <w:szCs w:val="36"/>
                <w:lang w:val="fr-FR"/>
              </w:rPr>
            </w:pPr>
            <w:r w:rsidRPr="00800383">
              <w:rPr>
                <w:rFonts w:eastAsia="MS Mincho"/>
                <w:b/>
                <w:color w:val="000080"/>
                <w:sz w:val="36"/>
                <w:szCs w:val="36"/>
              </w:rPr>
              <w:t>2015-2023</w:t>
            </w:r>
          </w:p>
        </w:tc>
      </w:tr>
    </w:tbl>
    <w:p w14:paraId="191D17F0" w14:textId="77777777" w:rsidR="00B15943" w:rsidRPr="001D40C8" w:rsidRDefault="00B15943" w:rsidP="00B15943">
      <w:pPr>
        <w:ind w:right="-88"/>
        <w:rPr>
          <w:rFonts w:eastAsia="MS Mincho"/>
          <w:sz w:val="10"/>
          <w:szCs w:val="10"/>
          <w:lang w:val="fr-FR"/>
        </w:rPr>
      </w:pPr>
    </w:p>
    <w:p w14:paraId="0C2C15C7" w14:textId="77777777" w:rsidR="00B15943" w:rsidRPr="001D40C8" w:rsidRDefault="00B15943" w:rsidP="00B15943">
      <w:pPr>
        <w:ind w:right="-88"/>
        <w:jc w:val="center"/>
        <w:rPr>
          <w:rFonts w:eastAsia="MS Mincho"/>
          <w:sz w:val="22"/>
          <w:szCs w:val="22"/>
          <w:lang w:val="fr-FR"/>
        </w:rPr>
      </w:pPr>
    </w:p>
    <w:p w14:paraId="124C20A1" w14:textId="77777777" w:rsidR="00B15943" w:rsidRPr="001D40C8" w:rsidRDefault="00B15943" w:rsidP="00B15943">
      <w:pPr>
        <w:ind w:right="-88"/>
        <w:rPr>
          <w:rFonts w:eastAsia="MS Mincho"/>
          <w:sz w:val="10"/>
          <w:szCs w:val="10"/>
          <w:lang w:val="fr-FR"/>
        </w:rPr>
      </w:pPr>
    </w:p>
    <w:p w14:paraId="0D8C6FD9" w14:textId="77777777" w:rsidR="00B15943" w:rsidRPr="001D40C8" w:rsidRDefault="00B15943" w:rsidP="00B15943">
      <w:pPr>
        <w:ind w:right="-88"/>
        <w:rPr>
          <w:rFonts w:eastAsia="MS Mincho"/>
          <w:sz w:val="10"/>
          <w:szCs w:val="10"/>
          <w:lang w:val="fr-FR"/>
        </w:rPr>
      </w:pPr>
    </w:p>
    <w:p w14:paraId="5FAB8383" w14:textId="77777777" w:rsidR="00B15943" w:rsidRPr="001D40C8" w:rsidRDefault="00B15943" w:rsidP="00B15943">
      <w:pPr>
        <w:ind w:right="-88"/>
        <w:rPr>
          <w:rFonts w:eastAsia="MS Mincho"/>
          <w:sz w:val="10"/>
          <w:szCs w:val="10"/>
          <w:lang w:val="fr-FR"/>
        </w:rPr>
      </w:pPr>
    </w:p>
    <w:p w14:paraId="51E134D2" w14:textId="77777777" w:rsidR="00B15943" w:rsidRPr="001D40C8" w:rsidRDefault="00B15943" w:rsidP="00B15943">
      <w:pPr>
        <w:ind w:right="-88"/>
        <w:rPr>
          <w:rFonts w:eastAsia="MS Mincho"/>
          <w:sz w:val="10"/>
          <w:szCs w:val="10"/>
          <w:lang w:val="fr-FR"/>
        </w:rPr>
      </w:pPr>
    </w:p>
    <w:p w14:paraId="47B43C46" w14:textId="77777777" w:rsidR="00B15943" w:rsidRPr="001D40C8" w:rsidRDefault="00B15943" w:rsidP="00B15943">
      <w:pPr>
        <w:ind w:right="-88"/>
        <w:rPr>
          <w:rFonts w:eastAsia="MS Mincho"/>
          <w:sz w:val="10"/>
          <w:szCs w:val="10"/>
          <w:lang w:val="fr-FR"/>
        </w:rPr>
      </w:pPr>
    </w:p>
    <w:p w14:paraId="6879170E" w14:textId="77777777" w:rsidR="00B15943" w:rsidRPr="001D40C8" w:rsidRDefault="00B15943" w:rsidP="00B15943">
      <w:pPr>
        <w:ind w:right="-88"/>
        <w:rPr>
          <w:rFonts w:eastAsia="MS Mincho"/>
          <w:sz w:val="10"/>
          <w:szCs w:val="10"/>
          <w:lang w:val="fr-FR"/>
        </w:rPr>
      </w:pPr>
    </w:p>
    <w:tbl>
      <w:tblPr>
        <w:tblW w:w="0" w:type="auto"/>
        <w:jc w:val="center"/>
        <w:tblBorders>
          <w:bottom w:val="single" w:sz="4" w:space="0" w:color="auto"/>
        </w:tblBorders>
        <w:tblLook w:val="01E0" w:firstRow="1" w:lastRow="1" w:firstColumn="1" w:lastColumn="1" w:noHBand="0" w:noVBand="0"/>
      </w:tblPr>
      <w:tblGrid>
        <w:gridCol w:w="8312"/>
      </w:tblGrid>
      <w:tr w:rsidR="00B15943" w:rsidRPr="001D40C8" w14:paraId="3EA0C2DF" w14:textId="77777777" w:rsidTr="00B15943">
        <w:trPr>
          <w:jc w:val="center"/>
        </w:trPr>
        <w:tc>
          <w:tcPr>
            <w:tcW w:w="9788" w:type="dxa"/>
            <w:tcBorders>
              <w:bottom w:val="single" w:sz="4" w:space="0" w:color="auto"/>
            </w:tcBorders>
            <w:shd w:val="clear" w:color="auto" w:fill="E6E6E6"/>
          </w:tcPr>
          <w:p w14:paraId="087654D2" w14:textId="65DB1544" w:rsidR="00B15943" w:rsidRPr="001D40C8" w:rsidRDefault="00B15943" w:rsidP="00B15943">
            <w:pPr>
              <w:ind w:right="-88"/>
              <w:rPr>
                <w:rFonts w:eastAsia="MS Mincho"/>
                <w:b/>
                <w:color w:val="000080"/>
                <w:sz w:val="30"/>
                <w:szCs w:val="30"/>
                <w:lang w:val="fr-FR"/>
              </w:rPr>
            </w:pPr>
            <w:r w:rsidRPr="001D40C8">
              <w:rPr>
                <w:b/>
                <w:color w:val="000080"/>
                <w:sz w:val="30"/>
                <w:szCs w:val="30"/>
                <w:lang w:val="fr-FR"/>
              </w:rPr>
              <w:br w:type="page"/>
            </w:r>
            <w:r w:rsidRPr="001D40C8">
              <w:rPr>
                <w:rFonts w:eastAsia="MS Mincho"/>
                <w:b/>
                <w:color w:val="000080"/>
                <w:sz w:val="30"/>
                <w:szCs w:val="30"/>
                <w:lang w:val="fr-FR"/>
              </w:rPr>
              <w:br w:type="page"/>
            </w:r>
            <w:r w:rsidR="00800383" w:rsidRPr="00800383">
              <w:rPr>
                <w:rFonts w:eastAsia="MS Mincho"/>
                <w:b/>
                <w:color w:val="000080"/>
                <w:sz w:val="30"/>
                <w:szCs w:val="30"/>
                <w:lang w:val="fr-FR"/>
              </w:rPr>
              <w:t>Sommaire</w:t>
            </w:r>
          </w:p>
        </w:tc>
      </w:tr>
    </w:tbl>
    <w:p w14:paraId="3860C2E6" w14:textId="77777777" w:rsidR="00B15943" w:rsidRPr="001D40C8" w:rsidRDefault="00B15943" w:rsidP="00B15943">
      <w:pPr>
        <w:ind w:right="-88"/>
        <w:rPr>
          <w:rFonts w:eastAsia="MS Mincho"/>
          <w:sz w:val="22"/>
          <w:szCs w:val="22"/>
          <w:lang w:val="fr-FR"/>
        </w:rPr>
      </w:pPr>
    </w:p>
    <w:tbl>
      <w:tblPr>
        <w:tblW w:w="0" w:type="auto"/>
        <w:tblLook w:val="00A0" w:firstRow="1" w:lastRow="0" w:firstColumn="1" w:lastColumn="0" w:noHBand="0" w:noVBand="0"/>
      </w:tblPr>
      <w:tblGrid>
        <w:gridCol w:w="1607"/>
        <w:gridCol w:w="5963"/>
        <w:gridCol w:w="742"/>
      </w:tblGrid>
      <w:tr w:rsidR="00B15943" w:rsidRPr="001D40C8" w14:paraId="324A228C" w14:textId="77777777" w:rsidTr="00B15943">
        <w:tc>
          <w:tcPr>
            <w:tcW w:w="1638" w:type="dxa"/>
          </w:tcPr>
          <w:p w14:paraId="7321BBE1" w14:textId="77777777" w:rsidR="00B15943" w:rsidRPr="001D40C8" w:rsidRDefault="00B15943" w:rsidP="00B15943">
            <w:pPr>
              <w:ind w:right="-88"/>
              <w:rPr>
                <w:rFonts w:eastAsia="MS Mincho"/>
                <w:lang w:val="fr-FR"/>
              </w:rPr>
            </w:pPr>
          </w:p>
        </w:tc>
        <w:tc>
          <w:tcPr>
            <w:tcW w:w="6210" w:type="dxa"/>
          </w:tcPr>
          <w:p w14:paraId="7031AE22" w14:textId="77777777" w:rsidR="00B15943" w:rsidRPr="001D40C8" w:rsidRDefault="00B15943" w:rsidP="00B15943">
            <w:pPr>
              <w:ind w:right="-88"/>
              <w:rPr>
                <w:rFonts w:eastAsia="MS Mincho"/>
                <w:lang w:val="fr-FR"/>
              </w:rPr>
            </w:pPr>
          </w:p>
        </w:tc>
        <w:tc>
          <w:tcPr>
            <w:tcW w:w="720" w:type="dxa"/>
          </w:tcPr>
          <w:p w14:paraId="3CF230E2" w14:textId="77777777" w:rsidR="00B15943" w:rsidRPr="001D40C8" w:rsidRDefault="00B15943" w:rsidP="00B15943">
            <w:pPr>
              <w:ind w:right="-88"/>
              <w:jc w:val="center"/>
              <w:rPr>
                <w:rFonts w:eastAsia="MS Mincho"/>
                <w:b/>
                <w:lang w:val="fr-FR"/>
              </w:rPr>
            </w:pPr>
            <w:r w:rsidRPr="001D40C8">
              <w:rPr>
                <w:rFonts w:eastAsia="MS Mincho"/>
                <w:b/>
                <w:sz w:val="22"/>
                <w:szCs w:val="22"/>
                <w:lang w:val="fr-FR"/>
              </w:rPr>
              <w:t>Page</w:t>
            </w:r>
          </w:p>
        </w:tc>
      </w:tr>
      <w:tr w:rsidR="00B15943" w:rsidRPr="001D40C8" w14:paraId="36544EE3" w14:textId="77777777" w:rsidTr="00B15943">
        <w:tc>
          <w:tcPr>
            <w:tcW w:w="1638" w:type="dxa"/>
          </w:tcPr>
          <w:p w14:paraId="611C2388" w14:textId="43FEBCF3" w:rsidR="00B15943" w:rsidRPr="001D40C8" w:rsidRDefault="00800383" w:rsidP="00B15943">
            <w:pPr>
              <w:ind w:right="-86"/>
              <w:rPr>
                <w:rFonts w:eastAsia="MS Mincho"/>
                <w:b/>
                <w:lang w:val="fr-FR"/>
              </w:rPr>
            </w:pPr>
            <w:r>
              <w:rPr>
                <w:rFonts w:eastAsia="MS Mincho"/>
                <w:b/>
                <w:sz w:val="22"/>
                <w:szCs w:val="22"/>
                <w:lang w:val="fr-FR"/>
              </w:rPr>
              <w:t>Chapitre</w:t>
            </w:r>
            <w:r w:rsidR="00B15943" w:rsidRPr="001D40C8">
              <w:rPr>
                <w:rFonts w:eastAsia="MS Mincho"/>
                <w:b/>
                <w:sz w:val="22"/>
                <w:szCs w:val="22"/>
                <w:lang w:val="fr-FR"/>
              </w:rPr>
              <w:t xml:space="preserve"> 1</w:t>
            </w:r>
          </w:p>
        </w:tc>
        <w:tc>
          <w:tcPr>
            <w:tcW w:w="6210" w:type="dxa"/>
          </w:tcPr>
          <w:p w14:paraId="0F8C0DF9" w14:textId="4E39E78B" w:rsidR="00B15943" w:rsidRPr="001D40C8" w:rsidRDefault="005408E8" w:rsidP="00B15943">
            <w:pPr>
              <w:ind w:right="-86"/>
              <w:rPr>
                <w:rFonts w:eastAsia="MS Mincho"/>
                <w:b/>
                <w:lang w:val="fr-FR"/>
              </w:rPr>
            </w:pPr>
            <w:r w:rsidRPr="005408E8">
              <w:rPr>
                <w:rFonts w:eastAsia="MS Mincho"/>
                <w:b/>
                <w:sz w:val="22"/>
                <w:szCs w:val="22"/>
                <w:lang w:val="fr-FR"/>
              </w:rPr>
              <w:t>Fondement</w:t>
            </w:r>
          </w:p>
        </w:tc>
        <w:tc>
          <w:tcPr>
            <w:tcW w:w="720" w:type="dxa"/>
          </w:tcPr>
          <w:p w14:paraId="0B00BCB6" w14:textId="77777777" w:rsidR="00B15943" w:rsidRPr="001D40C8" w:rsidRDefault="00B15943" w:rsidP="00B15943">
            <w:pPr>
              <w:ind w:right="-86"/>
              <w:jc w:val="center"/>
              <w:rPr>
                <w:rFonts w:eastAsia="MS Mincho"/>
                <w:b/>
                <w:lang w:val="fr-FR"/>
              </w:rPr>
            </w:pPr>
            <w:r w:rsidRPr="001D40C8">
              <w:rPr>
                <w:rFonts w:eastAsia="MS Mincho"/>
                <w:b/>
                <w:sz w:val="22"/>
                <w:szCs w:val="22"/>
                <w:lang w:val="fr-FR"/>
              </w:rPr>
              <w:t>6</w:t>
            </w:r>
          </w:p>
        </w:tc>
      </w:tr>
      <w:tr w:rsidR="00B15943" w:rsidRPr="001D40C8" w14:paraId="5809998C" w14:textId="77777777" w:rsidTr="00B15943">
        <w:tc>
          <w:tcPr>
            <w:tcW w:w="1638" w:type="dxa"/>
          </w:tcPr>
          <w:p w14:paraId="5B6319DA" w14:textId="01729C61" w:rsidR="00B15943" w:rsidRPr="001D40C8" w:rsidRDefault="00800383" w:rsidP="00B15943">
            <w:pPr>
              <w:ind w:right="-86"/>
              <w:rPr>
                <w:rFonts w:eastAsia="MS Mincho"/>
                <w:b/>
                <w:lang w:val="fr-FR"/>
              </w:rPr>
            </w:pPr>
            <w:r>
              <w:rPr>
                <w:rFonts w:eastAsia="MS Mincho"/>
                <w:b/>
                <w:sz w:val="22"/>
                <w:szCs w:val="22"/>
                <w:lang w:val="fr-FR"/>
              </w:rPr>
              <w:t>Chapitre</w:t>
            </w:r>
            <w:r w:rsidR="00B15943" w:rsidRPr="001D40C8">
              <w:rPr>
                <w:rFonts w:eastAsia="MS Mincho"/>
                <w:b/>
                <w:sz w:val="22"/>
                <w:szCs w:val="22"/>
                <w:lang w:val="fr-FR"/>
              </w:rPr>
              <w:t xml:space="preserve"> 2</w:t>
            </w:r>
          </w:p>
        </w:tc>
        <w:tc>
          <w:tcPr>
            <w:tcW w:w="6210" w:type="dxa"/>
          </w:tcPr>
          <w:p w14:paraId="03E3B3AA" w14:textId="0EE3D2C2" w:rsidR="00B15943" w:rsidRPr="001D40C8" w:rsidRDefault="005408E8" w:rsidP="00B15943">
            <w:pPr>
              <w:ind w:right="-86"/>
              <w:rPr>
                <w:rFonts w:eastAsia="MS Mincho"/>
                <w:b/>
                <w:lang w:val="fr-FR"/>
              </w:rPr>
            </w:pPr>
            <w:r w:rsidRPr="005408E8">
              <w:rPr>
                <w:rFonts w:eastAsia="MS Mincho"/>
                <w:b/>
                <w:sz w:val="22"/>
                <w:szCs w:val="22"/>
                <w:lang w:val="fr-FR"/>
              </w:rPr>
              <w:t>Vision et mission</w:t>
            </w:r>
          </w:p>
        </w:tc>
        <w:tc>
          <w:tcPr>
            <w:tcW w:w="720" w:type="dxa"/>
          </w:tcPr>
          <w:p w14:paraId="517030B6" w14:textId="77777777" w:rsidR="00B15943" w:rsidRPr="001D40C8" w:rsidRDefault="00B15943" w:rsidP="00B15943">
            <w:pPr>
              <w:ind w:right="-86"/>
              <w:jc w:val="center"/>
              <w:rPr>
                <w:rFonts w:eastAsia="MS Mincho"/>
                <w:b/>
                <w:lang w:val="fr-FR"/>
              </w:rPr>
            </w:pPr>
            <w:r w:rsidRPr="001D40C8">
              <w:rPr>
                <w:rFonts w:eastAsia="MS Mincho"/>
                <w:b/>
                <w:sz w:val="22"/>
                <w:szCs w:val="22"/>
                <w:lang w:val="fr-FR"/>
              </w:rPr>
              <w:t>10</w:t>
            </w:r>
          </w:p>
        </w:tc>
      </w:tr>
      <w:tr w:rsidR="00B15943" w:rsidRPr="001D40C8" w14:paraId="1A9A2EF4" w14:textId="77777777" w:rsidTr="00B15943">
        <w:tc>
          <w:tcPr>
            <w:tcW w:w="1638" w:type="dxa"/>
          </w:tcPr>
          <w:p w14:paraId="03546B20" w14:textId="23992098" w:rsidR="00B15943" w:rsidRPr="001D40C8" w:rsidRDefault="00800383" w:rsidP="00B15943">
            <w:pPr>
              <w:ind w:right="-86"/>
              <w:rPr>
                <w:rFonts w:eastAsia="MS Mincho"/>
                <w:b/>
                <w:lang w:val="fr-FR"/>
              </w:rPr>
            </w:pPr>
            <w:r>
              <w:rPr>
                <w:rFonts w:eastAsia="MS Mincho"/>
                <w:b/>
                <w:sz w:val="22"/>
                <w:szCs w:val="22"/>
                <w:lang w:val="fr-FR"/>
              </w:rPr>
              <w:t>Chapitre</w:t>
            </w:r>
            <w:r w:rsidR="00B15943" w:rsidRPr="001D40C8">
              <w:rPr>
                <w:rFonts w:eastAsia="MS Mincho"/>
                <w:b/>
                <w:sz w:val="22"/>
                <w:szCs w:val="22"/>
                <w:lang w:val="fr-FR"/>
              </w:rPr>
              <w:t xml:space="preserve"> 3</w:t>
            </w:r>
          </w:p>
        </w:tc>
        <w:tc>
          <w:tcPr>
            <w:tcW w:w="6210" w:type="dxa"/>
          </w:tcPr>
          <w:p w14:paraId="589E673E" w14:textId="103058B1" w:rsidR="00B15943" w:rsidRPr="001D40C8" w:rsidRDefault="0065362D" w:rsidP="00B15943">
            <w:pPr>
              <w:ind w:right="-86"/>
              <w:rPr>
                <w:rFonts w:eastAsia="MS Mincho"/>
                <w:b/>
                <w:lang w:val="fr-FR"/>
              </w:rPr>
            </w:pPr>
            <w:r w:rsidRPr="0065362D">
              <w:rPr>
                <w:rFonts w:eastAsia="MS Mincho"/>
                <w:b/>
                <w:sz w:val="22"/>
                <w:szCs w:val="22"/>
                <w:lang w:val="fr-FR"/>
              </w:rPr>
              <w:t>Buts stratégiques et objectifs</w:t>
            </w:r>
          </w:p>
        </w:tc>
        <w:tc>
          <w:tcPr>
            <w:tcW w:w="720" w:type="dxa"/>
          </w:tcPr>
          <w:p w14:paraId="4FEB8D57" w14:textId="77777777" w:rsidR="00B15943" w:rsidRPr="001D40C8" w:rsidRDefault="00B15943" w:rsidP="00B15943">
            <w:pPr>
              <w:ind w:right="-86"/>
              <w:jc w:val="center"/>
              <w:rPr>
                <w:rFonts w:eastAsia="MS Mincho"/>
                <w:b/>
                <w:lang w:val="fr-FR"/>
              </w:rPr>
            </w:pPr>
            <w:r w:rsidRPr="001D40C8">
              <w:rPr>
                <w:rFonts w:eastAsia="MS Mincho"/>
                <w:b/>
                <w:sz w:val="22"/>
                <w:szCs w:val="22"/>
                <w:lang w:val="fr-FR"/>
              </w:rPr>
              <w:t>10</w:t>
            </w:r>
          </w:p>
        </w:tc>
      </w:tr>
      <w:tr w:rsidR="00B15943" w:rsidRPr="001D40C8" w14:paraId="360731E9" w14:textId="77777777" w:rsidTr="00B15943">
        <w:tc>
          <w:tcPr>
            <w:tcW w:w="1638" w:type="dxa"/>
          </w:tcPr>
          <w:p w14:paraId="28081325" w14:textId="1ED9740B" w:rsidR="00B15943" w:rsidRPr="001D40C8" w:rsidRDefault="00800383" w:rsidP="00B15943">
            <w:pPr>
              <w:ind w:right="-86"/>
              <w:rPr>
                <w:rFonts w:eastAsia="MS Mincho"/>
                <w:b/>
                <w:lang w:val="fr-FR"/>
              </w:rPr>
            </w:pPr>
            <w:r>
              <w:rPr>
                <w:rFonts w:eastAsia="MS Mincho"/>
                <w:b/>
                <w:sz w:val="22"/>
                <w:szCs w:val="22"/>
                <w:lang w:val="fr-FR"/>
              </w:rPr>
              <w:t>Chapitre</w:t>
            </w:r>
            <w:r w:rsidR="00B15943" w:rsidRPr="001D40C8">
              <w:rPr>
                <w:rFonts w:eastAsia="MS Mincho"/>
                <w:b/>
                <w:sz w:val="22"/>
                <w:szCs w:val="22"/>
                <w:lang w:val="fr-FR"/>
              </w:rPr>
              <w:t xml:space="preserve"> 4</w:t>
            </w:r>
          </w:p>
        </w:tc>
        <w:tc>
          <w:tcPr>
            <w:tcW w:w="6210" w:type="dxa"/>
          </w:tcPr>
          <w:p w14:paraId="58D33760" w14:textId="2360A2E7" w:rsidR="00B15943" w:rsidRPr="001D40C8" w:rsidRDefault="0065362D" w:rsidP="00B15943">
            <w:pPr>
              <w:ind w:right="-86"/>
              <w:rPr>
                <w:rFonts w:eastAsia="MS Mincho"/>
                <w:b/>
                <w:lang w:val="fr-FR"/>
              </w:rPr>
            </w:pPr>
            <w:r w:rsidRPr="0065362D">
              <w:rPr>
                <w:rFonts w:eastAsia="MS Mincho"/>
                <w:b/>
                <w:sz w:val="22"/>
                <w:szCs w:val="22"/>
                <w:lang w:val="fr-FR"/>
              </w:rPr>
              <w:t>Conditions favorables à une mise en œuvre</w:t>
            </w:r>
          </w:p>
        </w:tc>
        <w:tc>
          <w:tcPr>
            <w:tcW w:w="720" w:type="dxa"/>
          </w:tcPr>
          <w:p w14:paraId="3A003BE9" w14:textId="2CDA1B1F" w:rsidR="00B15943" w:rsidRPr="001D40C8" w:rsidRDefault="0065362D" w:rsidP="00B15943">
            <w:pPr>
              <w:ind w:right="-86"/>
              <w:jc w:val="center"/>
              <w:rPr>
                <w:rFonts w:eastAsia="MS Mincho"/>
                <w:b/>
                <w:lang w:val="fr-FR"/>
              </w:rPr>
            </w:pPr>
            <w:r>
              <w:rPr>
                <w:rFonts w:eastAsia="MS Mincho"/>
                <w:b/>
                <w:sz w:val="22"/>
                <w:szCs w:val="22"/>
                <w:lang w:val="fr-FR"/>
              </w:rPr>
              <w:t>15</w:t>
            </w:r>
          </w:p>
        </w:tc>
      </w:tr>
      <w:tr w:rsidR="00B15943" w:rsidRPr="001D40C8" w14:paraId="643A902E" w14:textId="77777777" w:rsidTr="00B15943">
        <w:tc>
          <w:tcPr>
            <w:tcW w:w="1638" w:type="dxa"/>
          </w:tcPr>
          <w:p w14:paraId="4D12906F" w14:textId="2B7F10D9" w:rsidR="00B15943" w:rsidRPr="001D40C8" w:rsidRDefault="00800383" w:rsidP="00B15943">
            <w:pPr>
              <w:ind w:right="-86"/>
              <w:rPr>
                <w:rFonts w:eastAsia="MS Mincho"/>
                <w:b/>
                <w:lang w:val="fr-FR"/>
              </w:rPr>
            </w:pPr>
            <w:r>
              <w:rPr>
                <w:rFonts w:eastAsia="MS Mincho"/>
                <w:b/>
                <w:sz w:val="22"/>
                <w:szCs w:val="22"/>
                <w:lang w:val="fr-FR"/>
              </w:rPr>
              <w:t xml:space="preserve">  </w:t>
            </w:r>
            <w:r w:rsidR="00B15943" w:rsidRPr="001D40C8">
              <w:rPr>
                <w:rFonts w:eastAsia="MS Mincho"/>
                <w:b/>
                <w:sz w:val="22"/>
                <w:szCs w:val="22"/>
                <w:lang w:val="fr-FR"/>
              </w:rPr>
              <w:t>Annex</w:t>
            </w:r>
            <w:r>
              <w:rPr>
                <w:rFonts w:eastAsia="MS Mincho"/>
                <w:b/>
                <w:sz w:val="22"/>
                <w:szCs w:val="22"/>
                <w:lang w:val="fr-FR"/>
              </w:rPr>
              <w:t>e</w:t>
            </w:r>
            <w:r w:rsidR="00B15943" w:rsidRPr="001D40C8">
              <w:rPr>
                <w:rFonts w:eastAsia="MS Mincho"/>
                <w:b/>
                <w:sz w:val="22"/>
                <w:szCs w:val="22"/>
                <w:lang w:val="fr-FR"/>
              </w:rPr>
              <w:t xml:space="preserve"> A</w:t>
            </w:r>
          </w:p>
        </w:tc>
        <w:tc>
          <w:tcPr>
            <w:tcW w:w="6210" w:type="dxa"/>
          </w:tcPr>
          <w:p w14:paraId="5C3BD587" w14:textId="73A6510B" w:rsidR="00B15943" w:rsidRPr="006124BC" w:rsidRDefault="0065362D" w:rsidP="00B15943">
            <w:pPr>
              <w:ind w:right="-86"/>
              <w:rPr>
                <w:rFonts w:eastAsia="MS Mincho"/>
                <w:b/>
                <w:lang w:val="fr-FR"/>
              </w:rPr>
            </w:pPr>
            <w:r w:rsidRPr="006124BC">
              <w:rPr>
                <w:rFonts w:eastAsia="MS Mincho"/>
                <w:b/>
                <w:sz w:val="22"/>
                <w:szCs w:val="22"/>
                <w:lang w:val="fr-FR"/>
              </w:rPr>
              <w:t>Correspondance entre le Plan stratégique pour les espèces migratrices et les Objectifs d’Aichi pour la biodiversité</w:t>
            </w:r>
          </w:p>
        </w:tc>
        <w:tc>
          <w:tcPr>
            <w:tcW w:w="720" w:type="dxa"/>
          </w:tcPr>
          <w:p w14:paraId="7E7B88C3" w14:textId="69605C0B" w:rsidR="00B15943" w:rsidRPr="001D40C8" w:rsidRDefault="0065362D" w:rsidP="00B15943">
            <w:pPr>
              <w:ind w:right="-86"/>
              <w:jc w:val="center"/>
              <w:rPr>
                <w:rFonts w:eastAsia="MS Mincho"/>
                <w:b/>
                <w:lang w:val="fr-FR"/>
              </w:rPr>
            </w:pPr>
            <w:r>
              <w:rPr>
                <w:rFonts w:eastAsia="MS Mincho"/>
                <w:b/>
                <w:sz w:val="22"/>
                <w:szCs w:val="22"/>
                <w:lang w:val="fr-FR"/>
              </w:rPr>
              <w:t>19</w:t>
            </w:r>
          </w:p>
        </w:tc>
      </w:tr>
      <w:tr w:rsidR="00B15943" w:rsidRPr="001D40C8" w14:paraId="6D188C0F" w14:textId="77777777" w:rsidTr="00B15943">
        <w:tc>
          <w:tcPr>
            <w:tcW w:w="1638" w:type="dxa"/>
          </w:tcPr>
          <w:p w14:paraId="35BA31EB" w14:textId="68AF479F" w:rsidR="00B15943" w:rsidRPr="001D40C8" w:rsidRDefault="00800383" w:rsidP="00B15943">
            <w:pPr>
              <w:ind w:right="-86"/>
              <w:rPr>
                <w:rFonts w:eastAsia="MS Mincho"/>
                <w:b/>
                <w:lang w:val="fr-FR"/>
              </w:rPr>
            </w:pPr>
            <w:r>
              <w:rPr>
                <w:rFonts w:eastAsia="MS Mincho"/>
                <w:b/>
                <w:sz w:val="22"/>
                <w:szCs w:val="22"/>
                <w:lang w:val="fr-FR"/>
              </w:rPr>
              <w:t xml:space="preserve">  </w:t>
            </w:r>
            <w:r w:rsidR="00B15943" w:rsidRPr="001D40C8">
              <w:rPr>
                <w:rFonts w:eastAsia="MS Mincho"/>
                <w:b/>
                <w:sz w:val="22"/>
                <w:szCs w:val="22"/>
                <w:lang w:val="fr-FR"/>
              </w:rPr>
              <w:t>Annex</w:t>
            </w:r>
            <w:r>
              <w:rPr>
                <w:rFonts w:eastAsia="MS Mincho"/>
                <w:b/>
                <w:sz w:val="22"/>
                <w:szCs w:val="22"/>
                <w:lang w:val="fr-FR"/>
              </w:rPr>
              <w:t>e</w:t>
            </w:r>
            <w:r w:rsidR="00B15943" w:rsidRPr="001D40C8">
              <w:rPr>
                <w:rFonts w:eastAsia="MS Mincho"/>
                <w:b/>
                <w:sz w:val="22"/>
                <w:szCs w:val="22"/>
                <w:lang w:val="fr-FR"/>
              </w:rPr>
              <w:t xml:space="preserve"> B</w:t>
            </w:r>
          </w:p>
        </w:tc>
        <w:tc>
          <w:tcPr>
            <w:tcW w:w="6210" w:type="dxa"/>
          </w:tcPr>
          <w:p w14:paraId="4319CBDA" w14:textId="507DBBEC" w:rsidR="00B15943" w:rsidRPr="001D40C8" w:rsidRDefault="0065362D" w:rsidP="001D40C8">
            <w:pPr>
              <w:ind w:right="-86"/>
              <w:rPr>
                <w:rFonts w:eastAsia="MS Mincho"/>
                <w:b/>
                <w:lang w:val="fr-FR"/>
              </w:rPr>
            </w:pPr>
            <w:r w:rsidRPr="0065362D">
              <w:rPr>
                <w:rFonts w:eastAsia="MS Mincho"/>
                <w:b/>
                <w:strike/>
                <w:sz w:val="22"/>
                <w:szCs w:val="22"/>
                <w:lang w:val="fr-FR"/>
              </w:rPr>
              <w:t>Proposition d’indicateurs du Plan stratégique</w:t>
            </w:r>
            <w:r w:rsidRPr="0065362D">
              <w:rPr>
                <w:rFonts w:eastAsia="MS Mincho"/>
                <w:b/>
                <w:strike/>
                <w:sz w:val="22"/>
                <w:szCs w:val="22"/>
                <w:highlight w:val="yellow"/>
                <w:lang w:val="fr-FR"/>
              </w:rPr>
              <w:t xml:space="preserve"> </w:t>
            </w:r>
            <w:r w:rsidR="001D40C8" w:rsidRPr="0031003F">
              <w:rPr>
                <w:b/>
                <w:sz w:val="22"/>
                <w:u w:val="single"/>
                <w:lang w:val="fr-FR"/>
              </w:rPr>
              <w:t>Indicateurs détaillés du Plan stratégique pour les espèces migratrices</w:t>
            </w:r>
          </w:p>
        </w:tc>
        <w:tc>
          <w:tcPr>
            <w:tcW w:w="720" w:type="dxa"/>
          </w:tcPr>
          <w:p w14:paraId="4FAE4EF9" w14:textId="1E771908" w:rsidR="00B15943" w:rsidRPr="001D40C8" w:rsidRDefault="0065362D" w:rsidP="00B15943">
            <w:pPr>
              <w:ind w:right="-86"/>
              <w:jc w:val="center"/>
              <w:rPr>
                <w:rFonts w:eastAsia="MS Mincho"/>
                <w:b/>
                <w:lang w:val="fr-FR"/>
              </w:rPr>
            </w:pPr>
            <w:r>
              <w:rPr>
                <w:rFonts w:eastAsia="MS Mincho"/>
                <w:b/>
                <w:sz w:val="22"/>
                <w:szCs w:val="22"/>
                <w:lang w:val="fr-FR"/>
              </w:rPr>
              <w:t>21</w:t>
            </w:r>
          </w:p>
        </w:tc>
      </w:tr>
      <w:tr w:rsidR="00B15943" w:rsidRPr="001D40C8" w14:paraId="5B5E1F91" w14:textId="77777777" w:rsidTr="00B15943">
        <w:tc>
          <w:tcPr>
            <w:tcW w:w="1638" w:type="dxa"/>
          </w:tcPr>
          <w:p w14:paraId="61C200FA" w14:textId="77777777" w:rsidR="00B15943" w:rsidRPr="001D40C8" w:rsidRDefault="00B15943" w:rsidP="00B15943">
            <w:pPr>
              <w:ind w:right="-86"/>
              <w:rPr>
                <w:rFonts w:eastAsia="MS Mincho"/>
                <w:b/>
                <w:lang w:val="fr-FR"/>
              </w:rPr>
            </w:pPr>
          </w:p>
        </w:tc>
        <w:tc>
          <w:tcPr>
            <w:tcW w:w="6210" w:type="dxa"/>
          </w:tcPr>
          <w:p w14:paraId="6AAC5574" w14:textId="77777777" w:rsidR="00B15943" w:rsidRPr="001D40C8" w:rsidRDefault="00B15943" w:rsidP="00B15943">
            <w:pPr>
              <w:ind w:right="-86"/>
              <w:rPr>
                <w:rFonts w:eastAsia="MS Mincho"/>
                <w:b/>
                <w:lang w:val="fr-FR"/>
              </w:rPr>
            </w:pPr>
          </w:p>
        </w:tc>
        <w:tc>
          <w:tcPr>
            <w:tcW w:w="720" w:type="dxa"/>
          </w:tcPr>
          <w:p w14:paraId="70572CC9" w14:textId="77777777" w:rsidR="00B15943" w:rsidRPr="001D40C8" w:rsidRDefault="00B15943" w:rsidP="00B15943">
            <w:pPr>
              <w:ind w:right="-86"/>
              <w:jc w:val="center"/>
              <w:rPr>
                <w:rFonts w:eastAsia="MS Mincho"/>
                <w:b/>
                <w:lang w:val="fr-FR"/>
              </w:rPr>
            </w:pPr>
          </w:p>
        </w:tc>
      </w:tr>
    </w:tbl>
    <w:p w14:paraId="44EDE3F4" w14:textId="77777777" w:rsidR="00B15943" w:rsidRPr="001D40C8" w:rsidRDefault="00B15943" w:rsidP="00B15943">
      <w:pPr>
        <w:ind w:right="-88"/>
        <w:rPr>
          <w:rFonts w:eastAsia="MS Mincho" w:cs="Arial"/>
          <w:sz w:val="22"/>
          <w:szCs w:val="22"/>
          <w:lang w:val="fr-FR"/>
        </w:rPr>
        <w:sectPr w:rsidR="00B15943" w:rsidRPr="001D40C8" w:rsidSect="00B15943">
          <w:headerReference w:type="default" r:id="rId27"/>
          <w:footerReference w:type="default" r:id="rId28"/>
          <w:pgSz w:w="11906" w:h="16838" w:code="9"/>
          <w:pgMar w:top="1440" w:right="1797" w:bottom="1440" w:left="1797" w:header="397" w:footer="397" w:gutter="0"/>
          <w:cols w:space="708"/>
          <w:docGrid w:linePitch="360"/>
        </w:sectPr>
      </w:pPr>
    </w:p>
    <w:p w14:paraId="754EDF27" w14:textId="77777777" w:rsidR="00B15943" w:rsidRPr="001D40C8" w:rsidRDefault="00B15943" w:rsidP="00B15943">
      <w:pPr>
        <w:ind w:right="-88"/>
        <w:rPr>
          <w:rFonts w:eastAsia="MS Mincho" w:cs="Arial"/>
          <w:sz w:val="4"/>
          <w:szCs w:val="4"/>
          <w:lang w:val="fr-FR"/>
        </w:rPr>
      </w:pPr>
    </w:p>
    <w:tbl>
      <w:tblPr>
        <w:tblW w:w="0" w:type="auto"/>
        <w:jc w:val="center"/>
        <w:tblBorders>
          <w:bottom w:val="single" w:sz="4" w:space="0" w:color="auto"/>
        </w:tblBorders>
        <w:tblLook w:val="01E0" w:firstRow="1" w:lastRow="1" w:firstColumn="1" w:lastColumn="1" w:noHBand="0" w:noVBand="0"/>
      </w:tblPr>
      <w:tblGrid>
        <w:gridCol w:w="8935"/>
      </w:tblGrid>
      <w:tr w:rsidR="007F026E" w:rsidRPr="00247C6D" w14:paraId="2EDA86E4" w14:textId="77777777" w:rsidTr="006124BC">
        <w:trPr>
          <w:jc w:val="center"/>
        </w:trPr>
        <w:tc>
          <w:tcPr>
            <w:tcW w:w="8935" w:type="dxa"/>
            <w:tcBorders>
              <w:bottom w:val="single" w:sz="4" w:space="0" w:color="auto"/>
            </w:tcBorders>
            <w:shd w:val="clear" w:color="auto" w:fill="E6E6E6"/>
          </w:tcPr>
          <w:p w14:paraId="39E204AF" w14:textId="77777777" w:rsidR="007F026E" w:rsidRPr="00247C6D" w:rsidRDefault="007F026E" w:rsidP="006124BC">
            <w:pPr>
              <w:ind w:left="-86" w:right="-88"/>
              <w:rPr>
                <w:rFonts w:eastAsia="MS Mincho"/>
                <w:b/>
                <w:color w:val="000080"/>
                <w:sz w:val="30"/>
                <w:szCs w:val="30"/>
                <w:lang w:val="fr-FR"/>
              </w:rPr>
            </w:pPr>
            <w:r w:rsidRPr="00247C6D">
              <w:rPr>
                <w:b/>
                <w:color w:val="000080"/>
                <w:sz w:val="30"/>
                <w:szCs w:val="30"/>
                <w:lang w:val="fr-FR"/>
              </w:rPr>
              <w:br w:type="page"/>
            </w:r>
            <w:r w:rsidRPr="00247C6D">
              <w:rPr>
                <w:rFonts w:eastAsia="MS Mincho"/>
                <w:b/>
                <w:color w:val="000080"/>
                <w:sz w:val="30"/>
                <w:szCs w:val="30"/>
                <w:lang w:val="fr-FR"/>
              </w:rPr>
              <w:br w:type="page"/>
              <w:t>Chapitre 1. Fondement</w:t>
            </w:r>
          </w:p>
        </w:tc>
      </w:tr>
    </w:tbl>
    <w:p w14:paraId="1075A017" w14:textId="77777777" w:rsidR="007F026E" w:rsidRPr="004C5D74" w:rsidRDefault="007F026E" w:rsidP="007F026E">
      <w:pPr>
        <w:ind w:right="-88"/>
        <w:rPr>
          <w:rFonts w:eastAsia="MS Mincho" w:cs="Arial"/>
          <w:sz w:val="22"/>
          <w:lang w:val="fr-FR"/>
        </w:rPr>
      </w:pPr>
    </w:p>
    <w:p w14:paraId="0B8B3BDF" w14:textId="77777777" w:rsidR="007F026E" w:rsidRPr="00247C6D" w:rsidRDefault="007F026E" w:rsidP="007F026E">
      <w:pPr>
        <w:widowControl/>
        <w:numPr>
          <w:ilvl w:val="1"/>
          <w:numId w:val="4"/>
        </w:numPr>
        <w:ind w:right="-88"/>
        <w:jc w:val="both"/>
        <w:rPr>
          <w:rFonts w:eastAsia="MS Mincho"/>
          <w:b/>
          <w:sz w:val="22"/>
          <w:lang w:val="fr-FR" w:eastAsia="ja-JP"/>
        </w:rPr>
      </w:pPr>
      <w:r w:rsidRPr="00247C6D">
        <w:rPr>
          <w:rFonts w:eastAsia="MS Mincho"/>
          <w:b/>
          <w:sz w:val="22"/>
          <w:lang w:val="fr-FR" w:eastAsia="ja-JP"/>
        </w:rPr>
        <w:t>Contexte du Plan stratégique pour les espèces migratrices</w:t>
      </w:r>
    </w:p>
    <w:p w14:paraId="77847F3F" w14:textId="77777777" w:rsidR="007F026E" w:rsidRPr="00247C6D" w:rsidRDefault="007F026E" w:rsidP="007F026E">
      <w:pPr>
        <w:ind w:right="-88"/>
        <w:rPr>
          <w:rFonts w:eastAsia="MS Mincho"/>
          <w:sz w:val="22"/>
          <w:lang w:val="fr-FR"/>
        </w:rPr>
      </w:pPr>
    </w:p>
    <w:p w14:paraId="31129EA8" w14:textId="77777777" w:rsidR="007F026E" w:rsidRPr="00247C6D" w:rsidRDefault="007F026E" w:rsidP="007F026E">
      <w:pPr>
        <w:jc w:val="both"/>
        <w:rPr>
          <w:rFonts w:eastAsia="MS Mincho"/>
          <w:sz w:val="22"/>
          <w:lang w:val="fr-FR"/>
        </w:rPr>
      </w:pPr>
      <w:r w:rsidRPr="00247C6D">
        <w:rPr>
          <w:rFonts w:eastAsia="MS Mincho"/>
          <w:sz w:val="22"/>
          <w:lang w:val="fr-FR"/>
        </w:rPr>
        <w:t xml:space="preserve">À la dixième session de la Conférence des Parties à la Convention sur les espèces migratrices (COP10 de la CMS, novembre 2011, Bergen, Norvège), les Parties ont décidé d’élaborer un nouveau Plan stratégique pour la période 2015-2023. La COP8 avait adopté auparavant un Plan pour la période 2006-2011, qui a été prolongé par la COP10 jusqu’en 2014 avec de légères modifications. </w:t>
      </w:r>
    </w:p>
    <w:p w14:paraId="325D55CB" w14:textId="77777777" w:rsidR="007F026E" w:rsidRPr="00247C6D" w:rsidRDefault="007F026E" w:rsidP="007F026E">
      <w:pPr>
        <w:spacing w:before="120" w:after="120"/>
        <w:jc w:val="both"/>
        <w:rPr>
          <w:rFonts w:eastAsia="MS Mincho"/>
          <w:sz w:val="22"/>
          <w:lang w:val="fr-FR"/>
        </w:rPr>
      </w:pPr>
      <w:r w:rsidRPr="00247C6D">
        <w:rPr>
          <w:rFonts w:eastAsia="MS Mincho"/>
          <w:sz w:val="22"/>
          <w:lang w:val="fr-FR"/>
        </w:rPr>
        <w:t>La date de fin du présent Plan stratégique a été choisie car elle coïncide avec le cycle de Conférences des Parties de la CMS et, plus important encore, elle laisse le temps d’examiner les progrès accomplis pendant la Décennie des Nations Unies pour la biodiversité (voir figure 1, les jalons CMS figurant en grisé). Cette échéance donne aussi l’occasion d’évaluer comment le Plan stratégique pour les espèces migratrices 2015-2023 a contribué à la réalisation du Plan stratégique 2011-2020 pour la diversité biologique et de ses Objectifs d’Aichi</w:t>
      </w:r>
      <w:r w:rsidRPr="00247C6D">
        <w:rPr>
          <w:rFonts w:eastAsia="MS Mincho"/>
          <w:sz w:val="22"/>
          <w:vertAlign w:val="superscript"/>
          <w:lang w:val="fr-FR"/>
        </w:rPr>
        <w:footnoteReference w:id="2"/>
      </w:r>
      <w:r w:rsidRPr="00247C6D">
        <w:rPr>
          <w:rFonts w:eastAsia="MS Mincho"/>
          <w:sz w:val="22"/>
          <w:lang w:val="fr-FR"/>
        </w:rPr>
        <w:t>. Les objectifs du Plan stratégique pour les espèces migratrices sont plus spécifiques et courent sur une plus longue durée que les Objectifs d’Aichi (la plupart ont une date d’achèvement en 2020).</w:t>
      </w:r>
    </w:p>
    <w:p w14:paraId="41B12084" w14:textId="77777777" w:rsidR="007F026E" w:rsidRPr="00247C6D" w:rsidRDefault="007F026E" w:rsidP="007F026E">
      <w:pPr>
        <w:spacing w:before="120" w:after="120"/>
        <w:rPr>
          <w:rFonts w:eastAsia="MS Mincho"/>
          <w:sz w:val="22"/>
          <w:lang w:val="fr-FR"/>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080"/>
      </w:tblGrid>
      <w:tr w:rsidR="007F026E" w:rsidRPr="00247C6D" w14:paraId="4F44CC1B" w14:textId="77777777" w:rsidTr="006124BC">
        <w:tc>
          <w:tcPr>
            <w:tcW w:w="5220" w:type="dxa"/>
            <w:shd w:val="clear" w:color="auto" w:fill="D9D9D9"/>
            <w:vAlign w:val="center"/>
          </w:tcPr>
          <w:p w14:paraId="433944A4" w14:textId="77777777" w:rsidR="007F026E" w:rsidRPr="00247C6D" w:rsidRDefault="007F026E" w:rsidP="006124BC">
            <w:pPr>
              <w:spacing w:before="40" w:after="40"/>
              <w:jc w:val="center"/>
              <w:rPr>
                <w:rFonts w:eastAsia="MS Mincho"/>
                <w:b/>
                <w:sz w:val="22"/>
                <w:lang w:val="fr-FR"/>
              </w:rPr>
            </w:pPr>
            <w:r w:rsidRPr="00247C6D">
              <w:rPr>
                <w:rFonts w:eastAsia="MS Mincho"/>
                <w:b/>
                <w:sz w:val="22"/>
                <w:lang w:val="fr-FR"/>
              </w:rPr>
              <w:t>Jalons</w:t>
            </w:r>
          </w:p>
        </w:tc>
        <w:tc>
          <w:tcPr>
            <w:tcW w:w="1080" w:type="dxa"/>
            <w:shd w:val="clear" w:color="auto" w:fill="D9D9D9"/>
            <w:vAlign w:val="center"/>
          </w:tcPr>
          <w:p w14:paraId="070B1582" w14:textId="77777777" w:rsidR="007F026E" w:rsidRPr="00247C6D" w:rsidRDefault="007F026E" w:rsidP="006124BC">
            <w:pPr>
              <w:spacing w:before="40" w:after="40"/>
              <w:jc w:val="center"/>
              <w:rPr>
                <w:rFonts w:eastAsia="MS Mincho"/>
                <w:b/>
                <w:sz w:val="22"/>
                <w:lang w:val="fr-FR"/>
              </w:rPr>
            </w:pPr>
            <w:r w:rsidRPr="00247C6D">
              <w:rPr>
                <w:rFonts w:eastAsia="MS Mincho"/>
                <w:b/>
                <w:sz w:val="22"/>
                <w:lang w:val="fr-FR"/>
              </w:rPr>
              <w:t>Date</w:t>
            </w:r>
          </w:p>
        </w:tc>
      </w:tr>
      <w:tr w:rsidR="007F026E" w:rsidRPr="00247C6D" w14:paraId="27D6E063" w14:textId="77777777" w:rsidTr="006124BC">
        <w:tc>
          <w:tcPr>
            <w:tcW w:w="5220" w:type="dxa"/>
            <w:vAlign w:val="center"/>
          </w:tcPr>
          <w:p w14:paraId="1D570446" w14:textId="77777777" w:rsidR="007F026E" w:rsidRPr="00247C6D" w:rsidRDefault="007F026E" w:rsidP="006124BC">
            <w:pPr>
              <w:rPr>
                <w:rFonts w:eastAsia="MS Mincho"/>
                <w:sz w:val="22"/>
                <w:lang w:val="fr-FR"/>
              </w:rPr>
            </w:pPr>
            <w:r w:rsidRPr="00247C6D">
              <w:rPr>
                <w:rFonts w:eastAsia="MS Mincho"/>
                <w:sz w:val="22"/>
                <w:lang w:val="fr-FR"/>
              </w:rPr>
              <w:t xml:space="preserve">Adoption du Plan stratégique 2011-2020 et des Objectifs d’Aichi pour la biodiversité </w:t>
            </w:r>
          </w:p>
        </w:tc>
        <w:tc>
          <w:tcPr>
            <w:tcW w:w="1080" w:type="dxa"/>
            <w:vAlign w:val="center"/>
          </w:tcPr>
          <w:p w14:paraId="2E4BAA74" w14:textId="77777777" w:rsidR="007F026E" w:rsidRPr="00247C6D" w:rsidRDefault="007F026E" w:rsidP="006124BC">
            <w:pPr>
              <w:jc w:val="center"/>
              <w:rPr>
                <w:rFonts w:eastAsia="MS Mincho"/>
                <w:sz w:val="22"/>
                <w:lang w:val="fr-FR"/>
              </w:rPr>
            </w:pPr>
            <w:r w:rsidRPr="00247C6D">
              <w:rPr>
                <w:rFonts w:eastAsia="MS Mincho"/>
                <w:sz w:val="22"/>
                <w:lang w:val="fr-FR"/>
              </w:rPr>
              <w:t>2010</w:t>
            </w:r>
          </w:p>
        </w:tc>
      </w:tr>
      <w:tr w:rsidR="007F026E" w:rsidRPr="00247C6D" w14:paraId="16ED8990" w14:textId="77777777" w:rsidTr="006124BC">
        <w:tc>
          <w:tcPr>
            <w:tcW w:w="5220" w:type="dxa"/>
            <w:shd w:val="clear" w:color="auto" w:fill="E6E6E6"/>
            <w:vAlign w:val="center"/>
          </w:tcPr>
          <w:p w14:paraId="796AEAF0" w14:textId="77777777" w:rsidR="007F026E" w:rsidRPr="00247C6D" w:rsidRDefault="007F026E" w:rsidP="006124BC">
            <w:pPr>
              <w:rPr>
                <w:rFonts w:eastAsia="MS Mincho"/>
                <w:sz w:val="22"/>
                <w:lang w:val="fr-FR"/>
              </w:rPr>
            </w:pPr>
            <w:r w:rsidRPr="00247C6D">
              <w:rPr>
                <w:rFonts w:eastAsia="MS Mincho"/>
                <w:sz w:val="22"/>
                <w:lang w:val="fr-FR"/>
              </w:rPr>
              <w:t>Adoption du Plan stratégique pour les espèces migratrices 2015-2023</w:t>
            </w:r>
          </w:p>
        </w:tc>
        <w:tc>
          <w:tcPr>
            <w:tcW w:w="1080" w:type="dxa"/>
            <w:shd w:val="clear" w:color="auto" w:fill="E6E6E6"/>
            <w:vAlign w:val="center"/>
          </w:tcPr>
          <w:p w14:paraId="15C3E324" w14:textId="77777777" w:rsidR="007F026E" w:rsidRPr="00247C6D" w:rsidRDefault="007F026E" w:rsidP="006124BC">
            <w:pPr>
              <w:jc w:val="center"/>
              <w:rPr>
                <w:rFonts w:eastAsia="MS Mincho"/>
                <w:sz w:val="22"/>
                <w:lang w:val="fr-FR"/>
              </w:rPr>
            </w:pPr>
            <w:r w:rsidRPr="00247C6D">
              <w:rPr>
                <w:rFonts w:eastAsia="MS Mincho"/>
                <w:sz w:val="22"/>
                <w:lang w:val="fr-FR"/>
              </w:rPr>
              <w:t>2014</w:t>
            </w:r>
          </w:p>
        </w:tc>
      </w:tr>
      <w:tr w:rsidR="007F026E" w:rsidRPr="00247C6D" w14:paraId="5328E927" w14:textId="77777777" w:rsidTr="006124BC">
        <w:tc>
          <w:tcPr>
            <w:tcW w:w="5220" w:type="dxa"/>
            <w:vAlign w:val="center"/>
          </w:tcPr>
          <w:p w14:paraId="31C3169B" w14:textId="77777777" w:rsidR="007F026E" w:rsidRPr="00247C6D" w:rsidRDefault="007F026E" w:rsidP="006124BC">
            <w:pPr>
              <w:rPr>
                <w:rFonts w:eastAsia="MS Mincho"/>
                <w:sz w:val="22"/>
                <w:lang w:val="fr-FR"/>
              </w:rPr>
            </w:pPr>
            <w:r w:rsidRPr="00247C6D">
              <w:rPr>
                <w:rFonts w:eastAsia="MS Mincho"/>
                <w:sz w:val="22"/>
                <w:lang w:val="fr-FR"/>
              </w:rPr>
              <w:t xml:space="preserve">COP13 de la CDB </w:t>
            </w:r>
          </w:p>
        </w:tc>
        <w:tc>
          <w:tcPr>
            <w:tcW w:w="1080" w:type="dxa"/>
            <w:vAlign w:val="center"/>
          </w:tcPr>
          <w:p w14:paraId="2447021D" w14:textId="77777777" w:rsidR="007F026E" w:rsidRPr="00247C6D" w:rsidRDefault="007F026E" w:rsidP="006124BC">
            <w:pPr>
              <w:jc w:val="center"/>
              <w:rPr>
                <w:rFonts w:eastAsia="MS Mincho"/>
                <w:sz w:val="22"/>
                <w:lang w:val="fr-FR"/>
              </w:rPr>
            </w:pPr>
            <w:r w:rsidRPr="00247C6D">
              <w:rPr>
                <w:rFonts w:eastAsia="MS Mincho"/>
                <w:sz w:val="22"/>
                <w:lang w:val="fr-FR"/>
              </w:rPr>
              <w:t>2016</w:t>
            </w:r>
          </w:p>
        </w:tc>
      </w:tr>
      <w:tr w:rsidR="007F026E" w:rsidRPr="00247C6D" w14:paraId="33F360C2" w14:textId="77777777" w:rsidTr="006124BC">
        <w:tc>
          <w:tcPr>
            <w:tcW w:w="5220" w:type="dxa"/>
            <w:shd w:val="clear" w:color="auto" w:fill="E6E6E6"/>
            <w:vAlign w:val="center"/>
          </w:tcPr>
          <w:p w14:paraId="6385561B" w14:textId="77777777" w:rsidR="007F026E" w:rsidRPr="00247C6D" w:rsidRDefault="007F026E" w:rsidP="006124BC">
            <w:pPr>
              <w:rPr>
                <w:rFonts w:eastAsia="MS Mincho"/>
                <w:sz w:val="22"/>
                <w:lang w:val="fr-FR"/>
              </w:rPr>
            </w:pPr>
            <w:r w:rsidRPr="00247C6D">
              <w:rPr>
                <w:rFonts w:eastAsia="MS Mincho"/>
                <w:sz w:val="22"/>
                <w:lang w:val="fr-FR"/>
              </w:rPr>
              <w:t xml:space="preserve">COP12 de la CMS </w:t>
            </w:r>
            <w:r w:rsidRPr="0031003F">
              <w:rPr>
                <w:rFonts w:eastAsia="MS Mincho"/>
                <w:strike/>
                <w:sz w:val="22"/>
                <w:lang w:val="fr-FR"/>
              </w:rPr>
              <w:t>(prévisionnel)</w:t>
            </w:r>
          </w:p>
        </w:tc>
        <w:tc>
          <w:tcPr>
            <w:tcW w:w="1080" w:type="dxa"/>
            <w:shd w:val="clear" w:color="auto" w:fill="E6E6E6"/>
            <w:vAlign w:val="center"/>
          </w:tcPr>
          <w:p w14:paraId="0D453AF4" w14:textId="77777777" w:rsidR="007F026E" w:rsidRPr="00247C6D" w:rsidRDefault="007F026E" w:rsidP="006124BC">
            <w:pPr>
              <w:jc w:val="center"/>
              <w:rPr>
                <w:rFonts w:eastAsia="MS Mincho"/>
                <w:sz w:val="22"/>
                <w:lang w:val="fr-FR"/>
              </w:rPr>
            </w:pPr>
            <w:r w:rsidRPr="00247C6D">
              <w:rPr>
                <w:rFonts w:eastAsia="MS Mincho"/>
                <w:sz w:val="22"/>
                <w:lang w:val="fr-FR"/>
              </w:rPr>
              <w:t>2017</w:t>
            </w:r>
          </w:p>
        </w:tc>
      </w:tr>
      <w:tr w:rsidR="007F026E" w:rsidRPr="00247C6D" w14:paraId="2C43D6FB" w14:textId="77777777" w:rsidTr="006124BC">
        <w:tc>
          <w:tcPr>
            <w:tcW w:w="5220" w:type="dxa"/>
            <w:vAlign w:val="center"/>
          </w:tcPr>
          <w:p w14:paraId="1AD3BC35" w14:textId="77777777" w:rsidR="007F026E" w:rsidRPr="00247C6D" w:rsidRDefault="007F026E" w:rsidP="006124BC">
            <w:pPr>
              <w:rPr>
                <w:rFonts w:eastAsia="MS Mincho"/>
                <w:sz w:val="22"/>
                <w:lang w:val="fr-FR"/>
              </w:rPr>
            </w:pPr>
            <w:r w:rsidRPr="00247C6D">
              <w:rPr>
                <w:rFonts w:eastAsia="MS Mincho"/>
                <w:sz w:val="22"/>
                <w:lang w:val="fr-FR"/>
              </w:rPr>
              <w:t>COP14 de la CDB (prévisionnel)</w:t>
            </w:r>
          </w:p>
        </w:tc>
        <w:tc>
          <w:tcPr>
            <w:tcW w:w="1080" w:type="dxa"/>
            <w:vAlign w:val="center"/>
          </w:tcPr>
          <w:p w14:paraId="47E80CE7" w14:textId="77777777" w:rsidR="007F026E" w:rsidRPr="00247C6D" w:rsidRDefault="007F026E" w:rsidP="006124BC">
            <w:pPr>
              <w:jc w:val="center"/>
              <w:rPr>
                <w:rFonts w:eastAsia="MS Mincho"/>
                <w:sz w:val="22"/>
                <w:lang w:val="fr-FR"/>
              </w:rPr>
            </w:pPr>
            <w:r w:rsidRPr="00247C6D">
              <w:rPr>
                <w:rFonts w:eastAsia="MS Mincho"/>
                <w:sz w:val="22"/>
                <w:lang w:val="fr-FR"/>
              </w:rPr>
              <w:t>2018</w:t>
            </w:r>
          </w:p>
        </w:tc>
      </w:tr>
      <w:tr w:rsidR="007F026E" w:rsidRPr="00247C6D" w14:paraId="5FA7671B" w14:textId="77777777" w:rsidTr="006124BC">
        <w:tc>
          <w:tcPr>
            <w:tcW w:w="5220" w:type="dxa"/>
            <w:vAlign w:val="center"/>
          </w:tcPr>
          <w:p w14:paraId="419B2596" w14:textId="77777777" w:rsidR="007F026E" w:rsidRPr="00247C6D" w:rsidRDefault="007F026E" w:rsidP="006124BC">
            <w:pPr>
              <w:rPr>
                <w:rFonts w:eastAsia="MS Mincho"/>
                <w:sz w:val="22"/>
                <w:lang w:val="fr-FR"/>
              </w:rPr>
            </w:pPr>
            <w:r w:rsidRPr="00247C6D">
              <w:rPr>
                <w:rFonts w:eastAsia="MS Mincho"/>
                <w:sz w:val="22"/>
                <w:lang w:val="fr-FR"/>
              </w:rPr>
              <w:t>Achèvement du Plan stratégique 2011-2020 et des Objectifs d’Aichi pour la biodiversité</w:t>
            </w:r>
          </w:p>
        </w:tc>
        <w:tc>
          <w:tcPr>
            <w:tcW w:w="1080" w:type="dxa"/>
            <w:vAlign w:val="center"/>
          </w:tcPr>
          <w:p w14:paraId="77FDD37D" w14:textId="77777777" w:rsidR="007F026E" w:rsidRPr="00247C6D" w:rsidRDefault="007F026E" w:rsidP="006124BC">
            <w:pPr>
              <w:jc w:val="center"/>
              <w:rPr>
                <w:rFonts w:eastAsia="MS Mincho"/>
                <w:sz w:val="22"/>
                <w:lang w:val="fr-FR"/>
              </w:rPr>
            </w:pPr>
            <w:r w:rsidRPr="00247C6D">
              <w:rPr>
                <w:rFonts w:eastAsia="MS Mincho"/>
                <w:sz w:val="22"/>
                <w:lang w:val="fr-FR"/>
              </w:rPr>
              <w:t>2020</w:t>
            </w:r>
          </w:p>
        </w:tc>
      </w:tr>
      <w:tr w:rsidR="007F026E" w:rsidRPr="00247C6D" w14:paraId="510D06B9" w14:textId="77777777" w:rsidTr="006124BC">
        <w:tc>
          <w:tcPr>
            <w:tcW w:w="5220" w:type="dxa"/>
            <w:vAlign w:val="center"/>
          </w:tcPr>
          <w:p w14:paraId="342B6B06" w14:textId="77777777" w:rsidR="007F026E" w:rsidRPr="00247C6D" w:rsidRDefault="007F026E" w:rsidP="006124BC">
            <w:pPr>
              <w:rPr>
                <w:rFonts w:eastAsia="MS Mincho"/>
                <w:sz w:val="22"/>
                <w:lang w:val="fr-FR"/>
              </w:rPr>
            </w:pPr>
            <w:r w:rsidRPr="00247C6D">
              <w:rPr>
                <w:rFonts w:eastAsia="MS Mincho"/>
                <w:sz w:val="22"/>
                <w:lang w:val="fr-FR"/>
              </w:rPr>
              <w:t>COP15 de la CBD, incluant l’évaluation des progrès vers l’atteinte des Objectifs d’Aichi pour la biodiversité (prévisionnel)</w:t>
            </w:r>
          </w:p>
        </w:tc>
        <w:tc>
          <w:tcPr>
            <w:tcW w:w="1080" w:type="dxa"/>
            <w:vAlign w:val="center"/>
          </w:tcPr>
          <w:p w14:paraId="00B59475" w14:textId="77777777" w:rsidR="007F026E" w:rsidRPr="00247C6D" w:rsidRDefault="007F026E" w:rsidP="006124BC">
            <w:pPr>
              <w:jc w:val="center"/>
              <w:rPr>
                <w:rFonts w:eastAsia="MS Mincho"/>
                <w:sz w:val="22"/>
                <w:lang w:val="fr-FR"/>
              </w:rPr>
            </w:pPr>
            <w:r w:rsidRPr="00247C6D">
              <w:rPr>
                <w:rFonts w:eastAsia="MS Mincho"/>
                <w:sz w:val="22"/>
                <w:lang w:val="fr-FR"/>
              </w:rPr>
              <w:t>2020</w:t>
            </w:r>
          </w:p>
        </w:tc>
      </w:tr>
      <w:tr w:rsidR="007F026E" w:rsidRPr="00247C6D" w14:paraId="7DD751F6" w14:textId="77777777" w:rsidTr="006124BC">
        <w:tc>
          <w:tcPr>
            <w:tcW w:w="5220" w:type="dxa"/>
            <w:shd w:val="clear" w:color="auto" w:fill="E6E6E6"/>
            <w:vAlign w:val="center"/>
          </w:tcPr>
          <w:p w14:paraId="7BC7C637" w14:textId="77777777" w:rsidR="007F026E" w:rsidRPr="00247C6D" w:rsidRDefault="007F026E" w:rsidP="006124BC">
            <w:pPr>
              <w:rPr>
                <w:rFonts w:eastAsia="MS Mincho"/>
                <w:sz w:val="22"/>
                <w:lang w:val="fr-FR"/>
              </w:rPr>
            </w:pPr>
            <w:r w:rsidRPr="00247C6D">
              <w:rPr>
                <w:rFonts w:eastAsia="MS Mincho"/>
                <w:sz w:val="22"/>
                <w:lang w:val="fr-FR"/>
              </w:rPr>
              <w:t>COP13 de la CMS (prévisionnel)</w:t>
            </w:r>
            <w:r w:rsidRPr="00247C6D">
              <w:rPr>
                <w:rFonts w:eastAsia="MS Mincho"/>
                <w:sz w:val="22"/>
                <w:vertAlign w:val="superscript"/>
                <w:lang w:val="fr-FR"/>
              </w:rPr>
              <w:footnoteReference w:id="3"/>
            </w:r>
          </w:p>
        </w:tc>
        <w:tc>
          <w:tcPr>
            <w:tcW w:w="1080" w:type="dxa"/>
            <w:shd w:val="clear" w:color="auto" w:fill="E6E6E6"/>
            <w:vAlign w:val="center"/>
          </w:tcPr>
          <w:p w14:paraId="3A0C1D93" w14:textId="77777777" w:rsidR="007F026E" w:rsidRPr="00247C6D" w:rsidRDefault="007F026E" w:rsidP="006124BC">
            <w:pPr>
              <w:jc w:val="center"/>
              <w:rPr>
                <w:rFonts w:eastAsia="MS Mincho"/>
                <w:sz w:val="22"/>
                <w:lang w:val="fr-FR"/>
              </w:rPr>
            </w:pPr>
            <w:r w:rsidRPr="00247C6D">
              <w:rPr>
                <w:rFonts w:eastAsia="MS Mincho"/>
                <w:sz w:val="22"/>
                <w:lang w:val="fr-FR"/>
              </w:rPr>
              <w:t>2020</w:t>
            </w:r>
          </w:p>
        </w:tc>
      </w:tr>
      <w:tr w:rsidR="007F026E" w:rsidRPr="00591DCA" w14:paraId="62ECFCDB" w14:textId="77777777" w:rsidTr="006124BC">
        <w:tc>
          <w:tcPr>
            <w:tcW w:w="5220" w:type="dxa"/>
            <w:vAlign w:val="center"/>
          </w:tcPr>
          <w:p w14:paraId="48704819" w14:textId="77777777" w:rsidR="007F026E" w:rsidRPr="00247C6D" w:rsidRDefault="007F026E" w:rsidP="006124BC">
            <w:pPr>
              <w:rPr>
                <w:rFonts w:eastAsia="MS Mincho"/>
                <w:sz w:val="22"/>
                <w:lang w:val="fr-FR"/>
              </w:rPr>
            </w:pPr>
            <w:r w:rsidRPr="00247C6D">
              <w:rPr>
                <w:rFonts w:eastAsia="MS Mincho"/>
                <w:sz w:val="22"/>
                <w:lang w:val="fr-FR"/>
              </w:rPr>
              <w:t>COP15 de la CDB (prévisionnel)</w:t>
            </w:r>
          </w:p>
        </w:tc>
        <w:tc>
          <w:tcPr>
            <w:tcW w:w="1080" w:type="dxa"/>
            <w:vAlign w:val="center"/>
          </w:tcPr>
          <w:p w14:paraId="168AB922" w14:textId="77777777" w:rsidR="007F026E" w:rsidRPr="00247C6D" w:rsidRDefault="007F026E" w:rsidP="006124BC">
            <w:pPr>
              <w:jc w:val="center"/>
              <w:rPr>
                <w:rFonts w:eastAsia="MS Mincho"/>
                <w:sz w:val="22"/>
                <w:lang w:val="fr-FR"/>
              </w:rPr>
            </w:pPr>
          </w:p>
        </w:tc>
      </w:tr>
      <w:tr w:rsidR="007F026E" w:rsidRPr="00247C6D" w14:paraId="5D6344FE" w14:textId="77777777" w:rsidTr="006124BC">
        <w:tc>
          <w:tcPr>
            <w:tcW w:w="5220" w:type="dxa"/>
            <w:vAlign w:val="center"/>
          </w:tcPr>
          <w:p w14:paraId="38AD3D8B" w14:textId="77777777" w:rsidR="007F026E" w:rsidRPr="00247C6D" w:rsidRDefault="007F026E" w:rsidP="006124BC">
            <w:pPr>
              <w:rPr>
                <w:rFonts w:eastAsia="MS Mincho"/>
                <w:sz w:val="22"/>
                <w:lang w:val="fr-FR"/>
              </w:rPr>
            </w:pPr>
            <w:r w:rsidRPr="00247C6D">
              <w:rPr>
                <w:rFonts w:eastAsia="MS Mincho"/>
                <w:sz w:val="22"/>
                <w:lang w:val="fr-FR"/>
              </w:rPr>
              <w:t>COP16 de la CDB (prévisionnel)</w:t>
            </w:r>
          </w:p>
        </w:tc>
        <w:tc>
          <w:tcPr>
            <w:tcW w:w="1080" w:type="dxa"/>
            <w:vAlign w:val="center"/>
          </w:tcPr>
          <w:p w14:paraId="691ECB1F" w14:textId="77777777" w:rsidR="007F026E" w:rsidRPr="00247C6D" w:rsidRDefault="007F026E" w:rsidP="006124BC">
            <w:pPr>
              <w:jc w:val="center"/>
              <w:rPr>
                <w:rFonts w:eastAsia="MS Mincho"/>
                <w:sz w:val="22"/>
                <w:lang w:val="fr-FR"/>
              </w:rPr>
            </w:pPr>
            <w:r w:rsidRPr="00247C6D">
              <w:rPr>
                <w:rFonts w:eastAsia="MS Mincho"/>
                <w:sz w:val="22"/>
                <w:lang w:val="fr-FR"/>
              </w:rPr>
              <w:t>2022</w:t>
            </w:r>
          </w:p>
        </w:tc>
      </w:tr>
      <w:tr w:rsidR="007F026E" w:rsidRPr="00247C6D" w14:paraId="487C94C3" w14:textId="77777777" w:rsidTr="006124BC">
        <w:tc>
          <w:tcPr>
            <w:tcW w:w="5220" w:type="dxa"/>
            <w:shd w:val="clear" w:color="auto" w:fill="E6E6E6"/>
            <w:vAlign w:val="center"/>
          </w:tcPr>
          <w:p w14:paraId="445AB138" w14:textId="77777777" w:rsidR="007F026E" w:rsidRPr="00247C6D" w:rsidRDefault="007F026E" w:rsidP="006124BC">
            <w:pPr>
              <w:rPr>
                <w:rFonts w:eastAsia="MS Mincho"/>
                <w:sz w:val="22"/>
                <w:lang w:val="fr-FR"/>
              </w:rPr>
            </w:pPr>
            <w:r w:rsidRPr="00247C6D">
              <w:rPr>
                <w:rFonts w:eastAsia="MS Mincho"/>
                <w:sz w:val="22"/>
                <w:lang w:val="fr-FR"/>
              </w:rPr>
              <w:t>Achèvement du Plan stratégique pour les espèces migratrices</w:t>
            </w:r>
          </w:p>
        </w:tc>
        <w:tc>
          <w:tcPr>
            <w:tcW w:w="1080" w:type="dxa"/>
            <w:shd w:val="clear" w:color="auto" w:fill="E6E6E6"/>
            <w:vAlign w:val="center"/>
          </w:tcPr>
          <w:p w14:paraId="664D8F3A" w14:textId="77777777" w:rsidR="007F026E" w:rsidRPr="00247C6D" w:rsidRDefault="007F026E" w:rsidP="006124BC">
            <w:pPr>
              <w:jc w:val="center"/>
              <w:rPr>
                <w:rFonts w:eastAsia="MS Mincho"/>
                <w:sz w:val="22"/>
                <w:lang w:val="fr-FR"/>
              </w:rPr>
            </w:pPr>
            <w:r w:rsidRPr="00247C6D">
              <w:rPr>
                <w:rFonts w:eastAsia="MS Mincho"/>
                <w:sz w:val="22"/>
                <w:lang w:val="fr-FR"/>
              </w:rPr>
              <w:t>2023</w:t>
            </w:r>
          </w:p>
        </w:tc>
      </w:tr>
      <w:tr w:rsidR="007F026E" w:rsidRPr="00247C6D" w14:paraId="23F04726" w14:textId="77777777" w:rsidTr="006124BC">
        <w:tc>
          <w:tcPr>
            <w:tcW w:w="5220" w:type="dxa"/>
            <w:shd w:val="clear" w:color="auto" w:fill="E6E6E6"/>
            <w:vAlign w:val="center"/>
          </w:tcPr>
          <w:p w14:paraId="6E63DDDF" w14:textId="77777777" w:rsidR="007F026E" w:rsidRPr="00247C6D" w:rsidRDefault="007F026E" w:rsidP="006124BC">
            <w:pPr>
              <w:rPr>
                <w:rFonts w:eastAsia="MS Mincho"/>
                <w:sz w:val="22"/>
                <w:lang w:val="fr-FR"/>
              </w:rPr>
            </w:pPr>
            <w:r w:rsidRPr="00247C6D">
              <w:rPr>
                <w:rFonts w:eastAsia="MS Mincho"/>
                <w:sz w:val="22"/>
                <w:lang w:val="fr-FR"/>
              </w:rPr>
              <w:t>COP14 de la CMS (prévisionnel)</w:t>
            </w:r>
          </w:p>
        </w:tc>
        <w:tc>
          <w:tcPr>
            <w:tcW w:w="1080" w:type="dxa"/>
            <w:shd w:val="clear" w:color="auto" w:fill="E6E6E6"/>
            <w:vAlign w:val="center"/>
          </w:tcPr>
          <w:p w14:paraId="08439679" w14:textId="77777777" w:rsidR="007F026E" w:rsidRPr="00247C6D" w:rsidRDefault="007F026E" w:rsidP="006124BC">
            <w:pPr>
              <w:jc w:val="center"/>
              <w:rPr>
                <w:rFonts w:eastAsia="MS Mincho"/>
                <w:sz w:val="22"/>
                <w:lang w:val="fr-FR"/>
              </w:rPr>
            </w:pPr>
            <w:r w:rsidRPr="00247C6D">
              <w:rPr>
                <w:rFonts w:eastAsia="MS Mincho"/>
                <w:sz w:val="22"/>
                <w:lang w:val="fr-FR"/>
              </w:rPr>
              <w:t>2023</w:t>
            </w:r>
          </w:p>
        </w:tc>
      </w:tr>
      <w:tr w:rsidR="007F026E" w:rsidRPr="00247C6D" w14:paraId="26A73384" w14:textId="77777777" w:rsidTr="006124BC">
        <w:tc>
          <w:tcPr>
            <w:tcW w:w="5220" w:type="dxa"/>
            <w:vAlign w:val="center"/>
          </w:tcPr>
          <w:p w14:paraId="53E63034" w14:textId="77777777" w:rsidR="007F026E" w:rsidRPr="00247C6D" w:rsidRDefault="007F026E" w:rsidP="006124BC">
            <w:pPr>
              <w:rPr>
                <w:rFonts w:eastAsia="MS Mincho"/>
                <w:sz w:val="22"/>
                <w:lang w:val="fr-FR"/>
              </w:rPr>
            </w:pPr>
            <w:r w:rsidRPr="00247C6D">
              <w:rPr>
                <w:rFonts w:eastAsia="MS Mincho"/>
                <w:sz w:val="22"/>
                <w:lang w:val="fr-FR"/>
              </w:rPr>
              <w:t>COP17 de la CDB (prévisionnel)</w:t>
            </w:r>
          </w:p>
        </w:tc>
        <w:tc>
          <w:tcPr>
            <w:tcW w:w="1080" w:type="dxa"/>
            <w:vAlign w:val="center"/>
          </w:tcPr>
          <w:p w14:paraId="40D42BF5" w14:textId="77777777" w:rsidR="007F026E" w:rsidRPr="00247C6D" w:rsidRDefault="007F026E" w:rsidP="006124BC">
            <w:pPr>
              <w:jc w:val="center"/>
              <w:rPr>
                <w:rFonts w:eastAsia="MS Mincho"/>
                <w:sz w:val="22"/>
                <w:lang w:val="fr-FR"/>
              </w:rPr>
            </w:pPr>
            <w:r w:rsidRPr="00247C6D">
              <w:rPr>
                <w:rFonts w:eastAsia="MS Mincho"/>
                <w:sz w:val="22"/>
                <w:lang w:val="fr-FR"/>
              </w:rPr>
              <w:t>2024</w:t>
            </w:r>
          </w:p>
        </w:tc>
      </w:tr>
    </w:tbl>
    <w:p w14:paraId="77701CCD" w14:textId="77777777" w:rsidR="007F026E" w:rsidRPr="00247C6D" w:rsidRDefault="007F026E" w:rsidP="007F026E">
      <w:pPr>
        <w:rPr>
          <w:rFonts w:eastAsia="MS Mincho"/>
          <w:sz w:val="22"/>
          <w:lang w:val="fr-FR"/>
        </w:rPr>
      </w:pPr>
    </w:p>
    <w:p w14:paraId="230DDA1D" w14:textId="316445A1" w:rsidR="007F026E" w:rsidRPr="00591DCA" w:rsidRDefault="007F026E" w:rsidP="00591DCA">
      <w:pPr>
        <w:ind w:left="720"/>
        <w:rPr>
          <w:rFonts w:eastAsia="MS Mincho"/>
          <w:b/>
          <w:szCs w:val="18"/>
          <w:lang w:val="fr-FR"/>
        </w:rPr>
      </w:pPr>
      <w:r w:rsidRPr="00591DCA">
        <w:rPr>
          <w:rFonts w:eastAsia="MS Mincho"/>
          <w:b/>
          <w:szCs w:val="18"/>
          <w:u w:val="single"/>
          <w:lang w:val="fr-FR"/>
        </w:rPr>
        <w:t>Figure 1 :</w:t>
      </w:r>
      <w:r w:rsidR="00591DCA">
        <w:rPr>
          <w:rFonts w:eastAsia="MS Mincho"/>
          <w:b/>
          <w:szCs w:val="18"/>
          <w:lang w:val="fr-FR"/>
        </w:rPr>
        <w:t xml:space="preserve"> É</w:t>
      </w:r>
      <w:r w:rsidRPr="00591DCA">
        <w:rPr>
          <w:rFonts w:eastAsia="MS Mincho"/>
          <w:b/>
          <w:szCs w:val="18"/>
          <w:lang w:val="fr-FR"/>
        </w:rPr>
        <w:t>chéances pour les Plans stratégiques pour la diversité biologique et pour les espèces</w:t>
      </w:r>
      <w:r w:rsidR="00591DCA">
        <w:rPr>
          <w:rFonts w:eastAsia="MS Mincho"/>
          <w:b/>
          <w:szCs w:val="18"/>
          <w:lang w:val="fr-FR"/>
        </w:rPr>
        <w:br/>
        <w:t xml:space="preserve">                </w:t>
      </w:r>
      <w:r w:rsidRPr="00591DCA">
        <w:rPr>
          <w:rFonts w:eastAsia="MS Mincho"/>
          <w:b/>
          <w:szCs w:val="18"/>
          <w:lang w:val="fr-FR"/>
        </w:rPr>
        <w:t xml:space="preserve"> migratrices</w:t>
      </w:r>
    </w:p>
    <w:p w14:paraId="657544E7" w14:textId="2A2A801B" w:rsidR="00591DCA" w:rsidRDefault="00591DCA" w:rsidP="007F026E">
      <w:pPr>
        <w:rPr>
          <w:rFonts w:eastAsia="MS Mincho"/>
          <w:sz w:val="22"/>
          <w:lang w:val="fr-FR"/>
        </w:rPr>
      </w:pPr>
      <w:r>
        <w:rPr>
          <w:rFonts w:eastAsia="MS Mincho"/>
          <w:sz w:val="22"/>
          <w:lang w:val="fr-FR"/>
        </w:rPr>
        <w:br w:type="page"/>
      </w:r>
    </w:p>
    <w:p w14:paraId="5EE13EDD" w14:textId="7C73238E" w:rsidR="007F026E" w:rsidRPr="00247C6D" w:rsidRDefault="007F026E" w:rsidP="007F026E">
      <w:pPr>
        <w:jc w:val="both"/>
        <w:rPr>
          <w:rFonts w:eastAsia="MS Mincho"/>
          <w:sz w:val="22"/>
          <w:lang w:val="fr-FR"/>
        </w:rPr>
      </w:pPr>
      <w:r w:rsidRPr="00247C6D">
        <w:rPr>
          <w:rFonts w:eastAsia="MS Mincho"/>
          <w:sz w:val="22"/>
          <w:lang w:val="fr-FR"/>
        </w:rPr>
        <w:t>Un Groupe de travail sur le Plan stratégique a été constitué pour élaborer le Plan stratégique 2015-2023, en vue de son examen à la onzième session de la Conférence des Parties</w:t>
      </w:r>
      <w:r w:rsidRPr="00247C6D">
        <w:rPr>
          <w:rFonts w:eastAsia="MS Mincho"/>
          <w:sz w:val="22"/>
          <w:vertAlign w:val="superscript"/>
          <w:lang w:val="fr-FR"/>
        </w:rPr>
        <w:footnoteReference w:id="4"/>
      </w:r>
      <w:r w:rsidRPr="00247C6D">
        <w:rPr>
          <w:rFonts w:eastAsia="MS Mincho"/>
          <w:sz w:val="22"/>
          <w:lang w:val="fr-FR"/>
        </w:rPr>
        <w:t xml:space="preserve">. Le Groupe de travail a fait réaliser un examen de l’expérience de mise en œuvre à ce jour et a pris en considération </w:t>
      </w:r>
      <w:r w:rsidRPr="00247C6D">
        <w:rPr>
          <w:rFonts w:eastAsia="MS Mincho"/>
          <w:sz w:val="22"/>
          <w:lang w:val="fr-FR"/>
        </w:rPr>
        <w:lastRenderedPageBreak/>
        <w:t>les processus de planification stratégique d’autres accords multilatéraux sur l’environnement. Deux recommandations principales sont ressorties de ses discussions :</w:t>
      </w:r>
    </w:p>
    <w:p w14:paraId="0235822D" w14:textId="77777777" w:rsidR="007F026E" w:rsidRPr="00247C6D" w:rsidRDefault="007F026E" w:rsidP="007F026E">
      <w:pPr>
        <w:spacing w:before="120"/>
        <w:ind w:left="709" w:right="281" w:hanging="425"/>
        <w:jc w:val="both"/>
        <w:rPr>
          <w:rFonts w:eastAsia="MS Mincho"/>
          <w:sz w:val="22"/>
          <w:lang w:val="fr-FR"/>
        </w:rPr>
      </w:pPr>
      <w:r w:rsidRPr="004C5D74">
        <w:rPr>
          <w:rFonts w:eastAsia="MS Mincho" w:cs="Arial"/>
          <w:sz w:val="22"/>
          <w:lang w:val="fr-FR"/>
        </w:rPr>
        <w:t xml:space="preserve"> (1)</w:t>
      </w:r>
      <w:r w:rsidRPr="004C5D74">
        <w:rPr>
          <w:rFonts w:eastAsia="MS Mincho" w:cs="Arial"/>
          <w:sz w:val="22"/>
          <w:lang w:val="fr-FR"/>
        </w:rPr>
        <w:tab/>
      </w:r>
      <w:r w:rsidRPr="00247C6D">
        <w:rPr>
          <w:rFonts w:eastAsia="MS Mincho"/>
          <w:sz w:val="22"/>
          <w:lang w:val="fr-FR"/>
        </w:rPr>
        <w:t>Le Plan stratégique pour la diversité biologique et ses Objectifs d’Aichi doivent être utilisés comme cadre général dans l’élaboration du Plan stratégique pour les espèces migratrices. Une telle approche a été retenue afin d’assurer une compatibilité entre le Plan stratégique pour les espèces migratrices et les résolutions de l’Assemblée générale des Nations Unies ayant trait à la diversité biologique</w:t>
      </w:r>
      <w:r w:rsidRPr="00247C6D">
        <w:rPr>
          <w:bCs/>
          <w:sz w:val="22"/>
          <w:vertAlign w:val="superscript"/>
          <w:lang w:val="fr-FR"/>
        </w:rPr>
        <w:footnoteReference w:id="5"/>
      </w:r>
      <w:r w:rsidRPr="00247C6D">
        <w:rPr>
          <w:rFonts w:eastAsia="MS Mincho"/>
          <w:sz w:val="22"/>
          <w:lang w:val="fr-FR"/>
        </w:rPr>
        <w:t> </w:t>
      </w:r>
      <w:r w:rsidRPr="00247C6D">
        <w:rPr>
          <w:bCs/>
          <w:sz w:val="22"/>
          <w:lang w:val="fr-FR"/>
        </w:rPr>
        <w:t>;</w:t>
      </w:r>
      <w:r w:rsidRPr="00247C6D">
        <w:rPr>
          <w:rFonts w:eastAsia="MS Mincho"/>
          <w:sz w:val="22"/>
          <w:lang w:val="fr-FR"/>
        </w:rPr>
        <w:t xml:space="preserve"> relier les priorités concernant les espèces migratrices aux Objectifs d’Aichi correspondants ; procurer un moyen logique et efficace d’intégrer les objectifs liés aux espèces migratrices dans les stratégies et plans d’action nationaux pour la diversité biologique (SPANB), pour qu’ils fassent partie intégrante des processus de planification et d’établissement de priorités au niveau national ;</w:t>
      </w:r>
    </w:p>
    <w:p w14:paraId="59CF9C50" w14:textId="77777777" w:rsidR="007F026E" w:rsidRPr="00247C6D" w:rsidRDefault="007F026E" w:rsidP="007F026E">
      <w:pPr>
        <w:spacing w:before="120"/>
        <w:ind w:left="709" w:right="281" w:hanging="425"/>
        <w:jc w:val="both"/>
        <w:rPr>
          <w:rFonts w:eastAsia="MS Mincho"/>
          <w:sz w:val="22"/>
          <w:lang w:val="fr-FR"/>
        </w:rPr>
      </w:pPr>
      <w:r w:rsidRPr="00247C6D">
        <w:rPr>
          <w:rFonts w:eastAsia="MS Mincho"/>
          <w:sz w:val="22"/>
          <w:lang w:val="fr-FR"/>
        </w:rPr>
        <w:t xml:space="preserve"> (2) Le nouveau plan doit être un Plan stratégique pour les espèces migratrices et doit être axé sur la conservation de la faune migratrice (populations, espèces migratrices et niveaux taxonomiques inférieurs, selon le contexte), plutôt que sur la Convention proprement dite. Une telle approche met l’accent sur la </w:t>
      </w:r>
      <w:r w:rsidRPr="00247C6D">
        <w:rPr>
          <w:rFonts w:eastAsia="MS Mincho"/>
          <w:i/>
          <w:sz w:val="22"/>
          <w:lang w:val="fr-FR"/>
        </w:rPr>
        <w:t>problématique</w:t>
      </w:r>
      <w:r w:rsidRPr="00247C6D">
        <w:rPr>
          <w:rFonts w:eastAsia="MS Mincho"/>
          <w:sz w:val="22"/>
          <w:lang w:val="fr-FR"/>
        </w:rPr>
        <w:t xml:space="preserve"> plutôt que sur l’</w:t>
      </w:r>
      <w:r w:rsidRPr="00247C6D">
        <w:rPr>
          <w:rFonts w:eastAsia="MS Mincho"/>
          <w:i/>
          <w:sz w:val="22"/>
          <w:lang w:val="fr-FR"/>
        </w:rPr>
        <w:t>institution</w:t>
      </w:r>
      <w:r w:rsidRPr="00247C6D">
        <w:rPr>
          <w:rFonts w:eastAsia="MS Mincho"/>
          <w:sz w:val="22"/>
          <w:lang w:val="fr-FR"/>
        </w:rPr>
        <w:t>, étendant ainsi la pertinence et « l’appropriation » au sein de tous les instruments de la Famille CMS et au-delà. Cette approche est compatible également avec les décisions de la COP sur le processus lié à la « Structure future » de la CMS, qui ont recensé le besoin d’une approche coordonnée et cohérente en matière de conservation des espèces migratrices au sein de la CMS et de ses accords connexes.</w:t>
      </w:r>
    </w:p>
    <w:p w14:paraId="0CAC8A1A" w14:textId="77777777" w:rsidR="007F026E" w:rsidRPr="00247C6D" w:rsidRDefault="007F026E" w:rsidP="007F026E">
      <w:pPr>
        <w:ind w:right="-88"/>
        <w:jc w:val="both"/>
        <w:rPr>
          <w:rFonts w:eastAsia="MS Mincho"/>
          <w:sz w:val="22"/>
          <w:lang w:val="fr-FR"/>
        </w:rPr>
      </w:pPr>
    </w:p>
    <w:p w14:paraId="523AB42D" w14:textId="77777777" w:rsidR="007F026E" w:rsidRPr="00247C6D" w:rsidRDefault="007F026E" w:rsidP="007F026E">
      <w:pPr>
        <w:jc w:val="both"/>
        <w:rPr>
          <w:bCs/>
          <w:sz w:val="22"/>
          <w:lang w:val="fr-FR"/>
        </w:rPr>
      </w:pPr>
      <w:r w:rsidRPr="00247C6D">
        <w:rPr>
          <w:bCs/>
          <w:sz w:val="22"/>
          <w:lang w:val="fr-FR"/>
        </w:rPr>
        <w:t xml:space="preserve">Les espèces migratrices ont des besoins distincts en matière de conservation, en raison notamment du cycle temporel et des itinéraires transfrontaliers de leurs migrations. La conservation des espèces migratrices à l’échelle des populations ne peut se faire que par une action internationale coordonnée et coopérative entre les États de l’aire de répartition qui partagent ces populations sur leurs voies de migration. Ces États, ainsi que les autres parties prenantes, ont donc la responsabilité commune d’élaborer et d’appliquer des stratégies cohérentes. Cette responsabilité peut se traduire, par exemple, par des activités de collaboration visant, notamment, à assurer un accès libre et gratuit aux données, informations et modèles pertinents, afin d’avoir une base scientifique rationnelle pour les décisions concernant les espèces migratrices. </w:t>
      </w:r>
    </w:p>
    <w:p w14:paraId="311F0D0C" w14:textId="77777777" w:rsidR="007F026E" w:rsidRPr="00247C6D" w:rsidRDefault="007F026E" w:rsidP="007F026E">
      <w:pPr>
        <w:spacing w:before="120"/>
        <w:jc w:val="both"/>
        <w:rPr>
          <w:bCs/>
          <w:sz w:val="22"/>
          <w:lang w:val="fr-FR"/>
        </w:rPr>
      </w:pPr>
      <w:r w:rsidRPr="00247C6D">
        <w:rPr>
          <w:bCs/>
          <w:sz w:val="22"/>
          <w:lang w:val="fr-FR"/>
        </w:rPr>
        <w:t xml:space="preserve">Dans l’ensemble, cela nécessite d’employer une </w:t>
      </w:r>
      <w:r w:rsidRPr="00247C6D">
        <w:rPr>
          <w:bCs/>
          <w:i/>
          <w:sz w:val="22"/>
          <w:lang w:val="fr-FR"/>
        </w:rPr>
        <w:t>approche fondée sur les systèmes migratoires</w:t>
      </w:r>
      <w:r w:rsidRPr="00247C6D">
        <w:rPr>
          <w:bCs/>
          <w:sz w:val="22"/>
          <w:lang w:val="fr-FR"/>
        </w:rPr>
        <w:t>, qui représente une réflexion stratégique par nature. Le « système migratoire » est un concept qui intègre des complexes interdépendants de lieux, de voies entre les lieux, de populations, de facteurs écologiques et de cycles temporels. Une « approche fondée sur les systèmes migratoires » comprend ainsi des stratégies de conservation qui portent une attention holistique non seulement aux populations, espèces et habitats, mais à l’ensemble des voies de migration et du fonctionnement du processus migratoire.</w:t>
      </w:r>
    </w:p>
    <w:p w14:paraId="0F445204" w14:textId="7F547EB3" w:rsidR="007F026E" w:rsidRDefault="007F026E" w:rsidP="007F026E">
      <w:pPr>
        <w:spacing w:before="120"/>
        <w:jc w:val="both"/>
        <w:rPr>
          <w:sz w:val="20"/>
          <w:szCs w:val="20"/>
          <w:shd w:val="clear" w:color="auto" w:fill="FFFFFF"/>
          <w:lang w:val="fr-FR"/>
        </w:rPr>
      </w:pPr>
      <w:r w:rsidRPr="00247C6D">
        <w:rPr>
          <w:rFonts w:eastAsia="MS Mincho"/>
          <w:sz w:val="22"/>
          <w:lang w:val="fr-FR"/>
        </w:rPr>
        <w:t>Depuis 1979, la Convention sur les espèces migratrices a été le principal cadre intergouvernemental spécialisé dans ces efforts de coopération</w:t>
      </w:r>
      <w:r w:rsidRPr="00247C6D">
        <w:rPr>
          <w:rFonts w:eastAsia="MS Mincho"/>
          <w:sz w:val="22"/>
          <w:vertAlign w:val="superscript"/>
          <w:lang w:val="fr-FR"/>
        </w:rPr>
        <w:footnoteReference w:id="6"/>
      </w:r>
      <w:r w:rsidRPr="00247C6D">
        <w:rPr>
          <w:rFonts w:eastAsia="MS Mincho"/>
          <w:sz w:val="22"/>
          <w:lang w:val="fr-FR"/>
        </w:rPr>
        <w:t>, par le biais de ses accords, de ses plans d’action et d’autres instruments systématiques.</w:t>
      </w:r>
      <w:r w:rsidRPr="00247C6D">
        <w:rPr>
          <w:sz w:val="20"/>
          <w:szCs w:val="20"/>
          <w:shd w:val="clear" w:color="auto" w:fill="FFFFFF"/>
          <w:lang w:val="fr-FR"/>
        </w:rPr>
        <w:t xml:space="preserve"> </w:t>
      </w:r>
    </w:p>
    <w:p w14:paraId="678D8C91" w14:textId="77777777" w:rsidR="00591DCA" w:rsidRPr="00247C6D" w:rsidRDefault="00591DCA" w:rsidP="007F026E">
      <w:pPr>
        <w:spacing w:before="120"/>
        <w:jc w:val="both"/>
        <w:rPr>
          <w:rFonts w:eastAsia="MS Mincho"/>
          <w:sz w:val="22"/>
          <w:lang w:val="fr-FR"/>
        </w:rPr>
      </w:pPr>
    </w:p>
    <w:p w14:paraId="4B0B0FF6" w14:textId="77777777" w:rsidR="007F026E" w:rsidRPr="00247C6D" w:rsidRDefault="007F026E" w:rsidP="007F026E">
      <w:pPr>
        <w:spacing w:before="120"/>
        <w:jc w:val="both"/>
        <w:rPr>
          <w:bCs/>
          <w:sz w:val="22"/>
          <w:lang w:val="fr-FR"/>
        </w:rPr>
      </w:pPr>
      <w:r w:rsidRPr="00247C6D">
        <w:rPr>
          <w:bCs/>
          <w:sz w:val="22"/>
          <w:lang w:val="fr-FR"/>
        </w:rPr>
        <w:t>Le Plan stratégique pour les espèces migratrices ne fait donc pas double emploi avec le Plan stratégique pour la diversité biologique, mais il le complète, en ajoutant des éléments spécifiques et en mettant l’accent sur la conservation des espèces migratrices, notamment dans le contexte de la Famille CMS.</w:t>
      </w:r>
    </w:p>
    <w:p w14:paraId="0270262A" w14:textId="77777777" w:rsidR="007F026E" w:rsidRPr="00247C6D" w:rsidRDefault="007F026E" w:rsidP="007F026E">
      <w:pPr>
        <w:spacing w:before="120"/>
        <w:jc w:val="both"/>
        <w:rPr>
          <w:bCs/>
          <w:sz w:val="22"/>
          <w:lang w:val="fr-FR"/>
        </w:rPr>
      </w:pPr>
      <w:r w:rsidRPr="00247C6D">
        <w:rPr>
          <w:bCs/>
          <w:sz w:val="22"/>
          <w:lang w:val="fr-FR"/>
        </w:rPr>
        <w:t xml:space="preserve">L’interaction étroite entre le Plan stratégique pour les espèces migratrices et le Plan stratégique pour </w:t>
      </w:r>
      <w:r w:rsidRPr="00247C6D">
        <w:rPr>
          <w:bCs/>
          <w:sz w:val="22"/>
          <w:lang w:val="fr-FR"/>
        </w:rPr>
        <w:lastRenderedPageBreak/>
        <w:t>la biodiversité facilite en outre la coordination nationale et l’intégration des questions relatives aux espèces migratrices dans les stratégies et plans d'action nationaux pour la biodiversité (SPANB), étant donné que ceux-ci sont basés sur le Plan stratégique pour la biodiversité et ses Objectifs d’Aichi.</w:t>
      </w:r>
    </w:p>
    <w:p w14:paraId="2374CBE9" w14:textId="77777777" w:rsidR="007F026E" w:rsidRPr="00247C6D" w:rsidRDefault="007F026E" w:rsidP="007F026E">
      <w:pPr>
        <w:spacing w:before="120"/>
        <w:rPr>
          <w:bCs/>
          <w:sz w:val="22"/>
          <w:lang w:val="fr-FR"/>
        </w:rPr>
      </w:pPr>
    </w:p>
    <w:p w14:paraId="52BF7B65" w14:textId="77777777" w:rsidR="007F026E" w:rsidRPr="00247C6D" w:rsidRDefault="007F026E" w:rsidP="007F026E">
      <w:pPr>
        <w:rPr>
          <w:rFonts w:eastAsia="MS Mincho"/>
          <w:b/>
          <w:sz w:val="2"/>
          <w:szCs w:val="2"/>
          <w:lang w:val="fr-FR"/>
        </w:rPr>
      </w:pPr>
    </w:p>
    <w:p w14:paraId="16EDA2B1" w14:textId="77777777" w:rsidR="007F026E" w:rsidRPr="00062101" w:rsidRDefault="007F026E" w:rsidP="007F026E">
      <w:pPr>
        <w:widowControl/>
        <w:numPr>
          <w:ilvl w:val="1"/>
          <w:numId w:val="4"/>
        </w:numPr>
        <w:ind w:right="-88"/>
        <w:jc w:val="both"/>
        <w:rPr>
          <w:rFonts w:eastAsia="MS Mincho"/>
          <w:b/>
          <w:sz w:val="22"/>
          <w:lang w:val="fr-FR"/>
        </w:rPr>
      </w:pPr>
      <w:r w:rsidRPr="00062101">
        <w:rPr>
          <w:rFonts w:eastAsia="MS Mincho"/>
          <w:b/>
          <w:sz w:val="22"/>
          <w:lang w:val="fr-FR"/>
        </w:rPr>
        <w:t>Pourquoi les espèces migratrices représentent-elles une priorité mondiale ?</w:t>
      </w:r>
    </w:p>
    <w:p w14:paraId="35872157" w14:textId="77777777" w:rsidR="007F026E" w:rsidRPr="00062101" w:rsidRDefault="007F026E" w:rsidP="007F026E">
      <w:pPr>
        <w:ind w:right="-88"/>
        <w:rPr>
          <w:rFonts w:eastAsia="MS Mincho"/>
          <w:sz w:val="22"/>
          <w:lang w:val="fr-FR"/>
        </w:rPr>
      </w:pPr>
    </w:p>
    <w:p w14:paraId="1C16D38F" w14:textId="77777777" w:rsidR="007F026E" w:rsidRPr="00062101" w:rsidRDefault="007F026E" w:rsidP="007F026E">
      <w:pPr>
        <w:jc w:val="both"/>
        <w:rPr>
          <w:rFonts w:eastAsia="MS Mincho"/>
          <w:sz w:val="22"/>
          <w:lang w:val="fr-FR"/>
        </w:rPr>
      </w:pPr>
      <w:r w:rsidRPr="00062101">
        <w:rPr>
          <w:rFonts w:eastAsia="MS Mincho"/>
          <w:sz w:val="22"/>
          <w:lang w:val="fr-FR"/>
        </w:rPr>
        <w:t>Les espèces migratrices sont une composante importante de la diversité biologique en général, qui sous-tend les systèmes écologiques. Elles comprennent de nombreux groupes d’animaux, allant des antilopes aux poissons, des baleines aux éléphants, des chauves-souris aux oiseaux et aux papillons. Elles représentent un pourcentage considérable de la diversité génétique mondiale, ayant évolué en nouant des relations complexes avec les espèces végétales et d’autres espèces animales, et elles jouent un rôle essentiel dans le fonctionnement et la dynamique des écosystèmes. Leur interdépendance multidimensionnelle leur confère un rôle spécial d’espèces clés sur le plan écologique et d’indicateurs concernant les liens entre les écosystèmes et les changements écologiques.</w:t>
      </w:r>
    </w:p>
    <w:p w14:paraId="32BEDD55" w14:textId="77777777" w:rsidR="007F026E" w:rsidRPr="00062101" w:rsidRDefault="007F026E" w:rsidP="007F026E">
      <w:pPr>
        <w:spacing w:before="120"/>
        <w:jc w:val="both"/>
        <w:rPr>
          <w:rFonts w:eastAsia="MS Mincho"/>
          <w:sz w:val="22"/>
          <w:lang w:val="fr-FR"/>
        </w:rPr>
      </w:pPr>
      <w:r w:rsidRPr="00062101">
        <w:rPr>
          <w:rFonts w:eastAsia="MS Mincho"/>
          <w:sz w:val="22"/>
          <w:lang w:val="fr-FR"/>
        </w:rPr>
        <w:t>Ces caractéristiques signifient aussi que les espèces migratrices ont leurs propres vulnérabilités. Leurs déplacements migratoires les exposent à des risques accrus, et leurs besoins en termes d’habitat sont souvent constitués d’un ensemble complexe de différents éléments sur leurs aires de reproduction et sur les sites fréquentés en dehors de la période de reproduction, ainsi que sur les zones les reliant. Le regroupement d’un grand nombre d’individus à certaines périodes sur certains sites augmente le risque d’effets néfastes causés par des pressions négatives exercées sur ces zones. Les obstacles à la migration posent des problèmes particuliers, qu’il s’agisse d’obstacles physiques causant une mortalité directe, ou d’une fragmentation des ressources écologiques perturbant les déplacements d’un endroit à un autre.</w:t>
      </w:r>
    </w:p>
    <w:p w14:paraId="5F3DCB30" w14:textId="77777777" w:rsidR="007F026E" w:rsidRPr="00062101" w:rsidRDefault="007F026E" w:rsidP="007F026E">
      <w:pPr>
        <w:spacing w:before="120"/>
        <w:jc w:val="both"/>
        <w:rPr>
          <w:rFonts w:eastAsia="MS Mincho"/>
          <w:sz w:val="22"/>
          <w:lang w:val="fr-FR"/>
        </w:rPr>
      </w:pPr>
      <w:r w:rsidRPr="00062101">
        <w:rPr>
          <w:rFonts w:eastAsia="MS Mincho"/>
          <w:sz w:val="22"/>
          <w:lang w:val="fr-FR"/>
        </w:rPr>
        <w:t>En conséquence, un grand nombre d’actions définies dans le présent Plan stratégique sont orientées vers les « systèmes migratoires », comme décrit au paragraphe 1.1 ci-dessus.</w:t>
      </w:r>
    </w:p>
    <w:p w14:paraId="60A8CAF3" w14:textId="77777777" w:rsidR="007F026E" w:rsidRPr="00062101" w:rsidRDefault="007F026E" w:rsidP="007F026E">
      <w:pPr>
        <w:jc w:val="both"/>
        <w:rPr>
          <w:sz w:val="22"/>
          <w:lang w:val="fr-FR"/>
        </w:rPr>
      </w:pPr>
    </w:p>
    <w:p w14:paraId="467EB64D" w14:textId="77777777" w:rsidR="007F026E" w:rsidRPr="00062101" w:rsidRDefault="007F026E" w:rsidP="007F026E">
      <w:pPr>
        <w:jc w:val="both"/>
        <w:rPr>
          <w:sz w:val="22"/>
          <w:lang w:val="fr-FR"/>
        </w:rPr>
      </w:pPr>
      <w:r w:rsidRPr="00062101">
        <w:rPr>
          <w:sz w:val="22"/>
          <w:lang w:val="fr-FR"/>
        </w:rPr>
        <w:t>Les cycles saisonniers et les aires de répartition transfrontalières inhérents au phénomène migratoire, ainsi que l’échelle souvent très large des déplacements de ces animaux, constituent un aspect important de la capacité de la planète à assurer le maintien des êtres humains et de la diversité biologique en général. Le phénomène de migration est le fruit d’une adaptation essentielle aux rythmes naturels et aux changements liés à l’évolution des espèces. Dans le même temps, les espèces migratrices et leurs habitats peuvent être affectés ou perturbés par des impacts d’origine anthropique, comme le changement climatique</w:t>
      </w:r>
      <w:r w:rsidRPr="00062101">
        <w:rPr>
          <w:rFonts w:eastAsia="MS Mincho"/>
          <w:sz w:val="22"/>
          <w:lang w:val="fr-FR"/>
        </w:rPr>
        <w:t xml:space="preserve">. </w:t>
      </w:r>
    </w:p>
    <w:p w14:paraId="062482A4" w14:textId="77777777" w:rsidR="007F026E" w:rsidRPr="00062101" w:rsidRDefault="007F026E" w:rsidP="007F026E">
      <w:pPr>
        <w:rPr>
          <w:rFonts w:eastAsia="MS Mincho"/>
          <w:sz w:val="22"/>
          <w:lang w:val="fr-FR"/>
        </w:rPr>
      </w:pPr>
    </w:p>
    <w:p w14:paraId="5D9412BB" w14:textId="0B7B39F6" w:rsidR="00C46E65" w:rsidRDefault="007F026E" w:rsidP="00591DCA">
      <w:pPr>
        <w:jc w:val="both"/>
        <w:rPr>
          <w:sz w:val="22"/>
          <w:lang w:val="fr-FR"/>
        </w:rPr>
      </w:pPr>
      <w:r w:rsidRPr="00062101">
        <w:rPr>
          <w:rFonts w:eastAsia="MS Mincho"/>
          <w:sz w:val="22"/>
          <w:lang w:val="fr-FR"/>
        </w:rPr>
        <w:t>Un très grand nombre d’</w:t>
      </w:r>
      <w:r w:rsidRPr="00062101">
        <w:rPr>
          <w:sz w:val="22"/>
          <w:lang w:val="fr-FR"/>
        </w:rPr>
        <w:t>espèces migratrices sont d’une importance fondamentale pour le bien-être de l’homme, notamment pour la sécurité alimentaire et les moyens de subsistance des populations humaines. De nombreuses communautés sont tributaires de l’arrivée régulière d’animaux migrateurs, que ce soit pour leur subsistance ; pour des activités ayant une importance économique et/ou culturelle, telles que la chasse, la pêche, le tourisme ou les loisirs ; ou pour maintenir les fonctions des écosystèmes, de manière à pouvoir exploiter une autre ressource. Le taux d’exploitation (des espèces ou de leurs habitats) par une communauté donnée peut avoir un impact significatif sur la disponibilité de cette ressource pour d’autres communautés dans des endroits différents, parfois très éloignés. La conservation et la gestion durable des populations d’espèces migratrices constituent de ce fait une contribution essentielle à l’objectif plus général de développement durable, et nécessitent qu’on y accorde de l’importance à l’échelle mondiale</w:t>
      </w:r>
      <w:r w:rsidRPr="00062101">
        <w:rPr>
          <w:rFonts w:eastAsia="MS Mincho"/>
          <w:sz w:val="22"/>
          <w:lang w:val="fr-FR"/>
        </w:rPr>
        <w:t>.</w:t>
      </w:r>
    </w:p>
    <w:p w14:paraId="116B5342" w14:textId="77777777" w:rsidR="00591DCA" w:rsidRPr="00591DCA" w:rsidRDefault="00591DCA" w:rsidP="00591DCA">
      <w:pPr>
        <w:jc w:val="both"/>
        <w:rPr>
          <w:sz w:val="22"/>
          <w:lang w:val="fr-FR"/>
        </w:rPr>
      </w:pPr>
    </w:p>
    <w:p w14:paraId="0441C28B" w14:textId="77777777" w:rsidR="007F026E" w:rsidRPr="00062101" w:rsidRDefault="007F026E" w:rsidP="007F026E">
      <w:pPr>
        <w:widowControl/>
        <w:numPr>
          <w:ilvl w:val="1"/>
          <w:numId w:val="4"/>
        </w:numPr>
        <w:ind w:right="-88"/>
        <w:jc w:val="both"/>
        <w:rPr>
          <w:rFonts w:eastAsia="MS Mincho"/>
          <w:b/>
          <w:sz w:val="22"/>
          <w:lang w:val="fr-FR" w:eastAsia="ja-JP"/>
        </w:rPr>
      </w:pPr>
      <w:r w:rsidRPr="00062101">
        <w:rPr>
          <w:rFonts w:eastAsia="MS Mincho"/>
          <w:b/>
          <w:sz w:val="22"/>
          <w:lang w:val="fr-FR" w:eastAsia="ja-JP"/>
        </w:rPr>
        <w:lastRenderedPageBreak/>
        <w:t xml:space="preserve">Champ d’application du Plan stratégique pour les espèces migratrices </w:t>
      </w:r>
    </w:p>
    <w:p w14:paraId="69D0F741" w14:textId="77777777" w:rsidR="007F026E" w:rsidRPr="00062101" w:rsidRDefault="007F026E" w:rsidP="007F026E">
      <w:pPr>
        <w:ind w:right="-88"/>
        <w:rPr>
          <w:rFonts w:eastAsia="MS Mincho"/>
          <w:b/>
          <w:sz w:val="22"/>
          <w:lang w:val="fr-FR" w:eastAsia="ja-JP"/>
        </w:rPr>
      </w:pPr>
    </w:p>
    <w:p w14:paraId="10AA71A0" w14:textId="77777777" w:rsidR="007F026E" w:rsidRPr="00062101" w:rsidRDefault="007F026E" w:rsidP="007F026E">
      <w:pPr>
        <w:jc w:val="both"/>
        <w:rPr>
          <w:bCs/>
          <w:sz w:val="22"/>
          <w:lang w:val="fr-FR"/>
        </w:rPr>
      </w:pPr>
      <w:r w:rsidRPr="00062101">
        <w:rPr>
          <w:bCs/>
          <w:sz w:val="22"/>
          <w:lang w:val="fr-FR"/>
        </w:rPr>
        <w:t xml:space="preserve">Le Groupe de travail a estimé que le Plan stratégique pour les espèces migratrices gagnerait en poids et visibilité politiques s’il fournissait des orientations à un niveau stratégique. Les activités habilitantes ou les instruments liés à la </w:t>
      </w:r>
      <w:r w:rsidRPr="00062101">
        <w:rPr>
          <w:bCs/>
          <w:i/>
          <w:sz w:val="22"/>
          <w:lang w:val="fr-FR"/>
        </w:rPr>
        <w:t>mise en œuvre</w:t>
      </w:r>
      <w:r w:rsidRPr="00062101">
        <w:rPr>
          <w:bCs/>
          <w:sz w:val="22"/>
          <w:lang w:val="fr-FR"/>
        </w:rPr>
        <w:t xml:space="preserve"> – une composante essentielle pour assurer le succès et l’efficacité du Plan stratégique – sont traités dans un guide d’accompagnement distinct, visant à appuyer la mise en œuvre du Plan stratégique.</w:t>
      </w:r>
    </w:p>
    <w:p w14:paraId="75D5C803" w14:textId="77777777" w:rsidR="007F026E" w:rsidRPr="00062101" w:rsidRDefault="007F026E" w:rsidP="007F026E">
      <w:pPr>
        <w:spacing w:before="120"/>
        <w:ind w:right="-88"/>
        <w:jc w:val="both"/>
        <w:rPr>
          <w:rFonts w:eastAsia="MS Mincho"/>
          <w:sz w:val="22"/>
          <w:lang w:val="fr-FR"/>
        </w:rPr>
      </w:pPr>
      <w:r w:rsidRPr="00062101">
        <w:rPr>
          <w:rFonts w:eastAsia="MS Mincho"/>
          <w:sz w:val="22"/>
          <w:lang w:val="fr-FR"/>
        </w:rPr>
        <w:t>Le Plan stratégique pour les espèces migratrices définit des résultats à long terme et de haut niveau, de façon à permettre un suivi et une évaluation des progrès accomplis pour atteindre ces résultats, et à effectuer des modifications adaptatives, si nécessaire.</w:t>
      </w:r>
    </w:p>
    <w:p w14:paraId="25670078" w14:textId="77777777" w:rsidR="007F026E" w:rsidRPr="00062101" w:rsidRDefault="007F026E" w:rsidP="007F026E">
      <w:pPr>
        <w:spacing w:before="120"/>
        <w:ind w:right="-88"/>
        <w:jc w:val="both"/>
        <w:rPr>
          <w:rFonts w:eastAsia="MS Mincho"/>
          <w:sz w:val="22"/>
          <w:lang w:val="fr-FR"/>
        </w:rPr>
      </w:pPr>
      <w:r w:rsidRPr="00062101">
        <w:rPr>
          <w:rFonts w:eastAsia="MS Mincho"/>
          <w:sz w:val="22"/>
          <w:lang w:val="fr-FR"/>
        </w:rPr>
        <w:t>L’approche fondée sur les systèmes migratoires est intégrée dans le Plan stratégique pour les espèces migratrices, en faisant clairement référence : 1) aux espèces migratrices ; 2) à leurs habitats et voies de migration ; 3) aux menaces pesant sur les deux. Tous ces éléments sont inclus dans les objectifs, autant que possible.</w:t>
      </w:r>
    </w:p>
    <w:p w14:paraId="7B89CC4A" w14:textId="77777777" w:rsidR="007F026E" w:rsidRPr="00062101" w:rsidRDefault="007F026E" w:rsidP="007F026E">
      <w:pPr>
        <w:spacing w:before="120"/>
        <w:jc w:val="both"/>
        <w:rPr>
          <w:rFonts w:eastAsia="MS Mincho"/>
          <w:sz w:val="22"/>
          <w:lang w:val="fr-FR"/>
        </w:rPr>
      </w:pPr>
      <w:r w:rsidRPr="00062101">
        <w:rPr>
          <w:rFonts w:eastAsia="MS Mincho"/>
          <w:sz w:val="22"/>
          <w:lang w:val="fr-FR"/>
        </w:rPr>
        <w:t xml:space="preserve">Le Plan stratégique pour les espèces migratrices s’applique aux </w:t>
      </w:r>
      <w:r w:rsidRPr="00062101">
        <w:rPr>
          <w:rFonts w:eastAsia="MS Mincho"/>
          <w:b/>
          <w:sz w:val="22"/>
          <w:lang w:val="fr-FR"/>
        </w:rPr>
        <w:t>espèces migratrices telles que définies par la Convention, à savoir, l’ensemble de la population ou toute partie séparée géographiquement de la population de toute espèce ou de tout taxon inférieur d’animaux sauvages, dont une fraction importante franchit cycliquement et de façon prévisible une ou plusieurs des limites de juridiction nationale</w:t>
      </w:r>
      <w:r w:rsidRPr="00062101">
        <w:rPr>
          <w:rFonts w:eastAsia="MS Mincho"/>
          <w:sz w:val="22"/>
          <w:lang w:val="fr-FR"/>
        </w:rPr>
        <w:t>. Cette définition témoigne de l’importance d’une action internationale concertée, nécessaire pour gérer les problèmes transfrontaliers liés à la conservation des espèces migratrices. De plus, une telle définition implique un réel engagement de toutes les parties prenantes intéressées – y compris la CMS et ses instruments connexes. Le terme « espèce » utilisé dans le Plan stratégique doit être interprété conformément à cette définition : il peut donc concerner des taxons inférieurs, selon le contexte considéré.</w:t>
      </w:r>
    </w:p>
    <w:p w14:paraId="706F24C5" w14:textId="77777777" w:rsidR="007F026E" w:rsidRPr="00062101" w:rsidRDefault="007F026E" w:rsidP="007F026E">
      <w:pPr>
        <w:spacing w:before="120"/>
        <w:jc w:val="both"/>
        <w:rPr>
          <w:rFonts w:eastAsia="MS Mincho"/>
          <w:sz w:val="22"/>
          <w:lang w:val="fr-FR"/>
        </w:rPr>
      </w:pPr>
      <w:r w:rsidRPr="00062101">
        <w:rPr>
          <w:rFonts w:eastAsia="MS Mincho"/>
          <w:sz w:val="22"/>
          <w:lang w:val="fr-FR"/>
        </w:rPr>
        <w:t>Le Plan stratégique pour les espèces migratrices offre un cadre large pouvant orienter dans la même direction toutes les initiatives de conservation de l’ensemble de la communauté internationale en faveur des espèces migratrices (voir la figure 2, qui illustre la portée et le contexte du Plan stratégique pour les espèces migratrices). Il offre ainsi l’occasion d’améliorer la cohérence et la visibilité de ces questions d’un point de vue politique et des politiques générales aux niveaux national, régional et mondial.</w:t>
      </w:r>
    </w:p>
    <w:p w14:paraId="72E29D5D" w14:textId="77777777" w:rsidR="007F026E" w:rsidRPr="00062101" w:rsidRDefault="007F026E" w:rsidP="007F026E">
      <w:pPr>
        <w:jc w:val="center"/>
        <w:rPr>
          <w:rFonts w:eastAsia="MS Mincho"/>
          <w:b/>
          <w:i/>
          <w:sz w:val="22"/>
          <w:lang w:val="fr-FR"/>
        </w:rPr>
      </w:pPr>
    </w:p>
    <w:p w14:paraId="7ABBE61A" w14:textId="77777777" w:rsidR="007F026E" w:rsidRPr="00062101" w:rsidRDefault="007F026E" w:rsidP="007F026E">
      <w:pPr>
        <w:jc w:val="center"/>
        <w:rPr>
          <w:rFonts w:eastAsia="MS Mincho"/>
          <w:b/>
          <w:i/>
          <w:sz w:val="22"/>
          <w:lang w:val="fr-FR"/>
        </w:rPr>
      </w:pPr>
    </w:p>
    <w:p w14:paraId="15777440" w14:textId="77777777" w:rsidR="007F026E" w:rsidRPr="00062101" w:rsidRDefault="007F026E" w:rsidP="007F026E">
      <w:pPr>
        <w:jc w:val="center"/>
        <w:rPr>
          <w:rFonts w:eastAsia="MS Mincho"/>
          <w:b/>
          <w:i/>
          <w:sz w:val="22"/>
          <w:lang w:val="fr-FR"/>
        </w:rPr>
      </w:pPr>
    </w:p>
    <w:p w14:paraId="22B37805" w14:textId="77777777" w:rsidR="007F026E" w:rsidRPr="00062101" w:rsidRDefault="007F026E" w:rsidP="007F026E">
      <w:pPr>
        <w:jc w:val="center"/>
        <w:rPr>
          <w:rFonts w:eastAsia="MS Mincho"/>
          <w:b/>
          <w:i/>
          <w:sz w:val="22"/>
          <w:lang w:val="fr-FR"/>
        </w:rPr>
      </w:pPr>
    </w:p>
    <w:p w14:paraId="5A101734" w14:textId="77777777" w:rsidR="007F026E" w:rsidRPr="00062101" w:rsidRDefault="007F026E" w:rsidP="007F026E">
      <w:pPr>
        <w:rPr>
          <w:rFonts w:eastAsia="MS Mincho"/>
          <w:b/>
          <w:i/>
          <w:lang w:val="fr-FR"/>
        </w:rPr>
      </w:pPr>
      <w:r w:rsidRPr="00062101">
        <w:rPr>
          <w:rFonts w:eastAsia="MS Mincho"/>
          <w:noProof/>
        </w:rPr>
        <w:lastRenderedPageBreak/>
        <w:drawing>
          <wp:inline distT="0" distB="0" distL="0" distR="0" wp14:anchorId="566DFE12" wp14:editId="54B8E915">
            <wp:extent cx="5588000" cy="4178300"/>
            <wp:effectExtent l="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88000" cy="4178300"/>
                    </a:xfrm>
                    <a:prstGeom prst="rect">
                      <a:avLst/>
                    </a:prstGeom>
                    <a:noFill/>
                    <a:ln>
                      <a:noFill/>
                    </a:ln>
                  </pic:spPr>
                </pic:pic>
              </a:graphicData>
            </a:graphic>
          </wp:inline>
        </w:drawing>
      </w:r>
    </w:p>
    <w:p w14:paraId="3657195B" w14:textId="77777777" w:rsidR="007F026E" w:rsidRPr="00062101" w:rsidRDefault="007F026E" w:rsidP="007F026E">
      <w:pPr>
        <w:spacing w:before="40"/>
        <w:ind w:firstLine="720"/>
        <w:rPr>
          <w:rFonts w:eastAsia="MS Mincho"/>
          <w:b/>
          <w:sz w:val="20"/>
          <w:szCs w:val="20"/>
          <w:lang w:val="fr-FR"/>
        </w:rPr>
      </w:pPr>
      <w:r w:rsidRPr="00062101">
        <w:rPr>
          <w:rFonts w:eastAsia="MS Mincho"/>
          <w:sz w:val="20"/>
          <w:szCs w:val="20"/>
          <w:lang w:val="fr-FR"/>
        </w:rPr>
        <w:t xml:space="preserve"> </w:t>
      </w:r>
      <w:r w:rsidRPr="00062101">
        <w:rPr>
          <w:rFonts w:eastAsia="MS Mincho"/>
          <w:b/>
          <w:sz w:val="20"/>
          <w:szCs w:val="20"/>
          <w:u w:val="single"/>
          <w:lang w:val="fr-FR"/>
        </w:rPr>
        <w:t xml:space="preserve">Figure </w:t>
      </w:r>
      <w:proofErr w:type="gramStart"/>
      <w:r w:rsidRPr="00062101">
        <w:rPr>
          <w:rFonts w:eastAsia="MS Mincho"/>
          <w:b/>
          <w:sz w:val="20"/>
          <w:szCs w:val="20"/>
          <w:u w:val="single"/>
          <w:lang w:val="fr-FR"/>
        </w:rPr>
        <w:t>2</w:t>
      </w:r>
      <w:r w:rsidRPr="00062101">
        <w:rPr>
          <w:rFonts w:eastAsia="MS Mincho"/>
          <w:b/>
          <w:sz w:val="20"/>
          <w:szCs w:val="20"/>
          <w:lang w:val="fr-FR"/>
        </w:rPr>
        <w:t>:</w:t>
      </w:r>
      <w:proofErr w:type="gramEnd"/>
      <w:r w:rsidRPr="00062101">
        <w:rPr>
          <w:rFonts w:eastAsia="MS Mincho"/>
          <w:b/>
          <w:sz w:val="20"/>
          <w:szCs w:val="20"/>
          <w:lang w:val="fr-FR"/>
        </w:rPr>
        <w:t xml:space="preserve"> Le Plan stratégique pour les espèces migratrices : portée et contexte</w:t>
      </w:r>
    </w:p>
    <w:p w14:paraId="46748E60" w14:textId="77777777" w:rsidR="007F026E" w:rsidRPr="00062101" w:rsidRDefault="007F026E" w:rsidP="007F026E">
      <w:pPr>
        <w:spacing w:before="40"/>
        <w:ind w:firstLine="720"/>
        <w:rPr>
          <w:rFonts w:eastAsia="MS Mincho"/>
          <w:b/>
          <w:lang w:val="fr-FR"/>
        </w:rPr>
      </w:pPr>
    </w:p>
    <w:p w14:paraId="0086DC4F" w14:textId="77777777" w:rsidR="007F026E" w:rsidRPr="00062101" w:rsidRDefault="007F026E" w:rsidP="007F026E">
      <w:pPr>
        <w:spacing w:before="40"/>
        <w:ind w:firstLine="720"/>
        <w:rPr>
          <w:rFonts w:eastAsia="MS Mincho"/>
          <w:b/>
          <w:lang w:val="fr-FR"/>
        </w:rPr>
      </w:pPr>
    </w:p>
    <w:p w14:paraId="50BE7799" w14:textId="77777777" w:rsidR="007F026E" w:rsidRPr="00062101" w:rsidRDefault="007F026E" w:rsidP="007F026E">
      <w:pPr>
        <w:rPr>
          <w:bCs/>
          <w:lang w:val="fr-FR"/>
        </w:rPr>
      </w:pPr>
    </w:p>
    <w:tbl>
      <w:tblPr>
        <w:tblW w:w="0" w:type="auto"/>
        <w:tblBorders>
          <w:bottom w:val="single" w:sz="4" w:space="0" w:color="auto"/>
        </w:tblBorders>
        <w:tblLook w:val="01E0" w:firstRow="1" w:lastRow="1" w:firstColumn="1" w:lastColumn="1" w:noHBand="0" w:noVBand="0"/>
      </w:tblPr>
      <w:tblGrid>
        <w:gridCol w:w="8528"/>
      </w:tblGrid>
      <w:tr w:rsidR="007F026E" w:rsidRPr="00062101" w14:paraId="146B7698" w14:textId="77777777" w:rsidTr="006124BC">
        <w:tc>
          <w:tcPr>
            <w:tcW w:w="8528" w:type="dxa"/>
            <w:tcBorders>
              <w:bottom w:val="single" w:sz="4" w:space="0" w:color="auto"/>
            </w:tcBorders>
            <w:shd w:val="clear" w:color="auto" w:fill="E6E6E6"/>
          </w:tcPr>
          <w:p w14:paraId="35FF0B90" w14:textId="77777777" w:rsidR="007F026E" w:rsidRPr="00062101" w:rsidRDefault="007F026E" w:rsidP="006124BC">
            <w:pPr>
              <w:ind w:right="-88"/>
              <w:rPr>
                <w:rFonts w:eastAsia="MS Mincho"/>
                <w:b/>
                <w:color w:val="000080"/>
                <w:sz w:val="30"/>
                <w:szCs w:val="30"/>
                <w:lang w:val="fr-FR"/>
              </w:rPr>
            </w:pPr>
            <w:r w:rsidRPr="00062101">
              <w:rPr>
                <w:b/>
                <w:color w:val="000080"/>
                <w:sz w:val="30"/>
                <w:szCs w:val="30"/>
                <w:lang w:val="fr-FR"/>
              </w:rPr>
              <w:br w:type="page"/>
            </w:r>
            <w:r w:rsidRPr="00062101">
              <w:rPr>
                <w:rFonts w:eastAsia="MS Mincho"/>
                <w:b/>
                <w:color w:val="000080"/>
                <w:sz w:val="30"/>
                <w:szCs w:val="30"/>
                <w:lang w:val="fr-FR"/>
              </w:rPr>
              <w:br w:type="page"/>
              <w:t>Chapitre 2. Vision et mission</w:t>
            </w:r>
          </w:p>
        </w:tc>
      </w:tr>
    </w:tbl>
    <w:p w14:paraId="79B1728B" w14:textId="77777777" w:rsidR="007F026E" w:rsidRPr="00062101" w:rsidRDefault="007F026E" w:rsidP="007F026E">
      <w:pPr>
        <w:ind w:right="-88"/>
        <w:rPr>
          <w:rFonts w:eastAsia="MS Mincho"/>
          <w:sz w:val="22"/>
          <w:lang w:val="fr-FR"/>
        </w:rPr>
      </w:pPr>
    </w:p>
    <w:p w14:paraId="278429B8" w14:textId="77777777" w:rsidR="007F026E" w:rsidRPr="00062101" w:rsidRDefault="007F026E" w:rsidP="007F026E">
      <w:pPr>
        <w:spacing w:before="120"/>
        <w:ind w:right="-88"/>
        <w:jc w:val="both"/>
        <w:rPr>
          <w:rFonts w:eastAsia="MS Mincho"/>
          <w:sz w:val="22"/>
          <w:lang w:val="fr-FR"/>
        </w:rPr>
      </w:pPr>
      <w:r w:rsidRPr="00062101">
        <w:rPr>
          <w:rFonts w:eastAsia="MS Mincho"/>
          <w:sz w:val="22"/>
          <w:lang w:val="fr-FR"/>
        </w:rPr>
        <w:t xml:space="preserve">Le but du Plan stratégique pour les espèces migratrices </w:t>
      </w:r>
      <w:r w:rsidRPr="00062101">
        <w:rPr>
          <w:sz w:val="22"/>
          <w:lang w:val="fr-FR"/>
        </w:rPr>
        <w:t xml:space="preserve">est de fournir une vision, un leadership et une force motrice vers la mise en œuvre complète et efficace des buts et objectifs relatifs aux </w:t>
      </w:r>
      <w:r w:rsidRPr="00062101">
        <w:rPr>
          <w:rFonts w:eastAsia="MS Mincho"/>
          <w:sz w:val="22"/>
          <w:lang w:val="fr-FR"/>
        </w:rPr>
        <w:t xml:space="preserve">espèces migratrices. </w:t>
      </w:r>
    </w:p>
    <w:p w14:paraId="14414EFD" w14:textId="77777777" w:rsidR="007F026E" w:rsidRPr="00062101" w:rsidRDefault="007F026E" w:rsidP="007F026E">
      <w:pPr>
        <w:ind w:right="-88"/>
        <w:jc w:val="both"/>
        <w:rPr>
          <w:rFonts w:eastAsia="MS Mincho"/>
          <w:sz w:val="22"/>
          <w:lang w:val="fr-FR"/>
        </w:rPr>
      </w:pPr>
    </w:p>
    <w:p w14:paraId="287FFCE7" w14:textId="77777777" w:rsidR="007F026E" w:rsidRPr="00062101" w:rsidRDefault="007F026E" w:rsidP="007F026E">
      <w:pPr>
        <w:ind w:right="-88"/>
        <w:jc w:val="both"/>
        <w:rPr>
          <w:sz w:val="22"/>
          <w:lang w:val="fr-FR"/>
        </w:rPr>
      </w:pPr>
      <w:r w:rsidRPr="00062101">
        <w:rPr>
          <w:bCs/>
          <w:sz w:val="22"/>
          <w:lang w:val="fr-FR"/>
        </w:rPr>
        <w:t xml:space="preserve">Le Plan stratégique pour les espèces migratrices vise à atteindre la </w:t>
      </w:r>
      <w:r w:rsidRPr="0031003F">
        <w:rPr>
          <w:b/>
          <w:bCs/>
          <w:sz w:val="22"/>
          <w:lang w:val="fr-FR"/>
        </w:rPr>
        <w:t>vision</w:t>
      </w:r>
      <w:r w:rsidRPr="00062101">
        <w:rPr>
          <w:bCs/>
          <w:sz w:val="22"/>
          <w:lang w:val="fr-FR"/>
        </w:rPr>
        <w:t xml:space="preserve"> ci-après :</w:t>
      </w:r>
    </w:p>
    <w:p w14:paraId="5115FE36" w14:textId="77777777" w:rsidR="007F026E" w:rsidRPr="00062101" w:rsidRDefault="007F026E" w:rsidP="007F026E">
      <w:pPr>
        <w:ind w:right="-88"/>
        <w:jc w:val="both"/>
        <w:rPr>
          <w:sz w:val="22"/>
          <w:lang w:val="fr-FR"/>
        </w:rPr>
      </w:pPr>
    </w:p>
    <w:p w14:paraId="53C644B8" w14:textId="77777777" w:rsidR="007F026E" w:rsidRPr="00062101" w:rsidRDefault="007F026E" w:rsidP="007F026E">
      <w:pPr>
        <w:jc w:val="both"/>
        <w:rPr>
          <w:i/>
          <w:iCs/>
          <w:sz w:val="22"/>
          <w:lang w:val="fr-FR"/>
        </w:rPr>
      </w:pPr>
      <w:r w:rsidRPr="00062101">
        <w:rPr>
          <w:rFonts w:eastAsia="MS Mincho"/>
          <w:sz w:val="22"/>
          <w:lang w:val="fr-FR"/>
        </w:rPr>
        <w:t>« </w:t>
      </w:r>
      <w:r w:rsidRPr="00062101">
        <w:rPr>
          <w:i/>
          <w:iCs/>
          <w:sz w:val="22"/>
          <w:lang w:val="fr-FR"/>
        </w:rPr>
        <w:t xml:space="preserve">Vivre en harmonie avec la nature – où </w:t>
      </w:r>
      <w:r w:rsidRPr="00062101">
        <w:rPr>
          <w:rFonts w:eastAsia="MS Mincho"/>
          <w:i/>
          <w:sz w:val="22"/>
          <w:lang w:val="fr-FR"/>
        </w:rPr>
        <w:t>les populations et les habitats d</w:t>
      </w:r>
      <w:r w:rsidRPr="00062101">
        <w:rPr>
          <w:i/>
          <w:iCs/>
          <w:sz w:val="22"/>
          <w:lang w:val="fr-FR"/>
        </w:rPr>
        <w:t>es espèces migratrices (ainsi que toute la biodiversité) sont valorisés, préservés, restaurés et utilisés avec prudence</w:t>
      </w:r>
      <w:r w:rsidRPr="00062101">
        <w:rPr>
          <w:rFonts w:eastAsia="MS Mincho"/>
          <w:i/>
          <w:sz w:val="22"/>
          <w:lang w:val="fr-FR"/>
        </w:rPr>
        <w:t>, contribuant ainsi au développement durable à l’échelle mondiale</w:t>
      </w:r>
      <w:r w:rsidRPr="00062101">
        <w:rPr>
          <w:rFonts w:eastAsia="MS Mincho"/>
          <w:sz w:val="22"/>
          <w:lang w:val="fr-FR"/>
        </w:rPr>
        <w:t>. »</w:t>
      </w:r>
    </w:p>
    <w:p w14:paraId="5B61AF62" w14:textId="754E6B05" w:rsidR="007F026E" w:rsidRPr="00062101" w:rsidRDefault="007F026E" w:rsidP="007F026E">
      <w:pPr>
        <w:ind w:right="-88"/>
        <w:jc w:val="both"/>
        <w:rPr>
          <w:rFonts w:eastAsia="MS Mincho"/>
          <w:sz w:val="22"/>
          <w:lang w:val="fr-FR"/>
        </w:rPr>
      </w:pPr>
    </w:p>
    <w:p w14:paraId="4D922CED" w14:textId="77777777" w:rsidR="007F026E" w:rsidRPr="00062101" w:rsidRDefault="007F026E" w:rsidP="007F026E">
      <w:pPr>
        <w:ind w:right="-88"/>
        <w:jc w:val="both"/>
        <w:rPr>
          <w:sz w:val="22"/>
          <w:lang w:val="fr-FR"/>
        </w:rPr>
      </w:pPr>
      <w:r w:rsidRPr="00062101">
        <w:rPr>
          <w:rFonts w:eastAsia="MS Mincho"/>
          <w:sz w:val="22"/>
          <w:lang w:val="fr-FR"/>
        </w:rPr>
        <w:t>La</w:t>
      </w:r>
      <w:r w:rsidRPr="00062101">
        <w:rPr>
          <w:sz w:val="22"/>
          <w:lang w:val="fr-FR"/>
        </w:rPr>
        <w:t xml:space="preserve"> </w:t>
      </w:r>
      <w:r w:rsidRPr="0031003F">
        <w:rPr>
          <w:b/>
          <w:sz w:val="22"/>
          <w:lang w:val="fr-FR"/>
        </w:rPr>
        <w:t>mission</w:t>
      </w:r>
      <w:r w:rsidRPr="00062101">
        <w:rPr>
          <w:sz w:val="22"/>
          <w:lang w:val="fr-FR"/>
        </w:rPr>
        <w:t xml:space="preserve"> ci-après oriente la mise en œuvre de ce Plan :</w:t>
      </w:r>
    </w:p>
    <w:p w14:paraId="7BD25045" w14:textId="77777777" w:rsidR="007F026E" w:rsidRPr="00062101" w:rsidRDefault="007F026E" w:rsidP="007F026E">
      <w:pPr>
        <w:ind w:right="-88"/>
        <w:jc w:val="both"/>
        <w:rPr>
          <w:sz w:val="22"/>
          <w:lang w:val="fr-FR"/>
        </w:rPr>
      </w:pPr>
    </w:p>
    <w:p w14:paraId="4E5E4E8B" w14:textId="77777777" w:rsidR="007F026E" w:rsidRPr="00062101" w:rsidRDefault="007F026E" w:rsidP="007F026E">
      <w:pPr>
        <w:ind w:right="-88"/>
        <w:jc w:val="both"/>
        <w:rPr>
          <w:bCs/>
          <w:i/>
          <w:sz w:val="22"/>
          <w:lang w:val="fr-FR"/>
        </w:rPr>
      </w:pPr>
      <w:r w:rsidRPr="00062101">
        <w:rPr>
          <w:sz w:val="22"/>
          <w:lang w:val="fr-FR"/>
        </w:rPr>
        <w:t>« </w:t>
      </w:r>
      <w:r w:rsidRPr="00062101">
        <w:rPr>
          <w:i/>
          <w:sz w:val="22"/>
          <w:lang w:val="fr-FR"/>
        </w:rPr>
        <w:t>Favoriser des actions pour assurer un état de conservation favorable des espèces migratrices et de leurs habitats, et pour maintenir l’intégrité écologique, la connectivité et la résilience des systèmes migratoires.</w:t>
      </w:r>
      <w:r w:rsidRPr="00062101">
        <w:rPr>
          <w:sz w:val="22"/>
          <w:lang w:val="fr-FR"/>
        </w:rPr>
        <w:t> »</w:t>
      </w:r>
      <w:r w:rsidRPr="00062101" w:rsidDel="00FB580E">
        <w:rPr>
          <w:rFonts w:eastAsia="MS Mincho"/>
          <w:sz w:val="22"/>
          <w:lang w:val="fr-FR"/>
        </w:rPr>
        <w:t xml:space="preserve"> </w:t>
      </w:r>
    </w:p>
    <w:p w14:paraId="12F7FE7E" w14:textId="50EABBD1" w:rsidR="00591DCA" w:rsidRDefault="00591DCA" w:rsidP="007F026E">
      <w:pPr>
        <w:ind w:right="-88"/>
        <w:rPr>
          <w:sz w:val="22"/>
          <w:lang w:val="fr-FR"/>
        </w:rPr>
      </w:pPr>
      <w:r>
        <w:rPr>
          <w:sz w:val="22"/>
          <w:lang w:val="fr-FR"/>
        </w:rPr>
        <w:br w:type="page"/>
      </w:r>
    </w:p>
    <w:p w14:paraId="4EEAF300" w14:textId="5CAEB826" w:rsidR="007F026E" w:rsidRPr="004C5D74" w:rsidRDefault="007F026E" w:rsidP="007F026E">
      <w:pPr>
        <w:rPr>
          <w:lang w:val="fr-FR"/>
        </w:rPr>
      </w:pPr>
    </w:p>
    <w:tbl>
      <w:tblPr>
        <w:tblW w:w="0" w:type="auto"/>
        <w:tblBorders>
          <w:bottom w:val="single" w:sz="4" w:space="0" w:color="auto"/>
        </w:tblBorders>
        <w:tblLook w:val="01E0" w:firstRow="1" w:lastRow="1" w:firstColumn="1" w:lastColumn="1" w:noHBand="0" w:noVBand="0"/>
      </w:tblPr>
      <w:tblGrid>
        <w:gridCol w:w="8528"/>
      </w:tblGrid>
      <w:tr w:rsidR="007F026E" w:rsidRPr="00591DCA" w14:paraId="120A1178" w14:textId="77777777" w:rsidTr="006124BC">
        <w:tc>
          <w:tcPr>
            <w:tcW w:w="8528" w:type="dxa"/>
            <w:tcBorders>
              <w:bottom w:val="single" w:sz="4" w:space="0" w:color="auto"/>
            </w:tcBorders>
            <w:shd w:val="clear" w:color="auto" w:fill="E6E6E6"/>
          </w:tcPr>
          <w:p w14:paraId="26792EED" w14:textId="77777777" w:rsidR="007F026E" w:rsidRPr="00062101" w:rsidRDefault="007F026E" w:rsidP="006124BC">
            <w:pPr>
              <w:ind w:right="-88"/>
              <w:rPr>
                <w:rFonts w:eastAsia="MS Mincho"/>
                <w:b/>
                <w:color w:val="000080"/>
                <w:sz w:val="30"/>
                <w:szCs w:val="30"/>
                <w:lang w:val="fr-FR"/>
              </w:rPr>
            </w:pPr>
            <w:r w:rsidRPr="00062101">
              <w:rPr>
                <w:b/>
                <w:color w:val="000080"/>
                <w:sz w:val="30"/>
                <w:szCs w:val="30"/>
                <w:lang w:val="fr-FR"/>
              </w:rPr>
              <w:br w:type="page"/>
            </w:r>
            <w:r w:rsidRPr="00062101">
              <w:rPr>
                <w:rFonts w:eastAsia="MS Mincho"/>
                <w:b/>
                <w:color w:val="000080"/>
                <w:sz w:val="30"/>
                <w:szCs w:val="30"/>
                <w:lang w:val="fr-FR"/>
              </w:rPr>
              <w:br w:type="page"/>
              <w:t>Chapitre 3. Buts stratégiques et objectifs</w:t>
            </w:r>
          </w:p>
        </w:tc>
      </w:tr>
    </w:tbl>
    <w:p w14:paraId="274CD421" w14:textId="77777777" w:rsidR="007F026E" w:rsidRPr="00062101" w:rsidRDefault="007F026E" w:rsidP="007F026E">
      <w:pPr>
        <w:rPr>
          <w:bCs/>
          <w:sz w:val="22"/>
          <w:lang w:val="fr-FR"/>
        </w:rPr>
      </w:pPr>
    </w:p>
    <w:p w14:paraId="4972BDEB" w14:textId="77777777" w:rsidR="007F026E" w:rsidRPr="00062101" w:rsidRDefault="007F026E" w:rsidP="007F026E">
      <w:pPr>
        <w:ind w:right="-91"/>
        <w:rPr>
          <w:rFonts w:eastAsia="MS Mincho"/>
          <w:i/>
          <w:sz w:val="22"/>
          <w:lang w:val="fr-FR" w:eastAsia="ja-JP"/>
        </w:rPr>
      </w:pPr>
      <w:r w:rsidRPr="00062101">
        <w:rPr>
          <w:rFonts w:eastAsia="MS Mincho"/>
          <w:i/>
          <w:sz w:val="22"/>
          <w:lang w:val="fr-FR" w:eastAsia="ja-JP"/>
        </w:rPr>
        <w:t>Buts</w:t>
      </w:r>
    </w:p>
    <w:p w14:paraId="51ECC898" w14:textId="77777777" w:rsidR="007F026E" w:rsidRPr="00062101" w:rsidRDefault="007F026E" w:rsidP="007F026E">
      <w:pPr>
        <w:spacing w:before="120"/>
        <w:ind w:right="-91"/>
        <w:jc w:val="both"/>
        <w:rPr>
          <w:sz w:val="22"/>
          <w:lang w:val="fr-FR"/>
        </w:rPr>
      </w:pPr>
      <w:r w:rsidRPr="00062101">
        <w:rPr>
          <w:sz w:val="22"/>
          <w:lang w:val="fr-FR"/>
        </w:rPr>
        <w:lastRenderedPageBreak/>
        <w:t>Les cinq buts énoncés ci-après expriment les résultats stratégiques de ce Plan. Ceux-ci incluent des résultats en matière de conservation et des moyens pour mesurer ces résultats. Des détails opérationnels à l’appui de la mise en œuvre sont fournis dans un guide d’accompagnement (voir aussi le chapitre 4 ci-dessous).</w:t>
      </w:r>
    </w:p>
    <w:p w14:paraId="03D86276" w14:textId="77777777" w:rsidR="007F026E" w:rsidRPr="00062101" w:rsidRDefault="007F026E" w:rsidP="007F026E">
      <w:pPr>
        <w:ind w:right="-91"/>
        <w:jc w:val="both"/>
        <w:rPr>
          <w:sz w:val="22"/>
          <w:lang w:val="fr-FR"/>
        </w:rPr>
      </w:pPr>
    </w:p>
    <w:p w14:paraId="1F460A48" w14:textId="77777777" w:rsidR="007F026E" w:rsidRPr="00062101" w:rsidRDefault="007F026E" w:rsidP="007F026E">
      <w:pPr>
        <w:ind w:right="-91"/>
        <w:jc w:val="both"/>
        <w:rPr>
          <w:bCs/>
          <w:i/>
          <w:sz w:val="22"/>
          <w:lang w:val="fr-FR"/>
        </w:rPr>
      </w:pPr>
      <w:r w:rsidRPr="00062101">
        <w:rPr>
          <w:bCs/>
          <w:i/>
          <w:sz w:val="22"/>
          <w:lang w:val="fr-FR"/>
        </w:rPr>
        <w:t>Objectifs</w:t>
      </w:r>
    </w:p>
    <w:p w14:paraId="5D053596" w14:textId="77777777" w:rsidR="007F026E" w:rsidRPr="00062101" w:rsidRDefault="007F026E" w:rsidP="007F026E">
      <w:pPr>
        <w:spacing w:before="120"/>
        <w:ind w:right="-91"/>
        <w:jc w:val="both"/>
        <w:rPr>
          <w:rFonts w:eastAsia="MS Mincho"/>
          <w:sz w:val="22"/>
          <w:lang w:val="fr-FR"/>
        </w:rPr>
      </w:pPr>
      <w:r w:rsidRPr="00062101">
        <w:rPr>
          <w:sz w:val="22"/>
          <w:lang w:val="fr-FR"/>
        </w:rPr>
        <w:t xml:space="preserve">Des objectifs de performance sont énoncés pour chaque but, précisant l’échelle et la nature des principaux changements tangibles requis dans chaque cas. Ces objectifs visent à établir des priorités et à définir ce qui constitue une performance réussie. Ceci inclut, le cas échéant, une norme quantifiable. Bien qu’ils s’inspirent généralement des Objectifs d’Aichi relatifs à la diversité biologique contenus dans le Plan stratégique pour la diversité biologique – </w:t>
      </w:r>
      <w:r w:rsidRPr="00062101">
        <w:rPr>
          <w:bCs/>
          <w:sz w:val="22"/>
          <w:lang w:val="fr-FR"/>
        </w:rPr>
        <w:t>afin d’encourager la cohérence des activités liées à la biodiversité (voir l’</w:t>
      </w:r>
      <w:r w:rsidRPr="00062101">
        <w:rPr>
          <w:b/>
          <w:bCs/>
          <w:sz w:val="22"/>
          <w:lang w:val="fr-FR"/>
        </w:rPr>
        <w:t>annexe A</w:t>
      </w:r>
      <w:r w:rsidRPr="00062101">
        <w:rPr>
          <w:bCs/>
          <w:sz w:val="22"/>
          <w:lang w:val="fr-FR"/>
        </w:rPr>
        <w:t>)</w:t>
      </w:r>
      <w:r w:rsidRPr="00062101">
        <w:rPr>
          <w:sz w:val="22"/>
          <w:lang w:val="fr-FR"/>
        </w:rPr>
        <w:t xml:space="preserve"> et d’appuyer les initiatives menées pendant la Décennie des Nations Unies pour la biodiversité – les buts et les objectifs du </w:t>
      </w:r>
      <w:r w:rsidRPr="00062101">
        <w:rPr>
          <w:bCs/>
          <w:sz w:val="22"/>
          <w:lang w:val="fr-FR"/>
        </w:rPr>
        <w:t>Plan stratégique pour les espèces migratrices ont été élaborés pour contribuer à la réalisation des objectifs des instruments de la CMS ; ils ont leur propre identité et ils tiennent compte des besoins des espèces migratrices</w:t>
      </w:r>
      <w:r w:rsidRPr="00062101">
        <w:rPr>
          <w:sz w:val="22"/>
          <w:lang w:val="fr-FR"/>
        </w:rPr>
        <w:t>.</w:t>
      </w:r>
      <w:r w:rsidRPr="00062101" w:rsidDel="00C95039">
        <w:rPr>
          <w:sz w:val="22"/>
          <w:lang w:val="fr-FR"/>
        </w:rPr>
        <w:t xml:space="preserve"> </w:t>
      </w:r>
      <w:r w:rsidRPr="00062101">
        <w:rPr>
          <w:sz w:val="22"/>
          <w:lang w:val="fr-FR"/>
        </w:rPr>
        <w:t xml:space="preserve">Ceci signifie que chacun d’entre eux a été réexaminé de façon indépendante, au regard des conditions prévalant en 2014, et que chacun d’entre eux est basé sur une appréciation de sa faisabilité et sur les besoins prioritaires particuliers des </w:t>
      </w:r>
      <w:r w:rsidRPr="00062101">
        <w:rPr>
          <w:rFonts w:eastAsia="MS Mincho"/>
          <w:sz w:val="22"/>
          <w:lang w:val="fr-FR"/>
        </w:rPr>
        <w:t xml:space="preserve">espèces migratrices dans ce contexte précis. </w:t>
      </w:r>
    </w:p>
    <w:p w14:paraId="2BE595A2" w14:textId="77777777" w:rsidR="007F026E" w:rsidRPr="00062101" w:rsidRDefault="007F026E" w:rsidP="007F026E">
      <w:pPr>
        <w:ind w:right="-88"/>
        <w:jc w:val="both"/>
        <w:rPr>
          <w:rFonts w:eastAsia="MS Mincho"/>
          <w:sz w:val="22"/>
          <w:lang w:val="fr-FR"/>
        </w:rPr>
      </w:pPr>
    </w:p>
    <w:p w14:paraId="21AA2F09" w14:textId="77777777" w:rsidR="007F026E" w:rsidRPr="00062101" w:rsidRDefault="007F026E" w:rsidP="007F026E">
      <w:pPr>
        <w:ind w:right="-88"/>
        <w:jc w:val="both"/>
        <w:rPr>
          <w:sz w:val="22"/>
          <w:lang w:val="fr-FR"/>
        </w:rPr>
      </w:pPr>
      <w:r w:rsidRPr="00062101">
        <w:rPr>
          <w:rFonts w:eastAsia="MS Mincho"/>
          <w:sz w:val="22"/>
          <w:lang w:val="fr-FR"/>
        </w:rPr>
        <w:t>Aucune disposition du présent Plan stratégique ne pourra être interprétée comme diluant ou réduisant les engagements pris dans le cadre des Objectifs d’Aichi relatifs à la diversité biologique.</w:t>
      </w:r>
      <w:r w:rsidRPr="00062101">
        <w:rPr>
          <w:sz w:val="22"/>
          <w:lang w:val="fr-FR"/>
        </w:rPr>
        <w:t xml:space="preserve"> D’une manière générale, chaque objectif du Plan stratégique pour les espèces migratrices devrait être atteint, à l’échelle mondiale, à l’échéance fixée pour l’Objectif d’Aichi correspondant (voir l’Annexe A), le cas échéant. Les gouvernements pourront, à titre individuel, fixer des délais plus courts pour certains objectifs ou pour tous les objectifs, selon leurs circonstances nationales. L’adoption de plans d’action nationaux spécifiques pourra aider à approfondir ces questions.</w:t>
      </w:r>
    </w:p>
    <w:p w14:paraId="18DB352D" w14:textId="77777777" w:rsidR="007F026E" w:rsidRDefault="007F026E" w:rsidP="007F026E">
      <w:pPr>
        <w:jc w:val="both"/>
        <w:rPr>
          <w:rFonts w:cs="Arial"/>
          <w:bCs/>
          <w:sz w:val="20"/>
          <w:szCs w:val="20"/>
          <w:lang w:val="fr-FR"/>
        </w:rPr>
      </w:pPr>
    </w:p>
    <w:p w14:paraId="2C93CF13" w14:textId="77777777" w:rsidR="007F026E" w:rsidRPr="004C5D74" w:rsidRDefault="007F026E" w:rsidP="007F026E">
      <w:pPr>
        <w:jc w:val="both"/>
        <w:rPr>
          <w:rFonts w:cs="Arial"/>
          <w:bCs/>
          <w:sz w:val="20"/>
          <w:szCs w:val="20"/>
          <w:lang w:val="fr-FR"/>
        </w:rPr>
      </w:pPr>
    </w:p>
    <w:p w14:paraId="3D7BC992" w14:textId="77777777" w:rsidR="007F026E" w:rsidRPr="00062101" w:rsidRDefault="007F026E" w:rsidP="007F026E">
      <w:pPr>
        <w:ind w:right="-88"/>
        <w:jc w:val="both"/>
        <w:rPr>
          <w:rFonts w:eastAsia="MS Mincho"/>
          <w:i/>
          <w:sz w:val="22"/>
          <w:lang w:val="fr-FR" w:eastAsia="ja-JP"/>
        </w:rPr>
      </w:pPr>
      <w:r w:rsidRPr="00062101">
        <w:rPr>
          <w:rFonts w:eastAsia="MS Mincho"/>
          <w:i/>
          <w:sz w:val="22"/>
          <w:lang w:val="fr-FR" w:eastAsia="ja-JP"/>
        </w:rPr>
        <w:t>Sous-objectifs</w:t>
      </w:r>
    </w:p>
    <w:p w14:paraId="50F0AC52" w14:textId="77777777" w:rsidR="007F026E" w:rsidRPr="00062101" w:rsidRDefault="007F026E" w:rsidP="007F026E">
      <w:pPr>
        <w:spacing w:before="120"/>
        <w:ind w:right="-91"/>
        <w:jc w:val="both"/>
        <w:rPr>
          <w:sz w:val="22"/>
          <w:lang w:val="fr-FR"/>
        </w:rPr>
      </w:pPr>
      <w:r w:rsidRPr="00062101">
        <w:rPr>
          <w:sz w:val="22"/>
          <w:lang w:val="fr-FR"/>
        </w:rPr>
        <w:t xml:space="preserve">Certaines contributions essentielles à la réalisation des objectifs du Plan stratégique peuvent être définies sous forme d’objectifs subsidiaires, abordant des problèmes spécifiques. Dans certains cas, des aspects plus spécifiques d’un objectif donné peuvent être déjà suffisamment bien définis (dans un instrument connexe de la CMS, par exemple, ou dans un autre processus international), et il sera donc possible d’énoncer des sous-objectifs spécifiques. </w:t>
      </w:r>
    </w:p>
    <w:p w14:paraId="3C0FAE2A" w14:textId="400B9B27" w:rsidR="007F026E" w:rsidRDefault="007F026E" w:rsidP="007F026E">
      <w:pPr>
        <w:spacing w:before="120"/>
        <w:ind w:right="-88"/>
        <w:jc w:val="both"/>
        <w:rPr>
          <w:bCs/>
          <w:sz w:val="22"/>
          <w:lang w:val="fr-FR"/>
        </w:rPr>
      </w:pPr>
      <w:r w:rsidRPr="00062101">
        <w:rPr>
          <w:sz w:val="22"/>
          <w:lang w:val="fr-FR"/>
        </w:rPr>
        <w:t xml:space="preserve">Une catégorie importante de sous-objectifs concerne les actions ou processus qui sont, ou seront, menés en vertu d’un ou de plusieurs accords, mémorandums d’entente ou plans d’action de la Famille CMS. Chaque organe décisionnaire de ces instruments peut adopter de tels sous-objectifs, si cela est considéré comme approprié. Cela peut, par exemple, prendre la forme d’objectifs spécifiques concernant certaines espèces ou d’un plan d’action ou d’un plan de conservation et de gestion ayant ses propres objectifs, considérés comme soutenant le Plan stratégique tout en s’en distinguant. Ces éléments sont mentionnés dans un registre distinct tenu et actualisé par le Secrétariat de la CMS </w:t>
      </w:r>
      <w:r w:rsidRPr="00062101">
        <w:rPr>
          <w:bCs/>
          <w:sz w:val="22"/>
          <w:lang w:val="fr-FR"/>
        </w:rPr>
        <w:t>et encouragent une approche intégrée de la mise en œuvre du Plan stratégique à travers les instruments de la Famille CMS.</w:t>
      </w:r>
    </w:p>
    <w:p w14:paraId="184C0D86" w14:textId="77777777" w:rsidR="00591DCA" w:rsidRPr="00062101" w:rsidRDefault="00591DCA" w:rsidP="007F026E">
      <w:pPr>
        <w:spacing w:before="120"/>
        <w:ind w:right="-88"/>
        <w:jc w:val="both"/>
        <w:rPr>
          <w:bCs/>
          <w:sz w:val="22"/>
          <w:lang w:val="fr-FR"/>
        </w:rPr>
      </w:pPr>
    </w:p>
    <w:p w14:paraId="0FE1349A" w14:textId="40995C12" w:rsidR="00B15943" w:rsidRDefault="007F026E" w:rsidP="007F026E">
      <w:pPr>
        <w:jc w:val="both"/>
        <w:rPr>
          <w:sz w:val="22"/>
          <w:lang w:val="fr-FR"/>
        </w:rPr>
      </w:pPr>
      <w:r w:rsidRPr="00062101">
        <w:rPr>
          <w:sz w:val="22"/>
          <w:lang w:val="fr-FR"/>
        </w:rPr>
        <w:t>Ce tableau évoluera et d’autres sous-objectifs seront sans doute adoptés dans leurs contextes propres. Le registre des sous-objectifs a donc pour vocation de fournir une liste non exhaustive, qui sera actualisée régulièrement. Ceci ne signifie pas qu’un sous-objectif devra être nécessairement défini pour chaque objectif du Plan stratégique ou pour chaque instrument en particulier. À l’inverse, les sous-objectifs en place à un moment donné ne représentent pas forcément la totalité des engagements qui ont été pris ou qui doivent être précisés au niveau considéré.</w:t>
      </w:r>
    </w:p>
    <w:p w14:paraId="043C152C" w14:textId="77777777" w:rsidR="003313C8" w:rsidRPr="006124BC" w:rsidRDefault="003313C8" w:rsidP="007F026E">
      <w:pPr>
        <w:jc w:val="both"/>
        <w:rPr>
          <w:bCs/>
          <w:sz w:val="20"/>
          <w:szCs w:val="20"/>
          <w:lang w:val="fr-FR"/>
        </w:rPr>
      </w:pPr>
    </w:p>
    <w:p w14:paraId="51F747A5" w14:textId="77777777" w:rsidR="003313C8" w:rsidRPr="00062101" w:rsidRDefault="003313C8" w:rsidP="003313C8">
      <w:pPr>
        <w:ind w:right="-88"/>
        <w:rPr>
          <w:i/>
          <w:sz w:val="22"/>
          <w:lang w:val="fr-FR"/>
        </w:rPr>
      </w:pPr>
      <w:r w:rsidRPr="00062101">
        <w:rPr>
          <w:rFonts w:eastAsia="MS Mincho"/>
          <w:i/>
          <w:sz w:val="22"/>
          <w:lang w:val="fr-FR" w:eastAsia="ja-JP"/>
        </w:rPr>
        <w:t>Indicateurs</w:t>
      </w:r>
    </w:p>
    <w:p w14:paraId="2F59D148" w14:textId="77777777" w:rsidR="00452C17" w:rsidRPr="00062101" w:rsidRDefault="003313C8" w:rsidP="00452C17">
      <w:pPr>
        <w:spacing w:before="120"/>
        <w:ind w:right="-91"/>
        <w:jc w:val="both"/>
        <w:rPr>
          <w:sz w:val="22"/>
          <w:lang w:val="fr-FR"/>
        </w:rPr>
      </w:pPr>
      <w:r w:rsidRPr="00062101">
        <w:rPr>
          <w:sz w:val="22"/>
          <w:lang w:val="fr-FR"/>
        </w:rPr>
        <w:t>Des indicateurs fondamentaux mesurables sont inclus pour assurer un suivi et rendre compte des progrès accomplis da</w:t>
      </w:r>
      <w:r>
        <w:rPr>
          <w:sz w:val="22"/>
          <w:lang w:val="fr-FR"/>
        </w:rPr>
        <w:t>ns la réalisation des objectifs</w:t>
      </w:r>
      <w:r w:rsidR="00B15943" w:rsidRPr="006124BC">
        <w:rPr>
          <w:sz w:val="22"/>
          <w:szCs w:val="22"/>
          <w:lang w:val="fr-FR"/>
        </w:rPr>
        <w:t xml:space="preserve">. </w:t>
      </w:r>
      <w:r w:rsidR="001D40C8" w:rsidRPr="0031003F">
        <w:rPr>
          <w:sz w:val="22"/>
          <w:lang w:val="fr-FR"/>
        </w:rPr>
        <w:t>Ces indicateurs sont présents à l’</w:t>
      </w:r>
      <w:r w:rsidR="001D40C8" w:rsidRPr="0031003F">
        <w:rPr>
          <w:b/>
          <w:sz w:val="22"/>
          <w:lang w:val="fr-FR"/>
        </w:rPr>
        <w:t>annexe B</w:t>
      </w:r>
      <w:r w:rsidR="001D40C8" w:rsidRPr="0031003F">
        <w:rPr>
          <w:sz w:val="22"/>
          <w:lang w:val="fr-FR"/>
        </w:rPr>
        <w:t xml:space="preserve"> et </w:t>
      </w:r>
      <w:r w:rsidR="001D40C8" w:rsidRPr="0031003F">
        <w:rPr>
          <w:sz w:val="22"/>
          <w:lang w:val="fr-FR"/>
        </w:rPr>
        <w:lastRenderedPageBreak/>
        <w:t xml:space="preserve">sont basés, </w:t>
      </w:r>
      <w:r w:rsidR="001D40C8" w:rsidRPr="0031003F">
        <w:rPr>
          <w:sz w:val="22"/>
          <w:u w:val="single"/>
          <w:lang w:val="fr-FR"/>
        </w:rPr>
        <w:t>dans la mesure du possible</w:t>
      </w:r>
      <w:r w:rsidR="001D40C8" w:rsidRPr="0031003F">
        <w:rPr>
          <w:sz w:val="22"/>
          <w:lang w:val="fr-FR"/>
        </w:rPr>
        <w:t>, sur des indicateurs conçus pour être utilisés avec les objectifs d’Aichi correspondants</w:t>
      </w:r>
      <w:r w:rsidR="00B15943" w:rsidRPr="0031003F">
        <w:rPr>
          <w:sz w:val="22"/>
          <w:szCs w:val="22"/>
          <w:lang w:val="fr-FR"/>
        </w:rPr>
        <w:t>.</w:t>
      </w:r>
      <w:r w:rsidR="00B15943" w:rsidRPr="001D40C8">
        <w:rPr>
          <w:sz w:val="22"/>
          <w:szCs w:val="22"/>
          <w:lang w:val="fr-FR"/>
        </w:rPr>
        <w:t xml:space="preserve"> </w:t>
      </w:r>
      <w:r w:rsidR="00452C17" w:rsidRPr="00062101">
        <w:rPr>
          <w:sz w:val="22"/>
          <w:lang w:val="fr-FR"/>
        </w:rPr>
        <w:t>Des détails sur l’utilisation de ces indicateurs (y compris les jalons à atteindre) sont fournis dans le guide d’accompagnement de la mise en œuvre.</w:t>
      </w:r>
    </w:p>
    <w:p w14:paraId="1288A7A1" w14:textId="161499B7" w:rsidR="00B15943" w:rsidRPr="006124BC" w:rsidRDefault="00B15943" w:rsidP="00452C17">
      <w:pPr>
        <w:widowControl/>
        <w:jc w:val="both"/>
        <w:rPr>
          <w:bCs/>
          <w:sz w:val="20"/>
          <w:szCs w:val="20"/>
          <w:lang w:val="fr-FR"/>
        </w:rPr>
      </w:pPr>
    </w:p>
    <w:p w14:paraId="1F939931" w14:textId="190B4D71" w:rsidR="003E53EA" w:rsidRPr="0061757B" w:rsidRDefault="00452C17" w:rsidP="003E53EA">
      <w:pPr>
        <w:pBdr>
          <w:top w:val="single" w:sz="4" w:space="1" w:color="auto"/>
          <w:left w:val="single" w:sz="4" w:space="4" w:color="auto"/>
          <w:bottom w:val="single" w:sz="4" w:space="1" w:color="auto"/>
          <w:right w:val="single" w:sz="4" w:space="4" w:color="auto"/>
        </w:pBdr>
        <w:shd w:val="clear" w:color="auto" w:fill="E6E6E6"/>
        <w:ind w:left="6" w:right="-1"/>
        <w:jc w:val="both"/>
        <w:rPr>
          <w:b/>
          <w:i/>
          <w:sz w:val="22"/>
          <w:szCs w:val="22"/>
          <w:lang w:val="fr-FR"/>
        </w:rPr>
      </w:pPr>
      <w:r w:rsidRPr="0061757B">
        <w:rPr>
          <w:b/>
          <w:i/>
          <w:sz w:val="22"/>
          <w:szCs w:val="22"/>
          <w:lang w:val="fr-FR"/>
        </w:rPr>
        <w:t>But 1 : Gérer les causes sous-jacentes du déclin des espèces migratrices en intégrant des priorités pertinentes en matière de conservation et d’utilisation durable au sein des gouvernements et de la société</w:t>
      </w:r>
    </w:p>
    <w:p w14:paraId="7C68AE23" w14:textId="77777777" w:rsidR="003E53EA" w:rsidRPr="0061757B" w:rsidRDefault="003E53EA" w:rsidP="003E53EA">
      <w:pPr>
        <w:ind w:right="-88"/>
        <w:jc w:val="both"/>
        <w:rPr>
          <w:bCs/>
          <w:sz w:val="22"/>
          <w:szCs w:val="22"/>
          <w:lang w:val="fr-FR"/>
        </w:rPr>
      </w:pPr>
    </w:p>
    <w:p w14:paraId="56ED5D8A" w14:textId="625CB573" w:rsidR="000750E3" w:rsidRPr="0061757B" w:rsidRDefault="00452C17" w:rsidP="003E53EA">
      <w:pPr>
        <w:pBdr>
          <w:top w:val="single" w:sz="4" w:space="1" w:color="auto"/>
          <w:left w:val="single" w:sz="4" w:space="4" w:color="auto"/>
          <w:bottom w:val="single" w:sz="4" w:space="1" w:color="auto"/>
          <w:right w:val="single" w:sz="4" w:space="4" w:color="auto"/>
        </w:pBdr>
        <w:ind w:right="-1"/>
        <w:jc w:val="both"/>
        <w:rPr>
          <w:bCs/>
          <w:color w:val="0000FF"/>
          <w:sz w:val="22"/>
          <w:szCs w:val="22"/>
          <w:lang w:val="fr-FR"/>
        </w:rPr>
      </w:pPr>
      <w:r w:rsidRPr="0061757B">
        <w:rPr>
          <w:bCs/>
          <w:color w:val="0000FF"/>
          <w:sz w:val="22"/>
          <w:szCs w:val="22"/>
          <w:lang w:val="fr-FR"/>
        </w:rPr>
        <w:t>Objectif 1 : Les individus sont conscients des multiples valeurs des espèces migratrices et de leurs habitats et systèmes migratoires, ainsi que des mesures qu’ils peuvent prendre pour les conserver et pour assurer la durabilité de toute utilisation.</w:t>
      </w:r>
    </w:p>
    <w:p w14:paraId="6B2A5577" w14:textId="77777777" w:rsidR="00B15943" w:rsidRPr="0061757B" w:rsidRDefault="00B15943" w:rsidP="00EC2CB5">
      <w:pPr>
        <w:ind w:left="3"/>
        <w:jc w:val="both"/>
        <w:rPr>
          <w:bCs/>
          <w:sz w:val="16"/>
          <w:szCs w:val="16"/>
          <w:lang w:val="fr-FR"/>
        </w:rPr>
      </w:pPr>
    </w:p>
    <w:p w14:paraId="2430B659" w14:textId="77777777" w:rsidR="00452C17" w:rsidRDefault="00452C17" w:rsidP="00452C17">
      <w:pPr>
        <w:ind w:left="287"/>
        <w:jc w:val="both"/>
        <w:rPr>
          <w:bCs/>
          <w:sz w:val="20"/>
          <w:szCs w:val="20"/>
          <w:lang w:val="fr-FR"/>
        </w:rPr>
      </w:pPr>
      <w:r w:rsidRPr="00452C17">
        <w:rPr>
          <w:bCs/>
          <w:i/>
          <w:sz w:val="20"/>
          <w:szCs w:val="20"/>
          <w:lang w:val="fr-FR"/>
        </w:rPr>
        <w:t>Note :</w:t>
      </w:r>
      <w:r w:rsidRPr="00452C17">
        <w:rPr>
          <w:bCs/>
          <w:sz w:val="20"/>
          <w:szCs w:val="20"/>
          <w:lang w:val="fr-FR"/>
        </w:rPr>
        <w:t xml:space="preserve"> le terme « conscients de » vise à aller au-delà d’une attitude passive et à inclure un soutien et un engagement positifs au niveau politique et de la part du grand public. Cela comprend la prise de conscience des valeurs que représente en lui-même le phénomène de la migration. Ces valeurs peuvent être d’ordre socio-économique, culturel et écologique.</w:t>
      </w:r>
    </w:p>
    <w:p w14:paraId="15EB7AB7" w14:textId="77777777" w:rsidR="00452C17" w:rsidRPr="00452C17" w:rsidRDefault="00452C17" w:rsidP="00452C17">
      <w:pPr>
        <w:ind w:left="287"/>
        <w:jc w:val="both"/>
        <w:rPr>
          <w:bCs/>
          <w:sz w:val="20"/>
          <w:szCs w:val="20"/>
          <w:lang w:val="fr-FR"/>
        </w:rPr>
      </w:pPr>
    </w:p>
    <w:p w14:paraId="62324B3B" w14:textId="77777777" w:rsidR="00452C17" w:rsidRPr="00062101" w:rsidRDefault="00452C17" w:rsidP="00452C17">
      <w:pPr>
        <w:pBdr>
          <w:top w:val="single" w:sz="4" w:space="1" w:color="auto"/>
          <w:left w:val="single" w:sz="4" w:space="4" w:color="auto"/>
          <w:bottom w:val="single" w:sz="4" w:space="1" w:color="auto"/>
          <w:right w:val="single" w:sz="4" w:space="4" w:color="auto"/>
        </w:pBdr>
        <w:ind w:left="3" w:right="-88"/>
        <w:jc w:val="both"/>
        <w:rPr>
          <w:color w:val="E36C0A"/>
          <w:sz w:val="22"/>
          <w:lang w:val="fr-FR"/>
        </w:rPr>
      </w:pPr>
      <w:r w:rsidRPr="00062101">
        <w:rPr>
          <w:color w:val="0000FF"/>
          <w:sz w:val="22"/>
          <w:lang w:val="fr-FR"/>
        </w:rPr>
        <w:t>Objectif 2 : Les multiples valeurs des espèces migratrices et de leurs habitats ont été intégrées aux niveaux international, national et local dans les stratégies de développement et de réduction de la pauvreté et dans les processus de planification, y compris des moyens de subsistance, et sont intégrées dans les comptes nationaux, selon qu’il convient, et dans les systèmes de production de rapports.</w:t>
      </w:r>
    </w:p>
    <w:p w14:paraId="3E7CFD03" w14:textId="77777777" w:rsidR="00452C17" w:rsidRPr="00062101" w:rsidRDefault="00452C17" w:rsidP="00452C17">
      <w:pPr>
        <w:ind w:left="3"/>
        <w:rPr>
          <w:bCs/>
          <w:sz w:val="22"/>
          <w:lang w:val="fr-FR"/>
        </w:rPr>
      </w:pPr>
    </w:p>
    <w:p w14:paraId="5C03291D" w14:textId="77777777" w:rsidR="00452C17" w:rsidRPr="00452C17" w:rsidRDefault="00452C17" w:rsidP="00452C17">
      <w:pPr>
        <w:ind w:left="287"/>
        <w:jc w:val="both"/>
        <w:rPr>
          <w:bCs/>
          <w:sz w:val="20"/>
          <w:szCs w:val="20"/>
          <w:lang w:val="fr-FR"/>
        </w:rPr>
      </w:pPr>
      <w:r w:rsidRPr="00452C17">
        <w:rPr>
          <w:bCs/>
          <w:i/>
          <w:sz w:val="20"/>
          <w:szCs w:val="20"/>
          <w:lang w:val="fr-FR"/>
        </w:rPr>
        <w:t>Note :</w:t>
      </w:r>
      <w:r w:rsidRPr="00452C17">
        <w:rPr>
          <w:bCs/>
          <w:sz w:val="20"/>
          <w:szCs w:val="20"/>
          <w:lang w:val="fr-FR"/>
        </w:rPr>
        <w:t xml:space="preserve"> les actions entreprises pour atteindre cet objectif du Plan stratégique peuvent aussi contribuer à la réalisation de l’objectif 13 du Plan stratégique.</w:t>
      </w:r>
    </w:p>
    <w:p w14:paraId="0B8FA695" w14:textId="77777777" w:rsidR="00452C17" w:rsidRPr="00062101" w:rsidRDefault="00452C17" w:rsidP="00452C17">
      <w:pPr>
        <w:ind w:left="3"/>
        <w:jc w:val="both"/>
        <w:rPr>
          <w:bCs/>
          <w:sz w:val="22"/>
          <w:lang w:val="fr-FR"/>
        </w:rPr>
      </w:pPr>
    </w:p>
    <w:p w14:paraId="20F64A4B" w14:textId="77777777" w:rsidR="00452C17" w:rsidRPr="00062101" w:rsidRDefault="00452C17" w:rsidP="00452C17">
      <w:pPr>
        <w:pBdr>
          <w:top w:val="single" w:sz="4" w:space="1" w:color="auto"/>
          <w:left w:val="single" w:sz="4" w:space="4" w:color="auto"/>
          <w:bottom w:val="single" w:sz="4" w:space="1" w:color="auto"/>
          <w:right w:val="single" w:sz="4" w:space="4" w:color="auto"/>
        </w:pBdr>
        <w:ind w:left="3" w:right="-88"/>
        <w:jc w:val="both"/>
        <w:rPr>
          <w:color w:val="0000FF"/>
          <w:sz w:val="22"/>
          <w:lang w:val="fr-FR"/>
        </w:rPr>
      </w:pPr>
      <w:r w:rsidRPr="00062101">
        <w:rPr>
          <w:color w:val="0000FF"/>
          <w:sz w:val="22"/>
          <w:lang w:val="fr-FR"/>
        </w:rPr>
        <w:t>Objectif 3 : Les dispositions et les accords de gouvernance nationaux, régionaux et internationaux ayant un impact sur les espèces migratrices et leurs systèmes migratoires ont été substantiellement améliorés, de sorte que les processus de politique générale, législatifs et de mise en œuvre pertinents soient plus cohérents, responsables, transparents, participatifs, équitables et inclusifs.</w:t>
      </w:r>
    </w:p>
    <w:p w14:paraId="238CE083" w14:textId="77777777" w:rsidR="00452C17" w:rsidRPr="00062101" w:rsidRDefault="00452C17" w:rsidP="00452C17">
      <w:pPr>
        <w:ind w:left="3"/>
        <w:jc w:val="both"/>
        <w:rPr>
          <w:bCs/>
          <w:sz w:val="22"/>
          <w:lang w:val="fr-FR"/>
        </w:rPr>
      </w:pPr>
    </w:p>
    <w:p w14:paraId="6E8DBD15" w14:textId="77777777" w:rsidR="00452C17" w:rsidRPr="00452C17" w:rsidRDefault="00452C17" w:rsidP="00452C17">
      <w:pPr>
        <w:ind w:left="284"/>
        <w:jc w:val="both"/>
        <w:rPr>
          <w:bCs/>
          <w:sz w:val="20"/>
          <w:szCs w:val="20"/>
          <w:lang w:val="fr-FR"/>
        </w:rPr>
      </w:pPr>
      <w:r w:rsidRPr="00452C17">
        <w:rPr>
          <w:bCs/>
          <w:i/>
          <w:sz w:val="20"/>
          <w:szCs w:val="20"/>
          <w:lang w:val="fr-FR"/>
        </w:rPr>
        <w:t>Note :</w:t>
      </w:r>
      <w:r w:rsidRPr="00452C17">
        <w:rPr>
          <w:bCs/>
          <w:sz w:val="20"/>
          <w:szCs w:val="20"/>
          <w:lang w:val="fr-FR"/>
        </w:rPr>
        <w:t xml:space="preserve"> la référence faite à une gouvernance “ayant un impact” sur les espèces migratrices signifie que cela ne concerne pas uniquement la gouvernance dans le domaine de la conservation, mais aussi, d’autres niveaux et/ou secteurs pouvant avoir un impact sur les espèces migratrices.</w:t>
      </w:r>
    </w:p>
    <w:p w14:paraId="45E28699" w14:textId="77777777" w:rsidR="00452C17" w:rsidRPr="00062101" w:rsidRDefault="00452C17" w:rsidP="00452C17">
      <w:pPr>
        <w:ind w:left="3"/>
        <w:rPr>
          <w:bCs/>
          <w:sz w:val="22"/>
          <w:lang w:val="fr-FR"/>
        </w:rPr>
      </w:pPr>
    </w:p>
    <w:tbl>
      <w:tblPr>
        <w:tblW w:w="9809" w:type="dxa"/>
        <w:tblLook w:val="01E0" w:firstRow="1" w:lastRow="1" w:firstColumn="1" w:lastColumn="1" w:noHBand="0" w:noVBand="0"/>
      </w:tblPr>
      <w:tblGrid>
        <w:gridCol w:w="9809"/>
      </w:tblGrid>
      <w:tr w:rsidR="00452C17" w:rsidRPr="00591DCA" w14:paraId="5BFF66F3" w14:textId="77777777" w:rsidTr="00452C17">
        <w:trPr>
          <w:trHeight w:val="1559"/>
        </w:trPr>
        <w:tc>
          <w:tcPr>
            <w:tcW w:w="9809" w:type="dxa"/>
            <w:tcBorders>
              <w:top w:val="single" w:sz="4" w:space="0" w:color="auto"/>
              <w:left w:val="single" w:sz="4" w:space="0" w:color="auto"/>
              <w:bottom w:val="single" w:sz="4" w:space="0" w:color="auto"/>
              <w:right w:val="single" w:sz="4" w:space="0" w:color="auto"/>
            </w:tcBorders>
          </w:tcPr>
          <w:p w14:paraId="1E527280" w14:textId="77777777" w:rsidR="00452C17" w:rsidRPr="00062101" w:rsidRDefault="00452C17" w:rsidP="006124BC">
            <w:pPr>
              <w:ind w:right="-88"/>
              <w:jc w:val="both"/>
              <w:rPr>
                <w:color w:val="0000FF"/>
                <w:sz w:val="22"/>
                <w:lang w:val="fr-FR"/>
              </w:rPr>
            </w:pPr>
            <w:r w:rsidRPr="00062101">
              <w:rPr>
                <w:rFonts w:eastAsia="MS Mincho"/>
                <w:color w:val="0000FF"/>
                <w:sz w:val="22"/>
                <w:lang w:val="fr-FR"/>
              </w:rPr>
              <w:t>Objectif 4 : Les incitations incluant des subventions, néfastes pour les espèces migratrices et/ou leurs habitats sont éliminées, réduites progressivement ou réformées, afin de réduire au minimum ou d’éviter les incidences défavorables ; et des incitations positives en faveur de la conservation des espèces migratrices et de leurs habitats sont élaborées et appliquées, d’une manière compatible avec les engagements au titre de la CMS et les autres obligations et engagements internationaux et régionaux en vigueur.</w:t>
            </w:r>
          </w:p>
        </w:tc>
      </w:tr>
    </w:tbl>
    <w:p w14:paraId="701D58EF" w14:textId="77777777" w:rsidR="00452C17" w:rsidRPr="00062101" w:rsidRDefault="00452C17" w:rsidP="00452C17">
      <w:pPr>
        <w:ind w:left="6"/>
        <w:jc w:val="both"/>
        <w:rPr>
          <w:bCs/>
          <w:sz w:val="22"/>
          <w:lang w:val="fr-FR"/>
        </w:rPr>
      </w:pPr>
    </w:p>
    <w:p w14:paraId="0FE3D08F" w14:textId="6400BE8C" w:rsidR="00452C17" w:rsidRPr="00452C17" w:rsidRDefault="00452C17" w:rsidP="00452C17">
      <w:pPr>
        <w:ind w:left="290"/>
        <w:jc w:val="both"/>
        <w:rPr>
          <w:bCs/>
          <w:sz w:val="20"/>
          <w:szCs w:val="20"/>
          <w:lang w:val="fr-FR"/>
        </w:rPr>
      </w:pPr>
      <w:proofErr w:type="gramStart"/>
      <w:r w:rsidRPr="00452C17">
        <w:rPr>
          <w:bCs/>
          <w:i/>
          <w:sz w:val="20"/>
          <w:szCs w:val="20"/>
          <w:lang w:val="fr-FR"/>
        </w:rPr>
        <w:t>Note:</w:t>
      </w:r>
      <w:proofErr w:type="gramEnd"/>
      <w:r w:rsidRPr="00452C17">
        <w:rPr>
          <w:bCs/>
          <w:sz w:val="20"/>
          <w:szCs w:val="20"/>
          <w:lang w:val="fr-FR"/>
        </w:rPr>
        <w:t xml:space="preserve"> l’approche spécifique utilisée variera dans certains cas au niveau sous-national, en fonction des circonstances l</w:t>
      </w:r>
      <w:r>
        <w:rPr>
          <w:bCs/>
          <w:sz w:val="20"/>
          <w:szCs w:val="20"/>
          <w:lang w:val="fr-FR"/>
        </w:rPr>
        <w:t>ocales spécifiques.</w:t>
      </w:r>
    </w:p>
    <w:p w14:paraId="31C4A882" w14:textId="65266F5D" w:rsidR="00591DCA" w:rsidRDefault="00591DCA" w:rsidP="00452C17">
      <w:pPr>
        <w:ind w:left="6"/>
        <w:jc w:val="both"/>
        <w:rPr>
          <w:bCs/>
          <w:sz w:val="22"/>
          <w:lang w:val="fr-FR"/>
        </w:rPr>
      </w:pPr>
      <w:r>
        <w:rPr>
          <w:bCs/>
          <w:sz w:val="22"/>
          <w:lang w:val="fr-FR"/>
        </w:rPr>
        <w:br w:type="page"/>
      </w:r>
    </w:p>
    <w:p w14:paraId="0E8B2EE9" w14:textId="77777777" w:rsidR="00452C17" w:rsidRPr="00062101" w:rsidRDefault="00452C17" w:rsidP="00452C17">
      <w:pPr>
        <w:ind w:left="6"/>
        <w:jc w:val="both"/>
        <w:rPr>
          <w:bCs/>
          <w:sz w:val="22"/>
          <w:lang w:val="fr-FR"/>
        </w:rPr>
      </w:pPr>
    </w:p>
    <w:p w14:paraId="608163A8" w14:textId="77777777" w:rsidR="00452C17" w:rsidRPr="00452C17" w:rsidRDefault="00452C17" w:rsidP="00452C17">
      <w:pPr>
        <w:pBdr>
          <w:top w:val="single" w:sz="4" w:space="1" w:color="000000"/>
          <w:left w:val="single" w:sz="4" w:space="4" w:color="000000"/>
          <w:bottom w:val="single" w:sz="4" w:space="1" w:color="000000"/>
          <w:right w:val="single" w:sz="4" w:space="4" w:color="000000"/>
        </w:pBdr>
        <w:shd w:val="clear" w:color="auto" w:fill="E6E6E6"/>
        <w:ind w:left="6" w:right="-88"/>
        <w:jc w:val="both"/>
        <w:rPr>
          <w:b/>
          <w:i/>
          <w:sz w:val="22"/>
          <w:szCs w:val="22"/>
          <w:lang w:val="fr-FR"/>
        </w:rPr>
      </w:pPr>
      <w:r w:rsidRPr="00452C17">
        <w:rPr>
          <w:b/>
          <w:i/>
          <w:sz w:val="22"/>
          <w:szCs w:val="22"/>
          <w:lang w:val="fr-FR"/>
        </w:rPr>
        <w:t xml:space="preserve">But 2 : Réduire les pressions directes exercées sur les espèces migratrices et leurs habitats </w:t>
      </w:r>
    </w:p>
    <w:p w14:paraId="49FF9299" w14:textId="77777777" w:rsidR="00452C17" w:rsidRPr="00062101" w:rsidRDefault="00452C17" w:rsidP="00452C17">
      <w:pPr>
        <w:ind w:left="6" w:right="-88"/>
        <w:jc w:val="both"/>
        <w:rPr>
          <w:sz w:val="22"/>
          <w:lang w:val="fr-FR"/>
        </w:rPr>
      </w:pPr>
    </w:p>
    <w:tbl>
      <w:tblPr>
        <w:tblW w:w="9824" w:type="dxa"/>
        <w:tblLook w:val="01E0" w:firstRow="1" w:lastRow="1" w:firstColumn="1" w:lastColumn="1" w:noHBand="0" w:noVBand="0"/>
      </w:tblPr>
      <w:tblGrid>
        <w:gridCol w:w="9824"/>
      </w:tblGrid>
      <w:tr w:rsidR="00452C17" w:rsidRPr="00591DCA" w14:paraId="004D290D" w14:textId="77777777" w:rsidTr="00452C17">
        <w:trPr>
          <w:trHeight w:val="1559"/>
        </w:trPr>
        <w:tc>
          <w:tcPr>
            <w:tcW w:w="9824" w:type="dxa"/>
            <w:tcBorders>
              <w:top w:val="single" w:sz="4" w:space="0" w:color="auto"/>
              <w:left w:val="single" w:sz="4" w:space="0" w:color="auto"/>
              <w:bottom w:val="single" w:sz="4" w:space="0" w:color="auto"/>
              <w:right w:val="single" w:sz="4" w:space="0" w:color="auto"/>
            </w:tcBorders>
          </w:tcPr>
          <w:p w14:paraId="6CA7E6C6" w14:textId="77777777" w:rsidR="00452C17" w:rsidRPr="00062101" w:rsidRDefault="00452C17" w:rsidP="006124BC">
            <w:pPr>
              <w:ind w:right="-88"/>
              <w:jc w:val="both"/>
              <w:rPr>
                <w:color w:val="E36C0A"/>
                <w:sz w:val="22"/>
                <w:lang w:val="fr-FR"/>
              </w:rPr>
            </w:pPr>
            <w:r w:rsidRPr="00062101">
              <w:rPr>
                <w:color w:val="0000FF"/>
                <w:sz w:val="22"/>
                <w:lang w:val="fr-FR"/>
              </w:rPr>
              <w:t xml:space="preserve">Objectif 5 : Les gouvernements, les secteurs clés et les parties prenantes à tous les niveaux ont pris des mesures ou ont mis en œuvre des plans pour une production et une consommation durables, en maintenant les incidences de l’utilisation des ressources naturelles, y compris des habitats, dans des limites écologiques sûres, afin de soutenir un état de conservation favorable des espèces migratrices et de maintenir la qualité, l’intégrité, la résilience et la connectivité écologique de leurs habitats et de leurs </w:t>
            </w:r>
            <w:r w:rsidRPr="00062101">
              <w:rPr>
                <w:bCs/>
                <w:color w:val="0000FF"/>
                <w:sz w:val="22"/>
                <w:lang w:val="fr-FR"/>
              </w:rPr>
              <w:t>voies de migration.</w:t>
            </w:r>
          </w:p>
        </w:tc>
      </w:tr>
    </w:tbl>
    <w:p w14:paraId="2B2C9996" w14:textId="77777777" w:rsidR="00452C17" w:rsidRPr="00062101" w:rsidRDefault="00452C17" w:rsidP="00452C17">
      <w:pPr>
        <w:ind w:left="6"/>
        <w:jc w:val="both"/>
        <w:rPr>
          <w:bCs/>
          <w:sz w:val="22"/>
          <w:lang w:val="fr-FR"/>
        </w:rPr>
      </w:pPr>
    </w:p>
    <w:p w14:paraId="690CDC5E" w14:textId="77777777" w:rsidR="00452C17" w:rsidRPr="00080C97" w:rsidRDefault="00452C17" w:rsidP="00452C17">
      <w:pPr>
        <w:ind w:left="284"/>
        <w:jc w:val="both"/>
        <w:rPr>
          <w:bCs/>
          <w:sz w:val="20"/>
          <w:szCs w:val="20"/>
          <w:lang w:val="fr-FR"/>
        </w:rPr>
      </w:pPr>
      <w:r w:rsidRPr="00080C97">
        <w:rPr>
          <w:bCs/>
          <w:i/>
          <w:sz w:val="20"/>
          <w:szCs w:val="20"/>
          <w:lang w:val="fr-FR"/>
        </w:rPr>
        <w:t xml:space="preserve">Note </w:t>
      </w:r>
      <w:r w:rsidRPr="00080C97">
        <w:rPr>
          <w:bCs/>
          <w:sz w:val="20"/>
          <w:szCs w:val="20"/>
          <w:lang w:val="fr-FR"/>
        </w:rPr>
        <w:t xml:space="preserve">: lorsqu’il subsiste des incertitudes sur ce qui constitue “une limite écologique sûre”, une approche de </w:t>
      </w:r>
      <w:r w:rsidRPr="00080C97">
        <w:rPr>
          <w:bCs/>
          <w:sz w:val="20"/>
          <w:szCs w:val="20"/>
          <w:lang w:val="fr-FR"/>
        </w:rPr>
        <w:lastRenderedPageBreak/>
        <w:t>précaution devrait être retenue.</w:t>
      </w:r>
    </w:p>
    <w:p w14:paraId="2D6EF850" w14:textId="77777777" w:rsidR="00452C17" w:rsidRPr="00062101" w:rsidRDefault="00452C17" w:rsidP="00452C17">
      <w:pPr>
        <w:ind w:left="290"/>
        <w:jc w:val="both"/>
        <w:rPr>
          <w:bCs/>
          <w:sz w:val="22"/>
          <w:lang w:val="fr-FR"/>
        </w:rPr>
      </w:pPr>
      <w:r w:rsidRPr="00062101">
        <w:rPr>
          <w:bCs/>
          <w:sz w:val="22"/>
          <w:lang w:val="fr-FR"/>
        </w:rPr>
        <w:t>.</w:t>
      </w:r>
    </w:p>
    <w:tbl>
      <w:tblPr>
        <w:tblW w:w="9805" w:type="dxa"/>
        <w:tblLook w:val="01E0" w:firstRow="1" w:lastRow="1" w:firstColumn="1" w:lastColumn="1" w:noHBand="0" w:noVBand="0"/>
      </w:tblPr>
      <w:tblGrid>
        <w:gridCol w:w="9805"/>
      </w:tblGrid>
      <w:tr w:rsidR="00452C17" w:rsidRPr="00591DCA" w14:paraId="41046A30" w14:textId="77777777" w:rsidTr="00080C97">
        <w:tc>
          <w:tcPr>
            <w:tcW w:w="9805" w:type="dxa"/>
            <w:tcBorders>
              <w:top w:val="single" w:sz="4" w:space="0" w:color="auto"/>
              <w:left w:val="single" w:sz="4" w:space="0" w:color="auto"/>
              <w:bottom w:val="single" w:sz="4" w:space="0" w:color="auto"/>
              <w:right w:val="single" w:sz="4" w:space="0" w:color="auto"/>
            </w:tcBorders>
          </w:tcPr>
          <w:p w14:paraId="1538D9B3" w14:textId="77777777" w:rsidR="00452C17" w:rsidRPr="00062101" w:rsidRDefault="00452C17" w:rsidP="006124BC">
            <w:pPr>
              <w:ind w:right="-88"/>
              <w:jc w:val="both"/>
              <w:rPr>
                <w:color w:val="0000FF"/>
                <w:sz w:val="22"/>
                <w:lang w:val="fr-FR"/>
              </w:rPr>
            </w:pPr>
            <w:r w:rsidRPr="00062101">
              <w:rPr>
                <w:bCs/>
                <w:color w:val="0000FF"/>
                <w:sz w:val="22"/>
                <w:lang w:val="fr-FR"/>
              </w:rPr>
              <w:t xml:space="preserve">Objectif 6 : La pêche et la chasse n’ont aucun effet néfaste direct ou indirect important sur les espèces migratrices, leurs habitats ou </w:t>
            </w:r>
            <w:proofErr w:type="gramStart"/>
            <w:r w:rsidRPr="00062101">
              <w:rPr>
                <w:bCs/>
                <w:color w:val="0000FF"/>
                <w:sz w:val="22"/>
                <w:lang w:val="fr-FR"/>
              </w:rPr>
              <w:t>leur voies</w:t>
            </w:r>
            <w:proofErr w:type="gramEnd"/>
            <w:r w:rsidRPr="00062101">
              <w:rPr>
                <w:bCs/>
                <w:color w:val="0000FF"/>
                <w:sz w:val="22"/>
                <w:lang w:val="fr-FR"/>
              </w:rPr>
              <w:t xml:space="preserve"> de migration, et les incidences de la pêche et de la chasse restent dans des limites écologiques sûres.</w:t>
            </w:r>
          </w:p>
        </w:tc>
      </w:tr>
    </w:tbl>
    <w:p w14:paraId="616A9C2F" w14:textId="77777777" w:rsidR="00452C17" w:rsidRPr="00062101" w:rsidRDefault="00452C17" w:rsidP="00452C17">
      <w:pPr>
        <w:ind w:left="6"/>
        <w:jc w:val="both"/>
        <w:rPr>
          <w:bCs/>
          <w:sz w:val="22"/>
          <w:lang w:val="fr-FR"/>
        </w:rPr>
      </w:pPr>
    </w:p>
    <w:p w14:paraId="51F6B4BA" w14:textId="77777777" w:rsidR="00452C17" w:rsidRPr="00080C97" w:rsidRDefault="00452C17" w:rsidP="00452C17">
      <w:pPr>
        <w:ind w:left="284"/>
        <w:jc w:val="both"/>
        <w:rPr>
          <w:bCs/>
          <w:sz w:val="20"/>
          <w:szCs w:val="20"/>
          <w:lang w:val="fr-FR"/>
        </w:rPr>
      </w:pPr>
      <w:r w:rsidRPr="00080C97">
        <w:rPr>
          <w:bCs/>
          <w:i/>
          <w:sz w:val="20"/>
          <w:szCs w:val="20"/>
          <w:lang w:val="fr-FR"/>
        </w:rPr>
        <w:t xml:space="preserve">Note </w:t>
      </w:r>
      <w:r w:rsidRPr="00080C97">
        <w:rPr>
          <w:bCs/>
          <w:sz w:val="20"/>
          <w:szCs w:val="20"/>
          <w:lang w:val="fr-FR"/>
        </w:rPr>
        <w:t>: pour atteindre cet objectif, il faudra s’assurer que les espèces migratrices sont gérées et exploitées d’une manière durable, légale et en appliquant des approches fondées sur les écosystèmes. La surexploitation des espèces migratrices doit être évitée et des plans et mesures de rétablissement devraient être mis en place pour toutes les espèces en déclin. Lorsqu’il subsiste des incertitudes sur ce qui constitue « une limite écologique sûre », une approche de précaution devrait être retenue.</w:t>
      </w:r>
    </w:p>
    <w:p w14:paraId="008034DE" w14:textId="77777777" w:rsidR="00452C17" w:rsidRPr="00062101" w:rsidRDefault="00452C17" w:rsidP="00452C17">
      <w:pPr>
        <w:ind w:left="6"/>
        <w:jc w:val="both"/>
        <w:rPr>
          <w:bCs/>
          <w:sz w:val="22"/>
          <w:lang w:val="fr-FR"/>
        </w:rPr>
      </w:pPr>
    </w:p>
    <w:tbl>
      <w:tblPr>
        <w:tblW w:w="9805" w:type="dxa"/>
        <w:tblLook w:val="01E0" w:firstRow="1" w:lastRow="1" w:firstColumn="1" w:lastColumn="1" w:noHBand="0" w:noVBand="0"/>
      </w:tblPr>
      <w:tblGrid>
        <w:gridCol w:w="9805"/>
      </w:tblGrid>
      <w:tr w:rsidR="00452C17" w:rsidRPr="00591DCA" w14:paraId="2290A119" w14:textId="77777777" w:rsidTr="00080C97">
        <w:tc>
          <w:tcPr>
            <w:tcW w:w="9805" w:type="dxa"/>
            <w:tcBorders>
              <w:top w:val="single" w:sz="4" w:space="0" w:color="auto"/>
              <w:left w:val="single" w:sz="4" w:space="0" w:color="auto"/>
              <w:bottom w:val="single" w:sz="4" w:space="0" w:color="auto"/>
              <w:right w:val="single" w:sz="4" w:space="0" w:color="auto"/>
            </w:tcBorders>
          </w:tcPr>
          <w:p w14:paraId="5178CE56" w14:textId="77777777" w:rsidR="00452C17" w:rsidRPr="00062101" w:rsidRDefault="00452C17" w:rsidP="006124BC">
            <w:pPr>
              <w:ind w:right="-88"/>
              <w:jc w:val="both"/>
              <w:rPr>
                <w:color w:val="0000FF"/>
                <w:sz w:val="22"/>
                <w:lang w:val="fr-FR"/>
              </w:rPr>
            </w:pPr>
            <w:r w:rsidRPr="00062101">
              <w:rPr>
                <w:color w:val="0000FF"/>
                <w:sz w:val="22"/>
                <w:lang w:val="fr-FR"/>
              </w:rPr>
              <w:t>Objectif 7 : Les multiples pressions d’origine anthropique ont été réduites à des niveaux non préjudiciables pour la conservation des espèces migratrices ou pour le fonctionnement, l’intégrité, la connectivité écologique et la résilience de leurs habitats.</w:t>
            </w:r>
          </w:p>
        </w:tc>
      </w:tr>
    </w:tbl>
    <w:p w14:paraId="2180F195" w14:textId="77777777" w:rsidR="00452C17" w:rsidRPr="00062101" w:rsidRDefault="00452C17" w:rsidP="00452C17">
      <w:pPr>
        <w:ind w:left="6"/>
        <w:jc w:val="both"/>
        <w:rPr>
          <w:bCs/>
          <w:sz w:val="22"/>
          <w:lang w:val="fr-FR"/>
        </w:rPr>
      </w:pPr>
    </w:p>
    <w:p w14:paraId="7D0B6232" w14:textId="1B2F6AAE" w:rsidR="00452C17" w:rsidRPr="00080C97" w:rsidRDefault="00452C17" w:rsidP="00080C97">
      <w:pPr>
        <w:ind w:left="284"/>
        <w:jc w:val="both"/>
        <w:rPr>
          <w:bCs/>
          <w:sz w:val="20"/>
          <w:szCs w:val="20"/>
          <w:lang w:val="fr-FR"/>
        </w:rPr>
      </w:pPr>
      <w:r w:rsidRPr="00080C97">
        <w:rPr>
          <w:bCs/>
          <w:i/>
          <w:sz w:val="20"/>
          <w:szCs w:val="20"/>
          <w:lang w:val="fr-FR"/>
        </w:rPr>
        <w:t xml:space="preserve">Note </w:t>
      </w:r>
      <w:r w:rsidRPr="00080C97">
        <w:rPr>
          <w:bCs/>
          <w:sz w:val="20"/>
          <w:szCs w:val="20"/>
          <w:lang w:val="fr-FR"/>
        </w:rPr>
        <w:t>: les pressions concernées peuvent inclure les pressions liées au changement climatique, au développement d’infrastructures pour les énergies renouvelables, aux lignes électriques, aux captures accidentelles (pêche), au bruit sous-marin, aux collisions avec les navires, aux empoisonnements, à la pollution, aux maladies, aux espèces envahissantes, aux prélèvements illicites et non d</w:t>
      </w:r>
      <w:r w:rsidR="00080C97" w:rsidRPr="00080C97">
        <w:rPr>
          <w:bCs/>
          <w:sz w:val="20"/>
          <w:szCs w:val="20"/>
          <w:lang w:val="fr-FR"/>
        </w:rPr>
        <w:t>urables, et aux déchets marins.</w:t>
      </w:r>
    </w:p>
    <w:p w14:paraId="38C316DE" w14:textId="77777777" w:rsidR="00452C17" w:rsidRPr="00062101" w:rsidRDefault="00452C17" w:rsidP="00452C17">
      <w:pPr>
        <w:ind w:left="6"/>
        <w:jc w:val="both"/>
        <w:rPr>
          <w:bCs/>
          <w:sz w:val="22"/>
          <w:lang w:val="fr-FR"/>
        </w:rPr>
      </w:pPr>
    </w:p>
    <w:p w14:paraId="2F51227C" w14:textId="77777777" w:rsidR="00452C17" w:rsidRPr="00080C97" w:rsidRDefault="00452C17" w:rsidP="00452C17">
      <w:pPr>
        <w:pBdr>
          <w:top w:val="single" w:sz="4" w:space="1" w:color="000000"/>
          <w:left w:val="single" w:sz="4" w:space="4" w:color="000000"/>
          <w:bottom w:val="single" w:sz="4" w:space="1" w:color="000000"/>
          <w:right w:val="single" w:sz="4" w:space="4" w:color="000000"/>
        </w:pBdr>
        <w:shd w:val="clear" w:color="auto" w:fill="E6E6E6"/>
        <w:ind w:right="-88"/>
        <w:jc w:val="both"/>
        <w:rPr>
          <w:b/>
          <w:bCs/>
          <w:i/>
          <w:iCs/>
          <w:sz w:val="22"/>
          <w:szCs w:val="22"/>
          <w:lang w:val="fr-FR"/>
        </w:rPr>
      </w:pPr>
      <w:r w:rsidRPr="00080C97">
        <w:rPr>
          <w:b/>
          <w:bCs/>
          <w:i/>
          <w:iCs/>
          <w:sz w:val="22"/>
          <w:szCs w:val="22"/>
          <w:lang w:val="fr-FR"/>
        </w:rPr>
        <w:t xml:space="preserve">But 3 : Améliorer l’état de conservation des espèces migratrices ainsi que la connectivité écologique et la résilience de leurs habitats </w:t>
      </w:r>
    </w:p>
    <w:p w14:paraId="56A4AEBC" w14:textId="77777777" w:rsidR="00452C17" w:rsidRPr="00062101" w:rsidRDefault="00452C17" w:rsidP="00452C17">
      <w:pPr>
        <w:ind w:left="6"/>
        <w:jc w:val="both"/>
        <w:rPr>
          <w:sz w:val="22"/>
          <w:lang w:val="fr-FR"/>
        </w:rPr>
      </w:pPr>
    </w:p>
    <w:p w14:paraId="06D04B46" w14:textId="77777777" w:rsidR="00452C17" w:rsidRPr="00062101" w:rsidRDefault="00452C17" w:rsidP="00452C17">
      <w:pPr>
        <w:pBdr>
          <w:top w:val="single" w:sz="4" w:space="1" w:color="auto"/>
          <w:left w:val="single" w:sz="4" w:space="4" w:color="auto"/>
          <w:bottom w:val="single" w:sz="4" w:space="1" w:color="auto"/>
          <w:right w:val="single" w:sz="4" w:space="4" w:color="auto"/>
        </w:pBdr>
        <w:ind w:left="6" w:right="-88"/>
        <w:jc w:val="both"/>
        <w:rPr>
          <w:color w:val="0000FF"/>
          <w:sz w:val="22"/>
          <w:lang w:val="fr-FR"/>
        </w:rPr>
      </w:pPr>
      <w:r w:rsidRPr="00062101">
        <w:rPr>
          <w:color w:val="0000FF"/>
          <w:sz w:val="22"/>
          <w:lang w:val="fr-FR"/>
        </w:rPr>
        <w:t>Objectif 8 : L’état de conservation de toutes les espèces migratrices, et plus particulièrement des espèces menacées, s’est considérablement amélioré dans l’ensemble de leurs aires de répartition.</w:t>
      </w:r>
    </w:p>
    <w:p w14:paraId="7FE48242" w14:textId="77777777" w:rsidR="00452C17" w:rsidRPr="00062101" w:rsidRDefault="00452C17" w:rsidP="00452C17">
      <w:pPr>
        <w:ind w:left="6"/>
        <w:jc w:val="both"/>
        <w:rPr>
          <w:bCs/>
          <w:sz w:val="22"/>
          <w:lang w:val="fr-FR"/>
        </w:rPr>
      </w:pPr>
    </w:p>
    <w:p w14:paraId="7C662944" w14:textId="77777777" w:rsidR="00452C17" w:rsidRPr="00080C97" w:rsidRDefault="00452C17" w:rsidP="00452C17">
      <w:pPr>
        <w:ind w:left="284"/>
        <w:jc w:val="both"/>
        <w:rPr>
          <w:bCs/>
          <w:sz w:val="20"/>
          <w:szCs w:val="20"/>
          <w:lang w:val="fr-FR"/>
        </w:rPr>
      </w:pPr>
      <w:r w:rsidRPr="00080C97">
        <w:rPr>
          <w:bCs/>
          <w:i/>
          <w:sz w:val="20"/>
          <w:szCs w:val="20"/>
          <w:lang w:val="fr-FR"/>
        </w:rPr>
        <w:t xml:space="preserve">Note </w:t>
      </w:r>
      <w:r w:rsidRPr="00080C97">
        <w:rPr>
          <w:bCs/>
          <w:sz w:val="20"/>
          <w:szCs w:val="20"/>
          <w:lang w:val="fr-FR"/>
        </w:rPr>
        <w:t>: les actions entreprises pour atteindre cet objectif peuvent aussi contribuer à la réalisation de l’objectif 11 du Plan stratégique pour les espèces migratrices.</w:t>
      </w:r>
    </w:p>
    <w:p w14:paraId="764A0951" w14:textId="77777777" w:rsidR="00452C17" w:rsidRPr="00062101" w:rsidRDefault="00452C17" w:rsidP="00452C17">
      <w:pPr>
        <w:ind w:left="6"/>
        <w:rPr>
          <w:bCs/>
          <w:sz w:val="22"/>
          <w:lang w:val="fr-FR"/>
        </w:rPr>
      </w:pPr>
    </w:p>
    <w:p w14:paraId="11544CC2" w14:textId="77777777" w:rsidR="00452C17" w:rsidRPr="00062101" w:rsidRDefault="00452C17" w:rsidP="00452C17">
      <w:pPr>
        <w:pBdr>
          <w:top w:val="single" w:sz="4" w:space="1" w:color="auto"/>
          <w:left w:val="single" w:sz="4" w:space="4" w:color="auto"/>
          <w:bottom w:val="single" w:sz="4" w:space="1" w:color="auto"/>
          <w:right w:val="single" w:sz="4" w:space="4" w:color="auto"/>
        </w:pBdr>
        <w:ind w:left="6" w:right="-88"/>
        <w:jc w:val="both"/>
        <w:rPr>
          <w:color w:val="0000FF"/>
          <w:sz w:val="22"/>
          <w:lang w:val="fr-FR"/>
        </w:rPr>
      </w:pPr>
      <w:r w:rsidRPr="00062101">
        <w:rPr>
          <w:color w:val="0000FF"/>
          <w:sz w:val="22"/>
          <w:lang w:val="fr-FR"/>
        </w:rPr>
        <w:t>Objectif 9 : L’action et la coopération internationales et régionales entre les États pour assurer la conservation et la gestion efficace des espèces migratrices traduisent pleinement une approche fondée sur les systèmes migratoires, par laquelle tous les États qui partagent une responsabilité pour les espèces concernées entreprennent de telles actions d’une manière concertée.</w:t>
      </w:r>
    </w:p>
    <w:p w14:paraId="6A116A58" w14:textId="77777777" w:rsidR="00452C17" w:rsidRPr="00062101" w:rsidRDefault="00452C17" w:rsidP="00452C17">
      <w:pPr>
        <w:ind w:left="6"/>
        <w:jc w:val="both"/>
        <w:rPr>
          <w:bCs/>
          <w:sz w:val="22"/>
          <w:lang w:val="fr-FR"/>
        </w:rPr>
      </w:pPr>
    </w:p>
    <w:p w14:paraId="392990D4" w14:textId="77777777" w:rsidR="00452C17" w:rsidRPr="00080C97" w:rsidRDefault="00452C17" w:rsidP="00452C17">
      <w:pPr>
        <w:ind w:left="284"/>
        <w:jc w:val="both"/>
        <w:rPr>
          <w:bCs/>
          <w:sz w:val="20"/>
          <w:szCs w:val="20"/>
          <w:lang w:val="fr-FR"/>
        </w:rPr>
      </w:pPr>
      <w:r w:rsidRPr="00080C97">
        <w:rPr>
          <w:bCs/>
          <w:i/>
          <w:sz w:val="20"/>
          <w:szCs w:val="20"/>
          <w:lang w:val="fr-FR"/>
        </w:rPr>
        <w:t xml:space="preserve">Note </w:t>
      </w:r>
      <w:r w:rsidRPr="00080C97">
        <w:rPr>
          <w:bCs/>
          <w:sz w:val="20"/>
          <w:szCs w:val="20"/>
          <w:lang w:val="fr-FR"/>
        </w:rPr>
        <w:t>: la Convention sur les espèces migratrices, soucieuse « en particulier, des espèces animales sauvages qui effectuent des migrations qui leur font franchir des limites de juridiction nationale ou dont les migrations se déroulent à l'extérieur de ces limites » souligne que : « la conservation et la gestion efficace des espèces migratrices appartenant à la faune sauvage nécessitent une action concertée de tous les États à l’intérieur des limites des juridictions nationales dans lesquelles ces espèces séjournent à un moment quelconque de leur cycle biologique ». Ceci inclut un renforcement des capacités nécessaires, comme élément important d’une coopération transfrontalière. L’objectif 9 vise à assurer un engagement plus complet de tous les États qui partagent une responsabilité dans de telles circonstances.</w:t>
      </w:r>
    </w:p>
    <w:p w14:paraId="0AA5ED36" w14:textId="77777777" w:rsidR="00452C17" w:rsidRPr="00062101" w:rsidRDefault="00452C17" w:rsidP="00452C17">
      <w:pPr>
        <w:jc w:val="both"/>
        <w:rPr>
          <w:bCs/>
          <w:sz w:val="22"/>
          <w:lang w:val="fr-FR"/>
        </w:rPr>
      </w:pPr>
    </w:p>
    <w:tbl>
      <w:tblPr>
        <w:tblW w:w="9805" w:type="dxa"/>
        <w:tblLook w:val="01E0" w:firstRow="1" w:lastRow="1" w:firstColumn="1" w:lastColumn="1" w:noHBand="0" w:noVBand="0"/>
      </w:tblPr>
      <w:tblGrid>
        <w:gridCol w:w="9805"/>
      </w:tblGrid>
      <w:tr w:rsidR="00452C17" w:rsidRPr="00591DCA" w14:paraId="35CCAC3B" w14:textId="77777777" w:rsidTr="00080C97">
        <w:tc>
          <w:tcPr>
            <w:tcW w:w="9805" w:type="dxa"/>
            <w:tcBorders>
              <w:top w:val="single" w:sz="4" w:space="0" w:color="auto"/>
              <w:left w:val="single" w:sz="4" w:space="0" w:color="auto"/>
              <w:bottom w:val="single" w:sz="4" w:space="0" w:color="auto"/>
              <w:right w:val="single" w:sz="4" w:space="0" w:color="auto"/>
            </w:tcBorders>
          </w:tcPr>
          <w:p w14:paraId="1A89DC14" w14:textId="77777777" w:rsidR="00452C17" w:rsidRPr="00062101" w:rsidRDefault="00452C17" w:rsidP="006124BC">
            <w:pPr>
              <w:spacing w:before="40" w:after="40"/>
              <w:ind w:right="34"/>
              <w:jc w:val="both"/>
              <w:rPr>
                <w:color w:val="E36C0A"/>
                <w:sz w:val="22"/>
                <w:lang w:val="fr-FR"/>
              </w:rPr>
            </w:pPr>
            <w:r w:rsidRPr="00062101">
              <w:rPr>
                <w:color w:val="0000FF"/>
                <w:sz w:val="22"/>
                <w:lang w:val="fr-FR"/>
              </w:rPr>
              <w:t>Objectif 10 : Tous les habitats et les sites essentiels pour les espèces migratrices sont recensés et font l’objet de mesures de conservation par zone, afin de maintenir leur qualité, intégrité, résilience et fonctionnement, conformément à l’application de l’Objectif 11 d’Aichi, étayées si nécessaire par une planification de l’utilisation des terres et une gestion des paysages respectueuses de l’environnement et à une échelle plus large.</w:t>
            </w:r>
          </w:p>
        </w:tc>
      </w:tr>
    </w:tbl>
    <w:p w14:paraId="07F8196C" w14:textId="77777777" w:rsidR="00452C17" w:rsidRPr="00062101" w:rsidRDefault="00452C17" w:rsidP="00452C17">
      <w:pPr>
        <w:ind w:left="6"/>
        <w:jc w:val="both"/>
        <w:rPr>
          <w:bCs/>
          <w:sz w:val="22"/>
          <w:lang w:val="fr-FR"/>
        </w:rPr>
      </w:pPr>
    </w:p>
    <w:p w14:paraId="53F3EA5F"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xml:space="preserve">: l’Objectif 11 d’Aichi prévoit que : « au moins 17 % des zones terrestres et d’eaux intérieures et 10 % des zones marines et côtières, y compris les zones qui sont particulièrement importantes pour la diversité biologique et les services rendus par les écosystèmes, sont conservées au moyen de réseaux écologiquement représentatifs et bien reliés d’aires protégées gérées efficacement et équitablement et d’autres mesures de conservation efficaces par zone, et intégrées dans l’ensemble du paysage terrestre </w:t>
      </w:r>
      <w:r w:rsidRPr="005A2AF0">
        <w:rPr>
          <w:bCs/>
          <w:sz w:val="20"/>
          <w:szCs w:val="20"/>
          <w:lang w:val="fr-FR"/>
        </w:rPr>
        <w:lastRenderedPageBreak/>
        <w:t>et marin ».</w:t>
      </w:r>
    </w:p>
    <w:p w14:paraId="4F7329CF" w14:textId="77777777" w:rsidR="00452C17" w:rsidRPr="00062101" w:rsidRDefault="00452C17" w:rsidP="00452C17">
      <w:pPr>
        <w:ind w:left="6"/>
        <w:jc w:val="both"/>
        <w:rPr>
          <w:bCs/>
          <w:sz w:val="22"/>
          <w:lang w:val="fr-FR"/>
        </w:rPr>
      </w:pPr>
    </w:p>
    <w:p w14:paraId="1017C83D" w14:textId="77777777" w:rsidR="00452C17" w:rsidRPr="005A2AF0" w:rsidRDefault="00452C17" w:rsidP="00452C17">
      <w:pPr>
        <w:ind w:left="6"/>
        <w:jc w:val="both"/>
        <w:rPr>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52C17" w:rsidRPr="00591DCA" w14:paraId="1916049B" w14:textId="77777777" w:rsidTr="006124BC">
        <w:tc>
          <w:tcPr>
            <w:tcW w:w="9570" w:type="dxa"/>
            <w:shd w:val="clear" w:color="auto" w:fill="E6E6E6"/>
          </w:tcPr>
          <w:p w14:paraId="7B697E0F" w14:textId="77777777" w:rsidR="00452C17" w:rsidRPr="005A2AF0" w:rsidRDefault="00452C17" w:rsidP="006124BC">
            <w:pPr>
              <w:spacing w:before="40" w:after="40"/>
              <w:ind w:right="-88"/>
              <w:jc w:val="both"/>
              <w:rPr>
                <w:sz w:val="22"/>
                <w:szCs w:val="22"/>
                <w:lang w:val="fr-FR"/>
              </w:rPr>
            </w:pPr>
            <w:r w:rsidRPr="005A2AF0">
              <w:rPr>
                <w:rFonts w:eastAsia="MS Mincho"/>
                <w:b/>
                <w:i/>
                <w:sz w:val="22"/>
                <w:szCs w:val="22"/>
                <w:lang w:val="fr-FR"/>
              </w:rPr>
              <w:t>But 4 : Renforcer les avantages pour tous issus de l’état de conservation favorable des espèces migratrices</w:t>
            </w:r>
          </w:p>
        </w:tc>
      </w:tr>
    </w:tbl>
    <w:p w14:paraId="7CBB6B39" w14:textId="77777777" w:rsidR="00452C17" w:rsidRPr="00062101" w:rsidRDefault="00452C17" w:rsidP="00452C17">
      <w:pPr>
        <w:ind w:left="6" w:right="-88"/>
        <w:jc w:val="both"/>
        <w:rPr>
          <w:sz w:val="22"/>
          <w:lang w:val="fr-FR"/>
        </w:rPr>
      </w:pPr>
    </w:p>
    <w:tbl>
      <w:tblPr>
        <w:tblW w:w="0" w:type="auto"/>
        <w:tblLook w:val="01E0" w:firstRow="1" w:lastRow="1" w:firstColumn="1" w:lastColumn="1" w:noHBand="0" w:noVBand="0"/>
      </w:tblPr>
      <w:tblGrid>
        <w:gridCol w:w="9570"/>
      </w:tblGrid>
      <w:tr w:rsidR="00452C17" w:rsidRPr="00591DCA" w14:paraId="44C4D6EA" w14:textId="77777777" w:rsidTr="006124BC">
        <w:tc>
          <w:tcPr>
            <w:tcW w:w="9570" w:type="dxa"/>
            <w:tcBorders>
              <w:top w:val="single" w:sz="4" w:space="0" w:color="auto"/>
              <w:left w:val="single" w:sz="4" w:space="0" w:color="auto"/>
              <w:bottom w:val="single" w:sz="4" w:space="0" w:color="auto"/>
              <w:right w:val="single" w:sz="4" w:space="0" w:color="auto"/>
            </w:tcBorders>
          </w:tcPr>
          <w:p w14:paraId="3D0D5D66" w14:textId="77777777" w:rsidR="00452C17" w:rsidRPr="00062101" w:rsidRDefault="00452C17" w:rsidP="006124BC">
            <w:pPr>
              <w:spacing w:before="40" w:after="40"/>
              <w:ind w:right="-88"/>
              <w:jc w:val="both"/>
              <w:rPr>
                <w:color w:val="0000FF"/>
                <w:sz w:val="22"/>
                <w:lang w:val="fr-FR"/>
              </w:rPr>
            </w:pPr>
            <w:r w:rsidRPr="00062101">
              <w:rPr>
                <w:color w:val="0000FF"/>
                <w:sz w:val="22"/>
                <w:lang w:val="fr-FR"/>
              </w:rPr>
              <w:t>Objectif 11 : Les espèces migratrices et leurs habitats qui fournissent des services écosystémiques importants sont maintenus ou restaurés dans un état de conservation favorable, compte tenu des besoins des femmes, des communautés autochtones et locales</w:t>
            </w:r>
            <w:r w:rsidRPr="00062101">
              <w:rPr>
                <w:color w:val="0000FF"/>
                <w:sz w:val="22"/>
                <w:vertAlign w:val="superscript"/>
                <w:lang w:val="fr-FR"/>
              </w:rPr>
              <w:footnoteReference w:id="7"/>
            </w:r>
            <w:r w:rsidRPr="00062101">
              <w:rPr>
                <w:color w:val="0000FF"/>
                <w:sz w:val="22"/>
                <w:lang w:val="fr-FR"/>
              </w:rPr>
              <w:t>, et des populations pauvres et vulnérables.</w:t>
            </w:r>
          </w:p>
        </w:tc>
      </w:tr>
    </w:tbl>
    <w:p w14:paraId="4E75A613" w14:textId="77777777" w:rsidR="00452C17" w:rsidRPr="00062101" w:rsidRDefault="00452C17" w:rsidP="00452C17">
      <w:pPr>
        <w:ind w:left="6"/>
        <w:jc w:val="both"/>
        <w:rPr>
          <w:bCs/>
          <w:sz w:val="22"/>
          <w:lang w:val="fr-FR"/>
        </w:rPr>
      </w:pPr>
    </w:p>
    <w:p w14:paraId="1271034B"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les services concernés peuvent inclure : l’approvisionnement en eau ainsi que la qualité et la réglementation de l’eau ; la réduction des risques de catastrophes ; la régulation du climat ; les services culturels ; l’alimentation et d’autres avantages socioéconomiques ; tous contribuant à la santé, aux moyens de subsistance et au bien-être des populations humaines. Les actions entreprises pour parvenir à cet objectif peuvent aussi contribuer à la réalisation de l’objectif 8 du Plan stratégique pour les espèces migratrices.</w:t>
      </w:r>
    </w:p>
    <w:p w14:paraId="1498064D" w14:textId="77777777" w:rsidR="00452C17" w:rsidRPr="00062101" w:rsidRDefault="00452C17" w:rsidP="00452C17">
      <w:pPr>
        <w:ind w:left="6"/>
        <w:jc w:val="both"/>
        <w:rPr>
          <w:bCs/>
          <w:sz w:val="22"/>
          <w:lang w:val="fr-FR"/>
        </w:rPr>
      </w:pPr>
    </w:p>
    <w:p w14:paraId="27367857" w14:textId="77777777" w:rsidR="00452C17" w:rsidRPr="00062101" w:rsidRDefault="00452C17" w:rsidP="0031003F">
      <w:pPr>
        <w:pBdr>
          <w:top w:val="single" w:sz="4" w:space="1" w:color="000000"/>
          <w:left w:val="single" w:sz="4" w:space="4" w:color="000000"/>
          <w:bottom w:val="single" w:sz="4" w:space="1" w:color="000000"/>
          <w:right w:val="single" w:sz="4" w:space="0" w:color="000000"/>
        </w:pBdr>
        <w:jc w:val="both"/>
        <w:rPr>
          <w:color w:val="0000FF"/>
          <w:sz w:val="22"/>
          <w:lang w:val="fr-FR"/>
        </w:rPr>
      </w:pPr>
      <w:r w:rsidRPr="00062101">
        <w:rPr>
          <w:bCs/>
          <w:color w:val="0000FF"/>
          <w:sz w:val="22"/>
          <w:lang w:val="fr-FR"/>
        </w:rPr>
        <w:t>Objectif 12 : La diversité génétique</w:t>
      </w:r>
      <w:r w:rsidRPr="00062101">
        <w:rPr>
          <w:color w:val="0000FF"/>
          <w:sz w:val="22"/>
          <w:lang w:val="fr-FR"/>
        </w:rPr>
        <w:t xml:space="preserve"> des populations sauvages d’espèces migratrices est sauvegardée, et des stratégies ont été élaborées et mises en œuvre pour réduire au minimum l’érosion génétique.</w:t>
      </w:r>
    </w:p>
    <w:p w14:paraId="6FB35634" w14:textId="77777777" w:rsidR="00452C17" w:rsidRPr="00062101" w:rsidRDefault="00452C17" w:rsidP="00452C17">
      <w:pPr>
        <w:ind w:left="6"/>
        <w:rPr>
          <w:bCs/>
          <w:sz w:val="22"/>
          <w:lang w:val="fr-FR"/>
        </w:rPr>
      </w:pPr>
    </w:p>
    <w:p w14:paraId="493E0FCC" w14:textId="3E3C12CB" w:rsidR="00452C17" w:rsidRPr="005A2AF0" w:rsidRDefault="00452C17" w:rsidP="005A2AF0">
      <w:pPr>
        <w:ind w:left="284"/>
        <w:jc w:val="both"/>
        <w:rPr>
          <w:bCs/>
          <w:sz w:val="20"/>
          <w:szCs w:val="20"/>
          <w:lang w:val="fr-FR"/>
        </w:rPr>
      </w:pPr>
      <w:r w:rsidRPr="005A2AF0">
        <w:rPr>
          <w:bCs/>
          <w:i/>
          <w:sz w:val="20"/>
          <w:szCs w:val="20"/>
          <w:lang w:val="fr-FR"/>
        </w:rPr>
        <w:t xml:space="preserve">Note </w:t>
      </w:r>
      <w:r w:rsidRPr="005A2AF0">
        <w:rPr>
          <w:bCs/>
          <w:sz w:val="20"/>
          <w:szCs w:val="20"/>
          <w:lang w:val="fr-FR"/>
        </w:rPr>
        <w:t>: les actions de sauvegarde peuvent inclure le maintien du patrimoine génétique originel des espèces migratrices qui sont gérées par les êtres humains aux fins de réintroduction dans le milieu naturel et à d’autres fins, ou qui ont une valeur</w:t>
      </w:r>
      <w:r w:rsidR="005A2AF0">
        <w:rPr>
          <w:bCs/>
          <w:sz w:val="20"/>
          <w:szCs w:val="20"/>
          <w:lang w:val="fr-FR"/>
        </w:rPr>
        <w:t xml:space="preserve"> socioéconomique et culturelle.</w:t>
      </w:r>
    </w:p>
    <w:p w14:paraId="6CF0DFEC" w14:textId="77777777" w:rsidR="00452C17" w:rsidRPr="00062101" w:rsidRDefault="00452C17" w:rsidP="00452C17">
      <w:pPr>
        <w:ind w:left="6"/>
        <w:jc w:val="both"/>
        <w:rPr>
          <w:bCs/>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52C17" w:rsidRPr="00591DCA" w14:paraId="636D6152" w14:textId="77777777" w:rsidTr="006124BC">
        <w:tc>
          <w:tcPr>
            <w:tcW w:w="9570" w:type="dxa"/>
            <w:shd w:val="clear" w:color="auto" w:fill="E6E6E6"/>
          </w:tcPr>
          <w:p w14:paraId="6FCB4044" w14:textId="77777777" w:rsidR="00452C17" w:rsidRPr="005A2AF0" w:rsidRDefault="00452C17" w:rsidP="006124BC">
            <w:pPr>
              <w:spacing w:before="40" w:after="40"/>
              <w:ind w:right="-88"/>
              <w:jc w:val="both"/>
              <w:rPr>
                <w:sz w:val="22"/>
                <w:szCs w:val="22"/>
                <w:lang w:val="fr-FR"/>
              </w:rPr>
            </w:pPr>
            <w:r w:rsidRPr="005A2AF0">
              <w:rPr>
                <w:rFonts w:eastAsia="MS Mincho"/>
                <w:b/>
                <w:i/>
                <w:sz w:val="22"/>
                <w:szCs w:val="22"/>
                <w:lang w:val="fr-FR"/>
              </w:rPr>
              <w:t>But 5 : Améliorer la mise en œuvre au moyen d’une planification participative, de la gestion des connaissances et du renforcement des capacités</w:t>
            </w:r>
          </w:p>
        </w:tc>
      </w:tr>
    </w:tbl>
    <w:p w14:paraId="763B60ED" w14:textId="77777777" w:rsidR="00452C17" w:rsidRPr="00062101" w:rsidRDefault="00452C17" w:rsidP="00452C17">
      <w:pPr>
        <w:ind w:left="6"/>
        <w:jc w:val="both"/>
        <w:rPr>
          <w:sz w:val="22"/>
          <w:lang w:val="fr-FR"/>
        </w:rPr>
      </w:pPr>
    </w:p>
    <w:tbl>
      <w:tblPr>
        <w:tblW w:w="0" w:type="auto"/>
        <w:tblLook w:val="01E0" w:firstRow="1" w:lastRow="1" w:firstColumn="1" w:lastColumn="1" w:noHBand="0" w:noVBand="0"/>
      </w:tblPr>
      <w:tblGrid>
        <w:gridCol w:w="9570"/>
      </w:tblGrid>
      <w:tr w:rsidR="00452C17" w:rsidRPr="00591DCA" w14:paraId="7702EFFE" w14:textId="77777777" w:rsidTr="006124BC">
        <w:tc>
          <w:tcPr>
            <w:tcW w:w="9570" w:type="dxa"/>
            <w:tcBorders>
              <w:top w:val="single" w:sz="4" w:space="0" w:color="auto"/>
              <w:left w:val="single" w:sz="4" w:space="0" w:color="auto"/>
              <w:bottom w:val="single" w:sz="4" w:space="0" w:color="auto"/>
              <w:right w:val="single" w:sz="4" w:space="0" w:color="auto"/>
            </w:tcBorders>
          </w:tcPr>
          <w:p w14:paraId="5F0251A4" w14:textId="77777777" w:rsidR="00452C17" w:rsidRPr="00062101" w:rsidRDefault="00452C17" w:rsidP="006124BC">
            <w:pPr>
              <w:spacing w:before="40" w:after="40"/>
              <w:ind w:right="-88"/>
              <w:jc w:val="both"/>
              <w:rPr>
                <w:bCs/>
                <w:color w:val="0000FF"/>
                <w:sz w:val="22"/>
                <w:lang w:val="fr-FR"/>
              </w:rPr>
            </w:pPr>
            <w:r w:rsidRPr="00062101">
              <w:rPr>
                <w:bCs/>
                <w:color w:val="0000FF"/>
                <w:sz w:val="22"/>
                <w:lang w:val="fr-FR"/>
              </w:rPr>
              <w:t>Objectif 13 : Des priorités pour une conservation et une gestion efficaces des espèces migratrices, de leurs habitats et des systèmes migratoires sont incluses dans l’élaboration et la mise en œuvre des stratégies et plans d’action nationaux pour la biodiversité en faisant référence, le cas échéant, aux accords et plans d’action de la CMS et à leurs organes d’exécution.</w:t>
            </w:r>
          </w:p>
        </w:tc>
      </w:tr>
    </w:tbl>
    <w:p w14:paraId="46BDE74C" w14:textId="77777777" w:rsidR="00452C17" w:rsidRPr="00062101" w:rsidRDefault="00452C17" w:rsidP="00452C17">
      <w:pPr>
        <w:ind w:left="6"/>
        <w:jc w:val="both"/>
        <w:rPr>
          <w:bCs/>
          <w:sz w:val="22"/>
          <w:lang w:val="fr-FR"/>
        </w:rPr>
      </w:pPr>
    </w:p>
    <w:p w14:paraId="7E5F2A8B"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d’autres types de plans et stratégies nationaux, comme ceux liés à l’application d’autres accords environnementaux multilatéraux ou les plans de développement nationaux, peuvent également être très pertinents. Même s’ils ne sont pas conçus expressément à des fins de conservation de la biodiversité, les plans qui gèrent des questions comme l’utilisation des terres, l’exploitation des ressources, la santé publique, la réduction des risques de catastrophe, la répartition des infrastructures ou le développement économique, peuvent inclure des dispositions contribuant notablement à la conservation des espèces migratrices. Les actions entreprises pour parvenir à cet objectif du Plan stratégique peuvent aussi contribuer à la réalisation de l’objectif 2 du Plan stratégique pour les espèces migratrices.</w:t>
      </w:r>
    </w:p>
    <w:p w14:paraId="23F011D5" w14:textId="77777777" w:rsidR="00452C17" w:rsidRPr="00062101" w:rsidRDefault="00452C17" w:rsidP="00452C17">
      <w:pPr>
        <w:ind w:left="6"/>
        <w:jc w:val="both"/>
        <w:rPr>
          <w:bCs/>
          <w:sz w:val="22"/>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452C17" w:rsidRPr="00591DCA" w14:paraId="3CCA6344" w14:textId="77777777" w:rsidTr="006124BC">
        <w:tc>
          <w:tcPr>
            <w:tcW w:w="9570" w:type="dxa"/>
            <w:tcBorders>
              <w:top w:val="single" w:sz="4" w:space="0" w:color="auto"/>
              <w:bottom w:val="single" w:sz="4" w:space="0" w:color="auto"/>
            </w:tcBorders>
          </w:tcPr>
          <w:p w14:paraId="4BE8CB41" w14:textId="77777777" w:rsidR="00452C17" w:rsidRPr="00062101" w:rsidRDefault="00452C17" w:rsidP="006124BC">
            <w:pPr>
              <w:spacing w:before="40" w:after="40"/>
              <w:ind w:right="-88"/>
              <w:jc w:val="both"/>
              <w:rPr>
                <w:color w:val="0000FF"/>
                <w:sz w:val="22"/>
                <w:lang w:val="fr-FR"/>
              </w:rPr>
            </w:pPr>
            <w:r w:rsidRPr="00062101">
              <w:rPr>
                <w:bCs/>
                <w:color w:val="0000FF"/>
                <w:sz w:val="22"/>
                <w:lang w:val="fr-FR"/>
              </w:rPr>
              <w:t>Objectif 14 : 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p>
        </w:tc>
      </w:tr>
    </w:tbl>
    <w:p w14:paraId="3B4EFBB3" w14:textId="77777777" w:rsidR="00452C17" w:rsidRPr="00062101" w:rsidRDefault="00452C17" w:rsidP="00452C17">
      <w:pPr>
        <w:ind w:left="6"/>
        <w:jc w:val="both"/>
        <w:rPr>
          <w:bCs/>
          <w:sz w:val="22"/>
          <w:lang w:val="fr-FR"/>
        </w:rPr>
      </w:pPr>
    </w:p>
    <w:p w14:paraId="601ACD41"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cet objectif tient compte de la réflexion internationale à ce sujet dans d’autres instances internationales.</w:t>
      </w:r>
    </w:p>
    <w:p w14:paraId="7F411E89" w14:textId="77777777" w:rsidR="00452C17" w:rsidRPr="00062101" w:rsidRDefault="00452C17" w:rsidP="00452C17">
      <w:pPr>
        <w:ind w:left="284"/>
        <w:jc w:val="both"/>
        <w:rPr>
          <w:bCs/>
          <w:sz w:val="22"/>
          <w:lang w:val="fr-FR"/>
        </w:rPr>
      </w:pPr>
    </w:p>
    <w:tbl>
      <w:tblPr>
        <w:tblW w:w="0" w:type="auto"/>
        <w:tblLook w:val="01E0" w:firstRow="1" w:lastRow="1" w:firstColumn="1" w:lastColumn="1" w:noHBand="0" w:noVBand="0"/>
      </w:tblPr>
      <w:tblGrid>
        <w:gridCol w:w="9570"/>
      </w:tblGrid>
      <w:tr w:rsidR="00452C17" w:rsidRPr="00591DCA" w14:paraId="4F51DF8C" w14:textId="77777777" w:rsidTr="006124BC">
        <w:tc>
          <w:tcPr>
            <w:tcW w:w="9570" w:type="dxa"/>
            <w:tcBorders>
              <w:top w:val="single" w:sz="4" w:space="0" w:color="auto"/>
              <w:left w:val="single" w:sz="4" w:space="0" w:color="auto"/>
              <w:bottom w:val="single" w:sz="4" w:space="0" w:color="auto"/>
              <w:right w:val="single" w:sz="4" w:space="0" w:color="auto"/>
            </w:tcBorders>
          </w:tcPr>
          <w:p w14:paraId="003D6B81" w14:textId="77777777" w:rsidR="00452C17" w:rsidRPr="00062101" w:rsidRDefault="00452C17" w:rsidP="006124BC">
            <w:pPr>
              <w:spacing w:before="40" w:after="40"/>
              <w:ind w:right="-88"/>
              <w:jc w:val="both"/>
              <w:rPr>
                <w:color w:val="E36C0A"/>
                <w:sz w:val="22"/>
                <w:lang w:val="fr-FR"/>
              </w:rPr>
            </w:pPr>
            <w:r w:rsidRPr="00062101">
              <w:rPr>
                <w:bCs/>
                <w:color w:val="0000FF"/>
                <w:sz w:val="22"/>
                <w:lang w:val="fr-FR"/>
              </w:rPr>
              <w:t>Objectif 15 : Les bases scientifiques, l’information, la formation, la sensibilisation, la compréhension et les technologies concernant les espèces migratrices, leurs habitats et systèmes migratoires, leurs valeurs, leur fonctionnement, leur état et leurs tendances, ainsi que les conséquences de leur appauvrissement, sont améliorées, largement partagées et transférées, et efficacement appliquées.</w:t>
            </w:r>
          </w:p>
        </w:tc>
      </w:tr>
    </w:tbl>
    <w:p w14:paraId="12F9D3BB" w14:textId="77777777" w:rsidR="00452C17" w:rsidRPr="00062101" w:rsidRDefault="00452C17" w:rsidP="00452C17">
      <w:pPr>
        <w:ind w:left="6"/>
        <w:jc w:val="both"/>
        <w:rPr>
          <w:bCs/>
          <w:sz w:val="22"/>
          <w:lang w:val="fr-FR"/>
        </w:rPr>
      </w:pPr>
    </w:p>
    <w:p w14:paraId="153C74F1" w14:textId="77777777" w:rsidR="00452C17" w:rsidRPr="005A2AF0" w:rsidRDefault="00452C17" w:rsidP="00452C17">
      <w:pPr>
        <w:ind w:left="284"/>
        <w:jc w:val="both"/>
        <w:rPr>
          <w:bCs/>
          <w:sz w:val="20"/>
          <w:szCs w:val="20"/>
          <w:lang w:val="fr-FR"/>
        </w:rPr>
      </w:pPr>
      <w:r w:rsidRPr="005A2AF0">
        <w:rPr>
          <w:bCs/>
          <w:i/>
          <w:sz w:val="20"/>
          <w:szCs w:val="20"/>
          <w:lang w:val="fr-FR"/>
        </w:rPr>
        <w:t xml:space="preserve">Note </w:t>
      </w:r>
      <w:r w:rsidRPr="005A2AF0">
        <w:rPr>
          <w:bCs/>
          <w:sz w:val="20"/>
          <w:szCs w:val="20"/>
          <w:lang w:val="fr-FR"/>
        </w:rPr>
        <w:t>: la « base scientifique » ne comprend pas seulement les nouvelles recherches et données de suivi, mais aussi, une meilleure utilisation des séries de données existantes (incluant l’amélioration de leur accessibilité publique) et une amélioration de la normalisation des protocoles de collecte de données. Outre l’investigation et la compréhension d’évènements, phénomènes, comportements et conséquences spécifiques, d’autres initiatives seront peut-être requises pour améliorer les données sur les conditions de référence, de façon à permettre des évaluations fiables de l’importance et des évaluations des changements observés.</w:t>
      </w:r>
    </w:p>
    <w:p w14:paraId="181E1A5C" w14:textId="77777777" w:rsidR="00452C17" w:rsidRPr="00062101" w:rsidRDefault="00452C17" w:rsidP="00452C17">
      <w:pPr>
        <w:jc w:val="both"/>
        <w:rPr>
          <w:bCs/>
          <w:sz w:val="22"/>
          <w:lang w:val="fr-FR"/>
        </w:rPr>
      </w:pPr>
    </w:p>
    <w:tbl>
      <w:tblPr>
        <w:tblW w:w="0" w:type="auto"/>
        <w:tblLook w:val="01E0" w:firstRow="1" w:lastRow="1" w:firstColumn="1" w:lastColumn="1" w:noHBand="0" w:noVBand="0"/>
      </w:tblPr>
      <w:tblGrid>
        <w:gridCol w:w="9570"/>
      </w:tblGrid>
      <w:tr w:rsidR="00452C17" w:rsidRPr="00591DCA" w14:paraId="732FC686" w14:textId="77777777" w:rsidTr="006124BC">
        <w:tc>
          <w:tcPr>
            <w:tcW w:w="9570" w:type="dxa"/>
            <w:tcBorders>
              <w:top w:val="single" w:sz="4" w:space="0" w:color="auto"/>
              <w:left w:val="single" w:sz="4" w:space="0" w:color="auto"/>
              <w:bottom w:val="single" w:sz="4" w:space="0" w:color="auto"/>
              <w:right w:val="single" w:sz="4" w:space="0" w:color="auto"/>
            </w:tcBorders>
          </w:tcPr>
          <w:p w14:paraId="55E5FD35" w14:textId="77777777" w:rsidR="00452C17" w:rsidRPr="00062101" w:rsidRDefault="00452C17" w:rsidP="006124BC">
            <w:pPr>
              <w:spacing w:before="40" w:after="40"/>
              <w:ind w:right="-88"/>
              <w:jc w:val="both"/>
              <w:rPr>
                <w:color w:val="0000FF"/>
                <w:sz w:val="22"/>
                <w:lang w:val="fr-FR"/>
              </w:rPr>
            </w:pPr>
            <w:r w:rsidRPr="00062101">
              <w:rPr>
                <w:color w:val="0000FF"/>
                <w:sz w:val="22"/>
                <w:lang w:val="fr-FR"/>
              </w:rPr>
              <w:t>Objectif 16 : La mobilisation de ressources adéquates de toutes provenances, destinées à une mise en œuvre effective</w:t>
            </w:r>
            <w:r w:rsidRPr="00062101">
              <w:rPr>
                <w:color w:val="00B050"/>
                <w:sz w:val="22"/>
                <w:lang w:val="fr-FR"/>
              </w:rPr>
              <w:t xml:space="preserve"> </w:t>
            </w:r>
            <w:r w:rsidRPr="00062101">
              <w:rPr>
                <w:color w:val="0000FF"/>
                <w:sz w:val="22"/>
                <w:lang w:val="fr-FR"/>
              </w:rPr>
              <w:t>du Plan stratégique pour les espèces migratrices, a effectivement augmenté sensiblement.</w:t>
            </w:r>
          </w:p>
        </w:tc>
      </w:tr>
    </w:tbl>
    <w:p w14:paraId="0ADFEE94" w14:textId="77777777" w:rsidR="00452C17" w:rsidRPr="00062101" w:rsidRDefault="00452C17" w:rsidP="00452C17">
      <w:pPr>
        <w:ind w:left="6"/>
        <w:rPr>
          <w:bCs/>
          <w:sz w:val="22"/>
          <w:lang w:val="fr-FR"/>
        </w:rPr>
      </w:pPr>
    </w:p>
    <w:p w14:paraId="4BD06CD2" w14:textId="77777777" w:rsidR="00452C17" w:rsidRPr="005A2AF0" w:rsidRDefault="00452C17" w:rsidP="00452C17">
      <w:pPr>
        <w:ind w:left="290"/>
        <w:jc w:val="both"/>
        <w:rPr>
          <w:bCs/>
          <w:sz w:val="20"/>
          <w:szCs w:val="20"/>
          <w:lang w:val="fr-FR"/>
        </w:rPr>
      </w:pPr>
      <w:r w:rsidRPr="005A2AF0">
        <w:rPr>
          <w:bCs/>
          <w:i/>
          <w:sz w:val="20"/>
          <w:szCs w:val="20"/>
          <w:lang w:val="fr-FR"/>
        </w:rPr>
        <w:t xml:space="preserve">Note </w:t>
      </w:r>
      <w:r w:rsidRPr="005A2AF0">
        <w:rPr>
          <w:bCs/>
          <w:sz w:val="20"/>
          <w:szCs w:val="20"/>
          <w:lang w:val="fr-FR"/>
        </w:rPr>
        <w:t xml:space="preserve">: cet objectif concerne la mobilisation des ressources au sens large, incluant un financement international et national provenant de sources publiques, privées et d’autres sources. Cependant, ceci nécessite de faire des choix politiques qui réduisent les coûts liés à l’amélioration de l’état de conservation des espèces migratrices, contribuant ainsi à une mise en œuvre effective des buts 1 et 2. Les pays en développement, les pays les moins avancés et les petits États insulaires en développement, ainsi que les pays à économie en transition ont des besoins particulièrement importants à cet égard. Le flux de ressources vers ces pays et à l’intérieur de ces pays doit être augmenté, tant dans le cadre d’une coopération « Nord-Sud » que d’une coopération « Sud-Sud ». </w:t>
      </w:r>
    </w:p>
    <w:p w14:paraId="5F86E8AD" w14:textId="77777777" w:rsidR="00B15943" w:rsidRPr="006124BC" w:rsidRDefault="00B15943" w:rsidP="003C5848">
      <w:pPr>
        <w:ind w:left="6"/>
        <w:jc w:val="both"/>
        <w:rPr>
          <w:b/>
          <w:bCs/>
          <w:sz w:val="22"/>
          <w:szCs w:val="22"/>
          <w:lang w:val="fr-FR"/>
        </w:rPr>
      </w:pPr>
    </w:p>
    <w:p w14:paraId="559919ED" w14:textId="77777777" w:rsidR="00B15943" w:rsidRPr="006124BC" w:rsidRDefault="00B15943" w:rsidP="003C5848">
      <w:pPr>
        <w:ind w:left="6"/>
        <w:jc w:val="both"/>
        <w:rPr>
          <w:b/>
          <w:bCs/>
          <w:sz w:val="22"/>
          <w:szCs w:val="22"/>
          <w:lang w:val="fr-FR"/>
        </w:rPr>
      </w:pPr>
    </w:p>
    <w:p w14:paraId="6D847435" w14:textId="77777777" w:rsidR="00B15943" w:rsidRPr="006124BC" w:rsidRDefault="00B15943" w:rsidP="003C5848">
      <w:pPr>
        <w:ind w:right="-88"/>
        <w:jc w:val="both"/>
        <w:rPr>
          <w:bCs/>
          <w:sz w:val="8"/>
          <w:szCs w:val="8"/>
          <w:lang w:val="fr-FR"/>
        </w:rPr>
      </w:pPr>
    </w:p>
    <w:tbl>
      <w:tblPr>
        <w:tblW w:w="0" w:type="auto"/>
        <w:tblBorders>
          <w:bottom w:val="single" w:sz="4" w:space="0" w:color="auto"/>
        </w:tblBorders>
        <w:shd w:val="clear" w:color="auto" w:fill="D9D9D9" w:themeFill="background1" w:themeFillShade="D9"/>
        <w:tblLook w:val="01E0" w:firstRow="1" w:lastRow="1" w:firstColumn="1" w:lastColumn="1" w:noHBand="0" w:noVBand="0"/>
      </w:tblPr>
      <w:tblGrid>
        <w:gridCol w:w="9638"/>
      </w:tblGrid>
      <w:tr w:rsidR="00B15943" w:rsidRPr="00591DCA" w14:paraId="5F6B0387" w14:textId="77777777" w:rsidTr="00666F99">
        <w:tc>
          <w:tcPr>
            <w:tcW w:w="9678" w:type="dxa"/>
            <w:tcBorders>
              <w:bottom w:val="single" w:sz="4" w:space="0" w:color="auto"/>
            </w:tcBorders>
            <w:shd w:val="clear" w:color="auto" w:fill="D9D9D9" w:themeFill="background1" w:themeFillShade="D9"/>
          </w:tcPr>
          <w:p w14:paraId="0D6B10AA" w14:textId="5FF22EFB" w:rsidR="00B15943" w:rsidRPr="006124BC" w:rsidRDefault="00B15943" w:rsidP="003C5848">
            <w:pPr>
              <w:ind w:right="-88"/>
              <w:jc w:val="both"/>
              <w:rPr>
                <w:rFonts w:eastAsia="MS Mincho"/>
                <w:b/>
                <w:color w:val="000080"/>
                <w:sz w:val="30"/>
                <w:szCs w:val="30"/>
                <w:lang w:val="fr-FR"/>
              </w:rPr>
            </w:pPr>
            <w:r w:rsidRPr="006124BC">
              <w:rPr>
                <w:b/>
                <w:color w:val="000080"/>
                <w:sz w:val="30"/>
                <w:szCs w:val="30"/>
                <w:lang w:val="fr-FR"/>
              </w:rPr>
              <w:br w:type="page"/>
            </w:r>
            <w:r w:rsidRPr="006124BC">
              <w:rPr>
                <w:rFonts w:eastAsia="MS Mincho"/>
                <w:b/>
                <w:color w:val="000080"/>
                <w:sz w:val="30"/>
                <w:szCs w:val="30"/>
                <w:lang w:val="fr-FR"/>
              </w:rPr>
              <w:br w:type="page"/>
            </w:r>
            <w:r w:rsidR="005A2AF0" w:rsidRPr="006124BC">
              <w:rPr>
                <w:rFonts w:eastAsia="MS Mincho"/>
                <w:b/>
                <w:color w:val="000080"/>
                <w:sz w:val="30"/>
                <w:szCs w:val="30"/>
                <w:lang w:val="fr-FR"/>
              </w:rPr>
              <w:t>Chapitre 4. Conditions favorables à une mise en œuvre</w:t>
            </w:r>
          </w:p>
        </w:tc>
      </w:tr>
    </w:tbl>
    <w:p w14:paraId="27732D9B" w14:textId="77777777" w:rsidR="00B15943" w:rsidRPr="006124BC" w:rsidRDefault="00B15943" w:rsidP="003C5848">
      <w:pPr>
        <w:ind w:right="-88"/>
        <w:jc w:val="both"/>
        <w:rPr>
          <w:rFonts w:eastAsia="MS Mincho"/>
          <w:sz w:val="22"/>
          <w:szCs w:val="22"/>
          <w:lang w:val="fr-FR"/>
        </w:rPr>
      </w:pPr>
    </w:p>
    <w:p w14:paraId="36140089" w14:textId="77777777" w:rsidR="008B4E31" w:rsidRPr="00062101" w:rsidRDefault="008B4E31" w:rsidP="008B4E31">
      <w:pPr>
        <w:ind w:right="-91"/>
        <w:jc w:val="both"/>
        <w:rPr>
          <w:rFonts w:eastAsia="MS Mincho"/>
          <w:color w:val="00B050"/>
          <w:sz w:val="22"/>
          <w:lang w:val="fr-FR"/>
        </w:rPr>
      </w:pPr>
      <w:r w:rsidRPr="00062101">
        <w:rPr>
          <w:rFonts w:eastAsia="MS Mincho"/>
          <w:sz w:val="22"/>
          <w:lang w:val="fr-FR"/>
        </w:rPr>
        <w:t>Le succès de la réalisation des objectifs du Plan stratégique pour les espèces migratrices dépend de la volonté et de l’engagement des États de l’aire de répartition et d’autres parties prenantes. Le Plan stratégique pour les espèces migratrices a été conçu pour optimiser un engagement politique de haut niveau sur les questions relatives aux espèces migratrices, et son impact réel sera lié à la volonté et à l’engagement de toutes les parties concernées pour être imaginatives, positives, collaboratives et déterminées afin d’atteindre la vision adoptée à travers leurs actions concrètes quotidiennes.</w:t>
      </w:r>
    </w:p>
    <w:p w14:paraId="3865535F" w14:textId="77777777" w:rsidR="008B4E31" w:rsidRPr="00062101" w:rsidRDefault="008B4E31" w:rsidP="008B4E31">
      <w:pPr>
        <w:spacing w:before="120"/>
        <w:ind w:right="-91"/>
        <w:jc w:val="both"/>
        <w:rPr>
          <w:rFonts w:eastAsia="MS Mincho"/>
          <w:sz w:val="22"/>
          <w:lang w:val="fr-FR"/>
        </w:rPr>
      </w:pPr>
      <w:r w:rsidRPr="00062101">
        <w:rPr>
          <w:rFonts w:eastAsia="MS Mincho"/>
          <w:sz w:val="22"/>
          <w:lang w:val="fr-FR"/>
        </w:rPr>
        <w:t xml:space="preserve">Ceci nécessite d’être appuyé par une gamme de dispositions organisationnelles et de mesures d’application. En s’appuyant sur les enseignements tirés de la mise en œuvre du Plan stratégique 2006-2014 de la CMS, le présent chapitre décrit les principaux domaines dans lesquels des conditions favorables de haut niveau doivent être créées, afin de permettre l’application de toute la gamme de mesures de mise en œuvre requises. Ceci concerne en particulier les mécanismes d’exécution, les infrastructures d’appui et l’évaluation des performances. Pour chacun de ces domaines, un niveau minimum de ressources humaines, techniques et financières sera nécessaire pour garantir le succès du Plan stratégique. À cette fin, les suggestions ci-dessous devraient aider les acteurs gouvernementaux et non gouvernementaux à transposer et à intégrer les objectifs mondiaux dans leurs contextes régionaux et nationaux spécifiques. </w:t>
      </w:r>
    </w:p>
    <w:p w14:paraId="223C47EB" w14:textId="77777777" w:rsidR="008B4E31" w:rsidRPr="00062101" w:rsidRDefault="008B4E31" w:rsidP="008B4E31">
      <w:pPr>
        <w:spacing w:before="120"/>
        <w:ind w:right="-91"/>
        <w:jc w:val="both"/>
        <w:rPr>
          <w:rFonts w:eastAsia="MS Mincho"/>
          <w:sz w:val="22"/>
          <w:lang w:val="fr-FR"/>
        </w:rPr>
      </w:pPr>
      <w:r w:rsidRPr="00062101">
        <w:rPr>
          <w:rFonts w:eastAsia="MS Mincho"/>
          <w:sz w:val="22"/>
          <w:lang w:val="fr-FR"/>
        </w:rPr>
        <w:t xml:space="preserve">Des orientations plus précises sur les aspects concrets de la mise en œuvre du Plan stratégique pour les espèces migratrices par toutes les parties prenantes sont fournies dans le guide d’accompagnement de la mise en œuvre, qui accompagne le Plan stratégique. Ce guide d’accompagnement vise à aider les experts nationaux et les autres parties prenantes à mettre en </w:t>
      </w:r>
      <w:r w:rsidRPr="00062101">
        <w:rPr>
          <w:rFonts w:eastAsia="MS Mincho"/>
          <w:sz w:val="22"/>
          <w:lang w:val="fr-FR"/>
        </w:rPr>
        <w:lastRenderedPageBreak/>
        <w:t>place et à appliquer les moyens de mise en œuvre nécessaires, afin d’atteindre les buts et les objectifs du Plan stratégique pour les espèces migratrices.</w:t>
      </w:r>
    </w:p>
    <w:p w14:paraId="61B669B1" w14:textId="77777777" w:rsidR="00B15943" w:rsidRPr="006124BC" w:rsidRDefault="00B15943" w:rsidP="003C5848">
      <w:pPr>
        <w:ind w:left="6" w:right="-91"/>
        <w:jc w:val="both"/>
        <w:rPr>
          <w:rFonts w:eastAsia="MS Mincho"/>
          <w:sz w:val="22"/>
          <w:szCs w:val="22"/>
          <w:lang w:val="fr-FR"/>
        </w:rPr>
      </w:pPr>
    </w:p>
    <w:p w14:paraId="4BC4F85A"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Communication, promotion et adoption du Plan</w:t>
      </w:r>
    </w:p>
    <w:p w14:paraId="5E786E62"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La promotion du Plan stratégique pour les espèces migratrices et de ses problématiques sera effectuée par toute la Famille CMS et toutes les voies de communication de la CMS, afin de faire connaître le Plan et de contribuer à la réalisation de ses objectifs.</w:t>
      </w:r>
    </w:p>
    <w:p w14:paraId="4D2F8FB3" w14:textId="77777777" w:rsidR="008B4E31" w:rsidRPr="00062101" w:rsidRDefault="008B4E31" w:rsidP="008B4E31">
      <w:pPr>
        <w:spacing w:before="120"/>
        <w:ind w:left="363"/>
        <w:jc w:val="both"/>
        <w:rPr>
          <w:bCs/>
          <w:sz w:val="22"/>
          <w:lang w:val="fr-FR"/>
        </w:rPr>
      </w:pPr>
      <w:r w:rsidRPr="00062101">
        <w:rPr>
          <w:bCs/>
          <w:sz w:val="22"/>
          <w:lang w:val="fr-FR"/>
        </w:rPr>
        <w:t>Le Plan exprime des priorités partagées au niveau mondial, mais il est également conçu pour encadrer une réponse bien intégrée à ces priorités à des échelles multiples. Les processus nationaux de planification sont donc indispensables pour « traduire » le Plan dans différents contextes. L’existence d’un cadre robuste agréé au niveau mondial devrait aider grandement ces processus nationaux, en offrant par exemple une réflexion déjà validée pouvant faire l’objet d’une adaptation plutôt que d’une nouvelle élaboration. Si les planifications et les politiques nationales sont abordées de cette façon, en assurant la compatibilité avec le Plan stratégique pour les espèces migratrices, les propositions de collaboration internationale, et (le cas échéant) les soutiens financiers, devraient avoir beaucoup plus de chances de succès.</w:t>
      </w:r>
    </w:p>
    <w:p w14:paraId="34A8A7A9" w14:textId="77777777" w:rsidR="008B4E31" w:rsidRPr="00062101" w:rsidRDefault="008B4E31" w:rsidP="008B4E31">
      <w:pPr>
        <w:ind w:left="6"/>
        <w:rPr>
          <w:bCs/>
          <w:sz w:val="22"/>
          <w:lang w:val="fr-FR"/>
        </w:rPr>
      </w:pPr>
    </w:p>
    <w:p w14:paraId="4534CBDF"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 xml:space="preserve">Le cadre d’exécution </w:t>
      </w:r>
    </w:p>
    <w:p w14:paraId="157DFCCF"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 xml:space="preserve">La Convention et les instruments de la Famille CMS ont un rôle spécifique à jouer, en tant que principal cadre d’exécution du Plan stratégique pour les espèces migratrices, ainsi que leurs organes subsidiaires et leurs points focaux nationaux. </w:t>
      </w:r>
    </w:p>
    <w:p w14:paraId="1D586007" w14:textId="77777777" w:rsidR="008B4E31" w:rsidRPr="00062101" w:rsidRDefault="008B4E31" w:rsidP="008B4E31">
      <w:pPr>
        <w:ind w:left="363"/>
        <w:jc w:val="both"/>
        <w:rPr>
          <w:rFonts w:eastAsia="MS Mincho"/>
          <w:sz w:val="22"/>
          <w:lang w:val="fr-FR"/>
        </w:rPr>
      </w:pPr>
    </w:p>
    <w:p w14:paraId="6268A350" w14:textId="77777777" w:rsidR="008B4E31" w:rsidRPr="00062101" w:rsidRDefault="008B4E31" w:rsidP="008B4E31">
      <w:pPr>
        <w:ind w:left="363"/>
        <w:jc w:val="both"/>
        <w:rPr>
          <w:rFonts w:eastAsia="MS Mincho"/>
          <w:sz w:val="22"/>
          <w:lang w:val="fr-FR"/>
        </w:rPr>
      </w:pPr>
      <w:r w:rsidRPr="00062101">
        <w:rPr>
          <w:rFonts w:eastAsia="MS Mincho"/>
          <w:sz w:val="22"/>
          <w:lang w:val="fr-FR"/>
        </w:rPr>
        <w:t>Les mécanismes et activités d’exécution existants comprennent, entre autres, les décisions, les plans d’action, les lignes directrices et les programmes pertinents de la Famille CMS qui appuient le Plan stratégique pour les espèces migratrices, y compris les priorités concernant l’élaboration des futurs instruments et initiatives de la CMS.</w:t>
      </w:r>
    </w:p>
    <w:p w14:paraId="634E2BCC" w14:textId="77777777" w:rsidR="008B4E31" w:rsidRPr="00062101" w:rsidRDefault="008B4E31" w:rsidP="008B4E31">
      <w:pPr>
        <w:ind w:left="363"/>
        <w:jc w:val="both"/>
        <w:rPr>
          <w:rFonts w:eastAsia="MS Mincho"/>
          <w:sz w:val="22"/>
          <w:lang w:val="fr-FR"/>
        </w:rPr>
      </w:pPr>
    </w:p>
    <w:p w14:paraId="48F314FD" w14:textId="77777777" w:rsidR="008B4E31" w:rsidRPr="00062101" w:rsidRDefault="008B4E31" w:rsidP="008B4E31">
      <w:pPr>
        <w:ind w:left="363"/>
        <w:jc w:val="both"/>
        <w:rPr>
          <w:rFonts w:eastAsia="MS Mincho"/>
          <w:sz w:val="22"/>
          <w:lang w:val="fr-FR"/>
        </w:rPr>
      </w:pPr>
      <w:r w:rsidRPr="00062101">
        <w:rPr>
          <w:rFonts w:eastAsia="MS Mincho"/>
          <w:sz w:val="22"/>
          <w:lang w:val="fr-FR"/>
        </w:rPr>
        <w:t>Le Plan stratégique pour les espèces migratrices devrait aussi guider la Conférence des Parties, lorsqu’elle élabore de nouveaux instruments et outils pour appuyer la réalisation d’objectifs particuliers.</w:t>
      </w:r>
    </w:p>
    <w:p w14:paraId="30790C9F" w14:textId="77777777" w:rsidR="008B4E31" w:rsidRPr="00062101" w:rsidRDefault="008B4E31" w:rsidP="008B4E31">
      <w:pPr>
        <w:ind w:left="6"/>
        <w:jc w:val="both"/>
        <w:rPr>
          <w:bCs/>
          <w:sz w:val="22"/>
          <w:lang w:val="fr-FR"/>
        </w:rPr>
      </w:pPr>
    </w:p>
    <w:p w14:paraId="2EE5FA04" w14:textId="77777777" w:rsidR="008B4E31" w:rsidRPr="00062101" w:rsidRDefault="008B4E31" w:rsidP="008B4E31">
      <w:pPr>
        <w:widowControl/>
        <w:numPr>
          <w:ilvl w:val="0"/>
          <w:numId w:val="5"/>
        </w:numPr>
        <w:autoSpaceDE/>
        <w:autoSpaceDN/>
        <w:adjustRightInd/>
        <w:spacing w:after="120"/>
        <w:jc w:val="both"/>
        <w:rPr>
          <w:rFonts w:eastAsia="MS Mincho"/>
          <w:b/>
          <w:sz w:val="22"/>
          <w:lang w:val="fr-FR"/>
        </w:rPr>
      </w:pPr>
      <w:r w:rsidRPr="00062101">
        <w:rPr>
          <w:rFonts w:eastAsia="MS Mincho"/>
          <w:b/>
          <w:sz w:val="22"/>
          <w:lang w:val="fr-FR"/>
        </w:rPr>
        <w:t xml:space="preserve">Partenariats essentiels et autres cadres d’exécution venant à l’appui </w:t>
      </w:r>
    </w:p>
    <w:p w14:paraId="47B54584" w14:textId="77777777" w:rsidR="008B4E31" w:rsidRPr="00062101" w:rsidRDefault="008B4E31" w:rsidP="008B4E31">
      <w:pPr>
        <w:ind w:left="357"/>
        <w:jc w:val="both"/>
        <w:rPr>
          <w:sz w:val="22"/>
          <w:shd w:val="clear" w:color="auto" w:fill="FFFFFF"/>
          <w:lang w:val="fr-FR"/>
        </w:rPr>
      </w:pPr>
      <w:r w:rsidRPr="00062101">
        <w:rPr>
          <w:sz w:val="22"/>
          <w:shd w:val="clear" w:color="auto" w:fill="FFFFFF"/>
          <w:lang w:val="fr-FR"/>
        </w:rPr>
        <w:t xml:space="preserve">Les partenariats essentiels pour appuyer la mise en œuvre du Plan stratégique pour les espèces migratrices incluent les partenariats avec d’autres conventions et avec la société civile, le secteur privé, et les organismes régionaux. Un grand nombre d’organisations de la société civile et d’autres parties prenantes apportent une contribution essentielle à la mise en œuvre de la Convention et à la conservation des espèces migratrices. Cette grande quantité de travaux est souvent facilitée par des processus gouvernementaux, et pourrait être utilement signalée par les gouvernements aux niveaux national et international. </w:t>
      </w:r>
    </w:p>
    <w:p w14:paraId="1038BF88" w14:textId="77777777" w:rsidR="008B4E31" w:rsidRPr="00062101" w:rsidRDefault="008B4E31" w:rsidP="008B4E31">
      <w:pPr>
        <w:ind w:left="363"/>
        <w:jc w:val="both"/>
        <w:rPr>
          <w:rFonts w:eastAsia="MS Mincho"/>
          <w:sz w:val="22"/>
          <w:lang w:val="fr-FR"/>
        </w:rPr>
      </w:pPr>
    </w:p>
    <w:p w14:paraId="6C18916E" w14:textId="77777777" w:rsidR="008B4E31" w:rsidRPr="00062101" w:rsidRDefault="008B4E31" w:rsidP="008B4E31">
      <w:pPr>
        <w:ind w:left="363"/>
        <w:jc w:val="both"/>
        <w:rPr>
          <w:rFonts w:eastAsia="MS Mincho"/>
          <w:sz w:val="22"/>
          <w:lang w:val="fr-FR"/>
        </w:rPr>
      </w:pPr>
    </w:p>
    <w:p w14:paraId="05901EAD"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Renforcement des capacités</w:t>
      </w:r>
    </w:p>
    <w:p w14:paraId="04F5941D"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 xml:space="preserve">La Famille CMS, les Parties et les autres acteurs concernés doivent répondre aux besoins de renforcement des capacités en matière d’information, de sensibilisation, de connaissance et de compréhension, tels qu’indiqués dans les objectifs stratégiques. Ceci est appuyé notamment par la mise en œuvre de la Stratégie de renforcement des capacités de la CMS. Un autre outil contribuant au renforcement des capacités est le </w:t>
      </w:r>
      <w:r w:rsidRPr="00062101">
        <w:rPr>
          <w:rFonts w:eastAsia="MS Mincho"/>
          <w:i/>
          <w:sz w:val="22"/>
          <w:lang w:val="fr-FR"/>
        </w:rPr>
        <w:t>Manuel destiné aux points focaux nationaux de la CMS et de ses instruments</w:t>
      </w:r>
      <w:r w:rsidRPr="00062101">
        <w:rPr>
          <w:rFonts w:eastAsia="MS Mincho"/>
          <w:sz w:val="22"/>
          <w:lang w:val="fr-FR"/>
        </w:rPr>
        <w:t xml:space="preserve"> – un outil de renforcement des capacités visant à éclairer les points focaux nationaux de la CMS et de ses instruments sur leurs rôles et responsabilités, afin de les aider à contribuer plus efficacement à la mise en œuvre.</w:t>
      </w:r>
    </w:p>
    <w:p w14:paraId="5C3FD807" w14:textId="77777777" w:rsidR="008B4E31" w:rsidRPr="00062101" w:rsidRDefault="008B4E31" w:rsidP="008B4E31">
      <w:pPr>
        <w:ind w:left="6"/>
        <w:jc w:val="both"/>
        <w:rPr>
          <w:bCs/>
          <w:sz w:val="22"/>
          <w:lang w:val="fr-FR"/>
        </w:rPr>
      </w:pPr>
    </w:p>
    <w:p w14:paraId="184F66ED"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Ressources pour la biodiversité</w:t>
      </w:r>
    </w:p>
    <w:p w14:paraId="392C5888"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lastRenderedPageBreak/>
        <w:t>Le montant total du financement mondial alloué aux espèces migratrices étant insuffisant pour atteindre l’ensemble des buts et objectifs énoncés dans le Plan stratégique, une mobilisation créative de ressources supplémentaires de toutes origines est donc nécessaire.</w:t>
      </w:r>
    </w:p>
    <w:p w14:paraId="754D295A" w14:textId="77777777" w:rsidR="008B4E31" w:rsidRPr="00062101" w:rsidRDefault="008B4E31" w:rsidP="008B4E31">
      <w:pPr>
        <w:spacing w:before="120"/>
        <w:ind w:left="357"/>
        <w:jc w:val="both"/>
        <w:rPr>
          <w:sz w:val="22"/>
          <w:lang w:val="fr-FR"/>
        </w:rPr>
      </w:pPr>
      <w:r w:rsidRPr="00062101">
        <w:rPr>
          <w:sz w:val="22"/>
          <w:lang w:val="fr-FR"/>
        </w:rPr>
        <w:t xml:space="preserve">Ce qui compte finalement dans la mobilisation des ressources pour la diversité biologique est bien le montant des ressources disponibles pour cette biodiversité. Ces ressources peuvent être financières, humaines ou techniques, au niveau national comme international, et en provenance de différentes sources. </w:t>
      </w:r>
    </w:p>
    <w:p w14:paraId="2C385AA2" w14:textId="77777777" w:rsidR="008B4E31" w:rsidRPr="00062101" w:rsidRDefault="008B4E31" w:rsidP="008B4E31">
      <w:pPr>
        <w:spacing w:before="120"/>
        <w:ind w:left="363"/>
        <w:jc w:val="both"/>
        <w:rPr>
          <w:sz w:val="22"/>
          <w:lang w:val="fr-FR"/>
        </w:rPr>
      </w:pPr>
      <w:r w:rsidRPr="00062101">
        <w:rPr>
          <w:sz w:val="22"/>
          <w:lang w:val="fr-FR"/>
        </w:rPr>
        <w:t>Le soutien « en nature » offert par les individus et la société civile dans son ensemble peut apporter une contribution majeure à la recherche scientifique, au suivi, aux activités de sensibilisation, et à d’autres domaines de la mise en œuvre. Les innovations dans la gestion des connaissances et dans la technologie de l’information renforceront également considérablement ce qui peut être réalisé avec les ressources disponibles.</w:t>
      </w:r>
    </w:p>
    <w:p w14:paraId="08F9B2ED"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L’objectif 16 aborde directement cette question. Il devrait être appuyé en particulier par la mise en œuvre de la Stratégie de mobilisation des ressources adoptée dans le cadre de la Convention sur la diversité biologique (décision IX/11 de la COP9 en 2008) et les objectifs connexes énoncés dans la décision XI/4 de la COP11 en 2012.</w:t>
      </w:r>
    </w:p>
    <w:p w14:paraId="6E51D8CE" w14:textId="77777777" w:rsidR="008B4E31" w:rsidRPr="00062101" w:rsidRDefault="008B4E31" w:rsidP="008B4E31">
      <w:pPr>
        <w:spacing w:before="120"/>
        <w:ind w:left="363"/>
        <w:jc w:val="both"/>
        <w:rPr>
          <w:sz w:val="22"/>
          <w:lang w:val="fr-FR"/>
        </w:rPr>
      </w:pPr>
      <w:r w:rsidRPr="00062101">
        <w:rPr>
          <w:sz w:val="22"/>
          <w:lang w:val="fr-FR"/>
        </w:rPr>
        <w:t>À cet égard, il est important de garder à l’esprit que l’obtention de ressources pour la mise en œuvre du Plan stratégique pour les espèces migratrices passe par plusieurs mécanismes, et notamment par (i) la réduction des dépenses, (ii) l’augmentation de l’efficacité dans l’utilisation des ressources disponibles, et (iii) la génération de nouvelles ressources, comme décrit plus en détail ci-dessous :</w:t>
      </w:r>
    </w:p>
    <w:p w14:paraId="54F74534" w14:textId="77777777" w:rsidR="008B4E31" w:rsidRPr="00062101" w:rsidRDefault="008B4E31" w:rsidP="008B4E31">
      <w:pPr>
        <w:widowControl/>
        <w:numPr>
          <w:ilvl w:val="0"/>
          <w:numId w:val="9"/>
        </w:numPr>
        <w:autoSpaceDE/>
        <w:autoSpaceDN/>
        <w:adjustRightInd/>
        <w:spacing w:before="120"/>
        <w:jc w:val="both"/>
        <w:rPr>
          <w:sz w:val="22"/>
          <w:lang w:val="fr-FR"/>
        </w:rPr>
      </w:pPr>
      <w:r w:rsidRPr="00062101">
        <w:rPr>
          <w:sz w:val="22"/>
          <w:lang w:val="fr-FR"/>
        </w:rPr>
        <w:t>Le défi à relever pour une mobilisation des ressources consiste aussi à réduire dès le départ le besoin en ressources supplémentaires. Les ressources nécessaires pour atteindre les objectifs du Plan stratégique dépendent en grande partie des choix politiques effectués par certains secteurs clés. Différents scénarios en termes de coûts sont donc possibles, selon les politiques sectorielles mises en œuvre. Si les politiques nationales, régionales et/ou mondiales mises en œuvre réduisent les incidences défavorables sur la diversité biologique, alors les ressources requises pour la protéger ou la restaurer seront moindres. Certains secteurs clés comme l’exploitation forestière, la pêche, l’agriculture, et d’autres encore, montrent que des situations « gagnant-gagnant », tant pour le secteur concerné que pour la diversité biologique, sont possibles et même recherchées, lorsqu’on les considère dans une perspective à moyen terme ou long terme. L’intégration des considérations relatives aux espèces migratrices dans les politiques sectorielles peut ainsi contribuer au développement durable et à une base plus stable à long terme. Ceci peut se faire en augmentant les fonds alloués aux activités liées à la diversité biologique, mais aussi par une meilleure prise en compte des aspects relatifs à la diversité biologique dans les politiques sectorielles et en assurant une plus grande participation de tous les acteurs, y compris les principaux secteurs de production et le secteur privé.</w:t>
      </w:r>
    </w:p>
    <w:p w14:paraId="2D26CB29" w14:textId="77777777" w:rsidR="008B4E31" w:rsidRPr="00062101" w:rsidRDefault="008B4E31" w:rsidP="008B4E31">
      <w:pPr>
        <w:widowControl/>
        <w:numPr>
          <w:ilvl w:val="0"/>
          <w:numId w:val="9"/>
        </w:numPr>
        <w:autoSpaceDE/>
        <w:autoSpaceDN/>
        <w:adjustRightInd/>
        <w:spacing w:before="120"/>
        <w:jc w:val="both"/>
        <w:rPr>
          <w:sz w:val="22"/>
          <w:lang w:val="fr-FR"/>
        </w:rPr>
      </w:pPr>
      <w:r w:rsidRPr="00062101">
        <w:rPr>
          <w:sz w:val="22"/>
          <w:lang w:val="fr-FR"/>
        </w:rPr>
        <w:t xml:space="preserve">L’augmentation du financement disponible dépend aussi de l’efficacité, de l’efficience et de la durabilité des flux financiers internationaux et nationaux alloués à la diversité biologique. Ceci nécessite d’avoir les capacités institutionnelles, nationales, administratives et de </w:t>
      </w:r>
      <w:proofErr w:type="gramStart"/>
      <w:r w:rsidRPr="00062101">
        <w:rPr>
          <w:sz w:val="22"/>
          <w:lang w:val="fr-FR"/>
        </w:rPr>
        <w:t>gestion requises</w:t>
      </w:r>
      <w:proofErr w:type="gramEnd"/>
      <w:r w:rsidRPr="00062101">
        <w:rPr>
          <w:sz w:val="22"/>
          <w:lang w:val="fr-FR"/>
        </w:rPr>
        <w:t xml:space="preserve"> pour garantir des conditions favorables à une utilisation plus efficace, efficiente et durable des ressources, et pour mobiliser des investissements du secteur privé et du secteur public. Cependant, toutes les actions de mise en œuvre du Plan n’entraînent pas de dépenses. Ainsi, certains principes d’efficacité et de partenariat adoptés par le Plan stratégique permettent une utilisation plus efficace des ressources disponibles.</w:t>
      </w:r>
    </w:p>
    <w:p w14:paraId="444CB39E" w14:textId="77777777" w:rsidR="008B4E31" w:rsidRPr="00062101" w:rsidRDefault="008B4E31" w:rsidP="008B4E31">
      <w:pPr>
        <w:widowControl/>
        <w:numPr>
          <w:ilvl w:val="0"/>
          <w:numId w:val="9"/>
        </w:numPr>
        <w:autoSpaceDE/>
        <w:autoSpaceDN/>
        <w:adjustRightInd/>
        <w:spacing w:before="120"/>
        <w:jc w:val="both"/>
        <w:rPr>
          <w:rFonts w:eastAsia="MS Mincho"/>
          <w:sz w:val="22"/>
          <w:lang w:val="fr-FR"/>
        </w:rPr>
      </w:pPr>
      <w:r w:rsidRPr="00062101">
        <w:rPr>
          <w:rFonts w:eastAsia="MS Mincho"/>
          <w:sz w:val="22"/>
          <w:lang w:val="fr-FR"/>
        </w:rPr>
        <w:t xml:space="preserve">Finalement, générer de nouvelles ressources restera indispensable pour réussir à mettre en œuvre le Plan. Grâce à l’engagement de champions, d’ambassadeurs, de philanthropes et de spécialistes compétents en relations publiques, la cause évocatrice des espèces migratrices se prête bien à des initiatives de collecte de fonds à tous les </w:t>
      </w:r>
      <w:r w:rsidRPr="00062101">
        <w:rPr>
          <w:rFonts w:eastAsia="MS Mincho"/>
          <w:sz w:val="22"/>
          <w:lang w:val="fr-FR"/>
        </w:rPr>
        <w:lastRenderedPageBreak/>
        <w:t>niveaux. Guidées par le Plan stratégique pour les espèces migratrices, des activités de mise en œuvre spécifiques peuvent être regroupées dans des programmes régionaux ou thématiques attractifs dans ce but particulier, ou mises en avant dans des portefeuilles de projets chiffrés.</w:t>
      </w:r>
    </w:p>
    <w:p w14:paraId="4D93986D" w14:textId="77777777" w:rsidR="008B4E31" w:rsidRPr="00062101" w:rsidRDefault="008B4E31" w:rsidP="008B4E31">
      <w:pPr>
        <w:ind w:left="357" w:right="-91"/>
        <w:rPr>
          <w:rFonts w:eastAsia="MS Mincho"/>
          <w:sz w:val="22"/>
          <w:lang w:val="fr-FR"/>
        </w:rPr>
      </w:pPr>
    </w:p>
    <w:p w14:paraId="324B7A3F"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Suivi et évaluation, y compris indicateurs, jalons et observations sur les sous-objectifs, ainsi que principales mesures de réussite permettant d’évaluer la réussite générale du Plan stratégique pour les espèces migratrices</w:t>
      </w:r>
    </w:p>
    <w:p w14:paraId="149D84E7" w14:textId="77777777" w:rsidR="008B4E31" w:rsidRPr="00062101" w:rsidRDefault="008B4E31" w:rsidP="008B4E31">
      <w:pPr>
        <w:ind w:left="360"/>
        <w:jc w:val="both"/>
        <w:rPr>
          <w:rFonts w:eastAsia="MS Mincho"/>
          <w:b/>
          <w:sz w:val="22"/>
          <w:lang w:val="fr-FR"/>
        </w:rPr>
      </w:pPr>
    </w:p>
    <w:p w14:paraId="7A00465D" w14:textId="77777777" w:rsidR="008B4E31" w:rsidRPr="00062101" w:rsidRDefault="008B4E31" w:rsidP="008B4E31">
      <w:pPr>
        <w:spacing w:before="120"/>
        <w:ind w:left="363"/>
        <w:jc w:val="both"/>
        <w:rPr>
          <w:rFonts w:eastAsia="MS Mincho"/>
          <w:sz w:val="22"/>
          <w:lang w:val="fr-FR"/>
        </w:rPr>
      </w:pPr>
      <w:r w:rsidRPr="00062101">
        <w:rPr>
          <w:rFonts w:eastAsia="MS Mincho"/>
          <w:sz w:val="22"/>
          <w:lang w:val="fr-FR"/>
        </w:rPr>
        <w:t>Le Plan stratégique pour les espèces migratrices définit les résultats attendus à long terme et à haut niveau, de façon à pouvoir évaluer les progrès accomplis et les résultats obtenus. Il est inutile de définir une orientation si cela n’est pas suivi par des évaluations de la mise en œuvre ; des évaluations de l’impact sur le terrain ; et un calcul du « retour sur investissement » D’autre part, un système d’apprentissage et de gestion adaptative devrait faire partie intégrante du système.</w:t>
      </w:r>
    </w:p>
    <w:p w14:paraId="3268964A"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À cette fin, l’</w:t>
      </w:r>
      <w:r w:rsidRPr="00062101">
        <w:rPr>
          <w:rFonts w:eastAsia="MS Mincho"/>
          <w:b/>
          <w:sz w:val="22"/>
          <w:lang w:val="fr-FR"/>
        </w:rPr>
        <w:t>annexe B</w:t>
      </w:r>
      <w:r w:rsidRPr="00062101">
        <w:rPr>
          <w:rFonts w:eastAsia="MS Mincho"/>
          <w:sz w:val="22"/>
          <w:lang w:val="fr-FR"/>
        </w:rPr>
        <w:t xml:space="preserve"> donne un aperçu de la portée des indicateurs existants ou planifiés, qui devraient (à des degrés différents) permettre de mesurer les progrès accomplis dans la réalisation de chaque objectif du Plan stratégique pour les espèces migratrices. </w:t>
      </w:r>
      <w:r w:rsidR="001D40C8" w:rsidRPr="0031003F">
        <w:rPr>
          <w:sz w:val="22"/>
          <w:lang w:val="fr-FR"/>
        </w:rPr>
        <w:t xml:space="preserve">Le Guide d’accompagnement </w:t>
      </w:r>
      <w:r w:rsidR="001D40C8" w:rsidRPr="0031003F">
        <w:rPr>
          <w:sz w:val="22"/>
          <w:u w:val="single"/>
          <w:lang w:val="fr-FR"/>
        </w:rPr>
        <w:t>et le document UNEP/CMS/COP12/Inf.26</w:t>
      </w:r>
      <w:r w:rsidR="001D40C8" w:rsidRPr="0031003F">
        <w:rPr>
          <w:sz w:val="22"/>
          <w:lang w:val="fr-FR"/>
        </w:rPr>
        <w:t xml:space="preserve"> fournissent de plus amples détails sur ces indicateurs.</w:t>
      </w:r>
      <w:r w:rsidR="00B15943" w:rsidRPr="001D40C8">
        <w:rPr>
          <w:rFonts w:eastAsia="MS Mincho"/>
          <w:sz w:val="22"/>
          <w:szCs w:val="22"/>
          <w:lang w:val="fr-FR"/>
        </w:rPr>
        <w:t xml:space="preserve"> </w:t>
      </w:r>
      <w:r w:rsidRPr="00062101">
        <w:rPr>
          <w:rFonts w:eastAsia="MS Mincho"/>
          <w:sz w:val="22"/>
          <w:lang w:val="fr-FR"/>
        </w:rPr>
        <w:t>Pour être crédible, le système de suivi et d’évaluation devra être minutieux, transparent et fiable, avec une idée claire (et plausible) de la logique des voies de causalité attendues entre les activités, les résultats et les incidences. La robustesse et la qualité dans ce domaine pourront même conférer une force que n’ont pas de nombreuses conventions relatives à la diversité biologique, en raison de l’absence de mécanismes de respect des obligations.</w:t>
      </w:r>
    </w:p>
    <w:p w14:paraId="715A704B"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La répartition claire des responsabilités dans les tâches requises pour faire fonctionner les divers aspects de l’ensemble des indicateurs (et pour définir de nouvelles mesures pertinentes, le cas échéant) constitue une partie importante des conditions permettant la mise en œuvre du Plan</w:t>
      </w:r>
      <w:r>
        <w:rPr>
          <w:rFonts w:eastAsia="MS Mincho"/>
          <w:sz w:val="22"/>
          <w:lang w:val="fr-FR"/>
        </w:rPr>
        <w:t xml:space="preserve">. </w:t>
      </w:r>
      <w:r w:rsidRPr="00DF69A9">
        <w:rPr>
          <w:rFonts w:eastAsia="MS Mincho"/>
          <w:sz w:val="22"/>
          <w:lang w:val="fr-FR"/>
        </w:rPr>
        <w:t>Le leadership initial sur ceci est précisé dans la COP résolution 11.2.</w:t>
      </w:r>
    </w:p>
    <w:p w14:paraId="3592DE2A"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 xml:space="preserve">Les programmes de travail adoptés par la Convention, et les plans d’action des instruments de la Famille CMS, peuvent avoir leurs propres indicateurs, et il sera nécessaire de s’assurer que des liens appropriés sont établis et que les synergies potentielles avec les indicateurs pour le Plan stratégique sont exploitées </w:t>
      </w:r>
    </w:p>
    <w:p w14:paraId="5E61C0E8"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 xml:space="preserve">En plus </w:t>
      </w:r>
      <w:proofErr w:type="gramStart"/>
      <w:r w:rsidRPr="00062101">
        <w:rPr>
          <w:rFonts w:eastAsia="MS Mincho"/>
          <w:sz w:val="22"/>
          <w:lang w:val="fr-FR"/>
        </w:rPr>
        <w:t>d’une évaluation objectif</w:t>
      </w:r>
      <w:proofErr w:type="gramEnd"/>
      <w:r w:rsidRPr="00062101">
        <w:rPr>
          <w:rFonts w:eastAsia="MS Mincho"/>
          <w:sz w:val="22"/>
          <w:lang w:val="fr-FR"/>
        </w:rPr>
        <w:t xml:space="preserve"> par objectif, il est prévu que les principales institutions (comme la COP de la CMS) s’emploient à évaluer les principales mesures de succès au regard desquelles la réussite générale du Plan stratégique pourra elle-même être évaluée.</w:t>
      </w:r>
    </w:p>
    <w:p w14:paraId="67326157" w14:textId="6376A955" w:rsidR="00C746AD" w:rsidRDefault="00C746AD" w:rsidP="008B4E31">
      <w:pPr>
        <w:ind w:right="-91"/>
        <w:jc w:val="both"/>
        <w:rPr>
          <w:rFonts w:eastAsia="MS Mincho"/>
          <w:sz w:val="22"/>
          <w:lang w:val="fr-FR"/>
        </w:rPr>
      </w:pPr>
      <w:r>
        <w:rPr>
          <w:rFonts w:eastAsia="MS Mincho"/>
          <w:sz w:val="22"/>
          <w:lang w:val="fr-FR"/>
        </w:rPr>
        <w:br w:type="page"/>
      </w:r>
    </w:p>
    <w:p w14:paraId="5A4B0708" w14:textId="77777777" w:rsidR="008B4E31" w:rsidRPr="00062101" w:rsidRDefault="008B4E31" w:rsidP="008B4E31">
      <w:pPr>
        <w:ind w:right="-91"/>
        <w:jc w:val="both"/>
        <w:rPr>
          <w:rFonts w:eastAsia="MS Mincho"/>
          <w:sz w:val="22"/>
          <w:lang w:val="fr-FR"/>
        </w:rPr>
      </w:pPr>
    </w:p>
    <w:p w14:paraId="12CD3760" w14:textId="77777777" w:rsidR="008B4E31" w:rsidRPr="00062101" w:rsidRDefault="008B4E31" w:rsidP="008B4E31">
      <w:pPr>
        <w:widowControl/>
        <w:numPr>
          <w:ilvl w:val="0"/>
          <w:numId w:val="5"/>
        </w:numPr>
        <w:autoSpaceDE/>
        <w:autoSpaceDN/>
        <w:adjustRightInd/>
        <w:jc w:val="both"/>
        <w:rPr>
          <w:rFonts w:eastAsia="MS Mincho"/>
          <w:b/>
          <w:sz w:val="22"/>
          <w:lang w:val="fr-FR"/>
        </w:rPr>
      </w:pPr>
      <w:r w:rsidRPr="00062101">
        <w:rPr>
          <w:rFonts w:eastAsia="MS Mincho"/>
          <w:b/>
          <w:sz w:val="22"/>
          <w:lang w:val="fr-FR"/>
        </w:rPr>
        <w:t>Production de rapports et examen des progrès accomplis au niveau national et par les organes décisionnaires tels que la Conférence des Parties à la CMS</w:t>
      </w:r>
    </w:p>
    <w:p w14:paraId="65D21F83"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Le Plan stratégique pour les espèces migratrices énonce des buts, mais il fait aussi partie intégrante d’un cycle d’observations et de gestion adaptative. En utilisant les informations provenant des indicateurs, le Plan stratégique pour les espèces migratrices devrait fournir un moyen d’améliorer l’efficience, l’efficacité et l’utilité de la production de rapports.</w:t>
      </w:r>
    </w:p>
    <w:p w14:paraId="490FC2ED" w14:textId="77777777" w:rsidR="008B4E31" w:rsidRPr="00062101" w:rsidRDefault="008B4E31" w:rsidP="008B4E31">
      <w:pPr>
        <w:spacing w:before="120"/>
        <w:ind w:left="357"/>
        <w:jc w:val="both"/>
        <w:rPr>
          <w:rFonts w:eastAsia="MS Mincho"/>
          <w:sz w:val="22"/>
          <w:lang w:val="fr-FR"/>
        </w:rPr>
      </w:pPr>
      <w:r w:rsidRPr="00062101">
        <w:rPr>
          <w:rFonts w:eastAsia="MS Mincho"/>
          <w:sz w:val="22"/>
          <w:lang w:val="fr-FR"/>
        </w:rPr>
        <w:t>Les cycles de production des rapports, tels que ceux de la Conférence des Parties à la Convention, fournissent un moyen d’évaluer les progrès accomplis dans la mise en œuvre du Plan stratégique pour les espèces migratrices. Ces rapports peuvent aider à avoir une vue d’ensemble des progrès accomplis vers l’atteinte des buts et des objectifs du Plan stratégique, et peuvent mettre en évidence des domaines nécessitant une attention particulière. Le développement continu de systèmes harmonisés de rapports en ligne, ainsi que les informations fournies par les ONG et la société civile seront importants à cet égard.</w:t>
      </w:r>
    </w:p>
    <w:p w14:paraId="1ADFF882" w14:textId="51D9FA6A" w:rsidR="00B15943" w:rsidRPr="006124BC" w:rsidRDefault="00B15943" w:rsidP="008B4E31">
      <w:pPr>
        <w:widowControl/>
        <w:jc w:val="both"/>
        <w:rPr>
          <w:rFonts w:cs="Arial"/>
          <w:sz w:val="2"/>
          <w:szCs w:val="2"/>
          <w:lang w:val="fr-FR"/>
        </w:rPr>
      </w:pPr>
      <w:r w:rsidRPr="006124BC">
        <w:rPr>
          <w:lang w:val="fr-FR"/>
        </w:rPr>
        <w:br w:type="page"/>
      </w:r>
    </w:p>
    <w:tbl>
      <w:tblPr>
        <w:tblW w:w="0" w:type="auto"/>
        <w:tblBorders>
          <w:bottom w:val="single" w:sz="4" w:space="0" w:color="auto"/>
        </w:tblBorders>
        <w:shd w:val="clear" w:color="auto" w:fill="D9D9D9" w:themeFill="background1" w:themeFillShade="D9"/>
        <w:tblLook w:val="01E0" w:firstRow="1" w:lastRow="1" w:firstColumn="1" w:lastColumn="1" w:noHBand="0" w:noVBand="0"/>
      </w:tblPr>
      <w:tblGrid>
        <w:gridCol w:w="9498"/>
      </w:tblGrid>
      <w:tr w:rsidR="00B15943" w:rsidRPr="00591DCA" w14:paraId="3AF13E4B" w14:textId="77777777" w:rsidTr="00095940">
        <w:tc>
          <w:tcPr>
            <w:tcW w:w="9498" w:type="dxa"/>
            <w:tcBorders>
              <w:bottom w:val="single" w:sz="4" w:space="0" w:color="auto"/>
            </w:tcBorders>
            <w:shd w:val="clear" w:color="auto" w:fill="D9D9D9" w:themeFill="background1" w:themeFillShade="D9"/>
          </w:tcPr>
          <w:p w14:paraId="1D4D5637" w14:textId="5FB59324" w:rsidR="00B15943" w:rsidRPr="006124BC" w:rsidRDefault="00B15943" w:rsidP="00B15943">
            <w:pPr>
              <w:ind w:right="-88"/>
              <w:rPr>
                <w:rFonts w:eastAsia="MS Mincho"/>
                <w:b/>
                <w:color w:val="000080"/>
                <w:sz w:val="30"/>
                <w:szCs w:val="30"/>
                <w:lang w:val="fr-FR"/>
              </w:rPr>
            </w:pPr>
            <w:r w:rsidRPr="006124BC">
              <w:rPr>
                <w:color w:val="0000FF"/>
                <w:sz w:val="22"/>
                <w:szCs w:val="22"/>
                <w:lang w:val="fr-FR"/>
              </w:rPr>
              <w:br w:type="page"/>
            </w:r>
            <w:r w:rsidR="002923C2" w:rsidRPr="006124BC">
              <w:rPr>
                <w:rFonts w:eastAsia="MS Mincho"/>
                <w:b/>
                <w:color w:val="000080"/>
                <w:sz w:val="30"/>
                <w:szCs w:val="30"/>
                <w:lang w:val="fr-FR"/>
              </w:rPr>
              <w:t>Annexe A. Correspondance entre le Plan stratégique pour les espèces migratrices et les Objectifs d’Aichi</w:t>
            </w:r>
          </w:p>
        </w:tc>
      </w:tr>
    </w:tbl>
    <w:p w14:paraId="53EF9391" w14:textId="77777777" w:rsidR="00B15943" w:rsidRPr="006124BC" w:rsidRDefault="00B15943" w:rsidP="00B15943">
      <w:pPr>
        <w:ind w:right="-88"/>
        <w:rPr>
          <w:rFonts w:cs="Arial"/>
          <w:sz w:val="22"/>
          <w:szCs w:val="22"/>
          <w:lang w:val="fr-F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05"/>
      </w:tblGrid>
      <w:tr w:rsidR="00B15943" w:rsidRPr="001D40C8" w14:paraId="0ADAB348" w14:textId="77777777" w:rsidTr="00095940">
        <w:tc>
          <w:tcPr>
            <w:tcW w:w="1080" w:type="dxa"/>
          </w:tcPr>
          <w:p w14:paraId="28FD1717" w14:textId="7A4FEBC0" w:rsidR="00B15943" w:rsidRPr="001D40C8" w:rsidRDefault="0031003F" w:rsidP="003C5848">
            <w:pPr>
              <w:spacing w:before="120"/>
              <w:ind w:right="-88"/>
              <w:jc w:val="both"/>
              <w:rPr>
                <w:b/>
                <w:sz w:val="20"/>
                <w:szCs w:val="20"/>
                <w:lang w:val="fr-FR"/>
              </w:rPr>
            </w:pPr>
            <w:r>
              <w:rPr>
                <w:b/>
                <w:sz w:val="20"/>
                <w:szCs w:val="20"/>
                <w:lang w:val="fr-FR"/>
              </w:rPr>
              <w:t>SPMS</w:t>
            </w:r>
          </w:p>
        </w:tc>
        <w:tc>
          <w:tcPr>
            <w:tcW w:w="8305" w:type="dxa"/>
          </w:tcPr>
          <w:p w14:paraId="106B9909" w14:textId="5BD8F3CD" w:rsidR="00B15943" w:rsidRPr="001D40C8" w:rsidRDefault="002923C2" w:rsidP="003C5848">
            <w:pPr>
              <w:spacing w:before="120"/>
              <w:ind w:right="-88"/>
              <w:jc w:val="both"/>
              <w:rPr>
                <w:b/>
                <w:sz w:val="20"/>
                <w:szCs w:val="20"/>
                <w:lang w:val="fr-FR"/>
              </w:rPr>
            </w:pPr>
            <w:r w:rsidRPr="002923C2">
              <w:rPr>
                <w:b/>
                <w:sz w:val="20"/>
                <w:szCs w:val="20"/>
                <w:lang w:val="fr-FR"/>
              </w:rPr>
              <w:t>Objectifs d’Aichi</w:t>
            </w:r>
          </w:p>
        </w:tc>
      </w:tr>
      <w:tr w:rsidR="00B15943" w:rsidRPr="00591DCA" w14:paraId="22FDEBC8" w14:textId="77777777" w:rsidTr="00095940">
        <w:tc>
          <w:tcPr>
            <w:tcW w:w="1080" w:type="dxa"/>
          </w:tcPr>
          <w:p w14:paraId="031C8FCD" w14:textId="5A484E2F"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w:t>
            </w:r>
          </w:p>
        </w:tc>
        <w:tc>
          <w:tcPr>
            <w:tcW w:w="8305" w:type="dxa"/>
          </w:tcPr>
          <w:p w14:paraId="79C55940" w14:textId="2621CC57" w:rsidR="00B15943" w:rsidRPr="0061757B" w:rsidRDefault="002923C2" w:rsidP="003C5848">
            <w:pPr>
              <w:spacing w:before="120"/>
              <w:ind w:right="-88"/>
              <w:jc w:val="both"/>
              <w:rPr>
                <w:sz w:val="20"/>
                <w:szCs w:val="20"/>
                <w:lang w:val="fr-FR"/>
              </w:rPr>
            </w:pPr>
            <w:r w:rsidRPr="0061757B">
              <w:rPr>
                <w:sz w:val="20"/>
                <w:szCs w:val="20"/>
                <w:lang w:val="fr-FR"/>
              </w:rPr>
              <w:t>Objectif 1 d’Aichi : D’ici à 2020 au plus tard, les individus sont conscients de la valeur de la diversité biologique et des mesures qu’ils peuvent prendre pour la conserver et l’utiliser de manière durable.</w:t>
            </w:r>
          </w:p>
        </w:tc>
      </w:tr>
      <w:tr w:rsidR="00B15943" w:rsidRPr="00591DCA" w14:paraId="48820E5E" w14:textId="77777777" w:rsidTr="00095940">
        <w:tc>
          <w:tcPr>
            <w:tcW w:w="1080" w:type="dxa"/>
          </w:tcPr>
          <w:p w14:paraId="024B280F" w14:textId="155CF4E2" w:rsidR="00B15943" w:rsidRPr="001D40C8" w:rsidRDefault="002923C2" w:rsidP="003C5848">
            <w:pPr>
              <w:spacing w:before="120"/>
              <w:ind w:right="-88"/>
              <w:jc w:val="both"/>
              <w:rPr>
                <w:b/>
                <w:sz w:val="20"/>
                <w:szCs w:val="20"/>
                <w:lang w:val="fr-FR"/>
              </w:rPr>
            </w:pPr>
            <w:r w:rsidRPr="002923C2">
              <w:rPr>
                <w:b/>
                <w:sz w:val="20"/>
                <w:szCs w:val="20"/>
                <w:lang w:val="fr-FR"/>
              </w:rPr>
              <w:t>Objectif</w:t>
            </w:r>
            <w:r w:rsidRPr="001D40C8">
              <w:rPr>
                <w:b/>
                <w:sz w:val="20"/>
                <w:szCs w:val="20"/>
                <w:lang w:val="fr-FR"/>
              </w:rPr>
              <w:t xml:space="preserve"> </w:t>
            </w:r>
            <w:r w:rsidR="00B15943" w:rsidRPr="001D40C8">
              <w:rPr>
                <w:b/>
                <w:sz w:val="20"/>
                <w:szCs w:val="20"/>
                <w:lang w:val="fr-FR"/>
              </w:rPr>
              <w:t>2</w:t>
            </w:r>
          </w:p>
        </w:tc>
        <w:tc>
          <w:tcPr>
            <w:tcW w:w="8305" w:type="dxa"/>
          </w:tcPr>
          <w:p w14:paraId="184C771B" w14:textId="13722103" w:rsidR="00B15943" w:rsidRPr="006124BC" w:rsidRDefault="002923C2" w:rsidP="003C5848">
            <w:pPr>
              <w:spacing w:before="120"/>
              <w:ind w:right="-88"/>
              <w:jc w:val="both"/>
              <w:rPr>
                <w:sz w:val="20"/>
                <w:szCs w:val="20"/>
                <w:lang w:val="fr-FR"/>
              </w:rPr>
            </w:pPr>
            <w:r w:rsidRPr="004C5D74">
              <w:rPr>
                <w:sz w:val="20"/>
                <w:szCs w:val="20"/>
                <w:lang w:val="fr-FR"/>
              </w:rPr>
              <w:t>Objectif 2 d’Aichi : 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r>
      <w:tr w:rsidR="00B15943" w:rsidRPr="001D40C8" w14:paraId="34C019CD" w14:textId="77777777" w:rsidTr="00095940">
        <w:tc>
          <w:tcPr>
            <w:tcW w:w="1080" w:type="dxa"/>
          </w:tcPr>
          <w:p w14:paraId="406E0889" w14:textId="18B3DA3C"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3</w:t>
            </w:r>
          </w:p>
        </w:tc>
        <w:tc>
          <w:tcPr>
            <w:tcW w:w="8305" w:type="dxa"/>
          </w:tcPr>
          <w:p w14:paraId="584A482F" w14:textId="70626A18" w:rsidR="00B15943" w:rsidRPr="001D40C8" w:rsidRDefault="002923C2" w:rsidP="003C5848">
            <w:pPr>
              <w:spacing w:before="120"/>
              <w:ind w:right="-88"/>
              <w:jc w:val="both"/>
              <w:rPr>
                <w:sz w:val="20"/>
                <w:szCs w:val="20"/>
                <w:lang w:val="fr-FR"/>
              </w:rPr>
            </w:pPr>
            <w:r w:rsidRPr="004C5D74">
              <w:rPr>
                <w:sz w:val="20"/>
                <w:szCs w:val="20"/>
                <w:lang w:val="fr-FR"/>
              </w:rPr>
              <w:t>Aucun Objectif d’Aichi correspondant.</w:t>
            </w:r>
          </w:p>
        </w:tc>
      </w:tr>
      <w:tr w:rsidR="00B15943" w:rsidRPr="00591DCA" w14:paraId="3C282F0C" w14:textId="77777777" w:rsidTr="00095940">
        <w:tc>
          <w:tcPr>
            <w:tcW w:w="1080" w:type="dxa"/>
          </w:tcPr>
          <w:p w14:paraId="48AAA86F" w14:textId="1FB43E45"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4</w:t>
            </w:r>
          </w:p>
        </w:tc>
        <w:tc>
          <w:tcPr>
            <w:tcW w:w="8305" w:type="dxa"/>
          </w:tcPr>
          <w:p w14:paraId="560C97CB" w14:textId="3CFF3450" w:rsidR="00B15943" w:rsidRPr="006124BC" w:rsidRDefault="002923C2" w:rsidP="003C5848">
            <w:pPr>
              <w:spacing w:before="120"/>
              <w:ind w:right="-88"/>
              <w:jc w:val="both"/>
              <w:rPr>
                <w:sz w:val="20"/>
                <w:szCs w:val="20"/>
                <w:lang w:val="fr-FR"/>
              </w:rPr>
            </w:pPr>
            <w:r w:rsidRPr="004C5D74">
              <w:rPr>
                <w:sz w:val="20"/>
                <w:szCs w:val="20"/>
                <w:lang w:val="fr-FR"/>
              </w:rPr>
              <w:t>Objectif 3 d’Aichi : 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tc>
      </w:tr>
      <w:tr w:rsidR="00B15943" w:rsidRPr="00591DCA" w14:paraId="4F3B611E" w14:textId="77777777" w:rsidTr="00095940">
        <w:tc>
          <w:tcPr>
            <w:tcW w:w="1080" w:type="dxa"/>
          </w:tcPr>
          <w:p w14:paraId="6CA1B334" w14:textId="3AB10A9E"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5</w:t>
            </w:r>
          </w:p>
        </w:tc>
        <w:tc>
          <w:tcPr>
            <w:tcW w:w="8305" w:type="dxa"/>
          </w:tcPr>
          <w:p w14:paraId="5B641798" w14:textId="77777777" w:rsidR="002923C2" w:rsidRPr="004C5D74" w:rsidRDefault="002923C2" w:rsidP="002923C2">
            <w:pPr>
              <w:spacing w:before="120"/>
              <w:ind w:right="-88"/>
              <w:jc w:val="both"/>
              <w:rPr>
                <w:rFonts w:eastAsia="MS Mincho"/>
                <w:sz w:val="20"/>
                <w:szCs w:val="20"/>
                <w:lang w:val="fr-FR"/>
              </w:rPr>
            </w:pPr>
            <w:r w:rsidRPr="004C5D74">
              <w:rPr>
                <w:rFonts w:eastAsia="MS Mincho"/>
                <w:sz w:val="20"/>
                <w:szCs w:val="20"/>
                <w:lang w:val="fr-FR"/>
              </w:rPr>
              <w:t>Objectif 4 d’Aichi : 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r w:rsidRPr="004C5D74">
              <w:rPr>
                <w:sz w:val="20"/>
                <w:szCs w:val="20"/>
                <w:lang w:val="fr-FR"/>
              </w:rPr>
              <w:t>.</w:t>
            </w:r>
          </w:p>
          <w:p w14:paraId="3C9585D0" w14:textId="29E9F7F0" w:rsidR="00B15943" w:rsidRPr="006124BC" w:rsidRDefault="002923C2" w:rsidP="002923C2">
            <w:pPr>
              <w:spacing w:before="120"/>
              <w:ind w:right="-88"/>
              <w:jc w:val="both"/>
              <w:rPr>
                <w:sz w:val="20"/>
                <w:szCs w:val="20"/>
                <w:lang w:val="fr-FR"/>
              </w:rPr>
            </w:pPr>
            <w:r w:rsidRPr="004C5D74">
              <w:rPr>
                <w:sz w:val="20"/>
                <w:szCs w:val="20"/>
                <w:lang w:val="fr-FR"/>
              </w:rPr>
              <w:t>Objectif</w:t>
            </w:r>
            <w:r w:rsidRPr="004C5D74">
              <w:rPr>
                <w:bCs/>
                <w:sz w:val="20"/>
                <w:szCs w:val="20"/>
                <w:lang w:val="fr-FR"/>
              </w:rPr>
              <w:t xml:space="preserve"> 7 d’Aichi : D’ici à 2020, les zones consacrées à l’agriculture, l’aquaculture et la sylviculture sont gérées d’une manière durable, afin d’assurer la conservation de la diversité biologique</w:t>
            </w:r>
            <w:r w:rsidRPr="004C5D74">
              <w:rPr>
                <w:sz w:val="20"/>
                <w:szCs w:val="20"/>
                <w:lang w:val="fr-FR"/>
              </w:rPr>
              <w:t>.</w:t>
            </w:r>
          </w:p>
        </w:tc>
      </w:tr>
      <w:tr w:rsidR="00B15943" w:rsidRPr="00591DCA" w14:paraId="205C309C" w14:textId="77777777" w:rsidTr="00095940">
        <w:tc>
          <w:tcPr>
            <w:tcW w:w="1080" w:type="dxa"/>
          </w:tcPr>
          <w:p w14:paraId="34098C99" w14:textId="1127D4D8"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6 </w:t>
            </w:r>
          </w:p>
        </w:tc>
        <w:tc>
          <w:tcPr>
            <w:tcW w:w="8305" w:type="dxa"/>
          </w:tcPr>
          <w:p w14:paraId="6D63951B" w14:textId="0196DAA7" w:rsidR="00B15943" w:rsidRPr="006124BC" w:rsidRDefault="002923C2" w:rsidP="003C5848">
            <w:pPr>
              <w:spacing w:before="120"/>
              <w:ind w:right="-88"/>
              <w:jc w:val="both"/>
              <w:rPr>
                <w:sz w:val="20"/>
                <w:szCs w:val="20"/>
                <w:lang w:val="fr-FR"/>
              </w:rPr>
            </w:pPr>
            <w:r w:rsidRPr="004C5D74">
              <w:rPr>
                <w:sz w:val="20"/>
                <w:szCs w:val="20"/>
                <w:lang w:val="fr-FR"/>
              </w:rPr>
              <w:t>Objectif 6 d’Aichi : 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B15943" w:rsidRPr="00591DCA" w14:paraId="789737A8" w14:textId="77777777" w:rsidTr="00095940">
        <w:tc>
          <w:tcPr>
            <w:tcW w:w="1080" w:type="dxa"/>
          </w:tcPr>
          <w:p w14:paraId="0BC197A2" w14:textId="30E5B1E8" w:rsidR="00B15943" w:rsidRPr="001D40C8" w:rsidRDefault="002923C2" w:rsidP="003C5848">
            <w:pPr>
              <w:spacing w:before="120"/>
              <w:ind w:right="-88"/>
              <w:jc w:val="both"/>
              <w:rPr>
                <w:b/>
                <w:sz w:val="20"/>
                <w:szCs w:val="20"/>
                <w:lang w:val="fr-FR"/>
              </w:rPr>
            </w:pPr>
            <w:r w:rsidRPr="002923C2">
              <w:rPr>
                <w:b/>
                <w:sz w:val="20"/>
                <w:szCs w:val="20"/>
                <w:lang w:val="fr-FR"/>
              </w:rPr>
              <w:t>Objectif</w:t>
            </w:r>
            <w:r w:rsidR="008E6983" w:rsidRPr="001D40C8">
              <w:rPr>
                <w:b/>
                <w:sz w:val="20"/>
                <w:szCs w:val="20"/>
                <w:lang w:val="fr-FR"/>
              </w:rPr>
              <w:t xml:space="preserve"> </w:t>
            </w:r>
            <w:r w:rsidR="00B15943" w:rsidRPr="001D40C8">
              <w:rPr>
                <w:b/>
                <w:sz w:val="20"/>
                <w:szCs w:val="20"/>
                <w:lang w:val="fr-FR"/>
              </w:rPr>
              <w:t>7</w:t>
            </w:r>
          </w:p>
        </w:tc>
        <w:tc>
          <w:tcPr>
            <w:tcW w:w="8305" w:type="dxa"/>
          </w:tcPr>
          <w:p w14:paraId="0F2316CD" w14:textId="77777777" w:rsidR="002923C2" w:rsidRPr="004C5D74" w:rsidRDefault="002923C2" w:rsidP="002923C2">
            <w:pPr>
              <w:spacing w:before="120"/>
              <w:ind w:right="-88"/>
              <w:jc w:val="both"/>
              <w:rPr>
                <w:bCs/>
                <w:sz w:val="20"/>
                <w:szCs w:val="20"/>
                <w:lang w:val="fr-FR"/>
              </w:rPr>
            </w:pPr>
            <w:r w:rsidRPr="004C5D74">
              <w:rPr>
                <w:bCs/>
                <w:sz w:val="20"/>
                <w:szCs w:val="20"/>
                <w:lang w:val="fr-FR"/>
              </w:rPr>
              <w:t>Objectif 8 d’Aichi : D’ici à 2020, la pollution, notamment celle causée par l’excès d’éléments nutritifs, est ramenée à un niveau qui n’a pas d’effet néfaste sur les fonctions des écosystèmes et la diversité biologique</w:t>
            </w:r>
            <w:r w:rsidRPr="004C5D74">
              <w:rPr>
                <w:sz w:val="20"/>
                <w:szCs w:val="20"/>
                <w:lang w:val="fr-FR"/>
              </w:rPr>
              <w:t>.</w:t>
            </w:r>
          </w:p>
          <w:p w14:paraId="502E612E" w14:textId="77777777" w:rsidR="002923C2" w:rsidRPr="004C5D74" w:rsidRDefault="002923C2" w:rsidP="002923C2">
            <w:pPr>
              <w:spacing w:before="120"/>
              <w:ind w:right="-88"/>
              <w:jc w:val="both"/>
              <w:rPr>
                <w:bCs/>
                <w:sz w:val="20"/>
                <w:szCs w:val="20"/>
                <w:lang w:val="fr-FR"/>
              </w:rPr>
            </w:pPr>
            <w:r w:rsidRPr="004C5D74">
              <w:rPr>
                <w:bCs/>
                <w:sz w:val="20"/>
                <w:szCs w:val="20"/>
                <w:lang w:val="fr-FR"/>
              </w:rPr>
              <w:t>Objectif 9 d’Aichi : 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r w:rsidRPr="004C5D74">
              <w:rPr>
                <w:sz w:val="20"/>
                <w:szCs w:val="20"/>
                <w:lang w:val="fr-FR"/>
              </w:rPr>
              <w:t>.</w:t>
            </w:r>
          </w:p>
          <w:p w14:paraId="4D05F510" w14:textId="1E531015" w:rsidR="00B15943" w:rsidRPr="006124BC" w:rsidRDefault="002923C2" w:rsidP="002923C2">
            <w:pPr>
              <w:spacing w:before="120"/>
              <w:ind w:right="-88"/>
              <w:jc w:val="both"/>
              <w:rPr>
                <w:sz w:val="20"/>
                <w:szCs w:val="20"/>
                <w:lang w:val="fr-FR"/>
              </w:rPr>
            </w:pPr>
            <w:r w:rsidRPr="004C5D74">
              <w:rPr>
                <w:bCs/>
                <w:iCs/>
                <w:sz w:val="20"/>
                <w:szCs w:val="20"/>
                <w:lang w:val="fr-FR"/>
              </w:rPr>
              <w:t>Objectif 10 d’Aichi : 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r w:rsidRPr="004C5D74">
              <w:rPr>
                <w:sz w:val="20"/>
                <w:szCs w:val="20"/>
                <w:lang w:val="fr-FR"/>
              </w:rPr>
              <w:t>.</w:t>
            </w:r>
          </w:p>
        </w:tc>
      </w:tr>
      <w:tr w:rsidR="00B15943" w:rsidRPr="00591DCA" w14:paraId="6D891E45" w14:textId="77777777" w:rsidTr="00095940">
        <w:tc>
          <w:tcPr>
            <w:tcW w:w="1080" w:type="dxa"/>
          </w:tcPr>
          <w:p w14:paraId="5C3F27DC" w14:textId="536375FC"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8</w:t>
            </w:r>
          </w:p>
        </w:tc>
        <w:tc>
          <w:tcPr>
            <w:tcW w:w="8305" w:type="dxa"/>
          </w:tcPr>
          <w:p w14:paraId="4CF0E9DB" w14:textId="77777777" w:rsidR="00B15943" w:rsidRDefault="002923C2" w:rsidP="003C5848">
            <w:pPr>
              <w:spacing w:before="120"/>
              <w:ind w:right="-88"/>
              <w:jc w:val="both"/>
              <w:rPr>
                <w:sz w:val="20"/>
                <w:szCs w:val="20"/>
                <w:lang w:val="fr-FR"/>
              </w:rPr>
            </w:pPr>
            <w:r w:rsidRPr="004C5D74">
              <w:rPr>
                <w:sz w:val="20"/>
                <w:szCs w:val="20"/>
                <w:lang w:val="fr-FR"/>
              </w:rPr>
              <w:t>Objectif 12 d’Aichi : D’ici à 2020, l’extinction d’espèces menacées connues est évitée et leur état de conservation, en particulier de celles qui tombent le plus en déclin, est amélioré et maintenu.</w:t>
            </w:r>
          </w:p>
          <w:p w14:paraId="7DE8F843" w14:textId="16D6E3E1" w:rsidR="00C746AD" w:rsidRPr="006124BC" w:rsidRDefault="00C746AD" w:rsidP="003C5848">
            <w:pPr>
              <w:spacing w:before="120"/>
              <w:ind w:right="-88"/>
              <w:jc w:val="both"/>
              <w:rPr>
                <w:sz w:val="20"/>
                <w:szCs w:val="20"/>
                <w:lang w:val="fr-FR"/>
              </w:rPr>
            </w:pPr>
          </w:p>
        </w:tc>
      </w:tr>
      <w:tr w:rsidR="00B15943" w:rsidRPr="001D40C8" w14:paraId="39FA5869" w14:textId="77777777" w:rsidTr="00095940">
        <w:tc>
          <w:tcPr>
            <w:tcW w:w="1080" w:type="dxa"/>
          </w:tcPr>
          <w:p w14:paraId="405B27B1" w14:textId="27BB6895"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9</w:t>
            </w:r>
          </w:p>
        </w:tc>
        <w:tc>
          <w:tcPr>
            <w:tcW w:w="8305" w:type="dxa"/>
          </w:tcPr>
          <w:p w14:paraId="6753279C" w14:textId="77777777" w:rsidR="002923C2" w:rsidRDefault="002923C2" w:rsidP="002923C2">
            <w:pPr>
              <w:spacing w:before="120"/>
              <w:ind w:right="-88"/>
              <w:jc w:val="both"/>
              <w:rPr>
                <w:sz w:val="20"/>
                <w:szCs w:val="20"/>
                <w:lang w:val="fr-FR"/>
              </w:rPr>
            </w:pPr>
            <w:r w:rsidRPr="004C5D74">
              <w:rPr>
                <w:sz w:val="20"/>
                <w:szCs w:val="20"/>
                <w:lang w:val="fr-FR"/>
              </w:rPr>
              <w:t>Aucun Objectif d’Aichi correspondant.</w:t>
            </w:r>
          </w:p>
          <w:p w14:paraId="040E7710" w14:textId="2B473F46" w:rsidR="00B15943" w:rsidRPr="001D40C8" w:rsidRDefault="00B15943" w:rsidP="003C5848">
            <w:pPr>
              <w:spacing w:before="120"/>
              <w:ind w:right="-88"/>
              <w:jc w:val="both"/>
              <w:rPr>
                <w:sz w:val="20"/>
                <w:szCs w:val="20"/>
                <w:lang w:val="fr-FR"/>
              </w:rPr>
            </w:pPr>
          </w:p>
        </w:tc>
      </w:tr>
      <w:tr w:rsidR="00B15943" w:rsidRPr="00591DCA" w14:paraId="386B2A68" w14:textId="77777777" w:rsidTr="00095940">
        <w:tc>
          <w:tcPr>
            <w:tcW w:w="1080" w:type="dxa"/>
          </w:tcPr>
          <w:p w14:paraId="541E8571" w14:textId="3C7C9A13"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10 </w:t>
            </w:r>
          </w:p>
        </w:tc>
        <w:tc>
          <w:tcPr>
            <w:tcW w:w="8305" w:type="dxa"/>
          </w:tcPr>
          <w:p w14:paraId="68672939" w14:textId="77777777" w:rsidR="002923C2" w:rsidRPr="004C5D74" w:rsidRDefault="002923C2" w:rsidP="002923C2">
            <w:pPr>
              <w:spacing w:before="120"/>
              <w:ind w:right="-88"/>
              <w:jc w:val="both"/>
              <w:rPr>
                <w:sz w:val="20"/>
                <w:szCs w:val="20"/>
                <w:lang w:val="fr-FR"/>
              </w:rPr>
            </w:pPr>
            <w:r w:rsidRPr="004C5D74">
              <w:rPr>
                <w:sz w:val="20"/>
                <w:szCs w:val="20"/>
                <w:lang w:val="fr-FR"/>
              </w:rPr>
              <w:t>Objectif 5 d’Aichi : D’ici à 2020, le rythme d’appauvrissement de tous les habitats naturels, y compris les forêts, est réduit de moitié au moins et si possible ramené à près de zéro, et la dégradation et la fragmentation des habitats sont sensiblement réduites.</w:t>
            </w:r>
          </w:p>
          <w:p w14:paraId="304DEC33" w14:textId="58A55F20" w:rsidR="00B15943" w:rsidRPr="006124BC" w:rsidRDefault="002923C2" w:rsidP="002923C2">
            <w:pPr>
              <w:spacing w:before="120"/>
              <w:ind w:right="-88"/>
              <w:jc w:val="both"/>
              <w:rPr>
                <w:sz w:val="20"/>
                <w:szCs w:val="20"/>
                <w:lang w:val="fr-FR"/>
              </w:rPr>
            </w:pPr>
            <w:r w:rsidRPr="004C5D74">
              <w:rPr>
                <w:bCs/>
                <w:sz w:val="20"/>
                <w:szCs w:val="20"/>
                <w:lang w:val="fr-FR"/>
              </w:rPr>
              <w:t>Objectif 11 d’Aichi : D’ici à 2020, au moins 17</w:t>
            </w:r>
            <w:r>
              <w:rPr>
                <w:bCs/>
                <w:sz w:val="20"/>
                <w:szCs w:val="20"/>
                <w:lang w:val="fr-FR"/>
              </w:rPr>
              <w:t> </w:t>
            </w:r>
            <w:r w:rsidRPr="004C5D74">
              <w:rPr>
                <w:bCs/>
                <w:sz w:val="20"/>
                <w:szCs w:val="20"/>
                <w:lang w:val="fr-FR"/>
              </w:rPr>
              <w:t>% des zones terrestres et d’eaux intérieures et 10</w:t>
            </w:r>
            <w:r>
              <w:rPr>
                <w:bCs/>
                <w:sz w:val="20"/>
                <w:szCs w:val="20"/>
                <w:lang w:val="fr-FR"/>
              </w:rPr>
              <w:t> </w:t>
            </w:r>
            <w:r w:rsidRPr="004C5D74">
              <w:rPr>
                <w:bCs/>
                <w:sz w:val="20"/>
                <w:szCs w:val="20"/>
                <w:lang w:val="fr-FR"/>
              </w:rPr>
              <w:t>%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r w:rsidRPr="004C5D74">
              <w:rPr>
                <w:sz w:val="20"/>
                <w:szCs w:val="20"/>
                <w:lang w:val="fr-FR"/>
              </w:rPr>
              <w:t>.</w:t>
            </w:r>
          </w:p>
        </w:tc>
      </w:tr>
      <w:tr w:rsidR="00B15943" w:rsidRPr="00591DCA" w14:paraId="1B47ACD9" w14:textId="77777777" w:rsidTr="00095940">
        <w:tc>
          <w:tcPr>
            <w:tcW w:w="1080" w:type="dxa"/>
          </w:tcPr>
          <w:p w14:paraId="0246B55F" w14:textId="7C8D65AB" w:rsidR="00B15943" w:rsidRPr="001D40C8" w:rsidRDefault="002923C2" w:rsidP="003C5848">
            <w:pPr>
              <w:keepNext/>
              <w:spacing w:before="120"/>
              <w:ind w:right="-91"/>
              <w:jc w:val="both"/>
              <w:rPr>
                <w:b/>
                <w:sz w:val="20"/>
                <w:szCs w:val="20"/>
                <w:lang w:val="fr-FR"/>
              </w:rPr>
            </w:pPr>
            <w:r w:rsidRPr="002923C2">
              <w:rPr>
                <w:b/>
                <w:sz w:val="20"/>
                <w:szCs w:val="20"/>
                <w:lang w:val="fr-FR"/>
              </w:rPr>
              <w:t>Objectif</w:t>
            </w:r>
            <w:r w:rsidR="00B15943" w:rsidRPr="001D40C8">
              <w:rPr>
                <w:b/>
                <w:sz w:val="20"/>
                <w:szCs w:val="20"/>
                <w:lang w:val="fr-FR"/>
              </w:rPr>
              <w:t xml:space="preserve"> 11</w:t>
            </w:r>
          </w:p>
        </w:tc>
        <w:tc>
          <w:tcPr>
            <w:tcW w:w="8305" w:type="dxa"/>
          </w:tcPr>
          <w:p w14:paraId="4C9720AB" w14:textId="77777777" w:rsidR="002923C2" w:rsidRPr="004C5D74" w:rsidRDefault="002923C2" w:rsidP="002923C2">
            <w:pPr>
              <w:spacing w:before="120"/>
              <w:ind w:right="-88"/>
              <w:jc w:val="both"/>
              <w:rPr>
                <w:sz w:val="20"/>
                <w:szCs w:val="20"/>
                <w:lang w:val="fr-FR"/>
              </w:rPr>
            </w:pPr>
            <w:r w:rsidRPr="004C5D74">
              <w:rPr>
                <w:sz w:val="20"/>
                <w:szCs w:val="20"/>
                <w:lang w:val="fr-FR"/>
              </w:rPr>
              <w:t>Objectif 14 d’Aichi : 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p w14:paraId="7ADA143F" w14:textId="5CCD2366" w:rsidR="00B15943" w:rsidRPr="006124BC" w:rsidRDefault="002923C2" w:rsidP="002923C2">
            <w:pPr>
              <w:spacing w:before="120"/>
              <w:ind w:right="-88"/>
              <w:jc w:val="both"/>
              <w:rPr>
                <w:sz w:val="20"/>
                <w:szCs w:val="20"/>
                <w:lang w:val="fr-FR"/>
              </w:rPr>
            </w:pPr>
            <w:r w:rsidRPr="004C5D74">
              <w:rPr>
                <w:sz w:val="20"/>
                <w:szCs w:val="20"/>
                <w:lang w:val="fr-FR"/>
              </w:rPr>
              <w:t>Objectif 15 d’Aichi : D’ici à 2020, la résilience des écosystèmes et la contribution de la diversité biologique aux stocks de carbone sont améliorées, grâce aux mesures de conservation et restauration, y compris la restauration d’au moins 15</w:t>
            </w:r>
            <w:r>
              <w:rPr>
                <w:sz w:val="20"/>
                <w:szCs w:val="20"/>
                <w:lang w:val="fr-FR"/>
              </w:rPr>
              <w:t> </w:t>
            </w:r>
            <w:r w:rsidRPr="004C5D74">
              <w:rPr>
                <w:sz w:val="20"/>
                <w:szCs w:val="20"/>
                <w:lang w:val="fr-FR"/>
              </w:rPr>
              <w:t>% des écosystèmes dégradés, contribuant ainsi à l’atténuation des changements climatiques et l’adaptation à ceux-ci, ainsi qu’à la lutte contre la désertification.</w:t>
            </w:r>
          </w:p>
        </w:tc>
      </w:tr>
      <w:tr w:rsidR="00B15943" w:rsidRPr="00591DCA" w14:paraId="3D7EB0A3" w14:textId="77777777" w:rsidTr="00095940">
        <w:tc>
          <w:tcPr>
            <w:tcW w:w="1080" w:type="dxa"/>
          </w:tcPr>
          <w:p w14:paraId="27BED354" w14:textId="48641BD4"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12</w:t>
            </w:r>
          </w:p>
        </w:tc>
        <w:tc>
          <w:tcPr>
            <w:tcW w:w="8305" w:type="dxa"/>
          </w:tcPr>
          <w:p w14:paraId="5EBE16D4" w14:textId="76227B06" w:rsidR="00B15943" w:rsidRPr="006124BC" w:rsidRDefault="002923C2" w:rsidP="003C5848">
            <w:pPr>
              <w:spacing w:before="120"/>
              <w:jc w:val="both"/>
              <w:rPr>
                <w:sz w:val="20"/>
                <w:szCs w:val="20"/>
                <w:lang w:val="fr-FR"/>
              </w:rPr>
            </w:pPr>
            <w:r w:rsidRPr="004C5D74">
              <w:rPr>
                <w:bCs/>
                <w:sz w:val="20"/>
                <w:szCs w:val="20"/>
                <w:lang w:val="fr-FR"/>
              </w:rPr>
              <w:t>Objectif 13 d’Aichi : 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r w:rsidRPr="004C5D74">
              <w:rPr>
                <w:sz w:val="20"/>
                <w:szCs w:val="20"/>
                <w:lang w:val="fr-FR"/>
              </w:rPr>
              <w:t>.</w:t>
            </w:r>
          </w:p>
        </w:tc>
      </w:tr>
      <w:tr w:rsidR="00B15943" w:rsidRPr="00591DCA" w14:paraId="67651968" w14:textId="77777777" w:rsidTr="00095940">
        <w:tc>
          <w:tcPr>
            <w:tcW w:w="1080" w:type="dxa"/>
          </w:tcPr>
          <w:p w14:paraId="404B2D17" w14:textId="7E4ED132"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13</w:t>
            </w:r>
          </w:p>
        </w:tc>
        <w:tc>
          <w:tcPr>
            <w:tcW w:w="8305" w:type="dxa"/>
          </w:tcPr>
          <w:p w14:paraId="1F0D96F6" w14:textId="18C17CC2" w:rsidR="00B15943" w:rsidRPr="006124BC" w:rsidRDefault="002923C2" w:rsidP="003C5848">
            <w:pPr>
              <w:spacing w:before="120"/>
              <w:ind w:right="-88"/>
              <w:jc w:val="both"/>
              <w:rPr>
                <w:sz w:val="20"/>
                <w:szCs w:val="20"/>
                <w:lang w:val="fr-FR"/>
              </w:rPr>
            </w:pPr>
            <w:r w:rsidRPr="004C5D74">
              <w:rPr>
                <w:bCs/>
                <w:sz w:val="20"/>
                <w:szCs w:val="20"/>
                <w:lang w:val="fr-FR"/>
              </w:rPr>
              <w:t>Objectif 17 d’Aichi : D’ici à 2015, toutes les Parties ont élaboré et adopté en tant qu’instrument de politique générale, et commencé à mettre en œuvre une stratégie et un plan d’action nationaux efficaces, participatifs et actualisés pour la diversité biologique.</w:t>
            </w:r>
          </w:p>
        </w:tc>
      </w:tr>
      <w:tr w:rsidR="00B15943" w:rsidRPr="00591DCA" w14:paraId="7BCF7268" w14:textId="77777777" w:rsidTr="00095940">
        <w:tc>
          <w:tcPr>
            <w:tcW w:w="1080" w:type="dxa"/>
          </w:tcPr>
          <w:p w14:paraId="2C8C93E8" w14:textId="2B896E14"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14</w:t>
            </w:r>
          </w:p>
        </w:tc>
        <w:tc>
          <w:tcPr>
            <w:tcW w:w="8305" w:type="dxa"/>
          </w:tcPr>
          <w:p w14:paraId="2812FF0E" w14:textId="580F407E" w:rsidR="00B15943" w:rsidRPr="006124BC" w:rsidRDefault="002923C2" w:rsidP="003C5848">
            <w:pPr>
              <w:spacing w:before="120"/>
              <w:ind w:right="-88"/>
              <w:jc w:val="both"/>
              <w:rPr>
                <w:sz w:val="20"/>
                <w:szCs w:val="20"/>
                <w:lang w:val="fr-FR"/>
              </w:rPr>
            </w:pPr>
            <w:r w:rsidRPr="004C5D74">
              <w:rPr>
                <w:sz w:val="20"/>
                <w:szCs w:val="20"/>
                <w:lang w:val="fr-FR"/>
              </w:rPr>
              <w:t>Liens avec l’</w:t>
            </w:r>
            <w:r w:rsidRPr="004C5D74">
              <w:rPr>
                <w:bCs/>
                <w:sz w:val="20"/>
                <w:szCs w:val="20"/>
                <w:lang w:val="fr-FR"/>
              </w:rPr>
              <w:t>Objectif 18 d’Aichi : 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r w:rsidRPr="004C5D74">
              <w:rPr>
                <w:sz w:val="20"/>
                <w:szCs w:val="20"/>
                <w:lang w:val="fr-FR"/>
              </w:rPr>
              <w:t>.</w:t>
            </w:r>
          </w:p>
        </w:tc>
      </w:tr>
      <w:tr w:rsidR="00B15943" w:rsidRPr="00591DCA" w14:paraId="0166D11F" w14:textId="77777777" w:rsidTr="00095940">
        <w:tc>
          <w:tcPr>
            <w:tcW w:w="1080" w:type="dxa"/>
          </w:tcPr>
          <w:p w14:paraId="6064F411" w14:textId="37463A51"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15</w:t>
            </w:r>
          </w:p>
        </w:tc>
        <w:tc>
          <w:tcPr>
            <w:tcW w:w="8305" w:type="dxa"/>
          </w:tcPr>
          <w:p w14:paraId="1BF42CC9" w14:textId="5B84F899" w:rsidR="00B15943" w:rsidRPr="006124BC" w:rsidRDefault="002923C2" w:rsidP="003C5848">
            <w:pPr>
              <w:spacing w:before="120"/>
              <w:ind w:right="-88"/>
              <w:jc w:val="both"/>
              <w:rPr>
                <w:sz w:val="20"/>
                <w:szCs w:val="20"/>
                <w:lang w:val="fr-FR"/>
              </w:rPr>
            </w:pPr>
            <w:r w:rsidRPr="004C5D74">
              <w:rPr>
                <w:bCs/>
                <w:sz w:val="20"/>
                <w:szCs w:val="20"/>
                <w:lang w:val="fr-FR"/>
              </w:rPr>
              <w:t>Objectif 19 d’Aichi : 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r w:rsidRPr="004C5D74">
              <w:rPr>
                <w:sz w:val="20"/>
                <w:szCs w:val="20"/>
                <w:lang w:val="fr-FR"/>
              </w:rPr>
              <w:t>.</w:t>
            </w:r>
          </w:p>
        </w:tc>
      </w:tr>
      <w:tr w:rsidR="00B15943" w:rsidRPr="00591DCA" w14:paraId="036D3B83" w14:textId="77777777" w:rsidTr="00095940">
        <w:tc>
          <w:tcPr>
            <w:tcW w:w="1080" w:type="dxa"/>
          </w:tcPr>
          <w:p w14:paraId="60714B48" w14:textId="7F5E2B6B" w:rsidR="00B15943" w:rsidRPr="001D40C8" w:rsidRDefault="002923C2" w:rsidP="003C5848">
            <w:pPr>
              <w:spacing w:before="120"/>
              <w:ind w:right="-88"/>
              <w:jc w:val="both"/>
              <w:rPr>
                <w:b/>
                <w:sz w:val="20"/>
                <w:szCs w:val="20"/>
                <w:lang w:val="fr-FR"/>
              </w:rPr>
            </w:pPr>
            <w:r w:rsidRPr="002923C2">
              <w:rPr>
                <w:b/>
                <w:sz w:val="20"/>
                <w:szCs w:val="20"/>
                <w:lang w:val="fr-FR"/>
              </w:rPr>
              <w:t>Objectif</w:t>
            </w:r>
            <w:r w:rsidR="00B15943" w:rsidRPr="001D40C8">
              <w:rPr>
                <w:b/>
                <w:sz w:val="20"/>
                <w:szCs w:val="20"/>
                <w:lang w:val="fr-FR"/>
              </w:rPr>
              <w:t xml:space="preserve"> 16</w:t>
            </w:r>
          </w:p>
        </w:tc>
        <w:tc>
          <w:tcPr>
            <w:tcW w:w="8305" w:type="dxa"/>
          </w:tcPr>
          <w:p w14:paraId="6C410937" w14:textId="77777777" w:rsidR="002923C2" w:rsidRPr="004C5D74" w:rsidRDefault="002923C2" w:rsidP="002923C2">
            <w:pPr>
              <w:spacing w:before="120"/>
              <w:ind w:right="-88"/>
              <w:jc w:val="both"/>
              <w:rPr>
                <w:sz w:val="20"/>
                <w:szCs w:val="20"/>
                <w:lang w:val="fr-FR"/>
              </w:rPr>
            </w:pPr>
            <w:r w:rsidRPr="004C5D74">
              <w:rPr>
                <w:sz w:val="20"/>
                <w:szCs w:val="20"/>
                <w:lang w:val="fr-FR"/>
              </w:rPr>
              <w:t xml:space="preserve">Objectif 20 d’Aichi : 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w:t>
            </w:r>
          </w:p>
          <w:p w14:paraId="489E7EA4" w14:textId="160B709A" w:rsidR="00B15943" w:rsidRPr="006124BC" w:rsidRDefault="002923C2" w:rsidP="002923C2">
            <w:pPr>
              <w:spacing w:before="120"/>
              <w:ind w:right="-88"/>
              <w:jc w:val="both"/>
              <w:rPr>
                <w:sz w:val="20"/>
                <w:szCs w:val="20"/>
                <w:lang w:val="fr-FR"/>
              </w:rPr>
            </w:pPr>
            <w:r w:rsidRPr="004C5D74">
              <w:rPr>
                <w:sz w:val="20"/>
                <w:szCs w:val="20"/>
                <w:lang w:val="fr-FR"/>
              </w:rPr>
              <w:t>Stratégie de mobilisation des ressources de la CDB (Décision IX/11 de la COP 9) et Objectif de mobilisation des ressources (Paragraphe 7 de la décision XI/4 de la COP 11) : « </w:t>
            </w:r>
            <w:r w:rsidRPr="004C5D74">
              <w:rPr>
                <w:i/>
                <w:sz w:val="20"/>
                <w:szCs w:val="20"/>
                <w:lang w:val="fr-FR"/>
              </w:rPr>
              <w:t>Doubler, d’ici à 2015, le soutien financier international global destiné à la diversité biologique des pays en développement, plus particulièrement les pays les moins avancés et les petits États insulaires, ainsi que les pays à économie en transition, et le maintenir au moins à ce niveau jusqu’en 2020, conformément à l’article 20 de la Convention, afin de contribuer à la réalisation des trois objectifs de la Convention grâce à l’accord de la priorité, par les pays bénéficiaires, à la diversité biologique dans leurs plans de développement, en se fondant sur la valeur de référence préliminaire dont il est question au paragraphe 6</w:t>
            </w:r>
            <w:r w:rsidRPr="004C5D74">
              <w:rPr>
                <w:sz w:val="20"/>
                <w:szCs w:val="20"/>
                <w:lang w:val="fr-FR"/>
              </w:rPr>
              <w:t>. »</w:t>
            </w:r>
          </w:p>
        </w:tc>
      </w:tr>
    </w:tbl>
    <w:p w14:paraId="1090D394" w14:textId="77777777" w:rsidR="00B15943" w:rsidRPr="006124BC" w:rsidRDefault="00B15943" w:rsidP="003C5848">
      <w:pPr>
        <w:jc w:val="both"/>
        <w:rPr>
          <w:lang w:val="fr-FR"/>
        </w:rPr>
      </w:pPr>
    </w:p>
    <w:p w14:paraId="1F119714" w14:textId="77777777" w:rsidR="00B15943" w:rsidRPr="006124BC" w:rsidRDefault="00B15943" w:rsidP="003C5848">
      <w:pPr>
        <w:spacing w:before="40"/>
        <w:ind w:right="-86"/>
        <w:jc w:val="both"/>
        <w:rPr>
          <w:rFonts w:cs="Arial"/>
          <w:sz w:val="2"/>
          <w:szCs w:val="2"/>
          <w:lang w:val="fr-FR"/>
        </w:rPr>
      </w:pPr>
      <w:r w:rsidRPr="006124BC">
        <w:rPr>
          <w:lang w:val="fr-FR"/>
        </w:rPr>
        <w:br w:type="page"/>
      </w:r>
    </w:p>
    <w:tbl>
      <w:tblPr>
        <w:tblW w:w="9639" w:type="dxa"/>
        <w:tblBorders>
          <w:bottom w:val="single" w:sz="4" w:space="0" w:color="auto"/>
        </w:tblBorders>
        <w:shd w:val="clear" w:color="auto" w:fill="D9D9D9" w:themeFill="background1" w:themeFillShade="D9"/>
        <w:tblLook w:val="01E0" w:firstRow="1" w:lastRow="1" w:firstColumn="1" w:lastColumn="1" w:noHBand="0" w:noVBand="0"/>
      </w:tblPr>
      <w:tblGrid>
        <w:gridCol w:w="9639"/>
      </w:tblGrid>
      <w:tr w:rsidR="00B15943" w:rsidRPr="00591DCA" w14:paraId="52E631E7" w14:textId="77777777" w:rsidTr="00095940">
        <w:tc>
          <w:tcPr>
            <w:tcW w:w="9639" w:type="dxa"/>
            <w:tcBorders>
              <w:bottom w:val="single" w:sz="4" w:space="0" w:color="auto"/>
            </w:tcBorders>
            <w:shd w:val="clear" w:color="auto" w:fill="D9D9D9" w:themeFill="background1" w:themeFillShade="D9"/>
          </w:tcPr>
          <w:p w14:paraId="00DDAA98" w14:textId="7F23EA72" w:rsidR="00B15943" w:rsidRPr="00B907CE" w:rsidRDefault="00B15943" w:rsidP="00B907CE">
            <w:pPr>
              <w:widowControl/>
              <w:jc w:val="both"/>
              <w:rPr>
                <w:rFonts w:eastAsia="MS Mincho"/>
                <w:b/>
                <w:color w:val="002060"/>
                <w:sz w:val="30"/>
                <w:szCs w:val="30"/>
                <w:highlight w:val="yellow"/>
                <w:u w:val="single"/>
                <w:lang w:val="fr-FR"/>
              </w:rPr>
            </w:pPr>
            <w:r w:rsidRPr="00720B4C">
              <w:rPr>
                <w:color w:val="0000FF"/>
                <w:sz w:val="22"/>
                <w:szCs w:val="22"/>
                <w:lang w:val="fr-FR"/>
              </w:rPr>
              <w:lastRenderedPageBreak/>
              <w:br w:type="page"/>
            </w:r>
            <w:r w:rsidRPr="00720B4C">
              <w:rPr>
                <w:b/>
                <w:color w:val="000080"/>
                <w:sz w:val="30"/>
                <w:szCs w:val="30"/>
                <w:lang w:val="fr-FR"/>
              </w:rPr>
              <w:br w:type="page"/>
            </w:r>
            <w:r w:rsidRPr="00720B4C">
              <w:rPr>
                <w:rFonts w:eastAsia="MS Mincho"/>
                <w:b/>
                <w:color w:val="000080"/>
                <w:sz w:val="30"/>
                <w:szCs w:val="30"/>
                <w:lang w:val="fr-FR"/>
              </w:rPr>
              <w:br w:type="page"/>
            </w:r>
            <w:r w:rsidR="00EC272B" w:rsidRPr="00DF69A9">
              <w:rPr>
                <w:rFonts w:eastAsia="MS Mincho"/>
                <w:b/>
                <w:color w:val="000080"/>
                <w:sz w:val="30"/>
                <w:szCs w:val="30"/>
                <w:lang w:val="fr-FR"/>
              </w:rPr>
              <w:t>Annexe B</w:t>
            </w:r>
            <w:r w:rsidRPr="001D40C8">
              <w:rPr>
                <w:rFonts w:eastAsia="MS Mincho"/>
                <w:b/>
                <w:color w:val="000080"/>
                <w:sz w:val="30"/>
                <w:szCs w:val="30"/>
                <w:lang w:val="fr-FR"/>
              </w:rPr>
              <w:t xml:space="preserve">.  </w:t>
            </w:r>
            <w:r w:rsidR="00EC272B" w:rsidRPr="00EC272B">
              <w:rPr>
                <w:rFonts w:eastAsia="MS Mincho"/>
                <w:b/>
                <w:strike/>
                <w:color w:val="000080"/>
                <w:sz w:val="30"/>
                <w:szCs w:val="30"/>
                <w:lang w:val="fr-FR"/>
              </w:rPr>
              <w:t>Proposition d’indicateurs du Plan stratégique</w:t>
            </w:r>
            <w:r w:rsidR="00EC272B" w:rsidRPr="00EC272B">
              <w:rPr>
                <w:rFonts w:eastAsia="MS Mincho"/>
                <w:b/>
                <w:strike/>
                <w:color w:val="000080"/>
                <w:sz w:val="30"/>
                <w:szCs w:val="30"/>
                <w:highlight w:val="yellow"/>
                <w:lang w:val="fr-FR"/>
              </w:rPr>
              <w:t xml:space="preserve"> </w:t>
            </w:r>
            <w:r w:rsidR="00B907CE" w:rsidRPr="0031003F">
              <w:rPr>
                <w:rFonts w:eastAsia="MS Mincho"/>
                <w:b/>
                <w:color w:val="002060"/>
                <w:sz w:val="30"/>
                <w:szCs w:val="30"/>
                <w:u w:val="single"/>
                <w:lang w:val="fr-FR"/>
              </w:rPr>
              <w:t>Indicateurs détaillés du Plan stratégique pour les espèces migratrices</w:t>
            </w:r>
          </w:p>
        </w:tc>
      </w:tr>
    </w:tbl>
    <w:p w14:paraId="64155CF5" w14:textId="77777777" w:rsidR="00B15943" w:rsidRPr="001D40C8" w:rsidRDefault="00B15943" w:rsidP="00B15943">
      <w:pPr>
        <w:rPr>
          <w:b/>
          <w:lang w:val="fr-FR"/>
        </w:rPr>
      </w:pPr>
    </w:p>
    <w:p w14:paraId="23C7A6D8" w14:textId="77777777" w:rsidR="00D03279" w:rsidRPr="00DF69A9" w:rsidRDefault="00D03279" w:rsidP="00D03279">
      <w:pPr>
        <w:spacing w:before="120"/>
        <w:jc w:val="both"/>
        <w:rPr>
          <w:rFonts w:eastAsia="MS Mincho"/>
          <w:sz w:val="22"/>
          <w:lang w:val="fr-FR"/>
        </w:rPr>
      </w:pPr>
      <w:r w:rsidRPr="00DF69A9">
        <w:rPr>
          <w:rFonts w:eastAsia="MS Mincho"/>
          <w:sz w:val="22"/>
          <w:lang w:val="fr-FR"/>
        </w:rPr>
        <w:t>Une partie centrale du système de suivi et d’évaluation du Plan stratégique pour les espèces migratrices consiste en une série d’indicateurs fondamentaux, utilisés pour mesurer les progrès accomplis dans la réalisation des buts et des objectifs du Plan stratégique. Le choix de mesures appropriées pour ces indicateurs n’implique pas seulement d’identifier les questions pour lesquelles des données peuvent être générées, mais il s’agit aussi de réfléchir attentivement à la capacité, en fin de compte, de générer des « scénarios » adéquats sur le succès ou non du Plan, en termes de véritables résultats stratégiques et d’impacts réels sur les espèces migratrices, plutôt que de se contenter d’avoir des indicateurs de mise en œuvre des processus.</w:t>
      </w:r>
    </w:p>
    <w:p w14:paraId="126CD84B" w14:textId="77777777" w:rsidR="00EC272B" w:rsidRPr="00A72204" w:rsidRDefault="00EC272B" w:rsidP="00EC272B">
      <w:pPr>
        <w:spacing w:before="120"/>
        <w:jc w:val="both"/>
        <w:rPr>
          <w:rFonts w:eastAsia="MS Mincho"/>
          <w:strike/>
          <w:sz w:val="22"/>
          <w:lang w:val="fr-FR"/>
        </w:rPr>
      </w:pPr>
      <w:r w:rsidRPr="00A72204">
        <w:rPr>
          <w:rFonts w:eastAsia="MS Mincho"/>
          <w:strike/>
          <w:sz w:val="22"/>
          <w:lang w:val="fr-FR"/>
        </w:rPr>
        <w:t>Puisque le Plan stratégique pour les espèces migratrices s’est appuyé sur les Objectifs d’Aichi contenus dans le Plan stratégique pour la diversité biologique, les indicateurs qui ont été définis à l’appui de ces objectifs ont fourni une grande partie des mesures identifiées dans le présent Plan stratégique.</w:t>
      </w:r>
    </w:p>
    <w:p w14:paraId="74B27E60" w14:textId="77777777" w:rsidR="00EC272B" w:rsidRPr="00A72204" w:rsidRDefault="00EC272B" w:rsidP="00EC272B">
      <w:pPr>
        <w:spacing w:before="120"/>
        <w:jc w:val="both"/>
        <w:rPr>
          <w:rFonts w:eastAsia="MS Mincho"/>
          <w:strike/>
          <w:sz w:val="22"/>
          <w:lang w:val="fr-FR"/>
        </w:rPr>
      </w:pPr>
      <w:r w:rsidRPr="00A72204">
        <w:rPr>
          <w:rFonts w:eastAsia="MS Mincho"/>
          <w:strike/>
          <w:sz w:val="22"/>
          <w:lang w:val="fr-FR"/>
        </w:rPr>
        <w:t>Une source principale d’indicateurs a été la série d’indicateurs définis en 2011 par le Groupe de travail spécial d’experts techniques (GSET) au titre de la Convention sur la diversité biologique, et adoptés par la suite dans l’annexe à la décision XI/3 de la Conférence des Parties à la CDB (octobre 2012). Le GSET a élaboré 12 indicateurs fondamentaux, chacun d’entre eux étant généralement relié à plusieurs Objectifs d’Aichi. À un niveau plus spécifique, le GSET a aussi élaboré 97 indicateurs opérationnels, chacun d’entre eux étant relié à l</w:t>
      </w:r>
      <w:proofErr w:type="gramStart"/>
      <w:r w:rsidRPr="00A72204">
        <w:rPr>
          <w:rFonts w:eastAsia="MS Mincho"/>
          <w:strike/>
          <w:sz w:val="22"/>
          <w:lang w:val="fr-FR"/>
        </w:rPr>
        <w:t>’«</w:t>
      </w:r>
      <w:proofErr w:type="gramEnd"/>
      <w:r w:rsidRPr="00A72204">
        <w:rPr>
          <w:rFonts w:eastAsia="MS Mincho"/>
          <w:strike/>
          <w:sz w:val="22"/>
          <w:lang w:val="fr-FR"/>
        </w:rPr>
        <w:t> Objectif d’Aichi le plus pertinent ».</w:t>
      </w:r>
    </w:p>
    <w:p w14:paraId="7EA70D80" w14:textId="77777777" w:rsidR="00EC272B" w:rsidRPr="00A72204" w:rsidRDefault="00EC272B" w:rsidP="00EC272B">
      <w:pPr>
        <w:spacing w:before="120"/>
        <w:jc w:val="both"/>
        <w:rPr>
          <w:rFonts w:eastAsia="MS Mincho"/>
          <w:strike/>
          <w:sz w:val="22"/>
          <w:lang w:val="fr-FR"/>
        </w:rPr>
      </w:pPr>
      <w:r w:rsidRPr="00A72204">
        <w:rPr>
          <w:rFonts w:eastAsia="MS Mincho"/>
          <w:strike/>
          <w:sz w:val="22"/>
          <w:lang w:val="fr-FR"/>
        </w:rPr>
        <w:t xml:space="preserve">En parallèle à ce processus, le Partenariat mondial sur les indicateurs de biodiversité (BIP - </w:t>
      </w:r>
      <w:proofErr w:type="spellStart"/>
      <w:r w:rsidRPr="00A72204">
        <w:rPr>
          <w:rFonts w:eastAsia="MS Mincho"/>
          <w:i/>
          <w:strike/>
          <w:sz w:val="22"/>
          <w:lang w:val="fr-FR"/>
        </w:rPr>
        <w:t>Biodiversity</w:t>
      </w:r>
      <w:proofErr w:type="spellEnd"/>
      <w:r w:rsidRPr="00A72204">
        <w:rPr>
          <w:rFonts w:eastAsia="MS Mincho"/>
          <w:i/>
          <w:strike/>
          <w:sz w:val="22"/>
          <w:lang w:val="fr-FR"/>
        </w:rPr>
        <w:t xml:space="preserve"> </w:t>
      </w:r>
      <w:proofErr w:type="spellStart"/>
      <w:r w:rsidRPr="00A72204">
        <w:rPr>
          <w:rFonts w:eastAsia="MS Mincho"/>
          <w:i/>
          <w:strike/>
          <w:sz w:val="22"/>
          <w:lang w:val="fr-FR"/>
        </w:rPr>
        <w:t>Indicators</w:t>
      </w:r>
      <w:proofErr w:type="spellEnd"/>
      <w:r w:rsidRPr="00A72204">
        <w:rPr>
          <w:rFonts w:eastAsia="MS Mincho"/>
          <w:i/>
          <w:strike/>
          <w:sz w:val="22"/>
          <w:lang w:val="fr-FR"/>
        </w:rPr>
        <w:t xml:space="preserve"> </w:t>
      </w:r>
      <w:proofErr w:type="spellStart"/>
      <w:r w:rsidRPr="00A72204">
        <w:rPr>
          <w:rFonts w:eastAsia="MS Mincho"/>
          <w:i/>
          <w:strike/>
          <w:sz w:val="22"/>
          <w:lang w:val="fr-FR"/>
        </w:rPr>
        <w:t>Partnership</w:t>
      </w:r>
      <w:proofErr w:type="spellEnd"/>
      <w:r w:rsidRPr="00A72204">
        <w:rPr>
          <w:rFonts w:eastAsia="MS Mincho"/>
          <w:strike/>
          <w:sz w:val="22"/>
          <w:lang w:val="fr-FR"/>
        </w:rPr>
        <w:t>) a classé sa liste d’indicateurs au regard des Objectifs d’Aichi. Au moment de l’adoption du présent Plan stratégique, il y avait 45 indicateurs BIP.</w:t>
      </w:r>
    </w:p>
    <w:p w14:paraId="69BDE59A" w14:textId="77777777" w:rsidR="00EC272B" w:rsidRPr="00A72204" w:rsidRDefault="00EC272B" w:rsidP="00EC272B">
      <w:pPr>
        <w:spacing w:before="120"/>
        <w:jc w:val="both"/>
        <w:rPr>
          <w:strike/>
          <w:sz w:val="22"/>
          <w:lang w:val="fr-FR"/>
        </w:rPr>
      </w:pPr>
      <w:r w:rsidRPr="00A72204">
        <w:rPr>
          <w:rFonts w:eastAsia="MS Mincho"/>
          <w:strike/>
          <w:sz w:val="22"/>
          <w:lang w:val="fr-FR"/>
        </w:rPr>
        <w:t>Deux des objectifs du Plan stratégique pour les espèces migratrices (l’objectif 3 sur la gouvernance et objectif 9 sur l’approche des systèmes migratoires) n’ont aucun Objectif d’Aichi correspondant, de même, certaines questions vont un peu au-delà des systèmes d’indicateurs de biodiversité existants, comme les réseaux écologiques et les facteurs qui influencent le processus de migration. Pour le reste, il n’est pas vraiment nécessaire de définir de nouveaux thèmes pour les indicateurs, et les indicateurs énumérés ci-après (et décrits plus en détail dans le guide d’accompagnement de la mise en œuvre) sont basés sur des liens établis entre des indicateurs opérationnels du GSET et des indicateurs BIP, et chaque objectif du Plan stratégique pour les espèces migratrices, selon leur lien avec les Objectifs d’Aichi correspondants. D’autres travaux seront requis pour effectuer une « dissociation des espèces migratrices » au sein des indicateurs de biodiversité pertinents en vigueur ou déjà proposés et, dans la plupart des cas, pour rendre opérationnelle cette dissociation.</w:t>
      </w:r>
    </w:p>
    <w:p w14:paraId="351E39C2" w14:textId="77777777" w:rsidR="00EC272B" w:rsidRPr="00A72204" w:rsidRDefault="00EC272B" w:rsidP="00EC272B">
      <w:pPr>
        <w:spacing w:before="120"/>
        <w:jc w:val="both"/>
        <w:rPr>
          <w:strike/>
          <w:sz w:val="22"/>
          <w:lang w:val="fr-FR"/>
        </w:rPr>
      </w:pPr>
      <w:r w:rsidRPr="00A72204">
        <w:rPr>
          <w:strike/>
          <w:sz w:val="22"/>
          <w:lang w:val="fr-FR"/>
        </w:rPr>
        <w:t>La liste indicative ci-après énumère un choix prioritaire d’indicateurs fondamentaux qui pourraient être utilisés (après une élaboration plus poussée, le cas échéant), pour assurer un suivi des progrès accomplis dans la réalisation des objectifs du Plan stratégique pour les espèces migratrices.</w:t>
      </w:r>
    </w:p>
    <w:p w14:paraId="639AA822" w14:textId="453A04E7" w:rsidR="00C746AD" w:rsidRDefault="00C746AD" w:rsidP="00EC272B">
      <w:pPr>
        <w:rPr>
          <w:strike/>
          <w:sz w:val="22"/>
          <w:lang w:val="fr-FR"/>
        </w:rPr>
      </w:pPr>
      <w:r>
        <w:rPr>
          <w:strike/>
          <w:sz w:val="22"/>
          <w:lang w:val="fr-FR"/>
        </w:rPr>
        <w:br w:type="page"/>
      </w:r>
    </w:p>
    <w:p w14:paraId="5DDAE83C" w14:textId="77777777" w:rsidR="00EC272B" w:rsidRPr="00A72204" w:rsidRDefault="00EC272B" w:rsidP="00EC272B">
      <w:pPr>
        <w:rPr>
          <w:strike/>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EC272B" w:rsidRPr="00A72204" w14:paraId="041D2CA3" w14:textId="77777777" w:rsidTr="006124BC">
        <w:trPr>
          <w:cantSplit/>
          <w:tblHeader/>
        </w:trPr>
        <w:tc>
          <w:tcPr>
            <w:tcW w:w="1717" w:type="dxa"/>
          </w:tcPr>
          <w:p w14:paraId="3F310654" w14:textId="77777777" w:rsidR="00EC272B" w:rsidRPr="00A72204" w:rsidRDefault="00EC272B" w:rsidP="006124BC">
            <w:pPr>
              <w:spacing w:before="120"/>
              <w:rPr>
                <w:b/>
                <w:strike/>
                <w:sz w:val="22"/>
                <w:lang w:val="fr-FR"/>
              </w:rPr>
            </w:pPr>
            <w:r w:rsidRPr="00A72204">
              <w:rPr>
                <w:b/>
                <w:strike/>
                <w:sz w:val="22"/>
                <w:lang w:val="fr-FR"/>
              </w:rPr>
              <w:t xml:space="preserve">Objectifs du Plan stratégique pour les espèces migratrices </w:t>
            </w:r>
          </w:p>
        </w:tc>
        <w:tc>
          <w:tcPr>
            <w:tcW w:w="6811" w:type="dxa"/>
          </w:tcPr>
          <w:p w14:paraId="56CCA685" w14:textId="77777777" w:rsidR="00EC272B" w:rsidRPr="00A72204" w:rsidRDefault="00EC272B" w:rsidP="006124BC">
            <w:pPr>
              <w:spacing w:before="120"/>
              <w:rPr>
                <w:b/>
                <w:strike/>
                <w:sz w:val="22"/>
                <w:lang w:val="fr-FR"/>
              </w:rPr>
            </w:pPr>
            <w:r w:rsidRPr="00A72204">
              <w:rPr>
                <w:b/>
                <w:strike/>
                <w:sz w:val="22"/>
                <w:lang w:val="fr-FR"/>
              </w:rPr>
              <w:t>Indicateurs fondamentaux</w:t>
            </w:r>
          </w:p>
        </w:tc>
      </w:tr>
      <w:tr w:rsidR="00EC272B" w:rsidRPr="00591DCA" w14:paraId="4D47DBB9" w14:textId="77777777" w:rsidTr="006124BC">
        <w:tc>
          <w:tcPr>
            <w:tcW w:w="1908" w:type="dxa"/>
          </w:tcPr>
          <w:p w14:paraId="6E462767" w14:textId="77777777" w:rsidR="00EC272B" w:rsidRPr="00A72204" w:rsidRDefault="00EC272B" w:rsidP="006124BC">
            <w:pPr>
              <w:spacing w:before="120"/>
              <w:rPr>
                <w:strike/>
                <w:sz w:val="22"/>
                <w:lang w:val="fr-FR"/>
              </w:rPr>
            </w:pPr>
            <w:r w:rsidRPr="00A72204">
              <w:rPr>
                <w:b/>
                <w:bCs/>
                <w:strike/>
                <w:sz w:val="22"/>
                <w:lang w:val="fr-FR"/>
              </w:rPr>
              <w:t>Objectif 1</w:t>
            </w:r>
          </w:p>
        </w:tc>
        <w:tc>
          <w:tcPr>
            <w:tcW w:w="7662" w:type="dxa"/>
          </w:tcPr>
          <w:p w14:paraId="1462917B"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2473E74A" w14:textId="77777777" w:rsidR="00EC272B" w:rsidRPr="00A72204" w:rsidRDefault="00EC272B" w:rsidP="006124BC">
            <w:pPr>
              <w:rPr>
                <w:strike/>
                <w:sz w:val="22"/>
                <w:lang w:val="fr-FR"/>
              </w:rPr>
            </w:pPr>
          </w:p>
          <w:p w14:paraId="0D7CBFED" w14:textId="77777777" w:rsidR="00EC272B" w:rsidRPr="00A72204" w:rsidRDefault="00EC272B" w:rsidP="00EC272B">
            <w:pPr>
              <w:pStyle w:val="ListParagraph"/>
              <w:numPr>
                <w:ilvl w:val="0"/>
                <w:numId w:val="23"/>
              </w:numPr>
              <w:rPr>
                <w:strike/>
                <w:lang w:val="fr-FR"/>
              </w:rPr>
            </w:pPr>
            <w:r w:rsidRPr="00A72204">
              <w:rPr>
                <w:strike/>
                <w:lang w:val="fr-FR"/>
              </w:rPr>
              <w:lastRenderedPageBreak/>
              <w:t>Niveaux d’engagement dans la Journée mondiale des oiseaux migrateurs et dans des événements similaires</w:t>
            </w:r>
            <w:r w:rsidRPr="00A72204">
              <w:rPr>
                <w:rFonts w:eastAsia="MS Mincho"/>
                <w:strike/>
                <w:lang w:val="fr-FR" w:eastAsia="ja-JP"/>
              </w:rPr>
              <w:t>.</w:t>
            </w:r>
          </w:p>
          <w:p w14:paraId="05DBA9DD" w14:textId="77777777" w:rsidR="00EC272B" w:rsidRPr="00A72204" w:rsidRDefault="00EC272B" w:rsidP="006124BC">
            <w:pPr>
              <w:rPr>
                <w:strike/>
                <w:sz w:val="22"/>
                <w:lang w:val="fr-FR"/>
              </w:rPr>
            </w:pPr>
          </w:p>
          <w:p w14:paraId="571030B1" w14:textId="77777777" w:rsidR="00EC272B" w:rsidRPr="00A72204" w:rsidRDefault="00EC272B" w:rsidP="006124BC">
            <w:pPr>
              <w:jc w:val="both"/>
              <w:rPr>
                <w:strike/>
                <w:sz w:val="22"/>
                <w:lang w:val="fr-FR"/>
              </w:rPr>
            </w:pPr>
            <w:r w:rsidRPr="00A72204">
              <w:rPr>
                <w:strike/>
                <w:sz w:val="22"/>
                <w:lang w:val="fr-FR"/>
              </w:rPr>
              <w:t>Cela pourrait mesurer le nombre d’événements déclarés ou le nombre de pays où se déroulent des événements actifs. Dans certains pays où un événement donné est répété de manière normalisée d’année en année, les données sur le nombre de participants ou sur la couverture médiatique peuvent également être disponibles.</w:t>
            </w:r>
          </w:p>
          <w:p w14:paraId="2328D2FD" w14:textId="77777777" w:rsidR="00EC272B" w:rsidRPr="00A72204" w:rsidRDefault="00EC272B" w:rsidP="006124BC">
            <w:pPr>
              <w:jc w:val="both"/>
              <w:rPr>
                <w:strike/>
                <w:sz w:val="22"/>
                <w:lang w:val="fr-FR"/>
              </w:rPr>
            </w:pPr>
          </w:p>
          <w:p w14:paraId="703301D5" w14:textId="77777777" w:rsidR="00EC272B" w:rsidRPr="00A72204" w:rsidRDefault="00EC272B" w:rsidP="006124BC">
            <w:pPr>
              <w:jc w:val="both"/>
              <w:rPr>
                <w:i/>
                <w:strike/>
                <w:sz w:val="22"/>
                <w:lang w:val="fr-FR"/>
              </w:rPr>
            </w:pPr>
            <w:r w:rsidRPr="00A72204">
              <w:rPr>
                <w:i/>
                <w:strike/>
                <w:sz w:val="22"/>
                <w:lang w:val="fr-FR"/>
              </w:rPr>
              <w:t>Pour une possible évolution future :</w:t>
            </w:r>
          </w:p>
          <w:p w14:paraId="6FDA44FB" w14:textId="77777777" w:rsidR="00EC272B" w:rsidRPr="00A72204" w:rsidRDefault="00EC272B" w:rsidP="006124BC">
            <w:pPr>
              <w:jc w:val="both"/>
              <w:rPr>
                <w:strike/>
                <w:sz w:val="22"/>
                <w:lang w:val="fr-FR"/>
              </w:rPr>
            </w:pPr>
          </w:p>
          <w:p w14:paraId="23955416" w14:textId="77777777" w:rsidR="00EC272B" w:rsidRPr="00A72204" w:rsidRDefault="00EC272B" w:rsidP="00EC272B">
            <w:pPr>
              <w:pStyle w:val="ListParagraph"/>
              <w:numPr>
                <w:ilvl w:val="0"/>
                <w:numId w:val="23"/>
              </w:numPr>
              <w:jc w:val="both"/>
              <w:rPr>
                <w:strike/>
                <w:lang w:val="fr-FR"/>
              </w:rPr>
            </w:pPr>
            <w:r w:rsidRPr="00A72204">
              <w:rPr>
                <w:rFonts w:eastAsia="MS Mincho"/>
                <w:strike/>
                <w:lang w:val="fr-FR" w:eastAsia="ja-JP"/>
              </w:rPr>
              <w:t xml:space="preserve">Tendances en matière de sensibilisation et d’attitudes à l’égard des espèces migratrices. </w:t>
            </w:r>
          </w:p>
          <w:p w14:paraId="32C7900F" w14:textId="77777777" w:rsidR="00EC272B" w:rsidRPr="00A72204" w:rsidRDefault="00EC272B" w:rsidP="006124BC">
            <w:pPr>
              <w:jc w:val="both"/>
              <w:rPr>
                <w:strike/>
                <w:sz w:val="22"/>
                <w:lang w:val="fr-FR"/>
              </w:rPr>
            </w:pPr>
          </w:p>
          <w:p w14:paraId="2CEE4E8A" w14:textId="77777777" w:rsidR="00EC272B" w:rsidRPr="00A72204" w:rsidRDefault="00EC272B" w:rsidP="006124BC">
            <w:pPr>
              <w:jc w:val="both"/>
              <w:rPr>
                <w:strike/>
                <w:sz w:val="22"/>
                <w:lang w:val="fr-FR"/>
              </w:rPr>
            </w:pPr>
            <w:r w:rsidRPr="00A72204">
              <w:rPr>
                <w:strike/>
                <w:sz w:val="22"/>
                <w:lang w:val="fr-FR"/>
              </w:rPr>
              <w:t xml:space="preserve">Ceci est basé sur l’un des indicateurs de la biodiversité du Groupe spécial d’experts techniques (GSET), bien que cet indicateur ne soit pas encore opérationnel. Il existe un « Baromètre de la biodiversité » parmi les indicateurs BIP, mais les données qui s’y rapportent ne seront pas utilisables pour les espèces migratrices, puisque le baromètre est basé sur un test portant sur le degré de conscience à l’égard de la définition du terme « biodiversité ». Le développement d’un nouvel indicateur serait donc nécessaire. Cela pourrait être examiné en lien avec la révision / le développement du Plan de communication et de sensibilisation de la CMS. </w:t>
            </w:r>
          </w:p>
        </w:tc>
      </w:tr>
      <w:tr w:rsidR="00EC272B" w:rsidRPr="00591DCA" w14:paraId="205583C2" w14:textId="77777777" w:rsidTr="006124BC">
        <w:tc>
          <w:tcPr>
            <w:tcW w:w="1908" w:type="dxa"/>
          </w:tcPr>
          <w:p w14:paraId="58C52F02" w14:textId="77777777" w:rsidR="00EC272B" w:rsidRPr="00A72204" w:rsidRDefault="00EC272B" w:rsidP="006124BC">
            <w:pPr>
              <w:spacing w:before="120"/>
              <w:rPr>
                <w:bCs/>
                <w:strike/>
                <w:sz w:val="22"/>
                <w:lang w:val="fr-FR"/>
              </w:rPr>
            </w:pPr>
            <w:r w:rsidRPr="00A72204">
              <w:rPr>
                <w:b/>
                <w:strike/>
                <w:sz w:val="22"/>
                <w:lang w:val="fr-FR"/>
              </w:rPr>
              <w:lastRenderedPageBreak/>
              <w:t>Objectif 2</w:t>
            </w:r>
            <w:r w:rsidRPr="00A72204">
              <w:rPr>
                <w:strike/>
                <w:sz w:val="22"/>
                <w:lang w:val="fr-FR"/>
              </w:rPr>
              <w:t xml:space="preserve"> </w:t>
            </w:r>
          </w:p>
          <w:p w14:paraId="1FA941A9" w14:textId="77777777" w:rsidR="00EC272B" w:rsidRPr="00A72204" w:rsidRDefault="00EC272B" w:rsidP="006124BC">
            <w:pPr>
              <w:rPr>
                <w:strike/>
                <w:sz w:val="22"/>
                <w:lang w:val="fr-FR"/>
              </w:rPr>
            </w:pPr>
          </w:p>
        </w:tc>
        <w:tc>
          <w:tcPr>
            <w:tcW w:w="7662" w:type="dxa"/>
          </w:tcPr>
          <w:p w14:paraId="3B48B362"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6F1678E9" w14:textId="77777777" w:rsidR="00EC272B" w:rsidRPr="00C746AD" w:rsidRDefault="00EC272B" w:rsidP="006124BC">
            <w:pPr>
              <w:rPr>
                <w:strike/>
                <w:sz w:val="12"/>
                <w:szCs w:val="12"/>
                <w:lang w:val="fr-FR"/>
              </w:rPr>
            </w:pPr>
          </w:p>
          <w:p w14:paraId="4C297955" w14:textId="77777777" w:rsidR="00EC272B" w:rsidRPr="00A72204" w:rsidRDefault="00EC272B" w:rsidP="00EC272B">
            <w:pPr>
              <w:pStyle w:val="ListParagraph"/>
              <w:numPr>
                <w:ilvl w:val="0"/>
                <w:numId w:val="23"/>
              </w:numPr>
              <w:rPr>
                <w:strike/>
                <w:lang w:val="fr-FR"/>
              </w:rPr>
            </w:pPr>
            <w:r w:rsidRPr="00A72204">
              <w:rPr>
                <w:strike/>
                <w:lang w:val="fr-FR"/>
              </w:rPr>
              <w:t xml:space="preserve">(Aucun) </w:t>
            </w:r>
          </w:p>
          <w:p w14:paraId="6E2080ED" w14:textId="77777777" w:rsidR="00EC272B" w:rsidRPr="00C746AD" w:rsidRDefault="00EC272B" w:rsidP="006124BC">
            <w:pPr>
              <w:rPr>
                <w:strike/>
                <w:sz w:val="12"/>
                <w:szCs w:val="12"/>
                <w:lang w:val="fr-FR"/>
              </w:rPr>
            </w:pPr>
          </w:p>
          <w:p w14:paraId="6FFEF623" w14:textId="77777777" w:rsidR="00EC272B" w:rsidRPr="00A72204" w:rsidRDefault="00EC272B" w:rsidP="006124BC">
            <w:pPr>
              <w:rPr>
                <w:i/>
                <w:strike/>
                <w:sz w:val="22"/>
                <w:lang w:val="fr-FR"/>
              </w:rPr>
            </w:pPr>
            <w:r w:rsidRPr="00A72204">
              <w:rPr>
                <w:i/>
                <w:strike/>
                <w:sz w:val="22"/>
                <w:lang w:val="fr-FR"/>
              </w:rPr>
              <w:t>Pour une possible évolution future :</w:t>
            </w:r>
          </w:p>
          <w:p w14:paraId="2335883D" w14:textId="77777777" w:rsidR="00EC272B" w:rsidRPr="00C746AD" w:rsidRDefault="00EC272B" w:rsidP="006124BC">
            <w:pPr>
              <w:rPr>
                <w:strike/>
                <w:sz w:val="12"/>
                <w:szCs w:val="12"/>
                <w:lang w:val="fr-FR"/>
              </w:rPr>
            </w:pPr>
          </w:p>
          <w:p w14:paraId="57B858D0" w14:textId="77777777" w:rsidR="00EC272B" w:rsidRPr="00A72204" w:rsidRDefault="00EC272B" w:rsidP="00EC272B">
            <w:pPr>
              <w:pStyle w:val="ListParagraph"/>
              <w:numPr>
                <w:ilvl w:val="0"/>
                <w:numId w:val="23"/>
              </w:numPr>
              <w:rPr>
                <w:rFonts w:eastAsia="MS Mincho"/>
                <w:strike/>
                <w:lang w:val="fr-FR" w:eastAsia="ja-JP"/>
              </w:rPr>
            </w:pPr>
            <w:r w:rsidRPr="00A72204">
              <w:rPr>
                <w:rFonts w:eastAsia="MS Mincho"/>
                <w:strike/>
                <w:lang w:val="fr-FR" w:eastAsia="ja-JP"/>
              </w:rPr>
              <w:t>Tendances en matière d’intégration des valeurs des espèces migratrices dans les politiques nationales et sectorielles.</w:t>
            </w:r>
          </w:p>
          <w:p w14:paraId="5633F66F" w14:textId="77777777" w:rsidR="00EC272B" w:rsidRPr="00A72204" w:rsidRDefault="00EC272B" w:rsidP="006124BC">
            <w:pPr>
              <w:tabs>
                <w:tab w:val="left" w:pos="1454"/>
              </w:tabs>
              <w:rPr>
                <w:rFonts w:eastAsia="MS Mincho"/>
                <w:strike/>
                <w:sz w:val="22"/>
                <w:lang w:val="fr-FR" w:eastAsia="ja-JP"/>
              </w:rPr>
            </w:pPr>
            <w:r w:rsidRPr="00A72204">
              <w:rPr>
                <w:rFonts w:eastAsia="MS Mincho"/>
                <w:strike/>
                <w:sz w:val="22"/>
                <w:lang w:val="fr-FR" w:eastAsia="ja-JP"/>
              </w:rPr>
              <w:tab/>
            </w:r>
          </w:p>
          <w:p w14:paraId="2281D61F" w14:textId="77777777" w:rsidR="00EC272B" w:rsidRPr="00A72204" w:rsidRDefault="00EC272B" w:rsidP="006124BC">
            <w:pPr>
              <w:jc w:val="both"/>
              <w:rPr>
                <w:rFonts w:eastAsia="MS Mincho"/>
                <w:strike/>
                <w:sz w:val="22"/>
                <w:lang w:val="fr-FR"/>
              </w:rPr>
            </w:pPr>
            <w:r w:rsidRPr="00A72204">
              <w:rPr>
                <w:rFonts w:eastAsia="MS Mincho"/>
                <w:strike/>
                <w:sz w:val="22"/>
                <w:lang w:val="fr-FR"/>
              </w:rPr>
              <w:t xml:space="preserve">Le modèle CMS de rapport national demande actuellement si la conservation des espèces migratrices apparaît dans les politiques / plans nationaux ou régionaux, et un indicateur pourrait être développé sur cette base </w:t>
            </w:r>
            <w:r w:rsidRPr="00A72204">
              <w:rPr>
                <w:strike/>
                <w:sz w:val="22"/>
                <w:lang w:val="fr-FR"/>
              </w:rPr>
              <w:t xml:space="preserve">(en admettant que cette méthode ne pourra donner qu’une image incomplète, étant donné que l’objectif s’applique également aux pays non-Parties à la CMS). </w:t>
            </w:r>
            <w:r w:rsidRPr="00A72204">
              <w:rPr>
                <w:rFonts w:eastAsia="MS Mincho"/>
                <w:strike/>
                <w:sz w:val="22"/>
                <w:lang w:val="fr-FR"/>
              </w:rPr>
              <w:t>La prise en compte des espèces migratrices dans les SPANB, qui est en fait un sous-indicateur de cet indicateur, est aussi spécifiquement couverte par le modèle de rapport national mais dépend plutôt de l’objectif 13 du Plan stratégique pour les espèces migratrices précisé ci-dessous. Des sous-indicateurs similaires pourraient cependant être considérés ici, par exemple pour les Documents de stratégie pour la réduction de la pauvreté (DSRP) et autres instruments de politique pertinents normalisés au niveau mondial.</w:t>
            </w:r>
          </w:p>
          <w:p w14:paraId="6A0015E9" w14:textId="77777777" w:rsidR="00EC272B" w:rsidRPr="00A72204" w:rsidRDefault="00EC272B" w:rsidP="006124BC">
            <w:pPr>
              <w:jc w:val="both"/>
              <w:rPr>
                <w:rFonts w:eastAsia="MS Mincho"/>
                <w:strike/>
                <w:sz w:val="22"/>
                <w:lang w:val="fr-FR"/>
              </w:rPr>
            </w:pPr>
          </w:p>
        </w:tc>
      </w:tr>
      <w:tr w:rsidR="00EC272B" w:rsidRPr="00591DCA" w14:paraId="01DE3734" w14:textId="77777777" w:rsidTr="006124BC">
        <w:tc>
          <w:tcPr>
            <w:tcW w:w="1908" w:type="dxa"/>
          </w:tcPr>
          <w:p w14:paraId="0BAC6379" w14:textId="77777777" w:rsidR="00EC272B" w:rsidRPr="00A72204" w:rsidRDefault="00EC272B" w:rsidP="006124BC">
            <w:pPr>
              <w:spacing w:before="120"/>
              <w:rPr>
                <w:strike/>
                <w:sz w:val="22"/>
                <w:lang w:val="fr-FR"/>
              </w:rPr>
            </w:pPr>
            <w:r w:rsidRPr="00A72204">
              <w:rPr>
                <w:b/>
                <w:strike/>
                <w:sz w:val="22"/>
                <w:lang w:val="fr-FR"/>
              </w:rPr>
              <w:t>Objectif 3</w:t>
            </w:r>
          </w:p>
          <w:p w14:paraId="6F70E30F" w14:textId="77777777" w:rsidR="00EC272B" w:rsidRPr="00A72204" w:rsidRDefault="00EC272B" w:rsidP="006124BC">
            <w:pPr>
              <w:rPr>
                <w:strike/>
                <w:sz w:val="22"/>
                <w:lang w:val="fr-FR"/>
              </w:rPr>
            </w:pPr>
          </w:p>
        </w:tc>
        <w:tc>
          <w:tcPr>
            <w:tcW w:w="7662" w:type="dxa"/>
          </w:tcPr>
          <w:p w14:paraId="58C3A8F0" w14:textId="77777777" w:rsidR="00EC272B" w:rsidRPr="00A72204" w:rsidRDefault="00EC272B" w:rsidP="006124BC">
            <w:pPr>
              <w:spacing w:before="120"/>
              <w:rPr>
                <w:i/>
                <w:strike/>
                <w:sz w:val="22"/>
                <w:lang w:val="fr-FR"/>
              </w:rPr>
            </w:pPr>
            <w:r w:rsidRPr="00A72204">
              <w:rPr>
                <w:i/>
                <w:strike/>
                <w:sz w:val="22"/>
                <w:lang w:val="fr-FR"/>
              </w:rPr>
              <w:lastRenderedPageBreak/>
              <w:t>Potentiellement utilisable à court terme :</w:t>
            </w:r>
          </w:p>
          <w:p w14:paraId="6534EE01" w14:textId="77777777" w:rsidR="00EC272B" w:rsidRPr="00C746AD" w:rsidRDefault="00EC272B" w:rsidP="006124BC">
            <w:pPr>
              <w:rPr>
                <w:strike/>
                <w:sz w:val="8"/>
                <w:szCs w:val="8"/>
                <w:lang w:val="fr-FR"/>
              </w:rPr>
            </w:pPr>
          </w:p>
          <w:p w14:paraId="3A9B8F01" w14:textId="77777777" w:rsidR="00EC272B" w:rsidRPr="00A72204" w:rsidRDefault="00EC272B" w:rsidP="00EC272B">
            <w:pPr>
              <w:pStyle w:val="ListParagraph"/>
              <w:numPr>
                <w:ilvl w:val="0"/>
                <w:numId w:val="23"/>
              </w:numPr>
              <w:rPr>
                <w:strike/>
                <w:lang w:val="fr-FR"/>
              </w:rPr>
            </w:pPr>
            <w:r w:rsidRPr="00A72204">
              <w:rPr>
                <w:strike/>
                <w:lang w:val="fr-FR"/>
              </w:rPr>
              <w:t xml:space="preserve">(Aucun) </w:t>
            </w:r>
          </w:p>
          <w:p w14:paraId="7CC9EFC1" w14:textId="77777777" w:rsidR="00EC272B" w:rsidRPr="00C746AD" w:rsidRDefault="00EC272B" w:rsidP="006124BC">
            <w:pPr>
              <w:rPr>
                <w:strike/>
                <w:sz w:val="8"/>
                <w:szCs w:val="8"/>
                <w:lang w:val="fr-FR"/>
              </w:rPr>
            </w:pPr>
          </w:p>
          <w:p w14:paraId="69FFA982" w14:textId="77777777" w:rsidR="00EC272B" w:rsidRPr="00A72204" w:rsidRDefault="00EC272B" w:rsidP="006124BC">
            <w:pPr>
              <w:rPr>
                <w:i/>
                <w:strike/>
                <w:sz w:val="22"/>
                <w:lang w:val="fr-FR"/>
              </w:rPr>
            </w:pPr>
            <w:r w:rsidRPr="00A72204">
              <w:rPr>
                <w:i/>
                <w:strike/>
                <w:sz w:val="22"/>
                <w:lang w:val="fr-FR"/>
              </w:rPr>
              <w:t>Pour une possible évolution future :</w:t>
            </w:r>
          </w:p>
          <w:p w14:paraId="1016DDBC" w14:textId="77777777" w:rsidR="00EC272B" w:rsidRPr="00C746AD" w:rsidRDefault="00EC272B" w:rsidP="006124BC">
            <w:pPr>
              <w:rPr>
                <w:strike/>
                <w:sz w:val="8"/>
                <w:szCs w:val="8"/>
                <w:lang w:val="fr-FR"/>
              </w:rPr>
            </w:pPr>
          </w:p>
          <w:p w14:paraId="5845324A" w14:textId="77777777" w:rsidR="00EC272B" w:rsidRPr="00A72204" w:rsidRDefault="00EC272B" w:rsidP="00EC272B">
            <w:pPr>
              <w:pStyle w:val="ListParagraph"/>
              <w:numPr>
                <w:ilvl w:val="0"/>
                <w:numId w:val="23"/>
              </w:numPr>
              <w:rPr>
                <w:strike/>
                <w:lang w:val="fr-FR"/>
              </w:rPr>
            </w:pPr>
            <w:r w:rsidRPr="00A72204">
              <w:rPr>
                <w:strike/>
                <w:lang w:val="fr-FR"/>
              </w:rPr>
              <w:t>Statut/viabilité de l’activité des instruments de la Famille CMS.</w:t>
            </w:r>
          </w:p>
          <w:p w14:paraId="71A7152D" w14:textId="77777777" w:rsidR="00EC272B" w:rsidRPr="00A72204" w:rsidRDefault="00EC272B" w:rsidP="00EC272B">
            <w:pPr>
              <w:pStyle w:val="ListParagraph"/>
              <w:numPr>
                <w:ilvl w:val="0"/>
                <w:numId w:val="23"/>
              </w:numPr>
              <w:rPr>
                <w:rFonts w:eastAsia="MS Mincho"/>
                <w:strike/>
                <w:lang w:val="fr-FR" w:eastAsia="ja-JP"/>
              </w:rPr>
            </w:pPr>
            <w:r w:rsidRPr="00A72204">
              <w:rPr>
                <w:rFonts w:eastAsia="MS Mincho"/>
                <w:strike/>
                <w:lang w:val="fr-FR" w:eastAsia="ja-JP"/>
              </w:rPr>
              <w:t xml:space="preserve">(Autre indicateur relatif à la gouvernance, portant sur la mise en œuvre de la CMS). </w:t>
            </w:r>
          </w:p>
          <w:p w14:paraId="31E44673" w14:textId="77777777" w:rsidR="00EC272B" w:rsidRPr="00C746AD" w:rsidRDefault="00EC272B" w:rsidP="006124BC">
            <w:pPr>
              <w:rPr>
                <w:rFonts w:eastAsia="MS Mincho"/>
                <w:strike/>
                <w:sz w:val="8"/>
                <w:szCs w:val="8"/>
                <w:lang w:val="fr-FR" w:eastAsia="ja-JP"/>
              </w:rPr>
            </w:pPr>
          </w:p>
          <w:p w14:paraId="1D6F8139" w14:textId="77777777" w:rsidR="00EC272B" w:rsidRPr="00A72204" w:rsidRDefault="00EC272B" w:rsidP="006124BC">
            <w:pPr>
              <w:jc w:val="both"/>
              <w:rPr>
                <w:rFonts w:eastAsia="MS Mincho"/>
                <w:strike/>
                <w:sz w:val="22"/>
                <w:lang w:val="fr-FR" w:eastAsia="ja-JP"/>
              </w:rPr>
            </w:pPr>
            <w:r w:rsidRPr="00A72204">
              <w:rPr>
                <w:strike/>
                <w:sz w:val="22"/>
                <w:lang w:val="fr-FR"/>
              </w:rPr>
              <w:t xml:space="preserve">Le premier indicateur proposé ici aurait pour but d’évaluer la cohérence de la gouvernance de la structure de la Famille CMS, en mesurant peut-être la proportion d’instruments activement et durablement fonctionnels, comme il était attendu. Les données pour ceci pourraient être tirées de l’étude de viabilité des </w:t>
            </w:r>
            <w:proofErr w:type="spellStart"/>
            <w:r w:rsidRPr="00A72204">
              <w:rPr>
                <w:strike/>
                <w:sz w:val="22"/>
                <w:lang w:val="fr-FR"/>
              </w:rPr>
              <w:t>MdE</w:t>
            </w:r>
            <w:proofErr w:type="spellEnd"/>
            <w:r w:rsidRPr="00A72204">
              <w:rPr>
                <w:strike/>
                <w:sz w:val="22"/>
                <w:lang w:val="fr-FR"/>
              </w:rPr>
              <w:t xml:space="preserve"> réalisée en 2014.</w:t>
            </w:r>
          </w:p>
          <w:p w14:paraId="59BD1A35" w14:textId="77777777" w:rsidR="00EC272B" w:rsidRPr="00C746AD" w:rsidRDefault="00EC272B" w:rsidP="006124BC">
            <w:pPr>
              <w:jc w:val="both"/>
              <w:rPr>
                <w:rFonts w:eastAsia="MS Mincho"/>
                <w:strike/>
                <w:sz w:val="8"/>
                <w:szCs w:val="8"/>
                <w:lang w:val="fr-FR" w:eastAsia="ja-JP"/>
              </w:rPr>
            </w:pPr>
          </w:p>
          <w:p w14:paraId="46A34D6D" w14:textId="77777777" w:rsidR="00EC272B" w:rsidRPr="00A72204" w:rsidRDefault="00EC272B" w:rsidP="006124BC">
            <w:pPr>
              <w:jc w:val="both"/>
              <w:rPr>
                <w:rFonts w:eastAsia="MS Mincho"/>
                <w:strike/>
                <w:sz w:val="22"/>
                <w:lang w:val="fr-FR"/>
              </w:rPr>
            </w:pPr>
            <w:r w:rsidRPr="00A72204">
              <w:rPr>
                <w:rFonts w:eastAsia="MS Mincho"/>
                <w:strike/>
                <w:sz w:val="22"/>
                <w:lang w:val="fr-FR"/>
              </w:rPr>
              <w:t>La portée exacte du deuxième indicateur reste à développer, et dépend des possibilités de définition d’un indicateur de performance de la gouvernance spécifiquement lié à la mise en œuvre de la CMS (étant le cadre de gouvernance le plus pertinent). Il serait complexe d’établir des repères pour les questions qui sont à la discrétion des politiques nationales. La perspective la plus prometteuse réside peut-être dans l’encouragement actuel des Parties à la CMS à établir et exploiter des systèmes ou comités de liaison nationaux (objectif 4.5 du Plan stratégique de la CMS 2006-2014). Le modèle de rapport national de la Convention pose une question à ce sujet, mais il s’agit actuellement seulement d’une question oui/non sur l’existence d’un tel système ou comité (ce qui donnera une image incomplète, étant donné que l’objectif s’applique également aux pays non-Parties à la CMS).</w:t>
            </w:r>
          </w:p>
        </w:tc>
      </w:tr>
      <w:tr w:rsidR="00EC272B" w:rsidRPr="00591DCA" w14:paraId="2EB78D0C" w14:textId="77777777" w:rsidTr="006124BC">
        <w:tc>
          <w:tcPr>
            <w:tcW w:w="1908" w:type="dxa"/>
          </w:tcPr>
          <w:p w14:paraId="44F868E2" w14:textId="77777777" w:rsidR="00EC272B" w:rsidRPr="00A72204" w:rsidRDefault="00EC272B" w:rsidP="006124BC">
            <w:pPr>
              <w:spacing w:before="120"/>
              <w:rPr>
                <w:strike/>
                <w:sz w:val="22"/>
                <w:lang w:val="fr-FR"/>
              </w:rPr>
            </w:pPr>
            <w:r w:rsidRPr="00A72204">
              <w:rPr>
                <w:rFonts w:eastAsia="MS Mincho"/>
                <w:b/>
                <w:strike/>
                <w:sz w:val="22"/>
                <w:lang w:val="fr-FR"/>
              </w:rPr>
              <w:lastRenderedPageBreak/>
              <w:t>Objectif 4</w:t>
            </w:r>
          </w:p>
          <w:p w14:paraId="08DC7947" w14:textId="77777777" w:rsidR="00EC272B" w:rsidRPr="00A72204" w:rsidRDefault="00EC272B" w:rsidP="006124BC">
            <w:pPr>
              <w:rPr>
                <w:strike/>
                <w:sz w:val="22"/>
                <w:lang w:val="fr-FR"/>
              </w:rPr>
            </w:pPr>
          </w:p>
        </w:tc>
        <w:tc>
          <w:tcPr>
            <w:tcW w:w="7662" w:type="dxa"/>
          </w:tcPr>
          <w:p w14:paraId="0D2554BD"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6C30961F" w14:textId="77777777" w:rsidR="00EC272B" w:rsidRPr="00C746AD" w:rsidRDefault="00EC272B" w:rsidP="006124BC">
            <w:pPr>
              <w:rPr>
                <w:strike/>
                <w:sz w:val="8"/>
                <w:szCs w:val="8"/>
                <w:lang w:val="fr-FR"/>
              </w:rPr>
            </w:pPr>
          </w:p>
          <w:p w14:paraId="1EFC1DB2" w14:textId="77777777" w:rsidR="00EC272B" w:rsidRPr="00A72204" w:rsidRDefault="00EC272B" w:rsidP="00EC272B">
            <w:pPr>
              <w:pStyle w:val="ListParagraph"/>
              <w:numPr>
                <w:ilvl w:val="0"/>
                <w:numId w:val="24"/>
              </w:numPr>
              <w:rPr>
                <w:strike/>
                <w:lang w:val="fr-FR"/>
              </w:rPr>
            </w:pPr>
            <w:r w:rsidRPr="00A72204">
              <w:rPr>
                <w:strike/>
                <w:lang w:val="fr-FR"/>
              </w:rPr>
              <w:t xml:space="preserve">(Aucun) </w:t>
            </w:r>
          </w:p>
          <w:p w14:paraId="490C0803" w14:textId="77777777" w:rsidR="00EC272B" w:rsidRPr="00C746AD" w:rsidRDefault="00EC272B" w:rsidP="006124BC">
            <w:pPr>
              <w:rPr>
                <w:strike/>
                <w:sz w:val="8"/>
                <w:szCs w:val="8"/>
                <w:lang w:val="fr-FR"/>
              </w:rPr>
            </w:pPr>
          </w:p>
          <w:p w14:paraId="6D9C2677" w14:textId="77777777" w:rsidR="00EC272B" w:rsidRPr="00A72204" w:rsidRDefault="00EC272B" w:rsidP="006124BC">
            <w:pPr>
              <w:rPr>
                <w:i/>
                <w:strike/>
                <w:sz w:val="22"/>
                <w:lang w:val="fr-FR"/>
              </w:rPr>
            </w:pPr>
            <w:r w:rsidRPr="00A72204">
              <w:rPr>
                <w:i/>
                <w:strike/>
                <w:sz w:val="22"/>
                <w:lang w:val="fr-FR"/>
              </w:rPr>
              <w:t>Pour une possible évolution future :</w:t>
            </w:r>
          </w:p>
          <w:p w14:paraId="1A7C9918" w14:textId="77777777" w:rsidR="00EC272B" w:rsidRPr="00C746AD" w:rsidRDefault="00EC272B" w:rsidP="006124BC">
            <w:pPr>
              <w:rPr>
                <w:strike/>
                <w:sz w:val="12"/>
                <w:szCs w:val="12"/>
                <w:lang w:val="fr-FR"/>
              </w:rPr>
            </w:pPr>
          </w:p>
          <w:p w14:paraId="3909FCEB" w14:textId="77777777" w:rsidR="00EC272B" w:rsidRPr="00A72204" w:rsidRDefault="00EC272B" w:rsidP="00EC272B">
            <w:pPr>
              <w:pStyle w:val="ListParagraph"/>
              <w:numPr>
                <w:ilvl w:val="0"/>
                <w:numId w:val="24"/>
              </w:numPr>
              <w:rPr>
                <w:rFonts w:eastAsia="MS Mincho"/>
                <w:strike/>
                <w:lang w:val="fr-FR" w:eastAsia="ja-JP"/>
              </w:rPr>
            </w:pPr>
            <w:r w:rsidRPr="00A72204">
              <w:rPr>
                <w:strike/>
                <w:lang w:val="fr-FR"/>
              </w:rPr>
              <w:t>(Question du modèle CMS de rapport national, à poser concernant les progrès accomplis dans la mise en œuvre de l’objectif 4).</w:t>
            </w:r>
            <w:r w:rsidRPr="00A72204">
              <w:rPr>
                <w:rFonts w:eastAsia="MS Mincho"/>
                <w:strike/>
                <w:lang w:val="fr-FR" w:eastAsia="ja-JP"/>
              </w:rPr>
              <w:t xml:space="preserve"> </w:t>
            </w:r>
          </w:p>
          <w:p w14:paraId="4F389CFC" w14:textId="77777777" w:rsidR="00EC272B" w:rsidRPr="00C746AD" w:rsidRDefault="00EC272B" w:rsidP="006124BC">
            <w:pPr>
              <w:rPr>
                <w:strike/>
                <w:sz w:val="8"/>
                <w:szCs w:val="8"/>
                <w:lang w:val="fr-FR"/>
              </w:rPr>
            </w:pPr>
          </w:p>
          <w:p w14:paraId="49EB52AD" w14:textId="77777777" w:rsidR="00EC272B" w:rsidRPr="00A72204" w:rsidRDefault="00EC272B" w:rsidP="006124BC">
            <w:pPr>
              <w:jc w:val="both"/>
              <w:rPr>
                <w:strike/>
                <w:sz w:val="22"/>
                <w:lang w:val="fr-FR"/>
              </w:rPr>
            </w:pPr>
            <w:r w:rsidRPr="00A72204">
              <w:rPr>
                <w:strike/>
                <w:sz w:val="22"/>
                <w:lang w:val="fr-FR"/>
              </w:rPr>
              <w:t>La communauté de la conservation des espèces migratrices pourra prêter attention aux informations sur les incitations et la biodiversité en général, issues des deux indicateurs pertinents définis par le GSET de la CDB, mais il est difficile de voir comment les données peuvent être désagrégées de façon significative pour apporter des informations spécifiques aux espèces migratrices. Des études de cas occasionnelles pourraient être en mesure de le faire, mais probablement pas à travers un indicateur applicable au niveau mondial et fournissant régulièrement ces informations.</w:t>
            </w:r>
          </w:p>
          <w:p w14:paraId="63CF9C99" w14:textId="77777777" w:rsidR="00EC272B" w:rsidRPr="00A72204" w:rsidRDefault="00EC272B" w:rsidP="006124BC">
            <w:pPr>
              <w:jc w:val="both"/>
              <w:rPr>
                <w:strike/>
                <w:sz w:val="22"/>
                <w:lang w:val="fr-FR"/>
              </w:rPr>
            </w:pPr>
            <w:r w:rsidRPr="00A72204">
              <w:rPr>
                <w:strike/>
                <w:sz w:val="22"/>
                <w:lang w:val="fr-FR"/>
              </w:rPr>
              <w:t xml:space="preserve">L’itinéraire suggéré pour alimenter un indicateur consiste donc à rassembler des informations qualitatives d’une manière normalisée, via les rapports nationaux des Parties à la CMS, en centrant le questionnement sur la </w:t>
            </w:r>
            <w:r w:rsidRPr="00A72204">
              <w:rPr>
                <w:strike/>
                <w:sz w:val="22"/>
                <w:lang w:val="fr-FR"/>
              </w:rPr>
              <w:lastRenderedPageBreak/>
              <w:t>dimension des espèces migratrices (et en acceptant que cette méthode puisse donner une image incomplète, étant donné que l’objectif s’applique également aux pays non-Parties à la CMS).</w:t>
            </w:r>
          </w:p>
        </w:tc>
      </w:tr>
      <w:tr w:rsidR="00EC272B" w:rsidRPr="00A72204" w14:paraId="0446F8BB" w14:textId="77777777" w:rsidTr="006124BC">
        <w:tc>
          <w:tcPr>
            <w:tcW w:w="1908" w:type="dxa"/>
          </w:tcPr>
          <w:p w14:paraId="52AADBAD" w14:textId="77777777" w:rsidR="00EC272B" w:rsidRPr="00A72204" w:rsidRDefault="00EC272B" w:rsidP="006124BC">
            <w:pPr>
              <w:spacing w:before="120"/>
              <w:rPr>
                <w:strike/>
                <w:sz w:val="22"/>
                <w:lang w:val="fr-FR"/>
              </w:rPr>
            </w:pPr>
            <w:r w:rsidRPr="00A72204">
              <w:rPr>
                <w:b/>
                <w:strike/>
                <w:sz w:val="22"/>
                <w:lang w:val="fr-FR"/>
              </w:rPr>
              <w:lastRenderedPageBreak/>
              <w:t>Objectif 5</w:t>
            </w:r>
          </w:p>
          <w:p w14:paraId="7FBA5F46" w14:textId="77777777" w:rsidR="00EC272B" w:rsidRPr="00A72204" w:rsidRDefault="00EC272B" w:rsidP="006124BC">
            <w:pPr>
              <w:rPr>
                <w:strike/>
                <w:sz w:val="22"/>
                <w:lang w:val="fr-FR"/>
              </w:rPr>
            </w:pPr>
          </w:p>
        </w:tc>
        <w:tc>
          <w:tcPr>
            <w:tcW w:w="7662" w:type="dxa"/>
          </w:tcPr>
          <w:p w14:paraId="2BE6020F"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31E9B638" w14:textId="77777777" w:rsidR="00EC272B" w:rsidRPr="00A72204" w:rsidRDefault="00EC272B" w:rsidP="006124BC">
            <w:pPr>
              <w:rPr>
                <w:strike/>
                <w:sz w:val="16"/>
                <w:szCs w:val="16"/>
                <w:lang w:val="fr-FR"/>
              </w:rPr>
            </w:pPr>
          </w:p>
          <w:p w14:paraId="6E0041BB" w14:textId="77777777" w:rsidR="00EC272B" w:rsidRPr="00A72204" w:rsidRDefault="00EC272B" w:rsidP="00EC272B">
            <w:pPr>
              <w:pStyle w:val="ListParagraph"/>
              <w:numPr>
                <w:ilvl w:val="0"/>
                <w:numId w:val="18"/>
              </w:numPr>
              <w:rPr>
                <w:rFonts w:eastAsia="MS Mincho"/>
                <w:strike/>
                <w:lang w:val="fr-FR" w:eastAsia="ja-JP"/>
              </w:rPr>
            </w:pPr>
            <w:r w:rsidRPr="00A72204">
              <w:rPr>
                <w:rFonts w:eastAsia="MS Mincho"/>
                <w:strike/>
                <w:lang w:val="fr-FR" w:eastAsia="ja-JP"/>
              </w:rPr>
              <w:t>État des espèces migratrices dans les échanges commerciaux.</w:t>
            </w:r>
          </w:p>
          <w:p w14:paraId="1AE69667" w14:textId="77777777" w:rsidR="00EC272B" w:rsidRPr="00A72204" w:rsidRDefault="00EC272B" w:rsidP="006124BC">
            <w:pPr>
              <w:rPr>
                <w:strike/>
                <w:sz w:val="16"/>
                <w:szCs w:val="16"/>
                <w:lang w:val="fr-FR"/>
              </w:rPr>
            </w:pPr>
          </w:p>
          <w:p w14:paraId="1B249D73" w14:textId="77777777" w:rsidR="00EC272B" w:rsidRPr="00A72204" w:rsidRDefault="00EC272B" w:rsidP="006124BC">
            <w:pPr>
              <w:jc w:val="both"/>
              <w:rPr>
                <w:strike/>
                <w:sz w:val="22"/>
                <w:lang w:val="fr-FR"/>
              </w:rPr>
            </w:pPr>
            <w:r w:rsidRPr="00A72204">
              <w:rPr>
                <w:strike/>
                <w:sz w:val="22"/>
                <w:lang w:val="fr-FR"/>
              </w:rPr>
              <w:t>Cet indicateur est proposé en tant que volet « espèces migratrices » de l’indicateurs BIP correspondant (que l’on suppose prêt à être utilisé). En plus de générer des informations sur les espèces concernées, des comparaisons seront possibles entre le sous-ensemble des espèces migratrices et les tendances pour toutes les espèces.</w:t>
            </w:r>
          </w:p>
          <w:p w14:paraId="66B908CF" w14:textId="77777777" w:rsidR="00EC272B" w:rsidRPr="00A72204" w:rsidRDefault="00EC272B" w:rsidP="006124BC">
            <w:pPr>
              <w:jc w:val="both"/>
              <w:rPr>
                <w:strike/>
                <w:sz w:val="22"/>
                <w:lang w:val="fr-FR"/>
              </w:rPr>
            </w:pPr>
            <w:r w:rsidRPr="00A72204">
              <w:rPr>
                <w:strike/>
                <w:sz w:val="22"/>
                <w:lang w:val="fr-FR"/>
              </w:rPr>
              <w:t>Cet indicateur porte sur l’exploitation des animaux migrateurs eux-mêmes, et n’informe donc pas vraiment sur la manière dont l’objectif traite des impacts de l’exploitation des autres ressources sur ces espèces (cette dimension peut être obtenue par l’intermédiaire d’autres objectifs). Il peut néanmoins apporter des données utiles sur une exploitation plus directe (et il est pertinent dans le cadre de la coopération entre la CMS et la CITES).</w:t>
            </w:r>
          </w:p>
          <w:p w14:paraId="6393EAB4" w14:textId="77777777" w:rsidR="00EC272B" w:rsidRPr="00A72204" w:rsidRDefault="00EC272B" w:rsidP="006124BC">
            <w:pPr>
              <w:jc w:val="both"/>
              <w:rPr>
                <w:strike/>
                <w:sz w:val="22"/>
                <w:lang w:val="fr-FR"/>
              </w:rPr>
            </w:pPr>
            <w:r w:rsidRPr="00A72204">
              <w:rPr>
                <w:strike/>
                <w:sz w:val="22"/>
                <w:lang w:val="fr-FR"/>
              </w:rPr>
              <w:t>NB : les indicateurs d</w:t>
            </w:r>
            <w:proofErr w:type="gramStart"/>
            <w:r w:rsidRPr="00A72204">
              <w:rPr>
                <w:strike/>
                <w:sz w:val="22"/>
                <w:lang w:val="fr-FR"/>
              </w:rPr>
              <w:t>’«</w:t>
            </w:r>
            <w:proofErr w:type="gramEnd"/>
            <w:r w:rsidRPr="00A72204">
              <w:rPr>
                <w:strike/>
                <w:sz w:val="22"/>
                <w:lang w:val="fr-FR"/>
              </w:rPr>
              <w:t xml:space="preserve"> empreinte » énumérés en rapport avec les objectifs d’Aichi correspondants (4 et 7) sont basés sur l’écosystème et ne se prêtent pas à la distinction de scénarios spécifiques aux espèces migratrices.</w:t>
            </w:r>
          </w:p>
          <w:p w14:paraId="3C9FDEBF" w14:textId="77777777" w:rsidR="00EC272B" w:rsidRPr="00A72204" w:rsidRDefault="00EC272B" w:rsidP="006124BC">
            <w:pPr>
              <w:jc w:val="both"/>
              <w:rPr>
                <w:strike/>
                <w:sz w:val="22"/>
                <w:lang w:val="fr-FR"/>
              </w:rPr>
            </w:pPr>
          </w:p>
          <w:p w14:paraId="5C3119AE" w14:textId="77777777" w:rsidR="00EC272B" w:rsidRPr="00A72204" w:rsidRDefault="00EC272B" w:rsidP="006124BC">
            <w:pPr>
              <w:rPr>
                <w:i/>
                <w:strike/>
                <w:sz w:val="22"/>
                <w:lang w:val="fr-FR"/>
              </w:rPr>
            </w:pPr>
            <w:r w:rsidRPr="00A72204">
              <w:rPr>
                <w:i/>
                <w:strike/>
                <w:sz w:val="22"/>
                <w:lang w:val="fr-FR"/>
              </w:rPr>
              <w:t>Pour une possible évolution future :</w:t>
            </w:r>
          </w:p>
          <w:p w14:paraId="62B30F4F" w14:textId="77777777" w:rsidR="00EC272B" w:rsidRPr="00A72204" w:rsidRDefault="00EC272B" w:rsidP="006124BC">
            <w:pPr>
              <w:rPr>
                <w:strike/>
                <w:sz w:val="22"/>
                <w:lang w:val="fr-FR"/>
              </w:rPr>
            </w:pPr>
          </w:p>
          <w:p w14:paraId="6D18578E" w14:textId="77777777" w:rsidR="00EC272B" w:rsidRDefault="00EC272B" w:rsidP="00EC272B">
            <w:pPr>
              <w:pStyle w:val="ListParagraph"/>
              <w:numPr>
                <w:ilvl w:val="0"/>
                <w:numId w:val="18"/>
              </w:numPr>
              <w:rPr>
                <w:strike/>
                <w:lang w:val="fr-FR"/>
              </w:rPr>
            </w:pPr>
            <w:r w:rsidRPr="00A72204">
              <w:rPr>
                <w:rFonts w:eastAsia="MS Mincho"/>
                <w:strike/>
                <w:lang w:val="fr-FR" w:eastAsia="ja-JP"/>
              </w:rPr>
              <w:t>(Aucun)</w:t>
            </w:r>
            <w:r w:rsidRPr="00A72204">
              <w:rPr>
                <w:strike/>
                <w:lang w:val="fr-FR"/>
              </w:rPr>
              <w:t xml:space="preserve"> </w:t>
            </w:r>
          </w:p>
          <w:p w14:paraId="0A5F4782" w14:textId="393CD085" w:rsidR="00C746AD" w:rsidRPr="00A72204" w:rsidRDefault="00C746AD" w:rsidP="00C746AD">
            <w:pPr>
              <w:pStyle w:val="ListParagraph"/>
              <w:rPr>
                <w:strike/>
                <w:lang w:val="fr-FR"/>
              </w:rPr>
            </w:pPr>
          </w:p>
        </w:tc>
      </w:tr>
      <w:tr w:rsidR="00EC272B" w:rsidRPr="00591DCA" w14:paraId="24B6BA18" w14:textId="77777777" w:rsidTr="006124BC">
        <w:tc>
          <w:tcPr>
            <w:tcW w:w="1908" w:type="dxa"/>
          </w:tcPr>
          <w:p w14:paraId="31C0E1BF" w14:textId="77777777" w:rsidR="00EC272B" w:rsidRPr="00A72204" w:rsidRDefault="00EC272B" w:rsidP="006124BC">
            <w:pPr>
              <w:spacing w:before="120"/>
              <w:rPr>
                <w:strike/>
                <w:sz w:val="22"/>
                <w:lang w:val="fr-FR"/>
              </w:rPr>
            </w:pPr>
            <w:r w:rsidRPr="00A72204">
              <w:rPr>
                <w:b/>
                <w:bCs/>
                <w:strike/>
                <w:sz w:val="22"/>
                <w:lang w:val="fr-FR"/>
              </w:rPr>
              <w:t>Objectif 6</w:t>
            </w:r>
          </w:p>
          <w:p w14:paraId="4FA11E9F" w14:textId="77777777" w:rsidR="00EC272B" w:rsidRPr="00A72204" w:rsidRDefault="00EC272B" w:rsidP="006124BC">
            <w:pPr>
              <w:rPr>
                <w:strike/>
                <w:sz w:val="22"/>
                <w:lang w:val="fr-FR"/>
              </w:rPr>
            </w:pPr>
          </w:p>
        </w:tc>
        <w:tc>
          <w:tcPr>
            <w:tcW w:w="7662" w:type="dxa"/>
          </w:tcPr>
          <w:p w14:paraId="7320A97A"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4712A6DB" w14:textId="77777777" w:rsidR="00EC272B" w:rsidRPr="00A72204" w:rsidRDefault="00EC272B" w:rsidP="006124BC">
            <w:pPr>
              <w:rPr>
                <w:strike/>
                <w:sz w:val="22"/>
                <w:lang w:val="fr-FR"/>
              </w:rPr>
            </w:pPr>
          </w:p>
          <w:p w14:paraId="3197EB03" w14:textId="77777777" w:rsidR="00EC272B" w:rsidRPr="00A72204" w:rsidRDefault="00EC272B" w:rsidP="00EC272B">
            <w:pPr>
              <w:pStyle w:val="ListParagraph"/>
              <w:numPr>
                <w:ilvl w:val="0"/>
                <w:numId w:val="18"/>
              </w:numPr>
              <w:rPr>
                <w:rFonts w:eastAsia="MS Mincho"/>
                <w:strike/>
                <w:lang w:val="fr-FR" w:eastAsia="ja-JP"/>
              </w:rPr>
            </w:pPr>
            <w:r w:rsidRPr="00A72204">
              <w:rPr>
                <w:rFonts w:eastAsia="MS Mincho"/>
                <w:strike/>
                <w:lang w:val="fr-FR" w:eastAsia="ja-JP"/>
              </w:rPr>
              <w:t>Pourcentage des stocks de poissons migrateurs qui restent dans des limites écologiques sûres.</w:t>
            </w:r>
          </w:p>
          <w:p w14:paraId="2C1FA88F" w14:textId="77777777" w:rsidR="00EC272B" w:rsidRPr="00A72204" w:rsidRDefault="00EC272B" w:rsidP="006124BC">
            <w:pPr>
              <w:rPr>
                <w:strike/>
                <w:sz w:val="22"/>
                <w:lang w:val="fr-FR"/>
              </w:rPr>
            </w:pPr>
          </w:p>
          <w:p w14:paraId="559240F4" w14:textId="77777777" w:rsidR="00EC272B" w:rsidRPr="00A72204" w:rsidRDefault="00EC272B" w:rsidP="006124BC">
            <w:pPr>
              <w:jc w:val="both"/>
              <w:rPr>
                <w:strike/>
                <w:sz w:val="22"/>
                <w:lang w:val="fr-FR"/>
              </w:rPr>
            </w:pPr>
            <w:r w:rsidRPr="00A72204">
              <w:rPr>
                <w:strike/>
                <w:sz w:val="22"/>
                <w:lang w:val="fr-FR"/>
              </w:rPr>
              <w:t>Cet indicateur est proposé comme le volet « espèces migratrices » de l’indicateur BIP correspondant, qui est réputé (à la fois par le partenariat BIP et par le GSET) être prêt à être utilisé, et est également un indicateur auquel se réfèrent de nombreux instruments internationaux, par exemple le Droit de la mer, l’Accord des Nations Unies sur les stocks de poissons, le Code de conduite pour une pêche responsable, et les OMD.</w:t>
            </w:r>
          </w:p>
          <w:p w14:paraId="66D2A3A9" w14:textId="77777777" w:rsidR="00EC272B" w:rsidRPr="00A72204" w:rsidRDefault="00EC272B" w:rsidP="006124BC">
            <w:pPr>
              <w:rPr>
                <w:strike/>
                <w:sz w:val="22"/>
                <w:lang w:val="fr-FR"/>
              </w:rPr>
            </w:pPr>
          </w:p>
          <w:p w14:paraId="39DD6E20" w14:textId="77777777" w:rsidR="00EC272B" w:rsidRPr="00A72204" w:rsidRDefault="00EC272B" w:rsidP="006124BC">
            <w:pPr>
              <w:rPr>
                <w:i/>
                <w:strike/>
                <w:sz w:val="22"/>
                <w:lang w:val="fr-FR"/>
              </w:rPr>
            </w:pPr>
            <w:r w:rsidRPr="00A72204">
              <w:rPr>
                <w:i/>
                <w:strike/>
                <w:sz w:val="22"/>
                <w:lang w:val="fr-FR"/>
              </w:rPr>
              <w:t>Pour une possible évolution future</w:t>
            </w:r>
          </w:p>
          <w:p w14:paraId="7ED69265" w14:textId="77777777" w:rsidR="00EC272B" w:rsidRPr="00A72204" w:rsidRDefault="00EC272B" w:rsidP="006124BC">
            <w:pPr>
              <w:rPr>
                <w:strike/>
                <w:sz w:val="22"/>
                <w:lang w:val="fr-FR"/>
              </w:rPr>
            </w:pPr>
          </w:p>
          <w:p w14:paraId="08BB258E" w14:textId="77777777" w:rsidR="00EC272B" w:rsidRPr="00A72204" w:rsidRDefault="00EC272B" w:rsidP="00EC272B">
            <w:pPr>
              <w:pStyle w:val="ListParagraph"/>
              <w:numPr>
                <w:ilvl w:val="0"/>
                <w:numId w:val="18"/>
              </w:numPr>
              <w:rPr>
                <w:rFonts w:eastAsia="MS Mincho"/>
                <w:strike/>
                <w:lang w:val="fr-FR" w:eastAsia="ja-JP"/>
              </w:rPr>
            </w:pPr>
            <w:r w:rsidRPr="00A72204">
              <w:rPr>
                <w:strike/>
                <w:lang w:val="fr-FR"/>
              </w:rPr>
              <w:t>(Aucun)</w:t>
            </w:r>
            <w:r w:rsidRPr="00A72204">
              <w:rPr>
                <w:rFonts w:eastAsia="MS Mincho"/>
                <w:strike/>
                <w:lang w:val="fr-FR" w:eastAsia="ja-JP"/>
              </w:rPr>
              <w:t xml:space="preserve"> </w:t>
            </w:r>
          </w:p>
          <w:p w14:paraId="0E9C6B9E" w14:textId="77777777" w:rsidR="00EC272B" w:rsidRPr="00A72204" w:rsidRDefault="00EC272B" w:rsidP="006124BC">
            <w:pPr>
              <w:rPr>
                <w:strike/>
                <w:sz w:val="22"/>
                <w:lang w:val="fr-FR"/>
              </w:rPr>
            </w:pPr>
          </w:p>
          <w:p w14:paraId="292DC2E9" w14:textId="77777777" w:rsidR="00EC272B" w:rsidRDefault="00EC272B" w:rsidP="006124BC">
            <w:pPr>
              <w:rPr>
                <w:strike/>
                <w:sz w:val="22"/>
                <w:lang w:val="fr-FR"/>
              </w:rPr>
            </w:pPr>
            <w:r w:rsidRPr="00A72204">
              <w:rPr>
                <w:strike/>
                <w:sz w:val="22"/>
                <w:lang w:val="fr-FR"/>
              </w:rPr>
              <w:t>Le suivi de certains autres aspects de cet objectif, y compris les impacts de la chasse, peut être assuré par des indicateurs définis pour les objectifs 5, 7 et 8.</w:t>
            </w:r>
          </w:p>
          <w:p w14:paraId="50CF29B8" w14:textId="77777777" w:rsidR="00C746AD" w:rsidRDefault="00C746AD" w:rsidP="006124BC">
            <w:pPr>
              <w:rPr>
                <w:strike/>
                <w:sz w:val="22"/>
                <w:lang w:val="fr-FR"/>
              </w:rPr>
            </w:pPr>
          </w:p>
          <w:p w14:paraId="674029B2" w14:textId="77777777" w:rsidR="00C746AD" w:rsidRDefault="00C746AD" w:rsidP="006124BC">
            <w:pPr>
              <w:rPr>
                <w:strike/>
                <w:sz w:val="22"/>
                <w:lang w:val="fr-FR"/>
              </w:rPr>
            </w:pPr>
          </w:p>
          <w:p w14:paraId="0AD2EB31" w14:textId="77777777" w:rsidR="00C746AD" w:rsidRDefault="00C746AD" w:rsidP="006124BC">
            <w:pPr>
              <w:rPr>
                <w:strike/>
                <w:sz w:val="22"/>
                <w:lang w:val="fr-FR"/>
              </w:rPr>
            </w:pPr>
          </w:p>
          <w:p w14:paraId="21D93443" w14:textId="19B333B2" w:rsidR="00C746AD" w:rsidRPr="00A72204" w:rsidRDefault="00C746AD" w:rsidP="006124BC">
            <w:pPr>
              <w:rPr>
                <w:strike/>
                <w:sz w:val="22"/>
                <w:lang w:val="fr-FR"/>
              </w:rPr>
            </w:pPr>
          </w:p>
        </w:tc>
      </w:tr>
      <w:tr w:rsidR="00EC272B" w:rsidRPr="00591DCA" w14:paraId="3B421CA1" w14:textId="77777777" w:rsidTr="006124BC">
        <w:tc>
          <w:tcPr>
            <w:tcW w:w="1908" w:type="dxa"/>
          </w:tcPr>
          <w:p w14:paraId="110DF6B3" w14:textId="77777777" w:rsidR="00EC272B" w:rsidRPr="00A72204" w:rsidRDefault="00EC272B" w:rsidP="006124BC">
            <w:pPr>
              <w:spacing w:before="120"/>
              <w:rPr>
                <w:strike/>
                <w:sz w:val="22"/>
                <w:lang w:val="fr-FR"/>
              </w:rPr>
            </w:pPr>
            <w:r w:rsidRPr="00A72204">
              <w:rPr>
                <w:b/>
                <w:strike/>
                <w:sz w:val="22"/>
                <w:lang w:val="fr-FR"/>
              </w:rPr>
              <w:t>Objectif 7</w:t>
            </w:r>
          </w:p>
          <w:p w14:paraId="5FBDEB8B" w14:textId="77777777" w:rsidR="00EC272B" w:rsidRPr="00A72204" w:rsidRDefault="00EC272B" w:rsidP="006124BC">
            <w:pPr>
              <w:rPr>
                <w:strike/>
                <w:sz w:val="22"/>
                <w:lang w:val="fr-FR"/>
              </w:rPr>
            </w:pPr>
          </w:p>
        </w:tc>
        <w:tc>
          <w:tcPr>
            <w:tcW w:w="7662" w:type="dxa"/>
          </w:tcPr>
          <w:p w14:paraId="14022E62"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32BA14E2" w14:textId="77777777" w:rsidR="00EC272B" w:rsidRPr="00C746AD" w:rsidRDefault="00EC272B" w:rsidP="006124BC">
            <w:pPr>
              <w:rPr>
                <w:strike/>
                <w:sz w:val="12"/>
                <w:szCs w:val="12"/>
                <w:lang w:val="fr-FR"/>
              </w:rPr>
            </w:pPr>
          </w:p>
          <w:p w14:paraId="27BFED2E" w14:textId="77777777" w:rsidR="00EC272B" w:rsidRPr="00A72204" w:rsidRDefault="00EC272B" w:rsidP="00EC272B">
            <w:pPr>
              <w:pStyle w:val="ListParagraph"/>
              <w:numPr>
                <w:ilvl w:val="0"/>
                <w:numId w:val="18"/>
              </w:numPr>
              <w:rPr>
                <w:strike/>
                <w:lang w:val="fr-FR"/>
              </w:rPr>
            </w:pPr>
            <w:r w:rsidRPr="00A72204">
              <w:rPr>
                <w:rFonts w:eastAsia="MS Mincho"/>
                <w:strike/>
                <w:lang w:val="fr-FR" w:eastAsia="ja-JP"/>
              </w:rPr>
              <w:lastRenderedPageBreak/>
              <w:t>Tendances en matière de menaces pesant sur les espèces migratrices (en général).</w:t>
            </w:r>
          </w:p>
          <w:p w14:paraId="08FAD7B4" w14:textId="77777777" w:rsidR="00EC272B" w:rsidRPr="00A72204" w:rsidRDefault="00EC272B" w:rsidP="00EC272B">
            <w:pPr>
              <w:pStyle w:val="ListParagraph"/>
              <w:numPr>
                <w:ilvl w:val="0"/>
                <w:numId w:val="18"/>
              </w:numPr>
              <w:rPr>
                <w:strike/>
                <w:lang w:val="fr-FR"/>
              </w:rPr>
            </w:pPr>
            <w:r w:rsidRPr="00A72204">
              <w:rPr>
                <w:strike/>
                <w:lang w:val="fr-FR"/>
              </w:rPr>
              <w:t>Tendances en matière de</w:t>
            </w:r>
            <w:r w:rsidRPr="00A72204">
              <w:rPr>
                <w:rFonts w:eastAsia="MS Mincho"/>
                <w:strike/>
                <w:lang w:val="fr-FR"/>
              </w:rPr>
              <w:t xml:space="preserve"> </w:t>
            </w:r>
            <w:r w:rsidRPr="00A72204">
              <w:rPr>
                <w:rFonts w:eastAsia="MS Mincho"/>
                <w:strike/>
                <w:lang w:val="fr-FR" w:eastAsia="ja-JP"/>
              </w:rPr>
              <w:t>pesant sur les espèces migratrices (sous-indicateurs portant sur des types de menaces spécifiques).</w:t>
            </w:r>
          </w:p>
          <w:p w14:paraId="1A31CDA3" w14:textId="77777777" w:rsidR="00EC272B" w:rsidRPr="00C746AD" w:rsidRDefault="00EC272B" w:rsidP="006124BC">
            <w:pPr>
              <w:rPr>
                <w:strike/>
                <w:sz w:val="12"/>
                <w:szCs w:val="12"/>
                <w:lang w:val="fr-FR"/>
              </w:rPr>
            </w:pPr>
          </w:p>
          <w:p w14:paraId="03AAB75E" w14:textId="77777777" w:rsidR="00EC272B" w:rsidRPr="00A72204" w:rsidRDefault="00EC272B" w:rsidP="006124BC">
            <w:pPr>
              <w:jc w:val="both"/>
              <w:rPr>
                <w:strike/>
                <w:sz w:val="22"/>
                <w:lang w:val="fr-FR"/>
              </w:rPr>
            </w:pPr>
            <w:r w:rsidRPr="00A72204">
              <w:rPr>
                <w:strike/>
                <w:sz w:val="22"/>
                <w:lang w:val="fr-FR"/>
              </w:rPr>
              <w:t>Ces indicateurs demandent à être développés, et cela devrait être une priorité. La question étant complexe, il devrait être possible de générer régulièrement au moins quelques données utiles. Il pourrait s’avérer complexe d’isoler les menaces pesant sur les espèces migratrices dans les systèmes de suivis existants, et le suivi des tendances, par exemple de la répartition des « obstacles à la migration », peut ne pas être utilisable pour connaître l’impact réel des menaces. Ces approches sont donc problématiques. Les rapports nationaux de la CMS génèrent toutefois des informations sur les menaces pesant spécifiquement sur les espèces migratrices, et bien que l’information soit brute et anecdotique, (et qu’elle puisse donner une image incomplète, l’objectif s’appliquant également aux pays non-Parties à la CMS), elle peut fournir un point de départ pragmatique. D’autres systèmes de suivi des menaces doivent être examinés, afin d’envisager la possibilité d’extraire spécifiquement un volet « espèces migratrices » de leurs données.</w:t>
            </w:r>
          </w:p>
          <w:p w14:paraId="474939C2" w14:textId="77777777" w:rsidR="00EC272B" w:rsidRPr="00A72204" w:rsidRDefault="00EC272B" w:rsidP="006124BC">
            <w:pPr>
              <w:jc w:val="both"/>
              <w:rPr>
                <w:strike/>
                <w:sz w:val="22"/>
                <w:lang w:val="fr-FR"/>
              </w:rPr>
            </w:pPr>
            <w:r w:rsidRPr="00A72204">
              <w:rPr>
                <w:strike/>
                <w:sz w:val="22"/>
                <w:lang w:val="fr-FR"/>
              </w:rPr>
              <w:t>Les sous-indicateurs portant sur des types de menaces spécifiques peuvent dans certains cas constituer le point de départ le plus facile, et présenteront des spécificités utiles pour cibler les réponses politiques. Cependant, l’indicateur « général » est important également, puisque l’objectif 7 est principalement concerné par la nature additionnelle de toutes les menaces (et il est instructif de détecter les tendances dans l’importance relative des différents types de menaces).</w:t>
            </w:r>
          </w:p>
          <w:p w14:paraId="5F39B28C" w14:textId="77777777" w:rsidR="00EC272B" w:rsidRPr="00C746AD" w:rsidRDefault="00EC272B" w:rsidP="006124BC">
            <w:pPr>
              <w:rPr>
                <w:strike/>
                <w:sz w:val="12"/>
                <w:szCs w:val="12"/>
                <w:lang w:val="fr-FR"/>
              </w:rPr>
            </w:pPr>
          </w:p>
          <w:p w14:paraId="4383945A" w14:textId="77777777" w:rsidR="00EC272B" w:rsidRPr="00A72204" w:rsidRDefault="00EC272B" w:rsidP="006124BC">
            <w:pPr>
              <w:rPr>
                <w:strike/>
                <w:sz w:val="22"/>
                <w:lang w:val="fr-FR"/>
              </w:rPr>
            </w:pPr>
            <w:r w:rsidRPr="00A72204">
              <w:rPr>
                <w:strike/>
                <w:sz w:val="22"/>
                <w:lang w:val="fr-FR"/>
              </w:rPr>
              <w:t>(Le risque d’extinction est considéré ici comme un indicateur d’état plutôt qu’un indicateur de pression, et est donc mieux pris en considération par l’objectif 8).</w:t>
            </w:r>
          </w:p>
          <w:p w14:paraId="29DF2553" w14:textId="77777777" w:rsidR="00EC272B" w:rsidRPr="00A72204" w:rsidRDefault="00EC272B" w:rsidP="006124BC">
            <w:pPr>
              <w:rPr>
                <w:strike/>
                <w:sz w:val="22"/>
                <w:lang w:val="fr-FR"/>
              </w:rPr>
            </w:pPr>
          </w:p>
          <w:p w14:paraId="70A7B8D1" w14:textId="77777777" w:rsidR="00EC272B" w:rsidRPr="00A72204" w:rsidRDefault="00EC272B" w:rsidP="006124BC">
            <w:pPr>
              <w:rPr>
                <w:i/>
                <w:strike/>
                <w:sz w:val="22"/>
                <w:lang w:val="fr-FR"/>
              </w:rPr>
            </w:pPr>
            <w:r w:rsidRPr="00A72204">
              <w:rPr>
                <w:i/>
                <w:strike/>
                <w:sz w:val="22"/>
                <w:lang w:val="fr-FR"/>
              </w:rPr>
              <w:t>Pour une possible évolution future :</w:t>
            </w:r>
          </w:p>
          <w:p w14:paraId="6D6A17B1" w14:textId="77777777" w:rsidR="00EC272B" w:rsidRPr="00C746AD" w:rsidRDefault="00EC272B" w:rsidP="006124BC">
            <w:pPr>
              <w:rPr>
                <w:strike/>
                <w:sz w:val="12"/>
                <w:szCs w:val="12"/>
                <w:lang w:val="fr-FR"/>
              </w:rPr>
            </w:pPr>
          </w:p>
          <w:p w14:paraId="1A1BE58D" w14:textId="77777777" w:rsidR="00EC272B" w:rsidRPr="00A72204" w:rsidRDefault="00EC272B" w:rsidP="00EC272B">
            <w:pPr>
              <w:pStyle w:val="ListParagraph"/>
              <w:numPr>
                <w:ilvl w:val="0"/>
                <w:numId w:val="19"/>
              </w:numPr>
              <w:rPr>
                <w:strike/>
                <w:lang w:val="fr-FR"/>
              </w:rPr>
            </w:pPr>
            <w:r w:rsidRPr="00A72204">
              <w:rPr>
                <w:strike/>
                <w:lang w:val="fr-FR"/>
              </w:rPr>
              <w:t>Sous-indicateurs supplémentaires portant sur davantage de types de menaces/ sur des types de menaces additionnels.</w:t>
            </w:r>
          </w:p>
        </w:tc>
      </w:tr>
      <w:tr w:rsidR="00EC272B" w:rsidRPr="00591DCA" w14:paraId="1FB23D1A" w14:textId="77777777" w:rsidTr="006124BC">
        <w:tc>
          <w:tcPr>
            <w:tcW w:w="1908" w:type="dxa"/>
          </w:tcPr>
          <w:p w14:paraId="72510E1F" w14:textId="77777777" w:rsidR="00EC272B" w:rsidRPr="00A72204" w:rsidRDefault="00EC272B" w:rsidP="006124BC">
            <w:pPr>
              <w:spacing w:before="120"/>
              <w:rPr>
                <w:strike/>
                <w:sz w:val="22"/>
                <w:lang w:val="fr-FR"/>
              </w:rPr>
            </w:pPr>
            <w:r w:rsidRPr="00A72204">
              <w:rPr>
                <w:b/>
                <w:strike/>
                <w:sz w:val="22"/>
                <w:lang w:val="fr-FR"/>
              </w:rPr>
              <w:lastRenderedPageBreak/>
              <w:t>Objectif 8</w:t>
            </w:r>
          </w:p>
          <w:p w14:paraId="2A97BFF6" w14:textId="77777777" w:rsidR="00EC272B" w:rsidRPr="00A72204" w:rsidRDefault="00EC272B" w:rsidP="006124BC">
            <w:pPr>
              <w:rPr>
                <w:strike/>
                <w:sz w:val="22"/>
                <w:lang w:val="fr-FR"/>
              </w:rPr>
            </w:pPr>
          </w:p>
        </w:tc>
        <w:tc>
          <w:tcPr>
            <w:tcW w:w="7662" w:type="dxa"/>
          </w:tcPr>
          <w:p w14:paraId="1AAC0E38"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55AA499E" w14:textId="77777777" w:rsidR="00EC272B" w:rsidRPr="00C746AD" w:rsidRDefault="00EC272B" w:rsidP="006124BC">
            <w:pPr>
              <w:rPr>
                <w:strike/>
                <w:sz w:val="12"/>
                <w:szCs w:val="12"/>
                <w:lang w:val="fr-FR"/>
              </w:rPr>
            </w:pPr>
          </w:p>
          <w:p w14:paraId="00D712FC" w14:textId="77777777" w:rsidR="00EC272B" w:rsidRPr="00A72204" w:rsidRDefault="00EC272B" w:rsidP="00EC272B">
            <w:pPr>
              <w:pStyle w:val="ListParagraph"/>
              <w:numPr>
                <w:ilvl w:val="0"/>
                <w:numId w:val="20"/>
              </w:numPr>
              <w:rPr>
                <w:rFonts w:eastAsia="MS Mincho"/>
                <w:strike/>
                <w:lang w:val="fr-FR" w:eastAsia="ja-JP"/>
              </w:rPr>
            </w:pPr>
            <w:r w:rsidRPr="00A72204">
              <w:rPr>
                <w:rFonts w:eastAsia="MS Mincho"/>
                <w:strike/>
                <w:lang w:val="fr-FR" w:eastAsia="ja-JP"/>
              </w:rPr>
              <w:t>Indice de la Liste rouge pour les espèces migratrices.</w:t>
            </w:r>
          </w:p>
          <w:p w14:paraId="56000631" w14:textId="77777777" w:rsidR="00EC272B" w:rsidRPr="00A72204" w:rsidRDefault="00EC272B" w:rsidP="00EC272B">
            <w:pPr>
              <w:pStyle w:val="ListParagraph"/>
              <w:numPr>
                <w:ilvl w:val="0"/>
                <w:numId w:val="20"/>
              </w:numPr>
              <w:rPr>
                <w:rFonts w:eastAsia="MS Mincho"/>
                <w:strike/>
                <w:lang w:val="fr-FR" w:eastAsia="ja-JP"/>
              </w:rPr>
            </w:pPr>
            <w:r w:rsidRPr="00A72204">
              <w:rPr>
                <w:rFonts w:eastAsia="MS Mincho"/>
                <w:strike/>
                <w:lang w:val="fr-FR" w:eastAsia="ja-JP"/>
              </w:rPr>
              <w:t>Indice Planète vivante pour les espèces migratrices.</w:t>
            </w:r>
          </w:p>
          <w:p w14:paraId="59FA6BEE" w14:textId="77777777" w:rsidR="00EC272B" w:rsidRPr="00A72204" w:rsidRDefault="00EC272B" w:rsidP="00EC272B">
            <w:pPr>
              <w:pStyle w:val="ListParagraph"/>
              <w:numPr>
                <w:ilvl w:val="0"/>
                <w:numId w:val="20"/>
              </w:numPr>
              <w:rPr>
                <w:strike/>
                <w:lang w:val="fr-FR"/>
              </w:rPr>
            </w:pPr>
            <w:r w:rsidRPr="00A72204">
              <w:rPr>
                <w:rFonts w:eastAsia="MS Mincho"/>
                <w:strike/>
                <w:lang w:val="fr-FR" w:eastAsia="ja-JP"/>
              </w:rPr>
              <w:t>Indice des Oiseaux sauvages pour les oiseaux migrateurs.</w:t>
            </w:r>
            <w:r w:rsidRPr="00A72204">
              <w:rPr>
                <w:strike/>
                <w:lang w:val="fr-FR"/>
              </w:rPr>
              <w:t xml:space="preserve"> </w:t>
            </w:r>
          </w:p>
          <w:p w14:paraId="7AD6F0A9" w14:textId="77777777" w:rsidR="00C746AD" w:rsidRPr="00C746AD" w:rsidRDefault="00C746AD" w:rsidP="006124BC">
            <w:pPr>
              <w:jc w:val="both"/>
              <w:rPr>
                <w:strike/>
                <w:sz w:val="12"/>
                <w:szCs w:val="12"/>
                <w:lang w:val="fr-FR"/>
              </w:rPr>
            </w:pPr>
          </w:p>
          <w:p w14:paraId="0A355AED" w14:textId="6A77391D" w:rsidR="00EC272B" w:rsidRPr="00A72204" w:rsidRDefault="00EC272B" w:rsidP="006124BC">
            <w:pPr>
              <w:jc w:val="both"/>
              <w:rPr>
                <w:strike/>
                <w:sz w:val="22"/>
                <w:lang w:val="fr-FR"/>
              </w:rPr>
            </w:pPr>
            <w:r w:rsidRPr="00A72204">
              <w:rPr>
                <w:strike/>
                <w:sz w:val="22"/>
                <w:lang w:val="fr-FR"/>
              </w:rPr>
              <w:t xml:space="preserve">Les trois indicateurs proposés ici pourraient constituer des sous-ensembles possibles d’indicateurs existants et actuellement utilisés (pour plus de détails, se référer aux BIP). Les rapports devraient être conçus de manière à pouvoir renvoyer spécifiquement (le cas échéant) aux Annexes de la CMS et/ou aux </w:t>
            </w:r>
            <w:r w:rsidRPr="00A72204">
              <w:rPr>
                <w:strike/>
                <w:sz w:val="22"/>
                <w:lang w:val="fr-FR"/>
              </w:rPr>
              <w:lastRenderedPageBreak/>
              <w:t>annexes des instruments connexes de la CMS.</w:t>
            </w:r>
          </w:p>
          <w:p w14:paraId="3BEDE47B" w14:textId="77777777" w:rsidR="00EC272B" w:rsidRPr="00A72204" w:rsidRDefault="00EC272B" w:rsidP="006124BC">
            <w:pPr>
              <w:rPr>
                <w:strike/>
                <w:sz w:val="22"/>
                <w:lang w:val="fr-FR"/>
              </w:rPr>
            </w:pPr>
          </w:p>
          <w:p w14:paraId="306306DF" w14:textId="77777777" w:rsidR="00EC272B" w:rsidRPr="00A72204" w:rsidRDefault="00EC272B" w:rsidP="006124BC">
            <w:pPr>
              <w:rPr>
                <w:i/>
                <w:strike/>
                <w:sz w:val="22"/>
                <w:lang w:val="fr-FR"/>
              </w:rPr>
            </w:pPr>
            <w:r w:rsidRPr="00A72204">
              <w:rPr>
                <w:i/>
                <w:strike/>
                <w:sz w:val="22"/>
                <w:lang w:val="fr-FR"/>
              </w:rPr>
              <w:t>Pour une possible évolution future :</w:t>
            </w:r>
          </w:p>
          <w:p w14:paraId="620B57BA" w14:textId="77777777" w:rsidR="00EC272B" w:rsidRPr="00A72204" w:rsidRDefault="00EC272B" w:rsidP="006124BC">
            <w:pPr>
              <w:rPr>
                <w:strike/>
                <w:sz w:val="22"/>
                <w:lang w:val="fr-FR"/>
              </w:rPr>
            </w:pPr>
          </w:p>
          <w:p w14:paraId="683155AE" w14:textId="77777777" w:rsidR="00EC272B" w:rsidRPr="00A72204" w:rsidRDefault="00EC272B" w:rsidP="00EC272B">
            <w:pPr>
              <w:pStyle w:val="ListParagraph"/>
              <w:numPr>
                <w:ilvl w:val="0"/>
                <w:numId w:val="21"/>
              </w:numPr>
              <w:rPr>
                <w:rFonts w:eastAsia="MS Mincho"/>
                <w:strike/>
                <w:lang w:val="fr-FR" w:eastAsia="ja-JP"/>
              </w:rPr>
            </w:pPr>
            <w:r w:rsidRPr="00A72204">
              <w:rPr>
                <w:rFonts w:eastAsia="MS Mincho"/>
                <w:strike/>
                <w:lang w:val="fr-FR" w:eastAsia="ja-JP"/>
              </w:rPr>
              <w:t xml:space="preserve">Tendances en matière de répartition des espèces migratrices. </w:t>
            </w:r>
          </w:p>
          <w:p w14:paraId="47B0EF9E" w14:textId="77777777" w:rsidR="00EC272B" w:rsidRPr="00A72204" w:rsidRDefault="00EC272B" w:rsidP="006124BC">
            <w:pPr>
              <w:rPr>
                <w:strike/>
                <w:sz w:val="22"/>
                <w:lang w:val="fr-FR"/>
              </w:rPr>
            </w:pPr>
          </w:p>
          <w:p w14:paraId="69E56074" w14:textId="77777777" w:rsidR="00EC272B" w:rsidRPr="00A72204" w:rsidRDefault="00EC272B" w:rsidP="006124BC">
            <w:pPr>
              <w:jc w:val="both"/>
              <w:rPr>
                <w:strike/>
                <w:sz w:val="22"/>
                <w:lang w:val="fr-FR"/>
              </w:rPr>
            </w:pPr>
            <w:r w:rsidRPr="00A72204">
              <w:rPr>
                <w:strike/>
                <w:sz w:val="22"/>
                <w:lang w:val="fr-FR"/>
              </w:rPr>
              <w:t>Cette proposition est fondée sur un indicateur considéré comme « prioritaire et à développer » pour la CDB, et traite l’élément clé de l’état favorable des migrateurs qui se rapporte au maintien de l’aire de répartition. Les mesures quantifiées de cet indicateur seront difficilement réalisables pour la plupart des espèces, mais un indice brut pourrait être construit pour commencer, sur la base des changements dans les listes régulièrement actualisées des États de l’aire de répartition des espèces figurant aux Annexes de la CMS. Cela ne mettra en évidence que les changements les plus importants et marqués dans le temps, le processus de mise à jour de la liste des États de l’aire de répartition souffrant de quelques problèmes liés au contrôle de la qualité qui devront également être traités. La méthode pourrait potentiellement être adaptée afin d’être utilisée par exemple au niveau sous-national des régions administratives.</w:t>
            </w:r>
          </w:p>
        </w:tc>
      </w:tr>
      <w:tr w:rsidR="00EC272B" w:rsidRPr="00591DCA" w14:paraId="45109F33" w14:textId="77777777" w:rsidTr="006124BC">
        <w:tc>
          <w:tcPr>
            <w:tcW w:w="1717" w:type="dxa"/>
          </w:tcPr>
          <w:p w14:paraId="13DEC4B2" w14:textId="77777777" w:rsidR="00EC272B" w:rsidRPr="00A72204" w:rsidRDefault="00EC272B" w:rsidP="006124BC">
            <w:pPr>
              <w:spacing w:before="120"/>
              <w:rPr>
                <w:strike/>
                <w:sz w:val="22"/>
                <w:lang w:val="fr-FR"/>
              </w:rPr>
            </w:pPr>
            <w:r w:rsidRPr="00A72204">
              <w:rPr>
                <w:b/>
                <w:strike/>
                <w:sz w:val="22"/>
                <w:lang w:val="fr-FR"/>
              </w:rPr>
              <w:lastRenderedPageBreak/>
              <w:t>Objectif 9</w:t>
            </w:r>
          </w:p>
          <w:p w14:paraId="642CA79F" w14:textId="77777777" w:rsidR="00EC272B" w:rsidRPr="00A72204" w:rsidRDefault="00EC272B" w:rsidP="006124BC">
            <w:pPr>
              <w:rPr>
                <w:strike/>
                <w:sz w:val="22"/>
                <w:lang w:val="fr-FR"/>
              </w:rPr>
            </w:pPr>
          </w:p>
        </w:tc>
        <w:tc>
          <w:tcPr>
            <w:tcW w:w="6811" w:type="dxa"/>
          </w:tcPr>
          <w:p w14:paraId="20275921"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2092FCB7" w14:textId="77777777" w:rsidR="00EC272B" w:rsidRPr="00A72204" w:rsidRDefault="00EC272B" w:rsidP="006124BC">
            <w:pPr>
              <w:rPr>
                <w:strike/>
                <w:sz w:val="22"/>
                <w:lang w:val="fr-FR"/>
              </w:rPr>
            </w:pPr>
          </w:p>
          <w:p w14:paraId="41F5B506" w14:textId="77777777" w:rsidR="00EC272B" w:rsidRPr="00A72204" w:rsidRDefault="00EC272B" w:rsidP="00EC272B">
            <w:pPr>
              <w:pStyle w:val="ListParagraph"/>
              <w:numPr>
                <w:ilvl w:val="0"/>
                <w:numId w:val="21"/>
              </w:numPr>
              <w:rPr>
                <w:strike/>
                <w:lang w:val="fr-FR"/>
              </w:rPr>
            </w:pPr>
            <w:r w:rsidRPr="00A72204">
              <w:rPr>
                <w:strike/>
                <w:lang w:val="fr-FR"/>
              </w:rPr>
              <w:t>(Aucun)</w:t>
            </w:r>
          </w:p>
          <w:p w14:paraId="0A2E7808" w14:textId="77777777" w:rsidR="00EC272B" w:rsidRPr="00A72204" w:rsidRDefault="00EC272B" w:rsidP="006124BC">
            <w:pPr>
              <w:rPr>
                <w:strike/>
                <w:sz w:val="22"/>
                <w:lang w:val="fr-FR"/>
              </w:rPr>
            </w:pPr>
          </w:p>
          <w:p w14:paraId="33BF7E02" w14:textId="77777777" w:rsidR="00EC272B" w:rsidRPr="00A72204" w:rsidRDefault="00EC272B" w:rsidP="006124BC">
            <w:pPr>
              <w:rPr>
                <w:i/>
                <w:strike/>
                <w:sz w:val="22"/>
                <w:lang w:val="fr-FR"/>
              </w:rPr>
            </w:pPr>
            <w:r w:rsidRPr="00A72204">
              <w:rPr>
                <w:i/>
                <w:strike/>
                <w:sz w:val="22"/>
                <w:lang w:val="fr-FR"/>
              </w:rPr>
              <w:t>Pour une possible évolution future :</w:t>
            </w:r>
          </w:p>
          <w:p w14:paraId="5451E7EB" w14:textId="77777777" w:rsidR="00EC272B" w:rsidRPr="00A72204" w:rsidRDefault="00EC272B" w:rsidP="006124BC">
            <w:pPr>
              <w:rPr>
                <w:strike/>
                <w:sz w:val="22"/>
                <w:lang w:val="fr-FR"/>
              </w:rPr>
            </w:pPr>
          </w:p>
          <w:p w14:paraId="653B105D" w14:textId="77777777" w:rsidR="00EC272B" w:rsidRPr="00A72204" w:rsidRDefault="00EC272B" w:rsidP="00EC272B">
            <w:pPr>
              <w:pStyle w:val="ListParagraph"/>
              <w:numPr>
                <w:ilvl w:val="0"/>
                <w:numId w:val="21"/>
              </w:numPr>
              <w:rPr>
                <w:rFonts w:eastAsia="MS Mincho"/>
                <w:strike/>
                <w:lang w:val="fr-FR" w:eastAsia="ja-JP"/>
              </w:rPr>
            </w:pPr>
            <w:r w:rsidRPr="00A72204">
              <w:rPr>
                <w:rFonts w:eastAsia="MS Mincho"/>
                <w:strike/>
                <w:lang w:val="fr-FR" w:eastAsia="ja-JP"/>
              </w:rPr>
              <w:t>Tendance en matière de couverture de l’aire de répartition par les accords sur les espèces migratrices et d’autres actions concertées entre États.</w:t>
            </w:r>
          </w:p>
          <w:p w14:paraId="25EFB281" w14:textId="77777777" w:rsidR="00EC272B" w:rsidRPr="00A72204" w:rsidRDefault="00EC272B" w:rsidP="006124BC">
            <w:pPr>
              <w:rPr>
                <w:rFonts w:eastAsia="MS Mincho"/>
                <w:strike/>
                <w:sz w:val="22"/>
                <w:lang w:val="fr-FR" w:eastAsia="ja-JP"/>
              </w:rPr>
            </w:pPr>
          </w:p>
          <w:p w14:paraId="0EF6DB00" w14:textId="77777777" w:rsidR="00EC272B" w:rsidRDefault="00EC272B" w:rsidP="006124BC">
            <w:pPr>
              <w:jc w:val="both"/>
              <w:rPr>
                <w:strike/>
                <w:sz w:val="22"/>
                <w:lang w:val="fr-FR"/>
              </w:rPr>
            </w:pPr>
            <w:r w:rsidRPr="00A72204">
              <w:rPr>
                <w:strike/>
                <w:sz w:val="22"/>
                <w:lang w:val="fr-FR"/>
              </w:rPr>
              <w:t>Cet indicateur demande à être développé. Une grande partie de l’information requise (mais pas nécessairement sa totalité) pourrait être issue de l’information disponible sur le stade de ratification des accords de la Famille CMS, les actions concertées et en coopération formalisées, et les Plans d’actions par espèce développés dans le cadre de la CMS. Pour rendre opérationnel l’indicateur dédié à cet objectif, une étape supplémentaire sera cependant nécessaire, et consistera à relier ces informations aux données sur les aires de répartition des espèces, puisque le but est de montrer l’ensemble de la participation internationale à l’égard de chacune des espèces concernées. Les données relatives à l’aire de répartition sont déjà collectées au titre de la CMS au niveau des listes des États de l’aire de répartition, bien que cela souffre de quelques problèmes liés au contrôle de la qualité qui devront être traités. Le titre de l’indicateur est nécessairement abrégé, mais l’expression « d’autres actions concertées » doit être comprise comme englobant les plans d’action et équivalents (c’est à dire pas uniquement les mécanismes d</w:t>
            </w:r>
            <w:proofErr w:type="gramStart"/>
            <w:r w:rsidRPr="00A72204">
              <w:rPr>
                <w:strike/>
                <w:sz w:val="22"/>
                <w:lang w:val="fr-FR"/>
              </w:rPr>
              <w:t>’«</w:t>
            </w:r>
            <w:proofErr w:type="gramEnd"/>
            <w:r w:rsidRPr="00A72204">
              <w:rPr>
                <w:strike/>
                <w:sz w:val="22"/>
                <w:lang w:val="fr-FR"/>
              </w:rPr>
              <w:t> actions concertées » comme formellement établis par la CMS), et la « couverture » doit être comprise comme prenant en compte (au moins potentiellement) à la fois la couverture géographique et la mesure de l’engagement actif des États de l’aire de répartition.</w:t>
            </w:r>
          </w:p>
          <w:p w14:paraId="779FB5DC" w14:textId="411648E2" w:rsidR="00C746AD" w:rsidRPr="00A72204" w:rsidRDefault="00C746AD" w:rsidP="006124BC">
            <w:pPr>
              <w:jc w:val="both"/>
              <w:rPr>
                <w:strike/>
                <w:sz w:val="22"/>
                <w:lang w:val="fr-FR"/>
              </w:rPr>
            </w:pPr>
          </w:p>
        </w:tc>
      </w:tr>
      <w:tr w:rsidR="00EC272B" w:rsidRPr="00591DCA" w14:paraId="054259C6" w14:textId="77777777" w:rsidTr="006124BC">
        <w:tc>
          <w:tcPr>
            <w:tcW w:w="1717" w:type="dxa"/>
          </w:tcPr>
          <w:p w14:paraId="29B83F1F" w14:textId="77777777" w:rsidR="00EC272B" w:rsidRPr="00A72204" w:rsidRDefault="00EC272B" w:rsidP="006124BC">
            <w:pPr>
              <w:spacing w:before="120"/>
              <w:rPr>
                <w:strike/>
                <w:sz w:val="22"/>
                <w:lang w:val="fr-FR"/>
              </w:rPr>
            </w:pPr>
            <w:r w:rsidRPr="00A72204">
              <w:rPr>
                <w:b/>
                <w:strike/>
                <w:sz w:val="22"/>
                <w:lang w:val="fr-FR"/>
              </w:rPr>
              <w:lastRenderedPageBreak/>
              <w:t>Objectif 10</w:t>
            </w:r>
            <w:r w:rsidRPr="00A72204">
              <w:rPr>
                <w:strike/>
                <w:sz w:val="22"/>
                <w:lang w:val="fr-FR"/>
              </w:rPr>
              <w:t xml:space="preserve"> </w:t>
            </w:r>
          </w:p>
          <w:p w14:paraId="1C5A48B4" w14:textId="77777777" w:rsidR="00EC272B" w:rsidRPr="00A72204" w:rsidRDefault="00EC272B" w:rsidP="006124BC">
            <w:pPr>
              <w:rPr>
                <w:strike/>
                <w:sz w:val="22"/>
                <w:lang w:val="fr-FR"/>
              </w:rPr>
            </w:pPr>
          </w:p>
        </w:tc>
        <w:tc>
          <w:tcPr>
            <w:tcW w:w="6811" w:type="dxa"/>
          </w:tcPr>
          <w:p w14:paraId="4EA3DCF5"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7F608C59" w14:textId="77777777" w:rsidR="00EC272B" w:rsidRPr="00A72204" w:rsidRDefault="00EC272B" w:rsidP="006124BC">
            <w:pPr>
              <w:rPr>
                <w:strike/>
                <w:sz w:val="22"/>
                <w:lang w:val="fr-FR"/>
              </w:rPr>
            </w:pPr>
          </w:p>
          <w:p w14:paraId="35F5415F" w14:textId="77777777" w:rsidR="00EC272B" w:rsidRPr="00A72204" w:rsidRDefault="00EC272B" w:rsidP="00EC272B">
            <w:pPr>
              <w:pStyle w:val="ListParagraph"/>
              <w:numPr>
                <w:ilvl w:val="0"/>
                <w:numId w:val="21"/>
              </w:numPr>
              <w:rPr>
                <w:strike/>
                <w:lang w:val="fr-FR"/>
              </w:rPr>
            </w:pPr>
            <w:r w:rsidRPr="00A72204">
              <w:rPr>
                <w:strike/>
                <w:lang w:val="fr-FR"/>
              </w:rPr>
              <w:t xml:space="preserve">(Aucun) </w:t>
            </w:r>
          </w:p>
          <w:p w14:paraId="1CD9A9EA" w14:textId="77777777" w:rsidR="00EC272B" w:rsidRPr="00A72204" w:rsidRDefault="00EC272B" w:rsidP="006124BC">
            <w:pPr>
              <w:rPr>
                <w:strike/>
                <w:sz w:val="22"/>
                <w:lang w:val="fr-FR"/>
              </w:rPr>
            </w:pPr>
          </w:p>
          <w:p w14:paraId="655825A9" w14:textId="77777777" w:rsidR="00EC272B" w:rsidRPr="00A72204" w:rsidRDefault="00EC272B" w:rsidP="006124BC">
            <w:pPr>
              <w:rPr>
                <w:i/>
                <w:strike/>
                <w:sz w:val="22"/>
                <w:lang w:val="fr-FR"/>
              </w:rPr>
            </w:pPr>
            <w:r w:rsidRPr="00A72204">
              <w:rPr>
                <w:i/>
                <w:strike/>
                <w:sz w:val="22"/>
                <w:lang w:val="fr-FR"/>
              </w:rPr>
              <w:t>Pour une possible évolution future :</w:t>
            </w:r>
          </w:p>
          <w:p w14:paraId="01A9B252" w14:textId="77777777" w:rsidR="00EC272B" w:rsidRPr="00A72204" w:rsidRDefault="00EC272B" w:rsidP="006124BC">
            <w:pPr>
              <w:rPr>
                <w:strike/>
                <w:sz w:val="22"/>
                <w:lang w:val="fr-FR"/>
              </w:rPr>
            </w:pPr>
          </w:p>
          <w:p w14:paraId="662A92CF" w14:textId="77777777" w:rsidR="00EC272B" w:rsidRPr="00A72204" w:rsidRDefault="00EC272B" w:rsidP="00EC272B">
            <w:pPr>
              <w:pStyle w:val="ListParagraph"/>
              <w:numPr>
                <w:ilvl w:val="0"/>
                <w:numId w:val="21"/>
              </w:numPr>
              <w:rPr>
                <w:rFonts w:eastAsia="MS Mincho"/>
                <w:strike/>
                <w:lang w:val="fr-FR" w:eastAsia="ja-JP"/>
              </w:rPr>
            </w:pPr>
            <w:r w:rsidRPr="00A72204">
              <w:rPr>
                <w:rFonts w:eastAsia="MS Mincho"/>
                <w:strike/>
                <w:lang w:val="fr-FR" w:eastAsia="ja-JP"/>
              </w:rPr>
              <w:t>Tendances de l’état de conservation - y compris de la connectivité - des habitats identifiés comme étant d’une importance fondamentale pour les espèces migratrices.</w:t>
            </w:r>
          </w:p>
          <w:p w14:paraId="0A4EF0B0" w14:textId="77777777" w:rsidR="00EC272B" w:rsidRPr="00A72204" w:rsidRDefault="00EC272B" w:rsidP="00EC272B">
            <w:pPr>
              <w:pStyle w:val="ListParagraph"/>
              <w:numPr>
                <w:ilvl w:val="0"/>
                <w:numId w:val="21"/>
              </w:numPr>
              <w:rPr>
                <w:rFonts w:eastAsia="MS Mincho"/>
                <w:strike/>
                <w:lang w:val="fr-FR" w:eastAsia="ja-JP"/>
              </w:rPr>
            </w:pPr>
            <w:r w:rsidRPr="00A72204">
              <w:rPr>
                <w:rFonts w:eastAsia="MS Mincho"/>
                <w:strike/>
                <w:lang w:val="fr-FR" w:eastAsia="ja-JP"/>
              </w:rPr>
              <w:t>Couverture des habitats fondamentaux des espèces migratrices par les aires protégées.</w:t>
            </w:r>
          </w:p>
          <w:p w14:paraId="11743495" w14:textId="77777777" w:rsidR="00EC272B" w:rsidRPr="00A72204" w:rsidRDefault="00EC272B" w:rsidP="00EC272B">
            <w:pPr>
              <w:pStyle w:val="ListParagraph"/>
              <w:numPr>
                <w:ilvl w:val="0"/>
                <w:numId w:val="21"/>
              </w:numPr>
              <w:rPr>
                <w:rFonts w:eastAsia="MS Mincho"/>
                <w:strike/>
                <w:lang w:val="fr-FR" w:eastAsia="ja-JP"/>
              </w:rPr>
            </w:pPr>
            <w:r w:rsidRPr="00A72204">
              <w:rPr>
                <w:rFonts w:eastAsia="MS Mincho"/>
                <w:strike/>
                <w:lang w:val="fr-FR" w:eastAsia="ja-JP"/>
              </w:rPr>
              <w:t xml:space="preserve">Efficacité de la gestion des aires protégées visant spécifiquement les espèces migratrices. </w:t>
            </w:r>
          </w:p>
          <w:p w14:paraId="3211E4CA" w14:textId="77777777" w:rsidR="00EC272B" w:rsidRPr="00A72204" w:rsidRDefault="00EC272B" w:rsidP="006124BC">
            <w:pPr>
              <w:rPr>
                <w:rFonts w:eastAsia="MS Mincho"/>
                <w:strike/>
                <w:sz w:val="22"/>
                <w:lang w:val="fr-FR" w:eastAsia="ja-JP"/>
              </w:rPr>
            </w:pPr>
          </w:p>
          <w:p w14:paraId="7382D6BF" w14:textId="77777777" w:rsidR="00EC272B" w:rsidRPr="00A72204" w:rsidRDefault="00EC272B" w:rsidP="006124BC">
            <w:pPr>
              <w:jc w:val="both"/>
              <w:rPr>
                <w:rFonts w:eastAsia="MS Mincho"/>
                <w:strike/>
                <w:sz w:val="22"/>
                <w:lang w:val="fr-FR" w:eastAsia="ja-JP"/>
              </w:rPr>
            </w:pPr>
            <w:r w:rsidRPr="00A72204">
              <w:rPr>
                <w:strike/>
                <w:sz w:val="22"/>
                <w:lang w:val="fr-FR"/>
              </w:rPr>
              <w:t>Le premier de ces trois indicateurs s’inspire de l’indicateur du GSET « </w:t>
            </w:r>
            <w:r w:rsidRPr="00A72204">
              <w:rPr>
                <w:rFonts w:eastAsia="MS Mincho"/>
                <w:strike/>
                <w:sz w:val="22"/>
                <w:lang w:val="fr-FR" w:eastAsia="ja-JP"/>
              </w:rPr>
              <w:t>Tendances en matière de connectivité des aires protégées et d’autres actions locales intégrées aux paysages terrestres et marins »</w:t>
            </w:r>
            <w:r w:rsidRPr="00A72204">
              <w:rPr>
                <w:strike/>
                <w:sz w:val="22"/>
                <w:lang w:val="fr-FR"/>
              </w:rPr>
              <w:t>. Il demandera à être développé. Sa faisabilité pose des défis, tels que l’élaboration d’une méthode robuste pour l’identification systématique des habitats ayant cette pertinence spécifique, afin de décider comment mesurer les changements dans la connectivité, et pour pouvoir relier ces informations de manière significative aux impacts sur les espèces migratrices.</w:t>
            </w:r>
          </w:p>
          <w:p w14:paraId="7D755485" w14:textId="77777777" w:rsidR="00EC272B" w:rsidRPr="00A72204" w:rsidRDefault="00EC272B" w:rsidP="006124BC">
            <w:pPr>
              <w:jc w:val="both"/>
              <w:rPr>
                <w:rFonts w:eastAsia="MS Mincho"/>
                <w:strike/>
                <w:sz w:val="22"/>
                <w:lang w:val="fr-FR" w:eastAsia="ja-JP"/>
              </w:rPr>
            </w:pPr>
          </w:p>
          <w:p w14:paraId="19386B54" w14:textId="77777777" w:rsidR="00EC272B" w:rsidRPr="00A72204" w:rsidRDefault="00EC272B" w:rsidP="006124BC">
            <w:pPr>
              <w:jc w:val="both"/>
              <w:rPr>
                <w:rFonts w:eastAsia="MS Mincho"/>
                <w:strike/>
                <w:sz w:val="22"/>
                <w:lang w:val="fr-FR" w:eastAsia="ja-JP"/>
              </w:rPr>
            </w:pPr>
            <w:r w:rsidRPr="00A72204">
              <w:rPr>
                <w:strike/>
                <w:sz w:val="22"/>
                <w:lang w:val="fr-FR"/>
              </w:rPr>
              <w:t>Des indicateurs relatifs à la fragmentation des forêts et des rivières sont déjà en cours de discussion dans un contexte plus large sur la biodiversité, mais il est difficile de les traduire en effets sur la migration.</w:t>
            </w:r>
          </w:p>
          <w:p w14:paraId="247A367B" w14:textId="77777777" w:rsidR="00EC272B" w:rsidRPr="00A72204" w:rsidRDefault="00EC272B" w:rsidP="006124BC">
            <w:pPr>
              <w:jc w:val="both"/>
              <w:rPr>
                <w:rFonts w:eastAsia="MS Mincho"/>
                <w:strike/>
                <w:sz w:val="22"/>
                <w:lang w:val="fr-FR" w:eastAsia="ja-JP"/>
              </w:rPr>
            </w:pPr>
          </w:p>
          <w:p w14:paraId="7F88D2AA" w14:textId="77777777" w:rsidR="00EC272B" w:rsidRPr="00A72204" w:rsidRDefault="00EC272B" w:rsidP="006124BC">
            <w:pPr>
              <w:jc w:val="both"/>
              <w:rPr>
                <w:rFonts w:eastAsia="MS Mincho"/>
                <w:strike/>
                <w:sz w:val="22"/>
                <w:lang w:val="fr-FR" w:eastAsia="ja-JP"/>
              </w:rPr>
            </w:pPr>
            <w:r w:rsidRPr="00A72204">
              <w:rPr>
                <w:strike/>
                <w:sz w:val="22"/>
                <w:lang w:val="fr-FR"/>
              </w:rPr>
              <w:t xml:space="preserve">La communauté de la conservation des espèces migratrices souhaitera prêter attention aux informations données par des indicateurs plus généraux sur certains types d’habitats et sur les tendances des écosystèmes associés à l’Objectif 5 </w:t>
            </w:r>
            <w:proofErr w:type="gramStart"/>
            <w:r w:rsidRPr="00A72204">
              <w:rPr>
                <w:strike/>
                <w:sz w:val="22"/>
                <w:lang w:val="fr-FR"/>
              </w:rPr>
              <w:t>d’Aichi  correspondant</w:t>
            </w:r>
            <w:proofErr w:type="gramEnd"/>
            <w:r w:rsidRPr="00A72204">
              <w:rPr>
                <w:strike/>
                <w:sz w:val="22"/>
                <w:lang w:val="fr-FR"/>
              </w:rPr>
              <w:t>. Toutefois, il ne semble pas y avoir de justification suffisante pour proposer un volet distinct de ces indicateurs qui permettrait d’extraire les facteurs relatifs aux espèces migratrices.</w:t>
            </w:r>
          </w:p>
          <w:p w14:paraId="3F06B6A0" w14:textId="77777777" w:rsidR="00EC272B" w:rsidRPr="00A72204" w:rsidRDefault="00EC272B" w:rsidP="006124BC">
            <w:pPr>
              <w:jc w:val="both"/>
              <w:rPr>
                <w:rFonts w:eastAsia="MS Mincho"/>
                <w:strike/>
                <w:sz w:val="22"/>
                <w:lang w:val="fr-FR" w:eastAsia="ja-JP"/>
              </w:rPr>
            </w:pPr>
          </w:p>
          <w:p w14:paraId="7F98DD21" w14:textId="77777777" w:rsidR="00EC272B" w:rsidRPr="00A72204" w:rsidRDefault="00EC272B" w:rsidP="006124BC">
            <w:pPr>
              <w:jc w:val="both"/>
              <w:rPr>
                <w:rFonts w:eastAsia="MS Mincho"/>
                <w:strike/>
                <w:sz w:val="22"/>
                <w:lang w:val="fr-FR" w:eastAsia="ja-JP"/>
              </w:rPr>
            </w:pPr>
            <w:r w:rsidRPr="00A72204">
              <w:rPr>
                <w:strike/>
                <w:sz w:val="22"/>
                <w:lang w:val="fr-FR"/>
              </w:rPr>
              <w:t>En ce qui concerne les deuxième et troisième problématiques énumérées ci-dessus, il pourrait être possible de développer des indicateurs en tant que sous-ensembles des trois indicateurs BIP plus génériques correspondants et portant sur ces sujets, qui sont tous supposés être prêts à être utilisés (les indicateurs BIP « couverture » et « étendue » contribuant tous deux à la première des deux propositions relatives aux espèces migratrices ci-dessus). Isoler les composants qui se rapportent spécifiquement aux espèces migratrices nécessitera cependant un travail considérable, et pourrait s’avérer difficile. L’une des façons de désagréger les données des indicateurs portant sur l’efficacité de la gestion pourrait consister à séparer tous les sites concernés inclus dans les réseaux de sites des voies de migration (et d’appliquer la méthodologie à ces sites qui ne font pas déjà l’objet d’une telle évaluation).</w:t>
            </w:r>
          </w:p>
          <w:p w14:paraId="2668465B" w14:textId="77777777" w:rsidR="00EC272B" w:rsidRPr="00A72204" w:rsidRDefault="00EC272B" w:rsidP="006124BC">
            <w:pPr>
              <w:jc w:val="both"/>
              <w:rPr>
                <w:rFonts w:eastAsia="MS Mincho"/>
                <w:strike/>
                <w:sz w:val="22"/>
                <w:lang w:val="fr-FR" w:eastAsia="ja-JP"/>
              </w:rPr>
            </w:pPr>
          </w:p>
          <w:p w14:paraId="095FE535" w14:textId="77777777" w:rsidR="00EC272B" w:rsidRPr="00A72204" w:rsidRDefault="00EC272B" w:rsidP="006124BC">
            <w:pPr>
              <w:jc w:val="both"/>
              <w:rPr>
                <w:rFonts w:eastAsia="MS Mincho"/>
                <w:strike/>
                <w:sz w:val="22"/>
                <w:lang w:val="fr-FR" w:eastAsia="ja-JP"/>
              </w:rPr>
            </w:pPr>
            <w:r w:rsidRPr="00A72204">
              <w:rPr>
                <w:strike/>
                <w:sz w:val="22"/>
                <w:lang w:val="fr-FR"/>
              </w:rPr>
              <w:t>La poursuite de l’élaboration de cette approche dépend aussi de la résolution du problème d’absence de données de base, ou d’incertitude des données, pour les éléments quantitatifs de l’Objectif d’Aichi correspondant, et pour la totalité des données sur les sites considérés comme d’une importance cruciale pour les espèces migratrices</w:t>
            </w:r>
          </w:p>
          <w:p w14:paraId="3EE8D50E" w14:textId="77777777" w:rsidR="00EC272B" w:rsidRPr="00A72204" w:rsidRDefault="00EC272B" w:rsidP="006124BC">
            <w:pPr>
              <w:jc w:val="both"/>
              <w:rPr>
                <w:strike/>
                <w:sz w:val="22"/>
                <w:lang w:val="fr-FR"/>
              </w:rPr>
            </w:pPr>
            <w:r w:rsidRPr="00A72204">
              <w:rPr>
                <w:strike/>
                <w:sz w:val="22"/>
                <w:lang w:val="fr-FR"/>
              </w:rPr>
              <w:t>La pertinence de l’investissement dans ces indicateurs devrait être évaluée avec prudence.</w:t>
            </w:r>
          </w:p>
        </w:tc>
      </w:tr>
      <w:tr w:rsidR="00EC272B" w:rsidRPr="00591DCA" w14:paraId="1A873BE9" w14:textId="77777777" w:rsidTr="006124BC">
        <w:tc>
          <w:tcPr>
            <w:tcW w:w="1717" w:type="dxa"/>
          </w:tcPr>
          <w:p w14:paraId="5D7AB2AE" w14:textId="77777777" w:rsidR="00EC272B" w:rsidRPr="00A72204" w:rsidRDefault="00EC272B" w:rsidP="006124BC">
            <w:pPr>
              <w:spacing w:before="120"/>
              <w:rPr>
                <w:strike/>
                <w:sz w:val="22"/>
                <w:lang w:val="fr-FR"/>
              </w:rPr>
            </w:pPr>
            <w:r w:rsidRPr="00A72204">
              <w:rPr>
                <w:b/>
                <w:strike/>
                <w:sz w:val="22"/>
                <w:lang w:val="fr-FR"/>
              </w:rPr>
              <w:lastRenderedPageBreak/>
              <w:t>Objectif 11</w:t>
            </w:r>
            <w:r w:rsidRPr="00A72204">
              <w:rPr>
                <w:strike/>
                <w:sz w:val="22"/>
                <w:lang w:val="fr-FR"/>
              </w:rPr>
              <w:t xml:space="preserve"> </w:t>
            </w:r>
          </w:p>
          <w:p w14:paraId="4725AE6D" w14:textId="77777777" w:rsidR="00EC272B" w:rsidRPr="00A72204" w:rsidRDefault="00EC272B" w:rsidP="006124BC">
            <w:pPr>
              <w:rPr>
                <w:strike/>
                <w:sz w:val="22"/>
                <w:lang w:val="fr-FR"/>
              </w:rPr>
            </w:pPr>
          </w:p>
        </w:tc>
        <w:tc>
          <w:tcPr>
            <w:tcW w:w="6811" w:type="dxa"/>
          </w:tcPr>
          <w:p w14:paraId="0BA1770C"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4C60CCF8" w14:textId="77777777" w:rsidR="00EC272B" w:rsidRPr="00A72204" w:rsidRDefault="00EC272B" w:rsidP="006124BC">
            <w:pPr>
              <w:rPr>
                <w:strike/>
                <w:sz w:val="22"/>
                <w:lang w:val="fr-FR"/>
              </w:rPr>
            </w:pPr>
          </w:p>
          <w:p w14:paraId="38A4161E" w14:textId="77777777" w:rsidR="00EC272B" w:rsidRPr="00A72204" w:rsidRDefault="00EC272B" w:rsidP="00EC272B">
            <w:pPr>
              <w:pStyle w:val="ListParagraph"/>
              <w:numPr>
                <w:ilvl w:val="0"/>
                <w:numId w:val="22"/>
              </w:numPr>
              <w:rPr>
                <w:strike/>
                <w:lang w:val="fr-FR"/>
              </w:rPr>
            </w:pPr>
            <w:r w:rsidRPr="00A72204">
              <w:rPr>
                <w:strike/>
                <w:lang w:val="fr-FR"/>
              </w:rPr>
              <w:t>(Aucun)</w:t>
            </w:r>
          </w:p>
          <w:p w14:paraId="09F15671" w14:textId="77777777" w:rsidR="00EC272B" w:rsidRPr="00A72204" w:rsidRDefault="00EC272B" w:rsidP="006124BC">
            <w:pPr>
              <w:rPr>
                <w:strike/>
                <w:sz w:val="22"/>
                <w:lang w:val="fr-FR"/>
              </w:rPr>
            </w:pPr>
          </w:p>
          <w:p w14:paraId="0A8DE2DA" w14:textId="77777777" w:rsidR="00EC272B" w:rsidRPr="00A72204" w:rsidRDefault="00EC272B" w:rsidP="006124BC">
            <w:pPr>
              <w:rPr>
                <w:i/>
                <w:strike/>
                <w:sz w:val="22"/>
                <w:lang w:val="fr-FR"/>
              </w:rPr>
            </w:pPr>
            <w:r w:rsidRPr="00A72204">
              <w:rPr>
                <w:i/>
                <w:strike/>
                <w:sz w:val="22"/>
                <w:lang w:val="fr-FR"/>
              </w:rPr>
              <w:t>Pour une possible évolution future :</w:t>
            </w:r>
          </w:p>
          <w:p w14:paraId="004488B6" w14:textId="77777777" w:rsidR="00EC272B" w:rsidRPr="00A72204" w:rsidRDefault="00EC272B" w:rsidP="006124BC">
            <w:pPr>
              <w:rPr>
                <w:strike/>
                <w:sz w:val="22"/>
                <w:lang w:val="fr-FR"/>
              </w:rPr>
            </w:pPr>
          </w:p>
          <w:p w14:paraId="603D547B" w14:textId="77777777" w:rsidR="00EC272B" w:rsidRPr="00A72204" w:rsidRDefault="00EC272B" w:rsidP="00EC272B">
            <w:pPr>
              <w:pStyle w:val="ListParagraph"/>
              <w:numPr>
                <w:ilvl w:val="0"/>
                <w:numId w:val="22"/>
              </w:numPr>
              <w:rPr>
                <w:rFonts w:eastAsia="MS Mincho"/>
                <w:strike/>
                <w:lang w:val="fr-FR" w:eastAsia="ja-JP"/>
              </w:rPr>
            </w:pPr>
            <w:r w:rsidRPr="00A72204">
              <w:rPr>
                <w:rFonts w:eastAsia="MS Mincho"/>
                <w:strike/>
                <w:lang w:val="fr-FR" w:eastAsia="ja-JP"/>
              </w:rPr>
              <w:t xml:space="preserve">Tendances en matière de fourniture de services écosystémiques dépendant directement des espèces migratrices. </w:t>
            </w:r>
          </w:p>
          <w:p w14:paraId="2BDECC87" w14:textId="77777777" w:rsidR="00EC272B" w:rsidRPr="00A72204" w:rsidRDefault="00EC272B" w:rsidP="006124BC">
            <w:pPr>
              <w:rPr>
                <w:rFonts w:eastAsia="MS Mincho"/>
                <w:strike/>
                <w:sz w:val="22"/>
                <w:lang w:val="fr-FR" w:eastAsia="ja-JP"/>
              </w:rPr>
            </w:pPr>
          </w:p>
          <w:p w14:paraId="1D5910BD" w14:textId="77777777" w:rsidR="00EC272B" w:rsidRPr="00A72204" w:rsidRDefault="00EC272B" w:rsidP="006124BC">
            <w:pPr>
              <w:jc w:val="both"/>
              <w:rPr>
                <w:strike/>
                <w:sz w:val="22"/>
                <w:lang w:val="fr-FR"/>
              </w:rPr>
            </w:pPr>
            <w:r w:rsidRPr="00A72204">
              <w:rPr>
                <w:strike/>
                <w:sz w:val="22"/>
                <w:lang w:val="fr-FR"/>
              </w:rPr>
              <w:t xml:space="preserve">L’indicateur proposé </w:t>
            </w:r>
            <w:proofErr w:type="gramStart"/>
            <w:r w:rsidRPr="00A72204">
              <w:rPr>
                <w:strike/>
                <w:sz w:val="22"/>
                <w:lang w:val="fr-FR"/>
              </w:rPr>
              <w:t>est</w:t>
            </w:r>
            <w:proofErr w:type="gramEnd"/>
            <w:r w:rsidRPr="00A72204">
              <w:rPr>
                <w:strike/>
                <w:sz w:val="22"/>
                <w:lang w:val="fr-FR"/>
              </w:rPr>
              <w:t xml:space="preserve"> constitué des composantes les plus pertinentes des indicateurs CDB et BIP relatifs à l’Objectif d’Aichi (14) correspondant à l’objectif « espèces migratrices » proposé, et qui comprennent certains indicateurs prêts à être utilisés et d’autres en développement. Un travail serait nécessaire pour définir les services considérés comme pertinents, pour isoler et préciser la dépendance de cause à effet vis-à-vis des espèces migratrices considérées, et pour concevoir des paramètres de mesure liés à cette dépendance et ne répétant pas simplement les évaluations de l’état des espèces qui font déjà l’objet de l’objectif 8 ci-dessus. La proposition prend ces éléments en compte en cherchant à mesurer les avantages pour l’homme plutôt que l’état des espèces, bien que cela dépasse légèrement le strict cadre de l’objectif (qui vise seulement à garantir le </w:t>
            </w:r>
            <w:r w:rsidRPr="00A72204">
              <w:rPr>
                <w:i/>
                <w:strike/>
                <w:sz w:val="22"/>
                <w:lang w:val="fr-FR"/>
              </w:rPr>
              <w:t>potentiel</w:t>
            </w:r>
            <w:r w:rsidRPr="00A72204">
              <w:rPr>
                <w:strike/>
                <w:sz w:val="22"/>
                <w:lang w:val="fr-FR"/>
              </w:rPr>
              <w:t xml:space="preserve"> en termes d’avantages).</w:t>
            </w:r>
          </w:p>
          <w:p w14:paraId="7CE3F740" w14:textId="77777777" w:rsidR="00EC272B" w:rsidRPr="00A72204" w:rsidRDefault="00EC272B" w:rsidP="006124BC">
            <w:pPr>
              <w:jc w:val="both"/>
              <w:rPr>
                <w:rFonts w:eastAsia="MS Mincho"/>
                <w:strike/>
                <w:sz w:val="22"/>
                <w:lang w:val="fr-FR" w:eastAsia="ja-JP"/>
              </w:rPr>
            </w:pPr>
          </w:p>
          <w:p w14:paraId="50915539" w14:textId="77777777" w:rsidR="00EC272B" w:rsidRPr="00A72204" w:rsidRDefault="00EC272B" w:rsidP="006124BC">
            <w:pPr>
              <w:jc w:val="both"/>
              <w:rPr>
                <w:strike/>
                <w:sz w:val="22"/>
                <w:lang w:val="fr-FR"/>
              </w:rPr>
            </w:pPr>
            <w:r w:rsidRPr="00A72204">
              <w:rPr>
                <w:strike/>
                <w:sz w:val="22"/>
                <w:lang w:val="fr-FR"/>
              </w:rPr>
              <w:t>L’élaboration d’indicateurs des services écosystémiques est très difficile, mais il pourrait être possible d’isoler des services particuliers apportés par certaines espèces migratrices, à titre d’exemples illustrant cette question. Il serait préférable de retenir des cas qui ne reflètent pas un usage destructif, cela étant pris en compte par d’autres indicateurs, et les exemples portant sur la pollinisation ou les services liés au pâturage pourraient ainsi être prioritaires.</w:t>
            </w:r>
          </w:p>
          <w:p w14:paraId="727F5906" w14:textId="77777777" w:rsidR="00EC272B" w:rsidRPr="00A72204" w:rsidRDefault="00EC272B" w:rsidP="006124BC">
            <w:pPr>
              <w:jc w:val="both"/>
              <w:rPr>
                <w:strike/>
                <w:sz w:val="22"/>
                <w:lang w:val="fr-FR"/>
              </w:rPr>
            </w:pPr>
          </w:p>
        </w:tc>
      </w:tr>
      <w:tr w:rsidR="00EC272B" w:rsidRPr="00591DCA" w14:paraId="26FB9551" w14:textId="77777777" w:rsidTr="006124BC">
        <w:tc>
          <w:tcPr>
            <w:tcW w:w="1717" w:type="dxa"/>
          </w:tcPr>
          <w:p w14:paraId="51120F84" w14:textId="77777777" w:rsidR="00EC272B" w:rsidRPr="00A72204" w:rsidRDefault="00EC272B" w:rsidP="006124BC">
            <w:pPr>
              <w:spacing w:before="120"/>
              <w:rPr>
                <w:strike/>
                <w:sz w:val="22"/>
                <w:lang w:val="fr-FR"/>
              </w:rPr>
            </w:pPr>
            <w:r w:rsidRPr="00A72204">
              <w:rPr>
                <w:b/>
                <w:strike/>
                <w:sz w:val="22"/>
                <w:lang w:val="fr-FR"/>
              </w:rPr>
              <w:t xml:space="preserve">Objectif </w:t>
            </w:r>
            <w:r w:rsidRPr="00A72204">
              <w:rPr>
                <w:b/>
                <w:bCs/>
                <w:strike/>
                <w:sz w:val="22"/>
                <w:lang w:val="fr-FR"/>
              </w:rPr>
              <w:t>12</w:t>
            </w:r>
            <w:r w:rsidRPr="00A72204">
              <w:rPr>
                <w:bCs/>
                <w:strike/>
                <w:sz w:val="22"/>
                <w:lang w:val="fr-FR"/>
              </w:rPr>
              <w:t xml:space="preserve"> </w:t>
            </w:r>
          </w:p>
          <w:p w14:paraId="3CEA2BCC" w14:textId="77777777" w:rsidR="00EC272B" w:rsidRPr="00A72204" w:rsidRDefault="00EC272B" w:rsidP="006124BC">
            <w:pPr>
              <w:rPr>
                <w:strike/>
                <w:sz w:val="22"/>
                <w:lang w:val="fr-FR"/>
              </w:rPr>
            </w:pPr>
          </w:p>
        </w:tc>
        <w:tc>
          <w:tcPr>
            <w:tcW w:w="6811" w:type="dxa"/>
          </w:tcPr>
          <w:p w14:paraId="7E9EF9B6"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33DEBBB2" w14:textId="77777777" w:rsidR="00EC272B" w:rsidRPr="00A72204" w:rsidRDefault="00EC272B" w:rsidP="006124BC">
            <w:pPr>
              <w:rPr>
                <w:strike/>
                <w:sz w:val="22"/>
                <w:lang w:val="fr-FR"/>
              </w:rPr>
            </w:pPr>
          </w:p>
          <w:p w14:paraId="02D369D1" w14:textId="77777777" w:rsidR="00EC272B" w:rsidRPr="00A72204" w:rsidRDefault="00EC272B" w:rsidP="00EC272B">
            <w:pPr>
              <w:pStyle w:val="ListParagraph"/>
              <w:numPr>
                <w:ilvl w:val="0"/>
                <w:numId w:val="22"/>
              </w:numPr>
              <w:rPr>
                <w:strike/>
                <w:lang w:val="fr-FR"/>
              </w:rPr>
            </w:pPr>
            <w:r w:rsidRPr="00A72204">
              <w:rPr>
                <w:strike/>
                <w:lang w:val="fr-FR"/>
              </w:rPr>
              <w:t>Stratégies pertinentes pour les espèces migratrices, développées et mises en œuvre pour réduire au minimum l’érosion génétique.</w:t>
            </w:r>
          </w:p>
          <w:p w14:paraId="038F3BB7" w14:textId="77777777" w:rsidR="00EC272B" w:rsidRPr="00A72204" w:rsidRDefault="00EC272B" w:rsidP="006124BC">
            <w:pPr>
              <w:rPr>
                <w:rFonts w:eastAsia="MS Mincho"/>
                <w:strike/>
                <w:sz w:val="22"/>
                <w:lang w:val="fr-FR" w:eastAsia="ja-JP"/>
              </w:rPr>
            </w:pPr>
          </w:p>
          <w:p w14:paraId="28F28538" w14:textId="77777777" w:rsidR="00EC272B" w:rsidRPr="00A72204" w:rsidRDefault="00EC272B" w:rsidP="006124BC">
            <w:pPr>
              <w:jc w:val="both"/>
              <w:rPr>
                <w:strike/>
                <w:sz w:val="22"/>
                <w:lang w:val="fr-FR"/>
              </w:rPr>
            </w:pPr>
            <w:r w:rsidRPr="00A72204">
              <w:rPr>
                <w:strike/>
                <w:sz w:val="22"/>
                <w:lang w:val="fr-FR"/>
              </w:rPr>
              <w:t xml:space="preserve">Compte tenu de la difficulté de mettre au point un indicateur de résultat réaliste pour cet objectif, la solution la plus réaliste consiste probablement à rendre compte sur les « moyens objectifs » que constitue la deuxième partie </w:t>
            </w:r>
            <w:r w:rsidRPr="00A72204">
              <w:rPr>
                <w:strike/>
                <w:sz w:val="22"/>
                <w:lang w:val="fr-FR"/>
              </w:rPr>
              <w:lastRenderedPageBreak/>
              <w:t>de l’objectif. Limiter cela à des stratégies qui ne prendraient en compte que les espèces migratrices pourraient restreindre trop strictement la portée de l’indicateur, d’où la référence seulement à des stratégies « pertinentes » pour les espèces migratrices.</w:t>
            </w:r>
          </w:p>
          <w:p w14:paraId="7AED867A" w14:textId="77777777" w:rsidR="00EC272B" w:rsidRPr="00A72204" w:rsidRDefault="00EC272B" w:rsidP="006124BC">
            <w:pPr>
              <w:rPr>
                <w:strike/>
                <w:sz w:val="22"/>
                <w:lang w:val="fr-FR"/>
              </w:rPr>
            </w:pPr>
          </w:p>
          <w:p w14:paraId="054D02C7" w14:textId="77777777" w:rsidR="00EC272B" w:rsidRPr="00A72204" w:rsidRDefault="00EC272B" w:rsidP="006124BC">
            <w:pPr>
              <w:rPr>
                <w:i/>
                <w:strike/>
                <w:sz w:val="22"/>
                <w:lang w:val="fr-FR"/>
              </w:rPr>
            </w:pPr>
            <w:r w:rsidRPr="00A72204">
              <w:rPr>
                <w:i/>
                <w:strike/>
                <w:sz w:val="22"/>
                <w:lang w:val="fr-FR"/>
              </w:rPr>
              <w:t>Pour une possible évolution future :</w:t>
            </w:r>
          </w:p>
          <w:p w14:paraId="76703F51" w14:textId="77777777" w:rsidR="00EC272B" w:rsidRPr="00A72204" w:rsidRDefault="00EC272B" w:rsidP="006124BC">
            <w:pPr>
              <w:rPr>
                <w:strike/>
                <w:sz w:val="22"/>
                <w:lang w:val="fr-FR"/>
              </w:rPr>
            </w:pPr>
          </w:p>
          <w:p w14:paraId="4B39FB04" w14:textId="77777777" w:rsidR="00EC272B" w:rsidRPr="00A72204" w:rsidRDefault="00EC272B" w:rsidP="00EC272B">
            <w:pPr>
              <w:pStyle w:val="ListParagraph"/>
              <w:numPr>
                <w:ilvl w:val="0"/>
                <w:numId w:val="22"/>
              </w:numPr>
              <w:rPr>
                <w:rFonts w:eastAsia="MS Mincho"/>
                <w:strike/>
                <w:lang w:val="fr-FR" w:eastAsia="ja-JP"/>
              </w:rPr>
            </w:pPr>
            <w:r w:rsidRPr="00A72204">
              <w:rPr>
                <w:rFonts w:eastAsia="MS Mincho"/>
                <w:strike/>
                <w:lang w:val="fr-FR" w:eastAsia="ja-JP"/>
              </w:rPr>
              <w:t>(</w:t>
            </w:r>
            <w:proofErr w:type="gramStart"/>
            <w:r w:rsidRPr="00A72204">
              <w:rPr>
                <w:rFonts w:eastAsia="MS Mincho"/>
                <w:strike/>
                <w:lang w:val="fr-FR" w:eastAsia="ja-JP"/>
              </w:rPr>
              <w:t>probablement</w:t>
            </w:r>
            <w:proofErr w:type="gramEnd"/>
            <w:r w:rsidRPr="00A72204">
              <w:rPr>
                <w:rFonts w:eastAsia="MS Mincho"/>
                <w:strike/>
                <w:lang w:val="fr-FR" w:eastAsia="ja-JP"/>
              </w:rPr>
              <w:t xml:space="preserve"> non réalisable)</w:t>
            </w:r>
          </w:p>
          <w:p w14:paraId="0A5F9436" w14:textId="77777777" w:rsidR="00EC272B" w:rsidRPr="00A72204" w:rsidRDefault="00EC272B" w:rsidP="006124BC">
            <w:pPr>
              <w:rPr>
                <w:rFonts w:eastAsia="MS Mincho"/>
                <w:strike/>
                <w:sz w:val="22"/>
                <w:lang w:val="fr-FR" w:eastAsia="ja-JP"/>
              </w:rPr>
            </w:pPr>
          </w:p>
          <w:p w14:paraId="0FC5813C" w14:textId="77777777" w:rsidR="00EC272B" w:rsidRPr="00A72204" w:rsidRDefault="00EC272B" w:rsidP="006124BC">
            <w:pPr>
              <w:jc w:val="both"/>
              <w:rPr>
                <w:strike/>
                <w:sz w:val="22"/>
                <w:lang w:val="fr-FR"/>
              </w:rPr>
            </w:pPr>
            <w:r w:rsidRPr="00A72204">
              <w:rPr>
                <w:strike/>
                <w:sz w:val="22"/>
                <w:lang w:val="fr-FR"/>
              </w:rPr>
              <w:t>Les indicateurs existants ne sont pas adaptés pour traiter l’érosion génétique chez les animaux sauvages. Cela peut être le cas lorsque les progrès vers l’atteinte d’un objectif du Plan stratégique ne peuvent être évalués qu’à travers des « rapports d’exception » c’est à dire en maintenant une veille réactive et peut-être des vérifications annuelles de rappel afin de documenter tous les cas de tendances notables allant vers ou s’éloignant de l’état défini pour l’objectif.</w:t>
            </w:r>
          </w:p>
        </w:tc>
      </w:tr>
      <w:tr w:rsidR="00EC272B" w:rsidRPr="00591DCA" w14:paraId="6197980A" w14:textId="77777777" w:rsidTr="006124BC">
        <w:tc>
          <w:tcPr>
            <w:tcW w:w="1717" w:type="dxa"/>
          </w:tcPr>
          <w:p w14:paraId="1C9C18F3" w14:textId="77777777" w:rsidR="00EC272B" w:rsidRPr="00A72204" w:rsidRDefault="00EC272B" w:rsidP="006124BC">
            <w:pPr>
              <w:spacing w:before="120"/>
              <w:rPr>
                <w:b/>
                <w:strike/>
                <w:sz w:val="22"/>
                <w:lang w:val="fr-FR"/>
              </w:rPr>
            </w:pPr>
            <w:r w:rsidRPr="00A72204">
              <w:rPr>
                <w:b/>
                <w:strike/>
                <w:sz w:val="22"/>
                <w:lang w:val="fr-FR"/>
              </w:rPr>
              <w:lastRenderedPageBreak/>
              <w:t xml:space="preserve">Objectif </w:t>
            </w:r>
            <w:r w:rsidRPr="00A72204">
              <w:rPr>
                <w:b/>
                <w:bCs/>
                <w:strike/>
                <w:sz w:val="22"/>
                <w:lang w:val="fr-FR"/>
              </w:rPr>
              <w:t>13</w:t>
            </w:r>
          </w:p>
        </w:tc>
        <w:tc>
          <w:tcPr>
            <w:tcW w:w="6811" w:type="dxa"/>
          </w:tcPr>
          <w:p w14:paraId="2B75D18F"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61F52607" w14:textId="77777777" w:rsidR="00EC272B" w:rsidRPr="00A72204" w:rsidRDefault="00EC272B" w:rsidP="006124BC">
            <w:pPr>
              <w:rPr>
                <w:strike/>
                <w:sz w:val="22"/>
                <w:lang w:val="fr-FR"/>
              </w:rPr>
            </w:pPr>
          </w:p>
          <w:p w14:paraId="14C0B489" w14:textId="77777777" w:rsidR="00EC272B" w:rsidRPr="00A72204" w:rsidRDefault="00EC272B" w:rsidP="00EC272B">
            <w:pPr>
              <w:pStyle w:val="ListParagraph"/>
              <w:numPr>
                <w:ilvl w:val="0"/>
                <w:numId w:val="22"/>
              </w:numPr>
              <w:rPr>
                <w:strike/>
                <w:lang w:val="fr-FR"/>
              </w:rPr>
            </w:pPr>
            <w:r w:rsidRPr="00A72204">
              <w:rPr>
                <w:rFonts w:eastAsia="MS Mincho"/>
                <w:strike/>
                <w:lang w:val="fr-FR" w:eastAsia="ja-JP"/>
              </w:rPr>
              <w:t>Tendances en matière d’attention portée aux espèces migratrices dans les stratégies et plans d'action nationaux pour la biodiversité</w:t>
            </w:r>
            <w:r w:rsidRPr="00A72204">
              <w:rPr>
                <w:strike/>
                <w:lang w:val="fr-FR"/>
              </w:rPr>
              <w:t>.</w:t>
            </w:r>
          </w:p>
          <w:p w14:paraId="3FDAA504" w14:textId="77777777" w:rsidR="00EC272B" w:rsidRPr="00A72204" w:rsidRDefault="00EC272B" w:rsidP="006124BC">
            <w:pPr>
              <w:rPr>
                <w:strike/>
                <w:sz w:val="22"/>
                <w:lang w:val="fr-FR"/>
              </w:rPr>
            </w:pPr>
          </w:p>
          <w:p w14:paraId="41F95B9A" w14:textId="77777777" w:rsidR="00EC272B" w:rsidRPr="00A72204" w:rsidRDefault="00EC272B" w:rsidP="006124BC">
            <w:pPr>
              <w:jc w:val="both"/>
              <w:rPr>
                <w:strike/>
                <w:sz w:val="22"/>
                <w:lang w:val="fr-FR"/>
              </w:rPr>
            </w:pPr>
            <w:r w:rsidRPr="00A72204">
              <w:rPr>
                <w:strike/>
                <w:sz w:val="22"/>
                <w:lang w:val="fr-FR"/>
              </w:rPr>
              <w:t>Le modèle CMS de rapport national demande actuellement si les espèces migratrices sont prises en compte par les SPANB de chaque pays, et un indicateur pourrait être développé sur cette base (en acceptant que cette méthode ne fournisse qu’une image incomplète, étant donné que l’objectif s’applique également aux pays non-Parties à la CMS). Il est probable que cela n’aille pas plus loin que le suivi de la présence ou de l’absence de références à des espèces migratrices dans les SPANB, puisque cela correspond à ce que la plupart des Parties sont susceptibles de fournir en réponse à la question posée par le modèle CMS de rapport national.</w:t>
            </w:r>
          </w:p>
          <w:p w14:paraId="163BF1EC" w14:textId="77777777" w:rsidR="00EC272B" w:rsidRPr="00A72204" w:rsidRDefault="00EC272B" w:rsidP="006124BC">
            <w:pPr>
              <w:rPr>
                <w:strike/>
                <w:sz w:val="22"/>
                <w:lang w:val="fr-FR"/>
              </w:rPr>
            </w:pPr>
          </w:p>
          <w:p w14:paraId="14BCAF72" w14:textId="77777777" w:rsidR="00EC272B" w:rsidRPr="00A72204" w:rsidRDefault="00EC272B" w:rsidP="006124BC">
            <w:pPr>
              <w:rPr>
                <w:i/>
                <w:strike/>
                <w:sz w:val="22"/>
                <w:lang w:val="fr-FR"/>
              </w:rPr>
            </w:pPr>
            <w:r w:rsidRPr="00A72204">
              <w:rPr>
                <w:i/>
                <w:strike/>
                <w:sz w:val="22"/>
                <w:lang w:val="fr-FR"/>
              </w:rPr>
              <w:t>Pour une possible évolution future :</w:t>
            </w:r>
          </w:p>
          <w:p w14:paraId="25A3718C" w14:textId="77777777" w:rsidR="00EC272B" w:rsidRPr="00A72204" w:rsidRDefault="00EC272B" w:rsidP="006124BC">
            <w:pPr>
              <w:rPr>
                <w:strike/>
                <w:sz w:val="22"/>
                <w:lang w:val="fr-FR"/>
              </w:rPr>
            </w:pPr>
          </w:p>
          <w:p w14:paraId="0A47C621" w14:textId="77777777" w:rsidR="00EC272B" w:rsidRPr="00A72204" w:rsidRDefault="00EC272B" w:rsidP="00EC272B">
            <w:pPr>
              <w:pStyle w:val="ListParagraph"/>
              <w:numPr>
                <w:ilvl w:val="0"/>
                <w:numId w:val="22"/>
              </w:numPr>
              <w:rPr>
                <w:rFonts w:eastAsia="MS Mincho"/>
                <w:strike/>
                <w:lang w:val="fr-FR" w:eastAsia="ja-JP"/>
              </w:rPr>
            </w:pPr>
            <w:r w:rsidRPr="00A72204">
              <w:rPr>
                <w:rFonts w:eastAsia="MS Mincho"/>
                <w:strike/>
                <w:lang w:val="fr-FR" w:eastAsia="ja-JP"/>
              </w:rPr>
              <w:t>Tendances en matière d’intégration des préoccupations relatives aux espèces migratrices dans les stratégies et plans d’action nationaux pour la diversité biologique.</w:t>
            </w:r>
          </w:p>
          <w:p w14:paraId="7E88914A" w14:textId="77777777" w:rsidR="00EC272B" w:rsidRPr="00A72204" w:rsidRDefault="00EC272B" w:rsidP="006124BC">
            <w:pPr>
              <w:rPr>
                <w:rFonts w:eastAsia="MS Mincho"/>
                <w:strike/>
                <w:sz w:val="22"/>
                <w:lang w:val="fr-FR" w:eastAsia="ja-JP"/>
              </w:rPr>
            </w:pPr>
          </w:p>
          <w:p w14:paraId="583AB1A7" w14:textId="77777777" w:rsidR="00EC272B" w:rsidRPr="00A72204" w:rsidRDefault="00EC272B" w:rsidP="006124BC">
            <w:pPr>
              <w:jc w:val="both"/>
              <w:rPr>
                <w:rFonts w:eastAsia="MS Mincho"/>
                <w:strike/>
                <w:sz w:val="22"/>
                <w:lang w:val="fr-FR" w:eastAsia="ja-JP"/>
              </w:rPr>
            </w:pPr>
            <w:r w:rsidRPr="00A72204">
              <w:rPr>
                <w:strike/>
                <w:sz w:val="22"/>
                <w:lang w:val="fr-FR"/>
              </w:rPr>
              <w:t>Cela va au-delà du premier indicateur défini ci-dessus, en ne prenant pas seulement en considération la présence ou l’absence de références aux espèces migratrices, mais également la manière dont les préoccupations relatives aux espèces migratrices sont intégrées dans les SPANB. L’usage du terme « tendances » est peut-être exagéré, car il est probable que l’indicateur soit basé sur l’évaluation qualitative occasionnelle du contenu des SPANB, en gardant à l’esprit cette question spécifique, et le maximum que l’on puisse attendre est une comparaison entre un moment choisi au début de la période d’application du Plan stratégique pour les espèces migratrices et un moment choisi vers la fin de cette période.</w:t>
            </w:r>
          </w:p>
          <w:p w14:paraId="5EBE318D" w14:textId="77777777" w:rsidR="00EC272B" w:rsidRPr="00A72204" w:rsidRDefault="00EC272B" w:rsidP="006124BC">
            <w:pPr>
              <w:jc w:val="both"/>
              <w:rPr>
                <w:rFonts w:eastAsia="MS Mincho"/>
                <w:strike/>
                <w:sz w:val="22"/>
                <w:lang w:val="fr-FR" w:eastAsia="ja-JP"/>
              </w:rPr>
            </w:pPr>
          </w:p>
          <w:p w14:paraId="417FDEEA" w14:textId="77777777" w:rsidR="00EC272B" w:rsidRPr="00A72204" w:rsidRDefault="00EC272B" w:rsidP="006124BC">
            <w:pPr>
              <w:jc w:val="both"/>
              <w:rPr>
                <w:rFonts w:eastAsia="MS Mincho"/>
                <w:strike/>
                <w:sz w:val="22"/>
                <w:lang w:val="fr-FR" w:eastAsia="ja-JP"/>
              </w:rPr>
            </w:pPr>
            <w:r w:rsidRPr="00A72204">
              <w:rPr>
                <w:strike/>
                <w:sz w:val="22"/>
                <w:lang w:val="fr-FR"/>
              </w:rPr>
              <w:t>L’objectif 13 est en fait un sous-objectif de l’objectif 2 ci-dessus, et l’indicateur pourrait ainsi fonctionner comme un sous-indicateur de l’indicateur proposé pour celui-ci.</w:t>
            </w:r>
            <w:r w:rsidRPr="00A72204">
              <w:rPr>
                <w:rFonts w:eastAsia="MS Mincho"/>
                <w:strike/>
                <w:sz w:val="22"/>
                <w:lang w:val="fr-FR" w:eastAsia="ja-JP"/>
              </w:rPr>
              <w:t xml:space="preserve"> </w:t>
            </w:r>
          </w:p>
        </w:tc>
      </w:tr>
      <w:tr w:rsidR="00EC272B" w:rsidRPr="00591DCA" w14:paraId="22B78303" w14:textId="77777777" w:rsidTr="006124BC">
        <w:tc>
          <w:tcPr>
            <w:tcW w:w="1717" w:type="dxa"/>
          </w:tcPr>
          <w:p w14:paraId="0FB09A18" w14:textId="77777777" w:rsidR="00EC272B" w:rsidRPr="00A72204" w:rsidRDefault="00EC272B" w:rsidP="006124BC">
            <w:pPr>
              <w:spacing w:before="120"/>
              <w:rPr>
                <w:b/>
                <w:bCs/>
                <w:strike/>
                <w:sz w:val="22"/>
                <w:lang w:val="fr-FR"/>
              </w:rPr>
            </w:pPr>
            <w:r w:rsidRPr="00A72204">
              <w:rPr>
                <w:b/>
                <w:strike/>
                <w:sz w:val="22"/>
                <w:lang w:val="fr-FR"/>
              </w:rPr>
              <w:lastRenderedPageBreak/>
              <w:t xml:space="preserve">Objectif </w:t>
            </w:r>
            <w:r w:rsidRPr="00A72204">
              <w:rPr>
                <w:b/>
                <w:bCs/>
                <w:strike/>
                <w:sz w:val="22"/>
                <w:lang w:val="fr-FR"/>
              </w:rPr>
              <w:t>14</w:t>
            </w:r>
          </w:p>
        </w:tc>
        <w:tc>
          <w:tcPr>
            <w:tcW w:w="6811" w:type="dxa"/>
          </w:tcPr>
          <w:p w14:paraId="051431C3" w14:textId="77777777" w:rsidR="00EC272B" w:rsidRPr="00A72204" w:rsidRDefault="00EC272B" w:rsidP="006124BC">
            <w:pPr>
              <w:spacing w:before="120"/>
              <w:jc w:val="both"/>
              <w:rPr>
                <w:i/>
                <w:strike/>
                <w:sz w:val="22"/>
                <w:lang w:val="fr-FR"/>
              </w:rPr>
            </w:pPr>
            <w:r w:rsidRPr="00A72204">
              <w:rPr>
                <w:i/>
                <w:strike/>
                <w:sz w:val="22"/>
                <w:lang w:val="fr-FR"/>
              </w:rPr>
              <w:t>Potentiellement utilisable à court terme :</w:t>
            </w:r>
          </w:p>
          <w:p w14:paraId="72C5AB4D" w14:textId="77777777" w:rsidR="00EC272B" w:rsidRPr="00A72204" w:rsidRDefault="00EC272B" w:rsidP="006124BC">
            <w:pPr>
              <w:jc w:val="both"/>
              <w:rPr>
                <w:strike/>
                <w:sz w:val="22"/>
                <w:lang w:val="fr-FR"/>
              </w:rPr>
            </w:pPr>
          </w:p>
          <w:p w14:paraId="2449A249" w14:textId="77777777" w:rsidR="00EC272B" w:rsidRPr="00A72204" w:rsidRDefault="00EC272B" w:rsidP="00EC272B">
            <w:pPr>
              <w:pStyle w:val="ListParagraph"/>
              <w:numPr>
                <w:ilvl w:val="0"/>
                <w:numId w:val="22"/>
              </w:numPr>
              <w:jc w:val="both"/>
              <w:rPr>
                <w:strike/>
                <w:lang w:val="fr-FR"/>
              </w:rPr>
            </w:pPr>
            <w:r w:rsidRPr="00A72204">
              <w:rPr>
                <w:strike/>
                <w:lang w:val="fr-FR"/>
              </w:rPr>
              <w:t>(Aucun)</w:t>
            </w:r>
          </w:p>
          <w:p w14:paraId="37E380FE" w14:textId="77777777" w:rsidR="00EC272B" w:rsidRPr="00A72204" w:rsidRDefault="00EC272B" w:rsidP="006124BC">
            <w:pPr>
              <w:jc w:val="both"/>
              <w:rPr>
                <w:strike/>
                <w:sz w:val="22"/>
                <w:lang w:val="fr-FR"/>
              </w:rPr>
            </w:pPr>
          </w:p>
          <w:p w14:paraId="2DD86C23" w14:textId="77777777" w:rsidR="00EC272B" w:rsidRPr="00A72204" w:rsidRDefault="00EC272B" w:rsidP="006124BC">
            <w:pPr>
              <w:jc w:val="both"/>
              <w:rPr>
                <w:i/>
                <w:strike/>
                <w:sz w:val="22"/>
                <w:lang w:val="fr-FR"/>
              </w:rPr>
            </w:pPr>
            <w:r w:rsidRPr="00A72204">
              <w:rPr>
                <w:i/>
                <w:strike/>
                <w:sz w:val="22"/>
                <w:lang w:val="fr-FR"/>
              </w:rPr>
              <w:t>Pour une possible évolution future :</w:t>
            </w:r>
          </w:p>
          <w:p w14:paraId="62B948B7" w14:textId="77777777" w:rsidR="00EC272B" w:rsidRPr="00A72204" w:rsidRDefault="00EC272B" w:rsidP="006124BC">
            <w:pPr>
              <w:jc w:val="both"/>
              <w:rPr>
                <w:strike/>
                <w:sz w:val="22"/>
                <w:lang w:val="fr-FR"/>
              </w:rPr>
            </w:pPr>
          </w:p>
          <w:p w14:paraId="792771B0" w14:textId="77777777" w:rsidR="00EC272B" w:rsidRPr="00A72204" w:rsidRDefault="00EC272B" w:rsidP="00EC272B">
            <w:pPr>
              <w:pStyle w:val="ListParagraph"/>
              <w:numPr>
                <w:ilvl w:val="0"/>
                <w:numId w:val="22"/>
              </w:numPr>
              <w:jc w:val="both"/>
              <w:rPr>
                <w:rFonts w:eastAsia="MS Mincho"/>
                <w:strike/>
                <w:lang w:val="fr-FR" w:eastAsia="ja-JP"/>
              </w:rPr>
            </w:pPr>
            <w:r w:rsidRPr="00A72204">
              <w:rPr>
                <w:rFonts w:eastAsia="MS Mincho"/>
                <w:strike/>
                <w:lang w:val="fr-FR" w:eastAsia="ja-JP"/>
              </w:rPr>
              <w:t>Tendances concernant le degré de respect des connaissances et pratiques traditionnelles, au moyen d’une pleine intégration, participation et protection dans le cadre de la mise en œuvre du Plan stratégique pour les espèces migratrices au niveau national.</w:t>
            </w:r>
          </w:p>
          <w:p w14:paraId="79416BA3" w14:textId="77777777" w:rsidR="00EC272B" w:rsidRPr="00A72204" w:rsidRDefault="00EC272B" w:rsidP="006124BC">
            <w:pPr>
              <w:jc w:val="both"/>
              <w:rPr>
                <w:rFonts w:eastAsia="MS Mincho"/>
                <w:strike/>
                <w:sz w:val="22"/>
                <w:lang w:val="fr-FR" w:eastAsia="ja-JP"/>
              </w:rPr>
            </w:pPr>
          </w:p>
          <w:p w14:paraId="5DCB5269" w14:textId="77777777" w:rsidR="00EC272B" w:rsidRPr="00A72204" w:rsidRDefault="00EC272B" w:rsidP="006124BC">
            <w:pPr>
              <w:jc w:val="both"/>
              <w:rPr>
                <w:rFonts w:eastAsia="MS Mincho"/>
                <w:strike/>
                <w:sz w:val="22"/>
                <w:lang w:val="fr-FR" w:eastAsia="ja-JP"/>
              </w:rPr>
            </w:pPr>
            <w:r w:rsidRPr="00A72204">
              <w:rPr>
                <w:strike/>
                <w:sz w:val="22"/>
                <w:lang w:val="fr-FR"/>
              </w:rPr>
              <w:t>Cet indicateur est calqué sur l’une des propositions du GSET de la CDB pour l’Objectif 18 d’Aichi correspondant (considéré comme « prioritaire et à développer »), mais faisant ici davantage référence au Plan stratégique pour les espèces migratrices qu’au Plan stratégique pour la diversité biologique. Les « connaissances et pratiques » en question demanderaient également à être plus spécifiquement reliées aux espèces migratrices.</w:t>
            </w:r>
          </w:p>
          <w:p w14:paraId="5C256C45" w14:textId="77777777" w:rsidR="00EC272B" w:rsidRPr="00A72204" w:rsidRDefault="00EC272B" w:rsidP="006124BC">
            <w:pPr>
              <w:jc w:val="both"/>
              <w:rPr>
                <w:strike/>
                <w:sz w:val="22"/>
                <w:lang w:val="fr-FR"/>
              </w:rPr>
            </w:pPr>
            <w:r w:rsidRPr="00A72204">
              <w:rPr>
                <w:strike/>
                <w:sz w:val="22"/>
                <w:lang w:val="fr-FR"/>
              </w:rPr>
              <w:t>La façon la plus pragmatique de développer cet indicateur pourrait être d’ajouter une question au modèle CMS de rapport national (en acceptant alors que cette méthode ne fournisse qu’une image incomplète, étant donné que l’objectif s’applique également aux pays non-Parties à la CMS). Cela demanderait une formulation prudente et une réponse nuancée, plutôt qu’une réponse oui/non.</w:t>
            </w:r>
          </w:p>
        </w:tc>
      </w:tr>
      <w:tr w:rsidR="00EC272B" w:rsidRPr="00591DCA" w14:paraId="6CFFC696" w14:textId="77777777" w:rsidTr="006124BC">
        <w:tc>
          <w:tcPr>
            <w:tcW w:w="1717" w:type="dxa"/>
          </w:tcPr>
          <w:p w14:paraId="7529CBCD" w14:textId="77777777" w:rsidR="00EC272B" w:rsidRPr="00A72204" w:rsidRDefault="00EC272B" w:rsidP="006124BC">
            <w:pPr>
              <w:spacing w:before="120"/>
              <w:rPr>
                <w:rFonts w:eastAsia="MS Mincho"/>
                <w:strike/>
                <w:sz w:val="22"/>
                <w:lang w:val="fr-FR"/>
              </w:rPr>
            </w:pPr>
            <w:r w:rsidRPr="00A72204">
              <w:rPr>
                <w:b/>
                <w:strike/>
                <w:sz w:val="22"/>
                <w:lang w:val="fr-FR"/>
              </w:rPr>
              <w:t xml:space="preserve">Objectif </w:t>
            </w:r>
            <w:r w:rsidRPr="00A72204">
              <w:rPr>
                <w:b/>
                <w:bCs/>
                <w:strike/>
                <w:sz w:val="22"/>
                <w:lang w:val="fr-FR"/>
              </w:rPr>
              <w:t>15</w:t>
            </w:r>
          </w:p>
          <w:p w14:paraId="5F7C5CC6" w14:textId="77777777" w:rsidR="00EC272B" w:rsidRPr="00A72204" w:rsidRDefault="00EC272B" w:rsidP="006124BC">
            <w:pPr>
              <w:rPr>
                <w:b/>
                <w:bCs/>
                <w:strike/>
                <w:sz w:val="22"/>
                <w:lang w:val="fr-FR"/>
              </w:rPr>
            </w:pPr>
          </w:p>
        </w:tc>
        <w:tc>
          <w:tcPr>
            <w:tcW w:w="6811" w:type="dxa"/>
          </w:tcPr>
          <w:p w14:paraId="410007F3" w14:textId="77777777" w:rsidR="00EC272B" w:rsidRPr="00A72204" w:rsidRDefault="00EC272B" w:rsidP="006124BC">
            <w:pPr>
              <w:spacing w:before="120"/>
              <w:jc w:val="both"/>
              <w:rPr>
                <w:i/>
                <w:strike/>
                <w:sz w:val="22"/>
                <w:lang w:val="fr-FR"/>
              </w:rPr>
            </w:pPr>
            <w:r w:rsidRPr="00A72204">
              <w:rPr>
                <w:i/>
                <w:strike/>
                <w:sz w:val="22"/>
                <w:lang w:val="fr-FR"/>
              </w:rPr>
              <w:t>Potentiellement utilisable à court terme :</w:t>
            </w:r>
          </w:p>
          <w:p w14:paraId="393DBDF5" w14:textId="77777777" w:rsidR="00EC272B" w:rsidRPr="00C746AD" w:rsidRDefault="00EC272B" w:rsidP="006124BC">
            <w:pPr>
              <w:jc w:val="both"/>
              <w:rPr>
                <w:strike/>
                <w:sz w:val="12"/>
                <w:szCs w:val="12"/>
                <w:lang w:val="fr-FR"/>
              </w:rPr>
            </w:pPr>
          </w:p>
          <w:p w14:paraId="10AD4130" w14:textId="77777777" w:rsidR="00EC272B" w:rsidRPr="00A72204" w:rsidRDefault="00EC272B" w:rsidP="00EC272B">
            <w:pPr>
              <w:pStyle w:val="ListParagraph"/>
              <w:numPr>
                <w:ilvl w:val="0"/>
                <w:numId w:val="22"/>
              </w:numPr>
              <w:jc w:val="both"/>
              <w:rPr>
                <w:strike/>
                <w:lang w:val="fr-FR"/>
              </w:rPr>
            </w:pPr>
            <w:r w:rsidRPr="00A72204">
              <w:rPr>
                <w:strike/>
                <w:lang w:val="fr-FR"/>
              </w:rPr>
              <w:t>(Aucun)</w:t>
            </w:r>
          </w:p>
          <w:p w14:paraId="61AA9877" w14:textId="77777777" w:rsidR="00EC272B" w:rsidRPr="00C746AD" w:rsidRDefault="00EC272B" w:rsidP="006124BC">
            <w:pPr>
              <w:jc w:val="both"/>
              <w:rPr>
                <w:strike/>
                <w:sz w:val="12"/>
                <w:szCs w:val="12"/>
                <w:lang w:val="fr-FR"/>
              </w:rPr>
            </w:pPr>
          </w:p>
          <w:p w14:paraId="68A7F8C0" w14:textId="77777777" w:rsidR="00EC272B" w:rsidRPr="00A72204" w:rsidRDefault="00EC272B" w:rsidP="006124BC">
            <w:pPr>
              <w:jc w:val="both"/>
              <w:rPr>
                <w:i/>
                <w:strike/>
                <w:sz w:val="22"/>
                <w:lang w:val="fr-FR"/>
              </w:rPr>
            </w:pPr>
            <w:r w:rsidRPr="00A72204">
              <w:rPr>
                <w:i/>
                <w:strike/>
                <w:sz w:val="22"/>
                <w:lang w:val="fr-FR"/>
              </w:rPr>
              <w:t>Pour une possible évolution future :</w:t>
            </w:r>
          </w:p>
          <w:p w14:paraId="0EFED0B1" w14:textId="77777777" w:rsidR="00EC272B" w:rsidRPr="00C746AD" w:rsidRDefault="00EC272B" w:rsidP="006124BC">
            <w:pPr>
              <w:jc w:val="both"/>
              <w:rPr>
                <w:strike/>
                <w:sz w:val="12"/>
                <w:szCs w:val="12"/>
                <w:lang w:val="fr-FR"/>
              </w:rPr>
            </w:pPr>
          </w:p>
          <w:p w14:paraId="6098E234" w14:textId="77777777" w:rsidR="00EC272B" w:rsidRPr="00A72204" w:rsidRDefault="00EC272B" w:rsidP="00EC272B">
            <w:pPr>
              <w:pStyle w:val="ListParagraph"/>
              <w:numPr>
                <w:ilvl w:val="0"/>
                <w:numId w:val="22"/>
              </w:numPr>
              <w:jc w:val="both"/>
              <w:rPr>
                <w:rFonts w:eastAsia="MS Mincho"/>
                <w:strike/>
                <w:lang w:val="fr-FR" w:eastAsia="ja-JP"/>
              </w:rPr>
            </w:pPr>
            <w:r w:rsidRPr="00A72204">
              <w:rPr>
                <w:rFonts w:eastAsia="MS Mincho"/>
                <w:strike/>
                <w:lang w:val="fr-FR" w:eastAsia="ja-JP"/>
              </w:rPr>
              <w:t>Tendances concernant la publication d’articles sur la conservation des espèces migratrices dans des revues à comité de lecture.</w:t>
            </w:r>
          </w:p>
          <w:p w14:paraId="642ABECD" w14:textId="77777777" w:rsidR="00EC272B" w:rsidRPr="00A72204" w:rsidRDefault="00EC272B" w:rsidP="006124BC">
            <w:pPr>
              <w:jc w:val="both"/>
              <w:rPr>
                <w:strike/>
                <w:sz w:val="22"/>
                <w:lang w:val="fr-FR"/>
              </w:rPr>
            </w:pPr>
          </w:p>
          <w:p w14:paraId="56E6BD7A" w14:textId="77777777" w:rsidR="00EC272B" w:rsidRPr="00A72204" w:rsidRDefault="00EC272B" w:rsidP="006124BC">
            <w:pPr>
              <w:jc w:val="both"/>
              <w:rPr>
                <w:rFonts w:eastAsia="MS Mincho"/>
                <w:strike/>
                <w:sz w:val="22"/>
                <w:lang w:val="fr-FR" w:eastAsia="ja-JP"/>
              </w:rPr>
            </w:pPr>
            <w:r w:rsidRPr="00A72204">
              <w:rPr>
                <w:strike/>
                <w:sz w:val="22"/>
                <w:lang w:val="fr-FR"/>
              </w:rPr>
              <w:t xml:space="preserve">Une méthode de mesure de cet indicateur à l’échelle mondiale demande à être développée, en définissant peut-être des protocoles de recherche sur Internet et sur les bases de données. L’indicateur ne traite pas de la partie « application effective » de l’objectif, mais il semble difficile de trouver des moyens opérationnels pour y parvenir. Les indicateurs pertinents du GSET de la CDB et BIP (pas encore en usage) se réfèrent plus particulièrement à des évaluations sous-globales et à des inventaires d’espèces – les deux éléments étant inclus dans ce que l’on entend ici par « publications », à condition qu’ils soient évalués par des pairs, mais l’indicateur présenté ici n’est pas pensé pour être aussi étroitement prescrit que le sont les indicateurs </w:t>
            </w:r>
            <w:r w:rsidRPr="00A72204">
              <w:rPr>
                <w:strike/>
                <w:sz w:val="22"/>
                <w:lang w:val="fr-FR"/>
              </w:rPr>
              <w:lastRenderedPageBreak/>
              <w:t>GSET/BIP.</w:t>
            </w:r>
            <w:r w:rsidRPr="00A72204">
              <w:rPr>
                <w:rFonts w:eastAsia="MS Mincho"/>
                <w:strike/>
                <w:sz w:val="22"/>
                <w:lang w:val="fr-FR" w:eastAsia="ja-JP"/>
              </w:rPr>
              <w:t xml:space="preserve"> </w:t>
            </w:r>
          </w:p>
        </w:tc>
      </w:tr>
      <w:tr w:rsidR="00EC272B" w:rsidRPr="00591DCA" w14:paraId="5194DAB2" w14:textId="77777777" w:rsidTr="006124BC">
        <w:tc>
          <w:tcPr>
            <w:tcW w:w="1717" w:type="dxa"/>
          </w:tcPr>
          <w:p w14:paraId="2B725D75" w14:textId="77777777" w:rsidR="00EC272B" w:rsidRPr="00A72204" w:rsidRDefault="00EC272B" w:rsidP="006124BC">
            <w:pPr>
              <w:spacing w:before="120"/>
              <w:rPr>
                <w:strike/>
                <w:sz w:val="22"/>
                <w:lang w:val="fr-FR"/>
              </w:rPr>
            </w:pPr>
            <w:r w:rsidRPr="00A72204">
              <w:rPr>
                <w:b/>
                <w:strike/>
                <w:sz w:val="22"/>
                <w:lang w:val="fr-FR"/>
              </w:rPr>
              <w:lastRenderedPageBreak/>
              <w:t>Objectif 16</w:t>
            </w:r>
          </w:p>
          <w:p w14:paraId="5D7819CF" w14:textId="77777777" w:rsidR="00EC272B" w:rsidRPr="00A72204" w:rsidRDefault="00EC272B" w:rsidP="006124BC">
            <w:pPr>
              <w:rPr>
                <w:b/>
                <w:bCs/>
                <w:strike/>
                <w:sz w:val="22"/>
                <w:lang w:val="fr-FR"/>
              </w:rPr>
            </w:pPr>
          </w:p>
        </w:tc>
        <w:tc>
          <w:tcPr>
            <w:tcW w:w="6811" w:type="dxa"/>
          </w:tcPr>
          <w:p w14:paraId="6382FEE7" w14:textId="77777777" w:rsidR="00EC272B" w:rsidRPr="00A72204" w:rsidRDefault="00EC272B" w:rsidP="006124BC">
            <w:pPr>
              <w:spacing w:before="120"/>
              <w:rPr>
                <w:i/>
                <w:strike/>
                <w:sz w:val="22"/>
                <w:lang w:val="fr-FR"/>
              </w:rPr>
            </w:pPr>
            <w:r w:rsidRPr="00A72204">
              <w:rPr>
                <w:i/>
                <w:strike/>
                <w:sz w:val="22"/>
                <w:lang w:val="fr-FR"/>
              </w:rPr>
              <w:t>Potentiellement utilisable à court terme :</w:t>
            </w:r>
          </w:p>
          <w:p w14:paraId="3379C28E" w14:textId="77777777" w:rsidR="00EC272B" w:rsidRPr="00A72204" w:rsidRDefault="00EC272B" w:rsidP="006124BC">
            <w:pPr>
              <w:rPr>
                <w:i/>
                <w:strike/>
                <w:sz w:val="22"/>
                <w:lang w:val="fr-FR"/>
              </w:rPr>
            </w:pPr>
          </w:p>
          <w:p w14:paraId="612984DF" w14:textId="77777777" w:rsidR="00EC272B" w:rsidRPr="00A72204" w:rsidRDefault="00EC272B" w:rsidP="00EC272B">
            <w:pPr>
              <w:pStyle w:val="ListParagraph"/>
              <w:numPr>
                <w:ilvl w:val="0"/>
                <w:numId w:val="22"/>
              </w:numPr>
              <w:rPr>
                <w:strike/>
                <w:lang w:val="fr-FR"/>
              </w:rPr>
            </w:pPr>
            <w:r w:rsidRPr="00A72204">
              <w:rPr>
                <w:strike/>
                <w:lang w:val="fr-FR"/>
              </w:rPr>
              <w:t>(Aucun)</w:t>
            </w:r>
          </w:p>
          <w:p w14:paraId="10DB3D33" w14:textId="77777777" w:rsidR="00EC272B" w:rsidRPr="00A72204" w:rsidRDefault="00EC272B" w:rsidP="006124BC">
            <w:pPr>
              <w:rPr>
                <w:strike/>
                <w:sz w:val="22"/>
                <w:lang w:val="fr-FR"/>
              </w:rPr>
            </w:pPr>
          </w:p>
          <w:p w14:paraId="45C78D5E" w14:textId="77777777" w:rsidR="00EC272B" w:rsidRPr="00A72204" w:rsidRDefault="00EC272B" w:rsidP="006124BC">
            <w:pPr>
              <w:rPr>
                <w:i/>
                <w:strike/>
                <w:sz w:val="22"/>
                <w:lang w:val="fr-FR"/>
              </w:rPr>
            </w:pPr>
            <w:r w:rsidRPr="00A72204">
              <w:rPr>
                <w:i/>
                <w:strike/>
                <w:sz w:val="22"/>
                <w:lang w:val="fr-FR"/>
              </w:rPr>
              <w:t>Pour une possible évolution future :</w:t>
            </w:r>
          </w:p>
          <w:p w14:paraId="13871FB3" w14:textId="77777777" w:rsidR="00EC272B" w:rsidRPr="00A72204" w:rsidRDefault="00EC272B" w:rsidP="006124BC">
            <w:pPr>
              <w:rPr>
                <w:strike/>
                <w:sz w:val="22"/>
                <w:lang w:val="fr-FR"/>
              </w:rPr>
            </w:pPr>
          </w:p>
          <w:p w14:paraId="41D7D39E" w14:textId="77777777" w:rsidR="00EC272B" w:rsidRPr="00A72204" w:rsidRDefault="00EC272B" w:rsidP="00EC272B">
            <w:pPr>
              <w:pStyle w:val="ListParagraph"/>
              <w:numPr>
                <w:ilvl w:val="0"/>
                <w:numId w:val="22"/>
              </w:numPr>
              <w:rPr>
                <w:strike/>
                <w:lang w:val="fr-FR"/>
              </w:rPr>
            </w:pPr>
            <w:r w:rsidRPr="00A72204">
              <w:rPr>
                <w:strike/>
                <w:lang w:val="fr-FR"/>
              </w:rPr>
              <w:t xml:space="preserve">Tendances en matière de financements officiels soutenant la mise en œuvre du Plan stratégique pour les espèces migratrices </w:t>
            </w:r>
          </w:p>
          <w:p w14:paraId="0FDE3A14" w14:textId="77777777" w:rsidR="00EC272B" w:rsidRPr="00A72204" w:rsidRDefault="00EC272B" w:rsidP="006124BC">
            <w:pPr>
              <w:rPr>
                <w:strike/>
                <w:sz w:val="22"/>
                <w:lang w:val="fr-FR"/>
              </w:rPr>
            </w:pPr>
          </w:p>
          <w:p w14:paraId="5B66D766" w14:textId="77777777" w:rsidR="00EC272B" w:rsidRPr="00A72204" w:rsidRDefault="00EC272B" w:rsidP="006124BC">
            <w:pPr>
              <w:jc w:val="both"/>
              <w:rPr>
                <w:rFonts w:eastAsia="MS Mincho"/>
                <w:strike/>
                <w:sz w:val="22"/>
                <w:lang w:val="fr-FR" w:eastAsia="ja-JP"/>
              </w:rPr>
            </w:pPr>
            <w:r w:rsidRPr="00A72204">
              <w:rPr>
                <w:strike/>
                <w:sz w:val="22"/>
                <w:lang w:val="fr-FR"/>
              </w:rPr>
              <w:t>Les indicateurs définis pour la Stratégie de mobilisation des ressources de la CDB (et qui y sont considérés comme « prioritaires et à développer ») pourraient suggérer qu’un indicateur approprié pour cet objectif puisse être développé sur la base des flux internationaux annuels agrégés de financements mobilisés pour la réalisation des objectifs du Plan stratégique pour les espèces migratrices, un mode opératoire similaire pouvant être développé pour le niveau national. Lors de l’élaboration du Plan stratégique pour les espèces migratrices, un doute considérable a toutefois été émis sur la fonctionnalité de ces indicateurs, au moins en termes de distinction de la dimension « espèces migratrices » de la biodiversité.</w:t>
            </w:r>
          </w:p>
          <w:p w14:paraId="13623E7F" w14:textId="77777777" w:rsidR="00EC272B" w:rsidRPr="00A72204" w:rsidRDefault="00EC272B" w:rsidP="006124BC">
            <w:pPr>
              <w:jc w:val="both"/>
              <w:rPr>
                <w:rFonts w:eastAsia="MS Mincho"/>
                <w:strike/>
                <w:sz w:val="22"/>
                <w:lang w:val="fr-FR" w:eastAsia="ja-JP"/>
              </w:rPr>
            </w:pPr>
          </w:p>
          <w:p w14:paraId="3B044AD4" w14:textId="77777777" w:rsidR="00EC272B" w:rsidRPr="00A72204" w:rsidRDefault="00EC272B" w:rsidP="006124BC">
            <w:pPr>
              <w:jc w:val="both"/>
              <w:rPr>
                <w:strike/>
                <w:sz w:val="22"/>
                <w:lang w:val="fr-FR"/>
              </w:rPr>
            </w:pPr>
            <w:r w:rsidRPr="00A72204">
              <w:rPr>
                <w:strike/>
                <w:sz w:val="22"/>
                <w:lang w:val="fr-FR"/>
              </w:rPr>
              <w:t xml:space="preserve">L’indicateur proposé ici, bien que brut et partiel, semble donc être le plus abouti que l’on puisse attendre. Il permettrait de prendre en compte les principaux cas de soutien aux programmes et projets de conservation des espèces migratrices pouvant être documentés, idéalement ceux pour lesquels un lien vers un ou plusieurs objectifs du Plan stratégique pour les espèces migratrices est explicite. Cela pourrait notamment inclure des cas spécifiques pertinents de financement par des organismes multilatéraux tels que le FEM, ainsi que le soutien des gouvernements pour des actions mises en œuvre dans le cadre de la CMS et de ses instruments. </w:t>
            </w:r>
          </w:p>
          <w:p w14:paraId="2EB785CD" w14:textId="77777777" w:rsidR="00EC272B" w:rsidRPr="00A72204" w:rsidRDefault="00EC272B" w:rsidP="006124BC">
            <w:pPr>
              <w:jc w:val="both"/>
              <w:rPr>
                <w:strike/>
                <w:sz w:val="22"/>
                <w:lang w:val="fr-FR"/>
              </w:rPr>
            </w:pPr>
            <w:r w:rsidRPr="00A72204">
              <w:rPr>
                <w:strike/>
                <w:sz w:val="22"/>
                <w:lang w:val="fr-FR"/>
              </w:rPr>
              <w:t>Il s’agit là d’un défi méthodologique important dans la définition des références appropriées pour 2015, et cela nécessitera également de l’attention.</w:t>
            </w:r>
          </w:p>
        </w:tc>
      </w:tr>
    </w:tbl>
    <w:p w14:paraId="6C0636C3" w14:textId="77777777" w:rsidR="00DC25D0" w:rsidRPr="006124BC" w:rsidRDefault="00DC25D0" w:rsidP="001C6974">
      <w:pPr>
        <w:rPr>
          <w:rFonts w:eastAsia="MS Mincho" w:cs="Arial"/>
          <w:sz w:val="22"/>
          <w:szCs w:val="22"/>
          <w:lang w:val="fr-FR"/>
        </w:rPr>
      </w:pPr>
    </w:p>
    <w:p w14:paraId="456FB9F8" w14:textId="77777777" w:rsidR="00B907CE" w:rsidRPr="0031003F" w:rsidRDefault="00B907CE" w:rsidP="00B907CE">
      <w:pPr>
        <w:jc w:val="both"/>
        <w:rPr>
          <w:rFonts w:eastAsia="MS Mincho" w:cs="Arial"/>
          <w:sz w:val="22"/>
          <w:szCs w:val="22"/>
          <w:lang w:val="fr-FR"/>
        </w:rPr>
      </w:pPr>
      <w:r w:rsidRPr="0031003F">
        <w:rPr>
          <w:sz w:val="22"/>
          <w:u w:val="single"/>
          <w:lang w:val="fr-FR"/>
        </w:rPr>
        <w:t>Selon la demande formulée dans la Résolution 11.2, le Groupe de travail sur le Plan stratégique a élaboré les indicateurs détaillés suivants, en tenant compte des principaux indicateurs mentionnés dans la Résolution 11.2 annexe B, de la mise en œuvre du Plan stratégique pour la biodiversité 2011-2020, des documents stratégiques des autres accords environnementaux multilatéraux relatifs à la biodiversité mondiale et de tous les autres documents et matériels pertinents qu’il jugera utiles.</w:t>
      </w:r>
    </w:p>
    <w:p w14:paraId="6A3E44EB" w14:textId="77777777" w:rsidR="00B907CE" w:rsidRPr="00720B4C" w:rsidRDefault="00B907CE" w:rsidP="00B907CE">
      <w:pPr>
        <w:jc w:val="both"/>
        <w:rPr>
          <w:rFonts w:eastAsia="MS Mincho" w:cs="Arial"/>
          <w:sz w:val="22"/>
          <w:szCs w:val="22"/>
          <w:highlight w:val="yellow"/>
          <w:lang w:val="fr-FR"/>
        </w:rPr>
      </w:pPr>
    </w:p>
    <w:p w14:paraId="71E6E5CD" w14:textId="77777777" w:rsidR="00B907CE" w:rsidRPr="00720B4C" w:rsidRDefault="00B907CE" w:rsidP="00B907CE">
      <w:pPr>
        <w:jc w:val="both"/>
        <w:rPr>
          <w:rFonts w:eastAsia="MS Mincho" w:cs="Arial"/>
          <w:sz w:val="22"/>
          <w:szCs w:val="22"/>
          <w:highlight w:val="yellow"/>
          <w:u w:val="single"/>
          <w:lang w:val="fr-FR"/>
        </w:rPr>
      </w:pPr>
      <w:r w:rsidRPr="0031003F">
        <w:rPr>
          <w:sz w:val="22"/>
          <w:u w:val="single"/>
          <w:lang w:val="fr-FR"/>
        </w:rPr>
        <w:t xml:space="preserve">Le tableau ci-dessous présente les titres des indicateurs définis pour chacun des 16 objectifs du Plan stratégique pour les espèces migratrices. Le contexte sous-jacent de chacun de ces indicateurs, notamment en ce qui concerne les facteurs à mesurer, les éventuelles sources de données, les problèmes de base, les questions proposées pour le rapport et les liens vers d’autres processus existants, ainsi que les observations récapitulatives sur la portée et la préparation, est fourni dans les Fiches d’information sur les indicateurs établies pour chaque objectif et présenté </w:t>
      </w:r>
      <w:r w:rsidRPr="0031003F">
        <w:rPr>
          <w:sz w:val="22"/>
          <w:u w:val="single"/>
          <w:lang w:val="fr-FR"/>
        </w:rPr>
        <w:lastRenderedPageBreak/>
        <w:t xml:space="preserve">dans le document </w:t>
      </w:r>
      <w:r w:rsidRPr="0031003F">
        <w:rPr>
          <w:rFonts w:eastAsiaTheme="minorHAnsi"/>
          <w:color w:val="000000"/>
          <w:sz w:val="22"/>
          <w:u w:val="single"/>
          <w:lang w:val="fr-FR"/>
        </w:rPr>
        <w:t>UNEP/CMS/COP12/Inf.26.</w:t>
      </w:r>
    </w:p>
    <w:p w14:paraId="368E30C9" w14:textId="4745759E" w:rsidR="003A397A" w:rsidRPr="00720B4C" w:rsidRDefault="00B907CE" w:rsidP="003C5848">
      <w:pPr>
        <w:jc w:val="both"/>
        <w:rPr>
          <w:rFonts w:eastAsia="MS Mincho" w:cs="Arial"/>
          <w:sz w:val="22"/>
          <w:szCs w:val="22"/>
          <w:u w:val="single"/>
          <w:lang w:val="fr-FR"/>
        </w:rPr>
      </w:pPr>
      <w:r w:rsidRPr="0031003F">
        <w:rPr>
          <w:sz w:val="22"/>
          <w:u w:val="single"/>
          <w:lang w:val="fr-FR"/>
        </w:rPr>
        <w:t>Sur les 29 indicateurs définis, dix sont considérés comme des priorités initiales proposées sur la base de leur faisabilité relative et de l’importance des éclaircissements qu’ils pourraient apporter sur les aspects plus concrets des objectifs</w:t>
      </w:r>
      <w:r w:rsidR="00DA4990" w:rsidRPr="0031003F">
        <w:rPr>
          <w:rFonts w:eastAsia="MS Mincho" w:cs="Arial"/>
          <w:sz w:val="22"/>
          <w:szCs w:val="22"/>
          <w:u w:val="single"/>
          <w:lang w:val="fr-FR"/>
        </w:rPr>
        <w:t>.</w:t>
      </w:r>
    </w:p>
    <w:p w14:paraId="07F26DBC" w14:textId="77777777" w:rsidR="007027A2" w:rsidRPr="001D40C8" w:rsidRDefault="007027A2" w:rsidP="003C5848">
      <w:pPr>
        <w:jc w:val="both"/>
        <w:rPr>
          <w:rFonts w:eastAsia="MS Mincho" w:cs="Arial"/>
          <w:sz w:val="22"/>
          <w:szCs w:val="22"/>
          <w:lang w:val="fr-FR"/>
        </w:rPr>
      </w:pPr>
    </w:p>
    <w:tbl>
      <w:tblPr>
        <w:tblStyle w:val="TableGrid"/>
        <w:tblW w:w="4998" w:type="pct"/>
        <w:tblLayout w:type="fixed"/>
        <w:tblLook w:val="04A0" w:firstRow="1" w:lastRow="0" w:firstColumn="1" w:lastColumn="0" w:noHBand="0" w:noVBand="1"/>
      </w:tblPr>
      <w:tblGrid>
        <w:gridCol w:w="4812"/>
        <w:gridCol w:w="4812"/>
      </w:tblGrid>
      <w:tr w:rsidR="00B907CE" w:rsidRPr="00EB4920" w14:paraId="73898539" w14:textId="77777777" w:rsidTr="00FE2B38">
        <w:tc>
          <w:tcPr>
            <w:tcW w:w="2500" w:type="pct"/>
            <w:shd w:val="clear" w:color="auto" w:fill="D9D9D9" w:themeFill="background1" w:themeFillShade="D9"/>
          </w:tcPr>
          <w:p w14:paraId="7A68692F" w14:textId="77777777" w:rsidR="00B907CE" w:rsidRPr="00EB4920" w:rsidRDefault="00B907CE" w:rsidP="00B907CE">
            <w:pPr>
              <w:spacing w:before="20" w:after="20"/>
              <w:rPr>
                <w:rFonts w:eastAsia="MS Mincho" w:cs="Arial"/>
                <w:b/>
                <w:sz w:val="22"/>
                <w:szCs w:val="22"/>
                <w:u w:val="single"/>
                <w:lang w:val="fr-FR"/>
              </w:rPr>
            </w:pPr>
            <w:proofErr w:type="spellStart"/>
            <w:r w:rsidRPr="00EB4920">
              <w:rPr>
                <w:b/>
                <w:sz w:val="22"/>
                <w:u w:val="single"/>
              </w:rPr>
              <w:t>Objectif</w:t>
            </w:r>
            <w:proofErr w:type="spellEnd"/>
            <w:r w:rsidRPr="00EB4920">
              <w:rPr>
                <w:b/>
                <w:sz w:val="22"/>
                <w:u w:val="single"/>
              </w:rPr>
              <w:t xml:space="preserve"> du SPMS</w:t>
            </w:r>
          </w:p>
        </w:tc>
        <w:tc>
          <w:tcPr>
            <w:tcW w:w="2500" w:type="pct"/>
            <w:shd w:val="clear" w:color="auto" w:fill="D9D9D9" w:themeFill="background1" w:themeFillShade="D9"/>
          </w:tcPr>
          <w:p w14:paraId="12983081" w14:textId="77777777" w:rsidR="00B907CE" w:rsidRPr="00EB4920" w:rsidRDefault="00B907CE" w:rsidP="00B907CE">
            <w:pPr>
              <w:spacing w:before="20" w:after="20"/>
              <w:rPr>
                <w:rFonts w:eastAsia="MS Mincho" w:cs="Arial"/>
                <w:b/>
                <w:sz w:val="22"/>
                <w:szCs w:val="22"/>
                <w:u w:val="single"/>
                <w:lang w:val="fr-FR"/>
              </w:rPr>
            </w:pPr>
            <w:proofErr w:type="spellStart"/>
            <w:r w:rsidRPr="00EB4920">
              <w:rPr>
                <w:b/>
                <w:sz w:val="22"/>
                <w:u w:val="single"/>
              </w:rPr>
              <w:t>Indicateur</w:t>
            </w:r>
            <w:proofErr w:type="spellEnd"/>
            <w:r w:rsidRPr="00EB4920">
              <w:rPr>
                <w:b/>
                <w:sz w:val="22"/>
                <w:u w:val="single"/>
              </w:rPr>
              <w:t>(s)</w:t>
            </w:r>
          </w:p>
        </w:tc>
      </w:tr>
      <w:tr w:rsidR="00B907CE" w:rsidRPr="00591DCA" w14:paraId="78E12FFD" w14:textId="77777777" w:rsidTr="00FE2B38">
        <w:tc>
          <w:tcPr>
            <w:tcW w:w="2500" w:type="pct"/>
            <w:vMerge w:val="restart"/>
          </w:tcPr>
          <w:p w14:paraId="7DC8DD08"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1. Les individus sont conscients des multiples valeurs des espèces migratrices et de leurs habitats et systèmes migratoires, ainsi que des mesures qu’ils peuvent prendre pour les conserver et pour assurer la durabilité de toute utilisation.</w:t>
            </w:r>
          </w:p>
        </w:tc>
        <w:tc>
          <w:tcPr>
            <w:tcW w:w="2500" w:type="pct"/>
          </w:tcPr>
          <w:p w14:paraId="1DD46987" w14:textId="1129B4F1"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1.1 </w:t>
            </w:r>
            <w:r w:rsidR="002607FC" w:rsidRPr="00EB4920">
              <w:rPr>
                <w:sz w:val="22"/>
                <w:u w:val="single"/>
                <w:lang w:val="fr-FR"/>
              </w:rPr>
              <w:t>Niveaux d’engagement pour la Journée mondiale des oiseaux migrateurs et pour des événements similaires</w:t>
            </w:r>
          </w:p>
        </w:tc>
      </w:tr>
      <w:tr w:rsidR="00B907CE" w:rsidRPr="00591DCA" w14:paraId="41BE5211" w14:textId="77777777" w:rsidTr="00FE2B38">
        <w:tc>
          <w:tcPr>
            <w:tcW w:w="2500" w:type="pct"/>
            <w:vMerge/>
          </w:tcPr>
          <w:p w14:paraId="71FAF5D7"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43B63FE7" w14:textId="7641EAB1" w:rsidR="00B907CE" w:rsidRPr="00EB4920" w:rsidRDefault="00B907CE" w:rsidP="00B907CE">
            <w:pPr>
              <w:spacing w:before="20" w:after="20"/>
              <w:ind w:left="113" w:hanging="113"/>
              <w:rPr>
                <w:rFonts w:eastAsia="MS Mincho" w:cs="Arial"/>
                <w:sz w:val="22"/>
                <w:szCs w:val="22"/>
                <w:u w:val="single"/>
                <w:lang w:val="fr-FR"/>
              </w:rPr>
            </w:pPr>
            <w:r w:rsidRPr="00591DCA">
              <w:rPr>
                <w:sz w:val="22"/>
                <w:u w:val="single"/>
                <w:lang w:val="fr-FR"/>
              </w:rPr>
              <w:t xml:space="preserve">1.2 </w:t>
            </w:r>
            <w:r w:rsidR="002607FC" w:rsidRPr="00EB4920">
              <w:rPr>
                <w:sz w:val="22"/>
                <w:u w:val="single"/>
                <w:lang w:val="fr-FR"/>
              </w:rPr>
              <w:t>Évaluation qualitative simple par les Parties à la CMS dans les rapports nationaux triennaux</w:t>
            </w:r>
          </w:p>
        </w:tc>
      </w:tr>
      <w:tr w:rsidR="00B907CE" w:rsidRPr="00EB4920" w14:paraId="3D1E39DE" w14:textId="77777777" w:rsidTr="00FE2B38">
        <w:tc>
          <w:tcPr>
            <w:tcW w:w="2500" w:type="pct"/>
            <w:vMerge/>
          </w:tcPr>
          <w:p w14:paraId="3D5F2527"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06210DE2" w14:textId="02965977" w:rsidR="00B907CE" w:rsidRPr="00EB4920" w:rsidRDefault="00B907CE" w:rsidP="00B907CE">
            <w:pPr>
              <w:spacing w:before="20" w:after="20"/>
              <w:ind w:left="113" w:hanging="113"/>
              <w:rPr>
                <w:rFonts w:eastAsia="MS Mincho" w:cs="Arial"/>
                <w:sz w:val="22"/>
                <w:szCs w:val="22"/>
                <w:u w:val="single"/>
                <w:lang w:val="fr-FR"/>
              </w:rPr>
            </w:pPr>
            <w:r w:rsidRPr="00591DCA">
              <w:rPr>
                <w:sz w:val="22"/>
                <w:u w:val="single"/>
              </w:rPr>
              <w:t xml:space="preserve">1.3 </w:t>
            </w:r>
            <w:r w:rsidR="002607FC" w:rsidRPr="00EB4920">
              <w:rPr>
                <w:sz w:val="22"/>
                <w:u w:val="single"/>
              </w:rPr>
              <w:t xml:space="preserve">Études de </w:t>
            </w:r>
            <w:proofErr w:type="spellStart"/>
            <w:r w:rsidR="002607FC" w:rsidRPr="00EB4920">
              <w:rPr>
                <w:sz w:val="22"/>
                <w:u w:val="single"/>
              </w:rPr>
              <w:t>cas</w:t>
            </w:r>
            <w:proofErr w:type="spellEnd"/>
            <w:r w:rsidR="002607FC" w:rsidRPr="00EB4920">
              <w:rPr>
                <w:sz w:val="22"/>
                <w:u w:val="single"/>
              </w:rPr>
              <w:t xml:space="preserve"> </w:t>
            </w:r>
            <w:proofErr w:type="spellStart"/>
            <w:r w:rsidR="002607FC" w:rsidRPr="00EB4920">
              <w:rPr>
                <w:sz w:val="22"/>
                <w:u w:val="single"/>
              </w:rPr>
              <w:t>ponctuelles</w:t>
            </w:r>
            <w:proofErr w:type="spellEnd"/>
          </w:p>
        </w:tc>
      </w:tr>
      <w:tr w:rsidR="00B907CE" w:rsidRPr="00EB4920" w14:paraId="3A8A7346" w14:textId="77777777" w:rsidTr="00FE2B38">
        <w:tc>
          <w:tcPr>
            <w:tcW w:w="2500" w:type="pct"/>
            <w:vMerge w:val="restart"/>
          </w:tcPr>
          <w:p w14:paraId="4B9EDE47"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2. Les multiples valeurs des espèces migratrices et de leurs habitats ont été intégrées aux niveaux international, national et local dans les stratégies de développement et de réduction de la pauvreté et dans les processus de planification, y compris des moyens de subsistance, et sont intégrées dans les comptes nationaux, selon qu’il convient, et dans les systèmes de production de rapports.</w:t>
            </w:r>
          </w:p>
        </w:tc>
        <w:tc>
          <w:tcPr>
            <w:tcW w:w="2500" w:type="pct"/>
          </w:tcPr>
          <w:p w14:paraId="28C22176" w14:textId="7ED2122A"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rPr>
              <w:t xml:space="preserve">2.1 </w:t>
            </w:r>
            <w:r w:rsidR="002607FC" w:rsidRPr="00EB4920">
              <w:rPr>
                <w:sz w:val="22"/>
                <w:u w:val="single"/>
              </w:rPr>
              <w:t xml:space="preserve">Étude </w:t>
            </w:r>
            <w:proofErr w:type="spellStart"/>
            <w:r w:rsidR="002607FC" w:rsidRPr="00EB4920">
              <w:rPr>
                <w:sz w:val="22"/>
                <w:u w:val="single"/>
              </w:rPr>
              <w:t>d’évaluation</w:t>
            </w:r>
            <w:proofErr w:type="spellEnd"/>
            <w:r w:rsidR="002607FC" w:rsidRPr="00EB4920">
              <w:rPr>
                <w:sz w:val="22"/>
                <w:u w:val="single"/>
              </w:rPr>
              <w:t xml:space="preserve"> unique</w:t>
            </w:r>
          </w:p>
        </w:tc>
      </w:tr>
      <w:tr w:rsidR="00B907CE" w:rsidRPr="00591DCA" w14:paraId="51CB3590" w14:textId="77777777" w:rsidTr="00FE2B38">
        <w:tc>
          <w:tcPr>
            <w:tcW w:w="2500" w:type="pct"/>
            <w:vMerge/>
          </w:tcPr>
          <w:p w14:paraId="6C75223D"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64AF67E2" w14:textId="10289B26" w:rsidR="00B907CE" w:rsidRPr="00EB4920" w:rsidRDefault="00B907CE" w:rsidP="00B907CE">
            <w:pPr>
              <w:spacing w:before="20" w:after="20"/>
              <w:ind w:left="113" w:hanging="113"/>
              <w:rPr>
                <w:rFonts w:eastAsia="MS Mincho" w:cs="Arial"/>
                <w:b/>
                <w:sz w:val="22"/>
                <w:szCs w:val="22"/>
                <w:u w:val="single"/>
                <w:lang w:val="fr-FR"/>
              </w:rPr>
            </w:pPr>
            <w:r w:rsidRPr="00591DCA">
              <w:rPr>
                <w:sz w:val="22"/>
                <w:u w:val="single"/>
                <w:lang w:val="fr-FR"/>
              </w:rPr>
              <w:t xml:space="preserve">2.2 </w:t>
            </w:r>
            <w:r w:rsidR="00CD3505" w:rsidRPr="00EB4920">
              <w:rPr>
                <w:sz w:val="22"/>
                <w:u w:val="single"/>
                <w:lang w:val="fr-FR"/>
              </w:rPr>
              <w:t>Question du format de rapport national de la CMS</w:t>
            </w:r>
          </w:p>
          <w:p w14:paraId="38312E55" w14:textId="77777777" w:rsidR="00B907CE" w:rsidRPr="00EB4920" w:rsidRDefault="00B907CE" w:rsidP="00B907CE">
            <w:pPr>
              <w:spacing w:before="20" w:after="20"/>
              <w:ind w:left="113" w:hanging="113"/>
              <w:rPr>
                <w:rFonts w:eastAsia="MS Mincho" w:cs="Arial"/>
                <w:sz w:val="22"/>
                <w:szCs w:val="22"/>
                <w:u w:val="single"/>
                <w:lang w:val="fr-FR"/>
              </w:rPr>
            </w:pPr>
            <w:r w:rsidRPr="00EB4920">
              <w:rPr>
                <w:b/>
                <w:sz w:val="22"/>
                <w:u w:val="single"/>
                <w:lang w:val="fr-FR"/>
              </w:rPr>
              <w:t>Priorité suggérée </w:t>
            </w:r>
            <w:r w:rsidRPr="00EB4920">
              <w:rPr>
                <w:sz w:val="22"/>
                <w:u w:val="single"/>
                <w:lang w:val="fr-FR"/>
              </w:rPr>
              <w:t>: sous réserve de l’adoption des modifications proposées en vue de l’actualisation et de la rationalisation du modèle CMS de rapport national.</w:t>
            </w:r>
          </w:p>
        </w:tc>
      </w:tr>
      <w:tr w:rsidR="00B907CE" w:rsidRPr="00591DCA" w14:paraId="660803E5" w14:textId="77777777" w:rsidTr="00FE2B38">
        <w:tc>
          <w:tcPr>
            <w:tcW w:w="2500" w:type="pct"/>
            <w:vMerge w:val="restart"/>
          </w:tcPr>
          <w:p w14:paraId="7BD2C879"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3. Les dispositions et les accords de gouvernance nationaux, régionaux et internationaux ayant un impact sur les espèces migratrices et leurs systèmes migratoires ont été substantiellement améliorés, de sorte que les processus de politique générale, législatifs et de mise en œuvre pertinents soient plus cohérents, responsables, transparents, participatifs, équitables et inclusifs.</w:t>
            </w:r>
          </w:p>
        </w:tc>
        <w:tc>
          <w:tcPr>
            <w:tcW w:w="2500" w:type="pct"/>
          </w:tcPr>
          <w:p w14:paraId="6061D120" w14:textId="536B8F88" w:rsidR="00B907CE" w:rsidRPr="00EB4920" w:rsidRDefault="00B907CE" w:rsidP="00B907CE">
            <w:pPr>
              <w:spacing w:before="20" w:after="20"/>
              <w:ind w:left="113" w:hanging="113"/>
              <w:rPr>
                <w:rFonts w:eastAsia="MS Mincho" w:cs="Arial"/>
                <w:b/>
                <w:sz w:val="22"/>
                <w:szCs w:val="22"/>
                <w:u w:val="single"/>
                <w:lang w:val="fr-FR"/>
              </w:rPr>
            </w:pPr>
            <w:r w:rsidRPr="00EB4920">
              <w:rPr>
                <w:sz w:val="22"/>
                <w:u w:val="single"/>
                <w:lang w:val="fr-FR"/>
              </w:rPr>
              <w:t xml:space="preserve">3.1 </w:t>
            </w:r>
            <w:r w:rsidR="00CD3505" w:rsidRPr="00EB4920">
              <w:rPr>
                <w:sz w:val="22"/>
                <w:u w:val="single"/>
                <w:lang w:val="fr-FR"/>
              </w:rPr>
              <w:t>Question du format de rapport national de la CMS</w:t>
            </w:r>
          </w:p>
          <w:p w14:paraId="23A0AC8B" w14:textId="77777777" w:rsidR="00B907CE" w:rsidRPr="00EB4920" w:rsidRDefault="00B907CE" w:rsidP="00B907CE">
            <w:pPr>
              <w:spacing w:before="20" w:after="20"/>
              <w:ind w:left="113" w:hanging="113"/>
              <w:rPr>
                <w:rFonts w:eastAsia="MS Mincho" w:cs="Arial"/>
                <w:sz w:val="22"/>
                <w:szCs w:val="22"/>
                <w:u w:val="single"/>
                <w:lang w:val="fr-FR"/>
              </w:rPr>
            </w:pPr>
            <w:r w:rsidRPr="00EB4920">
              <w:rPr>
                <w:b/>
                <w:sz w:val="22"/>
                <w:u w:val="single"/>
                <w:lang w:val="fr-FR"/>
              </w:rPr>
              <w:t>Priorité suggérée </w:t>
            </w:r>
            <w:r w:rsidRPr="00EB4920">
              <w:rPr>
                <w:sz w:val="22"/>
                <w:u w:val="single"/>
                <w:lang w:val="fr-FR"/>
              </w:rPr>
              <w:t>: sous réserve de l’adoption des modifications proposées en vue de l’actualisation et de la rationalisation du modèle CMS de rapport national.</w:t>
            </w:r>
          </w:p>
        </w:tc>
      </w:tr>
      <w:tr w:rsidR="00B907CE" w:rsidRPr="00591DCA" w14:paraId="065E8744" w14:textId="77777777" w:rsidTr="00FE2B38">
        <w:tc>
          <w:tcPr>
            <w:tcW w:w="2500" w:type="pct"/>
            <w:vMerge/>
          </w:tcPr>
          <w:p w14:paraId="5C8A5942"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428F167D" w14:textId="5EEFC555" w:rsidR="00B907CE" w:rsidRPr="00EB4920" w:rsidRDefault="00B907CE" w:rsidP="002F37C9">
            <w:pPr>
              <w:spacing w:before="20" w:after="20"/>
              <w:ind w:left="113" w:hanging="113"/>
              <w:rPr>
                <w:rFonts w:eastAsia="MS Mincho" w:cs="Arial"/>
                <w:sz w:val="22"/>
                <w:szCs w:val="22"/>
                <w:u w:val="single"/>
                <w:lang w:val="fr-FR"/>
              </w:rPr>
            </w:pPr>
            <w:r w:rsidRPr="00591DCA">
              <w:rPr>
                <w:sz w:val="22"/>
                <w:u w:val="single"/>
                <w:lang w:val="fr-FR"/>
              </w:rPr>
              <w:t xml:space="preserve">3.2 </w:t>
            </w:r>
            <w:r w:rsidR="002F37C9" w:rsidRPr="00EB4920">
              <w:rPr>
                <w:sz w:val="22"/>
                <w:u w:val="single"/>
                <w:lang w:val="fr-FR"/>
              </w:rPr>
              <w:t>Étude d’évaluation ponctuelle des instruments de la Famille CMS</w:t>
            </w:r>
          </w:p>
        </w:tc>
      </w:tr>
      <w:tr w:rsidR="00B907CE" w:rsidRPr="00591DCA" w14:paraId="271DFB7C" w14:textId="77777777" w:rsidTr="00FE2B38">
        <w:tc>
          <w:tcPr>
            <w:tcW w:w="2500" w:type="pct"/>
          </w:tcPr>
          <w:p w14:paraId="7377E49C" w14:textId="77777777" w:rsidR="00B907CE" w:rsidRPr="00EB4920" w:rsidRDefault="00B907CE" w:rsidP="00B907CE">
            <w:pPr>
              <w:tabs>
                <w:tab w:val="left" w:pos="2025"/>
              </w:tabs>
              <w:spacing w:before="20" w:after="20"/>
              <w:ind w:left="113" w:hanging="113"/>
              <w:rPr>
                <w:rFonts w:eastAsia="MS Mincho" w:cs="Arial"/>
                <w:sz w:val="22"/>
                <w:szCs w:val="22"/>
                <w:u w:val="single"/>
                <w:lang w:val="fr-FR"/>
              </w:rPr>
            </w:pPr>
            <w:r w:rsidRPr="00EB4920">
              <w:rPr>
                <w:sz w:val="22"/>
                <w:u w:val="single"/>
                <w:lang w:val="fr-FR"/>
              </w:rPr>
              <w:t>4. Les incitations incluant des subventions, néfastes pour les espèces migratrices et/ou leurs habitats sont éliminées, réduites progressivement ou réformées, afin de réduire au minimum ou d’éviter les incidences défavorables ; et des incitations positives en faveur de la conservation des espèces migratrices et de leurs habitats sont élaborées et appliquées, d’une manière compatible avec les engagements au titre de la CMS et les autres obligations et engagements internationaux et régionaux en vigueur.</w:t>
            </w:r>
          </w:p>
        </w:tc>
        <w:tc>
          <w:tcPr>
            <w:tcW w:w="2500" w:type="pct"/>
          </w:tcPr>
          <w:p w14:paraId="598A3B9E" w14:textId="7A2C6B30"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4.1 </w:t>
            </w:r>
            <w:r w:rsidR="00070833" w:rsidRPr="00EB4920">
              <w:rPr>
                <w:sz w:val="22"/>
                <w:u w:val="single"/>
                <w:lang w:val="fr-FR"/>
              </w:rPr>
              <w:t>Question du format de rapport national de la CMS</w:t>
            </w:r>
          </w:p>
        </w:tc>
      </w:tr>
      <w:tr w:rsidR="00B907CE" w:rsidRPr="00591DCA" w14:paraId="0BF7C555" w14:textId="77777777" w:rsidTr="00FE2B38">
        <w:tc>
          <w:tcPr>
            <w:tcW w:w="2500" w:type="pct"/>
            <w:vMerge w:val="restart"/>
          </w:tcPr>
          <w:p w14:paraId="44458AC7"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5. Les gouvernements, les secteurs clés et les parties prenantes à tous les niveaux ont pris des mesures ou ont mis en œuvre des plans pour une production et une consommation durables, en maintenant les incidences de l’utilisation des ressources naturelles, y compris des habitats, dans des limites </w:t>
            </w:r>
            <w:r w:rsidRPr="00EB4920">
              <w:rPr>
                <w:sz w:val="22"/>
                <w:u w:val="single"/>
                <w:lang w:val="fr-FR"/>
              </w:rPr>
              <w:lastRenderedPageBreak/>
              <w:t>écologiques sûres, afin de soutenir un état de conservation favorable des espèces migratrices et de maintenir la qualité, l’intégrité, la résilience et la connectivité écologique de leurs habitats et de leurs voies de migration.</w:t>
            </w:r>
          </w:p>
        </w:tc>
        <w:tc>
          <w:tcPr>
            <w:tcW w:w="2500" w:type="pct"/>
          </w:tcPr>
          <w:p w14:paraId="3947A0FC" w14:textId="58E64298" w:rsidR="00B907CE" w:rsidRPr="00EB4920" w:rsidRDefault="00070833" w:rsidP="00B907CE">
            <w:pPr>
              <w:spacing w:before="20" w:after="20"/>
              <w:ind w:left="113" w:hanging="113"/>
              <w:rPr>
                <w:rFonts w:eastAsia="MS Mincho" w:cs="Arial"/>
                <w:sz w:val="22"/>
                <w:szCs w:val="22"/>
                <w:u w:val="single"/>
                <w:lang w:val="fr-FR"/>
              </w:rPr>
            </w:pPr>
            <w:r w:rsidRPr="00EB4920">
              <w:rPr>
                <w:sz w:val="22"/>
                <w:u w:val="single"/>
                <w:lang w:val="fr-FR"/>
              </w:rPr>
              <w:lastRenderedPageBreak/>
              <w:t>5.1 Indice Liste rouge (</w:t>
            </w:r>
            <w:proofErr w:type="spellStart"/>
            <w:r w:rsidRPr="00EB4920">
              <w:rPr>
                <w:sz w:val="22"/>
                <w:u w:val="single"/>
                <w:lang w:val="fr-FR"/>
              </w:rPr>
              <w:t>Red</w:t>
            </w:r>
            <w:proofErr w:type="spellEnd"/>
            <w:r w:rsidRPr="00EB4920">
              <w:rPr>
                <w:sz w:val="22"/>
                <w:u w:val="single"/>
                <w:lang w:val="fr-FR"/>
              </w:rPr>
              <w:t xml:space="preserve"> List Index) (impacts de l’utilisation sur les espèces </w:t>
            </w:r>
            <w:proofErr w:type="gramStart"/>
            <w:r w:rsidRPr="00EB4920">
              <w:rPr>
                <w:sz w:val="22"/>
                <w:u w:val="single"/>
                <w:lang w:val="fr-FR"/>
              </w:rPr>
              <w:t>migratrices )</w:t>
            </w:r>
            <w:proofErr w:type="gramEnd"/>
            <w:r w:rsidRPr="00EB4920">
              <w:rPr>
                <w:sz w:val="22"/>
                <w:u w:val="single"/>
                <w:lang w:val="fr-FR"/>
              </w:rPr>
              <w:t xml:space="preserve">. </w:t>
            </w:r>
            <w:r w:rsidR="00B907CE" w:rsidRPr="00EB4920">
              <w:rPr>
                <w:b/>
                <w:sz w:val="22"/>
                <w:u w:val="single"/>
                <w:lang w:val="fr-FR"/>
              </w:rPr>
              <w:t>Priorité suggérée</w:t>
            </w:r>
            <w:r w:rsidR="00B907CE" w:rsidRPr="00EB4920">
              <w:rPr>
                <w:sz w:val="22"/>
                <w:u w:val="single"/>
                <w:lang w:val="fr-FR"/>
              </w:rPr>
              <w:t> : émettre des hypothèses et effectuer une dissociation des espèces migratrices, en collaboration avec le Partenariat pour la Liste rouge.</w:t>
            </w:r>
          </w:p>
        </w:tc>
      </w:tr>
      <w:tr w:rsidR="00B907CE" w:rsidRPr="00591DCA" w14:paraId="382B7C07" w14:textId="77777777" w:rsidTr="00FE2B38">
        <w:tc>
          <w:tcPr>
            <w:tcW w:w="2500" w:type="pct"/>
            <w:vMerge/>
          </w:tcPr>
          <w:p w14:paraId="3B5A02EE"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072F2F05" w14:textId="16B61A19" w:rsidR="00B907CE" w:rsidRPr="00EB4920" w:rsidRDefault="00070833" w:rsidP="00B907CE">
            <w:pPr>
              <w:spacing w:before="20" w:after="20"/>
              <w:ind w:left="113" w:hanging="113"/>
              <w:rPr>
                <w:rFonts w:eastAsia="MS Mincho" w:cs="Arial"/>
                <w:sz w:val="22"/>
                <w:szCs w:val="22"/>
                <w:u w:val="single"/>
                <w:lang w:val="fr-FR"/>
              </w:rPr>
            </w:pPr>
            <w:r w:rsidRPr="00EB4920">
              <w:rPr>
                <w:sz w:val="22"/>
                <w:u w:val="single"/>
                <w:lang w:val="fr-FR"/>
              </w:rPr>
              <w:t xml:space="preserve">5.2 Question du format de rapport national de la </w:t>
            </w:r>
            <w:r w:rsidRPr="00EB4920">
              <w:rPr>
                <w:sz w:val="22"/>
                <w:u w:val="single"/>
                <w:lang w:val="fr-FR"/>
              </w:rPr>
              <w:lastRenderedPageBreak/>
              <w:t>CMS</w:t>
            </w:r>
          </w:p>
        </w:tc>
      </w:tr>
      <w:tr w:rsidR="00B907CE" w:rsidRPr="00591DCA" w14:paraId="5FEB8749" w14:textId="77777777" w:rsidTr="00FE2B38">
        <w:tc>
          <w:tcPr>
            <w:tcW w:w="2500" w:type="pct"/>
            <w:vMerge w:val="restart"/>
          </w:tcPr>
          <w:p w14:paraId="7741EEA2"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lastRenderedPageBreak/>
              <w:t xml:space="preserve">6. La pêche et la chasse n’ont aucun effet néfaste direct ou indirect important sur les espèces migratrices, leurs habitats ou </w:t>
            </w:r>
            <w:proofErr w:type="gramStart"/>
            <w:r w:rsidRPr="00EB4920">
              <w:rPr>
                <w:sz w:val="22"/>
                <w:u w:val="single"/>
                <w:lang w:val="fr-FR"/>
              </w:rPr>
              <w:t>leur voies</w:t>
            </w:r>
            <w:proofErr w:type="gramEnd"/>
            <w:r w:rsidRPr="00EB4920">
              <w:rPr>
                <w:sz w:val="22"/>
                <w:u w:val="single"/>
                <w:lang w:val="fr-FR"/>
              </w:rPr>
              <w:t xml:space="preserve"> de migration, et les incidences de la pêche et de la chasse restent dans des limites écologiques sûres.</w:t>
            </w:r>
          </w:p>
        </w:tc>
        <w:tc>
          <w:tcPr>
            <w:tcW w:w="2500" w:type="pct"/>
          </w:tcPr>
          <w:p w14:paraId="376CB1BE" w14:textId="38E9CDFA" w:rsidR="00B907CE" w:rsidRPr="00EB4920" w:rsidRDefault="00070833" w:rsidP="00B907CE">
            <w:pPr>
              <w:spacing w:before="20" w:after="20"/>
              <w:ind w:left="113" w:hanging="113"/>
              <w:rPr>
                <w:rFonts w:eastAsia="MS Mincho" w:cs="Arial"/>
                <w:sz w:val="22"/>
                <w:szCs w:val="22"/>
                <w:u w:val="single"/>
                <w:lang w:val="fr-FR"/>
              </w:rPr>
            </w:pPr>
            <w:r w:rsidRPr="00EB4920">
              <w:rPr>
                <w:sz w:val="22"/>
                <w:u w:val="single"/>
                <w:lang w:val="fr-FR"/>
              </w:rPr>
              <w:t>6.1 Tendances de la mise en œuvre de mesures visant à atténuer les impacts de la pêche et de la chasse sur les espèces migratrices, leurs habitats et leurs routes migratoires</w:t>
            </w:r>
          </w:p>
        </w:tc>
      </w:tr>
      <w:tr w:rsidR="00B907CE" w:rsidRPr="00591DCA" w14:paraId="610FCC17" w14:textId="77777777" w:rsidTr="00FE2B38">
        <w:tc>
          <w:tcPr>
            <w:tcW w:w="2500" w:type="pct"/>
            <w:vMerge/>
          </w:tcPr>
          <w:p w14:paraId="69B1DD60"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300C4069" w14:textId="198A4ABE" w:rsidR="00B907CE" w:rsidRPr="00EB4920" w:rsidRDefault="00070833" w:rsidP="00B907CE">
            <w:pPr>
              <w:spacing w:before="20" w:after="20"/>
              <w:ind w:left="113" w:hanging="113"/>
              <w:rPr>
                <w:rFonts w:eastAsia="MS Mincho" w:cs="Arial"/>
                <w:sz w:val="22"/>
                <w:szCs w:val="22"/>
                <w:u w:val="single"/>
                <w:lang w:val="fr-FR"/>
              </w:rPr>
            </w:pPr>
            <w:proofErr w:type="gramStart"/>
            <w:r w:rsidRPr="00EB4920">
              <w:rPr>
                <w:sz w:val="22"/>
                <w:u w:val="single"/>
                <w:lang w:val="fr-FR"/>
              </w:rPr>
              <w:t>6.2  Indice</w:t>
            </w:r>
            <w:proofErr w:type="gramEnd"/>
            <w:r w:rsidRPr="00EB4920">
              <w:rPr>
                <w:sz w:val="22"/>
                <w:u w:val="single"/>
                <w:lang w:val="fr-FR"/>
              </w:rPr>
              <w:t xml:space="preserve"> de la Liste rouge (impacts des sociétés de pêche sur les espèces migratrices) </w:t>
            </w:r>
            <w:r w:rsidR="00B907CE" w:rsidRPr="00EB4920">
              <w:rPr>
                <w:b/>
                <w:sz w:val="22"/>
                <w:u w:val="single"/>
                <w:lang w:val="fr-FR"/>
              </w:rPr>
              <w:t>Priorité suggérée</w:t>
            </w:r>
            <w:r w:rsidR="00B907CE" w:rsidRPr="00EB4920">
              <w:rPr>
                <w:lang w:val="fr-FR"/>
              </w:rPr>
              <w:t xml:space="preserve"> : </w:t>
            </w:r>
            <w:r w:rsidR="00B907CE" w:rsidRPr="00EB4920">
              <w:rPr>
                <w:sz w:val="22"/>
                <w:u w:val="single"/>
                <w:lang w:val="fr-FR"/>
              </w:rPr>
              <w:t>effectuer une dissociation des espèces migratrices, en collaboration avec le Partenariat pour la Liste rouge.</w:t>
            </w:r>
          </w:p>
        </w:tc>
      </w:tr>
      <w:tr w:rsidR="00B907CE" w:rsidRPr="00591DCA" w14:paraId="2FEB58BA" w14:textId="77777777" w:rsidTr="00FE2B38">
        <w:tc>
          <w:tcPr>
            <w:tcW w:w="2500" w:type="pct"/>
          </w:tcPr>
          <w:p w14:paraId="3615874A"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7. Les multiples pressions d’origine anthropique ont été réduites à des niveaux non préjudiciables pour la conservation des espèces migratrices ou pour le fonctionnement, l’intégrité, la connectivité écologique et la résilience de leurs habitats.</w:t>
            </w:r>
          </w:p>
        </w:tc>
        <w:tc>
          <w:tcPr>
            <w:tcW w:w="2500" w:type="pct"/>
          </w:tcPr>
          <w:p w14:paraId="5E5C305F" w14:textId="77777777" w:rsidR="00070833" w:rsidRPr="00EB4920" w:rsidRDefault="00070833" w:rsidP="00B907CE">
            <w:pPr>
              <w:spacing w:before="20" w:after="20"/>
              <w:ind w:left="113" w:hanging="113"/>
              <w:rPr>
                <w:sz w:val="22"/>
                <w:u w:val="single"/>
                <w:lang w:val="fr-FR"/>
              </w:rPr>
            </w:pPr>
            <w:r w:rsidRPr="00EB4920">
              <w:rPr>
                <w:sz w:val="22"/>
                <w:u w:val="single"/>
                <w:lang w:val="fr-FR"/>
              </w:rPr>
              <w:t>7.1 Tendances des menaces sélectionnées pour les espèces migratrices, leurs habitats et leurs routes migratoires</w:t>
            </w:r>
          </w:p>
          <w:p w14:paraId="1603EEC2" w14:textId="11B8956A" w:rsidR="00B907CE" w:rsidRPr="00EB4920" w:rsidRDefault="00B907CE" w:rsidP="00B907CE">
            <w:pPr>
              <w:spacing w:before="20" w:after="20"/>
              <w:ind w:left="113" w:hanging="113"/>
              <w:rPr>
                <w:rFonts w:eastAsia="MS Mincho" w:cs="Arial"/>
                <w:sz w:val="22"/>
                <w:szCs w:val="22"/>
                <w:u w:val="single"/>
                <w:lang w:val="fr-FR"/>
              </w:rPr>
            </w:pPr>
            <w:r w:rsidRPr="00EB4920">
              <w:rPr>
                <w:b/>
                <w:sz w:val="22"/>
                <w:u w:val="single"/>
                <w:lang w:val="fr-FR"/>
              </w:rPr>
              <w:t>Priorité suggérée :</w:t>
            </w:r>
            <w:r w:rsidRPr="00EB4920">
              <w:rPr>
                <w:sz w:val="22"/>
                <w:u w:val="single"/>
                <w:lang w:val="fr-FR"/>
              </w:rPr>
              <w:t xml:space="preserve"> un indicateur composite, mais avec certains aspects réalisables pouvant être mis en œuvre dans l’immédiat, à l’exemple des données du rapport national et des informations tirées des indicateurs 5.1 et 6.2.</w:t>
            </w:r>
          </w:p>
        </w:tc>
      </w:tr>
      <w:tr w:rsidR="00B907CE" w:rsidRPr="00591DCA" w14:paraId="2E455A78" w14:textId="77777777" w:rsidTr="00FE2B38">
        <w:tc>
          <w:tcPr>
            <w:tcW w:w="2500" w:type="pct"/>
            <w:vMerge w:val="restart"/>
          </w:tcPr>
          <w:p w14:paraId="72B79FA6"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8. L’état de conservation de toutes les espèces migratrices, et plus particulièrement des espèces menacées, s’est considérablement amélioré dans l’ensemble de leurs aires de répartition.</w:t>
            </w:r>
          </w:p>
        </w:tc>
        <w:tc>
          <w:tcPr>
            <w:tcW w:w="2500" w:type="pct"/>
          </w:tcPr>
          <w:p w14:paraId="4BCD5F92" w14:textId="77777777" w:rsidR="00070833" w:rsidRPr="00EB4920" w:rsidRDefault="00070833" w:rsidP="00B907CE">
            <w:pPr>
              <w:spacing w:before="20" w:after="20"/>
              <w:ind w:left="113" w:hanging="113"/>
              <w:rPr>
                <w:sz w:val="22"/>
                <w:u w:val="single"/>
                <w:lang w:val="fr-FR"/>
              </w:rPr>
            </w:pPr>
            <w:r w:rsidRPr="00EB4920">
              <w:rPr>
                <w:sz w:val="22"/>
                <w:u w:val="single"/>
                <w:lang w:val="fr-FR"/>
              </w:rPr>
              <w:t>8.1 Indice Liste rouge pour les espèces migratrices</w:t>
            </w:r>
          </w:p>
          <w:p w14:paraId="5930554D" w14:textId="20D84FF0" w:rsidR="00B907CE" w:rsidRPr="00EB4920" w:rsidRDefault="00B907CE" w:rsidP="00B907CE">
            <w:pPr>
              <w:spacing w:before="20" w:after="20"/>
              <w:ind w:left="113" w:hanging="113"/>
              <w:rPr>
                <w:rFonts w:eastAsia="MS Mincho" w:cs="Arial"/>
                <w:sz w:val="22"/>
                <w:szCs w:val="22"/>
                <w:u w:val="single"/>
                <w:lang w:val="fr-FR"/>
              </w:rPr>
            </w:pPr>
            <w:r w:rsidRPr="00EB4920">
              <w:rPr>
                <w:b/>
                <w:sz w:val="22"/>
                <w:u w:val="single"/>
                <w:lang w:val="fr-FR"/>
              </w:rPr>
              <w:t>Priorité suggérée</w:t>
            </w:r>
            <w:r w:rsidRPr="00EB4920">
              <w:rPr>
                <w:lang w:val="fr-FR"/>
              </w:rPr>
              <w:t xml:space="preserve"> : </w:t>
            </w:r>
            <w:r w:rsidRPr="00EB4920">
              <w:rPr>
                <w:sz w:val="22"/>
                <w:u w:val="single"/>
                <w:lang w:val="fr-FR"/>
              </w:rPr>
              <w:t xml:space="preserve">effectuer une dissociation des espèces migratrices, en collaboration avec le Partenariat pour la Liste rouge.  Établir des liens avec le projet d’initiative intitulé </w:t>
            </w:r>
            <w:proofErr w:type="spellStart"/>
            <w:r w:rsidRPr="00EB4920">
              <w:rPr>
                <w:i/>
                <w:sz w:val="22"/>
                <w:u w:val="single"/>
                <w:lang w:val="fr-FR"/>
              </w:rPr>
              <w:t>Status</w:t>
            </w:r>
            <w:proofErr w:type="spellEnd"/>
            <w:r w:rsidRPr="00EB4920">
              <w:rPr>
                <w:i/>
                <w:sz w:val="22"/>
                <w:u w:val="single"/>
                <w:lang w:val="fr-FR"/>
              </w:rPr>
              <w:t xml:space="preserve"> of the </w:t>
            </w:r>
            <w:proofErr w:type="spellStart"/>
            <w:r w:rsidRPr="00EB4920">
              <w:rPr>
                <w:i/>
                <w:sz w:val="22"/>
                <w:u w:val="single"/>
                <w:lang w:val="fr-FR"/>
              </w:rPr>
              <w:t>World’s</w:t>
            </w:r>
            <w:proofErr w:type="spellEnd"/>
            <w:r w:rsidRPr="00EB4920">
              <w:rPr>
                <w:i/>
                <w:sz w:val="22"/>
                <w:u w:val="single"/>
                <w:lang w:val="fr-FR"/>
              </w:rPr>
              <w:t xml:space="preserve"> </w:t>
            </w:r>
            <w:proofErr w:type="spellStart"/>
            <w:r w:rsidRPr="00EB4920">
              <w:rPr>
                <w:i/>
                <w:sz w:val="22"/>
                <w:u w:val="single"/>
                <w:lang w:val="fr-FR"/>
              </w:rPr>
              <w:t>Migratory</w:t>
            </w:r>
            <w:proofErr w:type="spellEnd"/>
            <w:r w:rsidRPr="00EB4920">
              <w:rPr>
                <w:i/>
                <w:sz w:val="22"/>
                <w:u w:val="single"/>
                <w:lang w:val="fr-FR"/>
              </w:rPr>
              <w:t xml:space="preserve"> </w:t>
            </w:r>
            <w:proofErr w:type="spellStart"/>
            <w:r w:rsidRPr="00EB4920">
              <w:rPr>
                <w:i/>
                <w:sz w:val="22"/>
                <w:u w:val="single"/>
                <w:lang w:val="fr-FR"/>
              </w:rPr>
              <w:t>Species</w:t>
            </w:r>
            <w:proofErr w:type="spellEnd"/>
            <w:r w:rsidRPr="00EB4920">
              <w:rPr>
                <w:sz w:val="22"/>
                <w:u w:val="single"/>
                <w:lang w:val="fr-FR"/>
              </w:rPr>
              <w:t xml:space="preserve"> (UNEP/CMS/ScC-SC2/Doc.6.1).</w:t>
            </w:r>
          </w:p>
        </w:tc>
      </w:tr>
      <w:tr w:rsidR="00B907CE" w:rsidRPr="00591DCA" w14:paraId="43244E26" w14:textId="77777777" w:rsidTr="00FE2B38">
        <w:tc>
          <w:tcPr>
            <w:tcW w:w="2500" w:type="pct"/>
            <w:vMerge/>
          </w:tcPr>
          <w:p w14:paraId="35AC6BDC"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32B2AE97" w14:textId="1DED312D" w:rsidR="00B907CE" w:rsidRPr="00EB4920" w:rsidRDefault="00B907CE" w:rsidP="00B907CE">
            <w:pPr>
              <w:spacing w:before="20" w:after="20"/>
              <w:ind w:left="113" w:hanging="113"/>
              <w:rPr>
                <w:rFonts w:eastAsia="MS Mincho" w:cs="Arial"/>
                <w:b/>
                <w:sz w:val="22"/>
                <w:szCs w:val="22"/>
                <w:u w:val="single"/>
                <w:lang w:val="fr-FR"/>
              </w:rPr>
            </w:pPr>
            <w:r w:rsidRPr="00591DCA">
              <w:rPr>
                <w:sz w:val="22"/>
                <w:u w:val="single"/>
                <w:lang w:val="fr-FR"/>
              </w:rPr>
              <w:t xml:space="preserve">8.2 </w:t>
            </w:r>
            <w:r w:rsidR="00070833" w:rsidRPr="00EB4920">
              <w:rPr>
                <w:sz w:val="22"/>
                <w:u w:val="single"/>
                <w:lang w:val="fr-FR"/>
              </w:rPr>
              <w:t xml:space="preserve">Indice Planète vivante (Living </w:t>
            </w:r>
            <w:proofErr w:type="spellStart"/>
            <w:r w:rsidR="00070833" w:rsidRPr="00EB4920">
              <w:rPr>
                <w:sz w:val="22"/>
                <w:u w:val="single"/>
                <w:lang w:val="fr-FR"/>
              </w:rPr>
              <w:t>Planet</w:t>
            </w:r>
            <w:proofErr w:type="spellEnd"/>
            <w:r w:rsidR="00070833" w:rsidRPr="00EB4920">
              <w:rPr>
                <w:sz w:val="22"/>
                <w:u w:val="single"/>
                <w:lang w:val="fr-FR"/>
              </w:rPr>
              <w:t xml:space="preserve"> Index) pour les espèces migratrices</w:t>
            </w:r>
          </w:p>
          <w:p w14:paraId="0BE09E44" w14:textId="77777777" w:rsidR="00B907CE" w:rsidRPr="00EB4920" w:rsidRDefault="00B907CE" w:rsidP="00B907CE">
            <w:pPr>
              <w:spacing w:before="20" w:after="20"/>
              <w:ind w:left="113" w:hanging="113"/>
              <w:rPr>
                <w:rFonts w:eastAsia="MS Mincho" w:cs="Arial"/>
                <w:sz w:val="22"/>
                <w:szCs w:val="22"/>
                <w:u w:val="single"/>
                <w:lang w:val="fr-FR"/>
              </w:rPr>
            </w:pPr>
            <w:r w:rsidRPr="00EB4920">
              <w:rPr>
                <w:b/>
                <w:sz w:val="22"/>
                <w:u w:val="single"/>
                <w:lang w:val="fr-FR"/>
              </w:rPr>
              <w:t>Priorité suggérée</w:t>
            </w:r>
            <w:r w:rsidRPr="00EB4920">
              <w:rPr>
                <w:sz w:val="22"/>
                <w:u w:val="single"/>
                <w:lang w:val="fr-FR"/>
              </w:rPr>
              <w:t> : effectuer une dissociation des espèces migratrices, en collaboration avec le consortium de l’Indice Planète vivante.</w:t>
            </w:r>
          </w:p>
        </w:tc>
      </w:tr>
      <w:tr w:rsidR="00B907CE" w:rsidRPr="00591DCA" w14:paraId="16D9F6E3" w14:textId="77777777" w:rsidTr="00FE2B38">
        <w:tc>
          <w:tcPr>
            <w:tcW w:w="2500" w:type="pct"/>
            <w:vMerge/>
          </w:tcPr>
          <w:p w14:paraId="62D6F187"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6AFCAD32" w14:textId="6990C0AC" w:rsidR="00B907CE" w:rsidRPr="00EB4920" w:rsidRDefault="00B907CE" w:rsidP="00B907CE">
            <w:pPr>
              <w:spacing w:before="20" w:after="20"/>
              <w:ind w:left="113" w:hanging="113"/>
              <w:rPr>
                <w:rFonts w:eastAsia="MS Mincho" w:cs="Arial"/>
                <w:b/>
                <w:sz w:val="22"/>
                <w:szCs w:val="22"/>
                <w:u w:val="single"/>
                <w:lang w:val="fr-FR"/>
              </w:rPr>
            </w:pPr>
            <w:r w:rsidRPr="00591DCA">
              <w:rPr>
                <w:sz w:val="22"/>
                <w:u w:val="single"/>
                <w:lang w:val="fr-FR"/>
              </w:rPr>
              <w:t xml:space="preserve">8.3 </w:t>
            </w:r>
            <w:r w:rsidR="00070833" w:rsidRPr="00EB4920">
              <w:rPr>
                <w:sz w:val="22"/>
                <w:u w:val="single"/>
                <w:lang w:val="fr-FR"/>
              </w:rPr>
              <w:t xml:space="preserve">Indice Oiseaux sauvages (Wild </w:t>
            </w:r>
            <w:proofErr w:type="spellStart"/>
            <w:r w:rsidR="00070833" w:rsidRPr="00EB4920">
              <w:rPr>
                <w:sz w:val="22"/>
                <w:u w:val="single"/>
                <w:lang w:val="fr-FR"/>
              </w:rPr>
              <w:t>Bird</w:t>
            </w:r>
            <w:proofErr w:type="spellEnd"/>
            <w:r w:rsidR="00070833" w:rsidRPr="00EB4920">
              <w:rPr>
                <w:sz w:val="22"/>
                <w:u w:val="single"/>
                <w:lang w:val="fr-FR"/>
              </w:rPr>
              <w:t xml:space="preserve"> Index) pour les oiseaux migrateurs</w:t>
            </w:r>
          </w:p>
          <w:p w14:paraId="7A8D393E" w14:textId="77777777" w:rsidR="00B907CE" w:rsidRPr="00EB4920" w:rsidRDefault="00B907CE" w:rsidP="00B907CE">
            <w:pPr>
              <w:spacing w:before="20" w:after="20"/>
              <w:ind w:left="113" w:hanging="113"/>
              <w:rPr>
                <w:rFonts w:eastAsia="MS Mincho" w:cs="Arial"/>
                <w:sz w:val="22"/>
                <w:szCs w:val="22"/>
                <w:u w:val="single"/>
                <w:lang w:val="fr-FR"/>
              </w:rPr>
            </w:pPr>
            <w:r w:rsidRPr="00EB4920">
              <w:rPr>
                <w:b/>
                <w:sz w:val="22"/>
                <w:u w:val="single"/>
                <w:lang w:val="fr-FR"/>
              </w:rPr>
              <w:t>Priorité suggérée</w:t>
            </w:r>
            <w:r w:rsidRPr="00EB4920">
              <w:rPr>
                <w:sz w:val="22"/>
                <w:u w:val="single"/>
                <w:lang w:val="fr-FR"/>
              </w:rPr>
              <w:t> : effectuer une dissociation des espèces migratrices, en collaboration avec les partenaires à l’Indice des Oiseaux sauvages.</w:t>
            </w:r>
          </w:p>
        </w:tc>
      </w:tr>
      <w:tr w:rsidR="00B907CE" w:rsidRPr="00591DCA" w14:paraId="7F9FFC32" w14:textId="77777777" w:rsidTr="00FE2B38">
        <w:tc>
          <w:tcPr>
            <w:tcW w:w="2500" w:type="pct"/>
            <w:vMerge/>
          </w:tcPr>
          <w:p w14:paraId="42E12394"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521EB8AF" w14:textId="7B8073FF" w:rsidR="00B907CE" w:rsidRPr="00EB4920" w:rsidRDefault="00B907CE" w:rsidP="00B907CE">
            <w:pPr>
              <w:spacing w:before="20" w:after="20"/>
              <w:ind w:left="113" w:hanging="113"/>
              <w:rPr>
                <w:rFonts w:eastAsia="MS Mincho" w:cs="Arial"/>
                <w:sz w:val="22"/>
                <w:szCs w:val="22"/>
                <w:u w:val="single"/>
                <w:lang w:val="fr-FR"/>
              </w:rPr>
            </w:pPr>
            <w:r w:rsidRPr="00591DCA">
              <w:rPr>
                <w:sz w:val="22"/>
                <w:u w:val="single"/>
                <w:lang w:val="fr-FR"/>
              </w:rPr>
              <w:t xml:space="preserve">8.4 </w:t>
            </w:r>
            <w:r w:rsidR="00070833" w:rsidRPr="00EB4920">
              <w:rPr>
                <w:sz w:val="22"/>
                <w:u w:val="single"/>
                <w:lang w:val="fr-FR"/>
              </w:rPr>
              <w:t>Tendances de la répartition des espèces migratrices</w:t>
            </w:r>
          </w:p>
        </w:tc>
      </w:tr>
      <w:tr w:rsidR="00B907CE" w:rsidRPr="00591DCA" w14:paraId="276191D5" w14:textId="77777777" w:rsidTr="00FE2B38">
        <w:tc>
          <w:tcPr>
            <w:tcW w:w="2500" w:type="pct"/>
            <w:vMerge w:val="restart"/>
          </w:tcPr>
          <w:p w14:paraId="379AF636"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9. L’action et la coopération internationales et régionales entre les États pour assurer la conservation et la gestion efficace des espèces migratrices traduisent pleinement une approche fondée sur les systèmes migratoires, par laquelle tous les États qui partagent une responsabilité pour les espèces </w:t>
            </w:r>
            <w:r w:rsidRPr="00EB4920">
              <w:rPr>
                <w:sz w:val="22"/>
                <w:u w:val="single"/>
                <w:lang w:val="fr-FR"/>
              </w:rPr>
              <w:lastRenderedPageBreak/>
              <w:t>concernées entreprennent de telles actions d’une manière concertée.</w:t>
            </w:r>
          </w:p>
        </w:tc>
        <w:tc>
          <w:tcPr>
            <w:tcW w:w="2500" w:type="pct"/>
          </w:tcPr>
          <w:p w14:paraId="4EE44CC2" w14:textId="3D73C8B6"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lastRenderedPageBreak/>
              <w:t xml:space="preserve">9.1 </w:t>
            </w:r>
            <w:r w:rsidR="00070833" w:rsidRPr="00EB4920">
              <w:rPr>
                <w:sz w:val="22"/>
                <w:u w:val="single"/>
                <w:lang w:val="fr-FR"/>
              </w:rPr>
              <w:t>Étude d’évaluation ponctuelle des engagements concertés reflétant une approche des systèmes de migration</w:t>
            </w:r>
          </w:p>
        </w:tc>
      </w:tr>
      <w:tr w:rsidR="00B907CE" w:rsidRPr="00591DCA" w14:paraId="1732F6F0" w14:textId="77777777" w:rsidTr="00FE2B38">
        <w:tc>
          <w:tcPr>
            <w:tcW w:w="2500" w:type="pct"/>
            <w:vMerge/>
          </w:tcPr>
          <w:p w14:paraId="65246CAC"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4169E996" w14:textId="326CB754" w:rsidR="00B907CE" w:rsidRPr="00EB4920" w:rsidRDefault="00B907CE" w:rsidP="00B907CE">
            <w:pPr>
              <w:spacing w:before="20" w:after="20"/>
              <w:ind w:left="113" w:hanging="113"/>
              <w:rPr>
                <w:rFonts w:eastAsia="MS Mincho" w:cs="Arial"/>
                <w:sz w:val="22"/>
                <w:szCs w:val="22"/>
                <w:u w:val="single"/>
                <w:lang w:val="fr-FR"/>
              </w:rPr>
            </w:pPr>
            <w:r w:rsidRPr="00591DCA">
              <w:rPr>
                <w:sz w:val="22"/>
                <w:u w:val="single"/>
                <w:lang w:val="fr-FR"/>
              </w:rPr>
              <w:t xml:space="preserve">9.2 </w:t>
            </w:r>
            <w:r w:rsidR="00070833" w:rsidRPr="00EB4920">
              <w:rPr>
                <w:sz w:val="22"/>
                <w:u w:val="single"/>
                <w:lang w:val="fr-FR"/>
              </w:rPr>
              <w:t>Question du format de rapport national de la CMS</w:t>
            </w:r>
          </w:p>
        </w:tc>
      </w:tr>
      <w:tr w:rsidR="00B907CE" w:rsidRPr="00591DCA" w14:paraId="307B7BC6" w14:textId="77777777" w:rsidTr="00FE2B38">
        <w:tc>
          <w:tcPr>
            <w:tcW w:w="2500" w:type="pct"/>
            <w:vMerge w:val="restart"/>
          </w:tcPr>
          <w:p w14:paraId="193807B1"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10. Tous les habitats et les sites essentiels pour les espèces migratrices sont recensés et font l’objet de mesures de conservation par zone, afin de maintenir leur qualité, intégrité, résilience et fonctionnement, conformément à l’application de l’Objectif 11 d’Aichi, étayées si nécessaire par une planification de l’utilisation des terres et une gestion des paysages respectueuses de l’environnement et à une échelle plus large.</w:t>
            </w:r>
          </w:p>
        </w:tc>
        <w:tc>
          <w:tcPr>
            <w:tcW w:w="2500" w:type="pct"/>
          </w:tcPr>
          <w:p w14:paraId="158BD51D" w14:textId="6075DA10"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10.1 </w:t>
            </w:r>
            <w:r w:rsidR="00070833" w:rsidRPr="00EB4920">
              <w:rPr>
                <w:sz w:val="22"/>
                <w:u w:val="single"/>
                <w:lang w:val="fr-FR"/>
              </w:rPr>
              <w:t>Proportion d’espèces migratrices menacées d’extinction et/ou grégaires pour lesquelles des Zones clés pour la biodiversité (ZCB) ont été identifiées dans l’ensemble de leur aire de répartition.</w:t>
            </w:r>
          </w:p>
        </w:tc>
      </w:tr>
      <w:tr w:rsidR="00B907CE" w:rsidRPr="00EB4920" w14:paraId="619A3ED6" w14:textId="77777777" w:rsidTr="00FE2B38">
        <w:tc>
          <w:tcPr>
            <w:tcW w:w="2500" w:type="pct"/>
            <w:vMerge/>
          </w:tcPr>
          <w:p w14:paraId="0C48244A"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46A4D7B1" w14:textId="2F9A5215" w:rsidR="00B907CE" w:rsidRPr="00EB4920" w:rsidRDefault="00B907CE" w:rsidP="00B907CE">
            <w:pPr>
              <w:spacing w:before="20" w:after="20"/>
              <w:ind w:left="113" w:hanging="113"/>
              <w:rPr>
                <w:rFonts w:eastAsia="MS Mincho" w:cs="Arial"/>
                <w:b/>
                <w:sz w:val="22"/>
                <w:szCs w:val="22"/>
                <w:u w:val="single"/>
                <w:lang w:val="fr-FR"/>
              </w:rPr>
            </w:pPr>
            <w:r w:rsidRPr="00591DCA">
              <w:rPr>
                <w:sz w:val="22"/>
                <w:u w:val="single"/>
                <w:lang w:val="fr-FR"/>
              </w:rPr>
              <w:t xml:space="preserve">10.2 </w:t>
            </w:r>
            <w:r w:rsidR="0046627D" w:rsidRPr="00EB4920">
              <w:rPr>
                <w:sz w:val="22"/>
                <w:u w:val="single"/>
                <w:lang w:val="fr-FR"/>
              </w:rPr>
              <w:t>Proportion de zones clés pour la biodiversité pour certains groupes d’espèces migratrices et couverts par des mesures de conservation par zone</w:t>
            </w:r>
          </w:p>
          <w:p w14:paraId="3CF36C9B" w14:textId="77777777" w:rsidR="00B907CE" w:rsidRPr="00EB4920" w:rsidRDefault="00B907CE" w:rsidP="00B907CE">
            <w:pPr>
              <w:spacing w:before="20" w:after="20"/>
              <w:ind w:left="113" w:hanging="113"/>
              <w:rPr>
                <w:rFonts w:eastAsia="MS Mincho" w:cs="Arial"/>
                <w:sz w:val="22"/>
                <w:szCs w:val="22"/>
                <w:u w:val="single"/>
                <w:lang w:val="fr-FR"/>
              </w:rPr>
            </w:pPr>
            <w:r w:rsidRPr="00EB4920">
              <w:rPr>
                <w:b/>
                <w:sz w:val="22"/>
                <w:u w:val="single"/>
                <w:lang w:val="fr-FR"/>
              </w:rPr>
              <w:t>Priorité suggérée :</w:t>
            </w:r>
            <w:r w:rsidRPr="00EB4920">
              <w:rPr>
                <w:sz w:val="22"/>
                <w:u w:val="single"/>
                <w:lang w:val="fr-FR"/>
              </w:rPr>
              <w:t xml:space="preserve"> mettre au point un volet « espèces migratrices » de l’indicateur correspondant utilisé pour l’Objectif 11 d’Aichi, en collaboration avec le Partenariat pour les zones clés pour la biodiversité. </w:t>
            </w:r>
            <w:proofErr w:type="spellStart"/>
            <w:r w:rsidRPr="00EB4920">
              <w:rPr>
                <w:sz w:val="22"/>
                <w:u w:val="single"/>
              </w:rPr>
              <w:t>Faisable</w:t>
            </w:r>
            <w:proofErr w:type="spellEnd"/>
            <w:r w:rsidRPr="00EB4920">
              <w:rPr>
                <w:sz w:val="22"/>
                <w:u w:val="single"/>
              </w:rPr>
              <w:t xml:space="preserve"> </w:t>
            </w:r>
            <w:proofErr w:type="spellStart"/>
            <w:r w:rsidRPr="00EB4920">
              <w:rPr>
                <w:sz w:val="22"/>
                <w:u w:val="single"/>
              </w:rPr>
              <w:t>uniquement</w:t>
            </w:r>
            <w:proofErr w:type="spellEnd"/>
            <w:r w:rsidRPr="00EB4920">
              <w:rPr>
                <w:sz w:val="22"/>
                <w:u w:val="single"/>
              </w:rPr>
              <w:t xml:space="preserve"> pour </w:t>
            </w:r>
            <w:proofErr w:type="spellStart"/>
            <w:r w:rsidRPr="00EB4920">
              <w:rPr>
                <w:sz w:val="22"/>
                <w:u w:val="single"/>
              </w:rPr>
              <w:t>l’aspect</w:t>
            </w:r>
            <w:proofErr w:type="spellEnd"/>
            <w:r w:rsidRPr="00EB4920">
              <w:rPr>
                <w:sz w:val="22"/>
                <w:u w:val="single"/>
              </w:rPr>
              <w:t xml:space="preserve"> « </w:t>
            </w:r>
            <w:proofErr w:type="spellStart"/>
            <w:r w:rsidRPr="00EB4920">
              <w:rPr>
                <w:sz w:val="22"/>
                <w:u w:val="single"/>
              </w:rPr>
              <w:t>aire</w:t>
            </w:r>
            <w:proofErr w:type="spellEnd"/>
            <w:r w:rsidRPr="00EB4920">
              <w:rPr>
                <w:sz w:val="22"/>
                <w:u w:val="single"/>
              </w:rPr>
              <w:t xml:space="preserve"> protégée » de </w:t>
            </w:r>
            <w:proofErr w:type="spellStart"/>
            <w:r w:rsidRPr="00EB4920">
              <w:rPr>
                <w:sz w:val="22"/>
                <w:u w:val="single"/>
              </w:rPr>
              <w:t>l’objectif</w:t>
            </w:r>
            <w:proofErr w:type="spellEnd"/>
            <w:r w:rsidRPr="00EB4920">
              <w:rPr>
                <w:sz w:val="22"/>
                <w:u w:val="single"/>
              </w:rPr>
              <w:t>.</w:t>
            </w:r>
          </w:p>
        </w:tc>
      </w:tr>
      <w:tr w:rsidR="00B907CE" w:rsidRPr="00591DCA" w14:paraId="2A441DA8" w14:textId="77777777" w:rsidTr="00FE2B38">
        <w:tc>
          <w:tcPr>
            <w:tcW w:w="2500" w:type="pct"/>
            <w:vMerge/>
          </w:tcPr>
          <w:p w14:paraId="75699159"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6DF9FBF7" w14:textId="55B5C64B" w:rsidR="00B907CE" w:rsidRPr="00EB4920" w:rsidRDefault="00B907CE" w:rsidP="00B907CE">
            <w:pPr>
              <w:spacing w:before="20" w:after="20"/>
              <w:ind w:left="113" w:hanging="113"/>
              <w:rPr>
                <w:rFonts w:eastAsia="MS Mincho" w:cs="Arial"/>
                <w:sz w:val="22"/>
                <w:szCs w:val="22"/>
                <w:u w:val="single"/>
                <w:lang w:val="fr-FR"/>
              </w:rPr>
            </w:pPr>
            <w:r w:rsidRPr="00591DCA">
              <w:rPr>
                <w:sz w:val="22"/>
                <w:u w:val="single"/>
                <w:lang w:val="fr-FR"/>
              </w:rPr>
              <w:t xml:space="preserve">10.3 </w:t>
            </w:r>
            <w:r w:rsidR="0046627D" w:rsidRPr="00EB4920">
              <w:rPr>
                <w:sz w:val="22"/>
                <w:u w:val="single"/>
                <w:lang w:val="fr-FR"/>
              </w:rPr>
              <w:t>Efficacité de la gestion des aires protégées spécifiquement pour les espèces migratrices</w:t>
            </w:r>
          </w:p>
        </w:tc>
      </w:tr>
      <w:tr w:rsidR="00B907CE" w:rsidRPr="00591DCA" w14:paraId="65E76292" w14:textId="77777777" w:rsidTr="00FE2B38">
        <w:tc>
          <w:tcPr>
            <w:tcW w:w="2500" w:type="pct"/>
          </w:tcPr>
          <w:p w14:paraId="1232714D"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11. Les espèces migratrices et leurs habitats qui fournissent des services écosystémiques importants sont maintenus ou restaurés dans un état de conservation favorable, compte tenu des besoins des femmes, des communautés autochtones et locales, et des populations pauvres et vulnérables.</w:t>
            </w:r>
          </w:p>
        </w:tc>
        <w:tc>
          <w:tcPr>
            <w:tcW w:w="2500" w:type="pct"/>
          </w:tcPr>
          <w:p w14:paraId="34316473" w14:textId="518AFC75"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11.1 </w:t>
            </w:r>
            <w:r w:rsidR="0046627D" w:rsidRPr="00EB4920">
              <w:rPr>
                <w:sz w:val="22"/>
                <w:u w:val="single"/>
                <w:lang w:val="fr-FR"/>
              </w:rPr>
              <w:t>Approche par « études de cas »</w:t>
            </w:r>
          </w:p>
        </w:tc>
      </w:tr>
      <w:tr w:rsidR="00B907CE" w:rsidRPr="00591DCA" w14:paraId="5D6A48B3" w14:textId="77777777" w:rsidTr="00FE2B38">
        <w:tc>
          <w:tcPr>
            <w:tcW w:w="2500" w:type="pct"/>
          </w:tcPr>
          <w:p w14:paraId="78BD7039"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12. La diversité génétique des populations sauvages d’espèces migratrices est sauvegardée, et des stratégies ont été élaborées et mises en œuvre pour réduire au minimum l’érosion génétique.</w:t>
            </w:r>
          </w:p>
        </w:tc>
        <w:tc>
          <w:tcPr>
            <w:tcW w:w="2500" w:type="pct"/>
          </w:tcPr>
          <w:p w14:paraId="16873E36" w14:textId="0CDCE9F0"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12.1 </w:t>
            </w:r>
            <w:r w:rsidR="0046627D" w:rsidRPr="00EB4920">
              <w:rPr>
                <w:sz w:val="22"/>
                <w:u w:val="single"/>
                <w:lang w:val="fr-FR"/>
              </w:rPr>
              <w:t>Question du format de rapport national de la CMS, en deux parties</w:t>
            </w:r>
          </w:p>
        </w:tc>
      </w:tr>
      <w:tr w:rsidR="00B907CE" w:rsidRPr="00591DCA" w14:paraId="3E007A5C" w14:textId="77777777" w:rsidTr="00FE2B38">
        <w:tc>
          <w:tcPr>
            <w:tcW w:w="2500" w:type="pct"/>
            <w:vMerge w:val="restart"/>
          </w:tcPr>
          <w:p w14:paraId="5173E5E0"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13. Des priorités pour une conservation et une gestion efficaces des espèces migratrices, de leurs habitats et des systèmes migratoires sont incluses dans l’élaboration et la mise en œuvre des stratégies et plans d’action nationaux pour la biodiversité en faisant référence, le cas échéant, aux accords et plans d’action de la CMS et à leurs organes d’exécution.</w:t>
            </w:r>
          </w:p>
        </w:tc>
        <w:tc>
          <w:tcPr>
            <w:tcW w:w="2500" w:type="pct"/>
          </w:tcPr>
          <w:p w14:paraId="66469CF6" w14:textId="529909C4"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13.1 </w:t>
            </w:r>
            <w:r w:rsidR="0046627D" w:rsidRPr="00EB4920">
              <w:rPr>
                <w:sz w:val="22"/>
                <w:u w:val="single"/>
                <w:lang w:val="fr-FR"/>
              </w:rPr>
              <w:t>Degré de prise de compte des préoccupations relatives aux espèces migratrices dans les Stratégies et Plans d’action nationaux pour la biodiversité</w:t>
            </w:r>
            <w:r w:rsidRPr="00EB4920">
              <w:rPr>
                <w:sz w:val="22"/>
                <w:u w:val="single"/>
                <w:lang w:val="fr-FR"/>
              </w:rPr>
              <w:t>.</w:t>
            </w:r>
          </w:p>
        </w:tc>
      </w:tr>
      <w:tr w:rsidR="00B907CE" w:rsidRPr="00591DCA" w14:paraId="5FD3950F" w14:textId="77777777" w:rsidTr="00FE2B38">
        <w:tc>
          <w:tcPr>
            <w:tcW w:w="2500" w:type="pct"/>
            <w:vMerge/>
          </w:tcPr>
          <w:p w14:paraId="3362F1F7" w14:textId="77777777" w:rsidR="00B907CE" w:rsidRPr="00591DCA" w:rsidRDefault="00B907CE" w:rsidP="00B907CE">
            <w:pPr>
              <w:spacing w:before="20" w:after="20"/>
              <w:ind w:left="113" w:hanging="113"/>
              <w:rPr>
                <w:rFonts w:eastAsia="MS Mincho" w:cs="Arial"/>
                <w:sz w:val="22"/>
                <w:szCs w:val="22"/>
                <w:u w:val="single"/>
                <w:lang w:val="fr-FR"/>
              </w:rPr>
            </w:pPr>
          </w:p>
        </w:tc>
        <w:tc>
          <w:tcPr>
            <w:tcW w:w="2500" w:type="pct"/>
          </w:tcPr>
          <w:p w14:paraId="75E962B3" w14:textId="6B4C44F6" w:rsidR="00B907CE" w:rsidRPr="00EB4920" w:rsidRDefault="00B907CE" w:rsidP="00B907CE">
            <w:pPr>
              <w:spacing w:before="20" w:after="20"/>
              <w:ind w:left="113" w:hanging="113"/>
              <w:rPr>
                <w:rFonts w:eastAsia="MS Mincho" w:cs="Arial"/>
                <w:b/>
                <w:sz w:val="22"/>
                <w:szCs w:val="22"/>
                <w:u w:val="single"/>
                <w:lang w:val="fr-FR"/>
              </w:rPr>
            </w:pPr>
            <w:r w:rsidRPr="00591DCA">
              <w:rPr>
                <w:sz w:val="22"/>
                <w:u w:val="single"/>
                <w:lang w:val="fr-FR"/>
              </w:rPr>
              <w:t xml:space="preserve">13.2 </w:t>
            </w:r>
            <w:r w:rsidR="0046627D" w:rsidRPr="00EB4920">
              <w:rPr>
                <w:sz w:val="22"/>
                <w:u w:val="single"/>
                <w:lang w:val="fr-FR"/>
              </w:rPr>
              <w:t>Degré de prise en compte des préoccupations relatives aux espèces migratrices dans la mise en œuvre des Stratégies et Plans d’action nationaux pour la biodiversité</w:t>
            </w:r>
          </w:p>
          <w:p w14:paraId="157C624B" w14:textId="77777777" w:rsidR="00B907CE" w:rsidRPr="00EB4920" w:rsidRDefault="00B907CE" w:rsidP="00B907CE">
            <w:pPr>
              <w:spacing w:before="20" w:after="20"/>
              <w:ind w:left="113" w:hanging="113"/>
              <w:rPr>
                <w:rFonts w:eastAsia="MS Mincho" w:cs="Arial"/>
                <w:sz w:val="22"/>
                <w:szCs w:val="22"/>
                <w:u w:val="single"/>
                <w:lang w:val="fr-FR"/>
              </w:rPr>
            </w:pPr>
            <w:r w:rsidRPr="00EB4920">
              <w:rPr>
                <w:b/>
                <w:sz w:val="22"/>
                <w:u w:val="single"/>
                <w:lang w:val="fr-FR"/>
              </w:rPr>
              <w:t>Priorité suggérée :</w:t>
            </w:r>
            <w:r w:rsidRPr="00EB4920">
              <w:rPr>
                <w:sz w:val="22"/>
                <w:u w:val="single"/>
                <w:lang w:val="fr-FR"/>
              </w:rPr>
              <w:t xml:space="preserve"> concevoir une méthode d’extraction de données auprès des mécanismes nationaux de suivi de la mise en œuvre des SPANB, et peut-être dans les rapports transmis à la CDB.</w:t>
            </w:r>
          </w:p>
        </w:tc>
      </w:tr>
      <w:tr w:rsidR="00B907CE" w:rsidRPr="00591DCA" w14:paraId="434DB532" w14:textId="77777777" w:rsidTr="00FE2B38">
        <w:tc>
          <w:tcPr>
            <w:tcW w:w="2500" w:type="pct"/>
          </w:tcPr>
          <w:p w14:paraId="530A5B08"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14. 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w:t>
            </w:r>
            <w:r w:rsidRPr="00EB4920">
              <w:rPr>
                <w:sz w:val="22"/>
                <w:u w:val="single"/>
                <w:lang w:val="fr-FR"/>
              </w:rPr>
              <w:lastRenderedPageBreak/>
              <w:t>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p>
        </w:tc>
        <w:tc>
          <w:tcPr>
            <w:tcW w:w="2500" w:type="pct"/>
          </w:tcPr>
          <w:p w14:paraId="4F53220A" w14:textId="0A1C5681"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lastRenderedPageBreak/>
              <w:t xml:space="preserve">14.1 </w:t>
            </w:r>
            <w:r w:rsidR="0046627D" w:rsidRPr="00EB4920">
              <w:rPr>
                <w:sz w:val="22"/>
                <w:u w:val="single"/>
                <w:lang w:val="fr-FR"/>
              </w:rPr>
              <w:t>Question du format de rapport national de la CMS</w:t>
            </w:r>
          </w:p>
        </w:tc>
      </w:tr>
      <w:tr w:rsidR="00B907CE" w:rsidRPr="00591DCA" w14:paraId="3F7E79A1" w14:textId="77777777" w:rsidTr="00FE2B38">
        <w:tc>
          <w:tcPr>
            <w:tcW w:w="2500" w:type="pct"/>
          </w:tcPr>
          <w:p w14:paraId="172D17A8"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15. Les bases scientifiques, l’information, la formation, la sensibilisation, la compréhension et les technologies concernant les espèces migratrices, leurs habitats et systèmes migratoires, leurs valeurs, leur fonctionnement, leur état et leurs tendances, ainsi que les conséquences de leur appauvrissement, sont améliorées, largement partagées et transférées, et efficacement appliquées.</w:t>
            </w:r>
          </w:p>
        </w:tc>
        <w:tc>
          <w:tcPr>
            <w:tcW w:w="2500" w:type="pct"/>
          </w:tcPr>
          <w:p w14:paraId="37F14F5D" w14:textId="2ECD8A4E"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15.1 </w:t>
            </w:r>
            <w:r w:rsidR="0046627D" w:rsidRPr="00EB4920">
              <w:rPr>
                <w:sz w:val="22"/>
                <w:u w:val="single"/>
                <w:lang w:val="fr-FR"/>
              </w:rPr>
              <w:t>Tendances de la publication de documents sur la conservation des espèces migratrices dans des revues à comité de lecture</w:t>
            </w:r>
            <w:r w:rsidRPr="00EB4920">
              <w:rPr>
                <w:sz w:val="22"/>
                <w:u w:val="single"/>
                <w:lang w:val="fr-FR"/>
              </w:rPr>
              <w:t>.</w:t>
            </w:r>
          </w:p>
        </w:tc>
      </w:tr>
      <w:tr w:rsidR="00B907CE" w:rsidRPr="00591DCA" w14:paraId="18F622B1" w14:textId="77777777" w:rsidTr="00FE2B38">
        <w:tc>
          <w:tcPr>
            <w:tcW w:w="2500" w:type="pct"/>
          </w:tcPr>
          <w:p w14:paraId="720CDCF8" w14:textId="77777777"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16. La mobilisation de ressources adéquates de toutes provenances, destinées à une mise en œuvre effective du Plan stratégique pour les espèces migratrices, a effectivement augmenté sensiblement.</w:t>
            </w:r>
          </w:p>
        </w:tc>
        <w:tc>
          <w:tcPr>
            <w:tcW w:w="2500" w:type="pct"/>
          </w:tcPr>
          <w:p w14:paraId="7285FADF" w14:textId="06CD75A1" w:rsidR="00B907CE" w:rsidRPr="00EB4920" w:rsidRDefault="00B907CE" w:rsidP="00B907CE">
            <w:pPr>
              <w:spacing w:before="20" w:after="20"/>
              <w:ind w:left="113" w:hanging="113"/>
              <w:rPr>
                <w:rFonts w:eastAsia="MS Mincho" w:cs="Arial"/>
                <w:sz w:val="22"/>
                <w:szCs w:val="22"/>
                <w:u w:val="single"/>
                <w:lang w:val="fr-FR"/>
              </w:rPr>
            </w:pPr>
            <w:r w:rsidRPr="00EB4920">
              <w:rPr>
                <w:sz w:val="22"/>
                <w:u w:val="single"/>
                <w:lang w:val="fr-FR"/>
              </w:rPr>
              <w:t xml:space="preserve">16.1 </w:t>
            </w:r>
            <w:r w:rsidR="0046627D" w:rsidRPr="00EB4920">
              <w:rPr>
                <w:sz w:val="22"/>
                <w:u w:val="single"/>
                <w:lang w:val="fr-FR"/>
              </w:rPr>
              <w:t>Succès dans la mise en œuvre d’actions nationales de mobilisation des ressources pour répondre à l’Objectif 16</w:t>
            </w:r>
          </w:p>
        </w:tc>
      </w:tr>
    </w:tbl>
    <w:p w14:paraId="359DA682" w14:textId="77777777" w:rsidR="007027A2" w:rsidRPr="001D40C8" w:rsidRDefault="007027A2" w:rsidP="003C5848">
      <w:pPr>
        <w:jc w:val="both"/>
        <w:rPr>
          <w:rFonts w:eastAsia="MS Mincho" w:cs="Arial"/>
          <w:sz w:val="22"/>
          <w:szCs w:val="22"/>
          <w:u w:val="single"/>
          <w:lang w:val="fr-FR"/>
        </w:rPr>
      </w:pPr>
    </w:p>
    <w:p w14:paraId="7C09AAA1" w14:textId="77777777" w:rsidR="007027A2" w:rsidRPr="001D40C8" w:rsidRDefault="007027A2" w:rsidP="003C5848">
      <w:pPr>
        <w:jc w:val="both"/>
        <w:rPr>
          <w:rFonts w:eastAsia="MS Mincho" w:cs="Arial"/>
          <w:sz w:val="22"/>
          <w:szCs w:val="22"/>
          <w:u w:val="single"/>
          <w:lang w:val="fr-FR"/>
        </w:rPr>
      </w:pPr>
    </w:p>
    <w:p w14:paraId="19E3E7CA" w14:textId="77777777" w:rsidR="00E3445D" w:rsidRPr="001D40C8" w:rsidRDefault="00E3445D">
      <w:pPr>
        <w:widowControl/>
        <w:autoSpaceDE/>
        <w:autoSpaceDN/>
        <w:adjustRightInd/>
        <w:spacing w:after="160" w:line="259" w:lineRule="auto"/>
        <w:rPr>
          <w:rFonts w:cs="Arial"/>
          <w:sz w:val="22"/>
          <w:szCs w:val="22"/>
          <w:u w:val="single"/>
          <w:lang w:val="fr-FR"/>
        </w:rPr>
      </w:pPr>
      <w:r w:rsidRPr="001D40C8">
        <w:rPr>
          <w:rFonts w:cs="Arial"/>
          <w:sz w:val="22"/>
          <w:szCs w:val="22"/>
          <w:u w:val="single"/>
          <w:lang w:val="fr-FR"/>
        </w:rPr>
        <w:br w:type="page"/>
      </w:r>
    </w:p>
    <w:p w14:paraId="49E43748" w14:textId="14B5DF35" w:rsidR="00E3445D" w:rsidRPr="006124BC" w:rsidRDefault="00C369FB" w:rsidP="00C369FB">
      <w:pPr>
        <w:jc w:val="right"/>
        <w:rPr>
          <w:rFonts w:cs="Arial"/>
          <w:strike/>
          <w:sz w:val="22"/>
          <w:szCs w:val="22"/>
          <w:lang w:val="fr-FR"/>
        </w:rPr>
      </w:pPr>
      <w:r w:rsidRPr="006124BC">
        <w:rPr>
          <w:rFonts w:cs="Arial"/>
          <w:b/>
          <w:strike/>
          <w:sz w:val="22"/>
          <w:szCs w:val="22"/>
          <w:lang w:val="fr-FR"/>
        </w:rPr>
        <w:lastRenderedPageBreak/>
        <w:t>Annexe 2 à la Résolution 11.2</w:t>
      </w:r>
    </w:p>
    <w:p w14:paraId="5329A8BC" w14:textId="77777777" w:rsidR="00E3445D" w:rsidRPr="006124BC" w:rsidRDefault="00E3445D" w:rsidP="00E3445D">
      <w:pPr>
        <w:rPr>
          <w:rFonts w:cs="Arial"/>
          <w:strike/>
          <w:sz w:val="22"/>
          <w:szCs w:val="22"/>
          <w:lang w:val="fr-FR"/>
        </w:rPr>
      </w:pPr>
    </w:p>
    <w:p w14:paraId="76E76BDF" w14:textId="25A36955" w:rsidR="00E3445D" w:rsidRPr="001D40C8" w:rsidRDefault="00C369FB" w:rsidP="00E3445D">
      <w:pPr>
        <w:jc w:val="center"/>
        <w:rPr>
          <w:rFonts w:cs="Arial"/>
          <w:b/>
          <w:caps/>
          <w:strike/>
          <w:sz w:val="22"/>
          <w:szCs w:val="22"/>
          <w:lang w:val="fr-FR"/>
        </w:rPr>
      </w:pPr>
      <w:r w:rsidRPr="006124BC">
        <w:rPr>
          <w:rFonts w:cs="Arial"/>
          <w:b/>
          <w:caps/>
          <w:strike/>
          <w:sz w:val="22"/>
          <w:szCs w:val="22"/>
          <w:lang w:val="fr-FR"/>
        </w:rPr>
        <w:t>MANDAT DU GROUPE DE TRAVAIL SUR LA MISE EN OEUVRE DU PLAN STRATÉGIQUE</w:t>
      </w:r>
    </w:p>
    <w:p w14:paraId="272248F2" w14:textId="77777777" w:rsidR="00E3445D" w:rsidRPr="001D40C8" w:rsidRDefault="00E3445D" w:rsidP="00E3445D">
      <w:pPr>
        <w:rPr>
          <w:rFonts w:cs="Arial"/>
          <w:strike/>
          <w:sz w:val="22"/>
          <w:szCs w:val="22"/>
          <w:lang w:val="fr-FR"/>
        </w:rPr>
      </w:pPr>
    </w:p>
    <w:p w14:paraId="6955223C" w14:textId="77777777" w:rsidR="00E3445D" w:rsidRPr="001D40C8" w:rsidRDefault="00E3445D" w:rsidP="00E3445D">
      <w:pPr>
        <w:rPr>
          <w:rFonts w:cs="Arial"/>
          <w:strike/>
          <w:sz w:val="22"/>
          <w:szCs w:val="22"/>
          <w:lang w:val="fr-FR"/>
        </w:rPr>
      </w:pPr>
    </w:p>
    <w:p w14:paraId="2C59558C" w14:textId="77777777" w:rsidR="00C369FB" w:rsidRPr="00C369FB" w:rsidRDefault="00C369FB" w:rsidP="00C369FB">
      <w:pPr>
        <w:pStyle w:val="Heading2"/>
        <w:keepNext w:val="0"/>
        <w:rPr>
          <w:rFonts w:cs="Arial"/>
          <w:b w:val="0"/>
          <w:strike/>
          <w:sz w:val="22"/>
          <w:szCs w:val="22"/>
          <w:lang w:val="fr-FR"/>
        </w:rPr>
      </w:pPr>
      <w:r w:rsidRPr="00C369FB">
        <w:rPr>
          <w:rFonts w:cs="Arial"/>
          <w:b w:val="0"/>
          <w:strike/>
          <w:sz w:val="22"/>
          <w:szCs w:val="22"/>
          <w:lang w:val="fr-FR"/>
        </w:rPr>
        <w:t>Objectifs </w:t>
      </w:r>
    </w:p>
    <w:p w14:paraId="7A33B16D" w14:textId="77777777" w:rsidR="00C369FB" w:rsidRPr="00C369FB" w:rsidRDefault="00C369FB" w:rsidP="00C369FB">
      <w:pPr>
        <w:rPr>
          <w:rFonts w:cs="Arial"/>
          <w:strike/>
          <w:sz w:val="22"/>
          <w:szCs w:val="22"/>
          <w:lang w:val="fr-FR"/>
        </w:rPr>
      </w:pPr>
    </w:p>
    <w:p w14:paraId="2C2A8D13"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Les principaux objectifs du Groupe de travail seront les suivants :</w:t>
      </w:r>
    </w:p>
    <w:p w14:paraId="7772C9B9" w14:textId="77777777" w:rsidR="00C369FB" w:rsidRPr="00C369FB" w:rsidRDefault="00C369FB" w:rsidP="00C369FB">
      <w:pPr>
        <w:pStyle w:val="ListParagraph"/>
        <w:ind w:left="0"/>
        <w:jc w:val="both"/>
        <w:rPr>
          <w:rFonts w:ascii="Arial" w:hAnsi="Arial" w:cs="Arial"/>
          <w:strike/>
          <w:lang w:val="fr-FR"/>
        </w:rPr>
      </w:pPr>
    </w:p>
    <w:p w14:paraId="09B1A46A" w14:textId="77777777" w:rsidR="00C369FB" w:rsidRPr="00C369FB" w:rsidRDefault="00C369FB" w:rsidP="00C369FB">
      <w:pPr>
        <w:widowControl/>
        <w:numPr>
          <w:ilvl w:val="0"/>
          <w:numId w:val="12"/>
        </w:numPr>
        <w:ind w:left="709" w:hanging="709"/>
        <w:jc w:val="both"/>
        <w:rPr>
          <w:rFonts w:cs="Arial"/>
          <w:strike/>
          <w:sz w:val="22"/>
          <w:szCs w:val="22"/>
          <w:lang w:val="fr-FR"/>
        </w:rPr>
      </w:pPr>
      <w:r w:rsidRPr="00C369FB">
        <w:rPr>
          <w:rFonts w:cs="Arial"/>
          <w:strike/>
          <w:sz w:val="22"/>
          <w:szCs w:val="22"/>
          <w:lang w:val="fr-FR"/>
        </w:rPr>
        <w:t xml:space="preserve">Développer des indicateurs détaillés ou identifier des indicateurs existants pour le Plan stratégique ; et </w:t>
      </w:r>
    </w:p>
    <w:p w14:paraId="7EFD20B0" w14:textId="77777777" w:rsidR="00C369FB" w:rsidRPr="00C369FB" w:rsidRDefault="00C369FB" w:rsidP="00C369FB">
      <w:pPr>
        <w:ind w:left="709" w:hanging="709"/>
        <w:rPr>
          <w:rFonts w:cs="Arial"/>
          <w:strike/>
          <w:sz w:val="22"/>
          <w:szCs w:val="22"/>
          <w:lang w:val="fr-FR"/>
        </w:rPr>
      </w:pPr>
    </w:p>
    <w:p w14:paraId="4FDC0A41" w14:textId="77777777" w:rsidR="00C369FB" w:rsidRPr="00C369FB" w:rsidRDefault="00C369FB" w:rsidP="00C369FB">
      <w:pPr>
        <w:widowControl/>
        <w:numPr>
          <w:ilvl w:val="0"/>
          <w:numId w:val="12"/>
        </w:numPr>
        <w:ind w:left="709" w:hanging="709"/>
        <w:jc w:val="both"/>
        <w:rPr>
          <w:rFonts w:cs="Arial"/>
          <w:strike/>
          <w:sz w:val="22"/>
          <w:szCs w:val="22"/>
          <w:lang w:val="fr-FR"/>
        </w:rPr>
      </w:pPr>
      <w:r w:rsidRPr="00C369FB">
        <w:rPr>
          <w:rFonts w:cs="Arial"/>
          <w:strike/>
          <w:sz w:val="22"/>
          <w:szCs w:val="22"/>
          <w:lang w:val="fr-FR"/>
        </w:rPr>
        <w:t>Mettre en place un « guide d’accompagnement de la mise en œuvre » du Plan stratégique, en tenant compte des outils disponibles en vertu de la CMS et d’autres accords environnementaux multilatéraux, et en identifiant les lacunes pouvant nécessiter le développement de nouveaux outils.</w:t>
      </w:r>
    </w:p>
    <w:p w14:paraId="47824571" w14:textId="77777777" w:rsidR="00C369FB" w:rsidRPr="00C369FB" w:rsidRDefault="00C369FB" w:rsidP="00C369FB">
      <w:pPr>
        <w:rPr>
          <w:rFonts w:cs="Arial"/>
          <w:strike/>
          <w:sz w:val="22"/>
          <w:szCs w:val="22"/>
          <w:lang w:val="fr-FR"/>
        </w:rPr>
      </w:pPr>
    </w:p>
    <w:p w14:paraId="6BAED41E"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À cette fin, le Groupe de travail prendra en compte les indicateurs fondamentaux et la trame du guide d’accompagnement présentés dans le document PNUE/CMS/COP11/Doc.15.2.</w:t>
      </w:r>
    </w:p>
    <w:p w14:paraId="2D0C7B76" w14:textId="77777777" w:rsidR="00C369FB" w:rsidRPr="00C369FB" w:rsidRDefault="00C369FB" w:rsidP="00C369FB">
      <w:pPr>
        <w:rPr>
          <w:rFonts w:cs="Arial"/>
          <w:strike/>
          <w:sz w:val="22"/>
          <w:szCs w:val="22"/>
          <w:lang w:val="fr-FR"/>
        </w:rPr>
      </w:pPr>
    </w:p>
    <w:p w14:paraId="52E91B62"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Le Groupe de travail prendra également en compte la mise en œuvre du Plan stratégique pour la biodiversité 2011-2020, ainsi que les documents stratégiques des autres accords environnementaux multilatéraux relatifs à la biodiversité mondiale, et tous les autres documents et matériels pertinents qu’il jugera utiles.</w:t>
      </w:r>
    </w:p>
    <w:p w14:paraId="53CC5D4F" w14:textId="77777777" w:rsidR="00C369FB" w:rsidRPr="00C369FB" w:rsidRDefault="00C369FB" w:rsidP="00C369FB">
      <w:pPr>
        <w:pStyle w:val="ListParagraph"/>
        <w:ind w:left="0"/>
        <w:rPr>
          <w:rFonts w:ascii="Arial" w:hAnsi="Arial" w:cs="Arial"/>
          <w:strike/>
          <w:lang w:val="fr-FR"/>
        </w:rPr>
      </w:pPr>
    </w:p>
    <w:p w14:paraId="62249051"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Le Groupe de travail rendra compte aux réunions du Comité permanent afin que celui-ci approuve les progrès dans l’identification et/ou le développement des indicateurs (et de leur mise en œuvre progressive) et fournisse des orientations sur la préparation du guide d’accompagnement pendant la période intersession.</w:t>
      </w:r>
    </w:p>
    <w:p w14:paraId="2FC14D7E" w14:textId="77777777" w:rsidR="00C369FB" w:rsidRPr="00C369FB" w:rsidRDefault="00C369FB" w:rsidP="00C369FB">
      <w:pPr>
        <w:rPr>
          <w:rFonts w:cs="Arial"/>
          <w:strike/>
          <w:sz w:val="22"/>
          <w:szCs w:val="22"/>
          <w:lang w:val="fr-FR"/>
        </w:rPr>
      </w:pPr>
    </w:p>
    <w:p w14:paraId="25C69AFD"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Le Groupe de travail présentera ses conclusions à la 12</w:t>
      </w:r>
      <w:r w:rsidRPr="00C369FB">
        <w:rPr>
          <w:rFonts w:ascii="Arial" w:hAnsi="Arial" w:cs="Arial"/>
          <w:strike/>
          <w:vertAlign w:val="superscript"/>
          <w:lang w:val="fr-FR"/>
        </w:rPr>
        <w:t>ème</w:t>
      </w:r>
      <w:r w:rsidRPr="00C369FB">
        <w:rPr>
          <w:rFonts w:ascii="Arial" w:hAnsi="Arial" w:cs="Arial"/>
          <w:strike/>
          <w:lang w:val="fr-FR"/>
        </w:rPr>
        <w:t xml:space="preserve"> session de la Conférence des Parties.</w:t>
      </w:r>
    </w:p>
    <w:p w14:paraId="4F34A8F0" w14:textId="77777777" w:rsidR="00C369FB" w:rsidRPr="00C369FB" w:rsidRDefault="00C369FB" w:rsidP="00C369FB">
      <w:pPr>
        <w:rPr>
          <w:rFonts w:cs="Arial"/>
          <w:strike/>
          <w:sz w:val="22"/>
          <w:szCs w:val="22"/>
          <w:lang w:val="fr-FR"/>
        </w:rPr>
      </w:pPr>
    </w:p>
    <w:p w14:paraId="3241CE8A" w14:textId="77777777" w:rsidR="00C369FB" w:rsidRPr="00C369FB" w:rsidRDefault="00C369FB" w:rsidP="00C369FB">
      <w:pPr>
        <w:rPr>
          <w:rFonts w:cs="Arial"/>
          <w:strike/>
          <w:sz w:val="22"/>
          <w:szCs w:val="22"/>
          <w:lang w:val="fr-FR"/>
        </w:rPr>
      </w:pPr>
    </w:p>
    <w:p w14:paraId="219D4553" w14:textId="77777777" w:rsidR="00C369FB" w:rsidRPr="00C369FB" w:rsidRDefault="00C369FB" w:rsidP="00C369FB">
      <w:pPr>
        <w:ind w:left="709" w:hanging="709"/>
        <w:rPr>
          <w:rFonts w:cs="Arial"/>
          <w:strike/>
          <w:sz w:val="22"/>
          <w:szCs w:val="22"/>
          <w:lang w:val="fr-FR"/>
        </w:rPr>
      </w:pPr>
      <w:r w:rsidRPr="00C369FB">
        <w:rPr>
          <w:rFonts w:cs="Arial"/>
          <w:strike/>
          <w:sz w:val="22"/>
          <w:szCs w:val="22"/>
          <w:lang w:val="fr-FR"/>
        </w:rPr>
        <w:t>Composition du Groupe de travail</w:t>
      </w:r>
    </w:p>
    <w:p w14:paraId="297935AE" w14:textId="77777777" w:rsidR="00C369FB" w:rsidRPr="00C369FB" w:rsidRDefault="00C369FB" w:rsidP="00C369FB">
      <w:pPr>
        <w:pStyle w:val="ListParagraph"/>
        <w:ind w:left="0"/>
        <w:rPr>
          <w:rFonts w:ascii="Arial" w:hAnsi="Arial" w:cs="Arial"/>
          <w:strike/>
          <w:lang w:val="fr-FR"/>
        </w:rPr>
      </w:pPr>
    </w:p>
    <w:p w14:paraId="2A0D145A"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Le Groupe de travail sera composé des Parties à la Convention sur la base du même équilibre régional que celui du Comité permanent, avec un maximum de deux représentants par région. Les groupes régionaux sélectionneront leurs représentants en fonction de leur connaissance de la CMS, des activités des instruments de la Famille CMS, et de la mise en œuvre de la Convention. Les présidents du Comité permanent et du Conseil scientifique sont membres de droit du Groupe de travail. Les autres Parties à la CMS, représentants des secrétariats de la famille CMS, et les secrétariats des accords environnementaux multilatéraux concernés et organisations partenaires seront également invités à contribuer aux travaux du Groupe, en tant qu’observateurs.</w:t>
      </w:r>
    </w:p>
    <w:p w14:paraId="52D286C1" w14:textId="77777777" w:rsidR="00C369FB" w:rsidRPr="00C369FB" w:rsidRDefault="00C369FB" w:rsidP="00C369FB">
      <w:pPr>
        <w:rPr>
          <w:rFonts w:cs="Arial"/>
          <w:strike/>
          <w:sz w:val="22"/>
          <w:szCs w:val="22"/>
          <w:lang w:val="fr-FR"/>
        </w:rPr>
      </w:pPr>
    </w:p>
    <w:p w14:paraId="71886D95"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Les Parties contractantes seront consultées par leurs représentants régionaux, et le Groupe de travail sollicitera également les avis et travaillera en coopération avec l’ensemble de la Famille CMS.</w:t>
      </w:r>
    </w:p>
    <w:p w14:paraId="19E0D44F" w14:textId="77777777" w:rsidR="00C369FB" w:rsidRPr="00C369FB" w:rsidRDefault="00C369FB" w:rsidP="00C369FB">
      <w:pPr>
        <w:pStyle w:val="ListParagraph"/>
        <w:ind w:left="0"/>
        <w:rPr>
          <w:rFonts w:ascii="Arial" w:hAnsi="Arial" w:cs="Arial"/>
          <w:strike/>
          <w:lang w:val="fr-FR"/>
        </w:rPr>
      </w:pPr>
    </w:p>
    <w:p w14:paraId="613D92D2"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Le Groupe de travail consultera le Conseil scientifique de la CMS, le cas échéant, y compris sur les bases scientifiques qui sous-tendent les indicateurs pertinents.</w:t>
      </w:r>
    </w:p>
    <w:p w14:paraId="12365E01" w14:textId="77777777" w:rsidR="00C369FB" w:rsidRPr="00C369FB" w:rsidRDefault="00C369FB" w:rsidP="00C369FB">
      <w:pPr>
        <w:pStyle w:val="ListParagraph"/>
        <w:ind w:left="0"/>
        <w:rPr>
          <w:rFonts w:ascii="Arial" w:hAnsi="Arial" w:cs="Arial"/>
          <w:strike/>
          <w:lang w:val="fr-FR"/>
        </w:rPr>
      </w:pPr>
    </w:p>
    <w:p w14:paraId="4AC10C6D"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La nomination de membres du Groupe de travail sera convenue sous la responsabilité du Comité permanent de la CMS au plus tard deux mois après la fin de la COP11.</w:t>
      </w:r>
    </w:p>
    <w:p w14:paraId="6B06970C" w14:textId="77777777" w:rsidR="00C369FB" w:rsidRPr="00C369FB" w:rsidRDefault="00C369FB" w:rsidP="00C369FB">
      <w:pPr>
        <w:pStyle w:val="ListParagraph"/>
        <w:ind w:left="0"/>
        <w:rPr>
          <w:rFonts w:ascii="Arial" w:hAnsi="Arial" w:cs="Arial"/>
          <w:strike/>
          <w:lang w:val="fr-FR"/>
        </w:rPr>
      </w:pPr>
    </w:p>
    <w:p w14:paraId="76DDA550"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lastRenderedPageBreak/>
        <w:t>Le président et le vice-président seront choisis parmi les membres du Groupe de travail, sous la responsabilité du Comité permanent de la CMS, au plus tard trois mois après la fin de la COP11.</w:t>
      </w:r>
    </w:p>
    <w:p w14:paraId="301BD4F1" w14:textId="77777777" w:rsidR="00C369FB" w:rsidRPr="00C369FB" w:rsidRDefault="00C369FB" w:rsidP="00C369FB">
      <w:pPr>
        <w:rPr>
          <w:rFonts w:cs="Arial"/>
          <w:strike/>
          <w:sz w:val="22"/>
          <w:szCs w:val="22"/>
          <w:lang w:val="fr-FR"/>
        </w:rPr>
      </w:pPr>
    </w:p>
    <w:p w14:paraId="36C4E42A" w14:textId="77777777" w:rsidR="00C369FB" w:rsidRPr="00C369FB" w:rsidRDefault="00C369FB" w:rsidP="00C369FB">
      <w:pPr>
        <w:pStyle w:val="ListParagraph"/>
        <w:numPr>
          <w:ilvl w:val="0"/>
          <w:numId w:val="11"/>
        </w:numPr>
        <w:ind w:left="0" w:firstLine="0"/>
        <w:contextualSpacing w:val="0"/>
        <w:jc w:val="both"/>
        <w:rPr>
          <w:rFonts w:ascii="Arial" w:hAnsi="Arial" w:cs="Arial"/>
          <w:strike/>
          <w:lang w:val="fr-FR"/>
        </w:rPr>
      </w:pPr>
      <w:r w:rsidRPr="00C369FB">
        <w:rPr>
          <w:rFonts w:ascii="Arial" w:hAnsi="Arial" w:cs="Arial"/>
          <w:strike/>
          <w:lang w:val="fr-FR"/>
        </w:rPr>
        <w:t>Les travaux du Groupe de travail seront facilités par le Secrétariat de la CMS, et soutenus en partie par le budget principal, et en partie par des contributions volontaires.</w:t>
      </w:r>
    </w:p>
    <w:p w14:paraId="1FE6BE3D" w14:textId="77777777" w:rsidR="00E3445D" w:rsidRPr="001D40C8" w:rsidRDefault="00E3445D" w:rsidP="00E3445D">
      <w:pPr>
        <w:rPr>
          <w:rFonts w:cs="Arial"/>
          <w:strike/>
          <w:sz w:val="22"/>
          <w:szCs w:val="22"/>
          <w:lang w:val="fr-FR"/>
        </w:rPr>
      </w:pPr>
    </w:p>
    <w:p w14:paraId="7112BB6F" w14:textId="77777777" w:rsidR="000F486F" w:rsidRPr="006124BC" w:rsidRDefault="000F486F" w:rsidP="00E3445D">
      <w:pPr>
        <w:pStyle w:val="Default"/>
        <w:rPr>
          <w:strike/>
          <w:sz w:val="22"/>
          <w:szCs w:val="22"/>
          <w:lang w:val="fr-FR"/>
        </w:rPr>
        <w:sectPr w:rsidR="000F486F" w:rsidRPr="006124BC" w:rsidSect="00007F70">
          <w:headerReference w:type="even" r:id="rId30"/>
          <w:headerReference w:type="default" r:id="rId31"/>
          <w:headerReference w:type="first" r:id="rId32"/>
          <w:pgSz w:w="11906" w:h="16838"/>
          <w:pgMar w:top="1418" w:right="1134" w:bottom="1418" w:left="1134" w:header="709" w:footer="709" w:gutter="0"/>
          <w:cols w:space="708"/>
          <w:titlePg/>
          <w:docGrid w:linePitch="360"/>
        </w:sectPr>
      </w:pPr>
    </w:p>
    <w:p w14:paraId="76AD8755" w14:textId="04D33F9D" w:rsidR="003A397A" w:rsidRPr="001D40C8" w:rsidRDefault="007C2D68" w:rsidP="000F486F">
      <w:pPr>
        <w:jc w:val="right"/>
        <w:rPr>
          <w:rFonts w:cs="Arial"/>
          <w:sz w:val="22"/>
          <w:szCs w:val="22"/>
          <w:lang w:val="fr-FR"/>
        </w:rPr>
      </w:pPr>
      <w:r w:rsidRPr="001D40C8">
        <w:rPr>
          <w:rFonts w:cs="Arial"/>
          <w:b/>
          <w:sz w:val="22"/>
          <w:szCs w:val="22"/>
          <w:lang w:val="fr-FR"/>
        </w:rPr>
        <w:lastRenderedPageBreak/>
        <w:t>ANNEX</w:t>
      </w:r>
      <w:r w:rsidR="00774930">
        <w:rPr>
          <w:rFonts w:cs="Arial"/>
          <w:b/>
          <w:sz w:val="22"/>
          <w:szCs w:val="22"/>
          <w:lang w:val="fr-FR"/>
        </w:rPr>
        <w:t>E</w:t>
      </w:r>
      <w:r w:rsidRPr="001D40C8">
        <w:rPr>
          <w:rFonts w:cs="Arial"/>
          <w:b/>
          <w:sz w:val="22"/>
          <w:szCs w:val="22"/>
          <w:lang w:val="fr-FR"/>
        </w:rPr>
        <w:t xml:space="preserve"> 2</w:t>
      </w:r>
    </w:p>
    <w:p w14:paraId="7A2DCB60" w14:textId="77777777" w:rsidR="007C2D68" w:rsidRPr="001D40C8" w:rsidRDefault="007C2D68" w:rsidP="00785EF6">
      <w:pPr>
        <w:rPr>
          <w:rFonts w:cs="Arial"/>
          <w:sz w:val="22"/>
          <w:szCs w:val="22"/>
          <w:lang w:val="fr-FR"/>
        </w:rPr>
      </w:pPr>
    </w:p>
    <w:p w14:paraId="49E019AF" w14:textId="77777777" w:rsidR="007C2D68" w:rsidRPr="001D40C8" w:rsidRDefault="007C2D68" w:rsidP="007C2D68">
      <w:pPr>
        <w:widowControl/>
        <w:autoSpaceDE/>
        <w:adjustRightInd/>
        <w:jc w:val="center"/>
        <w:rPr>
          <w:rFonts w:cs="Arial"/>
          <w:sz w:val="22"/>
          <w:szCs w:val="22"/>
          <w:lang w:val="fr-FR"/>
        </w:rPr>
      </w:pPr>
    </w:p>
    <w:p w14:paraId="3546397F" w14:textId="0B43E076" w:rsidR="007C2D68" w:rsidRPr="001D40C8" w:rsidRDefault="00671257" w:rsidP="007C2D68">
      <w:pPr>
        <w:widowControl/>
        <w:autoSpaceDE/>
        <w:adjustRightInd/>
        <w:jc w:val="center"/>
        <w:rPr>
          <w:rFonts w:cs="Arial"/>
          <w:sz w:val="22"/>
          <w:szCs w:val="22"/>
          <w:lang w:val="fr-FR"/>
        </w:rPr>
      </w:pPr>
      <w:r>
        <w:rPr>
          <w:rFonts w:cs="Arial"/>
          <w:sz w:val="22"/>
          <w:szCs w:val="22"/>
          <w:lang w:val="fr-FR"/>
        </w:rPr>
        <w:t>PROJET DE DÉCISIONS</w:t>
      </w:r>
    </w:p>
    <w:p w14:paraId="62189EB1" w14:textId="77777777" w:rsidR="000F486F" w:rsidRPr="001D40C8" w:rsidRDefault="000F486F" w:rsidP="007C2D68">
      <w:pPr>
        <w:widowControl/>
        <w:autoSpaceDE/>
        <w:adjustRightInd/>
        <w:jc w:val="center"/>
        <w:rPr>
          <w:rFonts w:cs="Arial"/>
          <w:sz w:val="22"/>
          <w:szCs w:val="22"/>
          <w:lang w:val="fr-FR"/>
        </w:rPr>
      </w:pPr>
    </w:p>
    <w:p w14:paraId="658CD92B" w14:textId="77777777" w:rsidR="00B96FAF" w:rsidRPr="001D40C8" w:rsidRDefault="00B96FAF" w:rsidP="007C2D68">
      <w:pPr>
        <w:widowControl/>
        <w:autoSpaceDE/>
        <w:adjustRightInd/>
        <w:jc w:val="center"/>
        <w:rPr>
          <w:rFonts w:cs="Arial"/>
          <w:sz w:val="22"/>
          <w:szCs w:val="22"/>
          <w:lang w:val="fr-FR"/>
        </w:rPr>
      </w:pPr>
    </w:p>
    <w:p w14:paraId="677443E6" w14:textId="77777777" w:rsidR="00B907CE" w:rsidRPr="00720B4C" w:rsidRDefault="00B907CE" w:rsidP="00B907CE">
      <w:pPr>
        <w:spacing w:after="240"/>
        <w:contextualSpacing/>
        <w:jc w:val="both"/>
        <w:rPr>
          <w:rFonts w:cs="Arial"/>
          <w:i/>
          <w:sz w:val="22"/>
          <w:szCs w:val="22"/>
          <w:lang w:val="fr-FR"/>
        </w:rPr>
      </w:pPr>
      <w:r w:rsidRPr="00EB4920">
        <w:rPr>
          <w:i/>
          <w:sz w:val="22"/>
          <w:lang w:val="fr-FR"/>
        </w:rPr>
        <w:t xml:space="preserve">Le nouveau texte est </w:t>
      </w:r>
      <w:r w:rsidRPr="00EB4920">
        <w:rPr>
          <w:i/>
          <w:sz w:val="22"/>
          <w:u w:val="single"/>
          <w:lang w:val="fr-FR"/>
        </w:rPr>
        <w:t>souligné</w:t>
      </w:r>
      <w:r w:rsidRPr="00EB4920">
        <w:rPr>
          <w:i/>
          <w:sz w:val="22"/>
          <w:lang w:val="fr-FR"/>
        </w:rPr>
        <w:t xml:space="preserve">. Le texte à effacer est </w:t>
      </w:r>
      <w:r w:rsidRPr="00EB4920">
        <w:rPr>
          <w:i/>
          <w:strike/>
          <w:sz w:val="22"/>
          <w:lang w:val="fr-FR"/>
        </w:rPr>
        <w:t>barré</w:t>
      </w:r>
      <w:r w:rsidRPr="00EB4920">
        <w:rPr>
          <w:i/>
          <w:sz w:val="22"/>
          <w:lang w:val="fr-FR"/>
        </w:rPr>
        <w:t>.</w:t>
      </w:r>
    </w:p>
    <w:p w14:paraId="725DC35D" w14:textId="77777777" w:rsidR="000F486F" w:rsidRPr="001D40C8" w:rsidRDefault="000F486F" w:rsidP="00B96FAF">
      <w:pPr>
        <w:spacing w:after="240"/>
        <w:contextualSpacing/>
        <w:jc w:val="both"/>
        <w:rPr>
          <w:rFonts w:cs="Arial"/>
          <w:i/>
          <w:sz w:val="22"/>
          <w:szCs w:val="22"/>
          <w:lang w:val="fr-FR"/>
        </w:rPr>
      </w:pPr>
    </w:p>
    <w:p w14:paraId="121CCDCF" w14:textId="77777777" w:rsidR="000F486F" w:rsidRPr="001D40C8" w:rsidRDefault="000F486F" w:rsidP="00B96FAF">
      <w:pPr>
        <w:spacing w:after="240"/>
        <w:contextualSpacing/>
        <w:jc w:val="both"/>
        <w:rPr>
          <w:rFonts w:cs="Arial"/>
          <w:i/>
          <w:sz w:val="22"/>
          <w:szCs w:val="22"/>
          <w:lang w:val="fr-FR"/>
        </w:rPr>
      </w:pPr>
    </w:p>
    <w:p w14:paraId="76103DF6" w14:textId="4B5363C5" w:rsidR="006C4B20" w:rsidRPr="00F733A7" w:rsidRDefault="00F733A7" w:rsidP="00F733A7">
      <w:pPr>
        <w:widowControl/>
        <w:autoSpaceDE/>
        <w:autoSpaceDN/>
        <w:adjustRightInd/>
        <w:rPr>
          <w:rFonts w:cs="Arial"/>
          <w:b/>
          <w:i/>
          <w:sz w:val="22"/>
          <w:szCs w:val="22"/>
          <w:lang w:val="fr-FR"/>
        </w:rPr>
      </w:pPr>
      <w:proofErr w:type="spellStart"/>
      <w:r>
        <w:rPr>
          <w:rFonts w:cs="Arial"/>
          <w:b/>
          <w:i/>
          <w:sz w:val="22"/>
          <w:szCs w:val="22"/>
          <w:lang w:val="fr-FR"/>
        </w:rPr>
        <w:t>Àl’adresse</w:t>
      </w:r>
      <w:proofErr w:type="spellEnd"/>
      <w:r>
        <w:rPr>
          <w:rFonts w:cs="Arial"/>
          <w:b/>
          <w:i/>
          <w:sz w:val="22"/>
          <w:szCs w:val="22"/>
          <w:lang w:val="fr-FR"/>
        </w:rPr>
        <w:t xml:space="preserve"> du Secrétariat</w:t>
      </w:r>
    </w:p>
    <w:p w14:paraId="6825F64F" w14:textId="77777777" w:rsidR="00516F25" w:rsidRPr="001D40C8" w:rsidRDefault="00516F25" w:rsidP="00785EF6">
      <w:pPr>
        <w:rPr>
          <w:rFonts w:cs="Arial"/>
          <w:b/>
          <w:sz w:val="22"/>
          <w:szCs w:val="22"/>
          <w:lang w:val="fr-FR"/>
        </w:rPr>
      </w:pPr>
    </w:p>
    <w:p w14:paraId="13671CED" w14:textId="1FC02818" w:rsidR="00516F25" w:rsidRPr="001D40C8" w:rsidRDefault="00516F25" w:rsidP="00386CFE">
      <w:pPr>
        <w:widowControl/>
        <w:autoSpaceDE/>
        <w:autoSpaceDN/>
        <w:adjustRightInd/>
        <w:rPr>
          <w:rFonts w:cs="Arial"/>
          <w:sz w:val="22"/>
          <w:szCs w:val="22"/>
          <w:lang w:val="fr-FR"/>
        </w:rPr>
      </w:pPr>
      <w:r w:rsidRPr="001D40C8">
        <w:rPr>
          <w:rFonts w:cs="Arial"/>
          <w:sz w:val="22"/>
          <w:szCs w:val="22"/>
          <w:lang w:val="fr-FR"/>
        </w:rPr>
        <w:t>12.AA</w:t>
      </w:r>
      <w:r w:rsidRPr="001D40C8">
        <w:rPr>
          <w:rFonts w:cs="Arial"/>
          <w:sz w:val="22"/>
          <w:szCs w:val="22"/>
          <w:lang w:val="fr-FR"/>
        </w:rPr>
        <w:tab/>
      </w:r>
      <w:r w:rsidR="00386CFE" w:rsidRPr="00386CFE">
        <w:rPr>
          <w:rFonts w:cs="Arial"/>
          <w:sz w:val="22"/>
          <w:szCs w:val="22"/>
          <w:lang w:val="fr-FR"/>
        </w:rPr>
        <w:t>Le</w:t>
      </w:r>
      <w:r w:rsidR="00386CFE">
        <w:rPr>
          <w:rFonts w:cs="Arial"/>
          <w:sz w:val="22"/>
          <w:szCs w:val="22"/>
          <w:lang w:val="fr-FR"/>
        </w:rPr>
        <w:t xml:space="preserve"> Secrétariat</w:t>
      </w:r>
      <w:r w:rsidR="00671257" w:rsidRPr="00591DCA">
        <w:rPr>
          <w:rFonts w:cs="Arial"/>
          <w:sz w:val="22"/>
          <w:szCs w:val="22"/>
          <w:lang w:val="fr-FR"/>
        </w:rPr>
        <w:t xml:space="preserve"> devra </w:t>
      </w:r>
      <w:r w:rsidRPr="001D40C8">
        <w:rPr>
          <w:rFonts w:cs="Arial"/>
          <w:sz w:val="22"/>
          <w:szCs w:val="22"/>
          <w:lang w:val="fr-FR"/>
        </w:rPr>
        <w:t>:</w:t>
      </w:r>
    </w:p>
    <w:p w14:paraId="75CD7CF9" w14:textId="77777777" w:rsidR="00516F25" w:rsidRPr="001D40C8" w:rsidRDefault="00516F25" w:rsidP="00785EF6">
      <w:pPr>
        <w:rPr>
          <w:rFonts w:cs="Arial"/>
          <w:sz w:val="22"/>
          <w:szCs w:val="22"/>
          <w:lang w:val="fr-FR"/>
        </w:rPr>
      </w:pPr>
    </w:p>
    <w:p w14:paraId="6740443B" w14:textId="339EBB13" w:rsidR="004D5758" w:rsidRPr="00386CFE" w:rsidRDefault="00671257" w:rsidP="00672E2E">
      <w:pPr>
        <w:pStyle w:val="ListParagraph"/>
        <w:widowControl w:val="0"/>
        <w:numPr>
          <w:ilvl w:val="0"/>
          <w:numId w:val="3"/>
        </w:numPr>
        <w:contextualSpacing w:val="0"/>
        <w:jc w:val="both"/>
        <w:rPr>
          <w:rFonts w:ascii="Arial" w:hAnsi="Arial" w:cs="Arial"/>
        </w:rPr>
      </w:pPr>
      <w:r w:rsidRPr="00671257">
        <w:rPr>
          <w:i/>
          <w:lang w:val="fr-FR"/>
        </w:rPr>
        <w:t xml:space="preserve"> </w:t>
      </w:r>
      <w:r w:rsidRPr="00386CFE">
        <w:rPr>
          <w:rFonts w:ascii="Arial" w:hAnsi="Arial" w:cs="Arial"/>
          <w:i/>
          <w:strike/>
          <w:lang w:val="fr-FR"/>
        </w:rPr>
        <w:t>Prie en outre</w:t>
      </w:r>
      <w:r w:rsidRPr="00386CFE">
        <w:rPr>
          <w:rFonts w:ascii="Arial" w:hAnsi="Arial" w:cs="Arial"/>
          <w:strike/>
          <w:lang w:val="fr-FR"/>
        </w:rPr>
        <w:t xml:space="preserve"> le Secrétariat d’</w:t>
      </w:r>
      <w:r w:rsidR="00B907CE" w:rsidRPr="00386CFE">
        <w:rPr>
          <w:rFonts w:ascii="Arial" w:hAnsi="Arial"/>
          <w:u w:val="single"/>
        </w:rPr>
        <w:t xml:space="preserve">conformément à la demande de la </w:t>
      </w:r>
      <w:r w:rsidR="00F10C93" w:rsidRPr="00386CFE">
        <w:rPr>
          <w:rFonts w:ascii="Arial" w:hAnsi="Arial"/>
          <w:u w:val="single"/>
        </w:rPr>
        <w:t>COP</w:t>
      </w:r>
      <w:r w:rsidR="00B907CE" w:rsidRPr="00386CFE">
        <w:rPr>
          <w:rFonts w:ascii="Arial" w:hAnsi="Arial"/>
          <w:u w:val="single"/>
        </w:rPr>
        <w:t>11,</w:t>
      </w:r>
      <w:r w:rsidR="00B907CE" w:rsidRPr="00386CFE">
        <w:t xml:space="preserve"> </w:t>
      </w:r>
      <w:r w:rsidR="00B907CE" w:rsidRPr="00386CFE">
        <w:rPr>
          <w:rFonts w:ascii="Arial" w:hAnsi="Arial"/>
        </w:rPr>
        <w:t>envisager des modifications du modèle CMS de rapport national, le cas échéant, en lien avec l’évaluation de la mise en œuvre du Plan stratégique, et les indicateurs pour lesquels ces rapports sont identifiés comme une source d’information potentiellement importante, et la possibilité de rationaliser les processus de comptes rendus existants pour réduire les charges liées à l’établissement des rapports </w:t>
      </w:r>
      <w:r w:rsidR="004D5758" w:rsidRPr="00386CFE">
        <w:rPr>
          <w:rFonts w:ascii="Arial" w:hAnsi="Arial" w:cs="Arial"/>
          <w:lang w:val="fr-FR"/>
        </w:rPr>
        <w:t>;</w:t>
      </w:r>
    </w:p>
    <w:p w14:paraId="27867B4E" w14:textId="77777777" w:rsidR="004D5758" w:rsidRPr="001D40C8" w:rsidRDefault="004D5758" w:rsidP="004D5758">
      <w:pPr>
        <w:pStyle w:val="ListParagraph"/>
        <w:widowControl w:val="0"/>
        <w:contextualSpacing w:val="0"/>
        <w:jc w:val="both"/>
        <w:rPr>
          <w:rFonts w:ascii="Arial" w:hAnsi="Arial" w:cs="Arial"/>
          <w:lang w:val="fr-FR"/>
        </w:rPr>
      </w:pPr>
    </w:p>
    <w:p w14:paraId="6D351A14" w14:textId="31231038" w:rsidR="00516F25" w:rsidRPr="00386CFE" w:rsidRDefault="00386CFE" w:rsidP="00672E2E">
      <w:pPr>
        <w:pStyle w:val="ListParagraph"/>
        <w:widowControl w:val="0"/>
        <w:numPr>
          <w:ilvl w:val="0"/>
          <w:numId w:val="3"/>
        </w:numPr>
        <w:contextualSpacing w:val="0"/>
        <w:jc w:val="both"/>
        <w:rPr>
          <w:rFonts w:ascii="Arial" w:hAnsi="Arial" w:cs="Arial"/>
        </w:rPr>
      </w:pPr>
      <w:proofErr w:type="gramStart"/>
      <w:r w:rsidRPr="00386CFE">
        <w:rPr>
          <w:rFonts w:ascii="Arial" w:hAnsi="Arial" w:cs="Arial"/>
          <w:strike/>
          <w:lang w:val="fr-FR"/>
        </w:rPr>
        <w:t>et</w:t>
      </w:r>
      <w:proofErr w:type="gramEnd"/>
      <w:r w:rsidRPr="00386CFE">
        <w:rPr>
          <w:rFonts w:ascii="Arial" w:hAnsi="Arial" w:cs="Arial"/>
          <w:strike/>
          <w:lang w:val="fr-FR"/>
        </w:rPr>
        <w:t xml:space="preserve"> de</w:t>
      </w:r>
      <w:r w:rsidRPr="00386CFE">
        <w:rPr>
          <w:rFonts w:ascii="Arial" w:hAnsi="Arial" w:cs="Arial"/>
          <w:lang w:val="fr-FR"/>
        </w:rPr>
        <w:t xml:space="preserve"> soumettre toute proposition de révision au Comité permanent pour examen et </w:t>
      </w:r>
      <w:r w:rsidRPr="00386CFE">
        <w:rPr>
          <w:rFonts w:ascii="Arial" w:hAnsi="Arial" w:cs="Arial"/>
          <w:strike/>
          <w:lang w:val="fr-FR"/>
        </w:rPr>
        <w:t>transmission à la 12</w:t>
      </w:r>
      <w:r w:rsidRPr="00386CFE">
        <w:rPr>
          <w:rFonts w:ascii="Arial" w:hAnsi="Arial" w:cs="Arial"/>
          <w:strike/>
          <w:vertAlign w:val="superscript"/>
          <w:lang w:val="fr-FR"/>
        </w:rPr>
        <w:t>ème</w:t>
      </w:r>
      <w:r w:rsidRPr="004C5D74">
        <w:rPr>
          <w:lang w:val="fr-FR"/>
        </w:rPr>
        <w:t xml:space="preserve"> </w:t>
      </w:r>
      <w:r w:rsidR="00B907CE" w:rsidRPr="00386CFE">
        <w:rPr>
          <w:rFonts w:ascii="Arial" w:hAnsi="Arial"/>
          <w:u w:val="single"/>
        </w:rPr>
        <w:t>approbation afin d’être utilisée dans l’élaboration des rapports nationaux à soumettre à la 13</w:t>
      </w:r>
      <w:r w:rsidRPr="00386CFE">
        <w:rPr>
          <w:rFonts w:ascii="Arial" w:hAnsi="Arial" w:cs="Arial"/>
          <w:u w:val="single"/>
          <w:vertAlign w:val="superscript"/>
        </w:rPr>
        <w:t>è</w:t>
      </w:r>
      <w:r w:rsidRPr="00386CFE">
        <w:rPr>
          <w:rFonts w:ascii="Arial" w:hAnsi="Arial"/>
          <w:u w:val="single"/>
          <w:vertAlign w:val="superscript"/>
        </w:rPr>
        <w:t>me</w:t>
      </w:r>
      <w:r w:rsidR="00B907CE" w:rsidRPr="00386CFE">
        <w:rPr>
          <w:rFonts w:ascii="Arial" w:hAnsi="Arial"/>
        </w:rPr>
        <w:t xml:space="preserve"> session de la Conférence des Parties.</w:t>
      </w:r>
    </w:p>
    <w:p w14:paraId="29365AB1" w14:textId="77777777" w:rsidR="00516F25" w:rsidRPr="001D40C8" w:rsidRDefault="00516F25" w:rsidP="00785EF6">
      <w:pPr>
        <w:rPr>
          <w:rFonts w:cs="Arial"/>
          <w:b/>
          <w:sz w:val="22"/>
          <w:szCs w:val="22"/>
          <w:lang w:val="fr-FR"/>
        </w:rPr>
      </w:pPr>
    </w:p>
    <w:sectPr w:rsidR="00516F25" w:rsidRPr="001D40C8" w:rsidSect="00007F70">
      <w:headerReference w:type="first" r:id="rId3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428C" w14:textId="77777777" w:rsidR="0076556E" w:rsidRDefault="0076556E" w:rsidP="00DF126C">
      <w:r>
        <w:separator/>
      </w:r>
    </w:p>
  </w:endnote>
  <w:endnote w:type="continuationSeparator" w:id="0">
    <w:p w14:paraId="7828EBB2" w14:textId="77777777" w:rsidR="0076556E" w:rsidRDefault="0076556E"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39 Thin UltraCn">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FA2D" w14:textId="77777777" w:rsidR="0076556E" w:rsidRPr="00922791" w:rsidRDefault="0076556E" w:rsidP="00AE4998">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Pr>
        <w:rFonts w:cs="Arial"/>
        <w:noProof/>
        <w:szCs w:val="18"/>
      </w:rPr>
      <w:t>2</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492E" w14:textId="77777777" w:rsidR="0076556E" w:rsidRPr="00620809" w:rsidRDefault="0076556E" w:rsidP="00AE4998">
    <w:pPr>
      <w:pStyle w:val="Footer"/>
      <w:ind w:right="-367"/>
      <w:jc w:val="center"/>
      <w:rPr>
        <w:rFonts w:cs="Arial"/>
        <w:sz w:val="22"/>
        <w:szCs w:val="22"/>
      </w:rPr>
    </w:pPr>
    <w:r w:rsidRPr="00620809">
      <w:rPr>
        <w:rFonts w:cs="Arial"/>
        <w:sz w:val="22"/>
        <w:szCs w:val="22"/>
      </w:rPr>
      <w:fldChar w:fldCharType="begin"/>
    </w:r>
    <w:r w:rsidRPr="00620809">
      <w:rPr>
        <w:rFonts w:cs="Arial"/>
        <w:sz w:val="22"/>
        <w:szCs w:val="22"/>
      </w:rPr>
      <w:instrText xml:space="preserve"> PAGE   \* MERGEFORMAT </w:instrText>
    </w:r>
    <w:r w:rsidRPr="00620809">
      <w:rPr>
        <w:rFonts w:cs="Arial"/>
        <w:sz w:val="22"/>
        <w:szCs w:val="22"/>
      </w:rPr>
      <w:fldChar w:fldCharType="separate"/>
    </w:r>
    <w:r>
      <w:rPr>
        <w:rFonts w:cs="Arial"/>
        <w:noProof/>
        <w:sz w:val="22"/>
        <w:szCs w:val="22"/>
      </w:rPr>
      <w:t>7</w:t>
    </w:r>
    <w:r w:rsidRPr="00620809">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9F67" w14:textId="77777777" w:rsidR="0076556E" w:rsidRPr="00CD7355" w:rsidRDefault="0076556E" w:rsidP="00AE4998">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1AEC" w14:textId="52749777" w:rsidR="0076556E" w:rsidRPr="00231BE0" w:rsidRDefault="0076556E" w:rsidP="00B15943">
    <w:pPr>
      <w:pStyle w:val="Header"/>
      <w:jc w:val="center"/>
      <w:rPr>
        <w:rFonts w:cs="Arial"/>
      </w:rPr>
    </w:pPr>
    <w:r w:rsidRPr="00231BE0">
      <w:rPr>
        <w:rFonts w:cs="Arial"/>
      </w:rPr>
      <w:fldChar w:fldCharType="begin"/>
    </w:r>
    <w:r w:rsidRPr="00231BE0">
      <w:rPr>
        <w:rFonts w:cs="Arial"/>
      </w:rPr>
      <w:instrText xml:space="preserve"> PAGE   \* MERGEFORMAT </w:instrText>
    </w:r>
    <w:r w:rsidRPr="00231BE0">
      <w:rPr>
        <w:rFonts w:cs="Arial"/>
      </w:rPr>
      <w:fldChar w:fldCharType="separate"/>
    </w:r>
    <w:r w:rsidR="00F733A7">
      <w:rPr>
        <w:rFonts w:cs="Arial"/>
        <w:noProof/>
      </w:rPr>
      <w:t>20</w:t>
    </w:r>
    <w:r w:rsidRPr="00231BE0">
      <w:rPr>
        <w:rFonts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19F1" w14:textId="1C3D47D6" w:rsidR="0076556E" w:rsidRPr="00231BE0" w:rsidRDefault="0076556E" w:rsidP="00B15943">
    <w:pPr>
      <w:pStyle w:val="Header"/>
      <w:jc w:val="center"/>
      <w:rPr>
        <w:rFonts w:cs="Arial"/>
      </w:rPr>
    </w:pPr>
    <w:r w:rsidRPr="00231BE0">
      <w:rPr>
        <w:rFonts w:cs="Arial"/>
      </w:rPr>
      <w:fldChar w:fldCharType="begin"/>
    </w:r>
    <w:r w:rsidRPr="00231BE0">
      <w:rPr>
        <w:rFonts w:cs="Arial"/>
      </w:rPr>
      <w:instrText xml:space="preserve"> PAGE   \* MERGEFORMAT </w:instrText>
    </w:r>
    <w:r w:rsidRPr="00231BE0">
      <w:rPr>
        <w:rFonts w:cs="Arial"/>
      </w:rPr>
      <w:fldChar w:fldCharType="separate"/>
    </w:r>
    <w:r w:rsidR="00F733A7">
      <w:rPr>
        <w:rFonts w:cs="Arial"/>
        <w:noProof/>
      </w:rPr>
      <w:t>9</w:t>
    </w:r>
    <w:r w:rsidRPr="00231BE0">
      <w:rPr>
        <w:rFonts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14089"/>
      <w:docPartObj>
        <w:docPartGallery w:val="Page Numbers (Bottom of Page)"/>
        <w:docPartUnique/>
      </w:docPartObj>
    </w:sdtPr>
    <w:sdtEndPr>
      <w:rPr>
        <w:noProof/>
      </w:rPr>
    </w:sdtEndPr>
    <w:sdtContent>
      <w:p w14:paraId="53093B8B" w14:textId="21A35ACD" w:rsidR="0076556E" w:rsidRPr="007A50F4" w:rsidRDefault="0076556E" w:rsidP="007A50F4">
        <w:pPr>
          <w:pStyle w:val="Footer"/>
          <w:jc w:val="center"/>
        </w:pPr>
        <w:r>
          <w:fldChar w:fldCharType="begin"/>
        </w:r>
        <w:r>
          <w:instrText xml:space="preserve"> PAGE   \* MERGEFORMAT </w:instrText>
        </w:r>
        <w:r>
          <w:fldChar w:fldCharType="separate"/>
        </w:r>
        <w:r w:rsidR="00F733A7">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5597"/>
      <w:docPartObj>
        <w:docPartGallery w:val="Page Numbers (Bottom of Page)"/>
        <w:docPartUnique/>
      </w:docPartObj>
    </w:sdtPr>
    <w:sdtEndPr>
      <w:rPr>
        <w:noProof/>
      </w:rPr>
    </w:sdtEndPr>
    <w:sdtContent>
      <w:p w14:paraId="1AC0A8D9" w14:textId="0E4372EB" w:rsidR="0076556E" w:rsidRPr="00CD7355" w:rsidRDefault="0076556E" w:rsidP="00BE149B">
        <w:pPr>
          <w:pStyle w:val="Footer"/>
          <w:jc w:val="center"/>
        </w:pPr>
        <w:r>
          <w:fldChar w:fldCharType="begin"/>
        </w:r>
        <w:r>
          <w:instrText xml:space="preserve"> PAGE   \* MERGEFORMAT </w:instrText>
        </w:r>
        <w:r>
          <w:fldChar w:fldCharType="separate"/>
        </w:r>
        <w:r w:rsidR="00F733A7">
          <w:rPr>
            <w:noProof/>
          </w:rPr>
          <w:t>12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44A1" w14:textId="7E513967" w:rsidR="0076556E" w:rsidRPr="00BE149B" w:rsidRDefault="0076556E" w:rsidP="00B15943">
    <w:pPr>
      <w:pStyle w:val="Header"/>
      <w:jc w:val="center"/>
      <w:rPr>
        <w:rFonts w:cs="Arial"/>
      </w:rPr>
    </w:pPr>
    <w:r w:rsidRPr="00BE149B">
      <w:rPr>
        <w:rFonts w:cs="Arial"/>
      </w:rPr>
      <w:fldChar w:fldCharType="begin"/>
    </w:r>
    <w:r w:rsidRPr="00BE149B">
      <w:rPr>
        <w:rFonts w:cs="Arial"/>
      </w:rPr>
      <w:instrText xml:space="preserve"> PAGE   \* MERGEFORMAT </w:instrText>
    </w:r>
    <w:r w:rsidRPr="00BE149B">
      <w:rPr>
        <w:rFonts w:cs="Arial"/>
      </w:rPr>
      <w:fldChar w:fldCharType="separate"/>
    </w:r>
    <w:r w:rsidR="00F733A7">
      <w:rPr>
        <w:rFonts w:cs="Arial"/>
        <w:noProof/>
      </w:rPr>
      <w:t>21</w:t>
    </w:r>
    <w:r w:rsidRPr="00BE149B">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C8C5" w14:textId="77777777" w:rsidR="0076556E" w:rsidRDefault="0076556E" w:rsidP="00DF126C">
      <w:r>
        <w:separator/>
      </w:r>
    </w:p>
  </w:footnote>
  <w:footnote w:type="continuationSeparator" w:id="0">
    <w:p w14:paraId="43C22E76" w14:textId="77777777" w:rsidR="0076556E" w:rsidRDefault="0076556E" w:rsidP="00DF126C">
      <w:r>
        <w:continuationSeparator/>
      </w:r>
    </w:p>
  </w:footnote>
  <w:footnote w:id="1">
    <w:p w14:paraId="0A24BD39" w14:textId="707552A7" w:rsidR="0076556E" w:rsidRPr="006124BC" w:rsidRDefault="0076556E">
      <w:pPr>
        <w:pStyle w:val="FootnoteText"/>
        <w:rPr>
          <w:lang w:val="fr-FR"/>
        </w:rPr>
      </w:pPr>
      <w:r>
        <w:rPr>
          <w:rStyle w:val="FootnoteReference"/>
        </w:rPr>
        <w:footnoteRef/>
      </w:r>
      <w:r>
        <w:t xml:space="preserve"> </w:t>
      </w:r>
      <w:r w:rsidRPr="0030275D">
        <w:t>Prideaux, M., (2013). Une affiliation naturelle : Développer le rôle des ONG au sein de la Famille de la Convention sur les espèces migratrices. Wild Migration, Australie.</w:t>
      </w:r>
    </w:p>
  </w:footnote>
  <w:footnote w:id="2">
    <w:p w14:paraId="54D29DB9" w14:textId="77777777" w:rsidR="0076556E" w:rsidRPr="0042750E" w:rsidRDefault="0076556E" w:rsidP="007F026E">
      <w:pPr>
        <w:pStyle w:val="FootnoteText"/>
        <w:ind w:left="170" w:hanging="170"/>
        <w:rPr>
          <w:sz w:val="16"/>
          <w:szCs w:val="16"/>
          <w:lang w:val="fr-FR"/>
        </w:rPr>
      </w:pPr>
      <w:r w:rsidRPr="0042750E">
        <w:rPr>
          <w:rStyle w:val="FootnoteReference"/>
          <w:szCs w:val="16"/>
        </w:rPr>
        <w:footnoteRef/>
      </w:r>
      <w:r w:rsidRPr="0042750E">
        <w:rPr>
          <w:szCs w:val="16"/>
          <w:lang w:val="fr-FR"/>
        </w:rPr>
        <w:t xml:space="preserve"> </w:t>
      </w:r>
      <w:r w:rsidRPr="0042750E">
        <w:rPr>
          <w:rFonts w:ascii="Arial" w:hAnsi="Arial" w:cs="Arial"/>
          <w:sz w:val="16"/>
          <w:szCs w:val="16"/>
          <w:lang w:val="fr-FR"/>
        </w:rPr>
        <w:t>Voir Convention sur la diversité biologique (2010). Le Plan stratégique 2011-2020 et les Objectifs d’Aichi pour la biodiversité figurent en annexe à la décision X/2 de la COP10 de la CDB.</w:t>
      </w:r>
    </w:p>
  </w:footnote>
  <w:footnote w:id="3">
    <w:p w14:paraId="2EF9ACE8" w14:textId="77777777" w:rsidR="0076556E" w:rsidRPr="0042750E" w:rsidRDefault="0076556E" w:rsidP="007F026E">
      <w:pPr>
        <w:pStyle w:val="FootnoteText"/>
        <w:ind w:left="170" w:hanging="170"/>
        <w:rPr>
          <w:sz w:val="16"/>
          <w:szCs w:val="16"/>
          <w:lang w:val="fr-FR"/>
        </w:rPr>
      </w:pPr>
      <w:r w:rsidRPr="0042750E">
        <w:rPr>
          <w:rStyle w:val="FootnoteReference"/>
          <w:szCs w:val="16"/>
        </w:rPr>
        <w:footnoteRef/>
      </w:r>
      <w:r w:rsidRPr="0042750E">
        <w:rPr>
          <w:rFonts w:ascii="Arial" w:hAnsi="Arial" w:cs="Arial"/>
          <w:sz w:val="16"/>
          <w:szCs w:val="16"/>
          <w:lang w:val="fr-FR"/>
        </w:rPr>
        <w:t xml:space="preserve"> La COP13 de la CMS ne sera pas en mesure de procéder à l’évaluation du Plan stratégique pour les espèces migratrices au regard des Objectifs d’Aichi, étant donné que l’évaluation de la réalisation des objectifs d’Aichi n’aura lieu que juste avant la COP13. L’intégration de cette évaluation ne sera donc possible qu’à la COP14 de la CMS, d’où la date d’achèvement du Plan stratégique pour les espèces migratrices en 2023.</w:t>
      </w:r>
    </w:p>
  </w:footnote>
  <w:footnote w:id="4">
    <w:p w14:paraId="3B6B0CEF" w14:textId="77777777" w:rsidR="0076556E" w:rsidRPr="007059CF" w:rsidRDefault="0076556E" w:rsidP="007F026E">
      <w:pPr>
        <w:pStyle w:val="FootnoteText"/>
        <w:ind w:left="170" w:hanging="170"/>
        <w:rPr>
          <w:lang w:val="fr-FR"/>
        </w:rPr>
      </w:pPr>
      <w:r w:rsidRPr="0042750E">
        <w:rPr>
          <w:rStyle w:val="FootnoteReference"/>
          <w:szCs w:val="16"/>
        </w:rPr>
        <w:footnoteRef/>
      </w:r>
      <w:r w:rsidRPr="0042750E">
        <w:rPr>
          <w:rFonts w:ascii="Arial" w:hAnsi="Arial" w:cs="Arial"/>
          <w:szCs w:val="16"/>
          <w:lang w:val="fr-FR"/>
        </w:rPr>
        <w:t xml:space="preserve"> </w:t>
      </w:r>
      <w:r w:rsidRPr="0042750E">
        <w:rPr>
          <w:rFonts w:ascii="Arial" w:hAnsi="Arial" w:cs="Arial"/>
          <w:sz w:val="16"/>
          <w:szCs w:val="16"/>
          <w:lang w:val="fr-FR"/>
        </w:rPr>
        <w:t>Résolution 10.5 de la COP10 à la CMS, Plan stratégique 2015–2023 de la CMS.</w:t>
      </w:r>
    </w:p>
  </w:footnote>
  <w:footnote w:id="5">
    <w:p w14:paraId="14DBFFB3" w14:textId="77777777" w:rsidR="0076556E" w:rsidRPr="007059CF" w:rsidRDefault="0076556E" w:rsidP="007F026E">
      <w:pPr>
        <w:pStyle w:val="FootnoteText"/>
        <w:ind w:left="170" w:hanging="170"/>
        <w:rPr>
          <w:lang w:val="fr-FR"/>
        </w:rPr>
      </w:pPr>
      <w:r>
        <w:rPr>
          <w:rStyle w:val="FootnoteReference"/>
        </w:rPr>
        <w:footnoteRef/>
      </w:r>
      <w:r>
        <w:rPr>
          <w:lang w:val="fr-FR"/>
        </w:rPr>
        <w:t xml:space="preserve"> </w:t>
      </w:r>
      <w:r w:rsidRPr="007059CF">
        <w:rPr>
          <w:rFonts w:ascii="Arial" w:hAnsi="Arial" w:cs="Arial"/>
          <w:bCs/>
          <w:sz w:val="16"/>
          <w:szCs w:val="16"/>
          <w:lang w:val="fr-FR"/>
        </w:rPr>
        <w:t>Voir par exemple la résolution 67/212,</w:t>
      </w:r>
      <w:r>
        <w:rPr>
          <w:rFonts w:ascii="Arial" w:hAnsi="Arial" w:cs="Arial"/>
          <w:bCs/>
          <w:sz w:val="16"/>
          <w:szCs w:val="16"/>
          <w:lang w:val="fr-FR"/>
        </w:rPr>
        <w:t xml:space="preserve"> </w:t>
      </w:r>
      <w:r w:rsidRPr="007059CF">
        <w:rPr>
          <w:rFonts w:ascii="Arial" w:hAnsi="Arial" w:cs="Arial"/>
          <w:bCs/>
          <w:sz w:val="16"/>
          <w:szCs w:val="16"/>
          <w:lang w:val="fr-FR"/>
        </w:rPr>
        <w:t>dans laquelle l</w:t>
      </w:r>
      <w:r>
        <w:rPr>
          <w:rFonts w:ascii="Arial" w:hAnsi="Arial" w:cs="Arial"/>
          <w:bCs/>
          <w:sz w:val="16"/>
          <w:szCs w:val="16"/>
          <w:lang w:val="fr-FR"/>
        </w:rPr>
        <w:t>’</w:t>
      </w:r>
      <w:r w:rsidRPr="007059CF">
        <w:rPr>
          <w:rFonts w:ascii="Arial" w:hAnsi="Arial" w:cs="Arial"/>
          <w:bCs/>
          <w:sz w:val="16"/>
          <w:szCs w:val="16"/>
          <w:lang w:val="fr-FR"/>
        </w:rPr>
        <w:t>Assemblée générale : « prend note des efforts prodigués pour intégrer les Objectifs d</w:t>
      </w:r>
      <w:r>
        <w:rPr>
          <w:rFonts w:ascii="Arial" w:hAnsi="Arial" w:cs="Arial"/>
          <w:bCs/>
          <w:sz w:val="16"/>
          <w:szCs w:val="16"/>
          <w:lang w:val="fr-FR"/>
        </w:rPr>
        <w:t>’</w:t>
      </w:r>
      <w:r w:rsidRPr="007059CF">
        <w:rPr>
          <w:rFonts w:ascii="Arial" w:hAnsi="Arial" w:cs="Arial"/>
          <w:bCs/>
          <w:sz w:val="16"/>
          <w:szCs w:val="16"/>
          <w:lang w:val="fr-FR"/>
        </w:rPr>
        <w:t>Aichi relatifs à la diversité biologique dans la contribution du système des Nations Unies pour appuyer le Plan stratégique 2011–2020 pour la diversité biologique, et invite le système des Nations Unies à continuer de faciliter la coopération entre ses membres, à l</w:t>
      </w:r>
      <w:r>
        <w:rPr>
          <w:rFonts w:ascii="Arial" w:hAnsi="Arial" w:cs="Arial"/>
          <w:bCs/>
          <w:sz w:val="16"/>
          <w:szCs w:val="16"/>
          <w:lang w:val="fr-FR"/>
        </w:rPr>
        <w:t>’</w:t>
      </w:r>
      <w:r w:rsidRPr="007059CF">
        <w:rPr>
          <w:rFonts w:ascii="Arial" w:hAnsi="Arial" w:cs="Arial"/>
          <w:bCs/>
          <w:sz w:val="16"/>
          <w:szCs w:val="16"/>
          <w:lang w:val="fr-FR"/>
        </w:rPr>
        <w:t>appui de la mise en œuvre du Plan stratégique ». Ceci intéresse aussi, entre autres, les Objectifs de développement durable des Nations Unies après 2015.</w:t>
      </w:r>
    </w:p>
  </w:footnote>
  <w:footnote w:id="6">
    <w:p w14:paraId="56ED2575" w14:textId="77777777" w:rsidR="0076556E" w:rsidRPr="00797EB1" w:rsidRDefault="0076556E" w:rsidP="007F026E">
      <w:pPr>
        <w:pStyle w:val="FootnoteText"/>
        <w:ind w:left="170" w:hanging="170"/>
        <w:rPr>
          <w:lang w:val="fr-FR"/>
        </w:rPr>
      </w:pPr>
      <w:r>
        <w:rPr>
          <w:rStyle w:val="FootnoteReference"/>
        </w:rPr>
        <w:footnoteRef/>
      </w:r>
      <w:r>
        <w:rPr>
          <w:lang w:val="fr-FR"/>
        </w:rPr>
        <w:t xml:space="preserve"> </w:t>
      </w:r>
      <w:r w:rsidRPr="00797EB1">
        <w:rPr>
          <w:rFonts w:ascii="Arial" w:hAnsi="Arial" w:cs="Arial"/>
          <w:sz w:val="16"/>
          <w:szCs w:val="16"/>
          <w:lang w:val="fr-FR"/>
        </w:rPr>
        <w:t>Une telle reco</w:t>
      </w:r>
      <w:r>
        <w:rPr>
          <w:rFonts w:ascii="Arial" w:hAnsi="Arial" w:cs="Arial"/>
          <w:sz w:val="16"/>
          <w:szCs w:val="16"/>
          <w:lang w:val="fr-FR"/>
        </w:rPr>
        <w:t xml:space="preserve">nnaissance est consacrée </w:t>
      </w:r>
      <w:r w:rsidRPr="00797EB1">
        <w:rPr>
          <w:rFonts w:ascii="Arial" w:hAnsi="Arial" w:cs="Arial"/>
          <w:sz w:val="16"/>
          <w:szCs w:val="16"/>
          <w:lang w:val="fr-FR"/>
        </w:rPr>
        <w:t xml:space="preserve">dans les accords de </w:t>
      </w:r>
      <w:r>
        <w:rPr>
          <w:rFonts w:ascii="Arial" w:hAnsi="Arial" w:cs="Arial"/>
          <w:sz w:val="16"/>
          <w:szCs w:val="16"/>
          <w:lang w:val="fr-FR"/>
        </w:rPr>
        <w:t>coopé</w:t>
      </w:r>
      <w:r w:rsidRPr="00797EB1">
        <w:rPr>
          <w:rFonts w:ascii="Arial" w:hAnsi="Arial" w:cs="Arial"/>
          <w:sz w:val="16"/>
          <w:szCs w:val="16"/>
          <w:lang w:val="fr-FR"/>
        </w:rPr>
        <w:t>ration avec d</w:t>
      </w:r>
      <w:r>
        <w:rPr>
          <w:rFonts w:ascii="Arial" w:hAnsi="Arial" w:cs="Arial"/>
          <w:sz w:val="16"/>
          <w:szCs w:val="16"/>
          <w:lang w:val="fr-FR"/>
        </w:rPr>
        <w:t>’</w:t>
      </w:r>
      <w:r w:rsidRPr="00797EB1">
        <w:rPr>
          <w:rFonts w:ascii="Arial" w:hAnsi="Arial" w:cs="Arial"/>
          <w:sz w:val="16"/>
          <w:szCs w:val="16"/>
          <w:lang w:val="fr-FR"/>
        </w:rPr>
        <w:t xml:space="preserve">autres </w:t>
      </w:r>
      <w:r>
        <w:rPr>
          <w:rFonts w:ascii="Arial" w:hAnsi="Arial" w:cs="Arial"/>
          <w:sz w:val="16"/>
          <w:szCs w:val="16"/>
          <w:lang w:val="fr-FR"/>
        </w:rPr>
        <w:t xml:space="preserve">Conventions, par </w:t>
      </w:r>
      <w:proofErr w:type="gramStart"/>
      <w:r>
        <w:rPr>
          <w:rFonts w:ascii="Arial" w:hAnsi="Arial" w:cs="Arial"/>
          <w:sz w:val="16"/>
          <w:szCs w:val="16"/>
          <w:lang w:val="fr-FR"/>
        </w:rPr>
        <w:t>exemple;</w:t>
      </w:r>
      <w:proofErr w:type="gramEnd"/>
      <w:r>
        <w:rPr>
          <w:rFonts w:ascii="Arial" w:hAnsi="Arial" w:cs="Arial"/>
          <w:sz w:val="16"/>
          <w:szCs w:val="16"/>
          <w:lang w:val="fr-FR"/>
        </w:rPr>
        <w:t xml:space="preserve"> et, dans le cas de la CDB, par la dé</w:t>
      </w:r>
      <w:r w:rsidRPr="00797EB1">
        <w:rPr>
          <w:rFonts w:ascii="Arial" w:hAnsi="Arial" w:cs="Arial"/>
          <w:sz w:val="16"/>
          <w:szCs w:val="16"/>
          <w:lang w:val="fr-FR"/>
        </w:rPr>
        <w:t>cision VI/20 (2002)</w:t>
      </w:r>
      <w:r>
        <w:rPr>
          <w:rFonts w:ascii="Arial" w:hAnsi="Arial" w:cs="Arial"/>
          <w:sz w:val="16"/>
          <w:szCs w:val="16"/>
          <w:lang w:val="fr-FR"/>
        </w:rPr>
        <w:t xml:space="preserve"> de la COP de la CDB, qui reconnaît la CMS comme « </w:t>
      </w:r>
      <w:r w:rsidRPr="00797EB1">
        <w:rPr>
          <w:rFonts w:ascii="Arial" w:hAnsi="Arial" w:cs="Arial"/>
          <w:sz w:val="16"/>
          <w:szCs w:val="16"/>
          <w:lang w:val="fr-FR"/>
        </w:rPr>
        <w:t>principal partenaire dans le domaine de la conservation et de l</w:t>
      </w:r>
      <w:r>
        <w:rPr>
          <w:rFonts w:ascii="Arial" w:hAnsi="Arial" w:cs="Arial"/>
          <w:sz w:val="16"/>
          <w:szCs w:val="16"/>
          <w:lang w:val="fr-FR"/>
        </w:rPr>
        <w:t>’</w:t>
      </w:r>
      <w:r w:rsidRPr="00797EB1">
        <w:rPr>
          <w:rFonts w:ascii="Arial" w:hAnsi="Arial" w:cs="Arial"/>
          <w:sz w:val="16"/>
          <w:szCs w:val="16"/>
          <w:lang w:val="fr-FR"/>
        </w:rPr>
        <w:t>utilisation durable des espèces migratrices</w:t>
      </w:r>
      <w:r>
        <w:rPr>
          <w:rFonts w:ascii="Arial" w:hAnsi="Arial" w:cs="Arial"/>
          <w:sz w:val="16"/>
          <w:szCs w:val="16"/>
          <w:lang w:val="fr-FR"/>
        </w:rPr>
        <w:t> »</w:t>
      </w:r>
      <w:r w:rsidRPr="00797EB1">
        <w:rPr>
          <w:rFonts w:ascii="Arial" w:hAnsi="Arial" w:cs="Arial"/>
          <w:sz w:val="16"/>
          <w:szCs w:val="16"/>
          <w:lang w:val="fr-FR"/>
        </w:rPr>
        <w:t>.</w:t>
      </w:r>
    </w:p>
  </w:footnote>
  <w:footnote w:id="7">
    <w:p w14:paraId="15EB91F4" w14:textId="77777777" w:rsidR="0076556E" w:rsidRPr="00A9099E" w:rsidRDefault="0076556E" w:rsidP="00452C17">
      <w:pPr>
        <w:pStyle w:val="FootnoteText"/>
        <w:ind w:left="170" w:hanging="170"/>
        <w:rPr>
          <w:lang w:val="fr-FR"/>
        </w:rPr>
      </w:pPr>
      <w:r>
        <w:rPr>
          <w:rStyle w:val="FootnoteReference"/>
        </w:rPr>
        <w:footnoteRef/>
      </w:r>
      <w:r w:rsidRPr="00A9099E">
        <w:rPr>
          <w:lang w:val="fr-FR"/>
        </w:rPr>
        <w:t xml:space="preserve"> </w:t>
      </w:r>
      <w:r w:rsidRPr="00A9099E">
        <w:rPr>
          <w:rFonts w:ascii="Arial" w:hAnsi="Arial" w:cs="Arial"/>
          <w:sz w:val="16"/>
          <w:szCs w:val="16"/>
          <w:lang w:val="fr-FR"/>
        </w:rPr>
        <w:t>Au moment de l</w:t>
      </w:r>
      <w:r>
        <w:rPr>
          <w:rFonts w:ascii="Arial" w:hAnsi="Arial" w:cs="Arial"/>
          <w:sz w:val="16"/>
          <w:szCs w:val="16"/>
          <w:lang w:val="fr-FR"/>
        </w:rPr>
        <w:t>’</w:t>
      </w:r>
      <w:r w:rsidRPr="00A9099E">
        <w:rPr>
          <w:rFonts w:ascii="Arial" w:hAnsi="Arial" w:cs="Arial"/>
          <w:sz w:val="16"/>
          <w:szCs w:val="16"/>
          <w:lang w:val="fr-FR"/>
        </w:rPr>
        <w:t>adoption de ce Plan, la terminologie employée pour les peuples autochtones et les communautés locales faisait l</w:t>
      </w:r>
      <w:r>
        <w:rPr>
          <w:rFonts w:ascii="Arial" w:hAnsi="Arial" w:cs="Arial"/>
          <w:sz w:val="16"/>
          <w:szCs w:val="16"/>
          <w:lang w:val="fr-FR"/>
        </w:rPr>
        <w:t>’</w:t>
      </w:r>
      <w:r w:rsidRPr="00A9099E">
        <w:rPr>
          <w:rFonts w:ascii="Arial" w:hAnsi="Arial" w:cs="Arial"/>
          <w:sz w:val="16"/>
          <w:szCs w:val="16"/>
          <w:lang w:val="fr-FR"/>
        </w:rPr>
        <w:t>objet de débats dans d</w:t>
      </w:r>
      <w:r>
        <w:rPr>
          <w:rFonts w:ascii="Arial" w:hAnsi="Arial" w:cs="Arial"/>
          <w:sz w:val="16"/>
          <w:szCs w:val="16"/>
          <w:lang w:val="fr-FR"/>
        </w:rPr>
        <w:t>’</w:t>
      </w:r>
      <w:r w:rsidRPr="00A9099E">
        <w:rPr>
          <w:rFonts w:ascii="Arial" w:hAnsi="Arial" w:cs="Arial"/>
          <w:sz w:val="16"/>
          <w:szCs w:val="16"/>
          <w:lang w:val="fr-FR"/>
        </w:rPr>
        <w:t>autres instances intergouvernementales. La terminologie retenue dans le présent Plan ne devrait pas être interprétée comme favorisant un terme plutôt qu</w:t>
      </w:r>
      <w:r>
        <w:rPr>
          <w:rFonts w:ascii="Arial" w:hAnsi="Arial" w:cs="Arial"/>
          <w:sz w:val="16"/>
          <w:szCs w:val="16"/>
          <w:lang w:val="fr-FR"/>
        </w:rPr>
        <w:t>’un autre.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0E02" w14:textId="77777777" w:rsidR="0076556E" w:rsidRPr="00720B4C" w:rsidRDefault="0076556E" w:rsidP="00AE4998">
    <w:pPr>
      <w:pStyle w:val="Heading1"/>
      <w:keepNext w:val="0"/>
      <w:pBdr>
        <w:bottom w:val="single" w:sz="4" w:space="1" w:color="auto"/>
      </w:pBdr>
      <w:tabs>
        <w:tab w:val="clear" w:pos="-720"/>
      </w:tabs>
      <w:ind w:left="261" w:right="-277" w:hanging="261"/>
      <w:rPr>
        <w:rFonts w:cs="Arial"/>
        <w:b w:val="0"/>
        <w:i/>
        <w:sz w:val="18"/>
        <w:szCs w:val="18"/>
        <w:lang w:val="fr-FR"/>
      </w:rPr>
    </w:pPr>
    <w:r w:rsidRPr="00720B4C">
      <w:rPr>
        <w:b w:val="0"/>
        <w:i/>
        <w:sz w:val="18"/>
        <w:lang w:val="fr-FR"/>
      </w:rPr>
      <w:t>UNEP/CMS/COP12/</w:t>
    </w:r>
    <w:proofErr w:type="spellStart"/>
    <w:r w:rsidRPr="00720B4C">
      <w:rPr>
        <w:b w:val="0"/>
        <w:i/>
        <w:sz w:val="18"/>
        <w:lang w:val="fr-FR"/>
      </w:rPr>
      <w:t>Doc.x</w:t>
    </w:r>
    <w:proofErr w:type="spellEnd"/>
    <w:r w:rsidRPr="00720B4C">
      <w:rPr>
        <w:b w:val="0"/>
        <w:i/>
        <w:sz w:val="18"/>
        <w:lang w:val="fr-FR"/>
      </w:rPr>
      <w:t>/Annexe 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1610" w14:textId="032CE97A" w:rsidR="0076556E" w:rsidRPr="00FB3096" w:rsidRDefault="0076556E" w:rsidP="00B15943">
    <w:pPr>
      <w:pStyle w:val="Heading1"/>
      <w:keepNext w:val="0"/>
      <w:pBdr>
        <w:bottom w:val="single" w:sz="4" w:space="1" w:color="auto"/>
      </w:pBdr>
      <w:ind w:left="261" w:right="-2" w:hanging="261"/>
      <w:jc w:val="right"/>
      <w:rPr>
        <w:rFonts w:cs="Arial"/>
        <w:b w:val="0"/>
        <w:bCs w:val="0"/>
        <w:i/>
        <w:sz w:val="18"/>
        <w:szCs w:val="18"/>
        <w:lang w:val="fr-FR"/>
      </w:rPr>
    </w:pPr>
    <w:r w:rsidRPr="00FB3096">
      <w:rPr>
        <w:rFonts w:cs="Arial"/>
        <w:b w:val="0"/>
        <w:bCs w:val="0"/>
        <w:i/>
        <w:sz w:val="18"/>
        <w:szCs w:val="18"/>
        <w:lang w:val="fr-FR"/>
      </w:rPr>
      <w:t>UNEP/CMS/COP12/</w:t>
    </w:r>
    <w:r>
      <w:rPr>
        <w:rFonts w:cs="Arial"/>
        <w:b w:val="0"/>
        <w:bCs w:val="0"/>
        <w:i/>
        <w:sz w:val="18"/>
        <w:szCs w:val="18"/>
        <w:lang w:val="fr-FR"/>
      </w:rPr>
      <w:t>D</w:t>
    </w:r>
    <w:r w:rsidRPr="00FB3096">
      <w:rPr>
        <w:rFonts w:cs="Arial"/>
        <w:b w:val="0"/>
        <w:bCs w:val="0"/>
        <w:i/>
        <w:sz w:val="18"/>
        <w:szCs w:val="18"/>
        <w:lang w:val="fr-FR"/>
      </w:rPr>
      <w:t>oc.</w:t>
    </w:r>
    <w:r>
      <w:rPr>
        <w:rFonts w:cs="Arial"/>
        <w:b w:val="0"/>
        <w:bCs w:val="0"/>
        <w:i/>
        <w:sz w:val="18"/>
        <w:szCs w:val="18"/>
        <w:lang w:val="fr-FR"/>
      </w:rPr>
      <w:t>15</w:t>
    </w:r>
    <w:r w:rsidRPr="00FB3096">
      <w:rPr>
        <w:rFonts w:cs="Arial"/>
        <w:b w:val="0"/>
        <w:bCs w:val="0"/>
        <w:i/>
        <w:sz w:val="18"/>
        <w:szCs w:val="18"/>
        <w:lang w:val="fr-FR"/>
      </w:rPr>
      <w:t>/Annex</w:t>
    </w:r>
    <w:r w:rsidR="00591DCA">
      <w:rPr>
        <w:rFonts w:cs="Arial"/>
        <w:b w:val="0"/>
        <w:bCs w:val="0"/>
        <w:i/>
        <w:sz w:val="18"/>
        <w:szCs w:val="18"/>
        <w:lang w:val="fr-FR"/>
      </w:rPr>
      <w:t>e</w:t>
    </w:r>
    <w:r w:rsidRPr="00FB3096">
      <w:rPr>
        <w:rFonts w:cs="Arial"/>
        <w:b w:val="0"/>
        <w:bCs w:val="0"/>
        <w:i/>
        <w:sz w:val="18"/>
        <w:szCs w:val="18"/>
        <w:lang w:val="fr-FR"/>
      </w:rPr>
      <w:t xml:space="preserve"> 1</w:t>
    </w:r>
  </w:p>
  <w:p w14:paraId="2EDB4572" w14:textId="77777777" w:rsidR="0076556E" w:rsidRPr="00FB3096" w:rsidRDefault="0076556E" w:rsidP="00B15943">
    <w:pPr>
      <w:pStyle w:val="Header"/>
      <w:jc w:val="right"/>
      <w:rPr>
        <w:rFonts w:ascii="Times New Roman" w:hAnsi="Times New Roman"/>
        <w:sz w:val="20"/>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5369" w14:textId="42ECA004" w:rsidR="0076556E" w:rsidRPr="00C51BAD" w:rsidRDefault="0076556E" w:rsidP="007A50F4">
    <w:pPr>
      <w:pStyle w:val="Header"/>
      <w:pBdr>
        <w:bottom w:val="single" w:sz="4" w:space="1" w:color="auto"/>
      </w:pBdr>
      <w:tabs>
        <w:tab w:val="clear" w:pos="4513"/>
        <w:tab w:val="clear" w:pos="9026"/>
      </w:tabs>
      <w:rPr>
        <w:lang w:val="fr-FR"/>
      </w:rPr>
    </w:pPr>
    <w:r w:rsidRPr="000A7ABB">
      <w:rPr>
        <w:rFonts w:cs="Arial"/>
        <w:i/>
        <w:szCs w:val="18"/>
        <w:lang w:val="fr-FR"/>
      </w:rPr>
      <w:t>UNEP/CMS/COP12Doc.</w:t>
    </w:r>
    <w:r>
      <w:rPr>
        <w:rFonts w:cs="Arial"/>
        <w:i/>
        <w:szCs w:val="18"/>
        <w:lang w:val="fr-FR"/>
      </w:rPr>
      <w:t>15</w:t>
    </w:r>
    <w:r w:rsidRPr="000A7ABB">
      <w:rPr>
        <w:rFonts w:cs="Arial"/>
        <w:i/>
        <w:szCs w:val="18"/>
        <w:lang w:val="fr-FR"/>
      </w:rPr>
      <w:t>/Annex</w:t>
    </w:r>
    <w:r w:rsidR="00591DCA">
      <w:rPr>
        <w:rFonts w:cs="Arial"/>
        <w:i/>
        <w:szCs w:val="18"/>
        <w:lang w:val="fr-FR"/>
      </w:rPr>
      <w:t>e</w:t>
    </w:r>
    <w:r w:rsidRPr="000A7ABB">
      <w:rPr>
        <w:rFonts w:cs="Arial"/>
        <w:i/>
        <w:szCs w:val="18"/>
        <w:lang w:val="fr-FR"/>
      </w:rPr>
      <w:t xml:space="preserve"> </w:t>
    </w:r>
    <w:r>
      <w:rPr>
        <w:rFonts w:cs="Arial"/>
        <w:i/>
        <w:szCs w:val="18"/>
        <w:lang w:val="fr-FR"/>
      </w:rPr>
      <w:t>1</w:t>
    </w:r>
  </w:p>
  <w:p w14:paraId="77A7DAE0" w14:textId="77777777" w:rsidR="0076556E" w:rsidRDefault="007655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C4EC" w14:textId="2EC9AD38" w:rsidR="0076556E" w:rsidRPr="00CB1224" w:rsidRDefault="0076556E" w:rsidP="00BE149B">
    <w:pPr>
      <w:pStyle w:val="Header"/>
      <w:pBdr>
        <w:bottom w:val="single" w:sz="4" w:space="1" w:color="auto"/>
      </w:pBdr>
      <w:jc w:val="right"/>
      <w:rPr>
        <w:lang w:val="fr-FR"/>
      </w:rPr>
    </w:pPr>
    <w:r w:rsidRPr="000A7ABB">
      <w:rPr>
        <w:rFonts w:cs="Arial"/>
        <w:i/>
        <w:szCs w:val="18"/>
        <w:lang w:val="fr-FR"/>
      </w:rPr>
      <w:t>UNEP/CMS/COP12/Doc</w:t>
    </w:r>
    <w:r w:rsidRPr="00C9312D">
      <w:rPr>
        <w:rFonts w:cs="Arial"/>
        <w:i/>
        <w:szCs w:val="18"/>
        <w:lang w:val="fr-FR"/>
      </w:rPr>
      <w:t>.15</w:t>
    </w:r>
    <w:r w:rsidRPr="000A7ABB">
      <w:rPr>
        <w:rFonts w:cs="Arial"/>
        <w:i/>
        <w:szCs w:val="18"/>
        <w:lang w:val="fr-FR"/>
      </w:rPr>
      <w:t>/Annex</w:t>
    </w:r>
    <w:r w:rsidR="00591DCA">
      <w:rPr>
        <w:rFonts w:cs="Arial"/>
        <w:i/>
        <w:szCs w:val="18"/>
        <w:lang w:val="fr-FR"/>
      </w:rPr>
      <w:t>e</w:t>
    </w:r>
    <w:r w:rsidRPr="000A7ABB">
      <w:rPr>
        <w:rFonts w:cs="Arial"/>
        <w:i/>
        <w:szCs w:val="18"/>
        <w:lang w:val="fr-FR"/>
      </w:rPr>
      <w:t xml:space="preserve"> </w:t>
    </w:r>
    <w:r>
      <w:rPr>
        <w:rFonts w:cs="Arial"/>
        <w:i/>
        <w:szCs w:val="18"/>
        <w:lang w:val="fr-FR"/>
      </w:rPr>
      <w:t>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92E7" w14:textId="3CA870C8" w:rsidR="0076556E" w:rsidRPr="00C51BAD" w:rsidRDefault="0076556E" w:rsidP="00C46E65">
    <w:pPr>
      <w:pStyle w:val="Header"/>
      <w:pBdr>
        <w:bottom w:val="single" w:sz="4" w:space="1" w:color="auto"/>
      </w:pBdr>
      <w:tabs>
        <w:tab w:val="clear" w:pos="4513"/>
        <w:tab w:val="clear" w:pos="9026"/>
      </w:tabs>
      <w:rPr>
        <w:lang w:val="fr-FR"/>
      </w:rPr>
    </w:pPr>
    <w:r w:rsidRPr="000A7ABB">
      <w:rPr>
        <w:rFonts w:cs="Arial"/>
        <w:i/>
        <w:szCs w:val="18"/>
        <w:lang w:val="fr-FR"/>
      </w:rPr>
      <w:t>UNEP/CMS/COP12Doc.</w:t>
    </w:r>
    <w:r>
      <w:rPr>
        <w:rFonts w:cs="Arial"/>
        <w:i/>
        <w:szCs w:val="18"/>
        <w:lang w:val="fr-FR"/>
      </w:rPr>
      <w:t>15</w:t>
    </w:r>
    <w:r w:rsidRPr="000A7ABB">
      <w:rPr>
        <w:rFonts w:cs="Arial"/>
        <w:i/>
        <w:szCs w:val="18"/>
        <w:lang w:val="fr-FR"/>
      </w:rPr>
      <w:t>/Annex</w:t>
    </w:r>
    <w:r w:rsidR="00591DCA">
      <w:rPr>
        <w:rFonts w:cs="Arial"/>
        <w:i/>
        <w:szCs w:val="18"/>
        <w:lang w:val="fr-FR"/>
      </w:rPr>
      <w:t>e</w:t>
    </w:r>
    <w:r w:rsidRPr="000A7ABB">
      <w:rPr>
        <w:rFonts w:cs="Arial"/>
        <w:i/>
        <w:szCs w:val="18"/>
        <w:lang w:val="fr-FR"/>
      </w:rPr>
      <w:t xml:space="preserve"> </w:t>
    </w:r>
    <w:r>
      <w:rPr>
        <w:rFonts w:cs="Arial"/>
        <w:i/>
        <w:szCs w:val="18"/>
        <w:lang w:val="fr-FR"/>
      </w:rPr>
      <w:t>1</w:t>
    </w:r>
  </w:p>
  <w:p w14:paraId="17F08AAD" w14:textId="77777777" w:rsidR="0076556E" w:rsidRPr="00C51BAD" w:rsidRDefault="0076556E" w:rsidP="00B12B45">
    <w:pPr>
      <w:pStyle w:val="Header"/>
      <w:tabs>
        <w:tab w:val="clear" w:pos="4513"/>
        <w:tab w:val="clear" w:pos="9026"/>
        <w:tab w:val="left" w:pos="1260"/>
      </w:tabs>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E130" w14:textId="16FB9719" w:rsidR="0076556E" w:rsidRPr="00C51BAD" w:rsidRDefault="0076556E" w:rsidP="00F733A7">
    <w:pPr>
      <w:pStyle w:val="Header"/>
      <w:pBdr>
        <w:bottom w:val="single" w:sz="4" w:space="1" w:color="auto"/>
      </w:pBdr>
      <w:tabs>
        <w:tab w:val="clear" w:pos="4513"/>
        <w:tab w:val="clear" w:pos="9026"/>
      </w:tabs>
      <w:jc w:val="right"/>
      <w:rPr>
        <w:lang w:val="fr-FR"/>
      </w:rPr>
    </w:pPr>
    <w:r w:rsidRPr="000A7ABB">
      <w:rPr>
        <w:rFonts w:cs="Arial"/>
        <w:i/>
        <w:szCs w:val="18"/>
        <w:lang w:val="fr-FR"/>
      </w:rPr>
      <w:t>UNEP/CMS/COP12Doc.</w:t>
    </w:r>
    <w:r>
      <w:rPr>
        <w:rFonts w:cs="Arial"/>
        <w:i/>
        <w:szCs w:val="18"/>
        <w:lang w:val="fr-FR"/>
      </w:rPr>
      <w:t>15</w:t>
    </w:r>
    <w:r w:rsidRPr="000A7ABB">
      <w:rPr>
        <w:rFonts w:cs="Arial"/>
        <w:i/>
        <w:szCs w:val="18"/>
        <w:lang w:val="fr-FR"/>
      </w:rPr>
      <w:t>/Annex</w:t>
    </w:r>
    <w:r w:rsidR="00F733A7">
      <w:rPr>
        <w:rFonts w:cs="Arial"/>
        <w:i/>
        <w:szCs w:val="18"/>
        <w:lang w:val="fr-FR"/>
      </w:rPr>
      <w:t>e</w:t>
    </w:r>
    <w:r w:rsidRPr="000A7ABB">
      <w:rPr>
        <w:rFonts w:cs="Arial"/>
        <w:i/>
        <w:szCs w:val="18"/>
        <w:lang w:val="fr-FR"/>
      </w:rPr>
      <w:t xml:space="preserve"> </w:t>
    </w:r>
    <w:r>
      <w:rPr>
        <w:rFonts w:cs="Arial"/>
        <w:i/>
        <w:szCs w:val="18"/>
        <w:lang w:val="fr-FR"/>
      </w:rPr>
      <w:t>2</w:t>
    </w:r>
  </w:p>
  <w:p w14:paraId="469E9C85" w14:textId="77777777" w:rsidR="0076556E" w:rsidRPr="00C51BAD" w:rsidRDefault="0076556E" w:rsidP="00B12B45">
    <w:pPr>
      <w:pStyle w:val="Header"/>
      <w:tabs>
        <w:tab w:val="clear" w:pos="4513"/>
        <w:tab w:val="clear" w:pos="9026"/>
        <w:tab w:val="left" w:pos="1260"/>
      </w:tabs>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E854" w14:textId="77777777" w:rsidR="0076556E" w:rsidRPr="00720B4C" w:rsidRDefault="0076556E" w:rsidP="00AE4998">
    <w:pPr>
      <w:pStyle w:val="Heading1"/>
      <w:keepNext w:val="0"/>
      <w:pBdr>
        <w:bottom w:val="single" w:sz="4" w:space="1" w:color="auto"/>
      </w:pBdr>
      <w:tabs>
        <w:tab w:val="clear" w:pos="-720"/>
      </w:tabs>
      <w:ind w:left="261" w:right="-277" w:hanging="261"/>
      <w:jc w:val="right"/>
      <w:rPr>
        <w:rFonts w:cs="Arial"/>
        <w:b w:val="0"/>
        <w:i/>
        <w:sz w:val="18"/>
        <w:szCs w:val="18"/>
        <w:lang w:val="fr-FR"/>
      </w:rPr>
    </w:pPr>
    <w:r w:rsidRPr="00720B4C">
      <w:rPr>
        <w:b w:val="0"/>
        <w:i/>
        <w:sz w:val="18"/>
        <w:lang w:val="fr-FR"/>
      </w:rPr>
      <w:t>UNEP/CMS/COP12/</w:t>
    </w:r>
    <w:proofErr w:type="spellStart"/>
    <w:r w:rsidRPr="00720B4C">
      <w:rPr>
        <w:b w:val="0"/>
        <w:i/>
        <w:sz w:val="18"/>
        <w:lang w:val="fr-FR"/>
      </w:rPr>
      <w:t>Doc.x</w:t>
    </w:r>
    <w:proofErr w:type="spellEnd"/>
    <w:r w:rsidRPr="00720B4C">
      <w:rPr>
        <w:b w:val="0"/>
        <w:i/>
        <w:sz w:val="18"/>
        <w:lang w:val="fr-FR"/>
      </w:rPr>
      <w:t>/Annexe x</w:t>
    </w:r>
  </w:p>
  <w:p w14:paraId="3538B249" w14:textId="77777777" w:rsidR="0076556E" w:rsidRPr="00720B4C" w:rsidRDefault="0076556E" w:rsidP="00AE4998">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2F79" w14:textId="716CDD22" w:rsidR="0076556E" w:rsidRDefault="0076556E" w:rsidP="00346215">
    <w:pPr>
      <w:pStyle w:val="Header"/>
    </w:pPr>
    <w:r w:rsidRPr="00346215">
      <w:rPr>
        <w:noProof/>
      </w:rPr>
      <w:drawing>
        <wp:anchor distT="0" distB="0" distL="114300" distR="114300" simplePos="0" relativeHeight="251660288" behindDoc="1" locked="0" layoutInCell="1" allowOverlap="1" wp14:anchorId="40D9601E" wp14:editId="303A53F5">
          <wp:simplePos x="0" y="0"/>
          <wp:positionH relativeFrom="column">
            <wp:posOffset>-200025</wp:posOffset>
          </wp:positionH>
          <wp:positionV relativeFrom="paragraph">
            <wp:posOffset>156845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39683" w14:textId="6E092F6A" w:rsidR="0076556E" w:rsidRDefault="0076556E">
    <w:pPr>
      <w:pStyle w:val="Header"/>
    </w:pPr>
    <w:r w:rsidRPr="00346215">
      <w:rPr>
        <w:noProof/>
      </w:rPr>
      <w:drawing>
        <wp:anchor distT="0" distB="0" distL="114300" distR="114300" simplePos="0" relativeHeight="251659264" behindDoc="1" locked="0" layoutInCell="1" allowOverlap="1" wp14:anchorId="4689F311" wp14:editId="5D852FAE">
          <wp:simplePos x="0" y="0"/>
          <wp:positionH relativeFrom="column">
            <wp:posOffset>716280</wp:posOffset>
          </wp:positionH>
          <wp:positionV relativeFrom="paragraph">
            <wp:posOffset>18415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DFD2" w14:textId="77777777" w:rsidR="0076556E" w:rsidRPr="002F5087" w:rsidRDefault="0076556E" w:rsidP="007A50F4">
    <w:pPr>
      <w:pStyle w:val="Header"/>
      <w:pBdr>
        <w:bottom w:val="single" w:sz="4" w:space="1" w:color="auto"/>
      </w:pBdr>
      <w:rPr>
        <w:i/>
        <w:lang w:val="de-DE"/>
      </w:rPr>
    </w:pPr>
    <w:r>
      <w:rPr>
        <w:i/>
        <w:lang w:val="de-DE"/>
      </w:rPr>
      <w:t>UNEP/CMS/COP12/D</w:t>
    </w:r>
    <w:r w:rsidRPr="002F5087">
      <w:rPr>
        <w:i/>
        <w:lang w:val="de-DE"/>
      </w:rPr>
      <w:t>oc.15</w:t>
    </w:r>
  </w:p>
  <w:p w14:paraId="35113BBA" w14:textId="77777777" w:rsidR="0076556E" w:rsidRDefault="007655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87D9" w14:textId="77777777" w:rsidR="0076556E" w:rsidRPr="00CB1224" w:rsidRDefault="0076556E" w:rsidP="007A50F4">
    <w:pPr>
      <w:pStyle w:val="Heading1"/>
      <w:keepNext w:val="0"/>
      <w:pBdr>
        <w:bottom w:val="single" w:sz="4" w:space="1" w:color="auto"/>
      </w:pBdr>
      <w:ind w:left="261" w:right="-2" w:hanging="261"/>
      <w:jc w:val="right"/>
      <w:rPr>
        <w:rFonts w:cs="Arial"/>
        <w:b w:val="0"/>
        <w:bCs w:val="0"/>
        <w:i/>
        <w:sz w:val="18"/>
        <w:szCs w:val="18"/>
        <w:lang w:val="fr-FR"/>
      </w:rPr>
    </w:pPr>
    <w:r w:rsidRPr="00CB1224">
      <w:rPr>
        <w:rFonts w:cs="Arial"/>
        <w:b w:val="0"/>
        <w:bCs w:val="0"/>
        <w:i/>
        <w:sz w:val="18"/>
        <w:szCs w:val="18"/>
        <w:lang w:val="fr-FR"/>
      </w:rPr>
      <w:t>UNEP/CMS/COP12/Doc.</w:t>
    </w:r>
    <w:r>
      <w:rPr>
        <w:rFonts w:cs="Arial"/>
        <w:b w:val="0"/>
        <w:bCs w:val="0"/>
        <w:i/>
        <w:sz w:val="18"/>
        <w:szCs w:val="18"/>
        <w:lang w:val="fr-FR"/>
      </w:rPr>
      <w:t>15</w:t>
    </w:r>
  </w:p>
  <w:p w14:paraId="422A78A8" w14:textId="77777777" w:rsidR="0076556E" w:rsidRPr="00164382" w:rsidRDefault="0076556E" w:rsidP="00B15943">
    <w:pPr>
      <w:pStyle w:val="Header"/>
      <w:jc w:val="right"/>
      <w:rPr>
        <w:rFonts w:ascii="Times New Roman" w:hAnsi="Times New Roman"/>
        <w:sz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6601" w14:textId="77777777" w:rsidR="0076556E" w:rsidRPr="002F5087" w:rsidRDefault="0076556E" w:rsidP="002F5087">
    <w:pPr>
      <w:pStyle w:val="Header"/>
      <w:pBdr>
        <w:bottom w:val="single" w:sz="4" w:space="1" w:color="auto"/>
      </w:pBdr>
      <w:rPr>
        <w:i/>
        <w:lang w:val="de-DE"/>
      </w:rPr>
    </w:pPr>
    <w:r>
      <w:rPr>
        <w:i/>
        <w:lang w:val="de-DE"/>
      </w:rPr>
      <w:t>UNEP/CMS/COP12/D</w:t>
    </w:r>
    <w:r w:rsidRPr="002F5087">
      <w:rPr>
        <w:i/>
        <w:lang w:val="de-DE"/>
      </w:rPr>
      <w:t>oc.15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02E4" w14:textId="034B0B10" w:rsidR="0076556E" w:rsidRPr="002F5087" w:rsidRDefault="0076556E" w:rsidP="00231BE0">
    <w:pPr>
      <w:pStyle w:val="Header"/>
      <w:pBdr>
        <w:bottom w:val="single" w:sz="4" w:space="1" w:color="auto"/>
      </w:pBdr>
      <w:rPr>
        <w:i/>
        <w:lang w:val="de-DE"/>
      </w:rPr>
    </w:pPr>
    <w:r>
      <w:rPr>
        <w:i/>
        <w:lang w:val="de-DE"/>
      </w:rPr>
      <w:t>UNEP/CMS/COP12/D</w:t>
    </w:r>
    <w:r w:rsidRPr="002F5087">
      <w:rPr>
        <w:i/>
        <w:lang w:val="de-DE"/>
      </w:rPr>
      <w:t>oc.15</w:t>
    </w:r>
    <w:r>
      <w:rPr>
        <w:i/>
        <w:lang w:val="de-DE"/>
      </w:rPr>
      <w:t>/Annexe 1</w:t>
    </w:r>
  </w:p>
  <w:p w14:paraId="3EE8868C" w14:textId="77777777" w:rsidR="0076556E" w:rsidRPr="007A50F4" w:rsidRDefault="0076556E">
    <w:pPr>
      <w:pStyle w:val="Header"/>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BE6B" w14:textId="16EF331B" w:rsidR="0076556E" w:rsidRPr="00CB1224" w:rsidRDefault="0076556E" w:rsidP="00231BE0">
    <w:pPr>
      <w:pStyle w:val="Heading1"/>
      <w:keepNext w:val="0"/>
      <w:pBdr>
        <w:bottom w:val="single" w:sz="4" w:space="1" w:color="auto"/>
      </w:pBdr>
      <w:ind w:left="261" w:right="-2" w:hanging="261"/>
      <w:jc w:val="right"/>
      <w:rPr>
        <w:rFonts w:cs="Arial"/>
        <w:b w:val="0"/>
        <w:bCs w:val="0"/>
        <w:i/>
        <w:sz w:val="18"/>
        <w:szCs w:val="18"/>
        <w:lang w:val="fr-FR"/>
      </w:rPr>
    </w:pPr>
    <w:r w:rsidRPr="00CB1224">
      <w:rPr>
        <w:rFonts w:cs="Arial"/>
        <w:b w:val="0"/>
        <w:bCs w:val="0"/>
        <w:i/>
        <w:sz w:val="18"/>
        <w:szCs w:val="18"/>
        <w:lang w:val="fr-FR"/>
      </w:rPr>
      <w:t>UNEP/CMS/COP12/Doc.</w:t>
    </w:r>
    <w:r>
      <w:rPr>
        <w:rFonts w:cs="Arial"/>
        <w:b w:val="0"/>
        <w:bCs w:val="0"/>
        <w:i/>
        <w:sz w:val="18"/>
        <w:szCs w:val="18"/>
        <w:lang w:val="fr-FR"/>
      </w:rPr>
      <w:t>15/Annex</w:t>
    </w:r>
    <w:r w:rsidR="00591DCA">
      <w:rPr>
        <w:rFonts w:cs="Arial"/>
        <w:b w:val="0"/>
        <w:bCs w:val="0"/>
        <w:i/>
        <w:sz w:val="18"/>
        <w:szCs w:val="18"/>
        <w:lang w:val="fr-FR"/>
      </w:rPr>
      <w:t>e</w:t>
    </w:r>
    <w:r>
      <w:rPr>
        <w:rFonts w:cs="Arial"/>
        <w:b w:val="0"/>
        <w:bCs w:val="0"/>
        <w:i/>
        <w:sz w:val="18"/>
        <w:szCs w:val="18"/>
        <w:lang w:val="fr-FR"/>
      </w:rPr>
      <w:t xml:space="preserve"> 1</w:t>
    </w:r>
  </w:p>
  <w:p w14:paraId="6C80CC3C" w14:textId="77777777" w:rsidR="0076556E" w:rsidRPr="00164382" w:rsidRDefault="0076556E" w:rsidP="00B15943">
    <w:pPr>
      <w:pStyle w:val="Header"/>
      <w:jc w:val="right"/>
      <w:rPr>
        <w:rFonts w:ascii="Times New Roman" w:hAnsi="Times New Roman"/>
        <w:sz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7379" w14:textId="0C1B8B06" w:rsidR="0076556E" w:rsidRPr="002F5087" w:rsidRDefault="0076556E" w:rsidP="00C46E65">
    <w:pPr>
      <w:pStyle w:val="Header"/>
      <w:pBdr>
        <w:bottom w:val="single" w:sz="4" w:space="1" w:color="auto"/>
      </w:pBdr>
      <w:jc w:val="right"/>
      <w:rPr>
        <w:i/>
        <w:lang w:val="de-DE"/>
      </w:rPr>
    </w:pPr>
    <w:r>
      <w:rPr>
        <w:i/>
        <w:lang w:val="de-DE"/>
      </w:rPr>
      <w:t>UNEP/CMS/COP12/D</w:t>
    </w:r>
    <w:r w:rsidRPr="002F5087">
      <w:rPr>
        <w:i/>
        <w:lang w:val="de-DE"/>
      </w:rPr>
      <w:t>oc.15</w:t>
    </w:r>
    <w:r>
      <w:rPr>
        <w:i/>
        <w:lang w:val="de-DE"/>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3BB"/>
    <w:multiLevelType w:val="hybridMultilevel"/>
    <w:tmpl w:val="CE1C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201A1"/>
    <w:multiLevelType w:val="hybridMultilevel"/>
    <w:tmpl w:val="7A7A031C"/>
    <w:lvl w:ilvl="0" w:tplc="0409000F">
      <w:start w:val="1"/>
      <w:numFmt w:val="decimal"/>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F722892"/>
    <w:multiLevelType w:val="hybridMultilevel"/>
    <w:tmpl w:val="4CDAB172"/>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B7029"/>
    <w:multiLevelType w:val="hybridMultilevel"/>
    <w:tmpl w:val="2F02B8FC"/>
    <w:lvl w:ilvl="0" w:tplc="E9CA71FA">
      <w:start w:val="1"/>
      <w:numFmt w:val="lowerRoman"/>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4" w15:restartNumberingAfterBreak="0">
    <w:nsid w:val="12EF0DA6"/>
    <w:multiLevelType w:val="hybridMultilevel"/>
    <w:tmpl w:val="51C43528"/>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725C8A"/>
    <w:multiLevelType w:val="hybridMultilevel"/>
    <w:tmpl w:val="3BFCC1F6"/>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E021D2"/>
    <w:multiLevelType w:val="hybridMultilevel"/>
    <w:tmpl w:val="6834ECF6"/>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44DB4"/>
    <w:multiLevelType w:val="hybridMultilevel"/>
    <w:tmpl w:val="A72CD50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9566D1"/>
    <w:multiLevelType w:val="hybridMultilevel"/>
    <w:tmpl w:val="507633B4"/>
    <w:lvl w:ilvl="0" w:tplc="0409000F">
      <w:start w:val="1"/>
      <w:numFmt w:val="decimal"/>
      <w:lvlText w:val="%1."/>
      <w:lvlJc w:val="left"/>
      <w:pPr>
        <w:ind w:left="450" w:hanging="360"/>
      </w:pPr>
      <w:rPr>
        <w:rFonts w:cs="Times New Roman" w:hint="default"/>
      </w:rPr>
    </w:lvl>
    <w:lvl w:ilvl="1" w:tplc="0C090019">
      <w:start w:val="1"/>
      <w:numFmt w:val="lowerLetter"/>
      <w:lvlText w:val="%2."/>
      <w:lvlJc w:val="left"/>
      <w:pPr>
        <w:ind w:left="1170" w:hanging="360"/>
      </w:pPr>
      <w:rPr>
        <w:rFonts w:cs="Times New Roman"/>
      </w:rPr>
    </w:lvl>
    <w:lvl w:ilvl="2" w:tplc="0C09001B" w:tentative="1">
      <w:start w:val="1"/>
      <w:numFmt w:val="lowerRoman"/>
      <w:lvlText w:val="%3."/>
      <w:lvlJc w:val="right"/>
      <w:pPr>
        <w:ind w:left="1890" w:hanging="180"/>
      </w:pPr>
      <w:rPr>
        <w:rFonts w:cs="Times New Roman"/>
      </w:rPr>
    </w:lvl>
    <w:lvl w:ilvl="3" w:tplc="0C09000F" w:tentative="1">
      <w:start w:val="1"/>
      <w:numFmt w:val="decimal"/>
      <w:lvlText w:val="%4."/>
      <w:lvlJc w:val="left"/>
      <w:pPr>
        <w:ind w:left="2610" w:hanging="360"/>
      </w:pPr>
      <w:rPr>
        <w:rFonts w:cs="Times New Roman"/>
      </w:rPr>
    </w:lvl>
    <w:lvl w:ilvl="4" w:tplc="0C090019" w:tentative="1">
      <w:start w:val="1"/>
      <w:numFmt w:val="lowerLetter"/>
      <w:lvlText w:val="%5."/>
      <w:lvlJc w:val="left"/>
      <w:pPr>
        <w:ind w:left="3330" w:hanging="360"/>
      </w:pPr>
      <w:rPr>
        <w:rFonts w:cs="Times New Roman"/>
      </w:rPr>
    </w:lvl>
    <w:lvl w:ilvl="5" w:tplc="0C09001B" w:tentative="1">
      <w:start w:val="1"/>
      <w:numFmt w:val="lowerRoman"/>
      <w:lvlText w:val="%6."/>
      <w:lvlJc w:val="right"/>
      <w:pPr>
        <w:ind w:left="4050" w:hanging="180"/>
      </w:pPr>
      <w:rPr>
        <w:rFonts w:cs="Times New Roman"/>
      </w:rPr>
    </w:lvl>
    <w:lvl w:ilvl="6" w:tplc="0C09000F" w:tentative="1">
      <w:start w:val="1"/>
      <w:numFmt w:val="decimal"/>
      <w:lvlText w:val="%7."/>
      <w:lvlJc w:val="left"/>
      <w:pPr>
        <w:ind w:left="4770" w:hanging="360"/>
      </w:pPr>
      <w:rPr>
        <w:rFonts w:cs="Times New Roman"/>
      </w:rPr>
    </w:lvl>
    <w:lvl w:ilvl="7" w:tplc="0C090019" w:tentative="1">
      <w:start w:val="1"/>
      <w:numFmt w:val="lowerLetter"/>
      <w:lvlText w:val="%8."/>
      <w:lvlJc w:val="left"/>
      <w:pPr>
        <w:ind w:left="5490" w:hanging="360"/>
      </w:pPr>
      <w:rPr>
        <w:rFonts w:cs="Times New Roman"/>
      </w:rPr>
    </w:lvl>
    <w:lvl w:ilvl="8" w:tplc="0C09001B" w:tentative="1">
      <w:start w:val="1"/>
      <w:numFmt w:val="lowerRoman"/>
      <w:lvlText w:val="%9."/>
      <w:lvlJc w:val="right"/>
      <w:pPr>
        <w:ind w:left="6210" w:hanging="180"/>
      </w:pPr>
      <w:rPr>
        <w:rFonts w:cs="Times New Roman"/>
      </w:rPr>
    </w:lvl>
  </w:abstractNum>
  <w:abstractNum w:abstractNumId="11" w15:restartNumberingAfterBreak="0">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C41009"/>
    <w:multiLevelType w:val="hybridMultilevel"/>
    <w:tmpl w:val="B8A671E0"/>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A4860"/>
    <w:multiLevelType w:val="hybridMultilevel"/>
    <w:tmpl w:val="943E804E"/>
    <w:lvl w:ilvl="0" w:tplc="71E004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A141AE9"/>
    <w:multiLevelType w:val="hybridMultilevel"/>
    <w:tmpl w:val="C4385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618E6"/>
    <w:multiLevelType w:val="hybridMultilevel"/>
    <w:tmpl w:val="B24475D4"/>
    <w:lvl w:ilvl="0" w:tplc="4DCAD082">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958D5"/>
    <w:multiLevelType w:val="hybridMultilevel"/>
    <w:tmpl w:val="4DE23124"/>
    <w:lvl w:ilvl="0" w:tplc="4B1E15B2">
      <w:start w:val="1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865279B"/>
    <w:multiLevelType w:val="hybridMultilevel"/>
    <w:tmpl w:val="54D26784"/>
    <w:lvl w:ilvl="0" w:tplc="A342872A">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05429"/>
    <w:multiLevelType w:val="hybridMultilevel"/>
    <w:tmpl w:val="D36687B0"/>
    <w:lvl w:ilvl="0" w:tplc="4B66F61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7154F"/>
    <w:multiLevelType w:val="hybridMultilevel"/>
    <w:tmpl w:val="1E3AE21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5"/>
  </w:num>
  <w:num w:numId="5">
    <w:abstractNumId w:val="12"/>
  </w:num>
  <w:num w:numId="6">
    <w:abstractNumId w:val="11"/>
  </w:num>
  <w:num w:numId="7">
    <w:abstractNumId w:val="8"/>
  </w:num>
  <w:num w:numId="8">
    <w:abstractNumId w:val="22"/>
  </w:num>
  <w:num w:numId="9">
    <w:abstractNumId w:val="3"/>
  </w:num>
  <w:num w:numId="10">
    <w:abstractNumId w:val="21"/>
  </w:num>
  <w:num w:numId="11">
    <w:abstractNumId w:val="10"/>
  </w:num>
  <w:num w:numId="12">
    <w:abstractNumId w:val="14"/>
  </w:num>
  <w:num w:numId="13">
    <w:abstractNumId w:val="0"/>
  </w:num>
  <w:num w:numId="14">
    <w:abstractNumId w:val="20"/>
  </w:num>
  <w:num w:numId="15">
    <w:abstractNumId w:val="17"/>
  </w:num>
  <w:num w:numId="16">
    <w:abstractNumId w:val="16"/>
  </w:num>
  <w:num w:numId="17">
    <w:abstractNumId w:val="19"/>
  </w:num>
  <w:num w:numId="18">
    <w:abstractNumId w:val="6"/>
  </w:num>
  <w:num w:numId="19">
    <w:abstractNumId w:val="13"/>
  </w:num>
  <w:num w:numId="20">
    <w:abstractNumId w:val="23"/>
  </w:num>
  <w:num w:numId="21">
    <w:abstractNumId w:val="4"/>
  </w:num>
  <w:num w:numId="22">
    <w:abstractNumId w:val="2"/>
  </w:num>
  <w:num w:numId="23">
    <w:abstractNumId w:val="9"/>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D"/>
    <w:rsid w:val="00007F70"/>
    <w:rsid w:val="00011D7F"/>
    <w:rsid w:val="00016CD7"/>
    <w:rsid w:val="00041A26"/>
    <w:rsid w:val="00044729"/>
    <w:rsid w:val="00045F27"/>
    <w:rsid w:val="000528E7"/>
    <w:rsid w:val="00070833"/>
    <w:rsid w:val="00070D44"/>
    <w:rsid w:val="000746B6"/>
    <w:rsid w:val="000750E3"/>
    <w:rsid w:val="00075841"/>
    <w:rsid w:val="00080C97"/>
    <w:rsid w:val="000823F9"/>
    <w:rsid w:val="00090DB6"/>
    <w:rsid w:val="000935C4"/>
    <w:rsid w:val="00095940"/>
    <w:rsid w:val="00097761"/>
    <w:rsid w:val="000A08F7"/>
    <w:rsid w:val="000A7ABB"/>
    <w:rsid w:val="000C4542"/>
    <w:rsid w:val="000F0165"/>
    <w:rsid w:val="000F3BC1"/>
    <w:rsid w:val="000F45CE"/>
    <w:rsid w:val="000F486F"/>
    <w:rsid w:val="0010003C"/>
    <w:rsid w:val="00102360"/>
    <w:rsid w:val="00107EAF"/>
    <w:rsid w:val="00126CAF"/>
    <w:rsid w:val="00127602"/>
    <w:rsid w:val="001348B7"/>
    <w:rsid w:val="00147733"/>
    <w:rsid w:val="00152C40"/>
    <w:rsid w:val="00163F94"/>
    <w:rsid w:val="00164382"/>
    <w:rsid w:val="00165D2B"/>
    <w:rsid w:val="00173F32"/>
    <w:rsid w:val="00177E1B"/>
    <w:rsid w:val="0019493E"/>
    <w:rsid w:val="001A1932"/>
    <w:rsid w:val="001A528B"/>
    <w:rsid w:val="001A7000"/>
    <w:rsid w:val="001B2FD1"/>
    <w:rsid w:val="001B32BC"/>
    <w:rsid w:val="001C0C33"/>
    <w:rsid w:val="001C2774"/>
    <w:rsid w:val="001C42C9"/>
    <w:rsid w:val="001C598C"/>
    <w:rsid w:val="001C6974"/>
    <w:rsid w:val="001C78DC"/>
    <w:rsid w:val="001D2F9E"/>
    <w:rsid w:val="001D40C8"/>
    <w:rsid w:val="001D61B0"/>
    <w:rsid w:val="001E306A"/>
    <w:rsid w:val="0020128F"/>
    <w:rsid w:val="0020283A"/>
    <w:rsid w:val="0020689B"/>
    <w:rsid w:val="00214422"/>
    <w:rsid w:val="00226FAF"/>
    <w:rsid w:val="00231BE0"/>
    <w:rsid w:val="002475EE"/>
    <w:rsid w:val="002541F2"/>
    <w:rsid w:val="00254CBB"/>
    <w:rsid w:val="0025682B"/>
    <w:rsid w:val="002604D6"/>
    <w:rsid w:val="002607FC"/>
    <w:rsid w:val="00270AE3"/>
    <w:rsid w:val="00274909"/>
    <w:rsid w:val="00276665"/>
    <w:rsid w:val="00283BE4"/>
    <w:rsid w:val="00287464"/>
    <w:rsid w:val="002923C2"/>
    <w:rsid w:val="002972C4"/>
    <w:rsid w:val="002A5552"/>
    <w:rsid w:val="002B0F6D"/>
    <w:rsid w:val="002B351C"/>
    <w:rsid w:val="002B626F"/>
    <w:rsid w:val="002D5EC4"/>
    <w:rsid w:val="002E2CCF"/>
    <w:rsid w:val="002E6F84"/>
    <w:rsid w:val="002F37C9"/>
    <w:rsid w:val="002F5087"/>
    <w:rsid w:val="002F64AB"/>
    <w:rsid w:val="0030275D"/>
    <w:rsid w:val="00302B1B"/>
    <w:rsid w:val="00305894"/>
    <w:rsid w:val="0031003F"/>
    <w:rsid w:val="0031095E"/>
    <w:rsid w:val="00317F99"/>
    <w:rsid w:val="00322BAE"/>
    <w:rsid w:val="003253D1"/>
    <w:rsid w:val="00326E3F"/>
    <w:rsid w:val="003313C8"/>
    <w:rsid w:val="0033209A"/>
    <w:rsid w:val="00340DC6"/>
    <w:rsid w:val="0034285E"/>
    <w:rsid w:val="00346215"/>
    <w:rsid w:val="00350700"/>
    <w:rsid w:val="00372236"/>
    <w:rsid w:val="00383614"/>
    <w:rsid w:val="003842B5"/>
    <w:rsid w:val="00386CFE"/>
    <w:rsid w:val="003A397A"/>
    <w:rsid w:val="003A3DF2"/>
    <w:rsid w:val="003A602F"/>
    <w:rsid w:val="003A777F"/>
    <w:rsid w:val="003B0E66"/>
    <w:rsid w:val="003B276F"/>
    <w:rsid w:val="003C3FC3"/>
    <w:rsid w:val="003C5848"/>
    <w:rsid w:val="003C5BAF"/>
    <w:rsid w:val="003D0696"/>
    <w:rsid w:val="003D63EA"/>
    <w:rsid w:val="003E4E24"/>
    <w:rsid w:val="003E53EA"/>
    <w:rsid w:val="003F0AE7"/>
    <w:rsid w:val="003F21AB"/>
    <w:rsid w:val="00421340"/>
    <w:rsid w:val="00424C37"/>
    <w:rsid w:val="00432E8F"/>
    <w:rsid w:val="00435F9D"/>
    <w:rsid w:val="00452C17"/>
    <w:rsid w:val="004645AA"/>
    <w:rsid w:val="00465FB0"/>
    <w:rsid w:val="0046627D"/>
    <w:rsid w:val="00470D36"/>
    <w:rsid w:val="004710DC"/>
    <w:rsid w:val="00486243"/>
    <w:rsid w:val="00491A37"/>
    <w:rsid w:val="004C284B"/>
    <w:rsid w:val="004D0385"/>
    <w:rsid w:val="004D0A9C"/>
    <w:rsid w:val="004D1871"/>
    <w:rsid w:val="004D1C9D"/>
    <w:rsid w:val="004D3B79"/>
    <w:rsid w:val="004D3DB7"/>
    <w:rsid w:val="004D5758"/>
    <w:rsid w:val="004E015D"/>
    <w:rsid w:val="004E1148"/>
    <w:rsid w:val="004E24CF"/>
    <w:rsid w:val="004F2C0F"/>
    <w:rsid w:val="004F32EC"/>
    <w:rsid w:val="004F5331"/>
    <w:rsid w:val="005036BA"/>
    <w:rsid w:val="00511D5D"/>
    <w:rsid w:val="00515AF1"/>
    <w:rsid w:val="00516F25"/>
    <w:rsid w:val="00520EB8"/>
    <w:rsid w:val="00524C8D"/>
    <w:rsid w:val="00525385"/>
    <w:rsid w:val="005321E2"/>
    <w:rsid w:val="0053662E"/>
    <w:rsid w:val="00536EB4"/>
    <w:rsid w:val="005408E8"/>
    <w:rsid w:val="005418D8"/>
    <w:rsid w:val="005515D8"/>
    <w:rsid w:val="005522B9"/>
    <w:rsid w:val="00555EDC"/>
    <w:rsid w:val="00566AC0"/>
    <w:rsid w:val="00570C45"/>
    <w:rsid w:val="00580AD5"/>
    <w:rsid w:val="00580C44"/>
    <w:rsid w:val="00582764"/>
    <w:rsid w:val="005875AE"/>
    <w:rsid w:val="00591DCA"/>
    <w:rsid w:val="00593F65"/>
    <w:rsid w:val="005A2AF0"/>
    <w:rsid w:val="005B2286"/>
    <w:rsid w:val="005C26BF"/>
    <w:rsid w:val="005C3385"/>
    <w:rsid w:val="005C65E7"/>
    <w:rsid w:val="005D62E5"/>
    <w:rsid w:val="005D7647"/>
    <w:rsid w:val="005F2609"/>
    <w:rsid w:val="006064CC"/>
    <w:rsid w:val="006124BC"/>
    <w:rsid w:val="0061757B"/>
    <w:rsid w:val="006219FC"/>
    <w:rsid w:val="006356F6"/>
    <w:rsid w:val="00636A7B"/>
    <w:rsid w:val="0064179D"/>
    <w:rsid w:val="00647C64"/>
    <w:rsid w:val="00647F86"/>
    <w:rsid w:val="0065362D"/>
    <w:rsid w:val="00662D4F"/>
    <w:rsid w:val="006663F5"/>
    <w:rsid w:val="00666F99"/>
    <w:rsid w:val="00671257"/>
    <w:rsid w:val="00672E2E"/>
    <w:rsid w:val="00673384"/>
    <w:rsid w:val="00681076"/>
    <w:rsid w:val="006852D0"/>
    <w:rsid w:val="00691CAF"/>
    <w:rsid w:val="006921C8"/>
    <w:rsid w:val="0069520C"/>
    <w:rsid w:val="00695F1A"/>
    <w:rsid w:val="006B2DE9"/>
    <w:rsid w:val="006C4B20"/>
    <w:rsid w:val="006D4E0C"/>
    <w:rsid w:val="006D5CCE"/>
    <w:rsid w:val="006D7C0B"/>
    <w:rsid w:val="006E19AA"/>
    <w:rsid w:val="007027A2"/>
    <w:rsid w:val="00705CC2"/>
    <w:rsid w:val="00706457"/>
    <w:rsid w:val="007070F6"/>
    <w:rsid w:val="00720B4C"/>
    <w:rsid w:val="00720BE7"/>
    <w:rsid w:val="0072206A"/>
    <w:rsid w:val="00724704"/>
    <w:rsid w:val="00730A66"/>
    <w:rsid w:val="00742284"/>
    <w:rsid w:val="0074369A"/>
    <w:rsid w:val="00752C3B"/>
    <w:rsid w:val="00755517"/>
    <w:rsid w:val="00761BB1"/>
    <w:rsid w:val="0076556E"/>
    <w:rsid w:val="00774930"/>
    <w:rsid w:val="00785EF6"/>
    <w:rsid w:val="00787D6C"/>
    <w:rsid w:val="007928DB"/>
    <w:rsid w:val="00792B2B"/>
    <w:rsid w:val="007A4BEB"/>
    <w:rsid w:val="007A50F4"/>
    <w:rsid w:val="007B191B"/>
    <w:rsid w:val="007C2D68"/>
    <w:rsid w:val="007C2E50"/>
    <w:rsid w:val="007D4FF8"/>
    <w:rsid w:val="007E26BC"/>
    <w:rsid w:val="007F026E"/>
    <w:rsid w:val="007F494B"/>
    <w:rsid w:val="00800383"/>
    <w:rsid w:val="00811F15"/>
    <w:rsid w:val="00821924"/>
    <w:rsid w:val="00822062"/>
    <w:rsid w:val="00822587"/>
    <w:rsid w:val="008232F9"/>
    <w:rsid w:val="00825FA0"/>
    <w:rsid w:val="00831484"/>
    <w:rsid w:val="008332F3"/>
    <w:rsid w:val="00834613"/>
    <w:rsid w:val="00834E62"/>
    <w:rsid w:val="00852969"/>
    <w:rsid w:val="00852D28"/>
    <w:rsid w:val="00854F88"/>
    <w:rsid w:val="008560A3"/>
    <w:rsid w:val="00871E4A"/>
    <w:rsid w:val="00881653"/>
    <w:rsid w:val="0088611C"/>
    <w:rsid w:val="00890829"/>
    <w:rsid w:val="008919F0"/>
    <w:rsid w:val="00892BE4"/>
    <w:rsid w:val="008A1636"/>
    <w:rsid w:val="008A6035"/>
    <w:rsid w:val="008B1405"/>
    <w:rsid w:val="008B35BA"/>
    <w:rsid w:val="008B4E31"/>
    <w:rsid w:val="008B56A3"/>
    <w:rsid w:val="008B7B23"/>
    <w:rsid w:val="008C069B"/>
    <w:rsid w:val="008D0B94"/>
    <w:rsid w:val="008D6988"/>
    <w:rsid w:val="008E225D"/>
    <w:rsid w:val="008E6983"/>
    <w:rsid w:val="008F3A6B"/>
    <w:rsid w:val="008F4E90"/>
    <w:rsid w:val="008F600A"/>
    <w:rsid w:val="009374A4"/>
    <w:rsid w:val="00942661"/>
    <w:rsid w:val="00945C48"/>
    <w:rsid w:val="00950DF3"/>
    <w:rsid w:val="00961099"/>
    <w:rsid w:val="009640EB"/>
    <w:rsid w:val="00967E59"/>
    <w:rsid w:val="00975D5C"/>
    <w:rsid w:val="00981E87"/>
    <w:rsid w:val="00987C89"/>
    <w:rsid w:val="009917C2"/>
    <w:rsid w:val="00992E43"/>
    <w:rsid w:val="00994062"/>
    <w:rsid w:val="009B0850"/>
    <w:rsid w:val="009B635E"/>
    <w:rsid w:val="009C3721"/>
    <w:rsid w:val="009D6515"/>
    <w:rsid w:val="009E2C9C"/>
    <w:rsid w:val="009E511D"/>
    <w:rsid w:val="009E70EC"/>
    <w:rsid w:val="009F53BC"/>
    <w:rsid w:val="009F5F44"/>
    <w:rsid w:val="00A00DCE"/>
    <w:rsid w:val="00A17856"/>
    <w:rsid w:val="00A23A09"/>
    <w:rsid w:val="00A30A41"/>
    <w:rsid w:val="00A43E9D"/>
    <w:rsid w:val="00A46B77"/>
    <w:rsid w:val="00A475AE"/>
    <w:rsid w:val="00A57349"/>
    <w:rsid w:val="00A575E7"/>
    <w:rsid w:val="00A63B80"/>
    <w:rsid w:val="00A7730B"/>
    <w:rsid w:val="00A84C7A"/>
    <w:rsid w:val="00A870A9"/>
    <w:rsid w:val="00A91997"/>
    <w:rsid w:val="00AA0BD0"/>
    <w:rsid w:val="00AA2EB6"/>
    <w:rsid w:val="00AB1972"/>
    <w:rsid w:val="00AB5D8F"/>
    <w:rsid w:val="00AC1ABC"/>
    <w:rsid w:val="00AC22F1"/>
    <w:rsid w:val="00AC3E91"/>
    <w:rsid w:val="00AC6E00"/>
    <w:rsid w:val="00AD068F"/>
    <w:rsid w:val="00AD1215"/>
    <w:rsid w:val="00AD47BA"/>
    <w:rsid w:val="00AE24AD"/>
    <w:rsid w:val="00AE25E6"/>
    <w:rsid w:val="00AE4998"/>
    <w:rsid w:val="00AF046A"/>
    <w:rsid w:val="00AF31AD"/>
    <w:rsid w:val="00AF485C"/>
    <w:rsid w:val="00AF520B"/>
    <w:rsid w:val="00AF6012"/>
    <w:rsid w:val="00AF6D58"/>
    <w:rsid w:val="00B12B45"/>
    <w:rsid w:val="00B153B4"/>
    <w:rsid w:val="00B15943"/>
    <w:rsid w:val="00B15B68"/>
    <w:rsid w:val="00B247E1"/>
    <w:rsid w:val="00B26035"/>
    <w:rsid w:val="00B37D62"/>
    <w:rsid w:val="00B416E5"/>
    <w:rsid w:val="00B43DF8"/>
    <w:rsid w:val="00B464C0"/>
    <w:rsid w:val="00B473EC"/>
    <w:rsid w:val="00B47A8A"/>
    <w:rsid w:val="00B64325"/>
    <w:rsid w:val="00B66EAF"/>
    <w:rsid w:val="00B70A53"/>
    <w:rsid w:val="00B71D2A"/>
    <w:rsid w:val="00B76B52"/>
    <w:rsid w:val="00B7772A"/>
    <w:rsid w:val="00B8704F"/>
    <w:rsid w:val="00B907CE"/>
    <w:rsid w:val="00B94601"/>
    <w:rsid w:val="00B96FAF"/>
    <w:rsid w:val="00B9729C"/>
    <w:rsid w:val="00B97C34"/>
    <w:rsid w:val="00BA44F9"/>
    <w:rsid w:val="00BA4741"/>
    <w:rsid w:val="00BB0531"/>
    <w:rsid w:val="00BB17FB"/>
    <w:rsid w:val="00BC6C97"/>
    <w:rsid w:val="00BD01B0"/>
    <w:rsid w:val="00BD6EF4"/>
    <w:rsid w:val="00BE149B"/>
    <w:rsid w:val="00BE49BB"/>
    <w:rsid w:val="00BE7BCE"/>
    <w:rsid w:val="00BF37BF"/>
    <w:rsid w:val="00C005EC"/>
    <w:rsid w:val="00C00D73"/>
    <w:rsid w:val="00C13210"/>
    <w:rsid w:val="00C20A68"/>
    <w:rsid w:val="00C21CFD"/>
    <w:rsid w:val="00C25B63"/>
    <w:rsid w:val="00C30424"/>
    <w:rsid w:val="00C35AE3"/>
    <w:rsid w:val="00C369FB"/>
    <w:rsid w:val="00C412EF"/>
    <w:rsid w:val="00C46E65"/>
    <w:rsid w:val="00C51BAD"/>
    <w:rsid w:val="00C51ED4"/>
    <w:rsid w:val="00C53090"/>
    <w:rsid w:val="00C547F6"/>
    <w:rsid w:val="00C56A61"/>
    <w:rsid w:val="00C571B0"/>
    <w:rsid w:val="00C65535"/>
    <w:rsid w:val="00C713C0"/>
    <w:rsid w:val="00C746AD"/>
    <w:rsid w:val="00C9312D"/>
    <w:rsid w:val="00C9374B"/>
    <w:rsid w:val="00C94515"/>
    <w:rsid w:val="00C97952"/>
    <w:rsid w:val="00CA0620"/>
    <w:rsid w:val="00CB1224"/>
    <w:rsid w:val="00CC2012"/>
    <w:rsid w:val="00CC684B"/>
    <w:rsid w:val="00CD01D0"/>
    <w:rsid w:val="00CD3216"/>
    <w:rsid w:val="00CD3505"/>
    <w:rsid w:val="00CE2460"/>
    <w:rsid w:val="00CE30F3"/>
    <w:rsid w:val="00CF4FCE"/>
    <w:rsid w:val="00D03279"/>
    <w:rsid w:val="00D0520D"/>
    <w:rsid w:val="00D056AA"/>
    <w:rsid w:val="00D06439"/>
    <w:rsid w:val="00D125C9"/>
    <w:rsid w:val="00D27010"/>
    <w:rsid w:val="00D319FD"/>
    <w:rsid w:val="00D338F9"/>
    <w:rsid w:val="00D34B35"/>
    <w:rsid w:val="00D5671E"/>
    <w:rsid w:val="00D86273"/>
    <w:rsid w:val="00D96F4B"/>
    <w:rsid w:val="00DA4990"/>
    <w:rsid w:val="00DA5CE2"/>
    <w:rsid w:val="00DC25D0"/>
    <w:rsid w:val="00DC2B56"/>
    <w:rsid w:val="00DC2CA9"/>
    <w:rsid w:val="00DC5BD4"/>
    <w:rsid w:val="00DC5CB7"/>
    <w:rsid w:val="00DC7664"/>
    <w:rsid w:val="00DD256A"/>
    <w:rsid w:val="00DD6247"/>
    <w:rsid w:val="00DE6EA4"/>
    <w:rsid w:val="00DF126C"/>
    <w:rsid w:val="00DF423D"/>
    <w:rsid w:val="00E00A6B"/>
    <w:rsid w:val="00E103DE"/>
    <w:rsid w:val="00E13553"/>
    <w:rsid w:val="00E21564"/>
    <w:rsid w:val="00E22CCA"/>
    <w:rsid w:val="00E25155"/>
    <w:rsid w:val="00E25723"/>
    <w:rsid w:val="00E30D05"/>
    <w:rsid w:val="00E33A82"/>
    <w:rsid w:val="00E3445D"/>
    <w:rsid w:val="00E435C3"/>
    <w:rsid w:val="00E530A5"/>
    <w:rsid w:val="00E5604E"/>
    <w:rsid w:val="00E57CEA"/>
    <w:rsid w:val="00E7468B"/>
    <w:rsid w:val="00E96710"/>
    <w:rsid w:val="00EA3655"/>
    <w:rsid w:val="00EA6B07"/>
    <w:rsid w:val="00EB45F2"/>
    <w:rsid w:val="00EB4920"/>
    <w:rsid w:val="00EB7081"/>
    <w:rsid w:val="00EC272B"/>
    <w:rsid w:val="00EC2CB5"/>
    <w:rsid w:val="00EC5CDA"/>
    <w:rsid w:val="00EC6CC3"/>
    <w:rsid w:val="00EC71C2"/>
    <w:rsid w:val="00ED1517"/>
    <w:rsid w:val="00EE0238"/>
    <w:rsid w:val="00EE6C3B"/>
    <w:rsid w:val="00EE77CF"/>
    <w:rsid w:val="00EF5AD3"/>
    <w:rsid w:val="00F033FC"/>
    <w:rsid w:val="00F10C93"/>
    <w:rsid w:val="00F12ED0"/>
    <w:rsid w:val="00F15AAC"/>
    <w:rsid w:val="00F21588"/>
    <w:rsid w:val="00F232B0"/>
    <w:rsid w:val="00F24F9E"/>
    <w:rsid w:val="00F25A76"/>
    <w:rsid w:val="00F32005"/>
    <w:rsid w:val="00F35453"/>
    <w:rsid w:val="00F3777D"/>
    <w:rsid w:val="00F548E9"/>
    <w:rsid w:val="00F56719"/>
    <w:rsid w:val="00F630F7"/>
    <w:rsid w:val="00F67041"/>
    <w:rsid w:val="00F7306F"/>
    <w:rsid w:val="00F733A7"/>
    <w:rsid w:val="00F773F6"/>
    <w:rsid w:val="00F800F4"/>
    <w:rsid w:val="00F8497D"/>
    <w:rsid w:val="00F86FB7"/>
    <w:rsid w:val="00F904CD"/>
    <w:rsid w:val="00FB3096"/>
    <w:rsid w:val="00FB3A11"/>
    <w:rsid w:val="00FE100B"/>
    <w:rsid w:val="00FE2B38"/>
    <w:rsid w:val="00FE3F30"/>
    <w:rsid w:val="00FE511E"/>
    <w:rsid w:val="00FE5D71"/>
    <w:rsid w:val="00FF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D132F"/>
  <w15:docId w15:val="{FA05F0A4-4583-4705-99DA-58D1F23A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7F70"/>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9"/>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link w:val="Heading3Char"/>
    <w:qFormat/>
    <w:rsid w:val="001C6974"/>
    <w:pPr>
      <w:widowControl/>
      <w:autoSpaceDE/>
      <w:autoSpaceDN/>
      <w:adjustRightInd/>
      <w:outlineLvl w:val="2"/>
    </w:pPr>
    <w:rPr>
      <w:rFonts w:ascii="Times New Roman" w:eastAsia="MS Mincho" w:hAnsi="Times New Roman"/>
      <w:b/>
      <w:bCs/>
      <w:sz w:val="27"/>
      <w:szCs w:val="27"/>
      <w:lang w:eastAsia="ja-JP"/>
    </w:rPr>
  </w:style>
  <w:style w:type="paragraph" w:styleId="Heading4">
    <w:name w:val="heading 4"/>
    <w:basedOn w:val="Normal"/>
    <w:next w:val="Normal"/>
    <w:link w:val="Heading4Char"/>
    <w:qFormat/>
    <w:rsid w:val="001C6974"/>
    <w:pPr>
      <w:keepNext/>
      <w:widowControl/>
      <w:autoSpaceDE/>
      <w:autoSpaceDN/>
      <w:adjustRightInd/>
      <w:spacing w:before="240" w:after="60"/>
      <w:jc w:val="both"/>
      <w:outlineLvl w:val="3"/>
    </w:pPr>
    <w:rPr>
      <w:rFonts w:ascii="Times New Roman" w:hAnsi="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128F"/>
    <w:rPr>
      <w:color w:val="0563C1" w:themeColor="hyperlink"/>
      <w:u w:val="single"/>
    </w:rPr>
  </w:style>
  <w:style w:type="paragraph" w:styleId="PlainText">
    <w:name w:val="Plain Text"/>
    <w:basedOn w:val="Normal"/>
    <w:link w:val="PlainTextChar"/>
    <w:unhideWhenUsed/>
    <w:rsid w:val="0020128F"/>
    <w:rPr>
      <w:rFonts w:cs="Consolas"/>
      <w:sz w:val="20"/>
      <w:szCs w:val="21"/>
    </w:rPr>
  </w:style>
  <w:style w:type="character" w:customStyle="1" w:styleId="PlainTextChar">
    <w:name w:val="Plain Text Char"/>
    <w:basedOn w:val="DefaultParagraphFont"/>
    <w:link w:val="PlainText"/>
    <w:rsid w:val="0020128F"/>
    <w:rPr>
      <w:rFonts w:ascii="Arial" w:hAnsi="Arial" w:cs="Consolas"/>
      <w:sz w:val="20"/>
      <w:szCs w:val="21"/>
    </w:rPr>
  </w:style>
  <w:style w:type="paragraph" w:styleId="Header">
    <w:name w:val="header"/>
    <w:aliases w:val="Header MFAT"/>
    <w:basedOn w:val="Normal"/>
    <w:link w:val="HeaderChar"/>
    <w:uiPriority w:val="99"/>
    <w:unhideWhenUsed/>
    <w:rsid w:val="00DF126C"/>
    <w:pPr>
      <w:tabs>
        <w:tab w:val="center" w:pos="4513"/>
        <w:tab w:val="right" w:pos="9026"/>
      </w:tabs>
    </w:pPr>
  </w:style>
  <w:style w:type="character" w:customStyle="1" w:styleId="HeaderChar">
    <w:name w:val="Header Char"/>
    <w:aliases w:val="Header MFAT Char"/>
    <w:basedOn w:val="DefaultParagraphFont"/>
    <w:link w:val="Header"/>
    <w:uiPriority w:val="99"/>
    <w:rsid w:val="00DF126C"/>
  </w:style>
  <w:style w:type="paragraph" w:styleId="Footer">
    <w:name w:val="footer"/>
    <w:aliases w:val="Footer MFAT"/>
    <w:basedOn w:val="Normal"/>
    <w:link w:val="FooterChar"/>
    <w:uiPriority w:val="99"/>
    <w:unhideWhenUsed/>
    <w:rsid w:val="00DF126C"/>
    <w:pPr>
      <w:tabs>
        <w:tab w:val="center" w:pos="4513"/>
        <w:tab w:val="right" w:pos="9026"/>
      </w:tabs>
    </w:pPr>
  </w:style>
  <w:style w:type="character" w:customStyle="1" w:styleId="FooterChar">
    <w:name w:val="Footer Char"/>
    <w:aliases w:val="Footer MFAT Char"/>
    <w:basedOn w:val="DefaultParagraphFont"/>
    <w:link w:val="Footer"/>
    <w:uiPriority w:val="99"/>
    <w:rsid w:val="00DF126C"/>
  </w:style>
  <w:style w:type="character" w:customStyle="1" w:styleId="Heading1Char">
    <w:name w:val="Heading 1 Char"/>
    <w:basedOn w:val="DefaultParagraphFont"/>
    <w:link w:val="Heading1"/>
    <w:uiPriority w:val="99"/>
    <w:rsid w:val="00007F70"/>
    <w:rPr>
      <w:rFonts w:ascii="Arial" w:eastAsia="Times New Roman" w:hAnsi="Arial" w:cs="Times New Roman"/>
      <w:b/>
      <w:bCs/>
      <w:sz w:val="34"/>
      <w:szCs w:val="36"/>
    </w:rPr>
  </w:style>
  <w:style w:type="character" w:customStyle="1" w:styleId="Heading2Char">
    <w:name w:val="Heading 2 Char"/>
    <w:basedOn w:val="DefaultParagraphFont"/>
    <w:link w:val="Heading2"/>
    <w:uiPriority w:val="99"/>
    <w:rsid w:val="00007F70"/>
    <w:rPr>
      <w:rFonts w:ascii="Arial" w:eastAsia="Times New Roman" w:hAnsi="Arial" w:cs="Times New Roman"/>
      <w:b/>
      <w:bCs/>
      <w:sz w:val="36"/>
      <w:szCs w:val="24"/>
      <w:lang w:val="en-US"/>
    </w:rPr>
  </w:style>
  <w:style w:type="paragraph" w:styleId="ListParagraph">
    <w:name w:val="List Paragraph"/>
    <w:basedOn w:val="Normal"/>
    <w:uiPriority w:val="99"/>
    <w:qFormat/>
    <w:rsid w:val="00107EAF"/>
    <w:pPr>
      <w:widowControl/>
      <w:autoSpaceDE/>
      <w:autoSpaceDN/>
      <w:adjustRightInd/>
      <w:ind w:left="720"/>
      <w:contextualSpacing/>
    </w:pPr>
    <w:rPr>
      <w:rFonts w:asciiTheme="minorHAnsi" w:eastAsiaTheme="minorHAnsi" w:hAnsiTheme="minorHAnsi" w:cstheme="minorBidi"/>
      <w:sz w:val="22"/>
      <w:szCs w:val="22"/>
      <w:lang w:val="it-IT"/>
    </w:rPr>
  </w:style>
  <w:style w:type="character" w:styleId="FootnoteReference">
    <w:name w:val="footnote reference"/>
    <w:aliases w:val="stylish"/>
    <w:uiPriority w:val="99"/>
    <w:rsid w:val="00107EAF"/>
    <w:rPr>
      <w:vertAlign w:val="superscript"/>
    </w:rPr>
  </w:style>
  <w:style w:type="paragraph" w:styleId="FootnoteText">
    <w:name w:val="footnote text"/>
    <w:basedOn w:val="Normal"/>
    <w:link w:val="FootnoteTextChar"/>
    <w:uiPriority w:val="99"/>
    <w:unhideWhenUsed/>
    <w:rsid w:val="00107EAF"/>
    <w:pPr>
      <w:widowControl/>
      <w:autoSpaceDE/>
      <w:autoSpaceDN/>
      <w:adjustRightInd/>
    </w:pPr>
    <w:rPr>
      <w:rFonts w:asciiTheme="minorHAnsi" w:eastAsiaTheme="minorHAnsi" w:hAnsiTheme="minorHAnsi" w:cstheme="minorBidi"/>
      <w:sz w:val="20"/>
      <w:szCs w:val="20"/>
      <w:lang w:val="it-IT"/>
    </w:rPr>
  </w:style>
  <w:style w:type="character" w:customStyle="1" w:styleId="FootnoteTextChar">
    <w:name w:val="Footnote Text Char"/>
    <w:basedOn w:val="DefaultParagraphFont"/>
    <w:link w:val="FootnoteText"/>
    <w:uiPriority w:val="99"/>
    <w:rsid w:val="00107EAF"/>
    <w:rPr>
      <w:sz w:val="20"/>
      <w:szCs w:val="20"/>
      <w:lang w:val="it-IT"/>
    </w:rPr>
  </w:style>
  <w:style w:type="paragraph" w:customStyle="1" w:styleId="Default">
    <w:name w:val="Default"/>
    <w:uiPriority w:val="99"/>
    <w:rsid w:val="00B260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20689B"/>
    <w:rPr>
      <w:rFonts w:ascii="Segoe UI" w:hAnsi="Segoe UI" w:cs="Segoe UI"/>
      <w:szCs w:val="18"/>
    </w:rPr>
  </w:style>
  <w:style w:type="character" w:customStyle="1" w:styleId="BalloonTextChar">
    <w:name w:val="Balloon Text Char"/>
    <w:basedOn w:val="DefaultParagraphFont"/>
    <w:link w:val="BalloonText"/>
    <w:uiPriority w:val="99"/>
    <w:semiHidden/>
    <w:rsid w:val="0020689B"/>
    <w:rPr>
      <w:rFonts w:ascii="Segoe UI" w:eastAsia="Times New Roman" w:hAnsi="Segoe UI" w:cs="Segoe UI"/>
      <w:sz w:val="18"/>
      <w:szCs w:val="18"/>
      <w:lang w:val="en-US"/>
    </w:rPr>
  </w:style>
  <w:style w:type="character" w:styleId="CommentReference">
    <w:name w:val="annotation reference"/>
    <w:basedOn w:val="DefaultParagraphFont"/>
    <w:unhideWhenUsed/>
    <w:rsid w:val="00D96F4B"/>
    <w:rPr>
      <w:sz w:val="16"/>
      <w:szCs w:val="16"/>
    </w:rPr>
  </w:style>
  <w:style w:type="paragraph" w:styleId="CommentText">
    <w:name w:val="annotation text"/>
    <w:basedOn w:val="Normal"/>
    <w:link w:val="CommentTextChar"/>
    <w:unhideWhenUsed/>
    <w:rsid w:val="00D96F4B"/>
    <w:rPr>
      <w:sz w:val="20"/>
      <w:szCs w:val="20"/>
    </w:rPr>
  </w:style>
  <w:style w:type="character" w:customStyle="1" w:styleId="CommentTextChar">
    <w:name w:val="Comment Text Char"/>
    <w:basedOn w:val="DefaultParagraphFont"/>
    <w:link w:val="CommentText"/>
    <w:rsid w:val="00D96F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nhideWhenUsed/>
    <w:rsid w:val="00D96F4B"/>
    <w:rPr>
      <w:b/>
      <w:bCs/>
    </w:rPr>
  </w:style>
  <w:style w:type="character" w:customStyle="1" w:styleId="CommentSubjectChar">
    <w:name w:val="Comment Subject Char"/>
    <w:basedOn w:val="CommentTextChar"/>
    <w:link w:val="CommentSubject"/>
    <w:rsid w:val="00D96F4B"/>
    <w:rPr>
      <w:rFonts w:ascii="Arial" w:eastAsia="Times New Roman" w:hAnsi="Arial" w:cs="Times New Roman"/>
      <w:b/>
      <w:bCs/>
      <w:sz w:val="20"/>
      <w:szCs w:val="20"/>
      <w:lang w:val="en-US"/>
    </w:rPr>
  </w:style>
  <w:style w:type="character" w:customStyle="1" w:styleId="Heading3Char">
    <w:name w:val="Heading 3 Char"/>
    <w:basedOn w:val="DefaultParagraphFont"/>
    <w:link w:val="Heading3"/>
    <w:rsid w:val="001C6974"/>
    <w:rPr>
      <w:rFonts w:ascii="Times New Roman" w:eastAsia="MS Mincho" w:hAnsi="Times New Roman" w:cs="Times New Roman"/>
      <w:b/>
      <w:bCs/>
      <w:sz w:val="27"/>
      <w:szCs w:val="27"/>
      <w:lang w:val="en-US" w:eastAsia="ja-JP"/>
    </w:rPr>
  </w:style>
  <w:style w:type="character" w:customStyle="1" w:styleId="Heading4Char">
    <w:name w:val="Heading 4 Char"/>
    <w:basedOn w:val="DefaultParagraphFont"/>
    <w:link w:val="Heading4"/>
    <w:rsid w:val="001C6974"/>
    <w:rPr>
      <w:rFonts w:ascii="Times New Roman" w:eastAsia="Times New Roman" w:hAnsi="Times New Roman" w:cs="Times New Roman"/>
      <w:b/>
      <w:bCs/>
      <w:sz w:val="28"/>
      <w:szCs w:val="28"/>
      <w:lang w:eastAsia="en-GB"/>
    </w:rPr>
  </w:style>
  <w:style w:type="paragraph" w:styleId="NormalWeb">
    <w:name w:val="Normal (Web)"/>
    <w:basedOn w:val="Normal"/>
    <w:rsid w:val="001C6974"/>
    <w:pPr>
      <w:widowControl/>
      <w:autoSpaceDE/>
      <w:autoSpaceDN/>
      <w:adjustRightInd/>
      <w:spacing w:before="100" w:beforeAutospacing="1" w:after="100" w:afterAutospacing="1"/>
      <w:jc w:val="both"/>
    </w:pPr>
    <w:rPr>
      <w:rFonts w:ascii="Times New Roman" w:hAnsi="Times New Roman"/>
      <w:sz w:val="24"/>
      <w:lang w:eastAsia="en-GB"/>
    </w:rPr>
  </w:style>
  <w:style w:type="character" w:styleId="Strong">
    <w:name w:val="Strong"/>
    <w:qFormat/>
    <w:rsid w:val="001C6974"/>
    <w:rPr>
      <w:b/>
      <w:bCs/>
    </w:rPr>
  </w:style>
  <w:style w:type="character" w:customStyle="1" w:styleId="style371">
    <w:name w:val="style371"/>
    <w:rsid w:val="001C6974"/>
    <w:rPr>
      <w:b/>
      <w:bCs/>
      <w:sz w:val="24"/>
      <w:szCs w:val="24"/>
    </w:rPr>
  </w:style>
  <w:style w:type="character" w:customStyle="1" w:styleId="style411">
    <w:name w:val="style411"/>
    <w:rsid w:val="001C6974"/>
    <w:rPr>
      <w:rFonts w:ascii="Arial" w:hAnsi="Arial" w:cs="Arial" w:hint="default"/>
      <w:b/>
      <w:bCs/>
      <w:color w:val="999999"/>
      <w:sz w:val="24"/>
      <w:szCs w:val="24"/>
    </w:rPr>
  </w:style>
  <w:style w:type="character" w:customStyle="1" w:styleId="style391">
    <w:name w:val="style391"/>
    <w:rsid w:val="001C6974"/>
    <w:rPr>
      <w:rFonts w:ascii="Arial" w:hAnsi="Arial" w:cs="Arial" w:hint="default"/>
      <w:b/>
      <w:bCs/>
      <w:sz w:val="24"/>
      <w:szCs w:val="24"/>
    </w:rPr>
  </w:style>
  <w:style w:type="character" w:styleId="PageNumber">
    <w:name w:val="page number"/>
    <w:basedOn w:val="DefaultParagraphFont"/>
    <w:rsid w:val="001C6974"/>
  </w:style>
  <w:style w:type="character" w:customStyle="1" w:styleId="DavePritchard">
    <w:name w:val="Dave Pritchard"/>
    <w:semiHidden/>
    <w:rsid w:val="001C6974"/>
    <w:rPr>
      <w:rFonts w:ascii="Arial" w:hAnsi="Arial" w:cs="Arial"/>
      <w:color w:val="000080"/>
      <w:sz w:val="20"/>
      <w:szCs w:val="20"/>
    </w:rPr>
  </w:style>
  <w:style w:type="character" w:styleId="Emphasis">
    <w:name w:val="Emphasis"/>
    <w:uiPriority w:val="20"/>
    <w:qFormat/>
    <w:rsid w:val="001C6974"/>
    <w:rPr>
      <w:i/>
      <w:iCs/>
    </w:rPr>
  </w:style>
  <w:style w:type="paragraph" w:customStyle="1" w:styleId="Pa0">
    <w:name w:val="Pa0"/>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0">
    <w:name w:val="A0"/>
    <w:rsid w:val="001C6974"/>
    <w:rPr>
      <w:rFonts w:cs="Univers LT Std 55"/>
      <w:color w:val="000000"/>
      <w:sz w:val="80"/>
      <w:szCs w:val="80"/>
    </w:rPr>
  </w:style>
  <w:style w:type="character" w:customStyle="1" w:styleId="A4">
    <w:name w:val="A4"/>
    <w:rsid w:val="001C6974"/>
    <w:rPr>
      <w:rFonts w:cs="Univers LT Std 55"/>
      <w:color w:val="000000"/>
      <w:sz w:val="40"/>
      <w:szCs w:val="40"/>
    </w:rPr>
  </w:style>
  <w:style w:type="character" w:customStyle="1" w:styleId="A5">
    <w:name w:val="A5"/>
    <w:rsid w:val="001C6974"/>
    <w:rPr>
      <w:rFonts w:ascii="Univers LT Std 39 Thin UltraCn" w:hAnsi="Univers LT Std 39 Thin UltraCn" w:cs="Univers LT Std 39 Thin UltraCn"/>
      <w:color w:val="000000"/>
      <w:sz w:val="161"/>
      <w:szCs w:val="161"/>
    </w:rPr>
  </w:style>
  <w:style w:type="character" w:customStyle="1" w:styleId="A6">
    <w:name w:val="A6"/>
    <w:rsid w:val="001C6974"/>
    <w:rPr>
      <w:rFonts w:ascii="Univers LT Std 45 Light" w:hAnsi="Univers LT Std 45 Light" w:cs="Univers LT Std 45 Light"/>
      <w:color w:val="000000"/>
      <w:sz w:val="25"/>
      <w:szCs w:val="25"/>
    </w:rPr>
  </w:style>
  <w:style w:type="character" w:customStyle="1" w:styleId="A7">
    <w:name w:val="A7"/>
    <w:rsid w:val="001C6974"/>
    <w:rPr>
      <w:rFonts w:ascii="Univers LT Std 45 Light" w:hAnsi="Univers LT Std 45 Light" w:cs="Univers LT Std 45 Light"/>
      <w:color w:val="000000"/>
      <w:sz w:val="23"/>
      <w:szCs w:val="23"/>
    </w:rPr>
  </w:style>
  <w:style w:type="character" w:customStyle="1" w:styleId="A10">
    <w:name w:val="A10"/>
    <w:rsid w:val="001C6974"/>
    <w:rPr>
      <w:rFonts w:ascii="Edwardian Script ITC" w:hAnsi="Edwardian Script ITC" w:cs="Edwardian Script ITC"/>
      <w:color w:val="000000"/>
      <w:sz w:val="94"/>
      <w:szCs w:val="94"/>
    </w:rPr>
  </w:style>
  <w:style w:type="character" w:customStyle="1" w:styleId="A9">
    <w:name w:val="A9"/>
    <w:rsid w:val="001C6974"/>
    <w:rPr>
      <w:rFonts w:ascii="Univers LT Std 47 Cn Lt" w:hAnsi="Univers LT Std 47 Cn Lt" w:cs="Univers LT Std 47 Cn Lt"/>
      <w:color w:val="000000"/>
      <w:sz w:val="20"/>
      <w:szCs w:val="20"/>
    </w:rPr>
  </w:style>
  <w:style w:type="character" w:customStyle="1" w:styleId="A15">
    <w:name w:val="A15"/>
    <w:rsid w:val="001C6974"/>
    <w:rPr>
      <w:rFonts w:ascii="Edwardian Script ITC" w:hAnsi="Edwardian Script ITC" w:cs="Edwardian Script ITC"/>
      <w:color w:val="000000"/>
      <w:sz w:val="64"/>
      <w:szCs w:val="64"/>
    </w:rPr>
  </w:style>
  <w:style w:type="paragraph" w:customStyle="1" w:styleId="Pa1">
    <w:name w:val="Pa1"/>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16">
    <w:name w:val="A16"/>
    <w:rsid w:val="001C6974"/>
    <w:rPr>
      <w:rFonts w:ascii="Edwardian Script ITC" w:hAnsi="Edwardian Script ITC" w:cs="Edwardian Script ITC"/>
      <w:color w:val="000000"/>
      <w:sz w:val="72"/>
      <w:szCs w:val="72"/>
    </w:rPr>
  </w:style>
  <w:style w:type="character" w:customStyle="1" w:styleId="A17">
    <w:name w:val="A17"/>
    <w:rsid w:val="001C6974"/>
    <w:rPr>
      <w:rFonts w:ascii="Edwardian Script ITC" w:hAnsi="Edwardian Script ITC" w:cs="Edwardian Script ITC"/>
      <w:color w:val="000000"/>
      <w:sz w:val="56"/>
      <w:szCs w:val="56"/>
    </w:rPr>
  </w:style>
  <w:style w:type="paragraph" w:customStyle="1" w:styleId="Para1">
    <w:name w:val="Para1"/>
    <w:basedOn w:val="Normal"/>
    <w:rsid w:val="001C6974"/>
    <w:pPr>
      <w:widowControl/>
      <w:numPr>
        <w:numId w:val="1"/>
      </w:numPr>
      <w:autoSpaceDE/>
      <w:autoSpaceDN/>
      <w:adjustRightInd/>
      <w:spacing w:before="120" w:after="120"/>
      <w:jc w:val="both"/>
    </w:pPr>
    <w:rPr>
      <w:rFonts w:ascii="Times New Roman" w:hAnsi="Times New Roman"/>
      <w:snapToGrid w:val="0"/>
      <w:sz w:val="22"/>
      <w:szCs w:val="18"/>
      <w:lang w:val="en-GB"/>
    </w:rPr>
  </w:style>
  <w:style w:type="paragraph" w:styleId="BodyTextIndent3">
    <w:name w:val="Body Text Indent 3"/>
    <w:basedOn w:val="Normal"/>
    <w:link w:val="BodyTextIndent3Char"/>
    <w:rsid w:val="001C6974"/>
    <w:pPr>
      <w:widowControl/>
      <w:numPr>
        <w:ilvl w:val="2"/>
        <w:numId w:val="1"/>
      </w:numPr>
      <w:tabs>
        <w:tab w:val="clear" w:pos="1440"/>
      </w:tabs>
      <w:autoSpaceDE/>
      <w:autoSpaceDN/>
      <w:adjustRightInd/>
      <w:spacing w:before="120" w:after="120"/>
      <w:ind w:left="720" w:right="720" w:firstLine="0"/>
      <w:jc w:val="both"/>
    </w:pPr>
    <w:rPr>
      <w:rFonts w:ascii="Times New Roman" w:hAnsi="Times New Roman"/>
      <w:bCs/>
      <w:sz w:val="22"/>
      <w:lang w:val="en-GB"/>
    </w:rPr>
  </w:style>
  <w:style w:type="character" w:customStyle="1" w:styleId="BodyTextIndent3Char">
    <w:name w:val="Body Text Indent 3 Char"/>
    <w:basedOn w:val="DefaultParagraphFont"/>
    <w:link w:val="BodyTextIndent3"/>
    <w:rsid w:val="001C6974"/>
    <w:rPr>
      <w:rFonts w:ascii="Times New Roman" w:eastAsia="Times New Roman" w:hAnsi="Times New Roman" w:cs="Times New Roman"/>
      <w:bCs/>
      <w:szCs w:val="24"/>
    </w:rPr>
  </w:style>
  <w:style w:type="paragraph" w:styleId="BodyText3">
    <w:name w:val="Body Text 3"/>
    <w:basedOn w:val="Normal"/>
    <w:link w:val="BodyText3Char"/>
    <w:rsid w:val="001C6974"/>
    <w:pPr>
      <w:widowControl/>
      <w:autoSpaceDE/>
      <w:autoSpaceDN/>
      <w:adjustRightInd/>
      <w:spacing w:before="120" w:after="120"/>
      <w:jc w:val="both"/>
    </w:pPr>
    <w:rPr>
      <w:rFonts w:ascii="Times New Roman" w:hAnsi="Times New Roman"/>
      <w:sz w:val="22"/>
      <w:lang w:val="en-GB"/>
    </w:rPr>
  </w:style>
  <w:style w:type="character" w:customStyle="1" w:styleId="BodyText3Char">
    <w:name w:val="Body Text 3 Char"/>
    <w:basedOn w:val="DefaultParagraphFont"/>
    <w:link w:val="BodyText3"/>
    <w:rsid w:val="001C6974"/>
    <w:rPr>
      <w:rFonts w:ascii="Times New Roman" w:eastAsia="Times New Roman" w:hAnsi="Times New Roman" w:cs="Times New Roman"/>
      <w:szCs w:val="24"/>
    </w:rPr>
  </w:style>
  <w:style w:type="paragraph" w:customStyle="1" w:styleId="note">
    <w:name w:val="note"/>
    <w:basedOn w:val="Normal"/>
    <w:rsid w:val="001C6974"/>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hlbl">
    <w:name w:val="hlbl"/>
    <w:basedOn w:val="DefaultParagraphFont"/>
    <w:rsid w:val="001C6974"/>
  </w:style>
  <w:style w:type="table" w:styleId="TableGrid">
    <w:name w:val="Table Grid"/>
    <w:basedOn w:val="TableNormal"/>
    <w:uiPriority w:val="59"/>
    <w:rsid w:val="001C697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1C6974"/>
    <w:pPr>
      <w:widowControl/>
      <w:autoSpaceDE/>
      <w:autoSpaceDN/>
      <w:adjustRightInd/>
      <w:spacing w:after="200" w:line="276" w:lineRule="auto"/>
      <w:ind w:left="720"/>
      <w:contextualSpacing/>
    </w:pPr>
    <w:rPr>
      <w:rFonts w:ascii="Calibri" w:eastAsia="MS Mincho" w:hAnsi="Calibri"/>
      <w:sz w:val="22"/>
      <w:szCs w:val="22"/>
    </w:rPr>
  </w:style>
  <w:style w:type="character" w:customStyle="1" w:styleId="sharethispagetop1">
    <w:name w:val="sharethispagetop1"/>
    <w:rsid w:val="001C6974"/>
    <w:rPr>
      <w:rFonts w:ascii="Helvetica" w:hAnsi="Helvetica" w:hint="default"/>
      <w:i w:val="0"/>
      <w:iCs w:val="0"/>
      <w:strike w:val="0"/>
      <w:dstrike w:val="0"/>
      <w:color w:val="000000"/>
      <w:sz w:val="10"/>
      <w:szCs w:val="10"/>
      <w:u w:val="none"/>
      <w:effect w:val="none"/>
    </w:rPr>
  </w:style>
  <w:style w:type="character" w:customStyle="1" w:styleId="CharChar4">
    <w:name w:val="Char Char4"/>
    <w:rsid w:val="001C6974"/>
    <w:rPr>
      <w:rFonts w:ascii="Consolas" w:eastAsia="Calibri" w:hAnsi="Consolas"/>
      <w:sz w:val="21"/>
      <w:szCs w:val="21"/>
      <w:lang w:val="en-US" w:eastAsia="en-US" w:bidi="ar-SA"/>
    </w:rPr>
  </w:style>
  <w:style w:type="character" w:customStyle="1" w:styleId="tocnumber2">
    <w:name w:val="tocnumber2"/>
    <w:basedOn w:val="DefaultParagraphFont"/>
    <w:rsid w:val="001C6974"/>
  </w:style>
  <w:style w:type="character" w:customStyle="1" w:styleId="toctext">
    <w:name w:val="toctext"/>
    <w:basedOn w:val="DefaultParagraphFont"/>
    <w:rsid w:val="001C6974"/>
  </w:style>
  <w:style w:type="character" w:customStyle="1" w:styleId="mw-headline">
    <w:name w:val="mw-headline"/>
    <w:basedOn w:val="DefaultParagraphFont"/>
    <w:rsid w:val="001C6974"/>
  </w:style>
  <w:style w:type="character" w:customStyle="1" w:styleId="mw-editsection">
    <w:name w:val="mw-editsection"/>
    <w:basedOn w:val="DefaultParagraphFont"/>
    <w:rsid w:val="001C6974"/>
  </w:style>
  <w:style w:type="character" w:customStyle="1" w:styleId="mw-editsection-bracket">
    <w:name w:val="mw-editsection-bracket"/>
    <w:basedOn w:val="DefaultParagraphFont"/>
    <w:rsid w:val="001C6974"/>
  </w:style>
  <w:style w:type="paragraph" w:styleId="z-TopofForm">
    <w:name w:val="HTML Top of Form"/>
    <w:basedOn w:val="Normal"/>
    <w:next w:val="Normal"/>
    <w:link w:val="z-TopofFormChar"/>
    <w:hidden/>
    <w:rsid w:val="001C6974"/>
    <w:pPr>
      <w:widowControl/>
      <w:pBdr>
        <w:bottom w:val="single" w:sz="6" w:space="1" w:color="auto"/>
      </w:pBdr>
      <w:autoSpaceDE/>
      <w:autoSpaceDN/>
      <w:adjustRightInd/>
      <w:jc w:val="center"/>
    </w:pPr>
    <w:rPr>
      <w:rFonts w:eastAsia="MS Mincho" w:cs="Arial"/>
      <w:vanish/>
      <w:sz w:val="16"/>
      <w:szCs w:val="16"/>
      <w:lang w:eastAsia="ja-JP"/>
    </w:rPr>
  </w:style>
  <w:style w:type="character" w:customStyle="1" w:styleId="z-TopofFormChar">
    <w:name w:val="z-Top of Form Char"/>
    <w:basedOn w:val="DefaultParagraphFont"/>
    <w:link w:val="z-TopofForm"/>
    <w:rsid w:val="001C6974"/>
    <w:rPr>
      <w:rFonts w:ascii="Arial" w:eastAsia="MS Mincho" w:hAnsi="Arial" w:cs="Arial"/>
      <w:vanish/>
      <w:sz w:val="16"/>
      <w:szCs w:val="16"/>
      <w:lang w:val="en-US" w:eastAsia="ja-JP"/>
    </w:rPr>
  </w:style>
  <w:style w:type="paragraph" w:styleId="z-BottomofForm">
    <w:name w:val="HTML Bottom of Form"/>
    <w:basedOn w:val="Normal"/>
    <w:next w:val="Normal"/>
    <w:link w:val="z-BottomofFormChar"/>
    <w:hidden/>
    <w:rsid w:val="001C6974"/>
    <w:pPr>
      <w:widowControl/>
      <w:pBdr>
        <w:top w:val="single" w:sz="6" w:space="1" w:color="auto"/>
      </w:pBdr>
      <w:autoSpaceDE/>
      <w:autoSpaceDN/>
      <w:adjustRightInd/>
      <w:jc w:val="center"/>
    </w:pPr>
    <w:rPr>
      <w:rFonts w:eastAsia="MS Mincho" w:cs="Arial"/>
      <w:vanish/>
      <w:sz w:val="16"/>
      <w:szCs w:val="16"/>
      <w:lang w:eastAsia="ja-JP"/>
    </w:rPr>
  </w:style>
  <w:style w:type="character" w:customStyle="1" w:styleId="z-BottomofFormChar">
    <w:name w:val="z-Bottom of Form Char"/>
    <w:basedOn w:val="DefaultParagraphFont"/>
    <w:link w:val="z-BottomofForm"/>
    <w:rsid w:val="001C6974"/>
    <w:rPr>
      <w:rFonts w:ascii="Arial" w:eastAsia="MS Mincho" w:hAnsi="Arial" w:cs="Arial"/>
      <w:vanish/>
      <w:sz w:val="16"/>
      <w:szCs w:val="16"/>
      <w:lang w:val="en-US" w:eastAsia="ja-JP"/>
    </w:rPr>
  </w:style>
  <w:style w:type="character" w:customStyle="1" w:styleId="shorttext">
    <w:name w:val="short_text"/>
    <w:rsid w:val="001C6974"/>
    <w:rPr>
      <w:rFonts w:cs="Times New Roman"/>
    </w:rPr>
  </w:style>
  <w:style w:type="character" w:customStyle="1" w:styleId="hps">
    <w:name w:val="hps"/>
    <w:rsid w:val="001C6974"/>
    <w:rPr>
      <w:rFonts w:cs="Times New Roman"/>
    </w:rPr>
  </w:style>
  <w:style w:type="character" w:customStyle="1" w:styleId="Normal1">
    <w:name w:val="Normal1"/>
    <w:basedOn w:val="DefaultParagraphFont"/>
    <w:rsid w:val="001C6974"/>
  </w:style>
  <w:style w:type="character" w:customStyle="1" w:styleId="st">
    <w:name w:val="st"/>
    <w:rsid w:val="001C6974"/>
  </w:style>
  <w:style w:type="character" w:customStyle="1" w:styleId="Mention1">
    <w:name w:val="Mention1"/>
    <w:basedOn w:val="DefaultParagraphFont"/>
    <w:uiPriority w:val="99"/>
    <w:semiHidden/>
    <w:unhideWhenUsed/>
    <w:rsid w:val="00520EB8"/>
    <w:rPr>
      <w:color w:val="2B579A"/>
      <w:shd w:val="clear" w:color="auto" w:fill="E6E6E6"/>
    </w:rPr>
  </w:style>
  <w:style w:type="character" w:customStyle="1" w:styleId="Mention2">
    <w:name w:val="Mention2"/>
    <w:basedOn w:val="DefaultParagraphFont"/>
    <w:uiPriority w:val="99"/>
    <w:semiHidden/>
    <w:unhideWhenUsed/>
    <w:rsid w:val="00B777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8264">
      <w:bodyDiv w:val="1"/>
      <w:marLeft w:val="0"/>
      <w:marRight w:val="0"/>
      <w:marTop w:val="0"/>
      <w:marBottom w:val="0"/>
      <w:divBdr>
        <w:top w:val="none" w:sz="0" w:space="0" w:color="auto"/>
        <w:left w:val="none" w:sz="0" w:space="0" w:color="auto"/>
        <w:bottom w:val="none" w:sz="0" w:space="0" w:color="auto"/>
        <w:right w:val="none" w:sz="0" w:space="0" w:color="auto"/>
      </w:divBdr>
    </w:div>
    <w:div w:id="400955992">
      <w:bodyDiv w:val="1"/>
      <w:marLeft w:val="0"/>
      <w:marRight w:val="0"/>
      <w:marTop w:val="0"/>
      <w:marBottom w:val="0"/>
      <w:divBdr>
        <w:top w:val="none" w:sz="0" w:space="0" w:color="auto"/>
        <w:left w:val="none" w:sz="0" w:space="0" w:color="auto"/>
        <w:bottom w:val="none" w:sz="0" w:space="0" w:color="auto"/>
        <w:right w:val="none" w:sz="0" w:space="0" w:color="auto"/>
      </w:divBdr>
      <w:divsChild>
        <w:div w:id="218367974">
          <w:marLeft w:val="0"/>
          <w:marRight w:val="0"/>
          <w:marTop w:val="0"/>
          <w:marBottom w:val="0"/>
          <w:divBdr>
            <w:top w:val="none" w:sz="0" w:space="0" w:color="auto"/>
            <w:left w:val="none" w:sz="0" w:space="0" w:color="auto"/>
            <w:bottom w:val="none" w:sz="0" w:space="0" w:color="auto"/>
            <w:right w:val="none" w:sz="0" w:space="0" w:color="auto"/>
          </w:divBdr>
        </w:div>
        <w:div w:id="447703765">
          <w:marLeft w:val="0"/>
          <w:marRight w:val="0"/>
          <w:marTop w:val="0"/>
          <w:marBottom w:val="0"/>
          <w:divBdr>
            <w:top w:val="none" w:sz="0" w:space="0" w:color="auto"/>
            <w:left w:val="none" w:sz="0" w:space="0" w:color="auto"/>
            <w:bottom w:val="none" w:sz="0" w:space="0" w:color="auto"/>
            <w:right w:val="none" w:sz="0" w:space="0" w:color="auto"/>
          </w:divBdr>
        </w:div>
        <w:div w:id="1122311314">
          <w:marLeft w:val="0"/>
          <w:marRight w:val="0"/>
          <w:marTop w:val="0"/>
          <w:marBottom w:val="0"/>
          <w:divBdr>
            <w:top w:val="none" w:sz="0" w:space="0" w:color="auto"/>
            <w:left w:val="none" w:sz="0" w:space="0" w:color="auto"/>
            <w:bottom w:val="none" w:sz="0" w:space="0" w:color="auto"/>
            <w:right w:val="none" w:sz="0" w:space="0" w:color="auto"/>
          </w:divBdr>
        </w:div>
        <w:div w:id="1698655538">
          <w:marLeft w:val="0"/>
          <w:marRight w:val="0"/>
          <w:marTop w:val="0"/>
          <w:marBottom w:val="0"/>
          <w:divBdr>
            <w:top w:val="none" w:sz="0" w:space="0" w:color="auto"/>
            <w:left w:val="none" w:sz="0" w:space="0" w:color="auto"/>
            <w:bottom w:val="none" w:sz="0" w:space="0" w:color="auto"/>
            <w:right w:val="none" w:sz="0" w:space="0" w:color="auto"/>
          </w:divBdr>
        </w:div>
        <w:div w:id="2003267741">
          <w:marLeft w:val="0"/>
          <w:marRight w:val="0"/>
          <w:marTop w:val="0"/>
          <w:marBottom w:val="0"/>
          <w:divBdr>
            <w:top w:val="none" w:sz="0" w:space="0" w:color="auto"/>
            <w:left w:val="none" w:sz="0" w:space="0" w:color="auto"/>
            <w:bottom w:val="none" w:sz="0" w:space="0" w:color="auto"/>
            <w:right w:val="none" w:sz="0" w:space="0" w:color="auto"/>
          </w:divBdr>
        </w:div>
      </w:divsChild>
    </w:div>
    <w:div w:id="521667778">
      <w:bodyDiv w:val="1"/>
      <w:marLeft w:val="0"/>
      <w:marRight w:val="0"/>
      <w:marTop w:val="0"/>
      <w:marBottom w:val="0"/>
      <w:divBdr>
        <w:top w:val="none" w:sz="0" w:space="0" w:color="auto"/>
        <w:left w:val="none" w:sz="0" w:space="0" w:color="auto"/>
        <w:bottom w:val="none" w:sz="0" w:space="0" w:color="auto"/>
        <w:right w:val="none" w:sz="0" w:space="0" w:color="auto"/>
      </w:divBdr>
    </w:div>
    <w:div w:id="1351298936">
      <w:bodyDiv w:val="1"/>
      <w:marLeft w:val="0"/>
      <w:marRight w:val="0"/>
      <w:marTop w:val="0"/>
      <w:marBottom w:val="0"/>
      <w:divBdr>
        <w:top w:val="none" w:sz="0" w:space="0" w:color="auto"/>
        <w:left w:val="none" w:sz="0" w:space="0" w:color="auto"/>
        <w:bottom w:val="none" w:sz="0" w:space="0" w:color="auto"/>
        <w:right w:val="none" w:sz="0" w:space="0" w:color="auto"/>
      </w:divBdr>
    </w:div>
    <w:div w:id="1568687931">
      <w:bodyDiv w:val="1"/>
      <w:marLeft w:val="0"/>
      <w:marRight w:val="0"/>
      <w:marTop w:val="0"/>
      <w:marBottom w:val="0"/>
      <w:divBdr>
        <w:top w:val="none" w:sz="0" w:space="0" w:color="auto"/>
        <w:left w:val="none" w:sz="0" w:space="0" w:color="auto"/>
        <w:bottom w:val="none" w:sz="0" w:space="0" w:color="auto"/>
        <w:right w:val="none" w:sz="0" w:space="0" w:color="auto"/>
      </w:divBdr>
      <w:divsChild>
        <w:div w:id="1372223513">
          <w:marLeft w:val="0"/>
          <w:marRight w:val="0"/>
          <w:marTop w:val="0"/>
          <w:marBottom w:val="0"/>
          <w:divBdr>
            <w:top w:val="none" w:sz="0" w:space="0" w:color="auto"/>
            <w:left w:val="none" w:sz="0" w:space="0" w:color="auto"/>
            <w:bottom w:val="none" w:sz="0" w:space="0" w:color="auto"/>
            <w:right w:val="none" w:sz="0" w:space="0" w:color="auto"/>
          </w:divBdr>
        </w:div>
        <w:div w:id="1942375191">
          <w:marLeft w:val="0"/>
          <w:marRight w:val="0"/>
          <w:marTop w:val="0"/>
          <w:marBottom w:val="0"/>
          <w:divBdr>
            <w:top w:val="none" w:sz="0" w:space="0" w:color="auto"/>
            <w:left w:val="none" w:sz="0" w:space="0" w:color="auto"/>
            <w:bottom w:val="none" w:sz="0" w:space="0" w:color="auto"/>
            <w:right w:val="none" w:sz="0" w:space="0" w:color="auto"/>
          </w:divBdr>
        </w:div>
      </w:divsChild>
    </w:div>
    <w:div w:id="1809321057">
      <w:bodyDiv w:val="1"/>
      <w:marLeft w:val="0"/>
      <w:marRight w:val="0"/>
      <w:marTop w:val="0"/>
      <w:marBottom w:val="0"/>
      <w:divBdr>
        <w:top w:val="none" w:sz="0" w:space="0" w:color="auto"/>
        <w:left w:val="none" w:sz="0" w:space="0" w:color="auto"/>
        <w:bottom w:val="none" w:sz="0" w:space="0" w:color="auto"/>
        <w:right w:val="none" w:sz="0" w:space="0" w:color="auto"/>
      </w:divBdr>
      <w:divsChild>
        <w:div w:id="1063482925">
          <w:marLeft w:val="0"/>
          <w:marRight w:val="0"/>
          <w:marTop w:val="0"/>
          <w:marBottom w:val="0"/>
          <w:divBdr>
            <w:top w:val="none" w:sz="0" w:space="0" w:color="auto"/>
            <w:left w:val="none" w:sz="0" w:space="0" w:color="auto"/>
            <w:bottom w:val="none" w:sz="0" w:space="0" w:color="auto"/>
            <w:right w:val="none" w:sz="0" w:space="0" w:color="auto"/>
          </w:divBdr>
        </w:div>
        <w:div w:id="1195579145">
          <w:marLeft w:val="0"/>
          <w:marRight w:val="0"/>
          <w:marTop w:val="0"/>
          <w:marBottom w:val="0"/>
          <w:divBdr>
            <w:top w:val="none" w:sz="0" w:space="0" w:color="auto"/>
            <w:left w:val="none" w:sz="0" w:space="0" w:color="auto"/>
            <w:bottom w:val="none" w:sz="0" w:space="0" w:color="auto"/>
            <w:right w:val="none" w:sz="0" w:space="0" w:color="auto"/>
          </w:divBdr>
        </w:div>
        <w:div w:id="1319337910">
          <w:marLeft w:val="0"/>
          <w:marRight w:val="0"/>
          <w:marTop w:val="0"/>
          <w:marBottom w:val="0"/>
          <w:divBdr>
            <w:top w:val="none" w:sz="0" w:space="0" w:color="auto"/>
            <w:left w:val="none" w:sz="0" w:space="0" w:color="auto"/>
            <w:bottom w:val="none" w:sz="0" w:space="0" w:color="auto"/>
            <w:right w:val="none" w:sz="0" w:space="0" w:color="auto"/>
          </w:divBdr>
        </w:div>
        <w:div w:id="251623213">
          <w:marLeft w:val="0"/>
          <w:marRight w:val="0"/>
          <w:marTop w:val="0"/>
          <w:marBottom w:val="0"/>
          <w:divBdr>
            <w:top w:val="none" w:sz="0" w:space="0" w:color="auto"/>
            <w:left w:val="none" w:sz="0" w:space="0" w:color="auto"/>
            <w:bottom w:val="none" w:sz="0" w:space="0" w:color="auto"/>
            <w:right w:val="none" w:sz="0" w:space="0" w:color="auto"/>
          </w:divBdr>
        </w:div>
        <w:div w:id="555893344">
          <w:marLeft w:val="0"/>
          <w:marRight w:val="0"/>
          <w:marTop w:val="0"/>
          <w:marBottom w:val="0"/>
          <w:divBdr>
            <w:top w:val="none" w:sz="0" w:space="0" w:color="auto"/>
            <w:left w:val="none" w:sz="0" w:space="0" w:color="auto"/>
            <w:bottom w:val="none" w:sz="0" w:space="0" w:color="auto"/>
            <w:right w:val="none" w:sz="0" w:space="0" w:color="auto"/>
          </w:divBdr>
        </w:div>
      </w:divsChild>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cms.int/en/strategic-plan/companion-volume" TargetMode="Externa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CF73-FE64-4D8C-A303-259D0FBF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18550</Words>
  <Characters>105735</Characters>
  <Application>Microsoft Office Word</Application>
  <DocSecurity>0</DocSecurity>
  <Lines>881</Lines>
  <Paragraphs>248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CMS Secretariat</cp:lastModifiedBy>
  <cp:revision>2</cp:revision>
  <cp:lastPrinted>2017-08-22T14:37:00Z</cp:lastPrinted>
  <dcterms:created xsi:type="dcterms:W3CDTF">2017-08-23T11:37:00Z</dcterms:created>
  <dcterms:modified xsi:type="dcterms:W3CDTF">2017-08-23T11:37:00Z</dcterms:modified>
</cp:coreProperties>
</file>