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02557" w14:textId="77777777" w:rsidR="00682B31" w:rsidRPr="00682B31" w:rsidRDefault="00682B31" w:rsidP="00682B31">
      <w:pPr>
        <w:tabs>
          <w:tab w:val="left" w:pos="-1057"/>
          <w:tab w:val="left" w:pos="-720"/>
        </w:tabs>
        <w:ind w:left="-90"/>
        <w:rPr>
          <w:rFonts w:cs="Arial"/>
          <w:spacing w:val="-8"/>
          <w:sz w:val="12"/>
          <w:szCs w:val="12"/>
          <w:lang w:val="en-GB"/>
        </w:rPr>
      </w:pPr>
    </w:p>
    <w:p w14:paraId="0A0AC6BB" w14:textId="77777777" w:rsidR="005D7927" w:rsidRPr="001360AD" w:rsidRDefault="005D7927" w:rsidP="005D7927">
      <w:pPr>
        <w:tabs>
          <w:tab w:val="left" w:pos="-1057"/>
          <w:tab w:val="left" w:pos="-720"/>
        </w:tabs>
        <w:ind w:left="-90"/>
        <w:rPr>
          <w:rFonts w:cs="Arial"/>
          <w:sz w:val="22"/>
          <w:szCs w:val="22"/>
          <w:lang w:val="es-ES_tradnl"/>
        </w:rPr>
      </w:pPr>
      <w:r w:rsidRPr="001360AD">
        <w:rPr>
          <w:rFonts w:cs="Arial"/>
          <w:sz w:val="22"/>
          <w:szCs w:val="22"/>
          <w:lang w:val="es-ES_tradnl"/>
        </w:rPr>
        <w:t>12</w:t>
      </w:r>
      <w:r w:rsidRPr="001360AD">
        <w:rPr>
          <w:rFonts w:cs="Arial"/>
          <w:sz w:val="22"/>
          <w:szCs w:val="22"/>
          <w:vertAlign w:val="superscript"/>
          <w:lang w:val="es-ES_tradnl"/>
        </w:rPr>
        <w:t>a</w:t>
      </w:r>
      <w:r w:rsidRPr="001360AD">
        <w:rPr>
          <w:rFonts w:cs="Arial"/>
          <w:sz w:val="22"/>
          <w:szCs w:val="22"/>
          <w:lang w:val="es-ES_tradnl"/>
        </w:rPr>
        <w:t xml:space="preserve"> REUNIÓN DE LA CONFERENCIA DE LAS PARTES</w:t>
      </w:r>
    </w:p>
    <w:p w14:paraId="5A76B69E" w14:textId="77777777" w:rsidR="005D7927" w:rsidRPr="001360AD" w:rsidRDefault="005D7927" w:rsidP="005D7927">
      <w:pPr>
        <w:pStyle w:val="Heading2"/>
        <w:keepNext w:val="0"/>
        <w:spacing w:line="228" w:lineRule="auto"/>
        <w:ind w:left="-90"/>
        <w:rPr>
          <w:rFonts w:cs="Arial"/>
          <w:b w:val="0"/>
          <w:bCs w:val="0"/>
          <w:sz w:val="22"/>
          <w:szCs w:val="22"/>
          <w:lang w:val="es-ES_tradnl"/>
        </w:rPr>
      </w:pPr>
      <w:r w:rsidRPr="001360AD">
        <w:rPr>
          <w:rFonts w:cs="Arial"/>
          <w:b w:val="0"/>
          <w:sz w:val="22"/>
          <w:szCs w:val="22"/>
          <w:lang w:val="es-ES_tradnl"/>
        </w:rPr>
        <w:t>Manila, Filipinas, 23 - 28 octubre 2017</w:t>
      </w:r>
    </w:p>
    <w:p w14:paraId="1748BE91" w14:textId="287010EE" w:rsidR="005D7927" w:rsidRPr="001360AD" w:rsidRDefault="005D7927" w:rsidP="005D7927">
      <w:pPr>
        <w:spacing w:line="228" w:lineRule="auto"/>
        <w:ind w:left="-90"/>
        <w:rPr>
          <w:rFonts w:cs="Arial"/>
          <w:iCs/>
          <w:sz w:val="22"/>
          <w:szCs w:val="22"/>
          <w:lang w:val="es-ES_tradnl"/>
        </w:rPr>
      </w:pPr>
      <w:r>
        <w:rPr>
          <w:rFonts w:cs="Arial"/>
          <w:iCs/>
          <w:sz w:val="22"/>
          <w:szCs w:val="22"/>
          <w:lang w:val="es-ES_tradnl"/>
        </w:rPr>
        <w:t>Punto 14.3</w:t>
      </w:r>
      <w:r w:rsidRPr="001360AD">
        <w:rPr>
          <w:rFonts w:cs="Arial"/>
          <w:iCs/>
          <w:sz w:val="22"/>
          <w:szCs w:val="22"/>
          <w:lang w:val="es-ES_tradnl"/>
        </w:rPr>
        <w:t xml:space="preserve"> del orden del día</w:t>
      </w:r>
    </w:p>
    <w:p w14:paraId="7031F7AF" w14:textId="6E464F47" w:rsidR="0081600F" w:rsidRPr="00E07841" w:rsidRDefault="0081600F" w:rsidP="009E72D7">
      <w:pPr>
        <w:spacing w:line="228" w:lineRule="auto"/>
        <w:rPr>
          <w:rFonts w:cs="Arial"/>
          <w:sz w:val="22"/>
          <w:szCs w:val="22"/>
          <w:lang w:val="es-ES"/>
        </w:rPr>
      </w:pPr>
    </w:p>
    <w:p w14:paraId="2F1B5F58" w14:textId="77777777" w:rsidR="00845BEF" w:rsidRPr="00420040" w:rsidRDefault="00845BEF" w:rsidP="009E72D7">
      <w:pPr>
        <w:spacing w:line="228" w:lineRule="auto"/>
        <w:rPr>
          <w:rFonts w:cs="Arial"/>
          <w:iCs/>
          <w:sz w:val="22"/>
          <w:szCs w:val="22"/>
          <w:lang w:val="pt-PT"/>
        </w:rPr>
      </w:pP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45BEF" w:rsidRPr="002F6F9B" w14:paraId="4D1F7D50" w14:textId="77777777" w:rsidTr="00047C1E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55011AC8" w14:textId="77777777" w:rsidR="00845BEF" w:rsidRPr="00FA61AF" w:rsidRDefault="00845BEF" w:rsidP="00047C1E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cs="Arial"/>
                <w:sz w:val="22"/>
                <w:szCs w:val="22"/>
                <w:lang w:val="en-GB"/>
              </w:rPr>
            </w:pPr>
            <w:r w:rsidRPr="00992727">
              <w:rPr>
                <w:rFonts w:cs="Arial"/>
                <w:b/>
                <w:sz w:val="28"/>
                <w:szCs w:val="28"/>
                <w:lang w:val="es-ES"/>
              </w:rPr>
              <w:tab/>
            </w:r>
            <w:r w:rsidRPr="00992727">
              <w:rPr>
                <w:rFonts w:cs="Arial"/>
                <w:b/>
                <w:sz w:val="28"/>
                <w:szCs w:val="28"/>
                <w:lang w:val="es-ES"/>
              </w:rPr>
              <w:tab/>
            </w:r>
            <w:r w:rsidRPr="00992727">
              <w:rPr>
                <w:rFonts w:cs="Arial"/>
                <w:b/>
                <w:sz w:val="28"/>
                <w:szCs w:val="28"/>
                <w:lang w:val="es-ES"/>
              </w:rPr>
              <w:tab/>
            </w:r>
            <w:r w:rsidRPr="00992727">
              <w:rPr>
                <w:rFonts w:cs="Arial"/>
                <w:b/>
                <w:sz w:val="28"/>
                <w:szCs w:val="28"/>
                <w:lang w:val="es-ES"/>
              </w:rPr>
              <w:tab/>
            </w:r>
            <w:r w:rsidRPr="002F6F9B">
              <w:rPr>
                <w:rFonts w:cs="Arial"/>
                <w:b/>
                <w:sz w:val="28"/>
                <w:szCs w:val="28"/>
                <w:lang w:val="en-GB"/>
              </w:rPr>
              <w:t>CMS</w:t>
            </w:r>
          </w:p>
          <w:p w14:paraId="266D6098" w14:textId="77777777" w:rsidR="00845BEF" w:rsidRPr="002F6F9B" w:rsidRDefault="00845BEF" w:rsidP="00047C1E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072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845BEF" w:rsidRPr="00E07841" w14:paraId="62F5C94F" w14:textId="77777777" w:rsidTr="00047C1E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4C173496" w14:textId="77777777" w:rsidR="00845BEF" w:rsidRPr="00682B31" w:rsidRDefault="00845BEF" w:rsidP="00047C1E">
            <w:pPr>
              <w:rPr>
                <w:rFonts w:cs="Arial"/>
                <w:sz w:val="22"/>
                <w:szCs w:val="22"/>
                <w:lang w:val="en-GB"/>
              </w:rPr>
            </w:pPr>
            <w:r w:rsidRPr="00682B31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0A38CCFF" wp14:editId="401CF853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49461F" w14:textId="77777777" w:rsidR="00845BEF" w:rsidRPr="00682B31" w:rsidRDefault="00845BEF" w:rsidP="00047C1E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6313CEC1" w14:textId="77777777" w:rsidR="00845BEF" w:rsidRPr="00FF3BCB" w:rsidRDefault="00845BEF" w:rsidP="00047C1E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 w:val="0"/>
                <w:bCs w:val="0"/>
                <w:sz w:val="12"/>
                <w:szCs w:val="12"/>
                <w:lang w:val="es-ES_tradnl"/>
              </w:rPr>
            </w:pPr>
          </w:p>
          <w:p w14:paraId="09EFA47F" w14:textId="77777777" w:rsidR="00845BEF" w:rsidRPr="00FF3BCB" w:rsidRDefault="00845BEF" w:rsidP="00047C1E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Cs w:val="0"/>
                <w:sz w:val="28"/>
                <w:szCs w:val="28"/>
                <w:lang w:val="es-ES_tradnl"/>
              </w:rPr>
            </w:pPr>
            <w:r w:rsidRPr="00FF3BCB">
              <w:rPr>
                <w:rFonts w:cs="Arial"/>
                <w:bCs w:val="0"/>
                <w:sz w:val="28"/>
                <w:szCs w:val="28"/>
                <w:lang w:val="es-ES_tradnl"/>
              </w:rPr>
              <w:t>CONVENCIÓN SOBRE</w:t>
            </w:r>
          </w:p>
          <w:p w14:paraId="49866292" w14:textId="77777777" w:rsidR="00845BEF" w:rsidRPr="00FF3BCB" w:rsidRDefault="00845BEF" w:rsidP="00047C1E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Cs w:val="0"/>
                <w:sz w:val="28"/>
                <w:szCs w:val="28"/>
                <w:lang w:val="es-ES_tradnl"/>
              </w:rPr>
            </w:pPr>
            <w:r w:rsidRPr="00FF3BCB">
              <w:rPr>
                <w:rFonts w:cs="Arial"/>
                <w:bCs w:val="0"/>
                <w:sz w:val="28"/>
                <w:szCs w:val="28"/>
                <w:lang w:val="es-ES_tradnl"/>
              </w:rPr>
              <w:t>LAS ESPECIES</w:t>
            </w:r>
          </w:p>
          <w:p w14:paraId="43804AFD" w14:textId="77777777" w:rsidR="00845BEF" w:rsidRPr="00FF3BCB" w:rsidRDefault="00845BEF" w:rsidP="00047C1E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cs="Arial"/>
                <w:b w:val="0"/>
                <w:bCs w:val="0"/>
                <w:sz w:val="22"/>
                <w:szCs w:val="22"/>
                <w:lang w:val="es-ES_tradnl"/>
              </w:rPr>
            </w:pPr>
            <w:r w:rsidRPr="00FF3BCB">
              <w:rPr>
                <w:rFonts w:cs="Arial"/>
                <w:bCs w:val="0"/>
                <w:sz w:val="28"/>
                <w:szCs w:val="28"/>
                <w:lang w:val="es-ES_tradnl"/>
              </w:rPr>
              <w:t>MIGRATORIAS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2BC99E7C" w14:textId="77777777" w:rsidR="00845BEF" w:rsidRPr="00FF3BCB" w:rsidRDefault="00845BEF" w:rsidP="00047C1E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12"/>
                <w:szCs w:val="12"/>
                <w:lang w:val="es-ES_tradnl"/>
              </w:rPr>
            </w:pPr>
          </w:p>
          <w:p w14:paraId="70D1B4F7" w14:textId="77777777" w:rsidR="00845BEF" w:rsidRPr="00FF3BCB" w:rsidRDefault="00845BEF" w:rsidP="00047C1E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2"/>
                <w:szCs w:val="22"/>
                <w:lang w:val="es-ES_tradnl"/>
              </w:rPr>
            </w:pPr>
            <w:r w:rsidRPr="00FF3BCB">
              <w:rPr>
                <w:rFonts w:cs="Arial"/>
                <w:sz w:val="22"/>
                <w:szCs w:val="22"/>
                <w:lang w:val="es-ES_tradnl"/>
              </w:rPr>
              <w:t>Distribución: General</w:t>
            </w:r>
          </w:p>
          <w:p w14:paraId="3818513B" w14:textId="77777777" w:rsidR="00845BEF" w:rsidRPr="00FF3BCB" w:rsidRDefault="00845BEF" w:rsidP="00047C1E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12"/>
                <w:szCs w:val="12"/>
                <w:lang w:val="es-ES_tradnl"/>
              </w:rPr>
            </w:pPr>
          </w:p>
          <w:p w14:paraId="17F114AF" w14:textId="7828A6C2" w:rsidR="00845BEF" w:rsidRPr="00FF3BCB" w:rsidRDefault="00845BEF" w:rsidP="00047C1E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2"/>
                <w:szCs w:val="22"/>
                <w:lang w:val="es-ES_tradnl"/>
              </w:rPr>
            </w:pPr>
            <w:r w:rsidRPr="00FF3BCB">
              <w:rPr>
                <w:rFonts w:cs="Arial"/>
                <w:sz w:val="22"/>
                <w:szCs w:val="22"/>
                <w:lang w:val="es-ES_tradnl"/>
              </w:rPr>
              <w:t>UNEP/CMS/COP12/Doc.</w:t>
            </w:r>
            <w:r>
              <w:rPr>
                <w:rFonts w:cs="Arial"/>
                <w:sz w:val="22"/>
                <w:szCs w:val="22"/>
                <w:lang w:val="es-ES_tradnl"/>
              </w:rPr>
              <w:t>14.3</w:t>
            </w:r>
          </w:p>
          <w:p w14:paraId="16B345A8" w14:textId="0512F389" w:rsidR="00845BEF" w:rsidRPr="00FF3BCB" w:rsidRDefault="00E07841" w:rsidP="00047C1E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22"/>
                <w:szCs w:val="22"/>
                <w:lang w:val="es-ES_tradnl"/>
              </w:rPr>
            </w:pPr>
            <w:r w:rsidRPr="00E07841">
              <w:rPr>
                <w:rFonts w:cs="Arial"/>
                <w:sz w:val="22"/>
                <w:szCs w:val="22"/>
                <w:lang w:val="es-ES_tradnl"/>
              </w:rPr>
              <w:t xml:space="preserve">24 </w:t>
            </w:r>
            <w:r w:rsidR="00845BEF" w:rsidRPr="00E07841">
              <w:rPr>
                <w:rFonts w:cs="Arial"/>
                <w:sz w:val="22"/>
                <w:szCs w:val="22"/>
                <w:lang w:val="es-ES_tradnl"/>
              </w:rPr>
              <w:t>d</w:t>
            </w:r>
            <w:r w:rsidR="00845BEF">
              <w:rPr>
                <w:rFonts w:cs="Arial"/>
                <w:sz w:val="22"/>
                <w:szCs w:val="22"/>
                <w:lang w:val="es-ES_tradnl"/>
              </w:rPr>
              <w:t>e julio</w:t>
            </w:r>
            <w:r w:rsidR="00845BEF" w:rsidRPr="00FF3BCB">
              <w:rPr>
                <w:rFonts w:cs="Arial"/>
                <w:sz w:val="22"/>
                <w:szCs w:val="22"/>
                <w:lang w:val="es-ES_tradnl"/>
              </w:rPr>
              <w:t xml:space="preserve"> de 2017</w:t>
            </w:r>
          </w:p>
          <w:p w14:paraId="76840DD4" w14:textId="77777777" w:rsidR="00845BEF" w:rsidRPr="00FF3BCB" w:rsidRDefault="00845BEF" w:rsidP="00047C1E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Arial"/>
                <w:sz w:val="12"/>
                <w:szCs w:val="12"/>
                <w:lang w:val="es-ES_tradnl"/>
              </w:rPr>
            </w:pPr>
          </w:p>
          <w:p w14:paraId="43136903" w14:textId="77777777" w:rsidR="00845BEF" w:rsidRPr="00FF3BCB" w:rsidRDefault="00845BEF" w:rsidP="00047C1E">
            <w:pPr>
              <w:autoSpaceDE/>
              <w:autoSpaceDN/>
              <w:adjustRightInd/>
              <w:rPr>
                <w:rFonts w:cs="Arial"/>
                <w:sz w:val="22"/>
                <w:szCs w:val="22"/>
                <w:lang w:val="es-ES_tradnl"/>
              </w:rPr>
            </w:pPr>
            <w:r w:rsidRPr="00FF3BCB">
              <w:rPr>
                <w:rFonts w:cs="Arial"/>
                <w:sz w:val="22"/>
                <w:szCs w:val="22"/>
                <w:lang w:val="es-ES_tradnl"/>
              </w:rPr>
              <w:t>Español</w:t>
            </w:r>
          </w:p>
          <w:p w14:paraId="5AB0809D" w14:textId="77777777" w:rsidR="00845BEF" w:rsidRPr="00FF3BCB" w:rsidRDefault="00845BEF" w:rsidP="00047C1E">
            <w:pPr>
              <w:rPr>
                <w:rFonts w:cs="Arial"/>
                <w:sz w:val="22"/>
                <w:szCs w:val="22"/>
                <w:lang w:val="es-ES_tradnl"/>
              </w:rPr>
            </w:pPr>
            <w:r w:rsidRPr="00FF3BCB">
              <w:rPr>
                <w:rFonts w:cs="Arial"/>
                <w:sz w:val="22"/>
                <w:szCs w:val="22"/>
                <w:lang w:val="es-ES_tradnl"/>
              </w:rPr>
              <w:t>Original: Inglés</w:t>
            </w:r>
          </w:p>
          <w:p w14:paraId="4042EFC9" w14:textId="77777777" w:rsidR="00845BEF" w:rsidRPr="00FF3BCB" w:rsidRDefault="00845BEF" w:rsidP="00047C1E">
            <w:pPr>
              <w:rPr>
                <w:rFonts w:cs="Arial"/>
                <w:sz w:val="12"/>
                <w:szCs w:val="12"/>
                <w:lang w:val="es-ES_tradnl"/>
              </w:rPr>
            </w:pPr>
          </w:p>
        </w:tc>
      </w:tr>
    </w:tbl>
    <w:p w14:paraId="6CD150FC" w14:textId="77777777" w:rsidR="00354A9C" w:rsidRPr="00E07841" w:rsidRDefault="00354A9C" w:rsidP="00922791">
      <w:pPr>
        <w:tabs>
          <w:tab w:val="left" w:pos="7020"/>
        </w:tabs>
        <w:rPr>
          <w:rFonts w:cs="Arial"/>
          <w:sz w:val="22"/>
          <w:szCs w:val="22"/>
          <w:lang w:val="es-ES"/>
        </w:rPr>
      </w:pPr>
    </w:p>
    <w:p w14:paraId="351CBAF3" w14:textId="77777777" w:rsidR="0052082F" w:rsidRPr="00E07841" w:rsidRDefault="0052082F" w:rsidP="00354A9C">
      <w:pPr>
        <w:rPr>
          <w:rFonts w:cs="Arial"/>
          <w:sz w:val="22"/>
          <w:szCs w:val="22"/>
          <w:lang w:val="es-ES"/>
        </w:rPr>
      </w:pPr>
    </w:p>
    <w:p w14:paraId="3B0CC5E8" w14:textId="3F4DCFEC" w:rsidR="00BD169A" w:rsidRPr="00BD169A" w:rsidRDefault="00BD169A" w:rsidP="000D3700">
      <w:pPr>
        <w:pStyle w:val="Heading2"/>
        <w:keepNext w:val="0"/>
        <w:ind w:right="-367"/>
        <w:jc w:val="center"/>
        <w:rPr>
          <w:rFonts w:cs="Arial"/>
          <w:sz w:val="22"/>
          <w:szCs w:val="22"/>
          <w:lang w:val="es-ES_tradnl"/>
        </w:rPr>
      </w:pPr>
      <w:r w:rsidRPr="00BD169A">
        <w:rPr>
          <w:rFonts w:cs="Arial"/>
          <w:sz w:val="22"/>
          <w:szCs w:val="22"/>
          <w:lang w:val="es-ES_tradnl"/>
        </w:rPr>
        <w:t>MOVILIZACIÓN DE RECURSOS</w:t>
      </w:r>
    </w:p>
    <w:p w14:paraId="7900A4D0" w14:textId="77777777" w:rsidR="00593736" w:rsidRPr="00BD169A" w:rsidRDefault="00593736" w:rsidP="000D3700">
      <w:pPr>
        <w:jc w:val="center"/>
        <w:rPr>
          <w:sz w:val="8"/>
          <w:szCs w:val="8"/>
          <w:lang w:val="es-ES_tradnl"/>
        </w:rPr>
      </w:pPr>
    </w:p>
    <w:p w14:paraId="28BFAB3C" w14:textId="72E8D4D1" w:rsidR="00B64904" w:rsidRPr="00E07841" w:rsidRDefault="000D3700" w:rsidP="000D3700">
      <w:pPr>
        <w:jc w:val="center"/>
        <w:rPr>
          <w:rFonts w:cs="Arial"/>
          <w:i/>
          <w:sz w:val="22"/>
          <w:szCs w:val="22"/>
          <w:lang w:val="es-ES"/>
        </w:rPr>
      </w:pPr>
      <w:r>
        <w:rPr>
          <w:rFonts w:cs="Arial"/>
          <w:i/>
          <w:sz w:val="22"/>
          <w:szCs w:val="22"/>
          <w:lang w:val="es-ES_tradnl"/>
        </w:rPr>
        <w:t xml:space="preserve">      </w:t>
      </w:r>
      <w:r w:rsidR="00B64904" w:rsidRPr="00BD169A">
        <w:rPr>
          <w:rFonts w:cs="Arial"/>
          <w:i/>
          <w:sz w:val="22"/>
          <w:szCs w:val="22"/>
          <w:lang w:val="es-ES_tradnl"/>
        </w:rPr>
        <w:t>(</w:t>
      </w:r>
      <w:r w:rsidR="00F11793" w:rsidRPr="00BD169A">
        <w:rPr>
          <w:rFonts w:cs="Arial"/>
          <w:i/>
          <w:sz w:val="22"/>
          <w:szCs w:val="22"/>
          <w:lang w:val="es-ES_tradnl"/>
        </w:rPr>
        <w:t>P</w:t>
      </w:r>
      <w:r w:rsidR="00BD169A">
        <w:rPr>
          <w:rFonts w:cs="Arial"/>
          <w:i/>
          <w:sz w:val="22"/>
          <w:szCs w:val="22"/>
          <w:lang w:val="es-ES_tradnl"/>
        </w:rPr>
        <w:t>reparado por la Secretaría</w:t>
      </w:r>
      <w:r w:rsidR="00B64904" w:rsidRPr="00BD169A">
        <w:rPr>
          <w:rFonts w:cs="Arial"/>
          <w:i/>
          <w:sz w:val="22"/>
          <w:szCs w:val="22"/>
          <w:lang w:val="es-ES_tradnl"/>
        </w:rPr>
        <w:t>)</w:t>
      </w:r>
    </w:p>
    <w:p w14:paraId="5C18F762" w14:textId="77777777" w:rsidR="00870FB9" w:rsidRPr="00E07841" w:rsidRDefault="00870FB9" w:rsidP="00870FB9">
      <w:pPr>
        <w:rPr>
          <w:sz w:val="8"/>
          <w:szCs w:val="8"/>
          <w:lang w:val="es-ES"/>
        </w:rPr>
      </w:pPr>
    </w:p>
    <w:p w14:paraId="14E1ACC4" w14:textId="77777777" w:rsidR="00870FB9" w:rsidRPr="00E07841" w:rsidRDefault="00870FB9" w:rsidP="00B64904">
      <w:pPr>
        <w:jc w:val="center"/>
        <w:rPr>
          <w:rFonts w:cs="Arial"/>
          <w:i/>
          <w:sz w:val="22"/>
          <w:szCs w:val="22"/>
          <w:lang w:val="es-ES"/>
        </w:rPr>
      </w:pPr>
    </w:p>
    <w:p w14:paraId="30AD86D0" w14:textId="77777777" w:rsidR="001764E6" w:rsidRPr="00E07841" w:rsidRDefault="001764E6" w:rsidP="001764E6">
      <w:pPr>
        <w:jc w:val="both"/>
        <w:rPr>
          <w:rFonts w:cs="Arial"/>
          <w:sz w:val="21"/>
          <w:szCs w:val="21"/>
          <w:lang w:val="es-ES"/>
        </w:rPr>
      </w:pPr>
    </w:p>
    <w:p w14:paraId="0C19A877" w14:textId="77777777" w:rsidR="001764E6" w:rsidRPr="00E07841" w:rsidRDefault="001764E6" w:rsidP="00D605A4">
      <w:pPr>
        <w:tabs>
          <w:tab w:val="left" w:pos="8295"/>
        </w:tabs>
        <w:jc w:val="both"/>
        <w:rPr>
          <w:rFonts w:cs="Arial"/>
          <w:sz w:val="21"/>
          <w:szCs w:val="21"/>
          <w:lang w:val="es-ES"/>
        </w:rPr>
      </w:pPr>
    </w:p>
    <w:p w14:paraId="4F609AF9" w14:textId="77777777" w:rsidR="00D605A4" w:rsidRPr="00E07841" w:rsidRDefault="00745222" w:rsidP="00D605A4">
      <w:pPr>
        <w:rPr>
          <w:rFonts w:cs="Arial"/>
          <w:sz w:val="21"/>
          <w:szCs w:val="21"/>
          <w:lang w:val="es-ES"/>
        </w:rPr>
      </w:pPr>
      <w:r w:rsidRPr="00C169ED">
        <w:rPr>
          <w:rFonts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825230" wp14:editId="7480377C">
                <wp:simplePos x="0" y="0"/>
                <wp:positionH relativeFrom="column">
                  <wp:posOffset>793750</wp:posOffset>
                </wp:positionH>
                <wp:positionV relativeFrom="paragraph">
                  <wp:posOffset>143510</wp:posOffset>
                </wp:positionV>
                <wp:extent cx="4305300" cy="2590800"/>
                <wp:effectExtent l="0" t="0" r="38100" b="254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E6AB6" w14:textId="421A8F61" w:rsidR="003D29DF" w:rsidRPr="00E8711C" w:rsidRDefault="003D29DF" w:rsidP="00E475D4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8711C">
                              <w:rPr>
                                <w:rFonts w:cs="Arial"/>
                                <w:sz w:val="22"/>
                                <w:szCs w:val="22"/>
                                <w:lang w:val="es-ES_tradnl"/>
                              </w:rPr>
                              <w:t>Resumen:</w:t>
                            </w:r>
                          </w:p>
                          <w:p w14:paraId="49B07BE4" w14:textId="5BA83D19" w:rsidR="003D29DF" w:rsidRPr="00E8711C" w:rsidRDefault="003D29DF" w:rsidP="00E52835">
                            <w:pPr>
                              <w:rPr>
                                <w:rFonts w:cs="Arial"/>
                                <w:i/>
                                <w:sz w:val="22"/>
                                <w:szCs w:val="22"/>
                                <w:highlight w:val="yellow"/>
                                <w:lang w:val="es-ES_tradnl"/>
                              </w:rPr>
                            </w:pPr>
                          </w:p>
                          <w:p w14:paraId="6C1E1C98" w14:textId="1681175B" w:rsidR="003D29DF" w:rsidRPr="003E0AEE" w:rsidRDefault="003D29DF" w:rsidP="001C0810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ES_tradnl"/>
                              </w:rPr>
                              <w:t>Este</w:t>
                            </w:r>
                            <w:r w:rsidRPr="003E0AEE">
                              <w:rPr>
                                <w:rFonts w:cs="Arial"/>
                                <w:sz w:val="22"/>
                                <w:szCs w:val="22"/>
                                <w:lang w:val="es-ES_tradnl"/>
                              </w:rPr>
                              <w:t xml:space="preserve"> documento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ES_tradnl"/>
                              </w:rPr>
                              <w:t xml:space="preserve"> presenta el estado de los recursos movilizados a julio de 2017, desde la Undécima Reunión de la Conferencia de las Partes (Quito, Ecuador, 2014).</w:t>
                            </w:r>
                          </w:p>
                          <w:p w14:paraId="3C1BC7BE" w14:textId="13D46556" w:rsidR="003D29DF" w:rsidRPr="00E8711C" w:rsidRDefault="003D29DF" w:rsidP="001C0810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  <w:highlight w:val="yellow"/>
                                <w:lang w:val="es-ES_tradnl"/>
                              </w:rPr>
                            </w:pPr>
                          </w:p>
                          <w:p w14:paraId="08DAB63A" w14:textId="7F2B9DC6" w:rsidR="003D29DF" w:rsidRPr="00046A9F" w:rsidRDefault="003D29DF" w:rsidP="001C0810">
                            <w:pPr>
                              <w:pStyle w:val="ListParagraph"/>
                              <w:tabs>
                                <w:tab w:val="left" w:pos="720"/>
                              </w:tabs>
                              <w:ind w:left="0"/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46A9F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Estos recursos</w:t>
                            </w:r>
                            <w:r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 xml:space="preserve"> (tanto financieros como en especie) han contribuido a la </w:t>
                            </w:r>
                            <w:r w:rsidRPr="008909FC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 xml:space="preserve">implementación del Programa de </w:t>
                            </w:r>
                            <w:r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 xml:space="preserve">Trabajo de </w:t>
                            </w:r>
                            <w:r w:rsidRPr="008909FC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la Secretaría para el trienio 2015</w:t>
                            </w:r>
                            <w:r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 xml:space="preserve"> – </w:t>
                            </w:r>
                            <w:r w:rsidRPr="008909FC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2017</w:t>
                            </w:r>
                            <w:r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8909FC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(</w:t>
                            </w:r>
                            <w:r w:rsidRPr="008909FC">
                              <w:rPr>
                                <w:rFonts w:cs="Arial"/>
                                <w:sz w:val="22"/>
                                <w:szCs w:val="22"/>
                                <w:lang w:val="es-ES_tradnl"/>
                              </w:rPr>
                              <w:t>UNEP/CMS/COP12/Doc.18</w:t>
                            </w:r>
                            <w:r w:rsidRPr="008909FC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).</w:t>
                            </w:r>
                          </w:p>
                          <w:p w14:paraId="56405654" w14:textId="77777777" w:rsidR="003D29DF" w:rsidRPr="00E8711C" w:rsidRDefault="003D29DF" w:rsidP="001C0810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  <w:highlight w:val="yellow"/>
                                <w:lang w:val="es-ES_tradnl"/>
                              </w:rPr>
                            </w:pPr>
                          </w:p>
                          <w:p w14:paraId="5014A918" w14:textId="04D84697" w:rsidR="003D29DF" w:rsidRPr="00D51BC7" w:rsidRDefault="003D29DF" w:rsidP="001C0810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ES_tradnl"/>
                              </w:rPr>
                              <w:t>Dichos</w:t>
                            </w:r>
                            <w:r w:rsidRPr="00D51BC7">
                              <w:rPr>
                                <w:rFonts w:cs="Arial"/>
                                <w:sz w:val="22"/>
                                <w:szCs w:val="22"/>
                                <w:lang w:val="es-ES_tradnl"/>
                              </w:rPr>
                              <w:t xml:space="preserve"> recursos (tanto financieros como en especie)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ES_tradnl"/>
                              </w:rPr>
                              <w:t xml:space="preserve"> contribuyen también a la implementación de muchas resoluciones, así como todas las metas del Plan Estratégico para las Especies Migratorias 2015-2023.</w:t>
                            </w:r>
                          </w:p>
                          <w:p w14:paraId="603CD8FF" w14:textId="7818BE6F" w:rsidR="003D29DF" w:rsidRPr="00E8711C" w:rsidRDefault="003D29DF" w:rsidP="001C0810">
                            <w:pPr>
                              <w:jc w:val="both"/>
                              <w:rPr>
                                <w:rFonts w:cs="Arial"/>
                                <w:i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252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.5pt;margin-top:11.3pt;width:339pt;height:20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dPKAIAAFEEAAAOAAAAZHJzL2Uyb0RvYy54bWysVNtu2zAMfR+wfxD0vti5ra0Rp+jSZRjQ&#10;XYB2HyDLcixMFjVKid19/Sg5TbPbyzA/CKRIHZKHpFfXQ2fYQaHXYEs+neScKSuh1nZX8i8P21eX&#10;nPkgbC0MWFXyR+X59frli1XvCjWDFkytkBGI9UXvSt6G4Ios87JVnfATcMqSsQHsRCAVd1mNoif0&#10;zmSzPH+d9YC1Q5DKe7q9HY18nfCbRsnwqWm8CsyUnHIL6cR0VvHM1itR7FC4VstjGuIfsuiEthT0&#10;BHUrgmB71L9BdVoieGjCREKXQdNoqVINVM00/6Wa+1Y4lWohcrw70eT/H6z8ePiMTNcln3FmRUct&#10;elBDYG9gYIvITu98QU73jtzCQNfU5VSpd3cgv3pmYdMKu1M3iNC3StSU3TS+zM6ejjg+glT9B6gp&#10;jNgHSEBDg12kjshghE5dejx1JqYi6XIxz5fznEySbLPlVX5JSowhiqfnDn14p6BjUSg5UusTvDjc&#10;+TC6PrnEaB6MrrfamKTgrtoYZAdBY7JN3xH9JzdjWV/y+fRiOTLwV4g8fX+C6HSgeTe6KzmVQF90&#10;EkXk7a2tkxyENqNM1Rl7JDJyN7IYhmogx8huBfUjUYowzjXtIQkt4HfOeprpkvtve4GKM/PeUluu&#10;potFXIKkLJYXM1Lw3FKdW4SVBFXywNkobsK4OHuHetdSpHEQLNxQKxudSH7O6pg3zW1q03HH4mKc&#10;68nr+U+w/gEAAP//AwBQSwMEFAAGAAgAAAAhAHZNAEfdAAAACgEAAA8AAABkcnMvZG93bnJldi54&#10;bWxMj8FOwzAQRO9I/IO1SFwQtUlpqEKcqkKCG0ht+YBtbJKo2XUUu034e5YTHGd2NPum3MzUq4sf&#10;YxfYwsPCgPJcB9dxY+Hz8Hq/BhUTssM+sLfw7SNsquurEgsXJt75yz41Sko4FmihTWkotI516wnj&#10;Igye5fYVRsIkcmy0G3GScup1ZkyuCTuWDy0O/qX19Wl/JgvvyDgT7bZ3IdEHTdnp7elgrL29mbfP&#10;oJKf018YfvEFHSphOoYzu6h60dlKtiQLWZaDksDaLMU4Wnhcmhx0Ver/E6ofAAAA//8DAFBLAQIt&#10;ABQABgAIAAAAIQC2gziS/gAAAOEBAAATAAAAAAAAAAAAAAAAAAAAAABbQ29udGVudF9UeXBlc10u&#10;eG1sUEsBAi0AFAAGAAgAAAAhADj9If/WAAAAlAEAAAsAAAAAAAAAAAAAAAAALwEAAF9yZWxzLy5y&#10;ZWxzUEsBAi0AFAAGAAgAAAAhABkJB08oAgAAUQQAAA4AAAAAAAAAAAAAAAAALgIAAGRycy9lMm9E&#10;b2MueG1sUEsBAi0AFAAGAAgAAAAhAHZNAEfdAAAACgEAAA8AAAAAAAAAAAAAAAAAggQAAGRycy9k&#10;b3ducmV2LnhtbFBLBQYAAAAABAAEAPMAAACMBQAAAAA=&#10;" strokeweight=".25pt">
                <v:textbox>
                  <w:txbxContent>
                    <w:p w14:paraId="22DE6AB6" w14:textId="421A8F61" w:rsidR="003D29DF" w:rsidRPr="00E8711C" w:rsidRDefault="003D29DF" w:rsidP="00E475D4">
                      <w:pPr>
                        <w:rPr>
                          <w:rFonts w:cs="Arial"/>
                          <w:sz w:val="22"/>
                          <w:szCs w:val="22"/>
                          <w:lang w:val="es-ES_tradnl"/>
                        </w:rPr>
                      </w:pPr>
                      <w:r w:rsidRPr="00E8711C">
                        <w:rPr>
                          <w:rFonts w:cs="Arial"/>
                          <w:sz w:val="22"/>
                          <w:szCs w:val="22"/>
                          <w:lang w:val="es-ES_tradnl"/>
                        </w:rPr>
                        <w:t>Resumen:</w:t>
                      </w:r>
                    </w:p>
                    <w:p w14:paraId="49B07BE4" w14:textId="5BA83D19" w:rsidR="003D29DF" w:rsidRPr="00E8711C" w:rsidRDefault="003D29DF" w:rsidP="00E52835">
                      <w:pPr>
                        <w:rPr>
                          <w:rFonts w:cs="Arial"/>
                          <w:i/>
                          <w:sz w:val="22"/>
                          <w:szCs w:val="22"/>
                          <w:highlight w:val="yellow"/>
                          <w:lang w:val="es-ES_tradnl"/>
                        </w:rPr>
                      </w:pPr>
                    </w:p>
                    <w:p w14:paraId="6C1E1C98" w14:textId="1681175B" w:rsidR="003D29DF" w:rsidRPr="003E0AEE" w:rsidRDefault="003D29DF" w:rsidP="001C0810">
                      <w:pPr>
                        <w:jc w:val="both"/>
                        <w:rPr>
                          <w:rFonts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  <w:lang w:val="es-ES_tradnl"/>
                        </w:rPr>
                        <w:t>Este</w:t>
                      </w:r>
                      <w:r w:rsidRPr="003E0AEE">
                        <w:rPr>
                          <w:rFonts w:cs="Arial"/>
                          <w:sz w:val="22"/>
                          <w:szCs w:val="22"/>
                          <w:lang w:val="es-ES_tradnl"/>
                        </w:rPr>
                        <w:t xml:space="preserve"> documento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es-ES_tradnl"/>
                        </w:rPr>
                        <w:t xml:space="preserve"> presenta el estado de los recursos movilizados a julio de 2017, desde la Undécima Reunión de la Conferencia de las Partes (Quito, Ecuador, 2014).</w:t>
                      </w:r>
                    </w:p>
                    <w:p w14:paraId="3C1BC7BE" w14:textId="13D46556" w:rsidR="003D29DF" w:rsidRPr="00E8711C" w:rsidRDefault="003D29DF" w:rsidP="001C0810">
                      <w:pPr>
                        <w:jc w:val="both"/>
                        <w:rPr>
                          <w:rFonts w:cs="Arial"/>
                          <w:sz w:val="22"/>
                          <w:szCs w:val="22"/>
                          <w:highlight w:val="yellow"/>
                          <w:lang w:val="es-ES_tradnl"/>
                        </w:rPr>
                      </w:pPr>
                    </w:p>
                    <w:p w14:paraId="08DAB63A" w14:textId="7F2B9DC6" w:rsidR="003D29DF" w:rsidRPr="00046A9F" w:rsidRDefault="003D29DF" w:rsidP="001C0810">
                      <w:pPr>
                        <w:pStyle w:val="ListParagraph"/>
                        <w:tabs>
                          <w:tab w:val="left" w:pos="720"/>
                        </w:tabs>
                        <w:ind w:left="0"/>
                        <w:jc w:val="both"/>
                        <w:rPr>
                          <w:sz w:val="22"/>
                          <w:szCs w:val="22"/>
                          <w:lang w:val="es-ES_tradnl"/>
                        </w:rPr>
                      </w:pPr>
                      <w:r w:rsidRPr="00046A9F">
                        <w:rPr>
                          <w:sz w:val="22"/>
                          <w:szCs w:val="22"/>
                          <w:lang w:val="es-ES_tradnl"/>
                        </w:rPr>
                        <w:t>Estos recursos</w:t>
                      </w:r>
                      <w:r>
                        <w:rPr>
                          <w:sz w:val="22"/>
                          <w:szCs w:val="22"/>
                          <w:lang w:val="es-ES_tradnl"/>
                        </w:rPr>
                        <w:t xml:space="preserve"> (tanto financieros como en especie) han contribuido a la </w:t>
                      </w:r>
                      <w:r w:rsidRPr="008909FC">
                        <w:rPr>
                          <w:sz w:val="22"/>
                          <w:szCs w:val="22"/>
                          <w:lang w:val="es-ES_tradnl"/>
                        </w:rPr>
                        <w:t xml:space="preserve">implementación del Programa de </w:t>
                      </w:r>
                      <w:r>
                        <w:rPr>
                          <w:sz w:val="22"/>
                          <w:szCs w:val="22"/>
                          <w:lang w:val="es-ES_tradnl"/>
                        </w:rPr>
                        <w:t xml:space="preserve">Trabajo de </w:t>
                      </w:r>
                      <w:r w:rsidRPr="008909FC">
                        <w:rPr>
                          <w:sz w:val="22"/>
                          <w:szCs w:val="22"/>
                          <w:lang w:val="es-ES_tradnl"/>
                        </w:rPr>
                        <w:t>la Secretaría para el trienio 2015</w:t>
                      </w:r>
                      <w:r>
                        <w:rPr>
                          <w:sz w:val="22"/>
                          <w:szCs w:val="22"/>
                          <w:lang w:val="es-ES_tradnl"/>
                        </w:rPr>
                        <w:t xml:space="preserve"> – </w:t>
                      </w:r>
                      <w:r w:rsidRPr="008909FC">
                        <w:rPr>
                          <w:sz w:val="22"/>
                          <w:szCs w:val="22"/>
                          <w:lang w:val="es-ES_tradnl"/>
                        </w:rPr>
                        <w:t>2017</w:t>
                      </w:r>
                      <w:r>
                        <w:rPr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Pr="008909FC">
                        <w:rPr>
                          <w:sz w:val="22"/>
                          <w:szCs w:val="22"/>
                          <w:lang w:val="es-ES_tradnl"/>
                        </w:rPr>
                        <w:t>(</w:t>
                      </w:r>
                      <w:r w:rsidRPr="008909FC">
                        <w:rPr>
                          <w:rFonts w:cs="Arial"/>
                          <w:sz w:val="22"/>
                          <w:szCs w:val="22"/>
                          <w:lang w:val="es-ES_tradnl"/>
                        </w:rPr>
                        <w:t>UNEP/CMS/COP12/Doc.18</w:t>
                      </w:r>
                      <w:r w:rsidRPr="008909FC">
                        <w:rPr>
                          <w:sz w:val="22"/>
                          <w:szCs w:val="22"/>
                          <w:lang w:val="es-ES_tradnl"/>
                        </w:rPr>
                        <w:t>).</w:t>
                      </w:r>
                    </w:p>
                    <w:p w14:paraId="56405654" w14:textId="77777777" w:rsidR="003D29DF" w:rsidRPr="00E8711C" w:rsidRDefault="003D29DF" w:rsidP="001C0810">
                      <w:pPr>
                        <w:jc w:val="both"/>
                        <w:rPr>
                          <w:rFonts w:cs="Arial"/>
                          <w:sz w:val="22"/>
                          <w:szCs w:val="22"/>
                          <w:highlight w:val="yellow"/>
                          <w:lang w:val="es-ES_tradnl"/>
                        </w:rPr>
                      </w:pPr>
                    </w:p>
                    <w:p w14:paraId="5014A918" w14:textId="04D84697" w:rsidR="003D29DF" w:rsidRPr="00D51BC7" w:rsidRDefault="003D29DF" w:rsidP="001C0810">
                      <w:pPr>
                        <w:jc w:val="both"/>
                        <w:rPr>
                          <w:rFonts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  <w:lang w:val="es-ES_tradnl"/>
                        </w:rPr>
                        <w:t>Dichos</w:t>
                      </w:r>
                      <w:r w:rsidRPr="00D51BC7">
                        <w:rPr>
                          <w:rFonts w:cs="Arial"/>
                          <w:sz w:val="22"/>
                          <w:szCs w:val="22"/>
                          <w:lang w:val="es-ES_tradnl"/>
                        </w:rPr>
                        <w:t xml:space="preserve"> recursos (tanto financieros como en especie)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es-ES_tradnl"/>
                        </w:rPr>
                        <w:t xml:space="preserve"> contribuyen también a la implementación de muchas resoluciones, así como todas las metas del Plan Estratégico para las Especies Migratorias 2015-2023.</w:t>
                      </w:r>
                    </w:p>
                    <w:p w14:paraId="603CD8FF" w14:textId="7818BE6F" w:rsidR="003D29DF" w:rsidRPr="00E8711C" w:rsidRDefault="003D29DF" w:rsidP="001C0810">
                      <w:pPr>
                        <w:jc w:val="both"/>
                        <w:rPr>
                          <w:rFonts w:cs="Arial"/>
                          <w:i/>
                          <w:sz w:val="22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260FB5" w14:textId="77777777" w:rsidR="00D605A4" w:rsidRPr="00E07841" w:rsidRDefault="00D605A4" w:rsidP="00D605A4">
      <w:pPr>
        <w:rPr>
          <w:rFonts w:cs="Arial"/>
          <w:sz w:val="21"/>
          <w:szCs w:val="21"/>
          <w:lang w:val="es-ES"/>
        </w:rPr>
      </w:pPr>
    </w:p>
    <w:p w14:paraId="77357701" w14:textId="77777777" w:rsidR="00D605A4" w:rsidRPr="00E07841" w:rsidRDefault="00D605A4" w:rsidP="00D605A4">
      <w:pPr>
        <w:rPr>
          <w:rFonts w:cs="Arial"/>
          <w:sz w:val="21"/>
          <w:szCs w:val="21"/>
          <w:lang w:val="es-ES"/>
        </w:rPr>
      </w:pPr>
    </w:p>
    <w:p w14:paraId="592362EA" w14:textId="77777777" w:rsidR="00D605A4" w:rsidRPr="00E07841" w:rsidRDefault="00D605A4" w:rsidP="00D605A4">
      <w:pPr>
        <w:rPr>
          <w:rFonts w:cs="Arial"/>
          <w:sz w:val="21"/>
          <w:szCs w:val="21"/>
          <w:lang w:val="es-ES"/>
        </w:rPr>
      </w:pPr>
    </w:p>
    <w:p w14:paraId="3D968718" w14:textId="77777777" w:rsidR="00D605A4" w:rsidRPr="00E07841" w:rsidRDefault="00D605A4" w:rsidP="00D605A4">
      <w:pPr>
        <w:rPr>
          <w:rFonts w:cs="Arial"/>
          <w:sz w:val="21"/>
          <w:szCs w:val="21"/>
          <w:lang w:val="es-ES"/>
        </w:rPr>
      </w:pPr>
    </w:p>
    <w:p w14:paraId="52C986A0" w14:textId="77777777" w:rsidR="00D605A4" w:rsidRPr="00E07841" w:rsidRDefault="00D605A4" w:rsidP="00D605A4">
      <w:pPr>
        <w:rPr>
          <w:rFonts w:cs="Arial"/>
          <w:sz w:val="21"/>
          <w:szCs w:val="21"/>
          <w:lang w:val="es-ES"/>
        </w:rPr>
      </w:pPr>
    </w:p>
    <w:p w14:paraId="183E78FA" w14:textId="77777777" w:rsidR="00D605A4" w:rsidRPr="00E07841" w:rsidRDefault="00D605A4" w:rsidP="00D605A4">
      <w:pPr>
        <w:rPr>
          <w:rFonts w:cs="Arial"/>
          <w:sz w:val="21"/>
          <w:szCs w:val="21"/>
          <w:lang w:val="es-ES"/>
        </w:rPr>
      </w:pPr>
    </w:p>
    <w:p w14:paraId="2FB3C1EC" w14:textId="77777777" w:rsidR="00D605A4" w:rsidRPr="00E07841" w:rsidRDefault="00D605A4" w:rsidP="00D605A4">
      <w:pPr>
        <w:rPr>
          <w:rFonts w:cs="Arial"/>
          <w:sz w:val="21"/>
          <w:szCs w:val="21"/>
          <w:lang w:val="es-ES"/>
        </w:rPr>
      </w:pPr>
    </w:p>
    <w:p w14:paraId="1E234FEE" w14:textId="77777777" w:rsidR="00D605A4" w:rsidRPr="00E07841" w:rsidRDefault="00D605A4" w:rsidP="00D605A4">
      <w:pPr>
        <w:rPr>
          <w:rFonts w:cs="Arial"/>
          <w:sz w:val="21"/>
          <w:szCs w:val="21"/>
          <w:lang w:val="es-ES"/>
        </w:rPr>
      </w:pPr>
    </w:p>
    <w:p w14:paraId="4BBE2518" w14:textId="77777777" w:rsidR="00D605A4" w:rsidRPr="00E07841" w:rsidRDefault="00D605A4" w:rsidP="00D605A4">
      <w:pPr>
        <w:rPr>
          <w:rFonts w:cs="Arial"/>
          <w:sz w:val="21"/>
          <w:szCs w:val="21"/>
          <w:lang w:val="es-ES"/>
        </w:rPr>
      </w:pPr>
    </w:p>
    <w:p w14:paraId="58A1D612" w14:textId="77777777" w:rsidR="00D605A4" w:rsidRPr="00E07841" w:rsidRDefault="00D605A4" w:rsidP="00D605A4">
      <w:pPr>
        <w:rPr>
          <w:rFonts w:cs="Arial"/>
          <w:sz w:val="21"/>
          <w:szCs w:val="21"/>
          <w:lang w:val="es-ES"/>
        </w:rPr>
      </w:pPr>
    </w:p>
    <w:p w14:paraId="539E4DE6" w14:textId="77777777" w:rsidR="00D605A4" w:rsidRPr="00E07841" w:rsidRDefault="00D605A4" w:rsidP="00D605A4">
      <w:pPr>
        <w:rPr>
          <w:rFonts w:cs="Arial"/>
          <w:sz w:val="21"/>
          <w:szCs w:val="21"/>
          <w:lang w:val="es-ES"/>
        </w:rPr>
      </w:pPr>
    </w:p>
    <w:p w14:paraId="7B1F56D4" w14:textId="77777777" w:rsidR="00D605A4" w:rsidRPr="00E07841" w:rsidRDefault="00D605A4" w:rsidP="00D605A4">
      <w:pPr>
        <w:rPr>
          <w:rFonts w:cs="Arial"/>
          <w:sz w:val="21"/>
          <w:szCs w:val="21"/>
          <w:lang w:val="es-ES"/>
        </w:rPr>
      </w:pPr>
    </w:p>
    <w:p w14:paraId="7C5300E4" w14:textId="77777777" w:rsidR="00D605A4" w:rsidRPr="00E07841" w:rsidRDefault="00D605A4" w:rsidP="00D605A4">
      <w:pPr>
        <w:rPr>
          <w:rFonts w:cs="Arial"/>
          <w:sz w:val="21"/>
          <w:szCs w:val="21"/>
          <w:lang w:val="es-ES"/>
        </w:rPr>
      </w:pPr>
    </w:p>
    <w:p w14:paraId="17563107" w14:textId="77777777" w:rsidR="00D605A4" w:rsidRPr="00E07841" w:rsidRDefault="00D605A4" w:rsidP="00D605A4">
      <w:pPr>
        <w:rPr>
          <w:rFonts w:cs="Arial"/>
          <w:sz w:val="21"/>
          <w:szCs w:val="21"/>
          <w:lang w:val="es-ES"/>
        </w:rPr>
      </w:pPr>
    </w:p>
    <w:p w14:paraId="60A3994E" w14:textId="77777777" w:rsidR="00D605A4" w:rsidRPr="00E07841" w:rsidRDefault="00D605A4" w:rsidP="00D605A4">
      <w:pPr>
        <w:rPr>
          <w:rFonts w:cs="Arial"/>
          <w:sz w:val="21"/>
          <w:szCs w:val="21"/>
          <w:lang w:val="es-ES"/>
        </w:rPr>
      </w:pPr>
    </w:p>
    <w:p w14:paraId="7F3D3546" w14:textId="77777777" w:rsidR="00D605A4" w:rsidRPr="00E07841" w:rsidRDefault="00D605A4" w:rsidP="00D605A4">
      <w:pPr>
        <w:rPr>
          <w:rFonts w:cs="Arial"/>
          <w:sz w:val="21"/>
          <w:szCs w:val="21"/>
          <w:lang w:val="es-ES"/>
        </w:rPr>
      </w:pPr>
    </w:p>
    <w:p w14:paraId="6A31CCDE" w14:textId="77777777" w:rsidR="00D605A4" w:rsidRPr="00E07841" w:rsidRDefault="00D605A4" w:rsidP="00D605A4">
      <w:pPr>
        <w:rPr>
          <w:rFonts w:cs="Arial"/>
          <w:sz w:val="21"/>
          <w:szCs w:val="21"/>
          <w:lang w:val="es-ES"/>
        </w:rPr>
      </w:pPr>
    </w:p>
    <w:p w14:paraId="138D4608" w14:textId="77777777" w:rsidR="00D605A4" w:rsidRPr="00E07841" w:rsidRDefault="00D605A4" w:rsidP="00D605A4">
      <w:pPr>
        <w:rPr>
          <w:rFonts w:cs="Arial"/>
          <w:sz w:val="21"/>
          <w:szCs w:val="21"/>
          <w:lang w:val="es-ES"/>
        </w:rPr>
      </w:pPr>
    </w:p>
    <w:p w14:paraId="2DC44B2B" w14:textId="77777777" w:rsidR="00D605A4" w:rsidRPr="00E07841" w:rsidRDefault="00D605A4" w:rsidP="00D605A4">
      <w:pPr>
        <w:rPr>
          <w:rFonts w:cs="Arial"/>
          <w:sz w:val="22"/>
          <w:szCs w:val="22"/>
          <w:lang w:val="es-ES"/>
        </w:rPr>
      </w:pPr>
    </w:p>
    <w:p w14:paraId="5E84752E" w14:textId="77777777" w:rsidR="00031A88" w:rsidRPr="00E07841" w:rsidRDefault="00031A88" w:rsidP="00D605A4">
      <w:pPr>
        <w:rPr>
          <w:rFonts w:cs="Arial"/>
          <w:sz w:val="22"/>
          <w:szCs w:val="22"/>
          <w:lang w:val="es-ES"/>
        </w:rPr>
      </w:pPr>
    </w:p>
    <w:p w14:paraId="1A904745" w14:textId="77777777" w:rsidR="00031A88" w:rsidRPr="00E07841" w:rsidRDefault="00031A88" w:rsidP="00D605A4">
      <w:pPr>
        <w:rPr>
          <w:rFonts w:cs="Arial"/>
          <w:sz w:val="22"/>
          <w:szCs w:val="22"/>
          <w:lang w:val="es-ES"/>
        </w:rPr>
      </w:pPr>
    </w:p>
    <w:p w14:paraId="2C0AE893" w14:textId="77777777" w:rsidR="00031A88" w:rsidRPr="00E07841" w:rsidRDefault="00031A88" w:rsidP="00D605A4">
      <w:pPr>
        <w:rPr>
          <w:rFonts w:cs="Arial"/>
          <w:sz w:val="22"/>
          <w:szCs w:val="22"/>
          <w:lang w:val="es-ES"/>
        </w:rPr>
      </w:pPr>
    </w:p>
    <w:p w14:paraId="39892652" w14:textId="77777777" w:rsidR="00031A88" w:rsidRPr="00E07841" w:rsidRDefault="00031A88" w:rsidP="00D605A4">
      <w:pPr>
        <w:rPr>
          <w:rFonts w:cs="Arial"/>
          <w:sz w:val="22"/>
          <w:szCs w:val="22"/>
          <w:lang w:val="es-ES"/>
        </w:rPr>
      </w:pPr>
    </w:p>
    <w:p w14:paraId="5D8FE63D" w14:textId="77777777" w:rsidR="00031A88" w:rsidRPr="00E07841" w:rsidRDefault="00031A88" w:rsidP="00D605A4">
      <w:pPr>
        <w:rPr>
          <w:rFonts w:cs="Arial"/>
          <w:sz w:val="22"/>
          <w:szCs w:val="22"/>
          <w:lang w:val="es-ES"/>
        </w:rPr>
      </w:pPr>
    </w:p>
    <w:p w14:paraId="748092D1" w14:textId="77777777" w:rsidR="00031A88" w:rsidRPr="00E07841" w:rsidRDefault="00031A88" w:rsidP="00D605A4">
      <w:pPr>
        <w:rPr>
          <w:rFonts w:cs="Arial"/>
          <w:sz w:val="22"/>
          <w:szCs w:val="22"/>
          <w:lang w:val="es-ES"/>
        </w:rPr>
      </w:pPr>
    </w:p>
    <w:p w14:paraId="038D41E8" w14:textId="77777777" w:rsidR="00031A88" w:rsidRPr="00E07841" w:rsidRDefault="00031A88" w:rsidP="00D605A4">
      <w:pPr>
        <w:rPr>
          <w:rFonts w:cs="Arial"/>
          <w:sz w:val="22"/>
          <w:szCs w:val="22"/>
          <w:lang w:val="es-ES"/>
        </w:rPr>
      </w:pPr>
    </w:p>
    <w:p w14:paraId="5D261CFF" w14:textId="77777777" w:rsidR="00031A88" w:rsidRPr="00E07841" w:rsidRDefault="00031A88" w:rsidP="00D605A4">
      <w:pPr>
        <w:rPr>
          <w:rFonts w:cs="Arial"/>
          <w:sz w:val="22"/>
          <w:szCs w:val="22"/>
          <w:lang w:val="es-ES"/>
        </w:rPr>
      </w:pPr>
    </w:p>
    <w:p w14:paraId="1A3359ED" w14:textId="77777777" w:rsidR="00031A88" w:rsidRPr="00E07841" w:rsidRDefault="00031A88" w:rsidP="00D605A4">
      <w:pPr>
        <w:rPr>
          <w:rFonts w:cs="Arial"/>
          <w:sz w:val="22"/>
          <w:szCs w:val="22"/>
          <w:lang w:val="es-ES"/>
        </w:rPr>
      </w:pPr>
    </w:p>
    <w:p w14:paraId="3F0D932B" w14:textId="77777777" w:rsidR="00031A88" w:rsidRPr="00E07841" w:rsidRDefault="00031A88" w:rsidP="00D605A4">
      <w:pPr>
        <w:rPr>
          <w:rFonts w:cs="Arial"/>
          <w:sz w:val="22"/>
          <w:szCs w:val="22"/>
          <w:lang w:val="es-ES"/>
        </w:rPr>
      </w:pPr>
    </w:p>
    <w:p w14:paraId="06D3A9B3" w14:textId="77777777" w:rsidR="00031A88" w:rsidRPr="00E07841" w:rsidRDefault="00031A88" w:rsidP="00D605A4">
      <w:pPr>
        <w:rPr>
          <w:rFonts w:cs="Arial"/>
          <w:sz w:val="22"/>
          <w:szCs w:val="22"/>
          <w:lang w:val="es-ES"/>
        </w:rPr>
      </w:pPr>
    </w:p>
    <w:p w14:paraId="0121D9AD" w14:textId="77777777" w:rsidR="00D605A4" w:rsidRPr="00E07841" w:rsidRDefault="00D605A4" w:rsidP="00D605A4">
      <w:pPr>
        <w:rPr>
          <w:rFonts w:cs="Arial"/>
          <w:sz w:val="22"/>
          <w:szCs w:val="22"/>
          <w:lang w:val="es-ES"/>
        </w:rPr>
      </w:pPr>
    </w:p>
    <w:p w14:paraId="0AA86451" w14:textId="77777777" w:rsidR="00D605A4" w:rsidRPr="00E07841" w:rsidRDefault="00D605A4" w:rsidP="00D605A4">
      <w:pPr>
        <w:tabs>
          <w:tab w:val="left" w:pos="1020"/>
        </w:tabs>
        <w:rPr>
          <w:rFonts w:cs="Arial"/>
          <w:sz w:val="22"/>
          <w:szCs w:val="22"/>
          <w:lang w:val="es-ES"/>
        </w:rPr>
        <w:sectPr w:rsidR="00D605A4" w:rsidRPr="00E07841" w:rsidSect="000D37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5" w:h="16837" w:code="9"/>
          <w:pgMar w:top="1008" w:right="1415" w:bottom="1152" w:left="1411" w:header="432" w:footer="432" w:gutter="0"/>
          <w:cols w:space="720"/>
          <w:noEndnote/>
          <w:titlePg/>
          <w:docGrid w:linePitch="272"/>
        </w:sectPr>
      </w:pPr>
    </w:p>
    <w:p w14:paraId="71A6AA94" w14:textId="76627583" w:rsidR="00E019BC" w:rsidRPr="00E019BC" w:rsidRDefault="00E019BC" w:rsidP="00E2114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s-ES_tradnl"/>
        </w:rPr>
      </w:pPr>
      <w:r w:rsidRPr="00E019BC">
        <w:rPr>
          <w:rFonts w:cs="Arial"/>
          <w:sz w:val="22"/>
          <w:szCs w:val="22"/>
          <w:lang w:val="es-ES_tradnl"/>
        </w:rPr>
        <w:lastRenderedPageBreak/>
        <w:t>MOVILIZACIÓN DE RECURSOS</w:t>
      </w:r>
    </w:p>
    <w:p w14:paraId="0FAA13C6" w14:textId="2350878C" w:rsidR="00C14D58" w:rsidRDefault="00C14D58" w:rsidP="00C14D58">
      <w:pPr>
        <w:jc w:val="both"/>
        <w:rPr>
          <w:rFonts w:cs="Arial"/>
          <w:sz w:val="22"/>
          <w:szCs w:val="22"/>
          <w:highlight w:val="yellow"/>
          <w:u w:val="single"/>
          <w:lang w:val="es-ES_tradnl"/>
        </w:rPr>
      </w:pPr>
    </w:p>
    <w:p w14:paraId="636CD0A3" w14:textId="77777777" w:rsidR="0065752A" w:rsidRPr="00E019BC" w:rsidRDefault="0065752A" w:rsidP="00C14D58">
      <w:pPr>
        <w:jc w:val="both"/>
        <w:rPr>
          <w:rFonts w:cs="Arial"/>
          <w:sz w:val="22"/>
          <w:szCs w:val="22"/>
          <w:highlight w:val="yellow"/>
          <w:u w:val="single"/>
          <w:lang w:val="es-ES_tradnl"/>
        </w:rPr>
      </w:pPr>
    </w:p>
    <w:p w14:paraId="3E253A05" w14:textId="352FAAE8" w:rsidR="00E42D01" w:rsidRPr="00E42D01" w:rsidRDefault="00E42D01" w:rsidP="00C14D58">
      <w:pPr>
        <w:jc w:val="both"/>
        <w:rPr>
          <w:rFonts w:cs="Arial"/>
          <w:sz w:val="22"/>
          <w:szCs w:val="22"/>
          <w:u w:val="single"/>
          <w:lang w:val="es-ES_tradnl"/>
        </w:rPr>
      </w:pPr>
      <w:r w:rsidRPr="00E42D01">
        <w:rPr>
          <w:rFonts w:cs="Arial"/>
          <w:sz w:val="22"/>
          <w:szCs w:val="22"/>
          <w:u w:val="single"/>
          <w:lang w:val="es-ES_tradnl"/>
        </w:rPr>
        <w:t>Antecedentes</w:t>
      </w:r>
    </w:p>
    <w:p w14:paraId="574B0F26" w14:textId="77777777" w:rsidR="00C14D58" w:rsidRPr="00E019BC" w:rsidRDefault="00C14D58" w:rsidP="00C14D58">
      <w:pPr>
        <w:jc w:val="both"/>
        <w:rPr>
          <w:rFonts w:cs="Arial"/>
          <w:sz w:val="22"/>
          <w:szCs w:val="22"/>
          <w:highlight w:val="yellow"/>
          <w:lang w:val="es-ES_tradnl"/>
        </w:rPr>
      </w:pPr>
    </w:p>
    <w:p w14:paraId="784AD3CA" w14:textId="6B75D612" w:rsidR="00D0237C" w:rsidRPr="00460597" w:rsidRDefault="00AB7FFE" w:rsidP="00E07841">
      <w:pPr>
        <w:pStyle w:val="ListParagraph"/>
        <w:numPr>
          <w:ilvl w:val="0"/>
          <w:numId w:val="10"/>
        </w:numPr>
        <w:autoSpaceDE/>
        <w:adjustRightInd/>
        <w:ind w:left="360" w:hanging="360"/>
        <w:jc w:val="both"/>
        <w:rPr>
          <w:sz w:val="22"/>
          <w:szCs w:val="22"/>
          <w:lang w:val="es-ES_tradnl"/>
        </w:rPr>
      </w:pPr>
      <w:r w:rsidRPr="00CA4FD2">
        <w:rPr>
          <w:sz w:val="22"/>
          <w:szCs w:val="22"/>
          <w:lang w:val="es-ES_tradnl"/>
        </w:rPr>
        <w:t>El Plan Estratégico para las Especies Migratorias 2015</w:t>
      </w:r>
      <w:r w:rsidR="00916849" w:rsidRPr="00CA4FD2">
        <w:rPr>
          <w:sz w:val="22"/>
          <w:szCs w:val="22"/>
          <w:lang w:val="es-ES_tradnl"/>
        </w:rPr>
        <w:t>-2023 y las Resoluciones adoptadas por las reuniones de la Conferencia de las Partes</w:t>
      </w:r>
      <w:r w:rsidR="007149BB" w:rsidRPr="00CA4FD2">
        <w:rPr>
          <w:sz w:val="22"/>
          <w:szCs w:val="22"/>
          <w:lang w:val="es-ES_tradnl"/>
        </w:rPr>
        <w:t xml:space="preserve"> guían el trabajo de </w:t>
      </w:r>
      <w:r w:rsidR="0079660C">
        <w:rPr>
          <w:sz w:val="22"/>
          <w:szCs w:val="22"/>
          <w:lang w:val="es-ES_tradnl"/>
        </w:rPr>
        <w:t xml:space="preserve">la Convención estableciendo </w:t>
      </w:r>
      <w:r w:rsidR="007149BB" w:rsidRPr="00CA4FD2">
        <w:rPr>
          <w:sz w:val="22"/>
          <w:szCs w:val="22"/>
          <w:lang w:val="es-ES_tradnl"/>
        </w:rPr>
        <w:t xml:space="preserve">metas para su implementación a nivel nacional, regional y global. Aunque muchas de </w:t>
      </w:r>
      <w:r w:rsidR="00E743E7">
        <w:rPr>
          <w:sz w:val="22"/>
          <w:szCs w:val="22"/>
          <w:lang w:val="es-ES_tradnl"/>
        </w:rPr>
        <w:t>estas</w:t>
      </w:r>
      <w:r w:rsidR="007149BB" w:rsidRPr="00CA4FD2">
        <w:rPr>
          <w:sz w:val="22"/>
          <w:szCs w:val="22"/>
          <w:lang w:val="es-ES_tradnl"/>
        </w:rPr>
        <w:t xml:space="preserve"> provisiones </w:t>
      </w:r>
      <w:r w:rsidR="00E743E7">
        <w:rPr>
          <w:sz w:val="22"/>
          <w:szCs w:val="22"/>
          <w:lang w:val="es-ES_tradnl"/>
        </w:rPr>
        <w:t xml:space="preserve">están dirigidas a </w:t>
      </w:r>
      <w:r w:rsidR="007149BB" w:rsidRPr="00CA4FD2">
        <w:rPr>
          <w:sz w:val="22"/>
          <w:szCs w:val="22"/>
          <w:lang w:val="es-ES_tradnl"/>
        </w:rPr>
        <w:t>las Partes principalmente, algunas de ellas son responsabilidad de la Secretarí</w:t>
      </w:r>
      <w:r w:rsidR="00B74F3E" w:rsidRPr="00CA4FD2">
        <w:rPr>
          <w:sz w:val="22"/>
          <w:szCs w:val="22"/>
          <w:lang w:val="es-ES_tradnl"/>
        </w:rPr>
        <w:t xml:space="preserve">a. </w:t>
      </w:r>
      <w:r w:rsidR="006A3624" w:rsidRPr="00460597">
        <w:rPr>
          <w:sz w:val="22"/>
          <w:szCs w:val="22"/>
          <w:lang w:val="es-ES_tradnl"/>
        </w:rPr>
        <w:t>La 11ª R</w:t>
      </w:r>
      <w:r w:rsidR="00B74F3E" w:rsidRPr="00460597">
        <w:rPr>
          <w:sz w:val="22"/>
          <w:szCs w:val="22"/>
          <w:lang w:val="es-ES_tradnl"/>
        </w:rPr>
        <w:t xml:space="preserve">eunión de la Conferencia de las Partes (COP11), </w:t>
      </w:r>
      <w:r w:rsidR="006A3624" w:rsidRPr="00460597">
        <w:rPr>
          <w:sz w:val="22"/>
          <w:szCs w:val="22"/>
          <w:lang w:val="es-ES_tradnl"/>
        </w:rPr>
        <w:t>celebrada</w:t>
      </w:r>
      <w:r w:rsidR="00B74F3E" w:rsidRPr="00460597">
        <w:rPr>
          <w:sz w:val="22"/>
          <w:szCs w:val="22"/>
          <w:lang w:val="es-ES_tradnl"/>
        </w:rPr>
        <w:t xml:space="preserve"> en noviembre de 2014, adoptó un Programa de Trabajo para 2015-2017 </w:t>
      </w:r>
      <w:r w:rsidR="006A3624" w:rsidRPr="00460597">
        <w:rPr>
          <w:sz w:val="22"/>
          <w:szCs w:val="22"/>
          <w:lang w:val="es-ES_tradnl"/>
        </w:rPr>
        <w:t>a través de</w:t>
      </w:r>
      <w:r w:rsidR="00B74F3E" w:rsidRPr="00460597">
        <w:rPr>
          <w:sz w:val="22"/>
          <w:szCs w:val="22"/>
          <w:lang w:val="es-ES_tradnl"/>
        </w:rPr>
        <w:t xml:space="preserve"> la </w:t>
      </w:r>
      <w:hyperlink r:id="rId15" w:history="1">
        <w:r w:rsidR="00B74F3E" w:rsidRPr="00460597">
          <w:rPr>
            <w:rStyle w:val="Hyperlink"/>
            <w:sz w:val="22"/>
            <w:szCs w:val="22"/>
            <w:lang w:val="es-ES_tradnl"/>
          </w:rPr>
          <w:t>Resolución 11.1 sobre Asuntos Financieros y Administrativos</w:t>
        </w:r>
      </w:hyperlink>
      <w:r w:rsidR="00B74F3E" w:rsidRPr="00460597">
        <w:rPr>
          <w:sz w:val="22"/>
          <w:szCs w:val="22"/>
          <w:lang w:val="es-ES_tradnl"/>
        </w:rPr>
        <w:t xml:space="preserve">, </w:t>
      </w:r>
      <w:r w:rsidR="00CA4FD2" w:rsidRPr="00460597">
        <w:rPr>
          <w:sz w:val="22"/>
          <w:szCs w:val="22"/>
          <w:lang w:val="es-ES_tradnl"/>
        </w:rPr>
        <w:t xml:space="preserve">la cual detalla una lista de actividades </w:t>
      </w:r>
      <w:r w:rsidR="00C363C7" w:rsidRPr="00460597">
        <w:rPr>
          <w:sz w:val="22"/>
          <w:szCs w:val="22"/>
          <w:lang w:val="es-ES_tradnl"/>
        </w:rPr>
        <w:t>a realizar</w:t>
      </w:r>
      <w:r w:rsidR="00CA4FD2" w:rsidRPr="00460597">
        <w:rPr>
          <w:sz w:val="22"/>
          <w:szCs w:val="22"/>
          <w:lang w:val="es-ES_tradnl"/>
        </w:rPr>
        <w:t xml:space="preserve"> por la Secretaría incluyendo la provisión de</w:t>
      </w:r>
      <w:r w:rsidR="00B554F0" w:rsidRPr="00460597">
        <w:rPr>
          <w:sz w:val="22"/>
          <w:szCs w:val="22"/>
          <w:lang w:val="es-ES_tradnl"/>
        </w:rPr>
        <w:t xml:space="preserve"> servicios administrativos y coordinación para varios de sus acuerdos </w:t>
      </w:r>
      <w:r w:rsidR="00C363C7" w:rsidRPr="00460597">
        <w:rPr>
          <w:sz w:val="22"/>
          <w:szCs w:val="22"/>
          <w:lang w:val="es-ES_tradnl"/>
        </w:rPr>
        <w:t xml:space="preserve">hijos </w:t>
      </w:r>
      <w:r w:rsidR="00B554F0" w:rsidRPr="00460597">
        <w:rPr>
          <w:sz w:val="22"/>
          <w:szCs w:val="22"/>
          <w:lang w:val="es-ES_tradnl"/>
        </w:rPr>
        <w:t xml:space="preserve">que no poseen un presupuesto propio. No obstante, el presupuesto para el trienio aprobado por la COP para 2015-2017 ha sido destinado principalmente a los salarios del personal, costes de </w:t>
      </w:r>
      <w:r w:rsidR="00460597" w:rsidRPr="00460597">
        <w:rPr>
          <w:sz w:val="22"/>
          <w:szCs w:val="22"/>
          <w:lang w:val="es-ES_tradnl"/>
        </w:rPr>
        <w:t>funcionamiento</w:t>
      </w:r>
      <w:r w:rsidR="002C66BA" w:rsidRPr="00460597">
        <w:rPr>
          <w:sz w:val="22"/>
          <w:szCs w:val="22"/>
          <w:lang w:val="es-ES_tradnl"/>
        </w:rPr>
        <w:t xml:space="preserve"> y algunas actividades, </w:t>
      </w:r>
      <w:r w:rsidR="00460597" w:rsidRPr="00460597">
        <w:rPr>
          <w:sz w:val="22"/>
          <w:szCs w:val="22"/>
          <w:lang w:val="es-ES_tradnl"/>
        </w:rPr>
        <w:t>si bien</w:t>
      </w:r>
      <w:r w:rsidR="002C66BA" w:rsidRPr="00460597">
        <w:rPr>
          <w:sz w:val="22"/>
          <w:szCs w:val="22"/>
          <w:lang w:val="es-ES_tradnl"/>
        </w:rPr>
        <w:t xml:space="preserve"> se </w:t>
      </w:r>
      <w:r w:rsidR="00460597" w:rsidRPr="00460597">
        <w:rPr>
          <w:sz w:val="22"/>
          <w:szCs w:val="22"/>
          <w:lang w:val="es-ES_tradnl"/>
        </w:rPr>
        <w:t>consiguieron</w:t>
      </w:r>
      <w:r w:rsidR="002C66BA" w:rsidRPr="00460597">
        <w:rPr>
          <w:sz w:val="22"/>
          <w:szCs w:val="22"/>
          <w:lang w:val="es-ES_tradnl"/>
        </w:rPr>
        <w:t xml:space="preserve"> contribuciones voluntarias para la mayoría de las actividades encomendadas.</w:t>
      </w:r>
    </w:p>
    <w:p w14:paraId="056018C1" w14:textId="77777777" w:rsidR="000545FA" w:rsidRPr="00E019BC" w:rsidRDefault="000545FA" w:rsidP="00E07841">
      <w:pPr>
        <w:ind w:left="360" w:hanging="360"/>
        <w:rPr>
          <w:rFonts w:cs="Arial"/>
          <w:sz w:val="22"/>
          <w:szCs w:val="22"/>
          <w:highlight w:val="yellow"/>
          <w:lang w:val="es-ES_tradnl"/>
        </w:rPr>
      </w:pPr>
    </w:p>
    <w:p w14:paraId="0C47F321" w14:textId="3F46DDEE" w:rsidR="0023199F" w:rsidRPr="0023199F" w:rsidRDefault="0023199F" w:rsidP="00E07841">
      <w:pPr>
        <w:ind w:left="360" w:hanging="360"/>
        <w:rPr>
          <w:rFonts w:cs="Arial"/>
          <w:sz w:val="22"/>
          <w:szCs w:val="22"/>
          <w:u w:val="single"/>
          <w:lang w:val="es-ES_tradnl"/>
        </w:rPr>
      </w:pPr>
      <w:r w:rsidRPr="0023199F">
        <w:rPr>
          <w:rFonts w:cs="Arial"/>
          <w:sz w:val="22"/>
          <w:szCs w:val="22"/>
          <w:u w:val="single"/>
          <w:lang w:val="es-ES_tradnl"/>
        </w:rPr>
        <w:t>Esfuerzos</w:t>
      </w:r>
    </w:p>
    <w:p w14:paraId="6E6EFEB4" w14:textId="77777777" w:rsidR="00EB3799" w:rsidRPr="00E019BC" w:rsidRDefault="00EB3799" w:rsidP="00E07841">
      <w:pPr>
        <w:ind w:left="360" w:hanging="360"/>
        <w:rPr>
          <w:rFonts w:cs="Arial"/>
          <w:sz w:val="22"/>
          <w:szCs w:val="22"/>
          <w:highlight w:val="yellow"/>
          <w:lang w:val="es-ES_tradnl"/>
        </w:rPr>
      </w:pPr>
    </w:p>
    <w:p w14:paraId="0B9355ED" w14:textId="5D423CBA" w:rsidR="009F3C6E" w:rsidRPr="009F3C6E" w:rsidRDefault="009F3C6E" w:rsidP="00E07841">
      <w:pPr>
        <w:pStyle w:val="ListParagraph"/>
        <w:numPr>
          <w:ilvl w:val="0"/>
          <w:numId w:val="10"/>
        </w:numPr>
        <w:autoSpaceDE/>
        <w:adjustRightInd/>
        <w:ind w:left="360" w:hanging="360"/>
        <w:jc w:val="both"/>
        <w:rPr>
          <w:rFonts w:cs="Arial"/>
          <w:sz w:val="22"/>
          <w:szCs w:val="22"/>
          <w:lang w:val="es-ES_tradnl"/>
        </w:rPr>
      </w:pPr>
      <w:r w:rsidRPr="009F3C6E">
        <w:rPr>
          <w:rFonts w:cs="Arial"/>
          <w:sz w:val="22"/>
          <w:szCs w:val="22"/>
          <w:lang w:val="es-ES_tradnl"/>
        </w:rPr>
        <w:t xml:space="preserve">En el trienio 2015-2017, </w:t>
      </w:r>
      <w:r w:rsidR="00F05AA3">
        <w:rPr>
          <w:rFonts w:cs="Arial"/>
          <w:sz w:val="22"/>
          <w:szCs w:val="22"/>
          <w:lang w:val="es-ES_tradnl"/>
        </w:rPr>
        <w:t xml:space="preserve">los esfuerzos de movilización de recursos por parte de la Secretaría </w:t>
      </w:r>
      <w:r w:rsidR="0058018F">
        <w:rPr>
          <w:rFonts w:cs="Arial"/>
          <w:sz w:val="22"/>
          <w:szCs w:val="22"/>
          <w:lang w:val="es-ES_tradnl"/>
        </w:rPr>
        <w:t>se han guiado</w:t>
      </w:r>
      <w:r w:rsidR="00881362">
        <w:rPr>
          <w:rFonts w:cs="Arial"/>
          <w:sz w:val="22"/>
          <w:szCs w:val="22"/>
          <w:lang w:val="es-ES_tradnl"/>
        </w:rPr>
        <w:t xml:space="preserve"> y </w:t>
      </w:r>
      <w:r w:rsidR="0058018F">
        <w:rPr>
          <w:rFonts w:cs="Arial"/>
          <w:sz w:val="22"/>
          <w:szCs w:val="22"/>
          <w:lang w:val="es-ES_tradnl"/>
        </w:rPr>
        <w:t>basado</w:t>
      </w:r>
      <w:r w:rsidR="00881362">
        <w:rPr>
          <w:rFonts w:cs="Arial"/>
          <w:sz w:val="22"/>
          <w:szCs w:val="22"/>
          <w:lang w:val="es-ES_tradnl"/>
        </w:rPr>
        <w:t xml:space="preserve"> en los elementos del siguiente marco de trabajo </w:t>
      </w:r>
      <w:r w:rsidR="0058018F">
        <w:rPr>
          <w:rFonts w:cs="Arial"/>
          <w:sz w:val="22"/>
          <w:szCs w:val="22"/>
          <w:lang w:val="es-ES_tradnl"/>
        </w:rPr>
        <w:t xml:space="preserve">lógico </w:t>
      </w:r>
      <w:r w:rsidR="00881362">
        <w:rPr>
          <w:rFonts w:cs="Arial"/>
          <w:sz w:val="22"/>
          <w:szCs w:val="22"/>
          <w:lang w:val="es-ES_tradnl"/>
        </w:rPr>
        <w:t>básico:</w:t>
      </w:r>
    </w:p>
    <w:p w14:paraId="784CC2B0" w14:textId="0894F1E9" w:rsidR="00101D7D" w:rsidRPr="00E07841" w:rsidRDefault="00101D7D" w:rsidP="004B7F3D">
      <w:pPr>
        <w:pStyle w:val="ListParagraph"/>
        <w:ind w:left="0"/>
        <w:jc w:val="both"/>
        <w:rPr>
          <w:rFonts w:cs="Arial"/>
          <w:i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7818"/>
      </w:tblGrid>
      <w:tr w:rsidR="00101D7D" w:rsidRPr="008E407D" w14:paraId="6A9FD1DF" w14:textId="77777777" w:rsidTr="00EB3799">
        <w:trPr>
          <w:trHeight w:val="665"/>
        </w:trPr>
        <w:tc>
          <w:tcPr>
            <w:tcW w:w="1255" w:type="dxa"/>
            <w:shd w:val="clear" w:color="auto" w:fill="F7CAAC" w:themeFill="accent2" w:themeFillTint="66"/>
            <w:vAlign w:val="center"/>
          </w:tcPr>
          <w:p w14:paraId="1659D10D" w14:textId="1F49ED80" w:rsidR="00101D7D" w:rsidRPr="004B46B0" w:rsidRDefault="004B46B0" w:rsidP="006471FE">
            <w:pPr>
              <w:pStyle w:val="ListParagraph"/>
              <w:ind w:left="0"/>
              <w:rPr>
                <w:rFonts w:cs="Arial"/>
                <w:b/>
                <w:i/>
                <w:sz w:val="22"/>
                <w:szCs w:val="22"/>
                <w:lang w:val="es-ES_tradnl"/>
              </w:rPr>
            </w:pPr>
            <w:r w:rsidRPr="004B46B0">
              <w:rPr>
                <w:rFonts w:cs="Arial"/>
                <w:b/>
                <w:i/>
                <w:sz w:val="22"/>
                <w:szCs w:val="22"/>
                <w:lang w:val="es-ES_tradnl"/>
              </w:rPr>
              <w:t>META</w:t>
            </w:r>
          </w:p>
        </w:tc>
        <w:tc>
          <w:tcPr>
            <w:tcW w:w="7818" w:type="dxa"/>
            <w:vAlign w:val="center"/>
          </w:tcPr>
          <w:p w14:paraId="0EB5AC4D" w14:textId="5442CF1B" w:rsidR="00101D7D" w:rsidRPr="004B46B0" w:rsidRDefault="009F3E51" w:rsidP="006471FE">
            <w:pPr>
              <w:pStyle w:val="ListParagraph"/>
              <w:ind w:left="0"/>
              <w:rPr>
                <w:rFonts w:cs="Arial"/>
                <w:i/>
                <w:sz w:val="22"/>
                <w:szCs w:val="22"/>
                <w:lang w:val="es-ES_tradnl"/>
              </w:rPr>
            </w:pPr>
            <w:r>
              <w:rPr>
                <w:rFonts w:cs="Arial"/>
                <w:i/>
                <w:sz w:val="22"/>
                <w:szCs w:val="22"/>
                <w:lang w:val="es-ES_tradnl"/>
              </w:rPr>
              <w:t>Asegurar tantos recursos como sea posible para la implementación del Plan Estratégico para las Especies Migratorias</w:t>
            </w:r>
          </w:p>
        </w:tc>
      </w:tr>
    </w:tbl>
    <w:p w14:paraId="7E5B32D3" w14:textId="77777777" w:rsidR="00EB3799" w:rsidRPr="00E07841" w:rsidRDefault="00EB3799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2"/>
        <w:gridCol w:w="1437"/>
        <w:gridCol w:w="1266"/>
        <w:gridCol w:w="5118"/>
      </w:tblGrid>
      <w:tr w:rsidR="00D755FD" w:rsidRPr="008E407D" w14:paraId="413BF3B8" w14:textId="77777777" w:rsidTr="00214148">
        <w:trPr>
          <w:trHeight w:val="665"/>
        </w:trPr>
        <w:tc>
          <w:tcPr>
            <w:tcW w:w="1252" w:type="dxa"/>
            <w:shd w:val="clear" w:color="auto" w:fill="FFE599" w:themeFill="accent4" w:themeFillTint="66"/>
            <w:vAlign w:val="center"/>
          </w:tcPr>
          <w:p w14:paraId="38F45EFC" w14:textId="3C8EE260" w:rsidR="00D755FD" w:rsidRPr="004B46B0" w:rsidRDefault="004B46B0" w:rsidP="00D755FD">
            <w:pPr>
              <w:pStyle w:val="ListParagraph"/>
              <w:ind w:left="0"/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4B46B0">
              <w:rPr>
                <w:rFonts w:cs="Arial"/>
                <w:bCs/>
                <w:sz w:val="20"/>
                <w:szCs w:val="20"/>
                <w:lang w:val="es-ES_tradnl"/>
              </w:rPr>
              <w:t>Objetivo</w:t>
            </w:r>
            <w:r w:rsidR="00D755FD" w:rsidRPr="004B46B0">
              <w:rPr>
                <w:rFonts w:cs="Arial"/>
                <w:bCs/>
                <w:sz w:val="20"/>
                <w:szCs w:val="20"/>
                <w:lang w:val="es-ES_tradnl"/>
              </w:rPr>
              <w:t xml:space="preserve"> 1</w:t>
            </w:r>
          </w:p>
        </w:tc>
        <w:tc>
          <w:tcPr>
            <w:tcW w:w="7821" w:type="dxa"/>
            <w:gridSpan w:val="3"/>
            <w:vAlign w:val="center"/>
          </w:tcPr>
          <w:p w14:paraId="11ECB72D" w14:textId="0161D17C" w:rsidR="00D755FD" w:rsidRPr="004B46B0" w:rsidRDefault="001E6F57" w:rsidP="00D755FD">
            <w:pPr>
              <w:pStyle w:val="ListParagraph"/>
              <w:ind w:left="0"/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084965">
              <w:rPr>
                <w:rFonts w:cs="Arial"/>
                <w:bCs/>
                <w:sz w:val="20"/>
                <w:szCs w:val="20"/>
                <w:lang w:val="es-ES_tradnl"/>
              </w:rPr>
              <w:t>Asegurar</w:t>
            </w:r>
            <w:r w:rsidR="00084965">
              <w:rPr>
                <w:rFonts w:cs="Arial"/>
                <w:bCs/>
                <w:sz w:val="20"/>
                <w:szCs w:val="20"/>
                <w:lang w:val="es-ES_tradnl"/>
              </w:rPr>
              <w:t xml:space="preserve"> una financiación predecible, adecuada y regular y compromisos de varios años</w:t>
            </w:r>
          </w:p>
        </w:tc>
      </w:tr>
      <w:tr w:rsidR="00D755FD" w:rsidRPr="008E407D" w14:paraId="2524D4F3" w14:textId="77777777" w:rsidTr="00214148">
        <w:trPr>
          <w:gridBefore w:val="1"/>
          <w:wBefore w:w="1252" w:type="dxa"/>
          <w:trHeight w:val="548"/>
        </w:trPr>
        <w:tc>
          <w:tcPr>
            <w:tcW w:w="1437" w:type="dxa"/>
            <w:shd w:val="clear" w:color="auto" w:fill="BDD6EE" w:themeFill="accent1" w:themeFillTint="66"/>
            <w:vAlign w:val="center"/>
          </w:tcPr>
          <w:p w14:paraId="1043584B" w14:textId="79FB2CD9" w:rsidR="00D755FD" w:rsidRPr="004B46B0" w:rsidRDefault="00C45410" w:rsidP="00D755FD">
            <w:pPr>
              <w:pStyle w:val="ListParagraph"/>
              <w:ind w:left="0"/>
              <w:rPr>
                <w:rFonts w:cs="Arial"/>
                <w:sz w:val="19"/>
                <w:szCs w:val="19"/>
                <w:lang w:val="es-ES_tradnl"/>
              </w:rPr>
            </w:pPr>
            <w:r>
              <w:rPr>
                <w:rFonts w:cs="Arial"/>
                <w:sz w:val="19"/>
                <w:szCs w:val="19"/>
                <w:lang w:val="es-ES_tradnl"/>
              </w:rPr>
              <w:t>Estrategia</w:t>
            </w:r>
            <w:r w:rsidR="00D755FD" w:rsidRPr="004B46B0">
              <w:rPr>
                <w:rFonts w:cs="Arial"/>
                <w:sz w:val="19"/>
                <w:szCs w:val="19"/>
                <w:lang w:val="es-ES_tradnl"/>
              </w:rPr>
              <w:t xml:space="preserve"> 1.1</w:t>
            </w:r>
          </w:p>
        </w:tc>
        <w:tc>
          <w:tcPr>
            <w:tcW w:w="6384" w:type="dxa"/>
            <w:gridSpan w:val="2"/>
            <w:vAlign w:val="center"/>
          </w:tcPr>
          <w:p w14:paraId="029EE787" w14:textId="180F5864" w:rsidR="00D755FD" w:rsidRPr="004B46B0" w:rsidRDefault="00BD639A" w:rsidP="00C535D7">
            <w:pPr>
              <w:pStyle w:val="ListParagraph"/>
              <w:ind w:left="0"/>
              <w:jc w:val="both"/>
              <w:rPr>
                <w:rFonts w:cs="Arial"/>
                <w:bCs/>
                <w:sz w:val="19"/>
                <w:szCs w:val="19"/>
                <w:lang w:val="es-ES_tradnl"/>
              </w:rPr>
            </w:pPr>
            <w:r>
              <w:rPr>
                <w:rFonts w:cs="Arial"/>
                <w:bCs/>
                <w:sz w:val="19"/>
                <w:szCs w:val="19"/>
                <w:lang w:val="es-ES_tradnl"/>
              </w:rPr>
              <w:t>Priorizar</w:t>
            </w:r>
            <w:r w:rsidR="00144BF7">
              <w:rPr>
                <w:rFonts w:cs="Arial"/>
                <w:bCs/>
                <w:sz w:val="19"/>
                <w:szCs w:val="19"/>
                <w:lang w:val="es-ES_tradnl"/>
              </w:rPr>
              <w:t xml:space="preserve"> </w:t>
            </w:r>
            <w:r>
              <w:rPr>
                <w:rFonts w:cs="Arial"/>
                <w:bCs/>
                <w:sz w:val="19"/>
                <w:szCs w:val="19"/>
                <w:lang w:val="es-ES_tradnl"/>
              </w:rPr>
              <w:t xml:space="preserve">la </w:t>
            </w:r>
            <w:r w:rsidR="00144BF7">
              <w:rPr>
                <w:rFonts w:cs="Arial"/>
                <w:bCs/>
                <w:sz w:val="19"/>
                <w:szCs w:val="19"/>
                <w:lang w:val="es-ES_tradnl"/>
              </w:rPr>
              <w:t>asignación de</w:t>
            </w:r>
            <w:r w:rsidR="00A9119A">
              <w:rPr>
                <w:rFonts w:cs="Arial"/>
                <w:bCs/>
                <w:sz w:val="19"/>
                <w:szCs w:val="19"/>
                <w:lang w:val="es-ES_tradnl"/>
              </w:rPr>
              <w:t xml:space="preserve"> las necesidades de financiación </w:t>
            </w:r>
            <w:r w:rsidR="00C535D7">
              <w:rPr>
                <w:rFonts w:cs="Arial"/>
                <w:bCs/>
                <w:sz w:val="19"/>
                <w:szCs w:val="19"/>
                <w:lang w:val="es-ES_tradnl"/>
              </w:rPr>
              <w:t>según su</w:t>
            </w:r>
            <w:r w:rsidR="00A9119A">
              <w:rPr>
                <w:rFonts w:cs="Arial"/>
                <w:bCs/>
                <w:sz w:val="19"/>
                <w:szCs w:val="19"/>
                <w:lang w:val="es-ES_tradnl"/>
              </w:rPr>
              <w:t xml:space="preserve"> capacidad de logro p.ej. resumen de las necesidades de financiación derivadas del Programa de Trabajo (PdT)</w:t>
            </w:r>
          </w:p>
        </w:tc>
      </w:tr>
      <w:tr w:rsidR="00D755FD" w:rsidRPr="008E407D" w14:paraId="18B7BF21" w14:textId="77777777" w:rsidTr="00214148">
        <w:trPr>
          <w:gridBefore w:val="2"/>
          <w:wBefore w:w="2689" w:type="dxa"/>
          <w:trHeight w:val="440"/>
        </w:trPr>
        <w:tc>
          <w:tcPr>
            <w:tcW w:w="1266" w:type="dxa"/>
            <w:shd w:val="clear" w:color="auto" w:fill="C5E0B3" w:themeFill="accent6" w:themeFillTint="66"/>
            <w:vAlign w:val="center"/>
          </w:tcPr>
          <w:p w14:paraId="110A3CE2" w14:textId="4D11C02D" w:rsidR="00D755FD" w:rsidRPr="004B46B0" w:rsidRDefault="00A9119A" w:rsidP="00D755FD">
            <w:pPr>
              <w:pStyle w:val="ListParagraph"/>
              <w:ind w:left="0"/>
              <w:rPr>
                <w:rFonts w:cs="Arial"/>
                <w:i/>
                <w:szCs w:val="18"/>
                <w:lang w:val="es-ES_tradnl"/>
              </w:rPr>
            </w:pPr>
            <w:r>
              <w:rPr>
                <w:rFonts w:cs="Arial"/>
                <w:i/>
                <w:szCs w:val="18"/>
                <w:lang w:val="es-ES_tradnl"/>
              </w:rPr>
              <w:t>Herramienta</w:t>
            </w:r>
            <w:r w:rsidR="00D755FD" w:rsidRPr="004B46B0">
              <w:rPr>
                <w:rFonts w:cs="Arial"/>
                <w:i/>
                <w:szCs w:val="18"/>
                <w:lang w:val="es-ES_tradnl"/>
              </w:rPr>
              <w:t xml:space="preserve"> 1.1.1</w:t>
            </w:r>
          </w:p>
        </w:tc>
        <w:tc>
          <w:tcPr>
            <w:tcW w:w="5118" w:type="dxa"/>
            <w:vAlign w:val="center"/>
          </w:tcPr>
          <w:p w14:paraId="50CE62F9" w14:textId="5FBC0005" w:rsidR="00D755FD" w:rsidRPr="00D01FBE" w:rsidRDefault="000C2873" w:rsidP="00D755FD">
            <w:pPr>
              <w:pStyle w:val="ListParagraph"/>
              <w:ind w:left="0"/>
              <w:jc w:val="both"/>
              <w:rPr>
                <w:rFonts w:cs="Arial"/>
                <w:bCs/>
                <w:szCs w:val="18"/>
                <w:highlight w:val="yellow"/>
                <w:lang w:val="es-ES_tradnl"/>
              </w:rPr>
            </w:pPr>
            <w:r w:rsidRPr="00F55165">
              <w:rPr>
                <w:rFonts w:cs="Arial"/>
                <w:bCs/>
                <w:szCs w:val="18"/>
                <w:lang w:val="es-ES_tradnl"/>
              </w:rPr>
              <w:t>Peticiones generales – cartas a donantes potenciales</w:t>
            </w:r>
            <w:r w:rsidR="00F55165">
              <w:rPr>
                <w:rFonts w:cs="Arial"/>
                <w:bCs/>
                <w:szCs w:val="18"/>
                <w:lang w:val="es-ES_tradnl"/>
              </w:rPr>
              <w:t xml:space="preserve"> incluyendo las Partes de la CMS y los Signatarios de los MDE con </w:t>
            </w:r>
            <w:r w:rsidR="00D01FBE">
              <w:rPr>
                <w:rFonts w:cs="Arial"/>
                <w:bCs/>
                <w:szCs w:val="18"/>
                <w:lang w:val="es-ES_tradnl"/>
              </w:rPr>
              <w:t xml:space="preserve">las </w:t>
            </w:r>
            <w:r w:rsidR="00F55165">
              <w:rPr>
                <w:rFonts w:cs="Arial"/>
                <w:bCs/>
                <w:szCs w:val="18"/>
                <w:lang w:val="es-ES_tradnl"/>
              </w:rPr>
              <w:t>necesidades de financiación (PdT)</w:t>
            </w:r>
          </w:p>
        </w:tc>
      </w:tr>
      <w:tr w:rsidR="00D755FD" w:rsidRPr="008E407D" w14:paraId="0E99C7AE" w14:textId="77777777" w:rsidTr="00214148">
        <w:trPr>
          <w:gridBefore w:val="2"/>
          <w:wBefore w:w="2689" w:type="dxa"/>
          <w:trHeight w:val="530"/>
        </w:trPr>
        <w:tc>
          <w:tcPr>
            <w:tcW w:w="1266" w:type="dxa"/>
            <w:shd w:val="clear" w:color="auto" w:fill="C5E0B3" w:themeFill="accent6" w:themeFillTint="66"/>
            <w:vAlign w:val="center"/>
          </w:tcPr>
          <w:p w14:paraId="415B132C" w14:textId="3AE75347" w:rsidR="00D755FD" w:rsidRPr="004B46B0" w:rsidRDefault="00A9119A" w:rsidP="00D755FD">
            <w:pPr>
              <w:pStyle w:val="ListParagraph"/>
              <w:ind w:left="0"/>
              <w:rPr>
                <w:rFonts w:cs="Arial"/>
                <w:i/>
                <w:szCs w:val="18"/>
                <w:lang w:val="es-ES_tradnl"/>
              </w:rPr>
            </w:pPr>
            <w:r>
              <w:rPr>
                <w:rFonts w:cs="Arial"/>
                <w:i/>
                <w:szCs w:val="18"/>
                <w:lang w:val="es-ES_tradnl"/>
              </w:rPr>
              <w:t>Herramienta</w:t>
            </w:r>
            <w:r w:rsidR="00D755FD" w:rsidRPr="004B46B0">
              <w:rPr>
                <w:rFonts w:cs="Arial"/>
                <w:i/>
                <w:szCs w:val="18"/>
                <w:lang w:val="es-ES_tradnl"/>
              </w:rPr>
              <w:t xml:space="preserve"> 1.1.2</w:t>
            </w:r>
          </w:p>
        </w:tc>
        <w:tc>
          <w:tcPr>
            <w:tcW w:w="5118" w:type="dxa"/>
            <w:vAlign w:val="center"/>
          </w:tcPr>
          <w:p w14:paraId="5DFB5932" w14:textId="0001018D" w:rsidR="00D755FD" w:rsidRPr="004B46B0" w:rsidRDefault="0095703F" w:rsidP="00D755FD">
            <w:pPr>
              <w:pStyle w:val="ListParagraph"/>
              <w:ind w:left="0"/>
              <w:jc w:val="both"/>
              <w:rPr>
                <w:rFonts w:cs="Arial"/>
                <w:bCs/>
                <w:szCs w:val="18"/>
                <w:lang w:val="es-ES_tradnl"/>
              </w:rPr>
            </w:pPr>
            <w:r>
              <w:rPr>
                <w:rFonts w:cs="Arial"/>
                <w:bCs/>
                <w:szCs w:val="18"/>
                <w:lang w:val="es-ES_tradnl"/>
              </w:rPr>
              <w:t>Contacto</w:t>
            </w:r>
            <w:r w:rsidR="00B923D9" w:rsidRPr="00B923D9">
              <w:rPr>
                <w:rFonts w:cs="Arial"/>
                <w:bCs/>
                <w:szCs w:val="18"/>
                <w:lang w:val="es-ES_tradnl"/>
              </w:rPr>
              <w:t xml:space="preserve"> </w:t>
            </w:r>
            <w:r>
              <w:rPr>
                <w:rFonts w:cs="Arial"/>
                <w:bCs/>
                <w:szCs w:val="18"/>
                <w:lang w:val="es-ES_tradnl"/>
              </w:rPr>
              <w:t>personalizado</w:t>
            </w:r>
            <w:r w:rsidR="00B923D9">
              <w:rPr>
                <w:rFonts w:cs="Arial"/>
                <w:bCs/>
                <w:szCs w:val="18"/>
                <w:lang w:val="es-ES_tradnl"/>
              </w:rPr>
              <w:t xml:space="preserve"> – comunicaciones escritas y contactos directos y personales </w:t>
            </w:r>
            <w:r>
              <w:rPr>
                <w:rFonts w:cs="Arial"/>
                <w:bCs/>
                <w:szCs w:val="18"/>
                <w:lang w:val="es-ES_tradnl"/>
              </w:rPr>
              <w:t>con donantes potenciales sobre</w:t>
            </w:r>
            <w:r w:rsidR="00B923D9">
              <w:rPr>
                <w:rFonts w:cs="Arial"/>
                <w:bCs/>
                <w:szCs w:val="18"/>
                <w:lang w:val="es-ES_tradnl"/>
              </w:rPr>
              <w:t xml:space="preserve"> propuestas específicas</w:t>
            </w:r>
          </w:p>
        </w:tc>
      </w:tr>
      <w:tr w:rsidR="00D755FD" w:rsidRPr="008E407D" w14:paraId="5A31D318" w14:textId="77777777" w:rsidTr="00214148">
        <w:trPr>
          <w:gridBefore w:val="1"/>
          <w:wBefore w:w="1252" w:type="dxa"/>
          <w:trHeight w:val="530"/>
        </w:trPr>
        <w:tc>
          <w:tcPr>
            <w:tcW w:w="1437" w:type="dxa"/>
            <w:shd w:val="clear" w:color="auto" w:fill="BDD6EE" w:themeFill="accent1" w:themeFillTint="66"/>
            <w:vAlign w:val="center"/>
          </w:tcPr>
          <w:p w14:paraId="5C2C1234" w14:textId="1066B7C1" w:rsidR="00D755FD" w:rsidRPr="004B46B0" w:rsidRDefault="00E40115" w:rsidP="00D755FD">
            <w:pPr>
              <w:pStyle w:val="ListParagraph"/>
              <w:ind w:left="0"/>
              <w:rPr>
                <w:rFonts w:cs="Arial"/>
                <w:sz w:val="19"/>
                <w:szCs w:val="19"/>
                <w:lang w:val="es-ES_tradnl"/>
              </w:rPr>
            </w:pPr>
            <w:r>
              <w:rPr>
                <w:rFonts w:cs="Arial"/>
                <w:sz w:val="19"/>
                <w:szCs w:val="19"/>
                <w:lang w:val="es-ES_tradnl"/>
              </w:rPr>
              <w:t>Estrategia</w:t>
            </w:r>
            <w:r w:rsidR="00D755FD" w:rsidRPr="004B46B0">
              <w:rPr>
                <w:rFonts w:cs="Arial"/>
                <w:sz w:val="19"/>
                <w:szCs w:val="19"/>
                <w:lang w:val="es-ES_tradnl"/>
              </w:rPr>
              <w:t xml:space="preserve"> 1.2</w:t>
            </w:r>
          </w:p>
        </w:tc>
        <w:tc>
          <w:tcPr>
            <w:tcW w:w="6384" w:type="dxa"/>
            <w:gridSpan w:val="2"/>
            <w:vAlign w:val="center"/>
          </w:tcPr>
          <w:p w14:paraId="21C33E18" w14:textId="1B263127" w:rsidR="00D755FD" w:rsidRPr="004B46B0" w:rsidRDefault="007C5DE5" w:rsidP="006C1291">
            <w:pPr>
              <w:pStyle w:val="ListParagraph"/>
              <w:ind w:left="0"/>
              <w:jc w:val="both"/>
              <w:rPr>
                <w:rFonts w:cs="Arial"/>
                <w:sz w:val="19"/>
                <w:szCs w:val="19"/>
                <w:lang w:val="es-ES_tradnl"/>
              </w:rPr>
            </w:pPr>
            <w:r>
              <w:rPr>
                <w:rFonts w:cs="Arial"/>
                <w:sz w:val="19"/>
                <w:szCs w:val="19"/>
                <w:lang w:val="es-ES_tradnl"/>
              </w:rPr>
              <w:t>Participar en</w:t>
            </w:r>
            <w:r w:rsidR="007454D9" w:rsidRPr="007454D9">
              <w:rPr>
                <w:rFonts w:cs="Arial"/>
                <w:sz w:val="19"/>
                <w:szCs w:val="19"/>
                <w:lang w:val="es-ES_tradnl"/>
              </w:rPr>
              <w:t xml:space="preserve"> acuerdos de financiación d</w:t>
            </w:r>
            <w:r>
              <w:rPr>
                <w:rFonts w:cs="Arial"/>
                <w:sz w:val="19"/>
                <w:szCs w:val="19"/>
                <w:lang w:val="es-ES_tradnl"/>
              </w:rPr>
              <w:t>e</w:t>
            </w:r>
            <w:r w:rsidR="007454D9" w:rsidRPr="007454D9">
              <w:rPr>
                <w:rFonts w:cs="Arial"/>
                <w:sz w:val="19"/>
                <w:szCs w:val="19"/>
                <w:lang w:val="es-ES_tradnl"/>
              </w:rPr>
              <w:t xml:space="preserve"> varios años p.ej. con subvenciones de la CE</w:t>
            </w:r>
            <w:r w:rsidR="007454D9" w:rsidRPr="007454D9">
              <w:rPr>
                <w:rStyle w:val="FootnoteReference"/>
                <w:sz w:val="19"/>
                <w:szCs w:val="19"/>
                <w:vertAlign w:val="superscript"/>
                <w:lang w:val="es-ES_tradnl"/>
              </w:rPr>
              <w:footnoteReference w:id="1"/>
            </w:r>
            <w:r w:rsidR="007454D9" w:rsidRPr="007454D9">
              <w:rPr>
                <w:rFonts w:cs="Arial"/>
                <w:sz w:val="19"/>
                <w:szCs w:val="19"/>
                <w:lang w:val="es-ES_tradnl"/>
              </w:rPr>
              <w:t>, IKI</w:t>
            </w:r>
            <w:r w:rsidR="007454D9" w:rsidRPr="007454D9">
              <w:rPr>
                <w:rStyle w:val="FootnoteReference"/>
                <w:sz w:val="19"/>
                <w:szCs w:val="19"/>
                <w:vertAlign w:val="superscript"/>
                <w:lang w:val="es-ES_tradnl"/>
              </w:rPr>
              <w:footnoteReference w:id="2"/>
            </w:r>
          </w:p>
        </w:tc>
      </w:tr>
      <w:tr w:rsidR="00D755FD" w:rsidRPr="008E407D" w14:paraId="44272903" w14:textId="77777777" w:rsidTr="00214148">
        <w:trPr>
          <w:gridBefore w:val="2"/>
          <w:wBefore w:w="2689" w:type="dxa"/>
          <w:trHeight w:val="440"/>
        </w:trPr>
        <w:tc>
          <w:tcPr>
            <w:tcW w:w="1266" w:type="dxa"/>
            <w:shd w:val="clear" w:color="auto" w:fill="C5E0B3" w:themeFill="accent6" w:themeFillTint="66"/>
            <w:vAlign w:val="center"/>
          </w:tcPr>
          <w:p w14:paraId="447C1849" w14:textId="1FEA12E9" w:rsidR="00D755FD" w:rsidRPr="004B46B0" w:rsidRDefault="00F33799" w:rsidP="00D755FD">
            <w:pPr>
              <w:pStyle w:val="ListParagraph"/>
              <w:ind w:left="0"/>
              <w:rPr>
                <w:rFonts w:cs="Arial"/>
                <w:i/>
                <w:szCs w:val="18"/>
                <w:lang w:val="es-ES_tradnl"/>
              </w:rPr>
            </w:pPr>
            <w:r>
              <w:rPr>
                <w:rFonts w:cs="Arial"/>
                <w:i/>
                <w:szCs w:val="18"/>
                <w:lang w:val="es-ES_tradnl"/>
              </w:rPr>
              <w:t>Herramienta</w:t>
            </w:r>
            <w:r w:rsidR="00D755FD" w:rsidRPr="004B46B0">
              <w:rPr>
                <w:rFonts w:cs="Arial"/>
                <w:i/>
                <w:szCs w:val="18"/>
                <w:lang w:val="es-ES_tradnl"/>
              </w:rPr>
              <w:t xml:space="preserve"> 1.2.1</w:t>
            </w:r>
          </w:p>
        </w:tc>
        <w:tc>
          <w:tcPr>
            <w:tcW w:w="5118" w:type="dxa"/>
            <w:vAlign w:val="center"/>
          </w:tcPr>
          <w:p w14:paraId="67BC76D1" w14:textId="3B39E660" w:rsidR="00D755FD" w:rsidRPr="004B46B0" w:rsidRDefault="00C7563E" w:rsidP="00D755FD">
            <w:pPr>
              <w:pStyle w:val="ListParagraph"/>
              <w:ind w:left="0"/>
              <w:jc w:val="both"/>
              <w:rPr>
                <w:rFonts w:cs="Arial"/>
                <w:bCs/>
                <w:szCs w:val="18"/>
                <w:lang w:val="es-ES_tradnl"/>
              </w:rPr>
            </w:pPr>
            <w:r w:rsidRPr="00C7563E">
              <w:rPr>
                <w:rFonts w:cs="Arial"/>
                <w:bCs/>
                <w:szCs w:val="18"/>
                <w:lang w:val="es-ES_tradnl"/>
              </w:rPr>
              <w:t>Consultas y presentación de propuestas de proyectos</w:t>
            </w:r>
          </w:p>
        </w:tc>
      </w:tr>
      <w:tr w:rsidR="00D755FD" w:rsidRPr="008E407D" w14:paraId="3B68965D" w14:textId="77777777" w:rsidTr="00214148">
        <w:trPr>
          <w:gridBefore w:val="1"/>
          <w:wBefore w:w="1252" w:type="dxa"/>
          <w:trHeight w:val="530"/>
        </w:trPr>
        <w:tc>
          <w:tcPr>
            <w:tcW w:w="1437" w:type="dxa"/>
            <w:shd w:val="clear" w:color="auto" w:fill="BDD6EE" w:themeFill="accent1" w:themeFillTint="66"/>
            <w:vAlign w:val="center"/>
          </w:tcPr>
          <w:p w14:paraId="3193AE8B" w14:textId="64A88F85" w:rsidR="00D755FD" w:rsidRPr="004B46B0" w:rsidRDefault="00E40115" w:rsidP="00E40115">
            <w:pPr>
              <w:pStyle w:val="ListParagraph"/>
              <w:ind w:left="0"/>
              <w:rPr>
                <w:rFonts w:cs="Arial"/>
                <w:i/>
                <w:szCs w:val="18"/>
                <w:lang w:val="es-ES_tradnl"/>
              </w:rPr>
            </w:pPr>
            <w:r>
              <w:rPr>
                <w:rFonts w:cs="Arial"/>
                <w:sz w:val="19"/>
                <w:szCs w:val="19"/>
                <w:lang w:val="es-ES_tradnl"/>
              </w:rPr>
              <w:t>Estrategia</w:t>
            </w:r>
            <w:r w:rsidR="00D755FD" w:rsidRPr="004B46B0">
              <w:rPr>
                <w:rFonts w:cs="Arial"/>
                <w:sz w:val="19"/>
                <w:szCs w:val="19"/>
                <w:lang w:val="es-ES_tradnl"/>
              </w:rPr>
              <w:t xml:space="preserve"> 1.3</w:t>
            </w:r>
          </w:p>
        </w:tc>
        <w:tc>
          <w:tcPr>
            <w:tcW w:w="6384" w:type="dxa"/>
            <w:gridSpan w:val="2"/>
            <w:vAlign w:val="center"/>
          </w:tcPr>
          <w:p w14:paraId="099BDC8C" w14:textId="5624D814" w:rsidR="00D755FD" w:rsidRPr="004B46B0" w:rsidRDefault="00AC37B7" w:rsidP="00D755FD">
            <w:pPr>
              <w:pStyle w:val="ListParagraph"/>
              <w:ind w:left="0"/>
              <w:jc w:val="both"/>
              <w:rPr>
                <w:rFonts w:cs="Arial"/>
                <w:bCs/>
                <w:szCs w:val="18"/>
                <w:lang w:val="es-ES_tradnl"/>
              </w:rPr>
            </w:pPr>
            <w:r w:rsidRPr="00AC37B7">
              <w:rPr>
                <w:rFonts w:cs="Arial"/>
                <w:bCs/>
                <w:szCs w:val="18"/>
                <w:lang w:val="es-ES_tradnl"/>
              </w:rPr>
              <w:t>Programa de Campeones de las Especies Migratorias</w:t>
            </w:r>
          </w:p>
        </w:tc>
      </w:tr>
    </w:tbl>
    <w:p w14:paraId="4DF6C16C" w14:textId="77777777" w:rsidR="006471FE" w:rsidRPr="00E07841" w:rsidRDefault="006471FE">
      <w:pPr>
        <w:rPr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440"/>
        <w:gridCol w:w="6378"/>
      </w:tblGrid>
      <w:tr w:rsidR="00F34F33" w:rsidRPr="008E407D" w14:paraId="5A941040" w14:textId="77777777" w:rsidTr="00C21E90">
        <w:trPr>
          <w:trHeight w:val="620"/>
        </w:trPr>
        <w:tc>
          <w:tcPr>
            <w:tcW w:w="1255" w:type="dxa"/>
            <w:shd w:val="clear" w:color="auto" w:fill="FFE599" w:themeFill="accent4" w:themeFillTint="66"/>
            <w:vAlign w:val="center"/>
          </w:tcPr>
          <w:p w14:paraId="70C5621B" w14:textId="407479C5" w:rsidR="00F34F33" w:rsidRPr="009F3E51" w:rsidRDefault="0024052D" w:rsidP="00D0237C">
            <w:pPr>
              <w:pStyle w:val="ListParagraph"/>
              <w:ind w:left="0"/>
              <w:jc w:val="both"/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9F3E51">
              <w:rPr>
                <w:rFonts w:cs="Arial"/>
                <w:bCs/>
                <w:sz w:val="20"/>
                <w:szCs w:val="20"/>
                <w:lang w:val="es-ES_tradnl"/>
              </w:rPr>
              <w:t>Objetivo</w:t>
            </w:r>
            <w:r w:rsidR="00F34F33" w:rsidRPr="009F3E51">
              <w:rPr>
                <w:rFonts w:cs="Arial"/>
                <w:bCs/>
                <w:sz w:val="20"/>
                <w:szCs w:val="20"/>
                <w:lang w:val="es-ES_tradnl"/>
              </w:rPr>
              <w:t xml:space="preserve"> 2</w:t>
            </w:r>
          </w:p>
        </w:tc>
        <w:tc>
          <w:tcPr>
            <w:tcW w:w="7818" w:type="dxa"/>
            <w:gridSpan w:val="2"/>
            <w:vAlign w:val="center"/>
          </w:tcPr>
          <w:p w14:paraId="5F51A782" w14:textId="477BC7E8" w:rsidR="00F34F33" w:rsidRPr="009F3E51" w:rsidRDefault="00C751C1" w:rsidP="00056D4A">
            <w:pPr>
              <w:pStyle w:val="ListParagraph"/>
              <w:ind w:left="0"/>
              <w:jc w:val="both"/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C751C1">
              <w:rPr>
                <w:rFonts w:cs="Arial"/>
                <w:bCs/>
                <w:sz w:val="20"/>
                <w:szCs w:val="20"/>
                <w:lang w:val="es-ES_tradnl"/>
              </w:rPr>
              <w:t xml:space="preserve">Ampliar la </w:t>
            </w:r>
            <w:r w:rsidR="00056D4A">
              <w:rPr>
                <w:rFonts w:cs="Arial"/>
                <w:bCs/>
                <w:sz w:val="20"/>
                <w:szCs w:val="20"/>
                <w:lang w:val="es-ES_tradnl"/>
              </w:rPr>
              <w:t>cartera</w:t>
            </w:r>
            <w:r w:rsidRPr="00C751C1">
              <w:rPr>
                <w:rFonts w:cs="Arial"/>
                <w:bCs/>
                <w:sz w:val="20"/>
                <w:szCs w:val="20"/>
                <w:lang w:val="es-ES_tradnl"/>
              </w:rPr>
              <w:t xml:space="preserve"> de donantes</w:t>
            </w:r>
          </w:p>
        </w:tc>
      </w:tr>
      <w:tr w:rsidR="008C6D0F" w:rsidRPr="008E407D" w14:paraId="06547DA8" w14:textId="77777777" w:rsidTr="00214148">
        <w:trPr>
          <w:gridBefore w:val="1"/>
          <w:wBefore w:w="1255" w:type="dxa"/>
          <w:trHeight w:val="530"/>
        </w:trPr>
        <w:tc>
          <w:tcPr>
            <w:tcW w:w="1440" w:type="dxa"/>
            <w:shd w:val="clear" w:color="auto" w:fill="BDD6EE" w:themeFill="accent1" w:themeFillTint="66"/>
            <w:vAlign w:val="center"/>
          </w:tcPr>
          <w:p w14:paraId="4F25603B" w14:textId="01FCA442" w:rsidR="008C6D0F" w:rsidRPr="009F3E51" w:rsidRDefault="002C7C04" w:rsidP="00D0237C">
            <w:pPr>
              <w:pStyle w:val="ListParagraph"/>
              <w:ind w:left="0"/>
              <w:jc w:val="both"/>
              <w:rPr>
                <w:rFonts w:cs="Arial"/>
                <w:i/>
                <w:szCs w:val="18"/>
                <w:lang w:val="es-ES_tradnl"/>
              </w:rPr>
            </w:pPr>
            <w:r>
              <w:rPr>
                <w:rFonts w:cs="Arial"/>
                <w:sz w:val="19"/>
                <w:szCs w:val="19"/>
                <w:lang w:val="es-ES_tradnl"/>
              </w:rPr>
              <w:t>Estrategia</w:t>
            </w:r>
            <w:r w:rsidR="008C6D0F" w:rsidRPr="009F3E51">
              <w:rPr>
                <w:rFonts w:cs="Arial"/>
                <w:sz w:val="19"/>
                <w:szCs w:val="19"/>
                <w:lang w:val="es-ES_tradnl"/>
              </w:rPr>
              <w:t xml:space="preserve"> 2.1</w:t>
            </w:r>
          </w:p>
        </w:tc>
        <w:tc>
          <w:tcPr>
            <w:tcW w:w="6378" w:type="dxa"/>
            <w:vAlign w:val="center"/>
          </w:tcPr>
          <w:p w14:paraId="67E9905F" w14:textId="05BE7507" w:rsidR="008C6D0F" w:rsidRPr="009F3E51" w:rsidRDefault="002C7C04" w:rsidP="00D0237C">
            <w:pPr>
              <w:pStyle w:val="ListParagraph"/>
              <w:ind w:left="0"/>
              <w:jc w:val="both"/>
              <w:rPr>
                <w:rFonts w:cs="Arial"/>
                <w:bCs/>
                <w:szCs w:val="18"/>
                <w:lang w:val="es-ES_tradnl"/>
              </w:rPr>
            </w:pPr>
            <w:r w:rsidRPr="00AC37B7">
              <w:rPr>
                <w:rFonts w:cs="Arial"/>
                <w:bCs/>
                <w:szCs w:val="18"/>
                <w:lang w:val="es-ES_tradnl"/>
              </w:rPr>
              <w:t>Programa de Campeones de las Especies Migratorias</w:t>
            </w:r>
          </w:p>
        </w:tc>
      </w:tr>
    </w:tbl>
    <w:p w14:paraId="5414E1A8" w14:textId="36B7AE3B" w:rsidR="007B4C83" w:rsidRPr="00E07841" w:rsidRDefault="007B4C83">
      <w:pPr>
        <w:rPr>
          <w:sz w:val="22"/>
          <w:szCs w:val="22"/>
          <w:lang w:val="es-ES"/>
        </w:rPr>
      </w:pPr>
    </w:p>
    <w:p w14:paraId="3FA3E746" w14:textId="1109561A" w:rsidR="006471FE" w:rsidRPr="00E07841" w:rsidRDefault="008E1D46">
      <w:pPr>
        <w:rPr>
          <w:sz w:val="22"/>
          <w:szCs w:val="22"/>
          <w:lang w:val="es-ES"/>
        </w:rPr>
      </w:pPr>
      <w:r w:rsidRPr="00E07841">
        <w:rPr>
          <w:sz w:val="22"/>
          <w:szCs w:val="22"/>
          <w:lang w:val="es-ES"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9"/>
        <w:gridCol w:w="1441"/>
        <w:gridCol w:w="1207"/>
        <w:gridCol w:w="5176"/>
      </w:tblGrid>
      <w:tr w:rsidR="00101D7D" w:rsidRPr="008E407D" w14:paraId="466C30FB" w14:textId="77777777" w:rsidTr="004A7FF9">
        <w:trPr>
          <w:trHeight w:val="620"/>
        </w:trPr>
        <w:tc>
          <w:tcPr>
            <w:tcW w:w="1251" w:type="dxa"/>
            <w:shd w:val="clear" w:color="auto" w:fill="FFE599" w:themeFill="accent4" w:themeFillTint="66"/>
            <w:vAlign w:val="center"/>
          </w:tcPr>
          <w:p w14:paraId="2D5D1FF3" w14:textId="0456CFC2" w:rsidR="00101D7D" w:rsidRPr="006C1291" w:rsidRDefault="006C1291" w:rsidP="00101D7D">
            <w:pPr>
              <w:pStyle w:val="ListParagraph"/>
              <w:ind w:left="0"/>
              <w:jc w:val="both"/>
              <w:rPr>
                <w:rFonts w:cs="Arial"/>
                <w:bCs/>
                <w:sz w:val="20"/>
                <w:szCs w:val="20"/>
                <w:highlight w:val="yellow"/>
                <w:lang w:val="es-ES_tradnl"/>
              </w:rPr>
            </w:pPr>
            <w:r w:rsidRPr="006C1291">
              <w:rPr>
                <w:rFonts w:cs="Arial"/>
                <w:bCs/>
                <w:sz w:val="20"/>
                <w:szCs w:val="20"/>
                <w:lang w:val="es-ES_tradnl"/>
              </w:rPr>
              <w:t>Objetivo</w:t>
            </w:r>
            <w:r w:rsidR="00101D7D" w:rsidRPr="006C1291">
              <w:rPr>
                <w:rFonts w:cs="Arial"/>
                <w:bCs/>
                <w:sz w:val="20"/>
                <w:szCs w:val="20"/>
                <w:lang w:val="es-ES_tradnl"/>
              </w:rPr>
              <w:t xml:space="preserve"> </w:t>
            </w:r>
            <w:r w:rsidR="00F34F33" w:rsidRPr="006C1291">
              <w:rPr>
                <w:rFonts w:cs="Arial"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7822" w:type="dxa"/>
            <w:gridSpan w:val="3"/>
            <w:vAlign w:val="center"/>
          </w:tcPr>
          <w:p w14:paraId="689F682B" w14:textId="0C3510F4" w:rsidR="00101D7D" w:rsidRPr="00D62821" w:rsidRDefault="00A15E14" w:rsidP="00101D7D">
            <w:pPr>
              <w:pStyle w:val="ListParagraph"/>
              <w:ind w:left="0"/>
              <w:jc w:val="both"/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A15E14">
              <w:rPr>
                <w:rFonts w:cs="Arial"/>
                <w:bCs/>
                <w:sz w:val="20"/>
                <w:szCs w:val="20"/>
                <w:lang w:val="es-ES_tradnl"/>
              </w:rPr>
              <w:t>Aumentar el trabajo sinérgico con la Familia CMS y otras organizaciones relevantes</w:t>
            </w:r>
          </w:p>
        </w:tc>
      </w:tr>
      <w:tr w:rsidR="00101D7D" w:rsidRPr="008E407D" w14:paraId="4B333CCB" w14:textId="77777777" w:rsidTr="00214148">
        <w:trPr>
          <w:gridBefore w:val="1"/>
          <w:wBefore w:w="1251" w:type="dxa"/>
          <w:trHeight w:val="638"/>
        </w:trPr>
        <w:tc>
          <w:tcPr>
            <w:tcW w:w="1444" w:type="dxa"/>
            <w:shd w:val="clear" w:color="auto" w:fill="BDD6EE" w:themeFill="accent1" w:themeFillTint="66"/>
            <w:vAlign w:val="center"/>
          </w:tcPr>
          <w:p w14:paraId="3F9FF496" w14:textId="0A512728" w:rsidR="00101D7D" w:rsidRPr="006C1291" w:rsidRDefault="00EB358C" w:rsidP="00C21E90">
            <w:pPr>
              <w:pStyle w:val="ListParagraph"/>
              <w:ind w:left="0"/>
              <w:rPr>
                <w:rFonts w:cs="Arial"/>
                <w:sz w:val="19"/>
                <w:szCs w:val="19"/>
                <w:highlight w:val="yellow"/>
                <w:lang w:val="es-ES_tradnl"/>
              </w:rPr>
            </w:pPr>
            <w:r w:rsidRPr="00EB358C">
              <w:rPr>
                <w:rFonts w:cs="Arial"/>
                <w:sz w:val="19"/>
                <w:szCs w:val="19"/>
                <w:lang w:val="es-ES_tradnl"/>
              </w:rPr>
              <w:t>Estrategia</w:t>
            </w:r>
            <w:r w:rsidR="00101D7D" w:rsidRPr="00EB358C">
              <w:rPr>
                <w:rFonts w:cs="Arial"/>
                <w:sz w:val="19"/>
                <w:szCs w:val="19"/>
                <w:lang w:val="es-ES_tradnl"/>
              </w:rPr>
              <w:t xml:space="preserve"> </w:t>
            </w:r>
            <w:r w:rsidR="00882BE1" w:rsidRPr="00EB358C">
              <w:rPr>
                <w:rFonts w:cs="Arial"/>
                <w:sz w:val="19"/>
                <w:szCs w:val="19"/>
                <w:lang w:val="es-ES_tradnl"/>
              </w:rPr>
              <w:t>3</w:t>
            </w:r>
            <w:r w:rsidR="00101D7D" w:rsidRPr="00EB358C">
              <w:rPr>
                <w:rFonts w:cs="Arial"/>
                <w:sz w:val="19"/>
                <w:szCs w:val="19"/>
                <w:lang w:val="es-ES_tradnl"/>
              </w:rPr>
              <w:t>.1</w:t>
            </w:r>
          </w:p>
        </w:tc>
        <w:tc>
          <w:tcPr>
            <w:tcW w:w="6378" w:type="dxa"/>
            <w:gridSpan w:val="2"/>
            <w:vAlign w:val="center"/>
          </w:tcPr>
          <w:p w14:paraId="7676EB71" w14:textId="00997CC7" w:rsidR="00101D7D" w:rsidRPr="00D62821" w:rsidRDefault="00E73F74" w:rsidP="00B03D54">
            <w:pPr>
              <w:pStyle w:val="ListParagraph"/>
              <w:ind w:left="0"/>
              <w:jc w:val="both"/>
              <w:rPr>
                <w:rFonts w:cs="Arial"/>
                <w:sz w:val="19"/>
                <w:szCs w:val="19"/>
                <w:lang w:val="es-ES_tradnl"/>
              </w:rPr>
            </w:pPr>
            <w:r w:rsidRPr="0014775B">
              <w:rPr>
                <w:rFonts w:cs="Arial"/>
                <w:sz w:val="19"/>
                <w:szCs w:val="19"/>
                <w:lang w:val="es-ES_tradnl"/>
              </w:rPr>
              <w:t>Cooperar para</w:t>
            </w:r>
            <w:r w:rsidR="0014775B" w:rsidRPr="0014775B">
              <w:rPr>
                <w:rFonts w:cs="Arial"/>
                <w:sz w:val="19"/>
                <w:szCs w:val="19"/>
                <w:lang w:val="es-ES_tradnl"/>
              </w:rPr>
              <w:t xml:space="preserve"> realizar actividades de manera estratégica y alinear prioridades</w:t>
            </w:r>
          </w:p>
        </w:tc>
      </w:tr>
      <w:tr w:rsidR="00101D7D" w:rsidRPr="008E407D" w14:paraId="62E13BE2" w14:textId="77777777" w:rsidTr="00214148">
        <w:trPr>
          <w:gridBefore w:val="1"/>
          <w:wBefore w:w="1251" w:type="dxa"/>
          <w:trHeight w:val="548"/>
        </w:trPr>
        <w:tc>
          <w:tcPr>
            <w:tcW w:w="1444" w:type="dxa"/>
            <w:shd w:val="clear" w:color="auto" w:fill="BDD6EE" w:themeFill="accent1" w:themeFillTint="66"/>
            <w:vAlign w:val="center"/>
          </w:tcPr>
          <w:p w14:paraId="4A40F300" w14:textId="543F21F7" w:rsidR="00101D7D" w:rsidRPr="006C1291" w:rsidRDefault="00EB358C" w:rsidP="00C21E90">
            <w:pPr>
              <w:pStyle w:val="ListParagraph"/>
              <w:ind w:left="0"/>
              <w:rPr>
                <w:rFonts w:cs="Arial"/>
                <w:sz w:val="19"/>
                <w:szCs w:val="19"/>
                <w:highlight w:val="yellow"/>
                <w:lang w:val="es-ES_tradnl"/>
              </w:rPr>
            </w:pPr>
            <w:r w:rsidRPr="00EB358C">
              <w:rPr>
                <w:rFonts w:cs="Arial"/>
                <w:sz w:val="19"/>
                <w:szCs w:val="19"/>
                <w:lang w:val="es-ES_tradnl"/>
              </w:rPr>
              <w:t>Estrategia</w:t>
            </w:r>
            <w:r w:rsidR="00882BE1" w:rsidRPr="00EB358C">
              <w:rPr>
                <w:rFonts w:cs="Arial"/>
                <w:sz w:val="19"/>
                <w:szCs w:val="19"/>
                <w:lang w:val="es-ES_tradnl"/>
              </w:rPr>
              <w:t xml:space="preserve"> 3.2</w:t>
            </w:r>
          </w:p>
        </w:tc>
        <w:tc>
          <w:tcPr>
            <w:tcW w:w="6378" w:type="dxa"/>
            <w:gridSpan w:val="2"/>
            <w:vAlign w:val="center"/>
          </w:tcPr>
          <w:p w14:paraId="38B7165A" w14:textId="0E792F43" w:rsidR="00101D7D" w:rsidRPr="00924B20" w:rsidRDefault="0014775B" w:rsidP="00101D7D">
            <w:pPr>
              <w:pStyle w:val="ListParagraph"/>
              <w:ind w:left="0"/>
              <w:jc w:val="both"/>
              <w:rPr>
                <w:rFonts w:cs="Arial"/>
                <w:sz w:val="19"/>
                <w:szCs w:val="19"/>
                <w:lang w:val="es-ES_tradnl"/>
              </w:rPr>
            </w:pPr>
            <w:r w:rsidRPr="0014775B">
              <w:rPr>
                <w:rFonts w:cs="Arial"/>
                <w:sz w:val="19"/>
                <w:szCs w:val="19"/>
                <w:lang w:val="es-ES_tradnl"/>
              </w:rPr>
              <w:t>Cooperar para combinar los recursos disponibles</w:t>
            </w:r>
          </w:p>
        </w:tc>
      </w:tr>
      <w:tr w:rsidR="00101D7D" w:rsidRPr="008E407D" w14:paraId="51181300" w14:textId="77777777" w:rsidTr="00214148">
        <w:trPr>
          <w:gridBefore w:val="1"/>
          <w:wBefore w:w="1251" w:type="dxa"/>
          <w:trHeight w:val="503"/>
        </w:trPr>
        <w:tc>
          <w:tcPr>
            <w:tcW w:w="1444" w:type="dxa"/>
            <w:shd w:val="clear" w:color="auto" w:fill="BDD6EE" w:themeFill="accent1" w:themeFillTint="66"/>
            <w:vAlign w:val="center"/>
          </w:tcPr>
          <w:p w14:paraId="024FB53A" w14:textId="45B94528" w:rsidR="00101D7D" w:rsidRPr="006C1291" w:rsidRDefault="00EB358C" w:rsidP="00C21E90">
            <w:pPr>
              <w:pStyle w:val="ListParagraph"/>
              <w:ind w:left="0"/>
              <w:rPr>
                <w:rFonts w:cs="Arial"/>
                <w:sz w:val="19"/>
                <w:szCs w:val="19"/>
                <w:highlight w:val="yellow"/>
                <w:lang w:val="es-ES_tradnl"/>
              </w:rPr>
            </w:pPr>
            <w:r w:rsidRPr="00EB358C">
              <w:rPr>
                <w:rFonts w:cs="Arial"/>
                <w:sz w:val="19"/>
                <w:szCs w:val="19"/>
                <w:lang w:val="es-ES_tradnl"/>
              </w:rPr>
              <w:t>Estrategia</w:t>
            </w:r>
            <w:r w:rsidR="00101D7D" w:rsidRPr="00EB358C">
              <w:rPr>
                <w:rFonts w:cs="Arial"/>
                <w:sz w:val="19"/>
                <w:szCs w:val="19"/>
                <w:lang w:val="es-ES_tradnl"/>
              </w:rPr>
              <w:t xml:space="preserve"> </w:t>
            </w:r>
            <w:r w:rsidR="00882BE1" w:rsidRPr="00EB358C">
              <w:rPr>
                <w:rFonts w:cs="Arial"/>
                <w:sz w:val="19"/>
                <w:szCs w:val="19"/>
                <w:lang w:val="es-ES_tradnl"/>
              </w:rPr>
              <w:t>3.3</w:t>
            </w:r>
          </w:p>
        </w:tc>
        <w:tc>
          <w:tcPr>
            <w:tcW w:w="6378" w:type="dxa"/>
            <w:gridSpan w:val="2"/>
            <w:vAlign w:val="center"/>
          </w:tcPr>
          <w:p w14:paraId="46E8191C" w14:textId="388C5124" w:rsidR="00101D7D" w:rsidRPr="00924B20" w:rsidRDefault="00CD48F1" w:rsidP="00101D7D">
            <w:pPr>
              <w:pStyle w:val="ListParagraph"/>
              <w:ind w:left="0"/>
              <w:jc w:val="both"/>
              <w:rPr>
                <w:rFonts w:cs="Arial"/>
                <w:sz w:val="19"/>
                <w:szCs w:val="19"/>
                <w:lang w:val="es-ES_tradnl"/>
              </w:rPr>
            </w:pPr>
            <w:r w:rsidRPr="00CD48F1">
              <w:rPr>
                <w:rFonts w:cs="Arial"/>
                <w:sz w:val="19"/>
                <w:szCs w:val="19"/>
                <w:lang w:val="es-ES_tradnl"/>
              </w:rPr>
              <w:t>Cooperar para generar</w:t>
            </w:r>
            <w:r w:rsidR="002B248C">
              <w:rPr>
                <w:rFonts w:cs="Arial"/>
                <w:sz w:val="19"/>
                <w:szCs w:val="19"/>
                <w:lang w:val="es-ES_tradnl"/>
              </w:rPr>
              <w:t xml:space="preserve"> apoyo financiero y en especie para actividades comunes</w:t>
            </w:r>
          </w:p>
        </w:tc>
      </w:tr>
      <w:tr w:rsidR="00101D7D" w:rsidRPr="006C1291" w14:paraId="2F537587" w14:textId="77777777" w:rsidTr="00214148">
        <w:trPr>
          <w:gridBefore w:val="2"/>
          <w:wBefore w:w="2695" w:type="dxa"/>
          <w:trHeight w:val="431"/>
        </w:trPr>
        <w:tc>
          <w:tcPr>
            <w:tcW w:w="1170" w:type="dxa"/>
            <w:shd w:val="clear" w:color="auto" w:fill="C5E0B3" w:themeFill="accent6" w:themeFillTint="66"/>
            <w:vAlign w:val="center"/>
          </w:tcPr>
          <w:p w14:paraId="547AA2CD" w14:textId="2AE779D3" w:rsidR="00101D7D" w:rsidRPr="006C1291" w:rsidRDefault="00903570" w:rsidP="00C21E90">
            <w:pPr>
              <w:pStyle w:val="ListParagraph"/>
              <w:ind w:left="0"/>
              <w:rPr>
                <w:rFonts w:cs="Arial"/>
                <w:i/>
                <w:szCs w:val="18"/>
                <w:highlight w:val="yellow"/>
                <w:lang w:val="es-ES_tradnl"/>
              </w:rPr>
            </w:pPr>
            <w:r w:rsidRPr="00903570">
              <w:rPr>
                <w:rFonts w:cs="Arial"/>
                <w:i/>
                <w:szCs w:val="18"/>
                <w:lang w:val="es-ES_tradnl"/>
              </w:rPr>
              <w:t>Herramienta</w:t>
            </w:r>
            <w:r w:rsidR="00101D7D" w:rsidRPr="00903570">
              <w:rPr>
                <w:rFonts w:cs="Arial"/>
                <w:i/>
                <w:szCs w:val="18"/>
                <w:lang w:val="es-ES_tradnl"/>
              </w:rPr>
              <w:t xml:space="preserve"> </w:t>
            </w:r>
            <w:r w:rsidR="00882BE1" w:rsidRPr="00903570">
              <w:rPr>
                <w:rFonts w:cs="Arial"/>
                <w:i/>
                <w:szCs w:val="18"/>
                <w:lang w:val="es-ES_tradnl"/>
              </w:rPr>
              <w:t>3.</w:t>
            </w:r>
            <w:r w:rsidR="00F463EB" w:rsidRPr="00903570">
              <w:rPr>
                <w:rFonts w:cs="Arial"/>
                <w:i/>
                <w:szCs w:val="18"/>
                <w:lang w:val="es-ES_tradnl"/>
              </w:rPr>
              <w:t>3</w:t>
            </w:r>
            <w:r w:rsidR="00882BE1" w:rsidRPr="00903570">
              <w:rPr>
                <w:rFonts w:cs="Arial"/>
                <w:i/>
                <w:szCs w:val="18"/>
                <w:lang w:val="es-ES_tradnl"/>
              </w:rPr>
              <w:t>.1</w:t>
            </w:r>
            <w:r w:rsidR="00F463EB" w:rsidRPr="00903570">
              <w:rPr>
                <w:rFonts w:cs="Arial"/>
                <w:i/>
                <w:szCs w:val="18"/>
                <w:lang w:val="es-ES_tradnl"/>
              </w:rPr>
              <w:t>-3</w:t>
            </w:r>
          </w:p>
        </w:tc>
        <w:tc>
          <w:tcPr>
            <w:tcW w:w="5208" w:type="dxa"/>
            <w:vAlign w:val="center"/>
          </w:tcPr>
          <w:p w14:paraId="7FC47899" w14:textId="12AF8B8A" w:rsidR="00101D7D" w:rsidRPr="00924B20" w:rsidRDefault="003400A6" w:rsidP="00101D7D">
            <w:pPr>
              <w:pStyle w:val="ListParagraph"/>
              <w:ind w:left="0"/>
              <w:jc w:val="both"/>
              <w:rPr>
                <w:rFonts w:cs="Arial"/>
                <w:szCs w:val="18"/>
                <w:lang w:val="es-ES_tradnl"/>
              </w:rPr>
            </w:pPr>
            <w:r w:rsidRPr="003400A6">
              <w:rPr>
                <w:rFonts w:cs="Arial"/>
                <w:szCs w:val="18"/>
                <w:lang w:val="es-ES_tradnl"/>
              </w:rPr>
              <w:t>Consultas</w:t>
            </w:r>
          </w:p>
        </w:tc>
      </w:tr>
      <w:tr w:rsidR="00101D7D" w:rsidRPr="008E407D" w14:paraId="0E8275EB" w14:textId="77777777" w:rsidTr="00214148">
        <w:trPr>
          <w:gridBefore w:val="1"/>
          <w:wBefore w:w="1251" w:type="dxa"/>
          <w:trHeight w:val="701"/>
        </w:trPr>
        <w:tc>
          <w:tcPr>
            <w:tcW w:w="1444" w:type="dxa"/>
            <w:shd w:val="clear" w:color="auto" w:fill="BDD6EE" w:themeFill="accent1" w:themeFillTint="66"/>
            <w:vAlign w:val="center"/>
          </w:tcPr>
          <w:p w14:paraId="1D7CED17" w14:textId="3D2401ED" w:rsidR="00101D7D" w:rsidRPr="006C1291" w:rsidRDefault="00EB358C" w:rsidP="00101D7D">
            <w:pPr>
              <w:pStyle w:val="ListParagraph"/>
              <w:ind w:left="0"/>
              <w:jc w:val="both"/>
              <w:rPr>
                <w:rFonts w:cs="Arial"/>
                <w:sz w:val="19"/>
                <w:szCs w:val="19"/>
                <w:highlight w:val="yellow"/>
                <w:lang w:val="es-ES_tradnl"/>
              </w:rPr>
            </w:pPr>
            <w:r w:rsidRPr="00EB358C">
              <w:rPr>
                <w:rFonts w:cs="Arial"/>
                <w:sz w:val="19"/>
                <w:szCs w:val="19"/>
                <w:lang w:val="es-ES_tradnl"/>
              </w:rPr>
              <w:t>Estrategia</w:t>
            </w:r>
            <w:r w:rsidR="00101D7D" w:rsidRPr="00EB358C">
              <w:rPr>
                <w:rFonts w:cs="Arial"/>
                <w:sz w:val="19"/>
                <w:szCs w:val="19"/>
                <w:lang w:val="es-ES_tradnl"/>
              </w:rPr>
              <w:t xml:space="preserve"> </w:t>
            </w:r>
            <w:r w:rsidR="00882BE1" w:rsidRPr="00EB358C">
              <w:rPr>
                <w:rFonts w:cs="Arial"/>
                <w:sz w:val="19"/>
                <w:szCs w:val="19"/>
                <w:lang w:val="es-ES_tradnl"/>
              </w:rPr>
              <w:t>3.4</w:t>
            </w:r>
          </w:p>
        </w:tc>
        <w:tc>
          <w:tcPr>
            <w:tcW w:w="6378" w:type="dxa"/>
            <w:gridSpan w:val="2"/>
            <w:vAlign w:val="center"/>
          </w:tcPr>
          <w:p w14:paraId="5CA058FB" w14:textId="206DD7CB" w:rsidR="00101D7D" w:rsidRPr="00A04F9B" w:rsidRDefault="00603C0F" w:rsidP="00603C0F">
            <w:pPr>
              <w:pStyle w:val="ListParagraph"/>
              <w:ind w:left="0"/>
              <w:jc w:val="both"/>
              <w:rPr>
                <w:rFonts w:cs="Arial"/>
                <w:sz w:val="19"/>
                <w:szCs w:val="19"/>
                <w:lang w:val="es-ES_tradnl"/>
              </w:rPr>
            </w:pPr>
            <w:r w:rsidRPr="00835627">
              <w:rPr>
                <w:rFonts w:cs="Arial"/>
                <w:sz w:val="19"/>
                <w:szCs w:val="19"/>
                <w:lang w:val="es-ES_tradnl"/>
              </w:rPr>
              <w:t>Contribución a procesos de alto nivel para asegurar que nuestro trabajo recibe reconocimiento y financiación, p.ej. PdT y MTS</w:t>
            </w:r>
            <w:r w:rsidRPr="00835627">
              <w:rPr>
                <w:rStyle w:val="FootnoteReference"/>
                <w:sz w:val="19"/>
                <w:szCs w:val="19"/>
                <w:vertAlign w:val="superscript"/>
                <w:lang w:val="es-ES_tradnl"/>
              </w:rPr>
              <w:footnoteReference w:id="3"/>
            </w:r>
            <w:r w:rsidR="00835627" w:rsidRPr="00835627">
              <w:rPr>
                <w:rFonts w:cs="Arial"/>
                <w:sz w:val="19"/>
                <w:szCs w:val="19"/>
                <w:lang w:val="es-ES_tradnl"/>
              </w:rPr>
              <w:t xml:space="preserve"> de ONU Medio Ambiente, e</w:t>
            </w:r>
            <w:r w:rsidRPr="00835627">
              <w:rPr>
                <w:rFonts w:cs="Arial"/>
                <w:sz w:val="19"/>
                <w:szCs w:val="19"/>
                <w:lang w:val="es-ES_tradnl"/>
              </w:rPr>
              <w:t>st</w:t>
            </w:r>
            <w:r w:rsidR="00835627" w:rsidRPr="00835627">
              <w:rPr>
                <w:rFonts w:cs="Arial"/>
                <w:sz w:val="19"/>
                <w:szCs w:val="19"/>
                <w:lang w:val="es-ES_tradnl"/>
              </w:rPr>
              <w:t>rategias de la CE para África, a</w:t>
            </w:r>
            <w:r w:rsidRPr="00835627">
              <w:rPr>
                <w:rFonts w:cs="Arial"/>
                <w:sz w:val="19"/>
                <w:szCs w:val="19"/>
                <w:lang w:val="es-ES_tradnl"/>
              </w:rPr>
              <w:t>signacion</w:t>
            </w:r>
            <w:r w:rsidR="00835627" w:rsidRPr="00835627">
              <w:rPr>
                <w:rFonts w:cs="Arial"/>
                <w:sz w:val="19"/>
                <w:szCs w:val="19"/>
                <w:lang w:val="es-ES_tradnl"/>
              </w:rPr>
              <w:t xml:space="preserve">es </w:t>
            </w:r>
            <w:r w:rsidRPr="00835627">
              <w:rPr>
                <w:rFonts w:cs="Arial"/>
                <w:sz w:val="19"/>
                <w:szCs w:val="19"/>
                <w:lang w:val="es-ES_tradnl"/>
              </w:rPr>
              <w:t>del FMAM</w:t>
            </w:r>
            <w:r w:rsidRPr="00835627">
              <w:rPr>
                <w:rStyle w:val="FootnoteReference"/>
                <w:sz w:val="19"/>
                <w:szCs w:val="19"/>
                <w:vertAlign w:val="superscript"/>
                <w:lang w:val="es-ES_tradnl"/>
              </w:rPr>
              <w:footnoteReference w:id="4"/>
            </w:r>
          </w:p>
        </w:tc>
      </w:tr>
      <w:tr w:rsidR="00101D7D" w:rsidRPr="008E407D" w14:paraId="2F347E3E" w14:textId="77777777" w:rsidTr="00214148">
        <w:trPr>
          <w:gridBefore w:val="2"/>
          <w:wBefore w:w="2695" w:type="dxa"/>
          <w:trHeight w:val="440"/>
        </w:trPr>
        <w:tc>
          <w:tcPr>
            <w:tcW w:w="1170" w:type="dxa"/>
            <w:shd w:val="clear" w:color="auto" w:fill="C5E0B3" w:themeFill="accent6" w:themeFillTint="66"/>
            <w:vAlign w:val="center"/>
          </w:tcPr>
          <w:p w14:paraId="53D90C67" w14:textId="6C616C84" w:rsidR="00101D7D" w:rsidRPr="006C1291" w:rsidRDefault="00903570" w:rsidP="00101D7D">
            <w:pPr>
              <w:pStyle w:val="ListParagraph"/>
              <w:ind w:left="0"/>
              <w:jc w:val="both"/>
              <w:rPr>
                <w:rFonts w:cs="Arial"/>
                <w:i/>
                <w:szCs w:val="18"/>
                <w:highlight w:val="yellow"/>
                <w:lang w:val="es-ES_tradnl"/>
              </w:rPr>
            </w:pPr>
            <w:r w:rsidRPr="00903570">
              <w:rPr>
                <w:rFonts w:cs="Arial"/>
                <w:i/>
                <w:szCs w:val="18"/>
                <w:lang w:val="es-ES_tradnl"/>
              </w:rPr>
              <w:t>Herramienta</w:t>
            </w:r>
            <w:r w:rsidR="00101D7D" w:rsidRPr="00903570">
              <w:rPr>
                <w:rFonts w:cs="Arial"/>
                <w:i/>
                <w:szCs w:val="18"/>
                <w:lang w:val="es-ES_tradnl"/>
              </w:rPr>
              <w:t xml:space="preserve"> </w:t>
            </w:r>
            <w:r w:rsidR="00882BE1" w:rsidRPr="00903570">
              <w:rPr>
                <w:rFonts w:cs="Arial"/>
                <w:i/>
                <w:szCs w:val="18"/>
                <w:lang w:val="es-ES_tradnl"/>
              </w:rPr>
              <w:t>3.4.1</w:t>
            </w:r>
          </w:p>
        </w:tc>
        <w:tc>
          <w:tcPr>
            <w:tcW w:w="5208" w:type="dxa"/>
            <w:vAlign w:val="center"/>
          </w:tcPr>
          <w:p w14:paraId="48BDAA21" w14:textId="32E484C2" w:rsidR="00101D7D" w:rsidRPr="00BF4A21" w:rsidRDefault="00603C0F" w:rsidP="00101D7D">
            <w:pPr>
              <w:pStyle w:val="ListParagraph"/>
              <w:ind w:left="0"/>
              <w:jc w:val="both"/>
              <w:rPr>
                <w:rFonts w:cs="Arial"/>
                <w:szCs w:val="18"/>
                <w:lang w:val="es-ES_tradnl"/>
              </w:rPr>
            </w:pPr>
            <w:r w:rsidRPr="00603C0F">
              <w:rPr>
                <w:rFonts w:cs="Arial"/>
                <w:szCs w:val="18"/>
                <w:lang w:val="es-ES_tradnl"/>
              </w:rPr>
              <w:t xml:space="preserve">Consultas y </w:t>
            </w:r>
            <w:r w:rsidR="007200D9">
              <w:rPr>
                <w:rFonts w:cs="Arial"/>
                <w:szCs w:val="18"/>
                <w:lang w:val="es-ES_tradnl"/>
              </w:rPr>
              <w:t>aportación</w:t>
            </w:r>
            <w:r>
              <w:rPr>
                <w:rFonts w:cs="Arial"/>
                <w:szCs w:val="18"/>
                <w:lang w:val="es-ES_tradnl"/>
              </w:rPr>
              <w:t xml:space="preserve"> de </w:t>
            </w:r>
            <w:r w:rsidR="007200D9">
              <w:rPr>
                <w:rFonts w:cs="Arial"/>
                <w:szCs w:val="18"/>
                <w:lang w:val="es-ES_tradnl"/>
              </w:rPr>
              <w:t>comentarios</w:t>
            </w:r>
            <w:r w:rsidRPr="00603C0F">
              <w:rPr>
                <w:rFonts w:cs="Arial"/>
                <w:szCs w:val="18"/>
                <w:lang w:val="es-ES_tradnl"/>
              </w:rPr>
              <w:t xml:space="preserve"> y propuestas</w:t>
            </w:r>
          </w:p>
        </w:tc>
      </w:tr>
    </w:tbl>
    <w:p w14:paraId="47746426" w14:textId="77777777" w:rsidR="006471FE" w:rsidRPr="00E07841" w:rsidRDefault="006471FE">
      <w:pPr>
        <w:rPr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2"/>
        <w:gridCol w:w="1437"/>
        <w:gridCol w:w="1207"/>
        <w:gridCol w:w="5177"/>
      </w:tblGrid>
      <w:tr w:rsidR="00F34F33" w:rsidRPr="008E407D" w14:paraId="7B0C26BB" w14:textId="77777777" w:rsidTr="00825025">
        <w:trPr>
          <w:trHeight w:val="620"/>
        </w:trPr>
        <w:tc>
          <w:tcPr>
            <w:tcW w:w="1255" w:type="dxa"/>
            <w:shd w:val="clear" w:color="auto" w:fill="FFE599" w:themeFill="accent4" w:themeFillTint="66"/>
            <w:vAlign w:val="center"/>
          </w:tcPr>
          <w:p w14:paraId="73DA6067" w14:textId="1B99C317" w:rsidR="00F34F33" w:rsidRPr="00501B72" w:rsidRDefault="00501B72" w:rsidP="00F34F33">
            <w:pPr>
              <w:pStyle w:val="ListParagraph"/>
              <w:ind w:left="0"/>
              <w:jc w:val="both"/>
              <w:rPr>
                <w:rFonts w:cs="Arial"/>
                <w:bCs/>
                <w:sz w:val="20"/>
                <w:szCs w:val="20"/>
                <w:highlight w:val="yellow"/>
                <w:lang w:val="es-ES_tradnl"/>
              </w:rPr>
            </w:pPr>
            <w:r w:rsidRPr="00501B72">
              <w:rPr>
                <w:rFonts w:cs="Arial"/>
                <w:bCs/>
                <w:sz w:val="20"/>
                <w:szCs w:val="20"/>
                <w:lang w:val="es-ES_tradnl"/>
              </w:rPr>
              <w:t>Objetivo</w:t>
            </w:r>
            <w:r w:rsidR="00F34F33" w:rsidRPr="00501B72">
              <w:rPr>
                <w:rFonts w:cs="Arial"/>
                <w:bCs/>
                <w:sz w:val="20"/>
                <w:szCs w:val="20"/>
                <w:lang w:val="es-ES_tradnl"/>
              </w:rPr>
              <w:t xml:space="preserve"> 4</w:t>
            </w:r>
          </w:p>
        </w:tc>
        <w:tc>
          <w:tcPr>
            <w:tcW w:w="7818" w:type="dxa"/>
            <w:gridSpan w:val="3"/>
            <w:vAlign w:val="center"/>
          </w:tcPr>
          <w:p w14:paraId="1BB14761" w14:textId="5738F8E5" w:rsidR="00F34F33" w:rsidRPr="000E1C85" w:rsidRDefault="009E1D70" w:rsidP="00F34F33">
            <w:pPr>
              <w:pStyle w:val="ListParagraph"/>
              <w:ind w:left="0"/>
              <w:jc w:val="both"/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9E1D70">
              <w:rPr>
                <w:rFonts w:cs="Arial"/>
                <w:bCs/>
                <w:sz w:val="20"/>
                <w:szCs w:val="20"/>
                <w:lang w:val="es-ES_tradnl"/>
              </w:rPr>
              <w:t>Promover la movilización de r</w:t>
            </w:r>
            <w:r w:rsidR="000E1C85">
              <w:rPr>
                <w:rFonts w:cs="Arial"/>
                <w:bCs/>
                <w:sz w:val="20"/>
                <w:szCs w:val="20"/>
                <w:lang w:val="es-ES_tradnl"/>
              </w:rPr>
              <w:t xml:space="preserve">ecursos para las actividades </w:t>
            </w:r>
            <w:r w:rsidRPr="009E1D70">
              <w:rPr>
                <w:rFonts w:cs="Arial"/>
                <w:bCs/>
                <w:sz w:val="20"/>
                <w:szCs w:val="20"/>
                <w:lang w:val="es-ES_tradnl"/>
              </w:rPr>
              <w:t>sobre el terreno</w:t>
            </w:r>
          </w:p>
        </w:tc>
      </w:tr>
      <w:tr w:rsidR="00F34F33" w:rsidRPr="008E407D" w14:paraId="0B9A9F48" w14:textId="77777777" w:rsidTr="00214148">
        <w:trPr>
          <w:gridBefore w:val="1"/>
          <w:wBefore w:w="1255" w:type="dxa"/>
          <w:trHeight w:val="620"/>
        </w:trPr>
        <w:tc>
          <w:tcPr>
            <w:tcW w:w="1440" w:type="dxa"/>
            <w:shd w:val="clear" w:color="auto" w:fill="BDD6EE" w:themeFill="accent1" w:themeFillTint="66"/>
            <w:vAlign w:val="center"/>
          </w:tcPr>
          <w:p w14:paraId="383BFFF5" w14:textId="5ED82895" w:rsidR="00F34F33" w:rsidRPr="00501B72" w:rsidRDefault="00DF723D" w:rsidP="00F34F33">
            <w:pPr>
              <w:pStyle w:val="ListParagraph"/>
              <w:ind w:left="0"/>
              <w:jc w:val="both"/>
              <w:rPr>
                <w:rFonts w:cs="Arial"/>
                <w:sz w:val="19"/>
                <w:szCs w:val="19"/>
                <w:highlight w:val="yellow"/>
                <w:lang w:val="es-ES_tradnl"/>
              </w:rPr>
            </w:pPr>
            <w:r w:rsidRPr="00DF723D">
              <w:rPr>
                <w:rFonts w:cs="Arial"/>
                <w:sz w:val="19"/>
                <w:szCs w:val="19"/>
                <w:lang w:val="es-ES_tradnl"/>
              </w:rPr>
              <w:t>Estrategia</w:t>
            </w:r>
            <w:r w:rsidR="00882BE1" w:rsidRPr="00DF723D">
              <w:rPr>
                <w:rFonts w:cs="Arial"/>
                <w:sz w:val="19"/>
                <w:szCs w:val="19"/>
                <w:lang w:val="es-ES_tradnl"/>
              </w:rPr>
              <w:t xml:space="preserve"> 4.1</w:t>
            </w:r>
          </w:p>
        </w:tc>
        <w:tc>
          <w:tcPr>
            <w:tcW w:w="6378" w:type="dxa"/>
            <w:gridSpan w:val="2"/>
            <w:vAlign w:val="center"/>
          </w:tcPr>
          <w:p w14:paraId="70D73860" w14:textId="0E41DE8B" w:rsidR="00F34F33" w:rsidRPr="00501B72" w:rsidRDefault="00871E1A" w:rsidP="00F34F33">
            <w:pPr>
              <w:pStyle w:val="ListParagraph"/>
              <w:ind w:left="0"/>
              <w:jc w:val="both"/>
              <w:rPr>
                <w:rFonts w:cs="Arial"/>
                <w:sz w:val="19"/>
                <w:szCs w:val="19"/>
                <w:highlight w:val="yellow"/>
                <w:lang w:val="es-ES_tradnl"/>
              </w:rPr>
            </w:pPr>
            <w:r w:rsidRPr="00871E1A">
              <w:rPr>
                <w:rFonts w:cs="Arial"/>
                <w:sz w:val="19"/>
                <w:szCs w:val="19"/>
                <w:lang w:val="es-ES_tradnl"/>
              </w:rPr>
              <w:t>Promover subvenciones y financiación externas y alentar a las organizaciones asociados a presentar propuestas relevantes para la CMS</w:t>
            </w:r>
          </w:p>
        </w:tc>
      </w:tr>
      <w:tr w:rsidR="00F34F33" w:rsidRPr="008E407D" w14:paraId="0DD58BC0" w14:textId="77777777" w:rsidTr="00214148">
        <w:trPr>
          <w:gridBefore w:val="2"/>
          <w:wBefore w:w="2695" w:type="dxa"/>
          <w:trHeight w:val="440"/>
        </w:trPr>
        <w:tc>
          <w:tcPr>
            <w:tcW w:w="1170" w:type="dxa"/>
            <w:shd w:val="clear" w:color="auto" w:fill="C5E0B3" w:themeFill="accent6" w:themeFillTint="66"/>
            <w:vAlign w:val="center"/>
          </w:tcPr>
          <w:p w14:paraId="0D13F008" w14:textId="745F02E4" w:rsidR="00F34F33" w:rsidRPr="00DB2A6A" w:rsidRDefault="00DB2A6A" w:rsidP="00F34F33">
            <w:pPr>
              <w:pStyle w:val="ListParagraph"/>
              <w:ind w:left="0"/>
              <w:jc w:val="both"/>
              <w:rPr>
                <w:rFonts w:cs="Arial"/>
                <w:i/>
                <w:szCs w:val="18"/>
                <w:lang w:val="es-ES_tradnl"/>
              </w:rPr>
            </w:pPr>
            <w:r w:rsidRPr="00DB2A6A">
              <w:rPr>
                <w:rFonts w:cs="Arial"/>
                <w:i/>
                <w:szCs w:val="18"/>
                <w:lang w:val="es-ES_tradnl"/>
              </w:rPr>
              <w:t>Herramienta</w:t>
            </w:r>
            <w:r w:rsidR="00882BE1" w:rsidRPr="00DB2A6A">
              <w:rPr>
                <w:rFonts w:cs="Arial"/>
                <w:i/>
                <w:szCs w:val="18"/>
                <w:lang w:val="es-ES_tradnl"/>
              </w:rPr>
              <w:t xml:space="preserve"> 4.1.1</w:t>
            </w:r>
          </w:p>
        </w:tc>
        <w:tc>
          <w:tcPr>
            <w:tcW w:w="5208" w:type="dxa"/>
            <w:vAlign w:val="center"/>
          </w:tcPr>
          <w:p w14:paraId="50EC21B2" w14:textId="1CAC28C5" w:rsidR="00F34F33" w:rsidRPr="00501B72" w:rsidRDefault="008C36FD" w:rsidP="00F34F33">
            <w:pPr>
              <w:pStyle w:val="ListParagraph"/>
              <w:ind w:left="0"/>
              <w:jc w:val="both"/>
              <w:rPr>
                <w:rFonts w:cs="Arial"/>
                <w:bCs/>
                <w:szCs w:val="18"/>
                <w:highlight w:val="yellow"/>
                <w:lang w:val="es-ES_tradnl"/>
              </w:rPr>
            </w:pPr>
            <w:r w:rsidRPr="008C36FD">
              <w:rPr>
                <w:rFonts w:cs="Arial"/>
                <w:bCs/>
                <w:szCs w:val="18"/>
                <w:lang w:val="es-ES_tradnl"/>
              </w:rPr>
              <w:t>Notificaciones sobre oportunidades de financiació</w:t>
            </w:r>
            <w:r>
              <w:rPr>
                <w:rFonts w:cs="Arial"/>
                <w:bCs/>
                <w:szCs w:val="18"/>
                <w:lang w:val="es-ES_tradnl"/>
              </w:rPr>
              <w:t>n, p.ej.</w:t>
            </w:r>
            <w:r w:rsidRPr="008C36FD">
              <w:rPr>
                <w:rFonts w:cs="Arial"/>
                <w:bCs/>
                <w:szCs w:val="18"/>
                <w:lang w:val="es-ES_tradnl"/>
              </w:rPr>
              <w:t xml:space="preserve"> fundaciones, subvenciones de USFWS</w:t>
            </w:r>
            <w:r w:rsidRPr="008C36FD">
              <w:rPr>
                <w:rStyle w:val="FootnoteReference"/>
                <w:bCs/>
                <w:szCs w:val="18"/>
                <w:vertAlign w:val="superscript"/>
                <w:lang w:val="es-ES_tradnl"/>
              </w:rPr>
              <w:footnoteReference w:id="5"/>
            </w:r>
            <w:r w:rsidRPr="008C36FD">
              <w:rPr>
                <w:rFonts w:cs="Arial"/>
                <w:bCs/>
                <w:szCs w:val="18"/>
                <w:lang w:val="es-ES_tradnl"/>
              </w:rPr>
              <w:t>, SOS</w:t>
            </w:r>
            <w:r w:rsidRPr="008C36FD">
              <w:rPr>
                <w:rStyle w:val="FootnoteReference"/>
                <w:bCs/>
                <w:szCs w:val="18"/>
                <w:vertAlign w:val="superscript"/>
                <w:lang w:val="es-ES_tradnl"/>
              </w:rPr>
              <w:footnoteReference w:id="6"/>
            </w:r>
            <w:r w:rsidRPr="008C36FD">
              <w:rPr>
                <w:rFonts w:cs="Arial"/>
                <w:bCs/>
                <w:szCs w:val="18"/>
                <w:lang w:val="es-ES_tradnl"/>
              </w:rPr>
              <w:t>, etc.</w:t>
            </w:r>
          </w:p>
        </w:tc>
      </w:tr>
      <w:tr w:rsidR="00F34F33" w:rsidRPr="00501B72" w14:paraId="3CA23A31" w14:textId="77777777" w:rsidTr="00214148">
        <w:trPr>
          <w:gridBefore w:val="2"/>
          <w:wBefore w:w="2695" w:type="dxa"/>
          <w:trHeight w:val="413"/>
        </w:trPr>
        <w:tc>
          <w:tcPr>
            <w:tcW w:w="1170" w:type="dxa"/>
            <w:shd w:val="clear" w:color="auto" w:fill="C5E0B3" w:themeFill="accent6" w:themeFillTint="66"/>
            <w:vAlign w:val="center"/>
          </w:tcPr>
          <w:p w14:paraId="0F618010" w14:textId="7AA58CAB" w:rsidR="00F34F33" w:rsidRPr="00DB2A6A" w:rsidRDefault="00DB2A6A" w:rsidP="00F34F33">
            <w:pPr>
              <w:pStyle w:val="ListParagraph"/>
              <w:ind w:left="0"/>
              <w:jc w:val="both"/>
              <w:rPr>
                <w:rFonts w:cs="Arial"/>
                <w:i/>
                <w:szCs w:val="18"/>
                <w:lang w:val="es-ES_tradnl"/>
              </w:rPr>
            </w:pPr>
            <w:r w:rsidRPr="00DB2A6A">
              <w:rPr>
                <w:rFonts w:cs="Arial"/>
                <w:i/>
                <w:szCs w:val="18"/>
                <w:lang w:val="es-ES_tradnl"/>
              </w:rPr>
              <w:t>Herramienta</w:t>
            </w:r>
            <w:r w:rsidR="00882BE1" w:rsidRPr="00DB2A6A">
              <w:rPr>
                <w:rFonts w:cs="Arial"/>
                <w:i/>
                <w:szCs w:val="18"/>
                <w:lang w:val="es-ES_tradnl"/>
              </w:rPr>
              <w:t xml:space="preserve"> 4.1.2</w:t>
            </w:r>
          </w:p>
        </w:tc>
        <w:tc>
          <w:tcPr>
            <w:tcW w:w="5208" w:type="dxa"/>
            <w:vAlign w:val="center"/>
          </w:tcPr>
          <w:p w14:paraId="2A7A9B3D" w14:textId="11AD0A19" w:rsidR="00F34F33" w:rsidRPr="00501B72" w:rsidRDefault="00754DBD" w:rsidP="00754DBD">
            <w:pPr>
              <w:pStyle w:val="ListParagraph"/>
              <w:ind w:left="0"/>
              <w:jc w:val="both"/>
              <w:rPr>
                <w:rFonts w:cs="Arial"/>
                <w:bCs/>
                <w:szCs w:val="18"/>
                <w:highlight w:val="yellow"/>
                <w:lang w:val="es-ES_tradnl"/>
              </w:rPr>
            </w:pPr>
            <w:r w:rsidRPr="00754DBD">
              <w:rPr>
                <w:rFonts w:cs="Arial"/>
                <w:bCs/>
                <w:szCs w:val="18"/>
                <w:lang w:val="es-ES_tradnl"/>
              </w:rPr>
              <w:t>Cartas de apoyo</w:t>
            </w:r>
          </w:p>
        </w:tc>
      </w:tr>
      <w:tr w:rsidR="00F34F33" w:rsidRPr="008E407D" w14:paraId="4DF0D9CA" w14:textId="77777777" w:rsidTr="00214148">
        <w:trPr>
          <w:gridBefore w:val="1"/>
          <w:wBefore w:w="1255" w:type="dxa"/>
          <w:trHeight w:val="530"/>
        </w:trPr>
        <w:tc>
          <w:tcPr>
            <w:tcW w:w="1440" w:type="dxa"/>
            <w:shd w:val="clear" w:color="auto" w:fill="BDD6EE" w:themeFill="accent1" w:themeFillTint="66"/>
            <w:vAlign w:val="center"/>
          </w:tcPr>
          <w:p w14:paraId="07C43EEA" w14:textId="15CF924B" w:rsidR="00F34F33" w:rsidRPr="00501B72" w:rsidRDefault="00DF723D" w:rsidP="00F34F33">
            <w:pPr>
              <w:pStyle w:val="ListParagraph"/>
              <w:ind w:left="0"/>
              <w:jc w:val="both"/>
              <w:rPr>
                <w:rFonts w:cs="Arial"/>
                <w:sz w:val="19"/>
                <w:szCs w:val="19"/>
                <w:highlight w:val="yellow"/>
                <w:lang w:val="es-ES_tradnl"/>
              </w:rPr>
            </w:pPr>
            <w:r w:rsidRPr="00DF723D">
              <w:rPr>
                <w:rFonts w:cs="Arial"/>
                <w:sz w:val="19"/>
                <w:szCs w:val="19"/>
                <w:lang w:val="es-ES_tradnl"/>
              </w:rPr>
              <w:t>Estrategia</w:t>
            </w:r>
            <w:r w:rsidR="00882BE1" w:rsidRPr="00DF723D">
              <w:rPr>
                <w:rFonts w:cs="Arial"/>
                <w:sz w:val="19"/>
                <w:szCs w:val="19"/>
                <w:lang w:val="es-ES_tradnl"/>
              </w:rPr>
              <w:t xml:space="preserve"> 4.2</w:t>
            </w:r>
          </w:p>
        </w:tc>
        <w:tc>
          <w:tcPr>
            <w:tcW w:w="6378" w:type="dxa"/>
            <w:gridSpan w:val="2"/>
            <w:vAlign w:val="center"/>
          </w:tcPr>
          <w:p w14:paraId="0EAE4099" w14:textId="53445EC1" w:rsidR="00F34F33" w:rsidRPr="004B013C" w:rsidRDefault="004B013C" w:rsidP="00F34F33">
            <w:pPr>
              <w:pStyle w:val="ListParagraph"/>
              <w:ind w:left="0"/>
              <w:jc w:val="both"/>
              <w:rPr>
                <w:rFonts w:cs="Arial"/>
                <w:sz w:val="19"/>
                <w:szCs w:val="19"/>
                <w:lang w:val="es-ES_tradnl"/>
              </w:rPr>
            </w:pPr>
            <w:r w:rsidRPr="004B013C">
              <w:rPr>
                <w:rFonts w:cs="Arial"/>
                <w:sz w:val="19"/>
                <w:szCs w:val="19"/>
                <w:lang w:val="es-ES_tradnl"/>
              </w:rPr>
              <w:t>Colaborar con programas de financiación externa para intentar hacer coincidir prioridades</w:t>
            </w:r>
          </w:p>
        </w:tc>
      </w:tr>
      <w:tr w:rsidR="00F34F33" w:rsidRPr="00BF4A21" w14:paraId="2864C0DD" w14:textId="77777777" w:rsidTr="00214148">
        <w:trPr>
          <w:gridBefore w:val="2"/>
          <w:wBefore w:w="2695" w:type="dxa"/>
          <w:trHeight w:val="431"/>
        </w:trPr>
        <w:tc>
          <w:tcPr>
            <w:tcW w:w="1170" w:type="dxa"/>
            <w:shd w:val="clear" w:color="auto" w:fill="C5E0B3" w:themeFill="accent6" w:themeFillTint="66"/>
            <w:vAlign w:val="center"/>
          </w:tcPr>
          <w:p w14:paraId="61E48C65" w14:textId="2C3A5684" w:rsidR="00F34F33" w:rsidRPr="004B013C" w:rsidRDefault="00526698" w:rsidP="00F34F33">
            <w:pPr>
              <w:pStyle w:val="ListParagraph"/>
              <w:ind w:left="0"/>
              <w:jc w:val="both"/>
              <w:rPr>
                <w:rFonts w:cs="Arial"/>
                <w:i/>
                <w:szCs w:val="18"/>
                <w:lang w:val="es-ES_tradnl"/>
              </w:rPr>
            </w:pPr>
            <w:r w:rsidRPr="004B013C">
              <w:rPr>
                <w:rFonts w:cs="Arial"/>
                <w:i/>
                <w:szCs w:val="18"/>
                <w:lang w:val="es-ES_tradnl"/>
              </w:rPr>
              <w:t>Herramienta</w:t>
            </w:r>
            <w:r w:rsidR="00882BE1" w:rsidRPr="004B013C">
              <w:rPr>
                <w:rFonts w:cs="Arial"/>
                <w:i/>
                <w:szCs w:val="18"/>
                <w:lang w:val="es-ES_tradnl"/>
              </w:rPr>
              <w:t xml:space="preserve"> 4.2.1</w:t>
            </w:r>
          </w:p>
        </w:tc>
        <w:tc>
          <w:tcPr>
            <w:tcW w:w="5208" w:type="dxa"/>
            <w:vAlign w:val="center"/>
          </w:tcPr>
          <w:p w14:paraId="17EADE74" w14:textId="446B3120" w:rsidR="00F34F33" w:rsidRPr="004B013C" w:rsidRDefault="004B013C" w:rsidP="00F34F33">
            <w:pPr>
              <w:pStyle w:val="ListParagraph"/>
              <w:ind w:left="0"/>
              <w:jc w:val="both"/>
              <w:rPr>
                <w:rFonts w:cs="Arial"/>
                <w:bCs/>
                <w:szCs w:val="18"/>
                <w:lang w:val="es-ES_tradnl"/>
              </w:rPr>
            </w:pPr>
            <w:r w:rsidRPr="004B013C">
              <w:rPr>
                <w:rFonts w:cs="Arial"/>
                <w:bCs/>
                <w:szCs w:val="18"/>
                <w:lang w:val="es-ES_tradnl"/>
              </w:rPr>
              <w:t>Consultas</w:t>
            </w:r>
          </w:p>
        </w:tc>
      </w:tr>
    </w:tbl>
    <w:p w14:paraId="3C8A48C5" w14:textId="77777777" w:rsidR="006471FE" w:rsidRPr="006471FE" w:rsidRDefault="006471FE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440"/>
        <w:gridCol w:w="6378"/>
      </w:tblGrid>
      <w:tr w:rsidR="00F34F33" w:rsidRPr="008E407D" w14:paraId="38A39A76" w14:textId="77777777" w:rsidTr="00825025">
        <w:trPr>
          <w:trHeight w:val="620"/>
        </w:trPr>
        <w:tc>
          <w:tcPr>
            <w:tcW w:w="1255" w:type="dxa"/>
            <w:shd w:val="clear" w:color="auto" w:fill="FFE599" w:themeFill="accent4" w:themeFillTint="66"/>
            <w:vAlign w:val="center"/>
          </w:tcPr>
          <w:p w14:paraId="423B7483" w14:textId="2A3AB16C" w:rsidR="00F34F33" w:rsidRPr="00DB70AD" w:rsidRDefault="00536184" w:rsidP="00F34F33">
            <w:pPr>
              <w:pStyle w:val="ListParagraph"/>
              <w:ind w:left="0"/>
              <w:jc w:val="both"/>
              <w:rPr>
                <w:rFonts w:cs="Arial"/>
                <w:bCs/>
                <w:sz w:val="20"/>
                <w:szCs w:val="20"/>
                <w:highlight w:val="yellow"/>
                <w:lang w:val="es-ES_tradnl"/>
              </w:rPr>
            </w:pPr>
            <w:r w:rsidRPr="00600A72">
              <w:rPr>
                <w:rFonts w:cs="Arial"/>
                <w:bCs/>
                <w:sz w:val="20"/>
                <w:szCs w:val="20"/>
                <w:lang w:val="es-ES_tradnl"/>
              </w:rPr>
              <w:t>Objetivo</w:t>
            </w:r>
            <w:r w:rsidR="00F34F33" w:rsidRPr="00600A72">
              <w:rPr>
                <w:rFonts w:cs="Arial"/>
                <w:bCs/>
                <w:sz w:val="20"/>
                <w:szCs w:val="20"/>
                <w:lang w:val="es-ES_tradnl"/>
              </w:rPr>
              <w:t xml:space="preserve"> 5</w:t>
            </w:r>
          </w:p>
        </w:tc>
        <w:tc>
          <w:tcPr>
            <w:tcW w:w="7818" w:type="dxa"/>
            <w:gridSpan w:val="2"/>
            <w:vAlign w:val="center"/>
          </w:tcPr>
          <w:p w14:paraId="7DF199BB" w14:textId="4D8E50AE" w:rsidR="00F34F33" w:rsidRPr="00600A72" w:rsidRDefault="00536184" w:rsidP="00F34F33">
            <w:pPr>
              <w:pStyle w:val="ListParagraph"/>
              <w:ind w:left="0"/>
              <w:jc w:val="both"/>
              <w:rPr>
                <w:rFonts w:cs="Arial"/>
                <w:bCs/>
                <w:sz w:val="20"/>
                <w:szCs w:val="20"/>
                <w:lang w:val="es-ES_tradnl"/>
              </w:rPr>
            </w:pPr>
            <w:r w:rsidRPr="00600A72">
              <w:rPr>
                <w:rFonts w:cs="Arial"/>
                <w:bCs/>
                <w:sz w:val="20"/>
                <w:szCs w:val="20"/>
                <w:lang w:val="es-ES_tradnl"/>
              </w:rPr>
              <w:t>Desarrollar y aplicar enfoques nuevos e innovadores</w:t>
            </w:r>
          </w:p>
        </w:tc>
      </w:tr>
      <w:tr w:rsidR="00F34F33" w:rsidRPr="008E407D" w14:paraId="77BDD645" w14:textId="77777777" w:rsidTr="00214148">
        <w:trPr>
          <w:gridBefore w:val="1"/>
          <w:wBefore w:w="1255" w:type="dxa"/>
          <w:trHeight w:val="530"/>
        </w:trPr>
        <w:tc>
          <w:tcPr>
            <w:tcW w:w="1440" w:type="dxa"/>
            <w:shd w:val="clear" w:color="auto" w:fill="BDD6EE" w:themeFill="accent1" w:themeFillTint="66"/>
            <w:vAlign w:val="center"/>
          </w:tcPr>
          <w:p w14:paraId="510E1FAF" w14:textId="6D30D9AF" w:rsidR="00F34F33" w:rsidRPr="002C10C9" w:rsidRDefault="002C10C9" w:rsidP="00F34F33">
            <w:pPr>
              <w:pStyle w:val="ListParagraph"/>
              <w:ind w:left="0"/>
              <w:jc w:val="both"/>
              <w:rPr>
                <w:rFonts w:cs="Arial"/>
                <w:sz w:val="19"/>
                <w:szCs w:val="19"/>
                <w:lang w:val="es-ES_tradnl"/>
              </w:rPr>
            </w:pPr>
            <w:r w:rsidRPr="002C10C9">
              <w:rPr>
                <w:rFonts w:cs="Arial"/>
                <w:sz w:val="19"/>
                <w:szCs w:val="19"/>
                <w:lang w:val="es-ES_tradnl"/>
              </w:rPr>
              <w:t>Estrategia</w:t>
            </w:r>
            <w:r w:rsidR="00882BE1" w:rsidRPr="002C10C9">
              <w:rPr>
                <w:rFonts w:cs="Arial"/>
                <w:sz w:val="19"/>
                <w:szCs w:val="19"/>
                <w:lang w:val="es-ES_tradnl"/>
              </w:rPr>
              <w:t xml:space="preserve"> 5.1</w:t>
            </w:r>
          </w:p>
        </w:tc>
        <w:tc>
          <w:tcPr>
            <w:tcW w:w="6378" w:type="dxa"/>
            <w:vAlign w:val="center"/>
          </w:tcPr>
          <w:p w14:paraId="25E25AB0" w14:textId="1AEBBB16" w:rsidR="00F34F33" w:rsidRPr="003E2F8F" w:rsidRDefault="003E2F8F" w:rsidP="00F34F33">
            <w:pPr>
              <w:pStyle w:val="ListParagraph"/>
              <w:ind w:left="0"/>
              <w:jc w:val="both"/>
              <w:rPr>
                <w:rFonts w:cs="Arial"/>
                <w:sz w:val="19"/>
                <w:szCs w:val="19"/>
                <w:lang w:val="es-ES_tradnl"/>
              </w:rPr>
            </w:pPr>
            <w:r w:rsidRPr="003E2F8F">
              <w:rPr>
                <w:rFonts w:cs="Arial"/>
                <w:sz w:val="19"/>
                <w:szCs w:val="19"/>
                <w:lang w:val="es-ES_tradnl"/>
              </w:rPr>
              <w:t>Organizar eventos y actividades de divulgación y recaudación de fondos: p.ej. el concierto del Día Mundial de las Aves Migratorias</w:t>
            </w:r>
          </w:p>
        </w:tc>
      </w:tr>
      <w:tr w:rsidR="00F34F33" w:rsidRPr="008E407D" w14:paraId="5242B746" w14:textId="77777777" w:rsidTr="00214148">
        <w:trPr>
          <w:gridBefore w:val="1"/>
          <w:wBefore w:w="1255" w:type="dxa"/>
          <w:trHeight w:val="530"/>
        </w:trPr>
        <w:tc>
          <w:tcPr>
            <w:tcW w:w="1440" w:type="dxa"/>
            <w:shd w:val="clear" w:color="auto" w:fill="BDD6EE" w:themeFill="accent1" w:themeFillTint="66"/>
            <w:vAlign w:val="center"/>
          </w:tcPr>
          <w:p w14:paraId="71A07037" w14:textId="797347DF" w:rsidR="00F34F33" w:rsidRPr="002C10C9" w:rsidRDefault="002C10C9" w:rsidP="00F34F33">
            <w:pPr>
              <w:pStyle w:val="ListParagraph"/>
              <w:ind w:left="0"/>
              <w:jc w:val="both"/>
              <w:rPr>
                <w:rFonts w:cs="Arial"/>
                <w:sz w:val="19"/>
                <w:szCs w:val="19"/>
                <w:lang w:val="es-ES_tradnl"/>
              </w:rPr>
            </w:pPr>
            <w:r w:rsidRPr="002C10C9">
              <w:rPr>
                <w:rFonts w:cs="Arial"/>
                <w:sz w:val="19"/>
                <w:szCs w:val="19"/>
                <w:lang w:val="es-ES_tradnl"/>
              </w:rPr>
              <w:t>Estrategia</w:t>
            </w:r>
            <w:r w:rsidR="008C6D0F" w:rsidRPr="002C10C9">
              <w:rPr>
                <w:rFonts w:cs="Arial"/>
                <w:sz w:val="19"/>
                <w:szCs w:val="19"/>
                <w:lang w:val="es-ES_tradnl"/>
              </w:rPr>
              <w:t xml:space="preserve"> 5.2</w:t>
            </w:r>
          </w:p>
        </w:tc>
        <w:tc>
          <w:tcPr>
            <w:tcW w:w="6378" w:type="dxa"/>
            <w:vAlign w:val="center"/>
          </w:tcPr>
          <w:p w14:paraId="32FDEB90" w14:textId="60898FC1" w:rsidR="00F34F33" w:rsidRPr="00DB70AD" w:rsidRDefault="006807A2" w:rsidP="00F34F33">
            <w:pPr>
              <w:pStyle w:val="ListParagraph"/>
              <w:ind w:left="0"/>
              <w:jc w:val="both"/>
              <w:rPr>
                <w:rFonts w:cs="Arial"/>
                <w:sz w:val="19"/>
                <w:szCs w:val="19"/>
                <w:highlight w:val="yellow"/>
                <w:lang w:val="es-ES_tradnl"/>
              </w:rPr>
            </w:pPr>
            <w:r w:rsidRPr="006807A2">
              <w:rPr>
                <w:rFonts w:cs="Arial"/>
                <w:sz w:val="19"/>
                <w:szCs w:val="19"/>
                <w:lang w:val="es-ES_tradnl"/>
              </w:rPr>
              <w:t>Colaborar con el sector privado</w:t>
            </w:r>
          </w:p>
        </w:tc>
      </w:tr>
      <w:tr w:rsidR="00F34F33" w:rsidRPr="008E407D" w14:paraId="79A17251" w14:textId="77777777" w:rsidTr="00214148">
        <w:trPr>
          <w:gridBefore w:val="1"/>
          <w:wBefore w:w="1255" w:type="dxa"/>
          <w:trHeight w:val="530"/>
        </w:trPr>
        <w:tc>
          <w:tcPr>
            <w:tcW w:w="1440" w:type="dxa"/>
            <w:shd w:val="clear" w:color="auto" w:fill="BDD6EE" w:themeFill="accent1" w:themeFillTint="66"/>
            <w:vAlign w:val="center"/>
          </w:tcPr>
          <w:p w14:paraId="09AA9FDD" w14:textId="4F76C5A7" w:rsidR="00F34F33" w:rsidRPr="002C10C9" w:rsidRDefault="002C10C9" w:rsidP="00F34F33">
            <w:pPr>
              <w:pStyle w:val="ListParagraph"/>
              <w:ind w:left="0"/>
              <w:jc w:val="both"/>
              <w:rPr>
                <w:rFonts w:cs="Arial"/>
                <w:i/>
                <w:szCs w:val="18"/>
                <w:lang w:val="es-ES_tradnl"/>
              </w:rPr>
            </w:pPr>
            <w:r w:rsidRPr="002C10C9">
              <w:rPr>
                <w:rFonts w:cs="Arial"/>
                <w:sz w:val="19"/>
                <w:szCs w:val="19"/>
                <w:lang w:val="es-ES_tradnl"/>
              </w:rPr>
              <w:t>Estrategia</w:t>
            </w:r>
            <w:r w:rsidR="008C6D0F" w:rsidRPr="002C10C9">
              <w:rPr>
                <w:rFonts w:cs="Arial"/>
                <w:sz w:val="19"/>
                <w:szCs w:val="19"/>
                <w:lang w:val="es-ES_tradnl"/>
              </w:rPr>
              <w:t xml:space="preserve"> 5.3</w:t>
            </w:r>
          </w:p>
        </w:tc>
        <w:tc>
          <w:tcPr>
            <w:tcW w:w="6378" w:type="dxa"/>
            <w:vAlign w:val="center"/>
          </w:tcPr>
          <w:p w14:paraId="71C3A518" w14:textId="2B95628A" w:rsidR="00F34F33" w:rsidRPr="00DB70AD" w:rsidRDefault="00CC1436" w:rsidP="00F34F33">
            <w:pPr>
              <w:pStyle w:val="ListParagraph"/>
              <w:ind w:left="0"/>
              <w:jc w:val="both"/>
              <w:rPr>
                <w:rFonts w:cs="Arial"/>
                <w:bCs/>
                <w:szCs w:val="18"/>
                <w:highlight w:val="yellow"/>
                <w:lang w:val="es-ES_tradnl"/>
              </w:rPr>
            </w:pPr>
            <w:r w:rsidRPr="00CC1436">
              <w:rPr>
                <w:rFonts w:cs="Arial"/>
                <w:bCs/>
                <w:szCs w:val="18"/>
                <w:lang w:val="es-ES_tradnl"/>
              </w:rPr>
              <w:t>Programa de Campeones de las Especies Migratorias</w:t>
            </w:r>
          </w:p>
        </w:tc>
      </w:tr>
    </w:tbl>
    <w:p w14:paraId="0D7C4AAA" w14:textId="77777777" w:rsidR="00552F3F" w:rsidRPr="00E07841" w:rsidRDefault="00552F3F" w:rsidP="004B7F3D">
      <w:pPr>
        <w:jc w:val="both"/>
        <w:rPr>
          <w:rFonts w:cs="Arial"/>
          <w:bCs/>
          <w:sz w:val="22"/>
          <w:szCs w:val="22"/>
          <w:lang w:val="es-ES"/>
        </w:rPr>
      </w:pPr>
    </w:p>
    <w:p w14:paraId="2A2507E7" w14:textId="69ACF6D7" w:rsidR="00711FC6" w:rsidRPr="00711FC6" w:rsidRDefault="00711FC6" w:rsidP="009B2A20">
      <w:pPr>
        <w:pStyle w:val="ListParagraph"/>
        <w:ind w:left="0"/>
        <w:jc w:val="both"/>
        <w:rPr>
          <w:rFonts w:cs="Arial"/>
          <w:sz w:val="22"/>
          <w:szCs w:val="22"/>
          <w:u w:val="single"/>
          <w:lang w:val="es-ES_tradnl"/>
        </w:rPr>
      </w:pPr>
      <w:r w:rsidRPr="00711FC6">
        <w:rPr>
          <w:rFonts w:cs="Arial"/>
          <w:sz w:val="22"/>
          <w:szCs w:val="22"/>
          <w:u w:val="single"/>
          <w:lang w:val="es-ES_tradnl"/>
        </w:rPr>
        <w:t>Resultados</w:t>
      </w:r>
    </w:p>
    <w:p w14:paraId="342F8E80" w14:textId="77777777" w:rsidR="004B7F3D" w:rsidRPr="003E2FF1" w:rsidRDefault="004B7F3D" w:rsidP="00E07841">
      <w:pPr>
        <w:ind w:left="360" w:hanging="360"/>
        <w:jc w:val="both"/>
        <w:rPr>
          <w:rFonts w:cs="Arial"/>
          <w:b/>
          <w:sz w:val="22"/>
          <w:szCs w:val="22"/>
          <w:lang w:val="es-ES_tradnl"/>
        </w:rPr>
      </w:pPr>
    </w:p>
    <w:p w14:paraId="7A1AB197" w14:textId="665FC4C9" w:rsidR="003E2FF1" w:rsidRPr="003E2FF1" w:rsidRDefault="003E2FF1" w:rsidP="00E07841">
      <w:pPr>
        <w:pStyle w:val="ListParagraph"/>
        <w:numPr>
          <w:ilvl w:val="0"/>
          <w:numId w:val="10"/>
        </w:numPr>
        <w:autoSpaceDE/>
        <w:adjustRightInd/>
        <w:ind w:left="360" w:hanging="360"/>
        <w:jc w:val="both"/>
        <w:rPr>
          <w:rFonts w:cs="Arial"/>
          <w:sz w:val="22"/>
          <w:szCs w:val="22"/>
          <w:lang w:val="es-ES_tradnl"/>
        </w:rPr>
      </w:pPr>
      <w:r w:rsidRPr="003E2FF1">
        <w:rPr>
          <w:rFonts w:cs="Arial"/>
          <w:sz w:val="22"/>
          <w:szCs w:val="22"/>
          <w:lang w:val="es-ES_tradnl"/>
        </w:rPr>
        <w:t xml:space="preserve">La Secretaría ha </w:t>
      </w:r>
      <w:r w:rsidR="00C15826">
        <w:rPr>
          <w:rFonts w:cs="Arial"/>
          <w:sz w:val="22"/>
          <w:szCs w:val="22"/>
          <w:lang w:val="es-ES_tradnl"/>
        </w:rPr>
        <w:t>obtenido</w:t>
      </w:r>
      <w:r w:rsidRPr="003E2FF1">
        <w:rPr>
          <w:rFonts w:cs="Arial"/>
          <w:sz w:val="22"/>
          <w:szCs w:val="22"/>
          <w:lang w:val="es-ES_tradnl"/>
        </w:rPr>
        <w:t xml:space="preserve"> recursos considerables </w:t>
      </w:r>
      <w:r w:rsidR="0078442C">
        <w:rPr>
          <w:rFonts w:cs="Arial"/>
          <w:sz w:val="22"/>
          <w:szCs w:val="22"/>
          <w:lang w:val="es-ES_tradnl"/>
        </w:rPr>
        <w:t>que han posibilitado la implementación de varias acciones prioritarias, y está agradecida por el apoyo re</w:t>
      </w:r>
      <w:r w:rsidR="00E40273">
        <w:rPr>
          <w:rFonts w:cs="Arial"/>
          <w:sz w:val="22"/>
          <w:szCs w:val="22"/>
          <w:lang w:val="es-ES_tradnl"/>
        </w:rPr>
        <w:t>cibido, especialmente dada</w:t>
      </w:r>
      <w:r w:rsidR="00C15826">
        <w:rPr>
          <w:rFonts w:cs="Arial"/>
          <w:sz w:val="22"/>
          <w:szCs w:val="22"/>
          <w:lang w:val="es-ES_tradnl"/>
        </w:rPr>
        <w:t xml:space="preserve"> la situación económica actual</w:t>
      </w:r>
      <w:r w:rsidR="0078442C">
        <w:rPr>
          <w:rFonts w:cs="Arial"/>
          <w:sz w:val="22"/>
          <w:szCs w:val="22"/>
          <w:lang w:val="es-ES_tradnl"/>
        </w:rPr>
        <w:t>.</w:t>
      </w:r>
      <w:r w:rsidR="00D6463D">
        <w:rPr>
          <w:rFonts w:cs="Arial"/>
          <w:sz w:val="22"/>
          <w:szCs w:val="22"/>
          <w:lang w:val="es-ES_tradnl"/>
        </w:rPr>
        <w:t xml:space="preserve"> Los siguientes párrafos ofrecen un resumen de las contribuciones financieras y en especie recibidas desde la COP11 así como </w:t>
      </w:r>
      <w:r w:rsidR="00C15826">
        <w:rPr>
          <w:rFonts w:cs="Arial"/>
          <w:sz w:val="22"/>
          <w:szCs w:val="22"/>
          <w:lang w:val="es-ES_tradnl"/>
        </w:rPr>
        <w:t>su procedencia</w:t>
      </w:r>
      <w:r w:rsidR="00D6463D">
        <w:rPr>
          <w:rFonts w:cs="Arial"/>
          <w:sz w:val="22"/>
          <w:szCs w:val="22"/>
          <w:lang w:val="es-ES_tradnl"/>
        </w:rPr>
        <w:t>.</w:t>
      </w:r>
    </w:p>
    <w:p w14:paraId="39B243F6" w14:textId="77777777" w:rsidR="003A1F21" w:rsidRDefault="003A1F21" w:rsidP="004B7F3D">
      <w:pPr>
        <w:pStyle w:val="ListParagraph"/>
        <w:ind w:left="0"/>
        <w:jc w:val="both"/>
        <w:rPr>
          <w:rFonts w:cs="Arial"/>
          <w:b/>
          <w:sz w:val="20"/>
          <w:szCs w:val="20"/>
          <w:lang w:val="es-ES_tradnl"/>
        </w:rPr>
      </w:pPr>
    </w:p>
    <w:p w14:paraId="561A28C2" w14:textId="5A09814D" w:rsidR="00394DAE" w:rsidRPr="00394DAE" w:rsidRDefault="00394DAE" w:rsidP="004B7F3D">
      <w:pPr>
        <w:pStyle w:val="ListParagraph"/>
        <w:ind w:left="0"/>
        <w:jc w:val="both"/>
        <w:rPr>
          <w:rFonts w:cs="Arial"/>
          <w:b/>
          <w:sz w:val="20"/>
          <w:szCs w:val="20"/>
          <w:lang w:val="es-ES_tradnl"/>
        </w:rPr>
      </w:pPr>
      <w:r w:rsidRPr="00394DAE">
        <w:rPr>
          <w:rFonts w:cs="Arial"/>
          <w:b/>
          <w:sz w:val="20"/>
          <w:szCs w:val="20"/>
          <w:lang w:val="es-ES_tradnl"/>
        </w:rPr>
        <w:t>Fondos recibidos</w:t>
      </w:r>
    </w:p>
    <w:p w14:paraId="7E9AEE1E" w14:textId="77777777" w:rsidR="004B7F3D" w:rsidRPr="00394DAE" w:rsidRDefault="004B7F3D" w:rsidP="004B7F3D">
      <w:pPr>
        <w:pStyle w:val="ListParagraph"/>
        <w:ind w:left="0"/>
        <w:jc w:val="both"/>
        <w:rPr>
          <w:rFonts w:cs="Arial"/>
          <w:sz w:val="22"/>
          <w:szCs w:val="22"/>
          <w:highlight w:val="green"/>
          <w:u w:val="single"/>
          <w:lang w:val="es-ES_tradnl"/>
        </w:rPr>
      </w:pPr>
    </w:p>
    <w:p w14:paraId="41EDDD34" w14:textId="52B351EE" w:rsidR="00394DAE" w:rsidRPr="00394DAE" w:rsidRDefault="00394DAE" w:rsidP="00E07841">
      <w:pPr>
        <w:pStyle w:val="ListParagraph"/>
        <w:numPr>
          <w:ilvl w:val="0"/>
          <w:numId w:val="10"/>
        </w:numPr>
        <w:autoSpaceDE/>
        <w:adjustRightInd/>
        <w:ind w:left="360" w:hanging="360"/>
        <w:jc w:val="both"/>
        <w:rPr>
          <w:rFonts w:cs="Arial"/>
          <w:sz w:val="22"/>
          <w:szCs w:val="22"/>
          <w:lang w:val="es-ES_tradnl"/>
        </w:rPr>
      </w:pPr>
      <w:r w:rsidRPr="00394DAE">
        <w:rPr>
          <w:rFonts w:cs="Arial"/>
          <w:sz w:val="22"/>
          <w:szCs w:val="22"/>
          <w:lang w:val="es-ES_tradnl"/>
        </w:rPr>
        <w:t>El total de las contribuciones voluntarias recibidas</w:t>
      </w:r>
      <w:r w:rsidR="00A31674">
        <w:rPr>
          <w:rFonts w:cs="Arial"/>
          <w:sz w:val="22"/>
          <w:szCs w:val="22"/>
          <w:lang w:val="es-ES_tradnl"/>
        </w:rPr>
        <w:t xml:space="preserve"> de gobiernos y organizaciones para implementar la Convención y algunos de sus instrumentos </w:t>
      </w:r>
      <w:r w:rsidR="00A31674" w:rsidRPr="00A31674">
        <w:rPr>
          <w:rFonts w:cs="Arial"/>
          <w:sz w:val="22"/>
          <w:szCs w:val="22"/>
          <w:lang w:val="es-ES_tradnl"/>
        </w:rPr>
        <w:t>asciende a 3.915.500</w:t>
      </w:r>
      <w:r w:rsidR="00B4776D">
        <w:rPr>
          <w:rFonts w:cs="Arial"/>
          <w:sz w:val="22"/>
          <w:szCs w:val="22"/>
          <w:lang w:val="es-ES_tradnl"/>
        </w:rPr>
        <w:t xml:space="preserve"> </w:t>
      </w:r>
      <w:r w:rsidR="00A31674" w:rsidRPr="00A31674">
        <w:rPr>
          <w:rFonts w:cs="Arial"/>
          <w:sz w:val="22"/>
          <w:szCs w:val="22"/>
          <w:lang w:val="es-ES_tradnl"/>
        </w:rPr>
        <w:t>€</w:t>
      </w:r>
      <w:r w:rsidR="00A31674">
        <w:rPr>
          <w:rFonts w:cs="Arial"/>
          <w:sz w:val="22"/>
          <w:szCs w:val="22"/>
          <w:lang w:val="es-ES_tradnl"/>
        </w:rPr>
        <w:t xml:space="preserve"> (</w:t>
      </w:r>
      <w:r w:rsidR="00193A47">
        <w:rPr>
          <w:rFonts w:cs="Arial"/>
          <w:sz w:val="22"/>
          <w:szCs w:val="22"/>
          <w:lang w:val="es-ES_tradnl"/>
        </w:rPr>
        <w:t>a deducir</w:t>
      </w:r>
      <w:r w:rsidR="00A31674">
        <w:rPr>
          <w:rFonts w:cs="Arial"/>
          <w:sz w:val="22"/>
          <w:szCs w:val="22"/>
          <w:lang w:val="es-ES_tradnl"/>
        </w:rPr>
        <w:t xml:space="preserve"> el 13 por ciento correspondiente al Coste de Apoyo a Programas de ONU Medio Ambiente)</w:t>
      </w:r>
      <w:r w:rsidR="00502620">
        <w:rPr>
          <w:rFonts w:cs="Arial"/>
          <w:sz w:val="22"/>
          <w:szCs w:val="22"/>
          <w:lang w:val="es-ES_tradnl"/>
        </w:rPr>
        <w:t>.</w:t>
      </w:r>
    </w:p>
    <w:p w14:paraId="625372C7" w14:textId="77777777" w:rsidR="004B7F3D" w:rsidRPr="00B4776D" w:rsidRDefault="004B7F3D" w:rsidP="00E07841">
      <w:pPr>
        <w:pStyle w:val="ListParagraph"/>
        <w:autoSpaceDE/>
        <w:adjustRightInd/>
        <w:ind w:left="360" w:hanging="360"/>
        <w:jc w:val="both"/>
        <w:rPr>
          <w:rFonts w:cs="Arial"/>
          <w:sz w:val="22"/>
          <w:szCs w:val="22"/>
          <w:lang w:val="es-ES_tradnl"/>
        </w:rPr>
      </w:pPr>
    </w:p>
    <w:p w14:paraId="2CA65EA0" w14:textId="024B77A5" w:rsidR="00B4776D" w:rsidRPr="00F57518" w:rsidRDefault="00B4776D" w:rsidP="00E07841">
      <w:pPr>
        <w:pStyle w:val="ListParagraph"/>
        <w:numPr>
          <w:ilvl w:val="0"/>
          <w:numId w:val="10"/>
        </w:numPr>
        <w:autoSpaceDE/>
        <w:adjustRightInd/>
        <w:ind w:left="360" w:hanging="360"/>
        <w:jc w:val="both"/>
        <w:rPr>
          <w:rFonts w:cs="Arial"/>
          <w:sz w:val="22"/>
          <w:szCs w:val="22"/>
          <w:lang w:val="es-ES_tradnl"/>
        </w:rPr>
      </w:pPr>
      <w:r w:rsidRPr="00F57518">
        <w:rPr>
          <w:rFonts w:cs="Arial"/>
          <w:sz w:val="22"/>
          <w:szCs w:val="22"/>
          <w:lang w:val="es-ES_tradnl"/>
        </w:rPr>
        <w:t>Estos recursos fueron proporcionados por los Gobiernos de Australia, Finlandia, Alemania</w:t>
      </w:r>
      <w:r w:rsidR="00417EB8" w:rsidRPr="00F57518">
        <w:rPr>
          <w:rFonts w:cs="Arial"/>
          <w:sz w:val="22"/>
          <w:szCs w:val="22"/>
          <w:lang w:val="es-ES_tradnl"/>
        </w:rPr>
        <w:t>, Italia, Mónaco, Países Bajos, Noruega y Suiza; la Comisión Europea; y la División de Derecho Ambiental de las Naciones Unidas y la Oficina Regional para Europa.</w:t>
      </w:r>
      <w:r w:rsidR="007F56A5" w:rsidRPr="00F57518">
        <w:rPr>
          <w:rFonts w:cs="Arial"/>
          <w:sz w:val="22"/>
          <w:szCs w:val="22"/>
          <w:lang w:val="es-ES_tradnl"/>
        </w:rPr>
        <w:t xml:space="preserve"> Pueden encontrarse más detalles en el documento sobre Implementación del Programa de Trabajo 2015-2017 (UNEP/CMS/COP12/Doc.18).</w:t>
      </w:r>
    </w:p>
    <w:p w14:paraId="2FCE014F" w14:textId="4B9C9D80" w:rsidR="00110F6F" w:rsidRPr="004D3883" w:rsidRDefault="00110F6F" w:rsidP="00E07841">
      <w:pPr>
        <w:widowControl/>
        <w:ind w:left="360" w:hanging="360"/>
        <w:rPr>
          <w:rFonts w:ascii="Times New Roman" w:hAnsi="Times New Roman"/>
          <w:color w:val="000000"/>
          <w:sz w:val="24"/>
          <w:lang w:val="es-ES_tradnl"/>
        </w:rPr>
      </w:pPr>
    </w:p>
    <w:p w14:paraId="362B023B" w14:textId="52BA5F71" w:rsidR="007554E9" w:rsidRDefault="004D3883" w:rsidP="00E07841">
      <w:pPr>
        <w:pStyle w:val="ListParagraph"/>
        <w:numPr>
          <w:ilvl w:val="0"/>
          <w:numId w:val="10"/>
        </w:numPr>
        <w:autoSpaceDE/>
        <w:adjustRightInd/>
        <w:ind w:left="360" w:hanging="360"/>
        <w:jc w:val="both"/>
        <w:rPr>
          <w:rFonts w:cs="Arial"/>
          <w:sz w:val="22"/>
          <w:szCs w:val="22"/>
          <w:lang w:val="es-ES_tradnl"/>
        </w:rPr>
      </w:pPr>
      <w:r w:rsidRPr="004D3883">
        <w:rPr>
          <w:rFonts w:cs="Arial"/>
          <w:sz w:val="22"/>
          <w:szCs w:val="22"/>
          <w:lang w:val="es-ES_tradnl"/>
        </w:rPr>
        <w:t>Los fondos obtenidos</w:t>
      </w:r>
      <w:r w:rsidR="00441D2F">
        <w:rPr>
          <w:rFonts w:cs="Arial"/>
          <w:sz w:val="22"/>
          <w:szCs w:val="22"/>
          <w:lang w:val="es-ES_tradnl"/>
        </w:rPr>
        <w:t xml:space="preserve"> se han agrupado según las áreas identificadas en el PdT. </w:t>
      </w:r>
      <w:r w:rsidR="008F61B0">
        <w:rPr>
          <w:rFonts w:cs="Arial"/>
          <w:sz w:val="22"/>
          <w:szCs w:val="22"/>
          <w:lang w:val="es-ES_tradnl"/>
        </w:rPr>
        <w:t>Hay que destacar que una porción significativa de estos recursos ha sido asignada a actividades que se implementarán en el trienio 2018-2020.</w:t>
      </w:r>
    </w:p>
    <w:p w14:paraId="667F353C" w14:textId="4917B438" w:rsidR="00451D7B" w:rsidRPr="00E07841" w:rsidRDefault="00214148" w:rsidP="00451D7B">
      <w:pPr>
        <w:pStyle w:val="ListParagraph"/>
        <w:rPr>
          <w:rFonts w:cs="Arial"/>
          <w:sz w:val="22"/>
          <w:szCs w:val="22"/>
          <w:lang w:val="es-ES"/>
        </w:rPr>
      </w:pPr>
      <w:r w:rsidRPr="00214148">
        <w:rPr>
          <w:lang w:val="es-AR"/>
        </w:rPr>
        <w:t xml:space="preserve"> </w:t>
      </w:r>
      <w:r w:rsidR="00F454A4" w:rsidRPr="00F454A4">
        <w:rPr>
          <w:noProof/>
        </w:rPr>
        <w:drawing>
          <wp:anchor distT="0" distB="0" distL="114300" distR="114300" simplePos="0" relativeHeight="251664896" behindDoc="0" locked="0" layoutInCell="1" allowOverlap="1" wp14:anchorId="64868EF3" wp14:editId="76687F37">
            <wp:simplePos x="0" y="0"/>
            <wp:positionH relativeFrom="column">
              <wp:posOffset>113030</wp:posOffset>
            </wp:positionH>
            <wp:positionV relativeFrom="paragraph">
              <wp:posOffset>102870</wp:posOffset>
            </wp:positionV>
            <wp:extent cx="2886075" cy="2202815"/>
            <wp:effectExtent l="0" t="0" r="9525" b="698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27084" t="7862" r="34768" b="3226"/>
                    <a:stretch/>
                  </pic:blipFill>
                  <pic:spPr bwMode="auto">
                    <a:xfrm>
                      <a:off x="0" y="0"/>
                      <a:ext cx="2886075" cy="2202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61E931" w14:textId="69B68D9F" w:rsidR="00451D7B" w:rsidRDefault="00451D7B" w:rsidP="00F454A4">
      <w:pPr>
        <w:pStyle w:val="ListParagraph"/>
        <w:autoSpaceDE/>
        <w:adjustRightInd/>
        <w:ind w:left="450"/>
        <w:jc w:val="both"/>
        <w:rPr>
          <w:rFonts w:cs="Arial"/>
          <w:sz w:val="22"/>
          <w:szCs w:val="22"/>
          <w:lang w:val="es-ES"/>
        </w:rPr>
      </w:pPr>
    </w:p>
    <w:p w14:paraId="1B63EB19" w14:textId="44E0CF35" w:rsidR="00214148" w:rsidRDefault="00214148" w:rsidP="00F454A4">
      <w:pPr>
        <w:pStyle w:val="ListParagraph"/>
        <w:autoSpaceDE/>
        <w:adjustRightInd/>
        <w:ind w:left="450"/>
        <w:jc w:val="both"/>
        <w:rPr>
          <w:rFonts w:cs="Arial"/>
          <w:sz w:val="22"/>
          <w:szCs w:val="22"/>
          <w:lang w:val="es-ES"/>
        </w:rPr>
      </w:pPr>
    </w:p>
    <w:p w14:paraId="7F7A0116" w14:textId="610CF341" w:rsidR="00214148" w:rsidRDefault="00214148" w:rsidP="00F454A4">
      <w:pPr>
        <w:pStyle w:val="ListParagraph"/>
        <w:autoSpaceDE/>
        <w:adjustRightInd/>
        <w:ind w:left="450"/>
        <w:jc w:val="both"/>
        <w:rPr>
          <w:rFonts w:cs="Arial"/>
          <w:sz w:val="22"/>
          <w:szCs w:val="22"/>
          <w:lang w:val="es-ES"/>
        </w:rPr>
      </w:pPr>
    </w:p>
    <w:p w14:paraId="48DCFE85" w14:textId="1A1A4F33" w:rsidR="00214148" w:rsidRDefault="00214148" w:rsidP="00F454A4">
      <w:pPr>
        <w:pStyle w:val="ListParagraph"/>
        <w:autoSpaceDE/>
        <w:adjustRightInd/>
        <w:ind w:left="450"/>
        <w:jc w:val="both"/>
        <w:rPr>
          <w:rFonts w:cs="Arial"/>
          <w:sz w:val="22"/>
          <w:szCs w:val="22"/>
          <w:lang w:val="es-ES"/>
        </w:rPr>
      </w:pPr>
    </w:p>
    <w:p w14:paraId="7E5D21C7" w14:textId="55679CC1" w:rsidR="00214148" w:rsidRDefault="00214148" w:rsidP="00F454A4">
      <w:pPr>
        <w:pStyle w:val="ListParagraph"/>
        <w:autoSpaceDE/>
        <w:adjustRightInd/>
        <w:ind w:left="450"/>
        <w:jc w:val="both"/>
        <w:rPr>
          <w:rFonts w:cs="Arial"/>
          <w:sz w:val="22"/>
          <w:szCs w:val="22"/>
          <w:lang w:val="es-ES"/>
        </w:rPr>
      </w:pPr>
    </w:p>
    <w:p w14:paraId="02F56DC3" w14:textId="7D32C4B7" w:rsidR="00214148" w:rsidRDefault="00214148" w:rsidP="00F454A4">
      <w:pPr>
        <w:pStyle w:val="ListParagraph"/>
        <w:autoSpaceDE/>
        <w:adjustRightInd/>
        <w:ind w:left="450"/>
        <w:jc w:val="both"/>
        <w:rPr>
          <w:rFonts w:cs="Arial"/>
          <w:sz w:val="22"/>
          <w:szCs w:val="22"/>
          <w:lang w:val="es-ES"/>
        </w:rPr>
      </w:pPr>
      <w:r w:rsidRPr="00F454A4">
        <w:rPr>
          <w:noProof/>
        </w:rPr>
        <w:drawing>
          <wp:anchor distT="0" distB="0" distL="114300" distR="114300" simplePos="0" relativeHeight="251665920" behindDoc="0" locked="0" layoutInCell="1" allowOverlap="1" wp14:anchorId="4AE89E83" wp14:editId="2BC82FB0">
            <wp:simplePos x="0" y="0"/>
            <wp:positionH relativeFrom="column">
              <wp:posOffset>165100</wp:posOffset>
            </wp:positionH>
            <wp:positionV relativeFrom="paragraph">
              <wp:posOffset>1414780</wp:posOffset>
            </wp:positionV>
            <wp:extent cx="2781300" cy="2296160"/>
            <wp:effectExtent l="0" t="0" r="1270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31708" t="10056" r="32787" b="2028"/>
                    <a:stretch/>
                  </pic:blipFill>
                  <pic:spPr bwMode="auto">
                    <a:xfrm>
                      <a:off x="0" y="0"/>
                      <a:ext cx="2781300" cy="2296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4148">
        <w:rPr>
          <w:noProof/>
        </w:rPr>
        <w:drawing>
          <wp:anchor distT="0" distB="0" distL="114300" distR="114300" simplePos="0" relativeHeight="251666944" behindDoc="1" locked="0" layoutInCell="1" allowOverlap="1" wp14:anchorId="2636E9B5" wp14:editId="65B88FBD">
            <wp:simplePos x="0" y="0"/>
            <wp:positionH relativeFrom="column">
              <wp:posOffset>2941320</wp:posOffset>
            </wp:positionH>
            <wp:positionV relativeFrom="paragraph">
              <wp:posOffset>206375</wp:posOffset>
            </wp:positionV>
            <wp:extent cx="3502025" cy="2219325"/>
            <wp:effectExtent l="0" t="0" r="3175" b="9525"/>
            <wp:wrapThrough wrapText="bothSides">
              <wp:wrapPolygon edited="0">
                <wp:start x="0" y="0"/>
                <wp:lineTo x="0" y="21507"/>
                <wp:lineTo x="21502" y="21507"/>
                <wp:lineTo x="2150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68204" t="24168" b="11734"/>
                    <a:stretch/>
                  </pic:blipFill>
                  <pic:spPr bwMode="auto">
                    <a:xfrm>
                      <a:off x="0" y="0"/>
                      <a:ext cx="3502025" cy="221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9FE38E" w14:textId="58BD9CBC" w:rsidR="004A7FF9" w:rsidRPr="00E07841" w:rsidRDefault="004A7FF9" w:rsidP="007F0C0D">
      <w:pPr>
        <w:autoSpaceDE/>
        <w:adjustRightInd/>
        <w:jc w:val="both"/>
        <w:rPr>
          <w:rFonts w:cs="Arial"/>
          <w:sz w:val="22"/>
          <w:szCs w:val="22"/>
          <w:lang w:val="es-ES"/>
        </w:rPr>
      </w:pPr>
    </w:p>
    <w:p w14:paraId="06E1A58F" w14:textId="585248E6" w:rsidR="004A7FF9" w:rsidRDefault="004A7FF9" w:rsidP="001C0810">
      <w:pPr>
        <w:pStyle w:val="ListParagraph"/>
        <w:autoSpaceDE/>
        <w:adjustRightInd/>
        <w:ind w:left="450"/>
        <w:jc w:val="both"/>
        <w:rPr>
          <w:rFonts w:cs="Arial"/>
          <w:sz w:val="22"/>
          <w:szCs w:val="22"/>
          <w:lang w:val="es-ES"/>
        </w:rPr>
      </w:pPr>
    </w:p>
    <w:p w14:paraId="0BB9F01D" w14:textId="1DF3E2AF" w:rsidR="00214148" w:rsidRDefault="00214148" w:rsidP="001C0810">
      <w:pPr>
        <w:pStyle w:val="ListParagraph"/>
        <w:autoSpaceDE/>
        <w:adjustRightInd/>
        <w:ind w:left="450"/>
        <w:jc w:val="both"/>
        <w:rPr>
          <w:rFonts w:cs="Arial"/>
          <w:sz w:val="22"/>
          <w:szCs w:val="22"/>
          <w:lang w:val="es-ES"/>
        </w:rPr>
      </w:pPr>
    </w:p>
    <w:p w14:paraId="304C06D4" w14:textId="0DB816E0" w:rsidR="00214148" w:rsidRDefault="00214148" w:rsidP="001C0810">
      <w:pPr>
        <w:pStyle w:val="ListParagraph"/>
        <w:autoSpaceDE/>
        <w:adjustRightInd/>
        <w:ind w:left="450"/>
        <w:jc w:val="both"/>
        <w:rPr>
          <w:rFonts w:cs="Arial"/>
          <w:sz w:val="22"/>
          <w:szCs w:val="22"/>
          <w:lang w:val="es-ES"/>
        </w:rPr>
      </w:pPr>
    </w:p>
    <w:p w14:paraId="6A5259ED" w14:textId="025EEC86" w:rsidR="00214148" w:rsidRDefault="00214148" w:rsidP="001C0810">
      <w:pPr>
        <w:pStyle w:val="ListParagraph"/>
        <w:autoSpaceDE/>
        <w:adjustRightInd/>
        <w:ind w:left="450"/>
        <w:jc w:val="both"/>
        <w:rPr>
          <w:rFonts w:cs="Arial"/>
          <w:sz w:val="22"/>
          <w:szCs w:val="22"/>
          <w:lang w:val="es-ES"/>
        </w:rPr>
      </w:pPr>
    </w:p>
    <w:p w14:paraId="0EA47A7E" w14:textId="138E6129" w:rsidR="00214148" w:rsidRDefault="00214148" w:rsidP="001C0810">
      <w:pPr>
        <w:pStyle w:val="ListParagraph"/>
        <w:autoSpaceDE/>
        <w:adjustRightInd/>
        <w:ind w:left="450"/>
        <w:jc w:val="both"/>
        <w:rPr>
          <w:rFonts w:cs="Arial"/>
          <w:sz w:val="22"/>
          <w:szCs w:val="22"/>
          <w:lang w:val="es-ES"/>
        </w:rPr>
      </w:pPr>
    </w:p>
    <w:p w14:paraId="58320C3A" w14:textId="13E72E7F" w:rsidR="00214148" w:rsidRDefault="00214148" w:rsidP="001C0810">
      <w:pPr>
        <w:pStyle w:val="ListParagraph"/>
        <w:autoSpaceDE/>
        <w:adjustRightInd/>
        <w:ind w:left="450"/>
        <w:jc w:val="both"/>
        <w:rPr>
          <w:rFonts w:cs="Arial"/>
          <w:sz w:val="22"/>
          <w:szCs w:val="22"/>
          <w:lang w:val="es-ES"/>
        </w:rPr>
      </w:pPr>
    </w:p>
    <w:p w14:paraId="26EF6720" w14:textId="7FB874E8" w:rsidR="00214148" w:rsidRDefault="00214148" w:rsidP="001C0810">
      <w:pPr>
        <w:pStyle w:val="ListParagraph"/>
        <w:autoSpaceDE/>
        <w:adjustRightInd/>
        <w:ind w:left="450"/>
        <w:jc w:val="both"/>
        <w:rPr>
          <w:rFonts w:cs="Arial"/>
          <w:sz w:val="22"/>
          <w:szCs w:val="22"/>
          <w:lang w:val="es-ES"/>
        </w:rPr>
      </w:pPr>
    </w:p>
    <w:p w14:paraId="130BBB43" w14:textId="4C5883B0" w:rsidR="00C263A0" w:rsidRDefault="00C263A0" w:rsidP="00214148">
      <w:pPr>
        <w:autoSpaceDE/>
        <w:adjustRightInd/>
        <w:ind w:left="360"/>
        <w:jc w:val="both"/>
        <w:rPr>
          <w:rFonts w:cs="Arial"/>
          <w:sz w:val="22"/>
          <w:szCs w:val="22"/>
          <w:lang w:val="es-ES_tradnl"/>
        </w:rPr>
      </w:pPr>
      <w:r w:rsidRPr="00D672DF">
        <w:rPr>
          <w:rFonts w:cs="Arial"/>
          <w:sz w:val="22"/>
          <w:szCs w:val="22"/>
          <w:lang w:val="es-ES_tradnl"/>
        </w:rPr>
        <w:t>Las contribuciones para la conservación de “especies de aves” incluye</w:t>
      </w:r>
      <w:r w:rsidR="00D672DF" w:rsidRPr="00D672DF">
        <w:rPr>
          <w:rFonts w:cs="Arial"/>
          <w:sz w:val="22"/>
          <w:szCs w:val="22"/>
          <w:lang w:val="es-ES_tradnl"/>
        </w:rPr>
        <w:t>n</w:t>
      </w:r>
      <w:r w:rsidRPr="00D672DF">
        <w:rPr>
          <w:rFonts w:cs="Arial"/>
          <w:sz w:val="22"/>
          <w:szCs w:val="22"/>
          <w:lang w:val="es-ES_tradnl"/>
        </w:rPr>
        <w:t xml:space="preserve"> la provisión de un Oficial de Programas Junior (JPO) ofrecido generosamente por el Gobierno de Alemania para asistir con las numerosas tare</w:t>
      </w:r>
      <w:r w:rsidR="00543938">
        <w:rPr>
          <w:rFonts w:cs="Arial"/>
          <w:sz w:val="22"/>
          <w:szCs w:val="22"/>
          <w:lang w:val="es-ES_tradnl"/>
        </w:rPr>
        <w:t>a</w:t>
      </w:r>
      <w:r w:rsidRPr="00D672DF">
        <w:rPr>
          <w:rFonts w:cs="Arial"/>
          <w:sz w:val="22"/>
          <w:szCs w:val="22"/>
          <w:lang w:val="es-ES_tradnl"/>
        </w:rPr>
        <w:t>s de la Unidad</w:t>
      </w:r>
      <w:r w:rsidR="00D672DF" w:rsidRPr="00D672DF">
        <w:rPr>
          <w:rFonts w:cs="Arial"/>
          <w:sz w:val="22"/>
          <w:szCs w:val="22"/>
          <w:lang w:val="es-ES_tradnl"/>
        </w:rPr>
        <w:t>,</w:t>
      </w:r>
      <w:r w:rsidRPr="00D672DF">
        <w:rPr>
          <w:rFonts w:cs="Arial"/>
          <w:sz w:val="22"/>
          <w:szCs w:val="22"/>
          <w:lang w:val="es-ES_tradnl"/>
        </w:rPr>
        <w:t xml:space="preserve"> incluyendo la </w:t>
      </w:r>
      <w:r w:rsidR="00D672DF" w:rsidRPr="00D672DF">
        <w:rPr>
          <w:rFonts w:cs="Arial"/>
          <w:sz w:val="22"/>
          <w:szCs w:val="22"/>
          <w:lang w:val="es-ES_tradnl"/>
        </w:rPr>
        <w:t>continuación</w:t>
      </w:r>
      <w:r w:rsidRPr="00D672DF">
        <w:rPr>
          <w:rFonts w:cs="Arial"/>
          <w:sz w:val="22"/>
          <w:szCs w:val="22"/>
          <w:lang w:val="es-ES_tradnl"/>
        </w:rPr>
        <w:t xml:space="preserve"> del trabajo sobre prevención del envenenamiento de aves</w:t>
      </w:r>
      <w:r w:rsidR="00D672DF" w:rsidRPr="00D672DF">
        <w:rPr>
          <w:rFonts w:cs="Arial"/>
          <w:sz w:val="22"/>
          <w:szCs w:val="22"/>
          <w:lang w:val="es-ES_tradnl"/>
        </w:rPr>
        <w:t>,</w:t>
      </w:r>
      <w:r w:rsidRPr="00D672DF">
        <w:rPr>
          <w:rFonts w:cs="Arial"/>
          <w:sz w:val="22"/>
          <w:szCs w:val="22"/>
          <w:lang w:val="es-ES_tradnl"/>
        </w:rPr>
        <w:t xml:space="preserve"> de octubre de 2016 a octubre de 2018.</w:t>
      </w:r>
    </w:p>
    <w:p w14:paraId="2A9F9BD4" w14:textId="77777777" w:rsidR="001C0810" w:rsidRPr="00E019BC" w:rsidRDefault="001C0810" w:rsidP="001C0810">
      <w:pPr>
        <w:pStyle w:val="ListParagraph"/>
        <w:autoSpaceDE/>
        <w:adjustRightInd/>
        <w:ind w:left="450"/>
        <w:jc w:val="both"/>
        <w:rPr>
          <w:rFonts w:cs="Arial"/>
          <w:sz w:val="22"/>
          <w:szCs w:val="22"/>
          <w:lang w:val="es-ES_tradnl"/>
        </w:rPr>
      </w:pPr>
    </w:p>
    <w:p w14:paraId="65036CF8" w14:textId="6EDFEDBB" w:rsidR="009C7023" w:rsidRPr="00307F22" w:rsidRDefault="00F814D8" w:rsidP="00E07841">
      <w:pPr>
        <w:pStyle w:val="ListParagraph"/>
        <w:numPr>
          <w:ilvl w:val="0"/>
          <w:numId w:val="10"/>
        </w:numPr>
        <w:autoSpaceDE/>
        <w:adjustRightInd/>
        <w:ind w:left="360" w:hanging="360"/>
        <w:jc w:val="both"/>
        <w:rPr>
          <w:rFonts w:cs="Arial"/>
          <w:sz w:val="22"/>
          <w:szCs w:val="22"/>
          <w:lang w:val="es-ES_tradnl"/>
        </w:rPr>
      </w:pPr>
      <w:r>
        <w:rPr>
          <w:rFonts w:cs="Arial"/>
          <w:sz w:val="22"/>
          <w:szCs w:val="22"/>
          <w:lang w:val="es-ES_tradnl"/>
        </w:rPr>
        <w:t>No obstante</w:t>
      </w:r>
      <w:r w:rsidR="00F44439">
        <w:rPr>
          <w:rFonts w:cs="Arial"/>
          <w:sz w:val="22"/>
          <w:szCs w:val="22"/>
          <w:lang w:val="es-ES_tradnl"/>
        </w:rPr>
        <w:t>,</w:t>
      </w:r>
      <w:r w:rsidR="008F61B0" w:rsidRPr="008F61B0">
        <w:rPr>
          <w:rFonts w:cs="Arial"/>
          <w:sz w:val="22"/>
          <w:szCs w:val="22"/>
          <w:lang w:val="es-ES_tradnl"/>
        </w:rPr>
        <w:t xml:space="preserve"> la cantidad indicada más arriba </w:t>
      </w:r>
      <w:r w:rsidR="008F61B0">
        <w:rPr>
          <w:rFonts w:cs="Arial"/>
          <w:sz w:val="22"/>
          <w:szCs w:val="22"/>
          <w:lang w:val="es-ES_tradnl"/>
        </w:rPr>
        <w:t>no incluye la promesa considerable para 2016-2019 de aproximadamente 8,1 millones de dó</w:t>
      </w:r>
      <w:r w:rsidR="00961B26">
        <w:rPr>
          <w:rFonts w:cs="Arial"/>
          <w:sz w:val="22"/>
          <w:szCs w:val="22"/>
          <w:lang w:val="es-ES_tradnl"/>
        </w:rPr>
        <w:t xml:space="preserve">lares </w:t>
      </w:r>
      <w:r w:rsidRPr="00F814D8">
        <w:rPr>
          <w:rFonts w:cs="Arial"/>
          <w:sz w:val="22"/>
          <w:szCs w:val="22"/>
          <w:lang w:val="es-ES_tradnl"/>
        </w:rPr>
        <w:t>(US$)</w:t>
      </w:r>
      <w:r>
        <w:rPr>
          <w:rFonts w:cs="Arial"/>
          <w:sz w:val="22"/>
          <w:szCs w:val="22"/>
          <w:lang w:val="es-ES_tradnl"/>
        </w:rPr>
        <w:t xml:space="preserve"> </w:t>
      </w:r>
      <w:r w:rsidR="00961B26">
        <w:rPr>
          <w:rFonts w:cs="Arial"/>
          <w:sz w:val="22"/>
          <w:szCs w:val="22"/>
          <w:lang w:val="es-ES_tradnl"/>
        </w:rPr>
        <w:t>de la Agenci</w:t>
      </w:r>
      <w:r w:rsidR="008F61B0">
        <w:rPr>
          <w:rFonts w:cs="Arial"/>
          <w:sz w:val="22"/>
          <w:szCs w:val="22"/>
          <w:lang w:val="es-ES_tradnl"/>
        </w:rPr>
        <w:t xml:space="preserve">a de Medio Ambiente de Abu Dabi (EAD) recibida en septiembre de 2015 para el funcionamiento de la Oficina de la CMS en Abu Dabi, </w:t>
      </w:r>
      <w:r w:rsidR="00DE3D1B">
        <w:rPr>
          <w:rFonts w:cs="Arial"/>
          <w:sz w:val="22"/>
          <w:szCs w:val="22"/>
          <w:lang w:val="es-ES_tradnl"/>
        </w:rPr>
        <w:t>la cual</w:t>
      </w:r>
      <w:r w:rsidR="008F61B0">
        <w:rPr>
          <w:rFonts w:cs="Arial"/>
          <w:sz w:val="22"/>
          <w:szCs w:val="22"/>
          <w:lang w:val="es-ES_tradnl"/>
        </w:rPr>
        <w:t xml:space="preserve"> coordina los Memorandos de Entendimiento (MDE) sobre las aves </w:t>
      </w:r>
      <w:r w:rsidR="00DE3D1B">
        <w:rPr>
          <w:rFonts w:cs="Arial"/>
          <w:sz w:val="22"/>
          <w:szCs w:val="22"/>
          <w:lang w:val="es-ES_tradnl"/>
        </w:rPr>
        <w:t>rapaces</w:t>
      </w:r>
      <w:r w:rsidR="008F61B0">
        <w:rPr>
          <w:rFonts w:cs="Arial"/>
          <w:sz w:val="22"/>
          <w:szCs w:val="22"/>
          <w:lang w:val="es-ES_tradnl"/>
        </w:rPr>
        <w:t xml:space="preserve"> y los dugongos.</w:t>
      </w:r>
      <w:r w:rsidR="00470C27">
        <w:rPr>
          <w:rFonts w:cs="Arial"/>
          <w:sz w:val="22"/>
          <w:szCs w:val="22"/>
          <w:lang w:val="es-ES_tradnl"/>
        </w:rPr>
        <w:t xml:space="preserve"> Esta generosa ayuda es</w:t>
      </w:r>
      <w:r w:rsidR="0008700A">
        <w:rPr>
          <w:rFonts w:cs="Arial"/>
          <w:sz w:val="22"/>
          <w:szCs w:val="22"/>
          <w:lang w:val="es-ES_tradnl"/>
        </w:rPr>
        <w:t xml:space="preserve"> proporcionada por EAD en nombre del Gobierno de los Emiratos Árabes Unidos. EAD también acoge la Oficina en su sede ofreciendo así espacio para o</w:t>
      </w:r>
      <w:r w:rsidR="00470C27">
        <w:rPr>
          <w:rFonts w:cs="Arial"/>
          <w:sz w:val="22"/>
          <w:szCs w:val="22"/>
          <w:lang w:val="es-ES_tradnl"/>
        </w:rPr>
        <w:t>ficinas de alta categoría y otras formas de</w:t>
      </w:r>
      <w:r w:rsidR="0008700A">
        <w:rPr>
          <w:rFonts w:cs="Arial"/>
          <w:sz w:val="22"/>
          <w:szCs w:val="22"/>
          <w:lang w:val="es-ES_tradnl"/>
        </w:rPr>
        <w:t xml:space="preserve"> apoyo práctico.</w:t>
      </w:r>
      <w:r w:rsidR="00470C27">
        <w:rPr>
          <w:rFonts w:cs="Arial"/>
          <w:sz w:val="22"/>
          <w:szCs w:val="22"/>
          <w:lang w:val="es-ES_tradnl"/>
        </w:rPr>
        <w:t xml:space="preserve"> </w:t>
      </w:r>
    </w:p>
    <w:p w14:paraId="7B576948" w14:textId="77777777" w:rsidR="009C7023" w:rsidRPr="00673EBB" w:rsidRDefault="009C7023" w:rsidP="00E07841">
      <w:pPr>
        <w:pStyle w:val="ListParagraph"/>
        <w:autoSpaceDE/>
        <w:adjustRightInd/>
        <w:ind w:left="360" w:hanging="360"/>
        <w:jc w:val="both"/>
        <w:rPr>
          <w:rFonts w:cs="Arial"/>
          <w:sz w:val="22"/>
          <w:szCs w:val="22"/>
          <w:lang w:val="es-ES_tradnl"/>
        </w:rPr>
      </w:pPr>
    </w:p>
    <w:p w14:paraId="56EADF78" w14:textId="37332BFB" w:rsidR="00673EBB" w:rsidRPr="00673EBB" w:rsidRDefault="00673EBB" w:rsidP="00E07841">
      <w:pPr>
        <w:pStyle w:val="ListParagraph"/>
        <w:numPr>
          <w:ilvl w:val="0"/>
          <w:numId w:val="10"/>
        </w:numPr>
        <w:autoSpaceDE/>
        <w:adjustRightInd/>
        <w:ind w:left="360" w:hanging="360"/>
        <w:jc w:val="both"/>
        <w:rPr>
          <w:rFonts w:cs="Arial"/>
          <w:sz w:val="22"/>
          <w:szCs w:val="22"/>
          <w:lang w:val="es-ES_tradnl"/>
        </w:rPr>
      </w:pPr>
      <w:r w:rsidRPr="00673EBB">
        <w:rPr>
          <w:rFonts w:cs="Arial"/>
          <w:sz w:val="22"/>
          <w:szCs w:val="22"/>
          <w:lang w:val="es-ES_tradnl"/>
        </w:rPr>
        <w:t xml:space="preserve">Los recursos recaudados por estos dos instrumentos </w:t>
      </w:r>
      <w:r w:rsidR="006F6036">
        <w:rPr>
          <w:rFonts w:cs="Arial"/>
          <w:sz w:val="22"/>
          <w:szCs w:val="22"/>
          <w:lang w:val="es-ES_tradnl"/>
        </w:rPr>
        <w:t>y las contribuciones voluntarias estimadas para la i</w:t>
      </w:r>
      <w:r w:rsidR="00835A09">
        <w:rPr>
          <w:rFonts w:cs="Arial"/>
          <w:sz w:val="22"/>
          <w:szCs w:val="22"/>
          <w:lang w:val="es-ES_tradnl"/>
        </w:rPr>
        <w:t>mplementación de los MDE sobre tiburones y tortugas m</w:t>
      </w:r>
      <w:r w:rsidR="006F6036">
        <w:rPr>
          <w:rFonts w:cs="Arial"/>
          <w:sz w:val="22"/>
          <w:szCs w:val="22"/>
          <w:lang w:val="es-ES_tradnl"/>
        </w:rPr>
        <w:t xml:space="preserve">arinas y sus </w:t>
      </w:r>
      <w:r w:rsidR="00835A09">
        <w:rPr>
          <w:rFonts w:cs="Arial"/>
          <w:sz w:val="22"/>
          <w:szCs w:val="22"/>
          <w:lang w:val="es-ES_tradnl"/>
        </w:rPr>
        <w:t>h</w:t>
      </w:r>
      <w:r w:rsidR="006F6036">
        <w:rPr>
          <w:rFonts w:cs="Arial"/>
          <w:sz w:val="22"/>
          <w:szCs w:val="22"/>
          <w:lang w:val="es-ES_tradnl"/>
        </w:rPr>
        <w:t>ábitats del Océano Índico y el Sudeste Asiático (IOSEA)</w:t>
      </w:r>
      <w:r w:rsidR="00835A09">
        <w:rPr>
          <w:rFonts w:cs="Arial"/>
          <w:sz w:val="22"/>
          <w:szCs w:val="22"/>
          <w:lang w:val="es-ES_tradnl"/>
        </w:rPr>
        <w:t>,</w:t>
      </w:r>
      <w:r w:rsidR="001773AD">
        <w:rPr>
          <w:rFonts w:cs="Arial"/>
          <w:sz w:val="22"/>
          <w:szCs w:val="22"/>
          <w:lang w:val="es-ES_tradnl"/>
        </w:rPr>
        <w:t xml:space="preserve"> han sido también excluido</w:t>
      </w:r>
      <w:r w:rsidR="006F6036">
        <w:rPr>
          <w:rFonts w:cs="Arial"/>
          <w:sz w:val="22"/>
          <w:szCs w:val="22"/>
          <w:lang w:val="es-ES_tradnl"/>
        </w:rPr>
        <w:t>s de la cantidad total indicada más arriba.</w:t>
      </w:r>
      <w:r w:rsidR="00D960AA">
        <w:rPr>
          <w:rFonts w:cs="Arial"/>
          <w:sz w:val="22"/>
          <w:szCs w:val="22"/>
          <w:lang w:val="es-ES_tradnl"/>
        </w:rPr>
        <w:t xml:space="preserve"> Las contribuciones obtenidas en 2015-2017 en apoyo </w:t>
      </w:r>
      <w:r w:rsidR="00D960AA">
        <w:rPr>
          <w:rFonts w:cs="Arial"/>
          <w:sz w:val="22"/>
          <w:szCs w:val="22"/>
          <w:lang w:val="es-ES_tradnl"/>
        </w:rPr>
        <w:lastRenderedPageBreak/>
        <w:t xml:space="preserve">al presupuesto del MDE sobre </w:t>
      </w:r>
      <w:r w:rsidR="001773AD">
        <w:rPr>
          <w:rFonts w:cs="Arial"/>
          <w:sz w:val="22"/>
          <w:szCs w:val="22"/>
          <w:lang w:val="es-ES_tradnl"/>
        </w:rPr>
        <w:t>t</w:t>
      </w:r>
      <w:r w:rsidR="00D960AA" w:rsidRPr="006A5858">
        <w:rPr>
          <w:rFonts w:cs="Arial"/>
          <w:sz w:val="22"/>
          <w:szCs w:val="22"/>
          <w:lang w:val="es-ES_tradnl"/>
        </w:rPr>
        <w:t>iburones y su PdT ascienden a 584.436 US$</w:t>
      </w:r>
      <w:r w:rsidR="006A5858" w:rsidRPr="006A5858">
        <w:rPr>
          <w:rFonts w:cs="Arial"/>
          <w:sz w:val="22"/>
          <w:szCs w:val="22"/>
          <w:lang w:val="es-ES_tradnl"/>
        </w:rPr>
        <w:t xml:space="preserve"> y las recibidas por el MDE IOSEA ascienden a 428.345 US$.</w:t>
      </w:r>
    </w:p>
    <w:p w14:paraId="7A9F4C5A" w14:textId="77777777" w:rsidR="0082154E" w:rsidRDefault="0082154E" w:rsidP="00E07841">
      <w:pPr>
        <w:pStyle w:val="ListParagraph"/>
        <w:ind w:left="360" w:hanging="360"/>
        <w:jc w:val="both"/>
        <w:rPr>
          <w:rFonts w:cs="Arial"/>
          <w:b/>
          <w:sz w:val="20"/>
          <w:szCs w:val="20"/>
          <w:highlight w:val="yellow"/>
          <w:lang w:val="es-ES_tradnl"/>
        </w:rPr>
      </w:pPr>
    </w:p>
    <w:p w14:paraId="7FC8311A" w14:textId="7C43D70A" w:rsidR="00D31F7C" w:rsidRPr="00D31F7C" w:rsidRDefault="00D31F7C" w:rsidP="00E07841">
      <w:pPr>
        <w:pStyle w:val="ListParagraph"/>
        <w:ind w:left="360" w:hanging="360"/>
        <w:jc w:val="both"/>
        <w:rPr>
          <w:rFonts w:cs="Arial"/>
          <w:b/>
          <w:sz w:val="20"/>
          <w:szCs w:val="20"/>
          <w:lang w:val="es-ES_tradnl"/>
        </w:rPr>
      </w:pPr>
      <w:r w:rsidRPr="00D31F7C">
        <w:rPr>
          <w:rFonts w:cs="Arial"/>
          <w:b/>
          <w:sz w:val="20"/>
          <w:szCs w:val="20"/>
          <w:lang w:val="es-ES_tradnl"/>
        </w:rPr>
        <w:t>Contribuciones económicas indirectas y contribuciones en especie</w:t>
      </w:r>
    </w:p>
    <w:p w14:paraId="3B7110FE" w14:textId="77777777" w:rsidR="004B7F3D" w:rsidRPr="007F23A8" w:rsidRDefault="004B7F3D" w:rsidP="00E07841">
      <w:pPr>
        <w:pStyle w:val="ListParagraph"/>
        <w:ind w:left="360" w:hanging="360"/>
        <w:rPr>
          <w:rFonts w:cs="Arial"/>
          <w:sz w:val="22"/>
          <w:szCs w:val="22"/>
          <w:lang w:val="es-ES_tradnl"/>
        </w:rPr>
      </w:pPr>
    </w:p>
    <w:p w14:paraId="1396E625" w14:textId="00E6069F" w:rsidR="007F23A8" w:rsidRPr="007F23A8" w:rsidRDefault="007F23A8" w:rsidP="00E07841">
      <w:pPr>
        <w:pStyle w:val="ListParagraph"/>
        <w:numPr>
          <w:ilvl w:val="0"/>
          <w:numId w:val="10"/>
        </w:numPr>
        <w:autoSpaceDE/>
        <w:adjustRightInd/>
        <w:ind w:left="360" w:hanging="360"/>
        <w:jc w:val="both"/>
        <w:rPr>
          <w:rFonts w:cs="Arial"/>
          <w:sz w:val="22"/>
          <w:szCs w:val="22"/>
          <w:lang w:val="es-ES_tradnl"/>
        </w:rPr>
      </w:pPr>
      <w:r w:rsidRPr="007F23A8">
        <w:rPr>
          <w:rFonts w:cs="Arial"/>
          <w:sz w:val="22"/>
          <w:szCs w:val="22"/>
          <w:lang w:val="es-ES_tradnl"/>
        </w:rPr>
        <w:t xml:space="preserve">Otras contribuciones fueron realizadas </w:t>
      </w:r>
      <w:r>
        <w:rPr>
          <w:rFonts w:cs="Arial"/>
          <w:sz w:val="22"/>
          <w:szCs w:val="22"/>
          <w:lang w:val="es-ES_tradnl"/>
        </w:rPr>
        <w:t>bien en forma de apoyo financiero</w:t>
      </w:r>
      <w:r w:rsidR="004C73BC">
        <w:rPr>
          <w:rFonts w:cs="Arial"/>
          <w:sz w:val="22"/>
          <w:szCs w:val="22"/>
          <w:lang w:val="es-ES_tradnl"/>
        </w:rPr>
        <w:t xml:space="preserve">, que no fue administrado a través de la Secretaría pero que contribuyó </w:t>
      </w:r>
      <w:r w:rsidR="00D03464">
        <w:rPr>
          <w:rFonts w:cs="Arial"/>
          <w:sz w:val="22"/>
          <w:szCs w:val="22"/>
          <w:lang w:val="es-ES_tradnl"/>
        </w:rPr>
        <w:t>directamente a actividades, o bien en forma de a</w:t>
      </w:r>
      <w:r w:rsidR="004C73BC">
        <w:rPr>
          <w:rFonts w:cs="Arial"/>
          <w:sz w:val="22"/>
          <w:szCs w:val="22"/>
          <w:lang w:val="es-ES_tradnl"/>
        </w:rPr>
        <w:t>poyo en especie mediante la provisión de personal o servicios.</w:t>
      </w:r>
    </w:p>
    <w:p w14:paraId="23EE6061" w14:textId="77777777" w:rsidR="004B7F3D" w:rsidRPr="00E019BC" w:rsidRDefault="004B7F3D" w:rsidP="00E07841">
      <w:pPr>
        <w:pStyle w:val="ListParagraph"/>
        <w:ind w:left="360" w:hanging="360"/>
        <w:jc w:val="both"/>
        <w:rPr>
          <w:rFonts w:cs="Arial"/>
          <w:sz w:val="22"/>
          <w:szCs w:val="22"/>
          <w:highlight w:val="yellow"/>
          <w:lang w:val="es-ES_tradnl"/>
        </w:rPr>
      </w:pPr>
    </w:p>
    <w:p w14:paraId="65BCE792" w14:textId="1B0CB863" w:rsidR="00D60F05" w:rsidRPr="00D60F05" w:rsidRDefault="00D60F05" w:rsidP="00E07841">
      <w:pPr>
        <w:pStyle w:val="ListParagraph"/>
        <w:ind w:left="360" w:hanging="360"/>
        <w:jc w:val="both"/>
        <w:rPr>
          <w:rFonts w:cs="Arial"/>
          <w:i/>
          <w:sz w:val="22"/>
          <w:szCs w:val="22"/>
          <w:lang w:val="es-ES_tradnl"/>
        </w:rPr>
      </w:pPr>
      <w:r w:rsidRPr="00D60F05">
        <w:rPr>
          <w:rFonts w:cs="Arial"/>
          <w:i/>
          <w:sz w:val="22"/>
          <w:szCs w:val="22"/>
          <w:lang w:val="es-ES_tradnl"/>
        </w:rPr>
        <w:t>Actividades y servicios</w:t>
      </w:r>
    </w:p>
    <w:p w14:paraId="6DA9794C" w14:textId="77777777" w:rsidR="004B7F3D" w:rsidRPr="001B6BFF" w:rsidRDefault="004B7F3D" w:rsidP="00E07841">
      <w:pPr>
        <w:pStyle w:val="ListParagraph"/>
        <w:ind w:left="360" w:hanging="360"/>
        <w:rPr>
          <w:rFonts w:cs="Arial"/>
          <w:sz w:val="22"/>
          <w:szCs w:val="22"/>
          <w:lang w:val="es-ES_tradnl"/>
        </w:rPr>
      </w:pPr>
    </w:p>
    <w:p w14:paraId="5E8B822B" w14:textId="68DBE0DA" w:rsidR="001B6BFF" w:rsidRPr="001B6BFF" w:rsidRDefault="001B6BFF" w:rsidP="00E07841">
      <w:pPr>
        <w:pStyle w:val="ListParagraph"/>
        <w:numPr>
          <w:ilvl w:val="0"/>
          <w:numId w:val="10"/>
        </w:numPr>
        <w:autoSpaceDE/>
        <w:adjustRightInd/>
        <w:ind w:left="360" w:hanging="360"/>
        <w:jc w:val="both"/>
        <w:rPr>
          <w:rFonts w:cs="Arial"/>
          <w:sz w:val="22"/>
          <w:szCs w:val="22"/>
          <w:lang w:val="es-ES_tradnl"/>
        </w:rPr>
      </w:pPr>
      <w:r w:rsidRPr="001B6BFF">
        <w:rPr>
          <w:rFonts w:cs="Arial"/>
          <w:sz w:val="22"/>
          <w:szCs w:val="22"/>
          <w:lang w:val="es-ES_tradnl"/>
        </w:rPr>
        <w:t>La Sociedad Alemana</w:t>
      </w:r>
      <w:r w:rsidR="009C2AF0">
        <w:rPr>
          <w:rFonts w:cs="Arial"/>
          <w:sz w:val="22"/>
          <w:szCs w:val="22"/>
          <w:lang w:val="es-ES_tradnl"/>
        </w:rPr>
        <w:t xml:space="preserve"> para la Cooperación Internacional (GIZ)</w:t>
      </w:r>
      <w:r w:rsidR="00F715D0">
        <w:rPr>
          <w:rFonts w:cs="Arial"/>
          <w:sz w:val="22"/>
          <w:szCs w:val="22"/>
          <w:lang w:val="es-ES_tradnl"/>
        </w:rPr>
        <w:t>,</w:t>
      </w:r>
      <w:r w:rsidR="009C2AF0">
        <w:rPr>
          <w:rFonts w:cs="Arial"/>
          <w:sz w:val="22"/>
          <w:szCs w:val="22"/>
          <w:lang w:val="es-ES_tradnl"/>
        </w:rPr>
        <w:t xml:space="preserve"> act</w:t>
      </w:r>
      <w:r w:rsidR="00F715D0">
        <w:rPr>
          <w:rFonts w:cs="Arial"/>
          <w:sz w:val="22"/>
          <w:szCs w:val="22"/>
          <w:lang w:val="es-ES_tradnl"/>
        </w:rPr>
        <w:t>uando en nombre del Ministerio F</w:t>
      </w:r>
      <w:r w:rsidR="009C2AF0">
        <w:rPr>
          <w:rFonts w:cs="Arial"/>
          <w:sz w:val="22"/>
          <w:szCs w:val="22"/>
          <w:lang w:val="es-ES_tradnl"/>
        </w:rPr>
        <w:t>ederal para la Cooperación Económica y el Desarrollo (BMZ)</w:t>
      </w:r>
      <w:r w:rsidR="00F715D0">
        <w:rPr>
          <w:rFonts w:cs="Arial"/>
          <w:sz w:val="22"/>
          <w:szCs w:val="22"/>
          <w:lang w:val="es-ES_tradnl"/>
        </w:rPr>
        <w:t>,</w:t>
      </w:r>
      <w:r w:rsidR="009C2AF0">
        <w:rPr>
          <w:rFonts w:cs="Arial"/>
          <w:sz w:val="22"/>
          <w:szCs w:val="22"/>
          <w:lang w:val="es-ES_tradnl"/>
        </w:rPr>
        <w:t xml:space="preserve"> cubrió los costes de publicación del Plan de Acción para el Argalí y las Directrices para mitigar el impacto de </w:t>
      </w:r>
      <w:r w:rsidR="00F715D0">
        <w:rPr>
          <w:rFonts w:cs="Arial"/>
          <w:sz w:val="22"/>
          <w:szCs w:val="22"/>
          <w:lang w:val="es-ES_tradnl"/>
        </w:rPr>
        <w:t>la</w:t>
      </w:r>
      <w:r w:rsidR="001545CC">
        <w:rPr>
          <w:rFonts w:cs="Arial"/>
          <w:sz w:val="22"/>
          <w:szCs w:val="22"/>
          <w:lang w:val="es-ES_tradnl"/>
        </w:rPr>
        <w:t>s</w:t>
      </w:r>
      <w:r w:rsidR="00F715D0">
        <w:rPr>
          <w:rFonts w:cs="Arial"/>
          <w:sz w:val="22"/>
          <w:szCs w:val="22"/>
          <w:lang w:val="es-ES_tradnl"/>
        </w:rPr>
        <w:t xml:space="preserve"> infraestructuras lineales e</w:t>
      </w:r>
      <w:r w:rsidR="009C2AF0">
        <w:rPr>
          <w:rFonts w:cs="Arial"/>
          <w:sz w:val="22"/>
          <w:szCs w:val="22"/>
          <w:lang w:val="es-ES_tradnl"/>
        </w:rPr>
        <w:t xml:space="preserve"> interferencias </w:t>
      </w:r>
      <w:r w:rsidR="00F715D0">
        <w:rPr>
          <w:rFonts w:cs="Arial"/>
          <w:sz w:val="22"/>
          <w:szCs w:val="22"/>
          <w:lang w:val="es-ES_tradnl"/>
        </w:rPr>
        <w:t>asociadas</w:t>
      </w:r>
      <w:r w:rsidR="009C2AF0">
        <w:rPr>
          <w:rFonts w:cs="Arial"/>
          <w:sz w:val="22"/>
          <w:szCs w:val="22"/>
          <w:lang w:val="es-ES_tradnl"/>
        </w:rPr>
        <w:t xml:space="preserve"> en los mamíferos de Asia Centra</w:t>
      </w:r>
      <w:r w:rsidR="00F715D0">
        <w:rPr>
          <w:rFonts w:cs="Arial"/>
          <w:sz w:val="22"/>
          <w:szCs w:val="22"/>
          <w:lang w:val="es-ES_tradnl"/>
        </w:rPr>
        <w:t>l</w:t>
      </w:r>
      <w:r w:rsidR="009C2AF0">
        <w:rPr>
          <w:rFonts w:cs="Arial"/>
          <w:sz w:val="22"/>
          <w:szCs w:val="22"/>
          <w:lang w:val="es-ES_tradnl"/>
        </w:rPr>
        <w:t xml:space="preserve">. NABU, el socio de BirdLife en Alemania, y la Sociedad </w:t>
      </w:r>
      <w:r w:rsidR="00D6731D">
        <w:rPr>
          <w:rFonts w:cs="Arial"/>
          <w:sz w:val="22"/>
          <w:szCs w:val="22"/>
          <w:lang w:val="es-ES_tradnl"/>
        </w:rPr>
        <w:t>Zooló</w:t>
      </w:r>
      <w:r w:rsidR="009C2AF0">
        <w:rPr>
          <w:rFonts w:cs="Arial"/>
          <w:sz w:val="22"/>
          <w:szCs w:val="22"/>
          <w:lang w:val="es-ES_tradnl"/>
        </w:rPr>
        <w:t>g</w:t>
      </w:r>
      <w:r w:rsidR="00D6731D">
        <w:rPr>
          <w:rFonts w:cs="Arial"/>
          <w:sz w:val="22"/>
          <w:szCs w:val="22"/>
          <w:lang w:val="es-ES_tradnl"/>
        </w:rPr>
        <w:t>i</w:t>
      </w:r>
      <w:r w:rsidR="009C2AF0">
        <w:rPr>
          <w:rFonts w:cs="Arial"/>
          <w:sz w:val="22"/>
          <w:szCs w:val="22"/>
          <w:lang w:val="es-ES_tradnl"/>
        </w:rPr>
        <w:t>ca de Frankfurt contribuyeron a la organización de la Tercera Reunión de los Signatarios del Memorando de Ent</w:t>
      </w:r>
      <w:r w:rsidR="00A83110">
        <w:rPr>
          <w:rFonts w:cs="Arial"/>
          <w:sz w:val="22"/>
          <w:szCs w:val="22"/>
          <w:lang w:val="es-ES_tradnl"/>
        </w:rPr>
        <w:t>endimiento (MDE) relativo a la conservación, restauración y uso sostenible del a</w:t>
      </w:r>
      <w:r w:rsidR="009C2AF0">
        <w:rPr>
          <w:rFonts w:cs="Arial"/>
          <w:sz w:val="22"/>
          <w:szCs w:val="22"/>
          <w:lang w:val="es-ES_tradnl"/>
        </w:rPr>
        <w:t>ntílope saiga en octubre de 2015.</w:t>
      </w:r>
    </w:p>
    <w:p w14:paraId="372F458E" w14:textId="77777777" w:rsidR="000039B8" w:rsidRPr="00E019BC" w:rsidRDefault="000039B8" w:rsidP="00E07841">
      <w:pPr>
        <w:pStyle w:val="ListParagraph"/>
        <w:autoSpaceDE/>
        <w:adjustRightInd/>
        <w:ind w:left="360" w:hanging="360"/>
        <w:jc w:val="both"/>
        <w:rPr>
          <w:rFonts w:cs="Arial"/>
          <w:sz w:val="22"/>
          <w:szCs w:val="22"/>
          <w:highlight w:val="yellow"/>
          <w:lang w:val="es-ES_tradnl"/>
        </w:rPr>
      </w:pPr>
    </w:p>
    <w:p w14:paraId="3AFF11A3" w14:textId="4F9F3375" w:rsidR="00D6731D" w:rsidRPr="00D6731D" w:rsidRDefault="00383F3C" w:rsidP="00E07841">
      <w:pPr>
        <w:pStyle w:val="ListParagraph"/>
        <w:numPr>
          <w:ilvl w:val="0"/>
          <w:numId w:val="10"/>
        </w:numPr>
        <w:autoSpaceDE/>
        <w:adjustRightInd/>
        <w:ind w:left="360" w:hanging="360"/>
        <w:jc w:val="both"/>
        <w:rPr>
          <w:rFonts w:cs="Arial"/>
          <w:sz w:val="22"/>
          <w:szCs w:val="22"/>
          <w:lang w:val="es-ES_tradnl"/>
        </w:rPr>
      </w:pPr>
      <w:r>
        <w:rPr>
          <w:rFonts w:cs="Arial"/>
          <w:sz w:val="22"/>
          <w:szCs w:val="22"/>
          <w:lang w:val="es-ES_tradnl"/>
        </w:rPr>
        <w:t>La Ter</w:t>
      </w:r>
      <w:r w:rsidR="00D6731D" w:rsidRPr="00D6731D">
        <w:rPr>
          <w:rFonts w:cs="Arial"/>
          <w:sz w:val="22"/>
          <w:szCs w:val="22"/>
          <w:lang w:val="es-ES_tradnl"/>
        </w:rPr>
        <w:t xml:space="preserve">cera Reunión de los Signatarios del </w:t>
      </w:r>
      <w:r>
        <w:rPr>
          <w:rFonts w:cs="Arial"/>
          <w:sz w:val="22"/>
          <w:szCs w:val="22"/>
          <w:lang w:val="es-ES_tradnl"/>
        </w:rPr>
        <w:t>MDE sobre el carricerín cejudo tuvo lugar en Lituania en mayo de 2015 y fue financiada en su totalidad por el Foro Ambiental del Báltico a través del proyecto LIFE Plus “Carricerín cejudo del Báltico”.</w:t>
      </w:r>
    </w:p>
    <w:p w14:paraId="5C7CD3CC" w14:textId="77777777" w:rsidR="00DE6404" w:rsidRPr="00383F3C" w:rsidRDefault="00DE6404" w:rsidP="00E07841">
      <w:pPr>
        <w:pStyle w:val="ListParagraph"/>
        <w:ind w:left="360" w:hanging="360"/>
        <w:rPr>
          <w:rFonts w:cs="Arial"/>
          <w:sz w:val="22"/>
          <w:szCs w:val="22"/>
          <w:lang w:val="es-ES_tradnl"/>
        </w:rPr>
      </w:pPr>
    </w:p>
    <w:p w14:paraId="2985DD95" w14:textId="4D062E49" w:rsidR="00383F3C" w:rsidRPr="00383F3C" w:rsidRDefault="005F1956" w:rsidP="00E07841">
      <w:pPr>
        <w:pStyle w:val="ListParagraph"/>
        <w:numPr>
          <w:ilvl w:val="0"/>
          <w:numId w:val="10"/>
        </w:numPr>
        <w:autoSpaceDE/>
        <w:adjustRightInd/>
        <w:ind w:left="360" w:hanging="360"/>
        <w:jc w:val="both"/>
        <w:rPr>
          <w:rFonts w:cs="Arial"/>
          <w:sz w:val="22"/>
          <w:szCs w:val="22"/>
          <w:lang w:val="es-ES_tradnl"/>
        </w:rPr>
      </w:pPr>
      <w:r>
        <w:rPr>
          <w:rFonts w:cs="Arial"/>
          <w:sz w:val="22"/>
          <w:szCs w:val="22"/>
          <w:lang w:val="es-ES_tradnl"/>
        </w:rPr>
        <w:t>El primer t</w:t>
      </w:r>
      <w:r w:rsidR="00383F3C" w:rsidRPr="00383F3C">
        <w:rPr>
          <w:rFonts w:cs="Arial"/>
          <w:sz w:val="22"/>
          <w:szCs w:val="22"/>
          <w:lang w:val="es-ES_tradnl"/>
        </w:rPr>
        <w:t xml:space="preserve">aller de </w:t>
      </w:r>
      <w:r>
        <w:rPr>
          <w:rFonts w:cs="Arial"/>
          <w:sz w:val="22"/>
          <w:szCs w:val="22"/>
          <w:lang w:val="es-ES_tradnl"/>
        </w:rPr>
        <w:t xml:space="preserve">los </w:t>
      </w:r>
      <w:r w:rsidR="00383F3C" w:rsidRPr="00383F3C">
        <w:rPr>
          <w:rFonts w:cs="Arial"/>
          <w:sz w:val="22"/>
          <w:szCs w:val="22"/>
          <w:lang w:val="es-ES_tradnl"/>
        </w:rPr>
        <w:t xml:space="preserve">estados del área de distribución </w:t>
      </w:r>
      <w:r w:rsidR="004E0CC4">
        <w:rPr>
          <w:rFonts w:cs="Arial"/>
          <w:sz w:val="22"/>
          <w:szCs w:val="22"/>
          <w:lang w:val="es-ES_tradnl"/>
        </w:rPr>
        <w:t xml:space="preserve">sobre la anguila europea se celebró en octubre de 2016 y fue patrocinado principalmente por la Comisión del Mar </w:t>
      </w:r>
      <w:r w:rsidR="00017E05">
        <w:rPr>
          <w:rFonts w:cs="Arial"/>
          <w:sz w:val="22"/>
          <w:szCs w:val="22"/>
          <w:lang w:val="es-ES_tradnl"/>
        </w:rPr>
        <w:t>de los Sargaz</w:t>
      </w:r>
      <w:r w:rsidR="004E0CC4">
        <w:rPr>
          <w:rFonts w:cs="Arial"/>
          <w:sz w:val="22"/>
          <w:szCs w:val="22"/>
          <w:lang w:val="es-ES_tradnl"/>
        </w:rPr>
        <w:t>os, mientr</w:t>
      </w:r>
      <w:r w:rsidR="006E15BC">
        <w:rPr>
          <w:rFonts w:cs="Arial"/>
          <w:sz w:val="22"/>
          <w:szCs w:val="22"/>
          <w:lang w:val="es-ES_tradnl"/>
        </w:rPr>
        <w:t>as que la Secretaría de la CMS</w:t>
      </w:r>
      <w:r w:rsidR="004E0CC4">
        <w:rPr>
          <w:rFonts w:cs="Arial"/>
          <w:sz w:val="22"/>
          <w:szCs w:val="22"/>
          <w:lang w:val="es-ES_tradnl"/>
        </w:rPr>
        <w:t xml:space="preserve"> cubrió algunos de los gastos</w:t>
      </w:r>
      <w:r w:rsidR="006E15BC">
        <w:rPr>
          <w:rFonts w:cs="Arial"/>
          <w:sz w:val="22"/>
          <w:szCs w:val="22"/>
          <w:lang w:val="es-ES_tradnl"/>
        </w:rPr>
        <w:t xml:space="preserve"> con fondos proporcionados por Mónaco</w:t>
      </w:r>
      <w:r w:rsidR="004E0CC4">
        <w:rPr>
          <w:rFonts w:cs="Arial"/>
          <w:sz w:val="22"/>
          <w:szCs w:val="22"/>
          <w:lang w:val="es-ES_tradnl"/>
        </w:rPr>
        <w:t>.</w:t>
      </w:r>
    </w:p>
    <w:p w14:paraId="33CA86E1" w14:textId="77777777" w:rsidR="001C0810" w:rsidRPr="00E019BC" w:rsidRDefault="001C0810" w:rsidP="00E07841">
      <w:pPr>
        <w:pStyle w:val="ListParagraph"/>
        <w:ind w:left="360" w:hanging="360"/>
        <w:rPr>
          <w:rFonts w:cs="Arial"/>
          <w:sz w:val="22"/>
          <w:szCs w:val="22"/>
          <w:highlight w:val="yellow"/>
          <w:lang w:val="es-ES_tradnl"/>
        </w:rPr>
      </w:pPr>
    </w:p>
    <w:p w14:paraId="5C6293C6" w14:textId="1C2CB0DD" w:rsidR="007417D8" w:rsidRPr="00CB46C7" w:rsidRDefault="00CB46C7" w:rsidP="00E07841">
      <w:pPr>
        <w:pStyle w:val="ListParagraph"/>
        <w:numPr>
          <w:ilvl w:val="0"/>
          <w:numId w:val="10"/>
        </w:numPr>
        <w:autoSpaceDE/>
        <w:adjustRightInd/>
        <w:ind w:left="360" w:hanging="360"/>
        <w:jc w:val="both"/>
        <w:rPr>
          <w:rFonts w:cs="Arial"/>
          <w:sz w:val="22"/>
          <w:szCs w:val="22"/>
          <w:lang w:val="es-ES_tradnl"/>
        </w:rPr>
      </w:pPr>
      <w:r w:rsidRPr="00CB46C7">
        <w:rPr>
          <w:rFonts w:cs="Arial"/>
          <w:sz w:val="22"/>
          <w:szCs w:val="22"/>
          <w:lang w:val="es-ES_tradnl"/>
        </w:rPr>
        <w:t xml:space="preserve">La 2ª reunión del Grupo de Trabajo sobre prevención del envenenamiento de aves </w:t>
      </w:r>
      <w:r>
        <w:rPr>
          <w:rFonts w:cs="Arial"/>
          <w:sz w:val="22"/>
          <w:szCs w:val="22"/>
          <w:lang w:val="es-ES_tradnl"/>
        </w:rPr>
        <w:t>celebrada en Toledo, España, el 19-21 de febrero de 2017 fue financiada por el Gobierno Autonómico de Castilla la Mancha.</w:t>
      </w:r>
    </w:p>
    <w:p w14:paraId="3B915B9E" w14:textId="77777777" w:rsidR="000039B8" w:rsidRPr="004C480C" w:rsidRDefault="000039B8" w:rsidP="00E07841">
      <w:pPr>
        <w:pStyle w:val="ListParagraph"/>
        <w:autoSpaceDE/>
        <w:adjustRightInd/>
        <w:ind w:left="360" w:hanging="360"/>
        <w:jc w:val="both"/>
        <w:rPr>
          <w:rFonts w:cs="Arial"/>
          <w:sz w:val="22"/>
          <w:szCs w:val="22"/>
          <w:lang w:val="es-ES_tradnl"/>
        </w:rPr>
      </w:pPr>
    </w:p>
    <w:p w14:paraId="2F36074A" w14:textId="137EC5C6" w:rsidR="004C480C" w:rsidRPr="004C480C" w:rsidRDefault="004C480C" w:rsidP="00E07841">
      <w:pPr>
        <w:pStyle w:val="ListParagraph"/>
        <w:numPr>
          <w:ilvl w:val="0"/>
          <w:numId w:val="10"/>
        </w:numPr>
        <w:autoSpaceDE/>
        <w:adjustRightInd/>
        <w:ind w:left="360" w:hanging="360"/>
        <w:jc w:val="both"/>
        <w:rPr>
          <w:rFonts w:cs="Arial"/>
          <w:sz w:val="22"/>
          <w:szCs w:val="22"/>
          <w:lang w:val="es-ES_tradnl"/>
        </w:rPr>
      </w:pPr>
      <w:r w:rsidRPr="004C480C">
        <w:rPr>
          <w:rFonts w:cs="Arial"/>
          <w:sz w:val="22"/>
          <w:szCs w:val="22"/>
          <w:lang w:val="es-ES_tradnl"/>
        </w:rPr>
        <w:t>BirdLife International ha proporcionado generosamente</w:t>
      </w:r>
      <w:r>
        <w:rPr>
          <w:rFonts w:cs="Arial"/>
          <w:sz w:val="22"/>
          <w:szCs w:val="22"/>
          <w:lang w:val="es-ES_tradnl"/>
        </w:rPr>
        <w:t xml:space="preserve"> la coordinación del Plan de Acción para las aves terrestres migratorias de África y Eurasia de la CMS durante dos años.</w:t>
      </w:r>
    </w:p>
    <w:p w14:paraId="5B4D4F82" w14:textId="77777777" w:rsidR="000039B8" w:rsidRPr="00E07841" w:rsidRDefault="000039B8" w:rsidP="00E07841">
      <w:pPr>
        <w:pStyle w:val="ListParagraph"/>
        <w:autoSpaceDE/>
        <w:adjustRightInd/>
        <w:ind w:left="360" w:hanging="360"/>
        <w:jc w:val="both"/>
        <w:rPr>
          <w:rFonts w:cs="Arial"/>
          <w:sz w:val="22"/>
          <w:szCs w:val="22"/>
          <w:lang w:val="es-ES"/>
        </w:rPr>
      </w:pPr>
    </w:p>
    <w:p w14:paraId="70ADEF43" w14:textId="0F017905" w:rsidR="009B073A" w:rsidRPr="009B073A" w:rsidRDefault="009B073A" w:rsidP="00E07841">
      <w:pPr>
        <w:pStyle w:val="ListParagraph"/>
        <w:numPr>
          <w:ilvl w:val="0"/>
          <w:numId w:val="10"/>
        </w:numPr>
        <w:autoSpaceDE/>
        <w:adjustRightInd/>
        <w:ind w:left="360" w:hanging="360"/>
        <w:jc w:val="both"/>
        <w:rPr>
          <w:rFonts w:cs="Arial"/>
          <w:sz w:val="22"/>
          <w:szCs w:val="22"/>
          <w:lang w:val="es-ES_tradnl"/>
        </w:rPr>
      </w:pPr>
      <w:r w:rsidRPr="009B073A">
        <w:rPr>
          <w:rFonts w:cs="Arial"/>
          <w:sz w:val="22"/>
          <w:szCs w:val="22"/>
          <w:lang w:val="es-ES_tradnl"/>
        </w:rPr>
        <w:t xml:space="preserve">Gracias a la iniciativa del Presidente del Consejo Científico de la CMS, </w:t>
      </w:r>
      <w:r w:rsidR="00EA3131">
        <w:rPr>
          <w:rFonts w:cs="Arial"/>
          <w:sz w:val="22"/>
          <w:szCs w:val="22"/>
          <w:lang w:val="es-ES_tradnl"/>
        </w:rPr>
        <w:t>el Parque Interregional Po Delta</w:t>
      </w:r>
      <w:r w:rsidR="004F51C7">
        <w:rPr>
          <w:rFonts w:cs="Arial"/>
          <w:sz w:val="22"/>
          <w:szCs w:val="22"/>
          <w:lang w:val="es-ES_tradnl"/>
        </w:rPr>
        <w:t xml:space="preserve"> </w:t>
      </w:r>
      <w:r w:rsidR="00A41878">
        <w:rPr>
          <w:rFonts w:cs="Arial"/>
          <w:sz w:val="22"/>
          <w:szCs w:val="22"/>
          <w:lang w:val="es-ES_tradnl"/>
        </w:rPr>
        <w:t>aportó</w:t>
      </w:r>
      <w:r w:rsidR="004F51C7">
        <w:rPr>
          <w:rFonts w:cs="Arial"/>
          <w:sz w:val="22"/>
          <w:szCs w:val="22"/>
          <w:lang w:val="es-ES_tradnl"/>
        </w:rPr>
        <w:t xml:space="preserve"> 50.000</w:t>
      </w:r>
      <w:r w:rsidR="005C227D">
        <w:rPr>
          <w:rFonts w:cs="Arial"/>
          <w:sz w:val="22"/>
          <w:szCs w:val="22"/>
          <w:lang w:val="es-ES_tradnl"/>
        </w:rPr>
        <w:t xml:space="preserve"> </w:t>
      </w:r>
      <w:r w:rsidR="004F51C7">
        <w:rPr>
          <w:rFonts w:cs="Arial"/>
          <w:sz w:val="22"/>
          <w:szCs w:val="22"/>
          <w:lang w:val="es-ES_tradnl"/>
        </w:rPr>
        <w:t xml:space="preserve">€ para la organización de dos talleres que </w:t>
      </w:r>
      <w:r w:rsidR="005C227D">
        <w:rPr>
          <w:rFonts w:cs="Arial"/>
          <w:sz w:val="22"/>
          <w:szCs w:val="22"/>
          <w:lang w:val="es-ES_tradnl"/>
        </w:rPr>
        <w:t>reunieron</w:t>
      </w:r>
      <w:r w:rsidR="004F51C7">
        <w:rPr>
          <w:rFonts w:cs="Arial"/>
          <w:sz w:val="22"/>
          <w:szCs w:val="22"/>
          <w:lang w:val="es-ES_tradnl"/>
        </w:rPr>
        <w:t xml:space="preserve"> a expertos para discutir y avanzar </w:t>
      </w:r>
      <w:r w:rsidR="005A6E8E">
        <w:rPr>
          <w:rFonts w:cs="Arial"/>
          <w:sz w:val="22"/>
          <w:szCs w:val="22"/>
          <w:lang w:val="es-ES_tradnl"/>
        </w:rPr>
        <w:t xml:space="preserve">en </w:t>
      </w:r>
      <w:r w:rsidR="004F51C7">
        <w:rPr>
          <w:rFonts w:cs="Arial"/>
          <w:sz w:val="22"/>
          <w:szCs w:val="22"/>
          <w:lang w:val="es-ES_tradnl"/>
        </w:rPr>
        <w:t xml:space="preserve">el problema de la conectividad de las especies </w:t>
      </w:r>
      <w:r w:rsidR="004F51C7" w:rsidRPr="004F51C7">
        <w:rPr>
          <w:rFonts w:cs="Arial"/>
          <w:sz w:val="22"/>
          <w:szCs w:val="22"/>
          <w:lang w:val="es-ES_tradnl"/>
        </w:rPr>
        <w:t>migratorias. Estas discusiones resultaron en la presentación de una resolución recogida en UNEP/CMS/COP12/Doc.24.4.11.</w:t>
      </w:r>
    </w:p>
    <w:p w14:paraId="764FC766" w14:textId="77777777" w:rsidR="000039B8" w:rsidRPr="00CF4412" w:rsidRDefault="000039B8" w:rsidP="00E07841">
      <w:pPr>
        <w:pStyle w:val="ListParagraph"/>
        <w:autoSpaceDE/>
        <w:adjustRightInd/>
        <w:ind w:left="360" w:hanging="360"/>
        <w:jc w:val="both"/>
        <w:rPr>
          <w:rFonts w:cs="Arial"/>
          <w:sz w:val="22"/>
          <w:szCs w:val="22"/>
          <w:lang w:val="es-ES_tradnl"/>
        </w:rPr>
      </w:pPr>
    </w:p>
    <w:p w14:paraId="20D29268" w14:textId="19F42D5F" w:rsidR="00CF4412" w:rsidRPr="00CF4412" w:rsidRDefault="00CF4412" w:rsidP="00E07841">
      <w:pPr>
        <w:pStyle w:val="ListParagraph"/>
        <w:numPr>
          <w:ilvl w:val="0"/>
          <w:numId w:val="10"/>
        </w:numPr>
        <w:autoSpaceDE/>
        <w:adjustRightInd/>
        <w:ind w:left="360" w:hanging="360"/>
        <w:jc w:val="both"/>
        <w:rPr>
          <w:rFonts w:cs="Arial"/>
          <w:sz w:val="22"/>
          <w:szCs w:val="22"/>
          <w:lang w:val="es-ES_tradnl"/>
        </w:rPr>
      </w:pPr>
      <w:r w:rsidRPr="00CF4412">
        <w:rPr>
          <w:rFonts w:cs="Arial"/>
          <w:sz w:val="22"/>
          <w:szCs w:val="22"/>
          <w:lang w:val="es-ES_tradnl"/>
        </w:rPr>
        <w:t xml:space="preserve">La primera reunión de los Signatarios del MDE sobre los flamencos altoandinos se celebró en Perú en </w:t>
      </w:r>
      <w:r w:rsidR="00372B9C">
        <w:rPr>
          <w:rFonts w:cs="Arial"/>
          <w:sz w:val="22"/>
          <w:szCs w:val="22"/>
          <w:lang w:val="es-ES_tradnl"/>
        </w:rPr>
        <w:t>abril de 2016</w:t>
      </w:r>
      <w:r w:rsidR="00352207">
        <w:rPr>
          <w:rFonts w:cs="Arial"/>
          <w:sz w:val="22"/>
          <w:szCs w:val="22"/>
          <w:lang w:val="es-ES_tradnl"/>
        </w:rPr>
        <w:t xml:space="preserve">. La reunión </w:t>
      </w:r>
      <w:r w:rsidR="00AB3971">
        <w:rPr>
          <w:rFonts w:cs="Arial"/>
          <w:sz w:val="22"/>
          <w:szCs w:val="22"/>
          <w:lang w:val="es-ES_tradnl"/>
        </w:rPr>
        <w:t>fue</w:t>
      </w:r>
      <w:r w:rsidR="00352207">
        <w:rPr>
          <w:rFonts w:cs="Arial"/>
          <w:sz w:val="22"/>
          <w:szCs w:val="22"/>
          <w:lang w:val="es-ES_tradnl"/>
        </w:rPr>
        <w:t xml:space="preserve"> financiada </w:t>
      </w:r>
      <w:r w:rsidR="00AB3971">
        <w:rPr>
          <w:rFonts w:cs="Arial"/>
          <w:sz w:val="22"/>
          <w:szCs w:val="22"/>
          <w:lang w:val="es-ES_tradnl"/>
        </w:rPr>
        <w:t>mayormente</w:t>
      </w:r>
      <w:r w:rsidR="00352207">
        <w:rPr>
          <w:rFonts w:cs="Arial"/>
          <w:sz w:val="22"/>
          <w:szCs w:val="22"/>
          <w:lang w:val="es-ES_tradnl"/>
        </w:rPr>
        <w:t xml:space="preserve"> por TAIEF (Fondo para el Intercambio de Información y Asistencia Técnica). TAIEF es una plataforma de la UE que apoya la organización de talleres y seminarios, </w:t>
      </w:r>
      <w:r w:rsidR="00AB3971">
        <w:rPr>
          <w:rFonts w:cs="Arial"/>
          <w:sz w:val="22"/>
          <w:szCs w:val="22"/>
          <w:lang w:val="es-ES_tradnl"/>
        </w:rPr>
        <w:t xml:space="preserve">y </w:t>
      </w:r>
      <w:r w:rsidR="00352207">
        <w:rPr>
          <w:rFonts w:cs="Arial"/>
          <w:sz w:val="22"/>
          <w:szCs w:val="22"/>
          <w:lang w:val="es-ES_tradnl"/>
        </w:rPr>
        <w:t>concretamente la participación de expertos de la UE.</w:t>
      </w:r>
    </w:p>
    <w:p w14:paraId="326383D1" w14:textId="77777777" w:rsidR="000039B8" w:rsidRPr="009A03F6" w:rsidRDefault="000039B8" w:rsidP="00E07841">
      <w:pPr>
        <w:pStyle w:val="ListParagraph"/>
        <w:autoSpaceDE/>
        <w:adjustRightInd/>
        <w:ind w:left="360" w:hanging="360"/>
        <w:jc w:val="both"/>
        <w:rPr>
          <w:rFonts w:cs="Arial"/>
          <w:sz w:val="22"/>
          <w:szCs w:val="22"/>
          <w:lang w:val="es-ES_tradnl"/>
        </w:rPr>
      </w:pPr>
    </w:p>
    <w:p w14:paraId="3D391ADA" w14:textId="5464E0A9" w:rsidR="00352207" w:rsidRDefault="009A03F6" w:rsidP="00E07841">
      <w:pPr>
        <w:pStyle w:val="ListParagraph"/>
        <w:numPr>
          <w:ilvl w:val="0"/>
          <w:numId w:val="10"/>
        </w:numPr>
        <w:autoSpaceDE/>
        <w:adjustRightInd/>
        <w:ind w:left="360" w:hanging="360"/>
        <w:jc w:val="both"/>
        <w:rPr>
          <w:rFonts w:cs="Arial"/>
          <w:sz w:val="22"/>
          <w:szCs w:val="22"/>
          <w:lang w:val="es-ES_tradnl"/>
        </w:rPr>
      </w:pPr>
      <w:r w:rsidRPr="009A03F6">
        <w:rPr>
          <w:rFonts w:cs="Arial"/>
          <w:sz w:val="22"/>
          <w:szCs w:val="22"/>
          <w:lang w:val="es-ES_tradnl"/>
        </w:rPr>
        <w:t>Ademá</w:t>
      </w:r>
      <w:r w:rsidR="00042F5A">
        <w:rPr>
          <w:rFonts w:cs="Arial"/>
          <w:sz w:val="22"/>
          <w:szCs w:val="22"/>
          <w:lang w:val="es-ES_tradnl"/>
        </w:rPr>
        <w:t>s de acoger</w:t>
      </w:r>
      <w:r w:rsidRPr="009A03F6">
        <w:rPr>
          <w:rFonts w:cs="Arial"/>
          <w:sz w:val="22"/>
          <w:szCs w:val="22"/>
          <w:lang w:val="es-ES_tradnl"/>
        </w:rPr>
        <w:t xml:space="preserve"> a la Secretaría de la CMS </w:t>
      </w:r>
      <w:r w:rsidR="003B0D11">
        <w:rPr>
          <w:rFonts w:cs="Arial"/>
          <w:sz w:val="22"/>
          <w:szCs w:val="22"/>
          <w:lang w:val="es-ES_tradnl"/>
        </w:rPr>
        <w:t>y</w:t>
      </w:r>
      <w:r w:rsidR="00042F5A">
        <w:rPr>
          <w:rFonts w:cs="Arial"/>
          <w:sz w:val="22"/>
          <w:szCs w:val="22"/>
          <w:lang w:val="es-ES_tradnl"/>
        </w:rPr>
        <w:t xml:space="preserve"> otra</w:t>
      </w:r>
      <w:r w:rsidRPr="009A03F6">
        <w:rPr>
          <w:rFonts w:cs="Arial"/>
          <w:sz w:val="22"/>
          <w:szCs w:val="22"/>
          <w:lang w:val="es-ES_tradnl"/>
        </w:rPr>
        <w:t>s Secretarías de la Familia de la CMS</w:t>
      </w:r>
      <w:r w:rsidR="00042F5A">
        <w:rPr>
          <w:rFonts w:cs="Arial"/>
          <w:sz w:val="22"/>
          <w:szCs w:val="22"/>
          <w:lang w:val="es-ES_tradnl"/>
        </w:rPr>
        <w:t xml:space="preserve"> localizadas en Bonn, y cubrir todos los gastos relacionados con las instalaciones, el Gobierno Alemán ha ofrecido servicios de interpretación en las dos reuniones del periodo entre sesiones del Comité Permanente en 2015 y 2016 así como en las dos reuniones del Comité del periodo de sesiones del Consejo Científico de la CMS</w:t>
      </w:r>
      <w:r w:rsidR="00C94015">
        <w:rPr>
          <w:rFonts w:cs="Arial"/>
          <w:sz w:val="22"/>
          <w:szCs w:val="22"/>
          <w:lang w:val="es-ES_tradnl"/>
        </w:rPr>
        <w:t>, las cuales</w:t>
      </w:r>
      <w:r w:rsidR="00042F5A">
        <w:rPr>
          <w:rFonts w:cs="Arial"/>
          <w:sz w:val="22"/>
          <w:szCs w:val="22"/>
          <w:lang w:val="es-ES_tradnl"/>
        </w:rPr>
        <w:t xml:space="preserve"> </w:t>
      </w:r>
      <w:r w:rsidR="00C94015">
        <w:rPr>
          <w:rFonts w:cs="Arial"/>
          <w:sz w:val="22"/>
          <w:szCs w:val="22"/>
          <w:lang w:val="es-ES_tradnl"/>
        </w:rPr>
        <w:t>se celebraron</w:t>
      </w:r>
      <w:r w:rsidR="00042F5A">
        <w:rPr>
          <w:rFonts w:cs="Arial"/>
          <w:sz w:val="22"/>
          <w:szCs w:val="22"/>
          <w:lang w:val="es-ES_tradnl"/>
        </w:rPr>
        <w:t xml:space="preserve"> en abril de 2016 y julio de 2017, respectivamente.</w:t>
      </w:r>
    </w:p>
    <w:p w14:paraId="3D0BA4D6" w14:textId="1B961EC2" w:rsidR="00214148" w:rsidRPr="00214148" w:rsidRDefault="00214148" w:rsidP="00214148">
      <w:pPr>
        <w:autoSpaceDE/>
        <w:adjustRightInd/>
        <w:jc w:val="both"/>
        <w:rPr>
          <w:rFonts w:cs="Arial"/>
          <w:sz w:val="22"/>
          <w:szCs w:val="22"/>
          <w:lang w:val="es-ES_tradnl"/>
        </w:rPr>
      </w:pPr>
    </w:p>
    <w:p w14:paraId="6CB1E49E" w14:textId="771867E0" w:rsidR="00BD7A84" w:rsidRPr="00BD7A84" w:rsidRDefault="00BD7A84" w:rsidP="00E07841">
      <w:pPr>
        <w:pStyle w:val="ListParagraph"/>
        <w:numPr>
          <w:ilvl w:val="0"/>
          <w:numId w:val="10"/>
        </w:numPr>
        <w:autoSpaceDE/>
        <w:adjustRightInd/>
        <w:ind w:left="360" w:hanging="360"/>
        <w:jc w:val="both"/>
        <w:rPr>
          <w:rFonts w:cs="Arial"/>
          <w:sz w:val="22"/>
          <w:szCs w:val="22"/>
          <w:lang w:val="es-ES_tradnl"/>
        </w:rPr>
      </w:pPr>
      <w:r w:rsidRPr="00BD7A84">
        <w:rPr>
          <w:rFonts w:cs="Arial"/>
          <w:sz w:val="22"/>
          <w:szCs w:val="22"/>
          <w:lang w:val="es-ES_tradnl"/>
        </w:rPr>
        <w:t xml:space="preserve">Varias Partes </w:t>
      </w:r>
      <w:r w:rsidR="008A151D">
        <w:rPr>
          <w:rFonts w:cs="Arial"/>
          <w:sz w:val="22"/>
          <w:szCs w:val="22"/>
          <w:lang w:val="es-ES_tradnl"/>
        </w:rPr>
        <w:t xml:space="preserve">pudieron contribuir al trabajo de la Convención acogiendo reuniones y talleres </w:t>
      </w:r>
      <w:r w:rsidR="008A151D" w:rsidRPr="005122E7">
        <w:rPr>
          <w:rFonts w:cs="Arial"/>
          <w:sz w:val="22"/>
          <w:szCs w:val="22"/>
          <w:lang w:val="es-ES_tradnl"/>
        </w:rPr>
        <w:t xml:space="preserve">y </w:t>
      </w:r>
      <w:r w:rsidR="002051BE">
        <w:rPr>
          <w:rFonts w:cs="Arial"/>
          <w:sz w:val="22"/>
          <w:szCs w:val="22"/>
          <w:lang w:val="es-ES_tradnl"/>
        </w:rPr>
        <w:t>suministrando</w:t>
      </w:r>
      <w:r w:rsidR="008A151D" w:rsidRPr="005122E7">
        <w:rPr>
          <w:rFonts w:cs="Arial"/>
          <w:sz w:val="22"/>
          <w:szCs w:val="22"/>
          <w:lang w:val="es-ES_tradnl"/>
        </w:rPr>
        <w:t xml:space="preserve"> ayuda con </w:t>
      </w:r>
      <w:r w:rsidR="00680016">
        <w:rPr>
          <w:rFonts w:cs="Arial"/>
          <w:sz w:val="22"/>
          <w:szCs w:val="22"/>
          <w:lang w:val="es-ES_tradnl"/>
        </w:rPr>
        <w:t>asuntos</w:t>
      </w:r>
      <w:r w:rsidR="008A151D" w:rsidRPr="005122E7">
        <w:rPr>
          <w:rFonts w:cs="Arial"/>
          <w:sz w:val="22"/>
          <w:szCs w:val="22"/>
          <w:lang w:val="es-ES_tradnl"/>
        </w:rPr>
        <w:t xml:space="preserve"> logísticos. Se puede encontrar información más detallada en</w:t>
      </w:r>
      <w:r w:rsidR="005122E7" w:rsidRPr="005122E7">
        <w:rPr>
          <w:rFonts w:cs="Arial"/>
          <w:sz w:val="22"/>
          <w:szCs w:val="22"/>
          <w:lang w:val="es-ES_tradnl"/>
        </w:rPr>
        <w:t xml:space="preserve"> el documento sobre </w:t>
      </w:r>
      <w:r w:rsidR="005D3F13">
        <w:rPr>
          <w:rFonts w:cs="Arial"/>
          <w:sz w:val="22"/>
          <w:szCs w:val="22"/>
          <w:lang w:val="es-ES_tradnl"/>
        </w:rPr>
        <w:t xml:space="preserve">la </w:t>
      </w:r>
      <w:r w:rsidR="005122E7" w:rsidRPr="005122E7">
        <w:rPr>
          <w:rFonts w:cs="Arial"/>
          <w:sz w:val="22"/>
          <w:szCs w:val="22"/>
          <w:lang w:val="es-ES_tradnl"/>
        </w:rPr>
        <w:t xml:space="preserve">Implementación del PdT 2015-2017 </w:t>
      </w:r>
      <w:r w:rsidR="005122E7" w:rsidRPr="005122E7">
        <w:rPr>
          <w:rFonts w:cs="Arial"/>
          <w:sz w:val="22"/>
          <w:szCs w:val="22"/>
          <w:lang w:val="es-ES_tradnl"/>
        </w:rPr>
        <w:lastRenderedPageBreak/>
        <w:t>(UNEP/CMS/COP12/Doc.18</w:t>
      </w:r>
      <w:r w:rsidR="005D3F13">
        <w:rPr>
          <w:rFonts w:cs="Arial"/>
          <w:sz w:val="22"/>
          <w:szCs w:val="22"/>
          <w:lang w:val="es-ES_tradnl"/>
        </w:rPr>
        <w:t>)</w:t>
      </w:r>
      <w:r w:rsidR="005122E7" w:rsidRPr="005122E7">
        <w:rPr>
          <w:rFonts w:cs="Arial"/>
          <w:sz w:val="22"/>
          <w:szCs w:val="22"/>
          <w:lang w:val="es-ES_tradnl"/>
        </w:rPr>
        <w:t xml:space="preserve">. Agradecemos especialmente al Gobierno de Filipinas </w:t>
      </w:r>
      <w:r w:rsidR="004733BA">
        <w:rPr>
          <w:rFonts w:cs="Arial"/>
          <w:sz w:val="22"/>
          <w:szCs w:val="22"/>
          <w:lang w:val="es-ES_tradnl"/>
        </w:rPr>
        <w:t xml:space="preserve">por </w:t>
      </w:r>
      <w:r w:rsidR="005122E7" w:rsidRPr="005122E7">
        <w:rPr>
          <w:rFonts w:cs="Arial"/>
          <w:sz w:val="22"/>
          <w:szCs w:val="22"/>
          <w:lang w:val="es-ES_tradnl"/>
        </w:rPr>
        <w:t>s</w:t>
      </w:r>
      <w:r w:rsidR="004733BA">
        <w:rPr>
          <w:rFonts w:cs="Arial"/>
          <w:sz w:val="22"/>
          <w:szCs w:val="22"/>
          <w:lang w:val="es-ES_tradnl"/>
        </w:rPr>
        <w:t>er</w:t>
      </w:r>
      <w:r w:rsidR="005122E7" w:rsidRPr="005122E7">
        <w:rPr>
          <w:rFonts w:cs="Arial"/>
          <w:sz w:val="22"/>
          <w:szCs w:val="22"/>
          <w:lang w:val="es-ES_tradnl"/>
        </w:rPr>
        <w:t xml:space="preserve"> el anfi</w:t>
      </w:r>
      <w:r w:rsidR="004733BA">
        <w:rPr>
          <w:rFonts w:cs="Arial"/>
          <w:sz w:val="22"/>
          <w:szCs w:val="22"/>
          <w:lang w:val="es-ES_tradnl"/>
        </w:rPr>
        <w:t>trión de la COP12 y cubrir</w:t>
      </w:r>
      <w:r w:rsidR="005122E7" w:rsidRPr="005122E7">
        <w:rPr>
          <w:rFonts w:cs="Arial"/>
          <w:sz w:val="22"/>
          <w:szCs w:val="22"/>
          <w:lang w:val="es-ES_tradnl"/>
        </w:rPr>
        <w:t xml:space="preserve"> varios costes adicionales </w:t>
      </w:r>
      <w:r w:rsidR="004733BA">
        <w:rPr>
          <w:rFonts w:cs="Arial"/>
          <w:sz w:val="22"/>
          <w:szCs w:val="22"/>
          <w:lang w:val="es-ES_tradnl"/>
        </w:rPr>
        <w:t xml:space="preserve">asociados </w:t>
      </w:r>
      <w:r w:rsidR="005122E7" w:rsidRPr="005122E7">
        <w:rPr>
          <w:rFonts w:cs="Arial"/>
          <w:sz w:val="22"/>
          <w:szCs w:val="22"/>
          <w:lang w:val="es-ES_tradnl"/>
        </w:rPr>
        <w:t xml:space="preserve">incluyendo la cobertura </w:t>
      </w:r>
      <w:r w:rsidR="00AD45EA">
        <w:rPr>
          <w:rFonts w:cs="Arial"/>
          <w:sz w:val="22"/>
          <w:szCs w:val="22"/>
          <w:lang w:val="es-ES_tradnl"/>
        </w:rPr>
        <w:t xml:space="preserve">del evento </w:t>
      </w:r>
      <w:r w:rsidR="005122E7" w:rsidRPr="005122E7">
        <w:rPr>
          <w:rFonts w:cs="Arial"/>
          <w:sz w:val="22"/>
          <w:szCs w:val="22"/>
          <w:lang w:val="es-ES_tradnl"/>
        </w:rPr>
        <w:t xml:space="preserve">por </w:t>
      </w:r>
      <w:r w:rsidR="004733BA">
        <w:rPr>
          <w:rFonts w:cs="Arial"/>
          <w:sz w:val="22"/>
          <w:szCs w:val="22"/>
          <w:lang w:val="es-ES_tradnl"/>
        </w:rPr>
        <w:t xml:space="preserve">el </w:t>
      </w:r>
      <w:r w:rsidR="005122E7" w:rsidRPr="005122E7">
        <w:rPr>
          <w:rFonts w:cs="Arial"/>
          <w:sz w:val="22"/>
          <w:szCs w:val="22"/>
          <w:lang w:val="es-ES_tradnl"/>
        </w:rPr>
        <w:t>Earth Negotiations Bulletin.</w:t>
      </w:r>
    </w:p>
    <w:p w14:paraId="4096FD5E" w14:textId="6AFFFA9F" w:rsidR="00233F6F" w:rsidRPr="00E07841" w:rsidRDefault="00233F6F" w:rsidP="00E07841">
      <w:pPr>
        <w:autoSpaceDE/>
        <w:adjustRightInd/>
        <w:ind w:left="360" w:hanging="360"/>
        <w:jc w:val="both"/>
        <w:rPr>
          <w:rFonts w:cs="Arial"/>
          <w:sz w:val="22"/>
          <w:szCs w:val="22"/>
          <w:lang w:val="es-ES"/>
        </w:rPr>
      </w:pPr>
    </w:p>
    <w:p w14:paraId="50D74C8C" w14:textId="44882C85" w:rsidR="00847F09" w:rsidRPr="00847F09" w:rsidRDefault="00847F09" w:rsidP="00E07841">
      <w:pPr>
        <w:pStyle w:val="ListParagraph"/>
        <w:numPr>
          <w:ilvl w:val="0"/>
          <w:numId w:val="10"/>
        </w:numPr>
        <w:autoSpaceDE/>
        <w:adjustRightInd/>
        <w:ind w:left="360" w:hanging="360"/>
        <w:jc w:val="both"/>
        <w:rPr>
          <w:rFonts w:cs="Arial"/>
          <w:sz w:val="22"/>
          <w:szCs w:val="22"/>
          <w:lang w:val="es-ES_tradnl"/>
        </w:rPr>
      </w:pPr>
      <w:r w:rsidRPr="00847F09">
        <w:rPr>
          <w:rFonts w:cs="Arial"/>
          <w:sz w:val="22"/>
          <w:szCs w:val="22"/>
          <w:lang w:val="es-ES_tradnl"/>
        </w:rPr>
        <w:t>El Gobierno de Alemania</w:t>
      </w:r>
      <w:r w:rsidRPr="00214148">
        <w:rPr>
          <w:rFonts w:cs="Arial"/>
        </w:rPr>
        <w:footnoteReference w:id="7"/>
      </w:r>
      <w:r w:rsidRPr="00847F09">
        <w:rPr>
          <w:rFonts w:cs="Arial"/>
          <w:sz w:val="22"/>
          <w:szCs w:val="22"/>
          <w:lang w:val="es-ES_tradnl"/>
        </w:rPr>
        <w:t xml:space="preserve"> patrocinó tres talleres en apoyo a la Iniciativa para los Mamíferos de Asia Central (CAMI). Se celebró un taller en Ulanbataar, Mongolia, en 2015 con el obje</w:t>
      </w:r>
      <w:r w:rsidR="00A63829">
        <w:rPr>
          <w:rFonts w:cs="Arial"/>
          <w:sz w:val="22"/>
          <w:szCs w:val="22"/>
          <w:lang w:val="es-ES_tradnl"/>
        </w:rPr>
        <w:t>tivo de promocionar directrices y</w:t>
      </w:r>
      <w:r w:rsidRPr="00847F09">
        <w:rPr>
          <w:rFonts w:cs="Arial"/>
          <w:sz w:val="22"/>
          <w:szCs w:val="22"/>
          <w:lang w:val="es-ES_tradnl"/>
        </w:rPr>
        <w:t xml:space="preserve"> mitigar el impacto de las infraestructuras lineales e interferencias </w:t>
      </w:r>
      <w:r w:rsidR="00A63829">
        <w:rPr>
          <w:rFonts w:cs="Arial"/>
          <w:sz w:val="22"/>
          <w:szCs w:val="22"/>
          <w:lang w:val="es-ES_tradnl"/>
        </w:rPr>
        <w:t>asociadas</w:t>
      </w:r>
      <w:r w:rsidRPr="00847F09">
        <w:rPr>
          <w:rFonts w:cs="Arial"/>
          <w:sz w:val="22"/>
          <w:szCs w:val="22"/>
          <w:lang w:val="es-ES_tradnl"/>
        </w:rPr>
        <w:t xml:space="preserve"> en los mamíferos de Asia Central. Los otros dos talleres </w:t>
      </w:r>
      <w:r w:rsidR="009E753A">
        <w:rPr>
          <w:rFonts w:cs="Arial"/>
          <w:sz w:val="22"/>
          <w:szCs w:val="22"/>
          <w:lang w:val="es-ES_tradnl"/>
        </w:rPr>
        <w:t>fueron celebrados</w:t>
      </w:r>
      <w:r w:rsidRPr="00847F09">
        <w:rPr>
          <w:rFonts w:cs="Arial"/>
          <w:sz w:val="22"/>
          <w:szCs w:val="22"/>
          <w:lang w:val="es-ES_tradnl"/>
        </w:rPr>
        <w:t xml:space="preserve"> en la Isla de Vilm, Alemania, en 2016 y 2017 con el objetivo de estimular la implementación del PdT de la CAMI mediante la identificación de medidas urgentes y el desarrollo de un atlas </w:t>
      </w:r>
      <w:r w:rsidR="00250502">
        <w:rPr>
          <w:rFonts w:cs="Arial"/>
          <w:sz w:val="22"/>
          <w:szCs w:val="22"/>
          <w:lang w:val="es-ES_tradnl"/>
        </w:rPr>
        <w:t>con</w:t>
      </w:r>
      <w:r w:rsidRPr="00847F09">
        <w:rPr>
          <w:rFonts w:cs="Arial"/>
          <w:sz w:val="22"/>
          <w:szCs w:val="22"/>
          <w:lang w:val="es-ES_tradnl"/>
        </w:rPr>
        <w:t xml:space="preserve"> </w:t>
      </w:r>
      <w:r w:rsidR="00250502">
        <w:rPr>
          <w:rFonts w:cs="Arial"/>
          <w:sz w:val="22"/>
          <w:szCs w:val="22"/>
          <w:lang w:val="es-ES_tradnl"/>
        </w:rPr>
        <w:t>cartografía de toda el</w:t>
      </w:r>
      <w:r w:rsidRPr="00847F09">
        <w:rPr>
          <w:rFonts w:cs="Arial"/>
          <w:sz w:val="22"/>
          <w:szCs w:val="22"/>
          <w:lang w:val="es-ES_tradnl"/>
        </w:rPr>
        <w:t xml:space="preserve"> área de distribución</w:t>
      </w:r>
      <w:r w:rsidR="00861CA1">
        <w:rPr>
          <w:rFonts w:cs="Arial"/>
          <w:sz w:val="22"/>
          <w:szCs w:val="22"/>
          <w:lang w:val="es-ES_tradnl"/>
        </w:rPr>
        <w:t>,</w:t>
      </w:r>
      <w:r w:rsidRPr="00847F09">
        <w:rPr>
          <w:rFonts w:cs="Arial"/>
          <w:sz w:val="22"/>
          <w:szCs w:val="22"/>
          <w:lang w:val="es-ES_tradnl"/>
        </w:rPr>
        <w:t xml:space="preserve"> y el e</w:t>
      </w:r>
      <w:r w:rsidR="00861CA1">
        <w:rPr>
          <w:rFonts w:cs="Arial"/>
          <w:sz w:val="22"/>
          <w:szCs w:val="22"/>
          <w:lang w:val="es-ES_tradnl"/>
        </w:rPr>
        <w:t>stablecimiento de prioridades para</w:t>
      </w:r>
      <w:r w:rsidRPr="00847F09">
        <w:rPr>
          <w:rFonts w:cs="Arial"/>
          <w:sz w:val="22"/>
          <w:szCs w:val="22"/>
          <w:lang w:val="es-ES_tradnl"/>
        </w:rPr>
        <w:t xml:space="preserve"> diez especies de la CAMI y </w:t>
      </w:r>
      <w:r w:rsidR="00861CA1">
        <w:rPr>
          <w:rFonts w:cs="Arial"/>
          <w:sz w:val="22"/>
          <w:szCs w:val="22"/>
          <w:lang w:val="es-ES_tradnl"/>
        </w:rPr>
        <w:t>para las amenazas</w:t>
      </w:r>
      <w:r w:rsidRPr="00847F09">
        <w:rPr>
          <w:rFonts w:cs="Arial"/>
          <w:sz w:val="22"/>
          <w:szCs w:val="22"/>
          <w:lang w:val="es-ES_tradnl"/>
        </w:rPr>
        <w:t xml:space="preserve"> de </w:t>
      </w:r>
      <w:r w:rsidR="00861CA1">
        <w:rPr>
          <w:rFonts w:cs="Arial"/>
          <w:sz w:val="22"/>
          <w:szCs w:val="22"/>
          <w:lang w:val="es-ES_tradnl"/>
        </w:rPr>
        <w:t xml:space="preserve">las </w:t>
      </w:r>
      <w:r w:rsidRPr="00847F09">
        <w:rPr>
          <w:rFonts w:cs="Arial"/>
          <w:sz w:val="22"/>
          <w:szCs w:val="22"/>
          <w:lang w:val="es-ES_tradnl"/>
        </w:rPr>
        <w:t>infraestructuras lineales en Asia</w:t>
      </w:r>
      <w:r w:rsidR="00861CA1">
        <w:rPr>
          <w:rFonts w:cs="Arial"/>
          <w:sz w:val="22"/>
          <w:szCs w:val="22"/>
          <w:lang w:val="es-ES_tradnl"/>
        </w:rPr>
        <w:t xml:space="preserve"> Central</w:t>
      </w:r>
      <w:r w:rsidRPr="00847F09">
        <w:rPr>
          <w:rFonts w:cs="Arial"/>
          <w:sz w:val="22"/>
          <w:szCs w:val="22"/>
          <w:lang w:val="es-ES_tradnl"/>
        </w:rPr>
        <w:t>, respectivamente.</w:t>
      </w:r>
    </w:p>
    <w:p w14:paraId="1FEB5A25" w14:textId="38ABC9BF" w:rsidR="00AF7FF4" w:rsidRPr="00B2359A" w:rsidRDefault="00AF7FF4" w:rsidP="00214148">
      <w:pPr>
        <w:pStyle w:val="ListParagraph"/>
        <w:autoSpaceDE/>
        <w:adjustRightInd/>
        <w:ind w:left="360"/>
        <w:jc w:val="both"/>
        <w:rPr>
          <w:rFonts w:cs="Arial"/>
          <w:sz w:val="22"/>
          <w:szCs w:val="22"/>
          <w:lang w:val="es-ES_tradnl"/>
        </w:rPr>
      </w:pPr>
    </w:p>
    <w:p w14:paraId="17472164" w14:textId="24A4EE79" w:rsidR="00B2359A" w:rsidRPr="00B2359A" w:rsidRDefault="00B2359A" w:rsidP="00E07841">
      <w:pPr>
        <w:pStyle w:val="ListParagraph"/>
        <w:numPr>
          <w:ilvl w:val="0"/>
          <w:numId w:val="10"/>
        </w:numPr>
        <w:autoSpaceDE/>
        <w:adjustRightInd/>
        <w:ind w:left="360" w:hanging="360"/>
        <w:jc w:val="both"/>
        <w:rPr>
          <w:rFonts w:cs="Arial"/>
          <w:sz w:val="22"/>
          <w:szCs w:val="22"/>
          <w:lang w:val="es-ES_tradnl"/>
        </w:rPr>
      </w:pPr>
      <w:r w:rsidRPr="00B2359A">
        <w:rPr>
          <w:rFonts w:cs="Arial"/>
          <w:sz w:val="22"/>
          <w:szCs w:val="22"/>
          <w:lang w:val="es-ES_tradnl"/>
        </w:rPr>
        <w:t xml:space="preserve">En 2016 el mantenimiento regular de la </w:t>
      </w:r>
      <w:r w:rsidR="00203B08">
        <w:rPr>
          <w:rFonts w:cs="Arial"/>
          <w:sz w:val="22"/>
          <w:szCs w:val="22"/>
          <w:lang w:val="es-ES_tradnl"/>
        </w:rPr>
        <w:t xml:space="preserve">página web de la </w:t>
      </w:r>
      <w:r w:rsidR="00C47859">
        <w:rPr>
          <w:rFonts w:cs="Arial"/>
          <w:sz w:val="22"/>
          <w:szCs w:val="22"/>
          <w:lang w:val="es-ES_tradnl"/>
        </w:rPr>
        <w:t>Familia CMS se benefició de</w:t>
      </w:r>
      <w:r w:rsidR="009E228D">
        <w:rPr>
          <w:rFonts w:cs="Arial"/>
          <w:sz w:val="22"/>
          <w:szCs w:val="22"/>
          <w:lang w:val="es-ES_tradnl"/>
        </w:rPr>
        <w:t>l</w:t>
      </w:r>
      <w:r w:rsidRPr="00B2359A">
        <w:rPr>
          <w:rFonts w:cs="Arial"/>
          <w:sz w:val="22"/>
          <w:szCs w:val="22"/>
          <w:lang w:val="es-ES_tradnl"/>
        </w:rPr>
        <w:t xml:space="preserve"> apoyo proporcionado en el contexto de</w:t>
      </w:r>
      <w:r w:rsidR="00C47859">
        <w:rPr>
          <w:rFonts w:cs="Arial"/>
          <w:sz w:val="22"/>
          <w:szCs w:val="22"/>
          <w:lang w:val="es-ES_tradnl"/>
        </w:rPr>
        <w:t xml:space="preserve"> la Iniciativa para la Gestión de la Información y el C</w:t>
      </w:r>
      <w:r w:rsidR="00F76EAE">
        <w:rPr>
          <w:rFonts w:cs="Arial"/>
          <w:sz w:val="22"/>
          <w:szCs w:val="22"/>
          <w:lang w:val="es-ES_tradnl"/>
        </w:rPr>
        <w:t>onocimiento de los AAM promovida por la División de Derecho Ambiental de las Naciones Unidas.</w:t>
      </w:r>
    </w:p>
    <w:p w14:paraId="27D8E384" w14:textId="77777777" w:rsidR="00E95410" w:rsidRPr="00DD5A65" w:rsidRDefault="00E95410" w:rsidP="00214148">
      <w:pPr>
        <w:pStyle w:val="ListParagraph"/>
        <w:autoSpaceDE/>
        <w:adjustRightInd/>
        <w:ind w:left="360"/>
        <w:jc w:val="both"/>
        <w:rPr>
          <w:rFonts w:cs="Arial"/>
          <w:sz w:val="22"/>
          <w:szCs w:val="22"/>
          <w:lang w:val="es-ES_tradnl"/>
        </w:rPr>
      </w:pPr>
    </w:p>
    <w:p w14:paraId="319D85B0" w14:textId="02FBFCC8" w:rsidR="00EE50E5" w:rsidRPr="00DD5A65" w:rsidRDefault="00DD5A65" w:rsidP="00E07841">
      <w:pPr>
        <w:pStyle w:val="ListParagraph"/>
        <w:numPr>
          <w:ilvl w:val="0"/>
          <w:numId w:val="10"/>
        </w:numPr>
        <w:autoSpaceDE/>
        <w:adjustRightInd/>
        <w:ind w:left="360" w:hanging="360"/>
        <w:jc w:val="both"/>
        <w:rPr>
          <w:rFonts w:cs="Arial"/>
          <w:sz w:val="22"/>
          <w:szCs w:val="22"/>
          <w:lang w:val="es-ES_tradnl"/>
        </w:rPr>
      </w:pPr>
      <w:r w:rsidRPr="00DD5A65">
        <w:rPr>
          <w:rFonts w:cs="Arial"/>
          <w:sz w:val="22"/>
          <w:szCs w:val="22"/>
          <w:lang w:val="es-ES_tradnl"/>
        </w:rPr>
        <w:t xml:space="preserve">Se organizaron tres conciertos benéficos </w:t>
      </w:r>
      <w:r w:rsidR="003A7E5D">
        <w:rPr>
          <w:rFonts w:cs="Arial"/>
          <w:sz w:val="22"/>
          <w:szCs w:val="22"/>
          <w:lang w:val="es-ES_tradnl"/>
        </w:rPr>
        <w:t>a cargo de la Coral</w:t>
      </w:r>
      <w:r w:rsidR="004D2731">
        <w:rPr>
          <w:rFonts w:cs="Arial"/>
          <w:sz w:val="22"/>
          <w:szCs w:val="22"/>
          <w:lang w:val="es-ES_tradnl"/>
        </w:rPr>
        <w:t xml:space="preserve"> </w:t>
      </w:r>
      <w:r w:rsidR="003A7E5D">
        <w:rPr>
          <w:rFonts w:cs="Arial"/>
          <w:sz w:val="22"/>
          <w:szCs w:val="22"/>
          <w:lang w:val="es-ES_tradnl"/>
        </w:rPr>
        <w:t>de la Ópera</w:t>
      </w:r>
      <w:r w:rsidR="004D2731">
        <w:rPr>
          <w:rFonts w:cs="Arial"/>
          <w:sz w:val="22"/>
          <w:szCs w:val="22"/>
          <w:lang w:val="es-ES_tradnl"/>
        </w:rPr>
        <w:t xml:space="preserve"> de Bolonia como parte de las celebraciones del Día Mundial de las Aves Migratorias (</w:t>
      </w:r>
      <w:r w:rsidR="000918C1">
        <w:rPr>
          <w:rFonts w:cs="Arial"/>
          <w:sz w:val="22"/>
          <w:szCs w:val="22"/>
          <w:lang w:val="es-ES_tradnl"/>
        </w:rPr>
        <w:t xml:space="preserve">mayo de 2015, 2016 y 2017). La recaudación </w:t>
      </w:r>
      <w:r w:rsidR="004D2731">
        <w:rPr>
          <w:rFonts w:cs="Arial"/>
          <w:sz w:val="22"/>
          <w:szCs w:val="22"/>
          <w:lang w:val="es-ES_tradnl"/>
        </w:rPr>
        <w:t>(2.21</w:t>
      </w:r>
      <w:r w:rsidR="00D81BF2">
        <w:rPr>
          <w:rFonts w:cs="Arial"/>
          <w:sz w:val="22"/>
          <w:szCs w:val="22"/>
          <w:lang w:val="es-ES_tradnl"/>
        </w:rPr>
        <w:t>0 €) del evento de 2015 apoyó</w:t>
      </w:r>
      <w:r w:rsidR="004D2731">
        <w:rPr>
          <w:rFonts w:cs="Arial"/>
          <w:sz w:val="22"/>
          <w:szCs w:val="22"/>
          <w:lang w:val="es-ES_tradnl"/>
        </w:rPr>
        <w:t xml:space="preserve"> la implementación de un proyecto de conservac</w:t>
      </w:r>
      <w:r w:rsidR="00D81BF2">
        <w:rPr>
          <w:rFonts w:cs="Arial"/>
          <w:sz w:val="22"/>
          <w:szCs w:val="22"/>
          <w:lang w:val="es-ES_tradnl"/>
        </w:rPr>
        <w:t xml:space="preserve">ión de la grulla siberiana; los ingresos </w:t>
      </w:r>
      <w:r w:rsidR="004D2731">
        <w:rPr>
          <w:rFonts w:cs="Arial"/>
          <w:sz w:val="22"/>
          <w:szCs w:val="22"/>
          <w:lang w:val="es-ES_tradnl"/>
        </w:rPr>
        <w:t>de 2016 (1.850</w:t>
      </w:r>
      <w:r w:rsidR="0068299F">
        <w:rPr>
          <w:rFonts w:cs="Arial"/>
          <w:sz w:val="22"/>
          <w:szCs w:val="22"/>
          <w:lang w:val="es-ES_tradnl"/>
        </w:rPr>
        <w:t xml:space="preserve"> </w:t>
      </w:r>
      <w:r w:rsidR="004D2731">
        <w:rPr>
          <w:rFonts w:cs="Arial"/>
          <w:sz w:val="22"/>
          <w:szCs w:val="22"/>
          <w:lang w:val="es-ES_tradnl"/>
        </w:rPr>
        <w:t xml:space="preserve">€) contribuyeron a los esfuerzos de la Familia CMS contra la matanza, captura y comercio ilegal de aves migratorias. </w:t>
      </w:r>
      <w:r w:rsidR="00E3772F">
        <w:rPr>
          <w:rFonts w:cs="Arial"/>
          <w:sz w:val="22"/>
          <w:szCs w:val="22"/>
          <w:lang w:val="es-ES_tradnl"/>
        </w:rPr>
        <w:t>L</w:t>
      </w:r>
      <w:r w:rsidR="004D2731">
        <w:rPr>
          <w:rFonts w:cs="Arial"/>
          <w:sz w:val="22"/>
          <w:szCs w:val="22"/>
          <w:lang w:val="es-ES_tradnl"/>
        </w:rPr>
        <w:t xml:space="preserve">os dos </w:t>
      </w:r>
      <w:r w:rsidR="00E3772F">
        <w:rPr>
          <w:rFonts w:cs="Arial"/>
          <w:sz w:val="22"/>
          <w:szCs w:val="22"/>
          <w:lang w:val="es-ES_tradnl"/>
        </w:rPr>
        <w:t xml:space="preserve">primeros </w:t>
      </w:r>
      <w:r w:rsidR="004D2731">
        <w:rPr>
          <w:rFonts w:cs="Arial"/>
          <w:sz w:val="22"/>
          <w:szCs w:val="22"/>
          <w:lang w:val="es-ES_tradnl"/>
        </w:rPr>
        <w:t xml:space="preserve">conciertos tuvieron lugar en Bonn, </w:t>
      </w:r>
      <w:r w:rsidR="00E3772F">
        <w:rPr>
          <w:rFonts w:cs="Arial"/>
          <w:sz w:val="22"/>
          <w:szCs w:val="22"/>
          <w:lang w:val="es-ES_tradnl"/>
        </w:rPr>
        <w:t xml:space="preserve">mientras que </w:t>
      </w:r>
      <w:r w:rsidR="004D2731">
        <w:rPr>
          <w:rFonts w:cs="Arial"/>
          <w:sz w:val="22"/>
          <w:szCs w:val="22"/>
          <w:lang w:val="es-ES_tradnl"/>
        </w:rPr>
        <w:t>el de 2017 tuvo lugar en Bolonia y recaudó 800 €.</w:t>
      </w:r>
    </w:p>
    <w:p w14:paraId="2D1FEF6A" w14:textId="77777777" w:rsidR="00E95410" w:rsidRPr="00214148" w:rsidRDefault="00E95410" w:rsidP="00214148">
      <w:pPr>
        <w:pStyle w:val="ListParagraph"/>
        <w:autoSpaceDE/>
        <w:adjustRightInd/>
        <w:ind w:left="360"/>
        <w:jc w:val="both"/>
        <w:rPr>
          <w:rFonts w:cs="Arial"/>
          <w:sz w:val="22"/>
          <w:szCs w:val="22"/>
          <w:lang w:val="es-ES_tradnl"/>
        </w:rPr>
      </w:pPr>
    </w:p>
    <w:p w14:paraId="7F80634D" w14:textId="6C95A3A5" w:rsidR="00BB70F4" w:rsidRPr="00BB70F4" w:rsidRDefault="00BB70F4" w:rsidP="00E07841">
      <w:pPr>
        <w:pStyle w:val="ListParagraph"/>
        <w:numPr>
          <w:ilvl w:val="0"/>
          <w:numId w:val="10"/>
        </w:numPr>
        <w:autoSpaceDE/>
        <w:adjustRightInd/>
        <w:ind w:left="360" w:hanging="360"/>
        <w:jc w:val="both"/>
        <w:rPr>
          <w:rFonts w:cs="Arial"/>
          <w:sz w:val="22"/>
          <w:szCs w:val="22"/>
          <w:lang w:val="es-ES_tradnl"/>
        </w:rPr>
      </w:pPr>
      <w:r w:rsidRPr="00BB70F4">
        <w:rPr>
          <w:rFonts w:cs="Arial"/>
          <w:sz w:val="22"/>
          <w:szCs w:val="22"/>
          <w:lang w:val="es-ES_tradnl"/>
        </w:rPr>
        <w:t>Tanto la sede central del PNUMA</w:t>
      </w:r>
      <w:r>
        <w:rPr>
          <w:rFonts w:cs="Arial"/>
          <w:sz w:val="22"/>
          <w:szCs w:val="22"/>
          <w:lang w:val="es-ES_tradnl"/>
        </w:rPr>
        <w:t xml:space="preserve"> como sus Oficinas Regionales han ofrecido apoyo de varias formas. Las asociaciones con las ONG también han sido fundamentales a la hora de proporcionar recursos adicionales </w:t>
      </w:r>
      <w:r w:rsidR="00F93845">
        <w:rPr>
          <w:rFonts w:cs="Arial"/>
          <w:sz w:val="22"/>
          <w:szCs w:val="22"/>
          <w:lang w:val="es-ES_tradnl"/>
        </w:rPr>
        <w:t>para la CMS</w:t>
      </w:r>
      <w:r w:rsidR="002111EA">
        <w:rPr>
          <w:rFonts w:cs="Arial"/>
          <w:sz w:val="22"/>
          <w:szCs w:val="22"/>
          <w:lang w:val="es-ES_tradnl"/>
        </w:rPr>
        <w:t>,</w:t>
      </w:r>
      <w:r w:rsidR="00F93845">
        <w:rPr>
          <w:rFonts w:cs="Arial"/>
          <w:sz w:val="22"/>
          <w:szCs w:val="22"/>
          <w:lang w:val="es-ES_tradnl"/>
        </w:rPr>
        <w:t xml:space="preserve"> así como </w:t>
      </w:r>
      <w:r w:rsidR="002111EA">
        <w:rPr>
          <w:rFonts w:cs="Arial"/>
          <w:sz w:val="22"/>
          <w:szCs w:val="22"/>
          <w:lang w:val="es-ES_tradnl"/>
        </w:rPr>
        <w:t>mediante el apoyo a</w:t>
      </w:r>
      <w:r w:rsidR="00F93845">
        <w:rPr>
          <w:rFonts w:cs="Arial"/>
          <w:sz w:val="22"/>
          <w:szCs w:val="22"/>
          <w:lang w:val="es-ES_tradnl"/>
        </w:rPr>
        <w:t xml:space="preserve"> objetivos de conservación comunes (véase </w:t>
      </w:r>
      <w:r w:rsidR="005D2544">
        <w:rPr>
          <w:rFonts w:cs="Arial"/>
          <w:sz w:val="22"/>
          <w:szCs w:val="22"/>
          <w:lang w:val="es-ES_tradnl"/>
        </w:rPr>
        <w:t xml:space="preserve">el </w:t>
      </w:r>
      <w:r w:rsidR="00F93845">
        <w:rPr>
          <w:rFonts w:cs="Arial"/>
          <w:sz w:val="22"/>
          <w:szCs w:val="22"/>
          <w:lang w:val="es-ES_tradnl"/>
        </w:rPr>
        <w:t xml:space="preserve">documento </w:t>
      </w:r>
      <w:r w:rsidR="00F93845" w:rsidRPr="00F93845">
        <w:rPr>
          <w:rFonts w:cs="Arial"/>
          <w:sz w:val="22"/>
          <w:szCs w:val="22"/>
          <w:lang w:val="es-ES_tradnl"/>
        </w:rPr>
        <w:t>UNEP/CMS/COP12/Doc.23.1).</w:t>
      </w:r>
    </w:p>
    <w:p w14:paraId="5ED6988F" w14:textId="1632DA80" w:rsidR="00E95410" w:rsidRPr="0018679B" w:rsidRDefault="00E95410" w:rsidP="00214148">
      <w:pPr>
        <w:pStyle w:val="ListParagraph"/>
        <w:autoSpaceDE/>
        <w:adjustRightInd/>
        <w:ind w:left="360"/>
        <w:jc w:val="both"/>
        <w:rPr>
          <w:rFonts w:cs="Arial"/>
          <w:sz w:val="22"/>
          <w:szCs w:val="22"/>
          <w:lang w:val="es-ES_tradnl"/>
        </w:rPr>
      </w:pPr>
    </w:p>
    <w:p w14:paraId="7E15AF00" w14:textId="67D6EF15" w:rsidR="0018679B" w:rsidRPr="0018679B" w:rsidRDefault="0018679B" w:rsidP="00E07841">
      <w:pPr>
        <w:pStyle w:val="ListParagraph"/>
        <w:numPr>
          <w:ilvl w:val="0"/>
          <w:numId w:val="10"/>
        </w:numPr>
        <w:autoSpaceDE/>
        <w:adjustRightInd/>
        <w:ind w:left="360" w:hanging="360"/>
        <w:jc w:val="both"/>
        <w:rPr>
          <w:rFonts w:cs="Arial"/>
          <w:sz w:val="22"/>
          <w:szCs w:val="22"/>
          <w:lang w:val="es-ES_tradnl"/>
        </w:rPr>
      </w:pPr>
      <w:r w:rsidRPr="0018679B">
        <w:rPr>
          <w:rFonts w:cs="Arial"/>
          <w:sz w:val="22"/>
          <w:szCs w:val="22"/>
          <w:lang w:val="es-ES_tradnl"/>
        </w:rPr>
        <w:t xml:space="preserve">Se han </w:t>
      </w:r>
      <w:r w:rsidR="00595917">
        <w:rPr>
          <w:rFonts w:cs="Arial"/>
          <w:sz w:val="22"/>
          <w:szCs w:val="22"/>
          <w:lang w:val="es-ES_tradnl"/>
        </w:rPr>
        <w:t>aumentado</w:t>
      </w:r>
      <w:r w:rsidR="00DD6A5C">
        <w:rPr>
          <w:rFonts w:cs="Arial"/>
          <w:sz w:val="22"/>
          <w:szCs w:val="22"/>
          <w:lang w:val="es-ES_tradnl"/>
        </w:rPr>
        <w:t xml:space="preserve"> las</w:t>
      </w:r>
      <w:r w:rsidRPr="0018679B">
        <w:rPr>
          <w:rFonts w:cs="Arial"/>
          <w:sz w:val="22"/>
          <w:szCs w:val="22"/>
          <w:lang w:val="es-ES_tradnl"/>
        </w:rPr>
        <w:t xml:space="preserve"> sinergias y </w:t>
      </w:r>
      <w:r w:rsidR="00DD6A5C">
        <w:rPr>
          <w:rFonts w:cs="Arial"/>
          <w:sz w:val="22"/>
          <w:szCs w:val="22"/>
          <w:lang w:val="es-ES_tradnl"/>
        </w:rPr>
        <w:t xml:space="preserve">el </w:t>
      </w:r>
      <w:r w:rsidRPr="0018679B">
        <w:rPr>
          <w:rFonts w:cs="Arial"/>
          <w:sz w:val="22"/>
          <w:szCs w:val="22"/>
          <w:lang w:val="es-ES_tradnl"/>
        </w:rPr>
        <w:t xml:space="preserve">apoyo mutuo </w:t>
      </w:r>
      <w:r w:rsidR="00DD6A5C">
        <w:rPr>
          <w:rFonts w:cs="Arial"/>
          <w:sz w:val="22"/>
          <w:szCs w:val="22"/>
          <w:lang w:val="es-ES_tradnl"/>
        </w:rPr>
        <w:t>entre</w:t>
      </w:r>
      <w:r w:rsidRPr="0018679B">
        <w:rPr>
          <w:rFonts w:cs="Arial"/>
          <w:sz w:val="22"/>
          <w:szCs w:val="22"/>
          <w:lang w:val="es-ES_tradnl"/>
        </w:rPr>
        <w:t xml:space="preserve"> las Secretarías</w:t>
      </w:r>
      <w:r w:rsidR="00DD6A5C">
        <w:rPr>
          <w:rFonts w:cs="Arial"/>
          <w:sz w:val="22"/>
          <w:szCs w:val="22"/>
          <w:lang w:val="es-ES_tradnl"/>
        </w:rPr>
        <w:t xml:space="preserve"> de la Familia CMS ubicadas en Bonn. Por ejemplo, varios miembros del personal de la CMS viajaron a la Sexta Reunión de las Partes de AEWA y ayudaron a la Secretaría de AEWA con los aspectos logísticos de la reunión.</w:t>
      </w:r>
    </w:p>
    <w:p w14:paraId="11FF80E6" w14:textId="77777777" w:rsidR="00A257C4" w:rsidRPr="00B4098B" w:rsidRDefault="00A257C4" w:rsidP="00214148">
      <w:pPr>
        <w:pStyle w:val="ListParagraph"/>
        <w:autoSpaceDE/>
        <w:adjustRightInd/>
        <w:ind w:left="360"/>
        <w:jc w:val="both"/>
        <w:rPr>
          <w:rFonts w:cs="Arial"/>
          <w:sz w:val="22"/>
          <w:szCs w:val="22"/>
          <w:lang w:val="es-ES_tradnl"/>
        </w:rPr>
      </w:pPr>
    </w:p>
    <w:p w14:paraId="0DEC8B4D" w14:textId="728C7AEC" w:rsidR="00DD6A5C" w:rsidRPr="00B4098B" w:rsidRDefault="007A2718" w:rsidP="00E07841">
      <w:pPr>
        <w:pStyle w:val="ListParagraph"/>
        <w:numPr>
          <w:ilvl w:val="0"/>
          <w:numId w:val="10"/>
        </w:numPr>
        <w:autoSpaceDE/>
        <w:adjustRightInd/>
        <w:ind w:left="360" w:hanging="360"/>
        <w:jc w:val="both"/>
        <w:rPr>
          <w:rFonts w:cs="Arial"/>
          <w:sz w:val="22"/>
          <w:szCs w:val="22"/>
          <w:lang w:val="es-ES_tradnl"/>
        </w:rPr>
      </w:pPr>
      <w:r>
        <w:rPr>
          <w:rFonts w:cs="Arial"/>
          <w:sz w:val="22"/>
          <w:szCs w:val="22"/>
          <w:lang w:val="es-ES_tradnl"/>
        </w:rPr>
        <w:t>Con motivo de</w:t>
      </w:r>
      <w:r w:rsidR="00B4098B" w:rsidRPr="00B4098B">
        <w:rPr>
          <w:rFonts w:cs="Arial"/>
          <w:sz w:val="22"/>
          <w:szCs w:val="22"/>
          <w:lang w:val="es-ES_tradnl"/>
        </w:rPr>
        <w:t xml:space="preserve"> una publicación especial para la COP12 de la CMS, la Secretaría de la CMS</w:t>
      </w:r>
      <w:r w:rsidR="00EF759A">
        <w:rPr>
          <w:rFonts w:cs="Arial"/>
          <w:sz w:val="22"/>
          <w:szCs w:val="22"/>
          <w:lang w:val="es-ES_tradnl"/>
        </w:rPr>
        <w:t xml:space="preserve"> ha conseguido asegurar el apoyo de TERRITORY, una empresa de Relaciones Públicas de Hamburgo en forma de una asociación pública-privada.</w:t>
      </w:r>
      <w:r w:rsidR="004F1138">
        <w:rPr>
          <w:rFonts w:cs="Arial"/>
          <w:sz w:val="22"/>
          <w:szCs w:val="22"/>
          <w:lang w:val="es-ES_tradnl"/>
        </w:rPr>
        <w:t xml:space="preserve"> Esta empresa se ha comprometido a trabajar estrechamente con la Unidad Conjunta de Comunicación de la CMS/AEWA, para producir una publicación de la COP diseñada profesionalmente en el formato y estilo de una revista típica de aerolínea.</w:t>
      </w:r>
    </w:p>
    <w:p w14:paraId="58718E3B" w14:textId="77777777" w:rsidR="0061127B" w:rsidRPr="0018679B" w:rsidRDefault="0061127B" w:rsidP="00E07841">
      <w:pPr>
        <w:pStyle w:val="ListParagraph"/>
        <w:ind w:left="360" w:hanging="360"/>
        <w:jc w:val="both"/>
        <w:rPr>
          <w:rFonts w:cs="Arial"/>
          <w:i/>
          <w:sz w:val="22"/>
          <w:szCs w:val="22"/>
          <w:highlight w:val="green"/>
          <w:lang w:val="es-ES_tradnl"/>
        </w:rPr>
      </w:pPr>
    </w:p>
    <w:p w14:paraId="7E860E42" w14:textId="77DDF169" w:rsidR="00D752DC" w:rsidRPr="00D752DC" w:rsidRDefault="00D752DC" w:rsidP="00E07841">
      <w:pPr>
        <w:pStyle w:val="ListParagraph"/>
        <w:ind w:left="360" w:hanging="360"/>
        <w:jc w:val="both"/>
        <w:rPr>
          <w:rFonts w:cs="Arial"/>
          <w:i/>
          <w:sz w:val="22"/>
          <w:szCs w:val="22"/>
          <w:lang w:val="es-ES_tradnl"/>
        </w:rPr>
      </w:pPr>
      <w:r w:rsidRPr="00D752DC">
        <w:rPr>
          <w:rFonts w:cs="Arial"/>
          <w:i/>
          <w:sz w:val="22"/>
          <w:szCs w:val="22"/>
          <w:lang w:val="es-ES_tradnl"/>
        </w:rPr>
        <w:t>Personal</w:t>
      </w:r>
    </w:p>
    <w:p w14:paraId="14F21C6F" w14:textId="77777777" w:rsidR="0061127B" w:rsidRPr="00D752DC" w:rsidRDefault="0061127B" w:rsidP="00E07841">
      <w:pPr>
        <w:pStyle w:val="ListParagraph"/>
        <w:ind w:left="360" w:hanging="360"/>
        <w:jc w:val="both"/>
        <w:rPr>
          <w:rFonts w:cs="Arial"/>
          <w:sz w:val="22"/>
          <w:szCs w:val="22"/>
          <w:lang w:val="es-ES_tradnl"/>
        </w:rPr>
      </w:pPr>
    </w:p>
    <w:p w14:paraId="612631E6" w14:textId="06AE4549" w:rsidR="0065752A" w:rsidRPr="00214148" w:rsidRDefault="00D752DC" w:rsidP="00214148">
      <w:pPr>
        <w:pStyle w:val="ListParagraph"/>
        <w:numPr>
          <w:ilvl w:val="0"/>
          <w:numId w:val="10"/>
        </w:numPr>
        <w:autoSpaceDE/>
        <w:adjustRightInd/>
        <w:ind w:left="360" w:hanging="360"/>
        <w:jc w:val="both"/>
        <w:rPr>
          <w:rFonts w:cs="Arial"/>
          <w:b/>
          <w:sz w:val="20"/>
          <w:szCs w:val="20"/>
          <w:lang w:val="es-ES_tradnl"/>
        </w:rPr>
      </w:pPr>
      <w:r w:rsidRPr="00214148">
        <w:rPr>
          <w:rFonts w:cs="Arial"/>
          <w:sz w:val="22"/>
          <w:szCs w:val="22"/>
          <w:lang w:val="es-ES_tradnl"/>
        </w:rPr>
        <w:t xml:space="preserve">A través de su programa de prácticas, la Secretaría </w:t>
      </w:r>
      <w:r w:rsidR="0096537F" w:rsidRPr="00214148">
        <w:rPr>
          <w:rFonts w:cs="Arial"/>
          <w:sz w:val="22"/>
          <w:szCs w:val="22"/>
          <w:lang w:val="es-ES_tradnl"/>
        </w:rPr>
        <w:t>h</w:t>
      </w:r>
      <w:r w:rsidRPr="00214148">
        <w:rPr>
          <w:rFonts w:cs="Arial"/>
          <w:sz w:val="22"/>
          <w:szCs w:val="22"/>
          <w:lang w:val="es-ES_tradnl"/>
        </w:rPr>
        <w:t>a disfrutado del valioso apoyo de licenciados y estudiantes universitarios que han ayudado al personal de la CMS en su trabajo diario durante un periodo de unos t</w:t>
      </w:r>
      <w:r w:rsidR="00E210F0" w:rsidRPr="00214148">
        <w:rPr>
          <w:rFonts w:cs="Arial"/>
          <w:sz w:val="22"/>
          <w:szCs w:val="22"/>
          <w:lang w:val="es-ES_tradnl"/>
        </w:rPr>
        <w:t>res meses de media sin remunera</w:t>
      </w:r>
      <w:r w:rsidRPr="00214148">
        <w:rPr>
          <w:rFonts w:cs="Arial"/>
          <w:sz w:val="22"/>
          <w:szCs w:val="22"/>
          <w:lang w:val="es-ES_tradnl"/>
        </w:rPr>
        <w:t>c</w:t>
      </w:r>
      <w:r w:rsidR="00E210F0" w:rsidRPr="00214148">
        <w:rPr>
          <w:rFonts w:cs="Arial"/>
          <w:sz w:val="22"/>
          <w:szCs w:val="22"/>
          <w:lang w:val="es-ES_tradnl"/>
        </w:rPr>
        <w:t>i</w:t>
      </w:r>
      <w:r w:rsidRPr="00214148">
        <w:rPr>
          <w:rFonts w:cs="Arial"/>
          <w:sz w:val="22"/>
          <w:szCs w:val="22"/>
          <w:lang w:val="es-ES_tradnl"/>
        </w:rPr>
        <w:t>ón.</w:t>
      </w:r>
      <w:r w:rsidR="00E210F0" w:rsidRPr="00214148">
        <w:rPr>
          <w:rFonts w:cs="Arial"/>
          <w:sz w:val="22"/>
          <w:szCs w:val="22"/>
          <w:lang w:val="es-ES_tradnl"/>
        </w:rPr>
        <w:t xml:space="preserve"> Durante el trienio actual, más de 50 estudiantes de prácticas de varios países han apoyado a la Secretaría en la consecución de tareas y proyectos en </w:t>
      </w:r>
      <w:r w:rsidR="0073545F" w:rsidRPr="00214148">
        <w:rPr>
          <w:rFonts w:cs="Arial"/>
          <w:sz w:val="22"/>
          <w:szCs w:val="22"/>
          <w:lang w:val="es-ES_tradnl"/>
        </w:rPr>
        <w:t>el área</w:t>
      </w:r>
      <w:r w:rsidR="00E210F0" w:rsidRPr="00214148">
        <w:rPr>
          <w:rFonts w:cs="Arial"/>
          <w:sz w:val="22"/>
          <w:szCs w:val="22"/>
          <w:lang w:val="es-ES_tradnl"/>
        </w:rPr>
        <w:t xml:space="preserve"> cient</w:t>
      </w:r>
      <w:r w:rsidR="00DA41ED" w:rsidRPr="00214148">
        <w:rPr>
          <w:rFonts w:cs="Arial"/>
          <w:sz w:val="22"/>
          <w:szCs w:val="22"/>
          <w:lang w:val="es-ES_tradnl"/>
        </w:rPr>
        <w:t>í</w:t>
      </w:r>
      <w:r w:rsidR="0073545F" w:rsidRPr="00214148">
        <w:rPr>
          <w:rFonts w:cs="Arial"/>
          <w:sz w:val="22"/>
          <w:szCs w:val="22"/>
          <w:lang w:val="es-ES_tradnl"/>
        </w:rPr>
        <w:t>fico/técnica, administrativa y de</w:t>
      </w:r>
      <w:r w:rsidR="00E210F0" w:rsidRPr="00214148">
        <w:rPr>
          <w:rFonts w:cs="Arial"/>
          <w:sz w:val="22"/>
          <w:szCs w:val="22"/>
          <w:lang w:val="es-ES_tradnl"/>
        </w:rPr>
        <w:t xml:space="preserve"> información.</w:t>
      </w:r>
      <w:r w:rsidR="0065752A" w:rsidRPr="00214148">
        <w:rPr>
          <w:rFonts w:cs="Arial"/>
          <w:b/>
          <w:sz w:val="20"/>
          <w:szCs w:val="20"/>
          <w:lang w:val="es-ES_tradnl"/>
        </w:rPr>
        <w:br w:type="page"/>
      </w:r>
    </w:p>
    <w:p w14:paraId="3B6D233F" w14:textId="417FDBF6" w:rsidR="008F1322" w:rsidRPr="008F1322" w:rsidRDefault="008F1322" w:rsidP="006046C7">
      <w:pPr>
        <w:pStyle w:val="ListParagraph"/>
        <w:ind w:left="0"/>
        <w:jc w:val="both"/>
        <w:rPr>
          <w:rFonts w:cs="Arial"/>
          <w:b/>
          <w:sz w:val="20"/>
          <w:szCs w:val="20"/>
          <w:lang w:val="es-ES_tradnl"/>
        </w:rPr>
      </w:pPr>
      <w:r w:rsidRPr="008F1322">
        <w:rPr>
          <w:rFonts w:cs="Arial"/>
          <w:b/>
          <w:sz w:val="20"/>
          <w:szCs w:val="20"/>
          <w:lang w:val="es-ES_tradnl"/>
        </w:rPr>
        <w:lastRenderedPageBreak/>
        <w:t>Programa de Campeones de las Especies Migr</w:t>
      </w:r>
      <w:r>
        <w:rPr>
          <w:rFonts w:cs="Arial"/>
          <w:b/>
          <w:sz w:val="20"/>
          <w:szCs w:val="20"/>
          <w:lang w:val="es-ES_tradnl"/>
        </w:rPr>
        <w:t>at</w:t>
      </w:r>
      <w:r w:rsidRPr="008F1322">
        <w:rPr>
          <w:rFonts w:cs="Arial"/>
          <w:b/>
          <w:sz w:val="20"/>
          <w:szCs w:val="20"/>
          <w:lang w:val="es-ES_tradnl"/>
        </w:rPr>
        <w:t>orias</w:t>
      </w:r>
    </w:p>
    <w:p w14:paraId="6086C93A" w14:textId="77777777" w:rsidR="006046C7" w:rsidRPr="008F1322" w:rsidRDefault="006046C7" w:rsidP="004B7F3D">
      <w:pPr>
        <w:pStyle w:val="ListParagraph"/>
        <w:autoSpaceDE/>
        <w:adjustRightInd/>
        <w:ind w:left="0"/>
        <w:jc w:val="both"/>
        <w:rPr>
          <w:rFonts w:cs="Arial"/>
          <w:sz w:val="22"/>
          <w:szCs w:val="22"/>
          <w:lang w:val="es-ES_tradnl"/>
        </w:rPr>
      </w:pPr>
    </w:p>
    <w:p w14:paraId="5E493E10" w14:textId="0D1A4297" w:rsidR="008F1322" w:rsidRPr="008F1322" w:rsidRDefault="008F1322" w:rsidP="00E07841">
      <w:pPr>
        <w:pStyle w:val="ListParagraph"/>
        <w:numPr>
          <w:ilvl w:val="0"/>
          <w:numId w:val="10"/>
        </w:numPr>
        <w:autoSpaceDE/>
        <w:adjustRightInd/>
        <w:ind w:left="360" w:hanging="360"/>
        <w:jc w:val="both"/>
        <w:rPr>
          <w:rFonts w:cs="Arial"/>
          <w:sz w:val="22"/>
          <w:szCs w:val="22"/>
          <w:lang w:val="es-ES_tradnl"/>
        </w:rPr>
      </w:pPr>
      <w:r w:rsidRPr="008F1322">
        <w:rPr>
          <w:rFonts w:cs="Arial"/>
          <w:sz w:val="22"/>
          <w:szCs w:val="22"/>
          <w:lang w:val="es-ES_tradnl"/>
        </w:rPr>
        <w:t>De conformidad con la Resolución 10.9 sobre la</w:t>
      </w:r>
      <w:r w:rsidR="00D72AFE">
        <w:rPr>
          <w:rFonts w:cs="Arial"/>
          <w:sz w:val="22"/>
          <w:szCs w:val="22"/>
          <w:lang w:val="es-ES_tradnl"/>
        </w:rPr>
        <w:t xml:space="preserve"> Estructura y Estrategia Futura de la Familia CMS, la Secretaría de la CMS </w:t>
      </w:r>
      <w:r w:rsidR="002B59F6">
        <w:rPr>
          <w:rFonts w:cs="Arial"/>
          <w:sz w:val="22"/>
          <w:szCs w:val="22"/>
          <w:lang w:val="es-ES_tradnl"/>
        </w:rPr>
        <w:t>desarrolló</w:t>
      </w:r>
      <w:r w:rsidR="00D72AFE">
        <w:rPr>
          <w:rFonts w:cs="Arial"/>
          <w:sz w:val="22"/>
          <w:szCs w:val="22"/>
          <w:lang w:val="es-ES_tradnl"/>
        </w:rPr>
        <w:t xml:space="preserve"> en colabor</w:t>
      </w:r>
      <w:r w:rsidR="00C84C91">
        <w:rPr>
          <w:rFonts w:cs="Arial"/>
          <w:sz w:val="22"/>
          <w:szCs w:val="22"/>
          <w:lang w:val="es-ES_tradnl"/>
        </w:rPr>
        <w:t>ación con la Secretaría de AEWA</w:t>
      </w:r>
      <w:r w:rsidR="00D72AFE">
        <w:rPr>
          <w:rFonts w:cs="Arial"/>
          <w:sz w:val="22"/>
          <w:szCs w:val="22"/>
          <w:lang w:val="es-ES_tradnl"/>
        </w:rPr>
        <w:t xml:space="preserve"> el “Programa de Campeones de las Especies Migratorias</w:t>
      </w:r>
      <w:r w:rsidR="008F62A9">
        <w:rPr>
          <w:rFonts w:cs="Arial"/>
          <w:sz w:val="22"/>
          <w:szCs w:val="22"/>
          <w:lang w:val="es-ES_tradnl"/>
        </w:rPr>
        <w:t xml:space="preserve">”, un programa de recaudación de fondos para promover el trabajo de la Familia CMS y fomentar </w:t>
      </w:r>
      <w:r w:rsidR="00BA4987">
        <w:rPr>
          <w:rFonts w:cs="Arial"/>
          <w:sz w:val="22"/>
          <w:szCs w:val="22"/>
          <w:lang w:val="es-ES_tradnl"/>
        </w:rPr>
        <w:t>un</w:t>
      </w:r>
      <w:r w:rsidR="0024008F">
        <w:rPr>
          <w:rFonts w:cs="Arial"/>
          <w:sz w:val="22"/>
          <w:szCs w:val="22"/>
          <w:lang w:val="es-ES_tradnl"/>
        </w:rPr>
        <w:t xml:space="preserve"> apoyo sostenible y predecible. Desde el lanzamiento del programa, varios Campeones han sido reconocidos por la CMS por su g</w:t>
      </w:r>
      <w:r w:rsidR="00457663">
        <w:rPr>
          <w:rFonts w:cs="Arial"/>
          <w:sz w:val="22"/>
          <w:szCs w:val="22"/>
          <w:lang w:val="es-ES_tradnl"/>
        </w:rPr>
        <w:t>eneroso apoyo y compromiso con</w:t>
      </w:r>
      <w:r w:rsidR="0024008F">
        <w:rPr>
          <w:rFonts w:cs="Arial"/>
          <w:sz w:val="22"/>
          <w:szCs w:val="22"/>
          <w:lang w:val="es-ES_tradnl"/>
        </w:rPr>
        <w:t xml:space="preserve"> varias iniciativas:</w:t>
      </w:r>
    </w:p>
    <w:p w14:paraId="4C128FFD" w14:textId="20150247" w:rsidR="004A0C80" w:rsidRPr="004A0C80" w:rsidRDefault="004A0C80" w:rsidP="006046C7">
      <w:pPr>
        <w:pStyle w:val="ListParagraph"/>
        <w:numPr>
          <w:ilvl w:val="0"/>
          <w:numId w:val="20"/>
        </w:numPr>
        <w:autoSpaceDE/>
        <w:adjustRightInd/>
        <w:spacing w:before="120"/>
        <w:contextualSpacing w:val="0"/>
        <w:jc w:val="both"/>
        <w:rPr>
          <w:rFonts w:cs="Arial"/>
          <w:sz w:val="22"/>
          <w:szCs w:val="22"/>
          <w:lang w:val="es-ES_tradnl"/>
        </w:rPr>
      </w:pPr>
      <w:r w:rsidRPr="004A0C80">
        <w:rPr>
          <w:rFonts w:cs="Arial"/>
          <w:sz w:val="22"/>
          <w:szCs w:val="22"/>
          <w:lang w:val="es-ES_tradnl"/>
        </w:rPr>
        <w:t>El Gobierno de Alemania</w:t>
      </w:r>
      <w:r w:rsidR="00A71B8D">
        <w:rPr>
          <w:rFonts w:cs="Arial"/>
          <w:sz w:val="22"/>
          <w:szCs w:val="22"/>
          <w:lang w:val="es-ES_tradnl"/>
        </w:rPr>
        <w:t xml:space="preserve">, a través del Ministerio Federal de Medio Ambiente, Conservación de la Naturaleza, Obra Públicas y Seguridad Nuclear (BMUB), fue reconocido como </w:t>
      </w:r>
      <w:r w:rsidR="00A71B8D" w:rsidRPr="00A71B8D">
        <w:rPr>
          <w:rFonts w:cs="Arial"/>
          <w:i/>
          <w:sz w:val="22"/>
          <w:szCs w:val="22"/>
          <w:lang w:val="es-ES_tradnl"/>
        </w:rPr>
        <w:t>Campeón Extraordinario</w:t>
      </w:r>
      <w:r w:rsidR="00A71B8D">
        <w:rPr>
          <w:rFonts w:cs="Arial"/>
          <w:sz w:val="22"/>
          <w:szCs w:val="22"/>
          <w:lang w:val="es-ES_tradnl"/>
        </w:rPr>
        <w:t xml:space="preserve"> por apoyar el funcionamiento de las Secretarías de la CMS, AEWA, EUROBATS y ASCOBANS;</w:t>
      </w:r>
    </w:p>
    <w:p w14:paraId="1424AB69" w14:textId="212539D5" w:rsidR="006E6D04" w:rsidRPr="00190F81" w:rsidRDefault="00190F81" w:rsidP="006046C7">
      <w:pPr>
        <w:pStyle w:val="ListParagraph"/>
        <w:numPr>
          <w:ilvl w:val="0"/>
          <w:numId w:val="20"/>
        </w:numPr>
        <w:autoSpaceDE/>
        <w:adjustRightInd/>
        <w:spacing w:before="120"/>
        <w:contextualSpacing w:val="0"/>
        <w:jc w:val="both"/>
        <w:rPr>
          <w:rFonts w:cs="Arial"/>
          <w:kern w:val="24"/>
          <w:sz w:val="22"/>
          <w:szCs w:val="22"/>
          <w:lang w:val="es-ES_tradnl"/>
        </w:rPr>
      </w:pPr>
      <w:r w:rsidRPr="00190F81">
        <w:rPr>
          <w:rFonts w:cs="Arial"/>
          <w:kern w:val="24"/>
          <w:sz w:val="22"/>
          <w:szCs w:val="22"/>
          <w:lang w:val="es-ES_tradnl"/>
        </w:rPr>
        <w:t>El Gobierno de Alemani</w:t>
      </w:r>
      <w:r>
        <w:rPr>
          <w:rFonts w:cs="Arial"/>
          <w:kern w:val="24"/>
          <w:sz w:val="22"/>
          <w:szCs w:val="22"/>
          <w:lang w:val="es-ES_tradnl"/>
        </w:rPr>
        <w:t xml:space="preserve">a, a través del BMUB fue reconocido </w:t>
      </w:r>
      <w:r w:rsidR="00D21E59">
        <w:rPr>
          <w:rFonts w:cs="Arial"/>
          <w:kern w:val="24"/>
          <w:sz w:val="22"/>
          <w:szCs w:val="22"/>
          <w:lang w:val="es-ES_tradnl"/>
        </w:rPr>
        <w:t xml:space="preserve">como </w:t>
      </w:r>
      <w:r w:rsidRPr="00190F81">
        <w:rPr>
          <w:rFonts w:cs="Arial"/>
          <w:i/>
          <w:kern w:val="24"/>
          <w:sz w:val="22"/>
          <w:szCs w:val="22"/>
          <w:lang w:val="es-ES_tradnl"/>
        </w:rPr>
        <w:t>Campeón Plus</w:t>
      </w:r>
      <w:r>
        <w:rPr>
          <w:rFonts w:cs="Arial"/>
          <w:kern w:val="24"/>
          <w:sz w:val="22"/>
          <w:szCs w:val="22"/>
          <w:lang w:val="es-ES_tradnl"/>
        </w:rPr>
        <w:t xml:space="preserve"> por apoyar la conservación del</w:t>
      </w:r>
      <w:r w:rsidR="00F42758">
        <w:rPr>
          <w:rFonts w:cs="Arial"/>
          <w:kern w:val="24"/>
          <w:sz w:val="22"/>
          <w:szCs w:val="22"/>
          <w:lang w:val="es-ES_tradnl"/>
        </w:rPr>
        <w:t xml:space="preserve"> elefante africano en 2015-2017;</w:t>
      </w:r>
    </w:p>
    <w:p w14:paraId="772BE18A" w14:textId="4C24C6F3" w:rsidR="00F9299C" w:rsidRPr="00F9299C" w:rsidRDefault="00F9299C" w:rsidP="006046C7">
      <w:pPr>
        <w:pStyle w:val="ListParagraph"/>
        <w:numPr>
          <w:ilvl w:val="0"/>
          <w:numId w:val="20"/>
        </w:numPr>
        <w:autoSpaceDE/>
        <w:adjustRightInd/>
        <w:spacing w:before="120"/>
        <w:contextualSpacing w:val="0"/>
        <w:jc w:val="both"/>
        <w:rPr>
          <w:rFonts w:cs="Arial"/>
          <w:kern w:val="24"/>
          <w:sz w:val="22"/>
          <w:szCs w:val="22"/>
          <w:lang w:val="es-ES_tradnl"/>
        </w:rPr>
      </w:pPr>
      <w:r w:rsidRPr="00F9299C">
        <w:rPr>
          <w:rFonts w:cs="Arial"/>
          <w:kern w:val="24"/>
          <w:sz w:val="22"/>
          <w:szCs w:val="22"/>
          <w:lang w:val="es-ES_tradnl"/>
        </w:rPr>
        <w:t xml:space="preserve">El Gobierno de Alemania, a través del BMUB fue reconocido </w:t>
      </w:r>
      <w:r w:rsidR="00D21E59">
        <w:rPr>
          <w:rFonts w:cs="Arial"/>
          <w:kern w:val="24"/>
          <w:sz w:val="22"/>
          <w:szCs w:val="22"/>
          <w:lang w:val="es-ES_tradnl"/>
        </w:rPr>
        <w:t xml:space="preserve">como </w:t>
      </w:r>
      <w:r w:rsidRPr="00F9299C">
        <w:rPr>
          <w:rFonts w:cs="Arial"/>
          <w:i/>
          <w:kern w:val="24"/>
          <w:sz w:val="22"/>
          <w:szCs w:val="22"/>
          <w:lang w:val="es-ES_tradnl"/>
        </w:rPr>
        <w:t>Campeón Plus</w:t>
      </w:r>
      <w:r w:rsidR="0081409D">
        <w:rPr>
          <w:rFonts w:cs="Arial"/>
          <w:i/>
          <w:kern w:val="24"/>
          <w:sz w:val="22"/>
          <w:szCs w:val="22"/>
          <w:lang w:val="es-ES_tradnl"/>
        </w:rPr>
        <w:t xml:space="preserve"> </w:t>
      </w:r>
      <w:r w:rsidR="00D21E59">
        <w:rPr>
          <w:rFonts w:cs="Arial"/>
          <w:kern w:val="24"/>
          <w:sz w:val="22"/>
          <w:szCs w:val="22"/>
          <w:lang w:val="es-ES_tradnl"/>
        </w:rPr>
        <w:t xml:space="preserve">por su apoyo a la </w:t>
      </w:r>
      <w:r w:rsidR="0081409D">
        <w:rPr>
          <w:rFonts w:cs="Arial"/>
          <w:kern w:val="24"/>
          <w:sz w:val="22"/>
          <w:szCs w:val="22"/>
          <w:lang w:val="es-ES_tradnl"/>
        </w:rPr>
        <w:t>conciliación del desarrollo del sector energético con la conservación de las especies migratorias en 2015-2017;</w:t>
      </w:r>
    </w:p>
    <w:p w14:paraId="5E2B5920" w14:textId="298FB4F9" w:rsidR="00FB649E" w:rsidRPr="00FB649E" w:rsidRDefault="00FB649E" w:rsidP="006046C7">
      <w:pPr>
        <w:pStyle w:val="NormalWeb"/>
        <w:numPr>
          <w:ilvl w:val="0"/>
          <w:numId w:val="20"/>
        </w:numPr>
        <w:spacing w:before="120" w:beforeAutospacing="0" w:after="0" w:afterAutospacing="0"/>
        <w:jc w:val="both"/>
        <w:rPr>
          <w:rFonts w:ascii="Arial" w:eastAsia="Calibri" w:hAnsi="Arial" w:cs="Arial"/>
          <w:kern w:val="24"/>
          <w:sz w:val="22"/>
          <w:szCs w:val="22"/>
          <w:lang w:val="es-ES_tradnl"/>
        </w:rPr>
      </w:pPr>
      <w:r w:rsidRPr="00FB649E">
        <w:rPr>
          <w:rFonts w:ascii="Arial" w:eastAsia="Calibri" w:hAnsi="Arial" w:cs="Arial"/>
          <w:kern w:val="24"/>
          <w:sz w:val="22"/>
          <w:szCs w:val="22"/>
          <w:lang w:val="es-ES_tradnl"/>
        </w:rPr>
        <w:t xml:space="preserve">El Gobierno del Principado de Mónaco fue reconocido como </w:t>
      </w:r>
      <w:r w:rsidRPr="00FB649E">
        <w:rPr>
          <w:rFonts w:ascii="Arial" w:eastAsia="Calibri" w:hAnsi="Arial" w:cs="Arial"/>
          <w:i/>
          <w:kern w:val="24"/>
          <w:sz w:val="22"/>
          <w:szCs w:val="22"/>
          <w:lang w:val="es-ES_tradnl"/>
        </w:rPr>
        <w:t>Campeón Extraordinario</w:t>
      </w:r>
      <w:r w:rsidRPr="00FB649E">
        <w:rPr>
          <w:rFonts w:ascii="Arial" w:eastAsia="Calibri" w:hAnsi="Arial" w:cs="Arial"/>
          <w:kern w:val="24"/>
          <w:sz w:val="22"/>
          <w:szCs w:val="22"/>
          <w:lang w:val="es-ES_tradnl"/>
        </w:rPr>
        <w:t xml:space="preserve"> por apoyar el funcionamiento de la Secretaría de ACCOBAMS;</w:t>
      </w:r>
    </w:p>
    <w:p w14:paraId="57EE964D" w14:textId="17C7DA69" w:rsidR="00730675" w:rsidRPr="00730675" w:rsidRDefault="00730675" w:rsidP="006046C7">
      <w:pPr>
        <w:pStyle w:val="NormalWeb"/>
        <w:numPr>
          <w:ilvl w:val="0"/>
          <w:numId w:val="20"/>
        </w:numPr>
        <w:spacing w:before="120" w:beforeAutospacing="0" w:after="0" w:afterAutospacing="0"/>
        <w:jc w:val="both"/>
        <w:rPr>
          <w:rFonts w:ascii="Arial" w:eastAsia="Calibri" w:hAnsi="Arial" w:cs="Arial"/>
          <w:kern w:val="24"/>
          <w:sz w:val="22"/>
          <w:szCs w:val="22"/>
          <w:lang w:val="es-ES_tradnl"/>
        </w:rPr>
      </w:pPr>
      <w:r w:rsidRPr="00730675">
        <w:rPr>
          <w:rFonts w:ascii="Arial" w:eastAsia="Calibri" w:hAnsi="Arial" w:cs="Arial"/>
          <w:kern w:val="24"/>
          <w:sz w:val="22"/>
          <w:szCs w:val="22"/>
          <w:lang w:val="es-ES_tradnl"/>
        </w:rPr>
        <w:t>El Gobierno del Principado de Mónaco</w:t>
      </w:r>
      <w:r w:rsidR="00B35F8F">
        <w:rPr>
          <w:rFonts w:ascii="Arial" w:eastAsia="Calibri" w:hAnsi="Arial" w:cs="Arial"/>
          <w:kern w:val="24"/>
          <w:sz w:val="22"/>
          <w:szCs w:val="22"/>
          <w:lang w:val="es-ES_tradnl"/>
        </w:rPr>
        <w:t xml:space="preserve"> fue reconocido </w:t>
      </w:r>
      <w:r w:rsidR="001D3A34">
        <w:rPr>
          <w:rFonts w:ascii="Arial" w:eastAsia="Calibri" w:hAnsi="Arial" w:cs="Arial"/>
          <w:kern w:val="24"/>
          <w:sz w:val="22"/>
          <w:szCs w:val="22"/>
          <w:lang w:val="es-ES_tradnl"/>
        </w:rPr>
        <w:t xml:space="preserve">como </w:t>
      </w:r>
      <w:r w:rsidR="00B35F8F" w:rsidRPr="00B35F8F">
        <w:rPr>
          <w:rFonts w:ascii="Arial" w:eastAsia="Calibri" w:hAnsi="Arial" w:cs="Arial"/>
          <w:i/>
          <w:kern w:val="24"/>
          <w:sz w:val="22"/>
          <w:szCs w:val="22"/>
          <w:lang w:val="es-ES_tradnl"/>
        </w:rPr>
        <w:t>Campeón</w:t>
      </w:r>
      <w:r w:rsidR="00B35F8F">
        <w:rPr>
          <w:rFonts w:ascii="Arial" w:eastAsia="Calibri" w:hAnsi="Arial" w:cs="Arial"/>
          <w:kern w:val="24"/>
          <w:sz w:val="22"/>
          <w:szCs w:val="22"/>
          <w:lang w:val="es-ES_tradnl"/>
        </w:rPr>
        <w:t xml:space="preserve"> por apoyar la conservación de las especies marinas en 2015-2017;</w:t>
      </w:r>
    </w:p>
    <w:p w14:paraId="5B2A702B" w14:textId="67FBCA0E" w:rsidR="00B35F8F" w:rsidRPr="00B35F8F" w:rsidRDefault="00B35F8F" w:rsidP="006046C7">
      <w:pPr>
        <w:pStyle w:val="NormalWeb"/>
        <w:numPr>
          <w:ilvl w:val="0"/>
          <w:numId w:val="20"/>
        </w:numPr>
        <w:spacing w:before="120" w:beforeAutospacing="0" w:after="0" w:afterAutospacing="0"/>
        <w:jc w:val="both"/>
        <w:rPr>
          <w:rFonts w:ascii="Arial" w:eastAsia="Calibri" w:hAnsi="Arial" w:cs="Arial"/>
          <w:kern w:val="24"/>
          <w:sz w:val="22"/>
          <w:szCs w:val="22"/>
          <w:lang w:val="es-ES_tradnl"/>
        </w:rPr>
      </w:pPr>
      <w:r w:rsidRPr="00B35F8F">
        <w:rPr>
          <w:rFonts w:ascii="Arial" w:eastAsia="Calibri" w:hAnsi="Arial" w:cs="Arial"/>
          <w:kern w:val="24"/>
          <w:sz w:val="22"/>
          <w:szCs w:val="22"/>
          <w:lang w:val="es-ES_tradnl"/>
        </w:rPr>
        <w:t xml:space="preserve">El Gobierno de Australia fue reconocido </w:t>
      </w:r>
      <w:r w:rsidR="00B9477E">
        <w:rPr>
          <w:rFonts w:ascii="Arial" w:eastAsia="Calibri" w:hAnsi="Arial" w:cs="Arial"/>
          <w:kern w:val="24"/>
          <w:sz w:val="22"/>
          <w:szCs w:val="22"/>
          <w:lang w:val="es-ES_tradnl"/>
        </w:rPr>
        <w:t xml:space="preserve">como </w:t>
      </w:r>
      <w:r w:rsidRPr="00B9477E">
        <w:rPr>
          <w:rFonts w:ascii="Arial" w:eastAsia="Calibri" w:hAnsi="Arial" w:cs="Arial"/>
          <w:i/>
          <w:kern w:val="24"/>
          <w:sz w:val="22"/>
          <w:szCs w:val="22"/>
          <w:lang w:val="es-ES_tradnl"/>
        </w:rPr>
        <w:t>Campeón</w:t>
      </w:r>
      <w:r w:rsidRPr="00B35F8F">
        <w:rPr>
          <w:rFonts w:ascii="Arial" w:eastAsia="Calibri" w:hAnsi="Arial" w:cs="Arial"/>
          <w:kern w:val="24"/>
          <w:sz w:val="22"/>
          <w:szCs w:val="22"/>
          <w:lang w:val="es-ES_tradnl"/>
        </w:rPr>
        <w:t xml:space="preserve"> por apoyar la conservación de la tortuga boba del Pacífico en 2015-2017;</w:t>
      </w:r>
    </w:p>
    <w:p w14:paraId="2472B96D" w14:textId="6757EE84" w:rsidR="00C3590E" w:rsidRPr="00C3590E" w:rsidRDefault="00C3590E" w:rsidP="00AE6F0E">
      <w:pPr>
        <w:pStyle w:val="NormalWeb"/>
        <w:numPr>
          <w:ilvl w:val="0"/>
          <w:numId w:val="20"/>
        </w:numPr>
        <w:spacing w:before="120" w:beforeAutospacing="0" w:after="0" w:afterAutospacing="0"/>
        <w:jc w:val="both"/>
        <w:rPr>
          <w:rFonts w:ascii="Arial" w:hAnsi="Arial" w:cs="Arial"/>
          <w:sz w:val="22"/>
          <w:szCs w:val="22"/>
          <w:lang w:val="es-ES_tradnl"/>
        </w:rPr>
      </w:pPr>
      <w:r w:rsidRPr="00C3590E">
        <w:rPr>
          <w:rFonts w:ascii="Arial" w:hAnsi="Arial" w:cs="Arial"/>
          <w:sz w:val="22"/>
          <w:szCs w:val="22"/>
          <w:lang w:val="es-ES_tradnl"/>
        </w:rPr>
        <w:t xml:space="preserve">La Comisión Europea fue reconocida como </w:t>
      </w:r>
      <w:r w:rsidRPr="00C3590E">
        <w:rPr>
          <w:rFonts w:ascii="Arial" w:hAnsi="Arial" w:cs="Arial"/>
          <w:i/>
          <w:sz w:val="22"/>
          <w:szCs w:val="22"/>
          <w:lang w:val="es-ES_tradnl"/>
        </w:rPr>
        <w:t>Campeón Plus</w:t>
      </w:r>
      <w:r>
        <w:rPr>
          <w:rFonts w:ascii="Arial" w:hAnsi="Arial" w:cs="Arial"/>
          <w:sz w:val="22"/>
          <w:szCs w:val="22"/>
          <w:lang w:val="es-ES_tradnl"/>
        </w:rPr>
        <w:t xml:space="preserve"> por su apoyo en la lucha contra la matanza, captura y comercio ilegal de aves migratorias en el Mediterráneo en 201</w:t>
      </w:r>
      <w:r w:rsidR="001A7B11">
        <w:rPr>
          <w:rFonts w:ascii="Arial" w:hAnsi="Arial" w:cs="Arial"/>
          <w:sz w:val="22"/>
          <w:szCs w:val="22"/>
          <w:lang w:val="es-ES_tradnl"/>
        </w:rPr>
        <w:t>5-20</w:t>
      </w:r>
      <w:r w:rsidR="00B9477E">
        <w:rPr>
          <w:rFonts w:ascii="Arial" w:hAnsi="Arial" w:cs="Arial"/>
          <w:sz w:val="22"/>
          <w:szCs w:val="22"/>
          <w:lang w:val="es-ES_tradnl"/>
        </w:rPr>
        <w:t>18 a través de los Acuerdos de C</w:t>
      </w:r>
      <w:r w:rsidR="001A7B11">
        <w:rPr>
          <w:rFonts w:ascii="Arial" w:hAnsi="Arial" w:cs="Arial"/>
          <w:sz w:val="22"/>
          <w:szCs w:val="22"/>
          <w:lang w:val="es-ES_tradnl"/>
        </w:rPr>
        <w:t>ooperación del Programa “Bienes Públicos y Retos Mundiales” (GPGC) con ONU Medio Ambiente;</w:t>
      </w:r>
    </w:p>
    <w:p w14:paraId="311FFE97" w14:textId="1B0CB51A" w:rsidR="006046C7" w:rsidRDefault="00E93497" w:rsidP="004F669C">
      <w:pPr>
        <w:pStyle w:val="NormalWeb"/>
        <w:numPr>
          <w:ilvl w:val="0"/>
          <w:numId w:val="20"/>
        </w:numPr>
        <w:spacing w:before="120" w:beforeAutospacing="0" w:after="0" w:afterAutospacing="0"/>
        <w:jc w:val="both"/>
        <w:rPr>
          <w:rFonts w:ascii="Arial" w:hAnsi="Arial" w:cs="Arial"/>
          <w:sz w:val="22"/>
          <w:szCs w:val="22"/>
          <w:lang w:val="es-ES_tradnl"/>
        </w:rPr>
      </w:pPr>
      <w:r w:rsidRPr="00E93497">
        <w:rPr>
          <w:rFonts w:ascii="Arial" w:hAnsi="Arial" w:cs="Arial"/>
          <w:sz w:val="22"/>
          <w:szCs w:val="22"/>
          <w:lang w:val="es-ES_tradnl"/>
        </w:rPr>
        <w:t xml:space="preserve">La Comisión Europea fue reconocida como </w:t>
      </w:r>
      <w:r w:rsidRPr="00E93497">
        <w:rPr>
          <w:rFonts w:ascii="Arial" w:hAnsi="Arial" w:cs="Arial"/>
          <w:i/>
          <w:sz w:val="22"/>
          <w:szCs w:val="22"/>
          <w:lang w:val="es-ES_tradnl"/>
        </w:rPr>
        <w:t>Campeón Plus</w:t>
      </w:r>
      <w:r w:rsidRPr="00E93497">
        <w:rPr>
          <w:rFonts w:ascii="Arial" w:hAnsi="Arial" w:cs="Arial"/>
          <w:sz w:val="22"/>
          <w:szCs w:val="22"/>
          <w:lang w:val="es-ES_tradnl"/>
        </w:rPr>
        <w:t xml:space="preserve"> por su apoyo a la creación de capacidades para la conservación de las especies migratorias en 2015-2018.</w:t>
      </w:r>
    </w:p>
    <w:p w14:paraId="518C67EF" w14:textId="77777777" w:rsidR="004F669C" w:rsidRPr="004F669C" w:rsidRDefault="004F669C" w:rsidP="00072DA3">
      <w:pPr>
        <w:pStyle w:val="NormalWeb"/>
        <w:spacing w:before="0" w:beforeAutospacing="0" w:after="0" w:afterAutospacing="0"/>
        <w:ind w:left="357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8991B24" w14:textId="115F1E67" w:rsidR="001226EA" w:rsidRPr="001226EA" w:rsidRDefault="001226EA" w:rsidP="00E07841">
      <w:pPr>
        <w:pStyle w:val="ListParagraph"/>
        <w:numPr>
          <w:ilvl w:val="0"/>
          <w:numId w:val="10"/>
        </w:numPr>
        <w:autoSpaceDE/>
        <w:adjustRightInd/>
        <w:ind w:left="360" w:hanging="360"/>
        <w:jc w:val="both"/>
        <w:rPr>
          <w:rFonts w:cs="Arial"/>
          <w:sz w:val="22"/>
          <w:szCs w:val="22"/>
          <w:lang w:val="es-ES_tradnl"/>
        </w:rPr>
      </w:pPr>
      <w:r w:rsidRPr="001226EA">
        <w:rPr>
          <w:rFonts w:cs="Arial"/>
          <w:sz w:val="22"/>
          <w:szCs w:val="22"/>
          <w:lang w:val="es-ES_tradnl"/>
        </w:rPr>
        <w:t>Cinco nuevos Campeones serán nominados en la COP12, los cuales serán:</w:t>
      </w:r>
    </w:p>
    <w:p w14:paraId="091E06F3" w14:textId="1C884F7C" w:rsidR="001226EA" w:rsidRPr="001226EA" w:rsidRDefault="001226EA" w:rsidP="006046C7">
      <w:pPr>
        <w:pStyle w:val="NormalWeb"/>
        <w:numPr>
          <w:ilvl w:val="0"/>
          <w:numId w:val="20"/>
        </w:numPr>
        <w:spacing w:before="120" w:beforeAutospacing="0" w:after="0" w:afterAutospacing="0"/>
        <w:jc w:val="both"/>
        <w:rPr>
          <w:rFonts w:ascii="Arial" w:eastAsia="Calibri" w:hAnsi="Arial" w:cs="Arial"/>
          <w:kern w:val="24"/>
          <w:sz w:val="22"/>
          <w:szCs w:val="22"/>
          <w:lang w:val="es-ES_tradnl"/>
        </w:rPr>
      </w:pPr>
      <w:r w:rsidRPr="001226EA">
        <w:rPr>
          <w:rFonts w:ascii="Arial" w:eastAsia="Calibri" w:hAnsi="Arial" w:cs="Arial"/>
          <w:kern w:val="24"/>
          <w:sz w:val="22"/>
          <w:szCs w:val="22"/>
          <w:lang w:val="es-ES_tradnl"/>
        </w:rPr>
        <w:t xml:space="preserve">El Gobierno del Principado de Mónaco será reconocido como </w:t>
      </w:r>
      <w:r w:rsidRPr="00F06639">
        <w:rPr>
          <w:rFonts w:ascii="Arial" w:eastAsia="Calibri" w:hAnsi="Arial" w:cs="Arial"/>
          <w:i/>
          <w:kern w:val="24"/>
          <w:sz w:val="22"/>
          <w:szCs w:val="22"/>
          <w:lang w:val="es-ES_tradnl"/>
        </w:rPr>
        <w:t>Campeón Plus</w:t>
      </w:r>
      <w:r w:rsidRPr="001226EA">
        <w:rPr>
          <w:rFonts w:ascii="Arial" w:eastAsia="Calibri" w:hAnsi="Arial" w:cs="Arial"/>
          <w:kern w:val="24"/>
          <w:sz w:val="22"/>
          <w:szCs w:val="22"/>
          <w:lang w:val="es-ES_tradnl"/>
        </w:rPr>
        <w:t xml:space="preserve"> por apoyar la conservación de las especies marinas en 2018-2020;</w:t>
      </w:r>
    </w:p>
    <w:p w14:paraId="47784AAE" w14:textId="6270BA08" w:rsidR="00E546BB" w:rsidRPr="00E546BB" w:rsidRDefault="00E546BB" w:rsidP="006046C7">
      <w:pPr>
        <w:pStyle w:val="NormalWeb"/>
        <w:numPr>
          <w:ilvl w:val="0"/>
          <w:numId w:val="20"/>
        </w:numPr>
        <w:spacing w:before="120" w:beforeAutospacing="0" w:after="0" w:afterAutospacing="0"/>
        <w:jc w:val="both"/>
        <w:rPr>
          <w:rFonts w:ascii="Arial" w:eastAsia="Calibri" w:hAnsi="Arial" w:cs="Arial"/>
          <w:kern w:val="24"/>
          <w:sz w:val="22"/>
          <w:szCs w:val="22"/>
          <w:lang w:val="es-ES_tradnl"/>
        </w:rPr>
      </w:pPr>
      <w:r w:rsidRPr="00E546BB">
        <w:rPr>
          <w:rFonts w:ascii="Arial" w:eastAsia="Calibri" w:hAnsi="Arial" w:cs="Arial"/>
          <w:kern w:val="24"/>
          <w:sz w:val="22"/>
          <w:szCs w:val="22"/>
          <w:lang w:val="es-ES_tradnl"/>
        </w:rPr>
        <w:t xml:space="preserve">El Gobierno de Italia será reconocido como </w:t>
      </w:r>
      <w:r w:rsidRPr="001162F5">
        <w:rPr>
          <w:rFonts w:ascii="Arial" w:eastAsia="Calibri" w:hAnsi="Arial" w:cs="Arial"/>
          <w:i/>
          <w:kern w:val="24"/>
          <w:sz w:val="22"/>
          <w:szCs w:val="22"/>
          <w:lang w:val="es-ES_tradnl"/>
        </w:rPr>
        <w:t>Campeón Plus</w:t>
      </w:r>
      <w:r w:rsidRPr="00E546BB">
        <w:rPr>
          <w:rFonts w:ascii="Arial" w:eastAsia="Calibri" w:hAnsi="Arial" w:cs="Arial"/>
          <w:kern w:val="24"/>
          <w:sz w:val="22"/>
          <w:szCs w:val="22"/>
          <w:lang w:val="es-ES_tradnl"/>
        </w:rPr>
        <w:t xml:space="preserve"> por apoyar el desarrollo de un Atlas Mundial de Migración Animal en 2017-2020;</w:t>
      </w:r>
    </w:p>
    <w:p w14:paraId="419CFDA5" w14:textId="5A6C2B09" w:rsidR="00ED244C" w:rsidRPr="00ED244C" w:rsidRDefault="00ED244C" w:rsidP="006046C7">
      <w:pPr>
        <w:pStyle w:val="NormalWeb"/>
        <w:numPr>
          <w:ilvl w:val="0"/>
          <w:numId w:val="20"/>
        </w:numPr>
        <w:spacing w:before="120" w:beforeAutospacing="0" w:after="0" w:afterAutospacing="0"/>
        <w:jc w:val="both"/>
        <w:rPr>
          <w:rFonts w:ascii="Arial" w:eastAsia="Calibri" w:hAnsi="Arial" w:cs="Arial"/>
          <w:kern w:val="24"/>
          <w:sz w:val="22"/>
          <w:szCs w:val="22"/>
          <w:lang w:val="es-ES_tradnl"/>
        </w:rPr>
      </w:pPr>
      <w:r w:rsidRPr="00ED244C">
        <w:rPr>
          <w:rFonts w:ascii="Arial" w:eastAsia="Calibri" w:hAnsi="Arial" w:cs="Arial"/>
          <w:kern w:val="24"/>
          <w:sz w:val="22"/>
          <w:szCs w:val="22"/>
          <w:lang w:val="es-ES_tradnl"/>
        </w:rPr>
        <w:t xml:space="preserve">El Gobierno de Alemania, a través del BMUB será reconocido como </w:t>
      </w:r>
      <w:r w:rsidRPr="001162F5">
        <w:rPr>
          <w:rFonts w:ascii="Arial" w:eastAsia="Calibri" w:hAnsi="Arial" w:cs="Arial"/>
          <w:i/>
          <w:kern w:val="24"/>
          <w:sz w:val="22"/>
          <w:szCs w:val="22"/>
          <w:lang w:val="es-ES_tradnl"/>
        </w:rPr>
        <w:t>Campeón Plus</w:t>
      </w:r>
      <w:r w:rsidR="001162F5">
        <w:rPr>
          <w:rFonts w:ascii="Arial" w:eastAsia="Calibri" w:hAnsi="Arial" w:cs="Arial"/>
          <w:kern w:val="24"/>
          <w:sz w:val="22"/>
          <w:szCs w:val="22"/>
          <w:lang w:val="es-ES_tradnl"/>
        </w:rPr>
        <w:t xml:space="preserve"> por su apoyo a la </w:t>
      </w:r>
      <w:r w:rsidR="0079011C">
        <w:rPr>
          <w:rFonts w:ascii="Arial" w:eastAsia="Calibri" w:hAnsi="Arial" w:cs="Arial"/>
          <w:kern w:val="24"/>
          <w:sz w:val="22"/>
          <w:szCs w:val="22"/>
          <w:lang w:val="es-ES_tradnl"/>
        </w:rPr>
        <w:t>conciliació</w:t>
      </w:r>
      <w:r w:rsidRPr="00ED244C">
        <w:rPr>
          <w:rFonts w:ascii="Arial" w:eastAsia="Calibri" w:hAnsi="Arial" w:cs="Arial"/>
          <w:kern w:val="24"/>
          <w:sz w:val="22"/>
          <w:szCs w:val="22"/>
          <w:lang w:val="es-ES_tradnl"/>
        </w:rPr>
        <w:t>n del desarrollo del sector energético con la conservación de las especies migr</w:t>
      </w:r>
      <w:r w:rsidR="0079011C">
        <w:rPr>
          <w:rFonts w:ascii="Arial" w:eastAsia="Calibri" w:hAnsi="Arial" w:cs="Arial"/>
          <w:kern w:val="24"/>
          <w:sz w:val="22"/>
          <w:szCs w:val="22"/>
          <w:lang w:val="es-ES_tradnl"/>
        </w:rPr>
        <w:t>at</w:t>
      </w:r>
      <w:r w:rsidRPr="00ED244C">
        <w:rPr>
          <w:rFonts w:ascii="Arial" w:eastAsia="Calibri" w:hAnsi="Arial" w:cs="Arial"/>
          <w:kern w:val="24"/>
          <w:sz w:val="22"/>
          <w:szCs w:val="22"/>
          <w:lang w:val="es-ES_tradnl"/>
        </w:rPr>
        <w:t>orias en 2018-2020;</w:t>
      </w:r>
    </w:p>
    <w:p w14:paraId="70B0603A" w14:textId="5AB567C4" w:rsidR="00D2766C" w:rsidRPr="00D2766C" w:rsidRDefault="00D2766C" w:rsidP="00366871">
      <w:pPr>
        <w:pStyle w:val="NormalWeb"/>
        <w:numPr>
          <w:ilvl w:val="0"/>
          <w:numId w:val="20"/>
        </w:numPr>
        <w:spacing w:before="120" w:beforeAutospacing="0" w:after="0" w:afterAutospacing="0"/>
        <w:jc w:val="both"/>
        <w:rPr>
          <w:rFonts w:ascii="Arial" w:hAnsi="Arial" w:cs="Arial"/>
          <w:sz w:val="22"/>
          <w:szCs w:val="22"/>
          <w:lang w:val="es-ES_tradnl"/>
        </w:rPr>
      </w:pPr>
      <w:r w:rsidRPr="00D2766C">
        <w:rPr>
          <w:rFonts w:ascii="Arial" w:hAnsi="Arial" w:cs="Arial"/>
          <w:sz w:val="22"/>
          <w:szCs w:val="22"/>
          <w:lang w:val="es-ES_tradnl"/>
        </w:rPr>
        <w:t xml:space="preserve">La Comisión Europea será reconocida como </w:t>
      </w:r>
      <w:r w:rsidRPr="00814E37">
        <w:rPr>
          <w:rFonts w:ascii="Arial" w:hAnsi="Arial" w:cs="Arial"/>
          <w:i/>
          <w:sz w:val="22"/>
          <w:szCs w:val="22"/>
          <w:lang w:val="es-ES_tradnl"/>
        </w:rPr>
        <w:t>Campeón Plus</w:t>
      </w:r>
      <w:r w:rsidRPr="00D2766C">
        <w:rPr>
          <w:rFonts w:ascii="Arial" w:hAnsi="Arial" w:cs="Arial"/>
          <w:sz w:val="22"/>
          <w:szCs w:val="22"/>
          <w:lang w:val="es-ES_tradnl"/>
        </w:rPr>
        <w:t xml:space="preserve"> por su apoyo en la lucha contra la matanza, captura y comercio ilegal de aves migratorias en el Mediterráneo en 2018-2020;</w:t>
      </w:r>
    </w:p>
    <w:p w14:paraId="3EF9A7CC" w14:textId="48C36767" w:rsidR="00A720F3" w:rsidRPr="00A720F3" w:rsidRDefault="00A720F3" w:rsidP="00FC086F">
      <w:pPr>
        <w:pStyle w:val="NormalWeb"/>
        <w:numPr>
          <w:ilvl w:val="0"/>
          <w:numId w:val="20"/>
        </w:numPr>
        <w:spacing w:before="120" w:beforeAutospacing="0" w:after="0" w:afterAutospacing="0"/>
        <w:jc w:val="both"/>
        <w:rPr>
          <w:rFonts w:ascii="Arial" w:hAnsi="Arial" w:cs="Arial"/>
          <w:sz w:val="22"/>
          <w:szCs w:val="22"/>
          <w:lang w:val="es-ES_tradnl"/>
        </w:rPr>
      </w:pPr>
      <w:r w:rsidRPr="00A720F3">
        <w:rPr>
          <w:rFonts w:ascii="Arial" w:hAnsi="Arial" w:cs="Arial"/>
          <w:sz w:val="22"/>
          <w:szCs w:val="22"/>
          <w:lang w:val="es-ES_tradnl"/>
        </w:rPr>
        <w:t>La Agencia de Medio Ambiente de Abu Dabi en nombre del Gobierno de los Emiratos Árabes Unidos</w:t>
      </w:r>
      <w:r>
        <w:rPr>
          <w:rFonts w:ascii="Arial" w:hAnsi="Arial" w:cs="Arial"/>
          <w:sz w:val="22"/>
          <w:szCs w:val="22"/>
          <w:lang w:val="es-ES_tradnl"/>
        </w:rPr>
        <w:t xml:space="preserve"> será reconocida como </w:t>
      </w:r>
      <w:r w:rsidRPr="00A478D7">
        <w:rPr>
          <w:rFonts w:ascii="Arial" w:hAnsi="Arial" w:cs="Arial"/>
          <w:i/>
          <w:sz w:val="22"/>
          <w:szCs w:val="22"/>
          <w:lang w:val="es-ES_tradnl"/>
        </w:rPr>
        <w:t>Campeón Plus</w:t>
      </w:r>
      <w:r>
        <w:rPr>
          <w:rFonts w:ascii="Arial" w:hAnsi="Arial" w:cs="Arial"/>
          <w:sz w:val="22"/>
          <w:szCs w:val="22"/>
          <w:lang w:val="es-ES_tradnl"/>
        </w:rPr>
        <w:t xml:space="preserve"> por apoyar la conservación de </w:t>
      </w:r>
      <w:r w:rsidR="001F43AD">
        <w:rPr>
          <w:rFonts w:ascii="Arial" w:hAnsi="Arial" w:cs="Arial"/>
          <w:sz w:val="22"/>
          <w:szCs w:val="22"/>
          <w:lang w:val="es-ES_tradnl"/>
        </w:rPr>
        <w:t>los dugongos y las aves rapaces en 2015-2019.</w:t>
      </w:r>
    </w:p>
    <w:p w14:paraId="316E9A8B" w14:textId="77777777" w:rsidR="001E153D" w:rsidRDefault="001E153D" w:rsidP="001E153D">
      <w:pPr>
        <w:pStyle w:val="NormalWeb"/>
        <w:spacing w:before="120" w:beforeAutospacing="0" w:after="0" w:afterAutospacing="0"/>
        <w:ind w:left="720"/>
        <w:jc w:val="both"/>
        <w:rPr>
          <w:rFonts w:ascii="Arial" w:eastAsia="Calibri" w:hAnsi="Arial" w:cs="Arial"/>
          <w:kern w:val="24"/>
          <w:sz w:val="22"/>
          <w:szCs w:val="22"/>
          <w:highlight w:val="green"/>
          <w:lang w:val="es-ES_tradnl"/>
        </w:rPr>
      </w:pPr>
    </w:p>
    <w:p w14:paraId="73382436" w14:textId="4767CCE4" w:rsidR="00CE3C06" w:rsidRPr="00CE3C06" w:rsidRDefault="008B6C91" w:rsidP="002535FA">
      <w:pPr>
        <w:pStyle w:val="ListParagraph"/>
        <w:ind w:left="0"/>
        <w:jc w:val="both"/>
        <w:rPr>
          <w:rFonts w:cs="Arial"/>
          <w:b/>
          <w:sz w:val="20"/>
          <w:szCs w:val="20"/>
          <w:lang w:val="es-ES_tradnl"/>
        </w:rPr>
      </w:pPr>
      <w:r>
        <w:rPr>
          <w:rFonts w:cs="Arial"/>
          <w:b/>
          <w:sz w:val="20"/>
          <w:szCs w:val="20"/>
          <w:lang w:val="es-ES_tradnl"/>
        </w:rPr>
        <w:t>Aumento</w:t>
      </w:r>
      <w:r w:rsidR="00CE3C06" w:rsidRPr="00CE3C06">
        <w:rPr>
          <w:rFonts w:cs="Arial"/>
          <w:b/>
          <w:sz w:val="20"/>
          <w:szCs w:val="20"/>
          <w:lang w:val="es-ES_tradnl"/>
        </w:rPr>
        <w:t xml:space="preserve"> de la colaboración con el Fondo para el Medio Ambiente Mundial (FMAM)</w:t>
      </w:r>
    </w:p>
    <w:p w14:paraId="1E0BAF04" w14:textId="16A76D06" w:rsidR="004B7F3D" w:rsidRPr="00ED244C" w:rsidRDefault="004B7F3D" w:rsidP="004B7F3D">
      <w:pPr>
        <w:pStyle w:val="ListParagraph"/>
        <w:ind w:left="0"/>
        <w:jc w:val="both"/>
        <w:rPr>
          <w:rFonts w:cs="Arial"/>
          <w:sz w:val="22"/>
          <w:szCs w:val="22"/>
          <w:highlight w:val="green"/>
          <w:lang w:val="es-ES_tradnl"/>
        </w:rPr>
      </w:pPr>
    </w:p>
    <w:p w14:paraId="2F468FB7" w14:textId="1774B4CD" w:rsidR="00901D5A" w:rsidRPr="00901D5A" w:rsidRDefault="00901D5A" w:rsidP="00E07841">
      <w:pPr>
        <w:pStyle w:val="ListParagraph"/>
        <w:numPr>
          <w:ilvl w:val="0"/>
          <w:numId w:val="10"/>
        </w:numPr>
        <w:autoSpaceDE/>
        <w:adjustRightInd/>
        <w:ind w:left="360" w:hanging="360"/>
        <w:jc w:val="both"/>
        <w:rPr>
          <w:rFonts w:cs="Arial"/>
          <w:sz w:val="22"/>
          <w:szCs w:val="22"/>
          <w:lang w:val="es-ES_tradnl"/>
        </w:rPr>
      </w:pPr>
      <w:r w:rsidRPr="00901D5A">
        <w:rPr>
          <w:rFonts w:cs="Arial"/>
          <w:sz w:val="22"/>
          <w:szCs w:val="22"/>
          <w:lang w:val="es-ES_tradnl"/>
        </w:rPr>
        <w:t xml:space="preserve">En cumplimiento de la Resolución 11.10 de la CMS, la Secretaría </w:t>
      </w:r>
      <w:r w:rsidR="00E14A28">
        <w:rPr>
          <w:rFonts w:cs="Arial"/>
          <w:sz w:val="22"/>
          <w:szCs w:val="22"/>
          <w:lang w:val="es-ES_tradnl"/>
        </w:rPr>
        <w:t>promovió la financiación</w:t>
      </w:r>
      <w:r w:rsidR="005E7601">
        <w:rPr>
          <w:rFonts w:cs="Arial"/>
          <w:sz w:val="22"/>
          <w:szCs w:val="22"/>
          <w:lang w:val="es-ES_tradnl"/>
        </w:rPr>
        <w:t xml:space="preserve"> </w:t>
      </w:r>
      <w:r w:rsidR="00E14A28">
        <w:rPr>
          <w:rFonts w:cs="Arial"/>
          <w:sz w:val="22"/>
          <w:szCs w:val="22"/>
          <w:lang w:val="es-ES_tradnl"/>
        </w:rPr>
        <w:t xml:space="preserve">de </w:t>
      </w:r>
      <w:r w:rsidR="005E7601" w:rsidRPr="005E7601">
        <w:rPr>
          <w:rFonts w:cs="Arial"/>
          <w:sz w:val="22"/>
          <w:szCs w:val="22"/>
          <w:lang w:val="es-ES_tradnl"/>
        </w:rPr>
        <w:t xml:space="preserve">las prioridades nacionales para la CMS a través del FMAM. </w:t>
      </w:r>
      <w:r w:rsidR="00E14A28">
        <w:rPr>
          <w:rFonts w:cs="Arial"/>
          <w:sz w:val="22"/>
          <w:szCs w:val="22"/>
          <w:lang w:val="es-ES_tradnl"/>
        </w:rPr>
        <w:t>Se puede encontrar m</w:t>
      </w:r>
      <w:r w:rsidR="005E7601" w:rsidRPr="005E7601">
        <w:rPr>
          <w:rFonts w:cs="Arial"/>
          <w:sz w:val="22"/>
          <w:szCs w:val="22"/>
          <w:lang w:val="es-ES_tradnl"/>
        </w:rPr>
        <w:t>ás información detallada en el documento UNEP/CMS/COP12/Doc.23.1.</w:t>
      </w:r>
    </w:p>
    <w:p w14:paraId="183AE36C" w14:textId="77E87D93" w:rsidR="004B7F3D" w:rsidRPr="00ED244C" w:rsidRDefault="004B7F3D" w:rsidP="00E07841">
      <w:pPr>
        <w:pStyle w:val="ListParagraph"/>
        <w:ind w:left="360" w:hanging="360"/>
        <w:rPr>
          <w:rFonts w:cs="Arial"/>
          <w:sz w:val="22"/>
          <w:szCs w:val="22"/>
          <w:highlight w:val="green"/>
          <w:lang w:val="es-ES_tradnl"/>
        </w:rPr>
      </w:pPr>
    </w:p>
    <w:p w14:paraId="2AA6DFFA" w14:textId="096E54AB" w:rsidR="00635517" w:rsidRPr="00635517" w:rsidRDefault="00635517" w:rsidP="00E07841">
      <w:pPr>
        <w:pStyle w:val="ListParagraph"/>
        <w:ind w:left="360" w:hanging="360"/>
        <w:jc w:val="both"/>
        <w:rPr>
          <w:rFonts w:cs="Arial"/>
          <w:b/>
          <w:sz w:val="20"/>
          <w:szCs w:val="20"/>
          <w:lang w:val="es-ES_tradnl"/>
        </w:rPr>
      </w:pPr>
      <w:r>
        <w:rPr>
          <w:rFonts w:cs="Arial"/>
          <w:b/>
          <w:sz w:val="20"/>
          <w:szCs w:val="20"/>
          <w:lang w:val="es-ES_tradnl"/>
        </w:rPr>
        <w:t>Apoyo a los trabajos</w:t>
      </w:r>
      <w:r w:rsidRPr="00635517">
        <w:rPr>
          <w:rFonts w:cs="Arial"/>
          <w:b/>
          <w:sz w:val="20"/>
          <w:szCs w:val="20"/>
          <w:lang w:val="es-ES_tradnl"/>
        </w:rPr>
        <w:t xml:space="preserve"> de conservación</w:t>
      </w:r>
    </w:p>
    <w:p w14:paraId="382C1EF2" w14:textId="77777777" w:rsidR="00E51B3C" w:rsidRPr="00ED244C" w:rsidRDefault="00E51B3C" w:rsidP="00E07841">
      <w:pPr>
        <w:pStyle w:val="ListParagraph"/>
        <w:ind w:left="360" w:hanging="360"/>
        <w:rPr>
          <w:highlight w:val="green"/>
          <w:lang w:val="es-ES_tradnl"/>
        </w:rPr>
      </w:pPr>
    </w:p>
    <w:p w14:paraId="5799ADEB" w14:textId="5DAE7272" w:rsidR="00635517" w:rsidRPr="00635517" w:rsidRDefault="00635517" w:rsidP="00E07841">
      <w:pPr>
        <w:pStyle w:val="ListParagraph"/>
        <w:numPr>
          <w:ilvl w:val="0"/>
          <w:numId w:val="10"/>
        </w:numPr>
        <w:autoSpaceDE/>
        <w:adjustRightInd/>
        <w:ind w:left="360" w:hanging="360"/>
        <w:jc w:val="both"/>
        <w:rPr>
          <w:rFonts w:cs="Arial"/>
          <w:sz w:val="22"/>
          <w:szCs w:val="22"/>
          <w:lang w:val="es-ES_tradnl"/>
        </w:rPr>
      </w:pPr>
      <w:r w:rsidRPr="00635517">
        <w:rPr>
          <w:rFonts w:cs="Arial"/>
          <w:sz w:val="22"/>
          <w:szCs w:val="22"/>
          <w:lang w:val="es-ES_tradnl"/>
        </w:rPr>
        <w:t xml:space="preserve">Se publicaros artículos y notificaciones en la </w:t>
      </w:r>
      <w:r>
        <w:rPr>
          <w:rFonts w:cs="Arial"/>
          <w:sz w:val="22"/>
          <w:szCs w:val="22"/>
          <w:lang w:val="es-ES_tradnl"/>
        </w:rPr>
        <w:t>página web sobre oportunidades de financiación para a</w:t>
      </w:r>
      <w:r w:rsidR="00FF3451">
        <w:rPr>
          <w:rFonts w:cs="Arial"/>
          <w:sz w:val="22"/>
          <w:szCs w:val="22"/>
          <w:lang w:val="es-ES_tradnl"/>
        </w:rPr>
        <w:t>ctividades de conservación, con el fin de</w:t>
      </w:r>
      <w:r>
        <w:rPr>
          <w:rFonts w:cs="Arial"/>
          <w:sz w:val="22"/>
          <w:szCs w:val="22"/>
          <w:lang w:val="es-ES_tradnl"/>
        </w:rPr>
        <w:t xml:space="preserve"> alentar a las partes interesadas a presentar proyectos que contribuyan a la implementación de la Convención y sus instrumentos. La Secretaría </w:t>
      </w:r>
      <w:r w:rsidR="00FF3451">
        <w:rPr>
          <w:rFonts w:cs="Arial"/>
          <w:sz w:val="22"/>
          <w:szCs w:val="22"/>
          <w:lang w:val="es-ES_tradnl"/>
        </w:rPr>
        <w:t>respaldó</w:t>
      </w:r>
      <w:r>
        <w:rPr>
          <w:rFonts w:cs="Arial"/>
          <w:sz w:val="22"/>
          <w:szCs w:val="22"/>
          <w:lang w:val="es-ES_tradnl"/>
        </w:rPr>
        <w:t xml:space="preserve"> varias propuestas de los socios de la CMS con cartas de </w:t>
      </w:r>
      <w:r w:rsidR="00FF3451">
        <w:rPr>
          <w:rFonts w:cs="Arial"/>
          <w:sz w:val="22"/>
          <w:szCs w:val="22"/>
          <w:lang w:val="es-ES_tradnl"/>
        </w:rPr>
        <w:t>apoyo</w:t>
      </w:r>
      <w:r>
        <w:rPr>
          <w:rFonts w:cs="Arial"/>
          <w:sz w:val="22"/>
          <w:szCs w:val="22"/>
          <w:lang w:val="es-ES_tradnl"/>
        </w:rPr>
        <w:t>.</w:t>
      </w:r>
    </w:p>
    <w:p w14:paraId="60417973" w14:textId="77777777" w:rsidR="00F12E7B" w:rsidRPr="00ED244C" w:rsidRDefault="00F12E7B" w:rsidP="004B7F3D">
      <w:pPr>
        <w:pStyle w:val="ListParagraph"/>
        <w:ind w:left="0"/>
        <w:rPr>
          <w:rFonts w:cs="Arial"/>
          <w:sz w:val="22"/>
          <w:szCs w:val="22"/>
          <w:highlight w:val="green"/>
          <w:lang w:val="es-ES_tradnl"/>
        </w:rPr>
      </w:pPr>
    </w:p>
    <w:p w14:paraId="08A839E7" w14:textId="3B1BAB01" w:rsidR="007D3114" w:rsidRPr="007D3114" w:rsidRDefault="000B0D3D" w:rsidP="002535FA">
      <w:pPr>
        <w:rPr>
          <w:rFonts w:cs="Arial"/>
          <w:sz w:val="22"/>
          <w:szCs w:val="22"/>
          <w:u w:val="single"/>
          <w:lang w:val="es-ES_tradnl"/>
        </w:rPr>
      </w:pPr>
      <w:r>
        <w:rPr>
          <w:rFonts w:cs="Arial"/>
          <w:sz w:val="22"/>
          <w:szCs w:val="22"/>
          <w:u w:val="single"/>
          <w:lang w:val="es-ES_tradnl"/>
        </w:rPr>
        <w:t>Últimos avances</w:t>
      </w:r>
    </w:p>
    <w:p w14:paraId="1A2536E1" w14:textId="77777777" w:rsidR="004B7F3D" w:rsidRPr="00684B2D" w:rsidRDefault="004B7F3D" w:rsidP="004B7F3D">
      <w:pPr>
        <w:pStyle w:val="ListParagraph"/>
        <w:ind w:left="0"/>
        <w:rPr>
          <w:rFonts w:cs="Arial"/>
          <w:sz w:val="22"/>
          <w:szCs w:val="22"/>
          <w:lang w:val="es-ES_tradnl"/>
        </w:rPr>
      </w:pPr>
    </w:p>
    <w:p w14:paraId="4FFFAE48" w14:textId="7A0A65AE" w:rsidR="00684B2D" w:rsidRPr="00275A4E" w:rsidRDefault="00684B2D" w:rsidP="00E07841">
      <w:pPr>
        <w:pStyle w:val="ListParagraph"/>
        <w:numPr>
          <w:ilvl w:val="0"/>
          <w:numId w:val="10"/>
        </w:numPr>
        <w:autoSpaceDE/>
        <w:adjustRightInd/>
        <w:ind w:left="360" w:hanging="360"/>
        <w:jc w:val="both"/>
        <w:rPr>
          <w:rFonts w:cs="Arial"/>
          <w:sz w:val="22"/>
          <w:szCs w:val="22"/>
          <w:lang w:val="es-ES_tradnl"/>
        </w:rPr>
      </w:pPr>
      <w:r w:rsidRPr="00684B2D">
        <w:rPr>
          <w:rFonts w:cs="Arial"/>
          <w:sz w:val="22"/>
          <w:szCs w:val="22"/>
          <w:lang w:val="es-ES_tradnl"/>
        </w:rPr>
        <w:t xml:space="preserve">Se espera </w:t>
      </w:r>
      <w:r w:rsidR="001B5272">
        <w:rPr>
          <w:rFonts w:cs="Arial"/>
          <w:sz w:val="22"/>
          <w:szCs w:val="22"/>
          <w:lang w:val="es-ES_tradnl"/>
        </w:rPr>
        <w:t xml:space="preserve">la </w:t>
      </w:r>
      <w:r w:rsidRPr="00684B2D">
        <w:rPr>
          <w:rFonts w:cs="Arial"/>
          <w:sz w:val="22"/>
          <w:szCs w:val="22"/>
          <w:lang w:val="es-ES_tradnl"/>
        </w:rPr>
        <w:t xml:space="preserve">confirmación final de la participación de la CMS en un programa </w:t>
      </w:r>
      <w:r w:rsidR="00506DBD">
        <w:rPr>
          <w:rFonts w:cs="Arial"/>
          <w:sz w:val="22"/>
          <w:szCs w:val="22"/>
          <w:lang w:val="es-ES_tradnl"/>
        </w:rPr>
        <w:t>de</w:t>
      </w:r>
      <w:r w:rsidR="001B5272">
        <w:rPr>
          <w:rFonts w:cs="Arial"/>
          <w:sz w:val="22"/>
          <w:szCs w:val="22"/>
          <w:lang w:val="es-ES_tradnl"/>
        </w:rPr>
        <w:t xml:space="preserve"> la UE sobre</w:t>
      </w:r>
      <w:r w:rsidR="00506DBD">
        <w:rPr>
          <w:rFonts w:cs="Arial"/>
          <w:sz w:val="22"/>
          <w:szCs w:val="22"/>
          <w:lang w:val="es-ES_tradnl"/>
        </w:rPr>
        <w:t xml:space="preserve"> conservación de fauna para las Comunidades Económicas Regionales de África Oriental (EAC), Sur de África (SADC) y el Cuerno de África (IGAD 2014-2020). El proyecto implementa el 11º Programa </w:t>
      </w:r>
      <w:r w:rsidR="00286E63">
        <w:rPr>
          <w:rFonts w:cs="Arial"/>
          <w:sz w:val="22"/>
          <w:szCs w:val="22"/>
          <w:lang w:val="es-ES_tradnl"/>
        </w:rPr>
        <w:t>Indicativo Regional de EDF y orienta</w:t>
      </w:r>
      <w:r w:rsidR="00B52314">
        <w:rPr>
          <w:rFonts w:cs="Arial"/>
          <w:sz w:val="22"/>
          <w:szCs w:val="22"/>
          <w:lang w:val="es-ES_tradnl"/>
        </w:rPr>
        <w:t xml:space="preserve"> las políticas </w:t>
      </w:r>
      <w:r w:rsidR="00286E63">
        <w:rPr>
          <w:rFonts w:cs="Arial"/>
          <w:sz w:val="22"/>
          <w:szCs w:val="22"/>
          <w:lang w:val="es-ES_tradnl"/>
        </w:rPr>
        <w:t xml:space="preserve">relevantes </w:t>
      </w:r>
      <w:r w:rsidR="00B52314">
        <w:rPr>
          <w:rFonts w:cs="Arial"/>
          <w:sz w:val="22"/>
          <w:szCs w:val="22"/>
          <w:lang w:val="es-ES_tradnl"/>
        </w:rPr>
        <w:t>para la región y</w:t>
      </w:r>
      <w:r w:rsidR="00286E63">
        <w:rPr>
          <w:rFonts w:cs="Arial"/>
          <w:sz w:val="22"/>
          <w:szCs w:val="22"/>
          <w:lang w:val="es-ES_tradnl"/>
        </w:rPr>
        <w:t xml:space="preserve"> la Estrategia </w:t>
      </w:r>
      <w:r w:rsidR="00B52314">
        <w:rPr>
          <w:rFonts w:cs="Arial"/>
          <w:sz w:val="22"/>
          <w:szCs w:val="22"/>
          <w:lang w:val="es-ES_tradnl"/>
        </w:rPr>
        <w:t xml:space="preserve">de la UE </w:t>
      </w:r>
      <w:r w:rsidR="00286E63">
        <w:rPr>
          <w:rFonts w:cs="Arial"/>
          <w:sz w:val="22"/>
          <w:szCs w:val="22"/>
          <w:lang w:val="es-ES_tradnl"/>
        </w:rPr>
        <w:t>para la conservación de la fauna en África</w:t>
      </w:r>
      <w:r w:rsidR="00B52314">
        <w:rPr>
          <w:rFonts w:cs="Arial"/>
          <w:sz w:val="22"/>
          <w:szCs w:val="22"/>
          <w:lang w:val="es-ES_tradnl"/>
        </w:rPr>
        <w:t xml:space="preserve"> “Larger than Elephants</w:t>
      </w:r>
      <w:r w:rsidR="00286E63">
        <w:rPr>
          <w:rFonts w:cs="Arial"/>
          <w:sz w:val="22"/>
          <w:szCs w:val="22"/>
          <w:lang w:val="es-ES_tradnl"/>
        </w:rPr>
        <w:t>” y el Plan de</w:t>
      </w:r>
      <w:r w:rsidR="00B52314">
        <w:rPr>
          <w:rFonts w:cs="Arial"/>
          <w:sz w:val="22"/>
          <w:szCs w:val="22"/>
          <w:lang w:val="es-ES_tradnl"/>
        </w:rPr>
        <w:t xml:space="preserve"> Acción de la UE contra el tráfico de la fauna</w:t>
      </w:r>
      <w:r w:rsidR="00286E63">
        <w:rPr>
          <w:rFonts w:cs="Arial"/>
          <w:sz w:val="22"/>
          <w:szCs w:val="22"/>
          <w:lang w:val="es-ES_tradnl"/>
        </w:rPr>
        <w:t xml:space="preserve">. </w:t>
      </w:r>
      <w:r w:rsidR="006D50F0" w:rsidRPr="00275A4E">
        <w:rPr>
          <w:rFonts w:cs="Arial"/>
          <w:sz w:val="22"/>
          <w:szCs w:val="22"/>
          <w:lang w:val="es-ES_tradnl"/>
        </w:rPr>
        <w:t>En asociación con CITES y UNOD</w:t>
      </w:r>
      <w:r w:rsidR="00286E63" w:rsidRPr="00275A4E">
        <w:rPr>
          <w:rFonts w:cs="Arial"/>
          <w:sz w:val="22"/>
          <w:szCs w:val="22"/>
          <w:lang w:val="es-ES_tradnl"/>
        </w:rPr>
        <w:t>C, la CMS será la principal agencia de implementación, responsable de establecer Áreas de Conservación Transfronteriza en las re</w:t>
      </w:r>
      <w:r w:rsidR="00275A4E" w:rsidRPr="00275A4E">
        <w:rPr>
          <w:rFonts w:cs="Arial"/>
          <w:sz w:val="22"/>
          <w:szCs w:val="22"/>
          <w:lang w:val="es-ES_tradnl"/>
        </w:rPr>
        <w:t xml:space="preserve">giones. </w:t>
      </w:r>
      <w:r w:rsidR="00042926" w:rsidRPr="00275A4E">
        <w:rPr>
          <w:rFonts w:cs="Arial"/>
          <w:sz w:val="22"/>
          <w:szCs w:val="22"/>
          <w:lang w:val="es-ES_tradnl"/>
        </w:rPr>
        <w:t>El</w:t>
      </w:r>
      <w:r w:rsidR="00286E63" w:rsidRPr="00275A4E">
        <w:rPr>
          <w:rFonts w:cs="Arial"/>
          <w:sz w:val="22"/>
          <w:szCs w:val="22"/>
          <w:lang w:val="es-ES_tradnl"/>
        </w:rPr>
        <w:t xml:space="preserve"> presupuesto asignado para actividades de la CMS asciende a 2,7 millones de dólares</w:t>
      </w:r>
      <w:r w:rsidR="00275A4E" w:rsidRPr="00275A4E">
        <w:rPr>
          <w:rFonts w:cs="Arial"/>
          <w:sz w:val="22"/>
          <w:szCs w:val="22"/>
          <w:lang w:val="es-ES_tradnl"/>
        </w:rPr>
        <w:t xml:space="preserve"> (US$)</w:t>
      </w:r>
      <w:r w:rsidR="00286E63" w:rsidRPr="00275A4E">
        <w:rPr>
          <w:rFonts w:cs="Arial"/>
          <w:sz w:val="22"/>
          <w:szCs w:val="22"/>
          <w:lang w:val="es-ES_tradnl"/>
        </w:rPr>
        <w:t>.</w:t>
      </w:r>
    </w:p>
    <w:p w14:paraId="4137DFCA" w14:textId="77777777" w:rsidR="000545FA" w:rsidRPr="004677B0" w:rsidRDefault="000545FA" w:rsidP="00E07841">
      <w:pPr>
        <w:pStyle w:val="ListParagraph"/>
        <w:autoSpaceDE/>
        <w:adjustRightInd/>
        <w:ind w:left="360" w:hanging="360"/>
        <w:jc w:val="both"/>
        <w:rPr>
          <w:rFonts w:cs="Arial"/>
          <w:sz w:val="22"/>
          <w:szCs w:val="22"/>
          <w:lang w:val="es-ES_tradnl"/>
        </w:rPr>
      </w:pPr>
    </w:p>
    <w:p w14:paraId="21B2C18D" w14:textId="0912483A" w:rsidR="00EF1646" w:rsidRPr="00BC2429" w:rsidRDefault="009F100E" w:rsidP="00E07841">
      <w:pPr>
        <w:pStyle w:val="ListParagraph"/>
        <w:numPr>
          <w:ilvl w:val="0"/>
          <w:numId w:val="10"/>
        </w:numPr>
        <w:autoSpaceDE/>
        <w:adjustRightInd/>
        <w:ind w:left="360" w:hanging="360"/>
        <w:jc w:val="both"/>
        <w:rPr>
          <w:rFonts w:cs="Arial"/>
          <w:sz w:val="22"/>
          <w:szCs w:val="22"/>
          <w:lang w:val="es-ES_tradnl"/>
        </w:rPr>
      </w:pPr>
      <w:r>
        <w:rPr>
          <w:rFonts w:cs="Arial"/>
          <w:sz w:val="22"/>
          <w:szCs w:val="22"/>
          <w:lang w:val="es-ES_tradnl"/>
        </w:rPr>
        <w:t>Se presentaron d</w:t>
      </w:r>
      <w:r w:rsidRPr="009F100E">
        <w:rPr>
          <w:rFonts w:cs="Arial"/>
          <w:sz w:val="22"/>
          <w:szCs w:val="22"/>
          <w:lang w:val="es-ES_tradnl"/>
        </w:rPr>
        <w:t xml:space="preserve">os </w:t>
      </w:r>
      <w:r>
        <w:rPr>
          <w:rFonts w:cs="Arial"/>
          <w:sz w:val="22"/>
          <w:szCs w:val="22"/>
          <w:lang w:val="es-ES_tradnl"/>
        </w:rPr>
        <w:t xml:space="preserve">grandes propuestas </w:t>
      </w:r>
      <w:r w:rsidR="003857C6">
        <w:rPr>
          <w:rFonts w:cs="Arial"/>
          <w:sz w:val="22"/>
          <w:szCs w:val="22"/>
          <w:lang w:val="es-ES_tradnl"/>
        </w:rPr>
        <w:t xml:space="preserve">de proyectos </w:t>
      </w:r>
      <w:r>
        <w:rPr>
          <w:rFonts w:cs="Arial"/>
          <w:sz w:val="22"/>
          <w:szCs w:val="22"/>
          <w:lang w:val="es-ES_tradnl"/>
        </w:rPr>
        <w:t>a la Iniciativa Internacional para el Clima del BMUB</w:t>
      </w:r>
      <w:r w:rsidR="003857C6" w:rsidRPr="003857C6">
        <w:rPr>
          <w:rFonts w:cs="Arial"/>
          <w:sz w:val="22"/>
          <w:szCs w:val="22"/>
          <w:lang w:val="es-ES_tradnl"/>
        </w:rPr>
        <w:t xml:space="preserve"> </w:t>
      </w:r>
      <w:r w:rsidR="003857C6">
        <w:rPr>
          <w:rFonts w:cs="Arial"/>
          <w:sz w:val="22"/>
          <w:szCs w:val="22"/>
          <w:lang w:val="es-ES_tradnl"/>
        </w:rPr>
        <w:t>para apoyar la conservación de las especies de la CMS</w:t>
      </w:r>
      <w:r w:rsidR="00DC75C3">
        <w:rPr>
          <w:rFonts w:cs="Arial"/>
          <w:sz w:val="22"/>
          <w:szCs w:val="22"/>
          <w:lang w:val="es-ES_tradnl"/>
        </w:rPr>
        <w:t>. En</w:t>
      </w:r>
      <w:r>
        <w:rPr>
          <w:rFonts w:cs="Arial"/>
          <w:sz w:val="22"/>
          <w:szCs w:val="22"/>
          <w:lang w:val="es-ES_tradnl"/>
        </w:rPr>
        <w:t xml:space="preserve"> junio de 201</w:t>
      </w:r>
      <w:r w:rsidR="00F41C6B">
        <w:rPr>
          <w:rFonts w:cs="Arial"/>
          <w:sz w:val="22"/>
          <w:szCs w:val="22"/>
          <w:lang w:val="es-ES_tradnl"/>
        </w:rPr>
        <w:t>6 la Secretaría del MDE sobre Du</w:t>
      </w:r>
      <w:r>
        <w:rPr>
          <w:rFonts w:cs="Arial"/>
          <w:sz w:val="22"/>
          <w:szCs w:val="22"/>
          <w:lang w:val="es-ES_tradnl"/>
        </w:rPr>
        <w:t xml:space="preserve">gongos (Oficina de la CMS en Abu Dabi) presentó </w:t>
      </w:r>
      <w:r w:rsidR="0088391F">
        <w:rPr>
          <w:rFonts w:cs="Arial"/>
          <w:sz w:val="22"/>
          <w:szCs w:val="22"/>
          <w:lang w:val="es-ES_tradnl"/>
        </w:rPr>
        <w:t>una propuesta de 4,8 millones de euros centrada en la promoción de la sostenibilidad, productividad y resili</w:t>
      </w:r>
      <w:r w:rsidR="00DC75C3">
        <w:rPr>
          <w:rFonts w:cs="Arial"/>
          <w:sz w:val="22"/>
          <w:szCs w:val="22"/>
          <w:lang w:val="es-ES_tradnl"/>
        </w:rPr>
        <w:t xml:space="preserve">encia de los ecosistemas de </w:t>
      </w:r>
      <w:r w:rsidR="005D5D99">
        <w:rPr>
          <w:rFonts w:cs="Arial"/>
          <w:sz w:val="22"/>
          <w:szCs w:val="22"/>
          <w:lang w:val="es-ES_tradnl"/>
        </w:rPr>
        <w:t>praderas</w:t>
      </w:r>
      <w:r w:rsidR="0088391F">
        <w:rPr>
          <w:rFonts w:cs="Arial"/>
          <w:sz w:val="22"/>
          <w:szCs w:val="22"/>
          <w:lang w:val="es-ES_tradnl"/>
        </w:rPr>
        <w:t xml:space="preserve"> </w:t>
      </w:r>
      <w:r w:rsidR="005D5D99">
        <w:rPr>
          <w:rFonts w:cs="Arial"/>
          <w:sz w:val="22"/>
          <w:szCs w:val="22"/>
          <w:lang w:val="es-ES_tradnl"/>
        </w:rPr>
        <w:t>submarina</w:t>
      </w:r>
      <w:r w:rsidR="0088391F">
        <w:rPr>
          <w:rFonts w:cs="Arial"/>
          <w:sz w:val="22"/>
          <w:szCs w:val="22"/>
          <w:lang w:val="es-ES_tradnl"/>
        </w:rPr>
        <w:t>s, incluyendo en el contexto del camb</w:t>
      </w:r>
      <w:r w:rsidR="00AC76B4">
        <w:rPr>
          <w:rFonts w:cs="Arial"/>
          <w:sz w:val="22"/>
          <w:szCs w:val="22"/>
          <w:lang w:val="es-ES_tradnl"/>
        </w:rPr>
        <w:t>io climático, que</w:t>
      </w:r>
      <w:r w:rsidR="00046C83">
        <w:rPr>
          <w:rFonts w:cs="Arial"/>
          <w:sz w:val="22"/>
          <w:szCs w:val="22"/>
          <w:lang w:val="es-ES_tradnl"/>
        </w:rPr>
        <w:t xml:space="preserve"> son crítica</w:t>
      </w:r>
      <w:r w:rsidR="00AC76B4">
        <w:rPr>
          <w:rFonts w:cs="Arial"/>
          <w:sz w:val="22"/>
          <w:szCs w:val="22"/>
          <w:lang w:val="es-ES_tradnl"/>
        </w:rPr>
        <w:t xml:space="preserve">s para las poblaciones de especies marinas amenazadas como </w:t>
      </w:r>
      <w:r w:rsidR="00046C83">
        <w:rPr>
          <w:rFonts w:cs="Arial"/>
          <w:sz w:val="22"/>
          <w:szCs w:val="22"/>
          <w:lang w:val="es-ES_tradnl"/>
        </w:rPr>
        <w:t>son los dugongos</w:t>
      </w:r>
      <w:r w:rsidR="00AC76B4">
        <w:rPr>
          <w:rFonts w:cs="Arial"/>
          <w:sz w:val="22"/>
          <w:szCs w:val="22"/>
          <w:lang w:val="es-ES_tradnl"/>
        </w:rPr>
        <w:t xml:space="preserve"> y las tortugas verd</w:t>
      </w:r>
      <w:r w:rsidR="00046C83">
        <w:rPr>
          <w:rFonts w:cs="Arial"/>
          <w:sz w:val="22"/>
          <w:szCs w:val="22"/>
          <w:lang w:val="es-ES_tradnl"/>
        </w:rPr>
        <w:t>es en cinco países (Malasia,</w:t>
      </w:r>
      <w:r w:rsidR="00AC76B4">
        <w:rPr>
          <w:rFonts w:cs="Arial"/>
          <w:sz w:val="22"/>
          <w:szCs w:val="22"/>
          <w:lang w:val="es-ES_tradnl"/>
        </w:rPr>
        <w:t xml:space="preserve"> Islas Salomón, Tailandia, Timor Este y Vanuatu).</w:t>
      </w:r>
      <w:r w:rsidR="00BC2429">
        <w:rPr>
          <w:rFonts w:cs="Arial"/>
          <w:sz w:val="22"/>
          <w:szCs w:val="22"/>
          <w:lang w:val="es-ES_tradnl"/>
        </w:rPr>
        <w:t xml:space="preserve"> </w:t>
      </w:r>
      <w:r w:rsidR="00EF1646" w:rsidRPr="00BC2429">
        <w:rPr>
          <w:rFonts w:cs="Arial"/>
          <w:sz w:val="22"/>
          <w:szCs w:val="22"/>
          <w:lang w:val="es-ES_tradnl"/>
        </w:rPr>
        <w:t>La Secretaría de</w:t>
      </w:r>
      <w:r w:rsidR="00D93A55" w:rsidRPr="00BC2429">
        <w:rPr>
          <w:rFonts w:cs="Arial"/>
          <w:sz w:val="22"/>
          <w:szCs w:val="22"/>
          <w:lang w:val="es-ES_tradnl"/>
        </w:rPr>
        <w:t xml:space="preserve"> la CMS contribuyó también a la solicitud de una sub</w:t>
      </w:r>
      <w:r w:rsidR="00FE0914" w:rsidRPr="00BC2429">
        <w:rPr>
          <w:rFonts w:cs="Arial"/>
          <w:sz w:val="22"/>
          <w:szCs w:val="22"/>
          <w:lang w:val="es-ES_tradnl"/>
        </w:rPr>
        <w:t>ven</w:t>
      </w:r>
      <w:r w:rsidR="00D93A55" w:rsidRPr="00BC2429">
        <w:rPr>
          <w:rFonts w:cs="Arial"/>
          <w:sz w:val="22"/>
          <w:szCs w:val="22"/>
          <w:lang w:val="es-ES_tradnl"/>
        </w:rPr>
        <w:t xml:space="preserve">ción </w:t>
      </w:r>
      <w:r w:rsidR="006B3D18" w:rsidRPr="00BC2429">
        <w:rPr>
          <w:rFonts w:cs="Arial"/>
          <w:sz w:val="22"/>
          <w:szCs w:val="22"/>
          <w:lang w:val="es-ES_tradnl"/>
        </w:rPr>
        <w:t xml:space="preserve">presentada por la Oficina de las Naciones para el Medio Ambiente en Viena con el fin de </w:t>
      </w:r>
      <w:r w:rsidR="00B53B83" w:rsidRPr="00BC2429">
        <w:rPr>
          <w:rFonts w:cs="Arial"/>
          <w:sz w:val="22"/>
          <w:szCs w:val="22"/>
          <w:lang w:val="es-ES_tradnl"/>
        </w:rPr>
        <w:t>mejorar</w:t>
      </w:r>
      <w:r w:rsidR="006B3D18" w:rsidRPr="00BC2429">
        <w:rPr>
          <w:rFonts w:cs="Arial"/>
          <w:sz w:val="22"/>
          <w:szCs w:val="22"/>
          <w:lang w:val="es-ES_tradnl"/>
        </w:rPr>
        <w:t xml:space="preserve"> la capacidad adaptativa </w:t>
      </w:r>
      <w:r w:rsidR="00B70661" w:rsidRPr="00BC2429">
        <w:rPr>
          <w:rFonts w:cs="Arial"/>
          <w:sz w:val="22"/>
          <w:szCs w:val="22"/>
          <w:lang w:val="es-ES_tradnl"/>
        </w:rPr>
        <w:t xml:space="preserve">al cambio climático </w:t>
      </w:r>
      <w:r w:rsidR="006B3D18" w:rsidRPr="00BC2429">
        <w:rPr>
          <w:rFonts w:cs="Arial"/>
          <w:sz w:val="22"/>
          <w:szCs w:val="22"/>
          <w:lang w:val="es-ES_tradnl"/>
        </w:rPr>
        <w:t>de las especies migr</w:t>
      </w:r>
      <w:r w:rsidR="00FE0914" w:rsidRPr="00BC2429">
        <w:rPr>
          <w:rFonts w:cs="Arial"/>
          <w:sz w:val="22"/>
          <w:szCs w:val="22"/>
          <w:lang w:val="es-ES_tradnl"/>
        </w:rPr>
        <w:t>at</w:t>
      </w:r>
      <w:r w:rsidR="006B3D18" w:rsidRPr="00BC2429">
        <w:rPr>
          <w:rFonts w:cs="Arial"/>
          <w:sz w:val="22"/>
          <w:szCs w:val="22"/>
          <w:lang w:val="es-ES_tradnl"/>
        </w:rPr>
        <w:t>orias emblem</w:t>
      </w:r>
      <w:r w:rsidR="00B53B83" w:rsidRPr="00BC2429">
        <w:rPr>
          <w:rFonts w:cs="Arial"/>
          <w:sz w:val="22"/>
          <w:szCs w:val="22"/>
          <w:lang w:val="es-ES_tradnl"/>
        </w:rPr>
        <w:t>áticas de Asia Central (p.ej. el</w:t>
      </w:r>
      <w:r w:rsidR="006B3D18" w:rsidRPr="00BC2429">
        <w:rPr>
          <w:rFonts w:cs="Arial"/>
          <w:sz w:val="22"/>
          <w:szCs w:val="22"/>
          <w:lang w:val="es-ES_tradnl"/>
        </w:rPr>
        <w:t xml:space="preserve"> argalí</w:t>
      </w:r>
      <w:r w:rsidR="00FE0914" w:rsidRPr="00BC2429">
        <w:rPr>
          <w:rFonts w:cs="Arial"/>
          <w:sz w:val="22"/>
          <w:szCs w:val="22"/>
          <w:lang w:val="es-ES_tradnl"/>
        </w:rPr>
        <w:t>, el leopardo d</w:t>
      </w:r>
      <w:r w:rsidR="006B3D18" w:rsidRPr="00BC2429">
        <w:rPr>
          <w:rFonts w:cs="Arial"/>
          <w:sz w:val="22"/>
          <w:szCs w:val="22"/>
          <w:lang w:val="es-ES_tradnl"/>
        </w:rPr>
        <w:t>e</w:t>
      </w:r>
      <w:r w:rsidR="00FE0914" w:rsidRPr="00BC2429">
        <w:rPr>
          <w:rFonts w:cs="Arial"/>
          <w:sz w:val="22"/>
          <w:szCs w:val="22"/>
          <w:lang w:val="es-ES_tradnl"/>
        </w:rPr>
        <w:t xml:space="preserve"> </w:t>
      </w:r>
      <w:r w:rsidR="006B3D18" w:rsidRPr="00BC2429">
        <w:rPr>
          <w:rFonts w:cs="Arial"/>
          <w:sz w:val="22"/>
          <w:szCs w:val="22"/>
          <w:lang w:val="es-ES_tradnl"/>
        </w:rPr>
        <w:t xml:space="preserve">las nieves, el antílope saiga, la gacela persa) y </w:t>
      </w:r>
      <w:r w:rsidR="00BC2429" w:rsidRPr="00BC2429">
        <w:rPr>
          <w:rFonts w:cs="Arial"/>
          <w:sz w:val="22"/>
          <w:szCs w:val="22"/>
          <w:lang w:val="es-ES_tradnl"/>
        </w:rPr>
        <w:t>sus</w:t>
      </w:r>
      <w:r w:rsidR="006B3D18" w:rsidRPr="00BC2429">
        <w:rPr>
          <w:rFonts w:cs="Arial"/>
          <w:sz w:val="22"/>
          <w:szCs w:val="22"/>
          <w:lang w:val="es-ES_tradnl"/>
        </w:rPr>
        <w:t xml:space="preserve"> ecosistemas asociados. La confirmación final de ac</w:t>
      </w:r>
      <w:r w:rsidR="00FE0914" w:rsidRPr="00BC2429">
        <w:rPr>
          <w:rFonts w:cs="Arial"/>
          <w:sz w:val="22"/>
          <w:szCs w:val="22"/>
          <w:lang w:val="es-ES_tradnl"/>
        </w:rPr>
        <w:t>e</w:t>
      </w:r>
      <w:r w:rsidR="006B3D18" w:rsidRPr="00BC2429">
        <w:rPr>
          <w:rFonts w:cs="Arial"/>
          <w:sz w:val="22"/>
          <w:szCs w:val="22"/>
          <w:lang w:val="es-ES_tradnl"/>
        </w:rPr>
        <w:t>ptación de ambos proyectos será recibida muy pronto. El presupuesto asignado para las actividades de la CMS dentro de este proyecto asciende a 950.000 €.</w:t>
      </w:r>
    </w:p>
    <w:p w14:paraId="4843A4C8" w14:textId="77777777" w:rsidR="00552F3F" w:rsidRPr="004677B0" w:rsidRDefault="00552F3F" w:rsidP="00E07841">
      <w:pPr>
        <w:pStyle w:val="ListParagraph"/>
        <w:ind w:left="360" w:hanging="360"/>
        <w:rPr>
          <w:rFonts w:cs="Arial"/>
          <w:sz w:val="22"/>
          <w:szCs w:val="22"/>
          <w:highlight w:val="yellow"/>
          <w:lang w:val="es-ES_tradnl"/>
        </w:rPr>
      </w:pPr>
    </w:p>
    <w:p w14:paraId="43E860D7" w14:textId="44D7F458" w:rsidR="00317F91" w:rsidRPr="00317F91" w:rsidRDefault="00317F91" w:rsidP="00E07841">
      <w:pPr>
        <w:ind w:left="360" w:hanging="360"/>
        <w:rPr>
          <w:rFonts w:cs="Arial"/>
          <w:sz w:val="22"/>
          <w:szCs w:val="22"/>
          <w:u w:val="single"/>
          <w:lang w:val="es-ES_tradnl"/>
        </w:rPr>
      </w:pPr>
      <w:r w:rsidRPr="00317F91">
        <w:rPr>
          <w:rFonts w:cs="Arial"/>
          <w:sz w:val="22"/>
          <w:szCs w:val="22"/>
          <w:u w:val="single"/>
          <w:lang w:val="es-ES_tradnl"/>
        </w:rPr>
        <w:t>Necesidades futuras</w:t>
      </w:r>
    </w:p>
    <w:p w14:paraId="115347CC" w14:textId="77777777" w:rsidR="004B7F3D" w:rsidRPr="004677B0" w:rsidRDefault="004B7F3D" w:rsidP="00E07841">
      <w:pPr>
        <w:pStyle w:val="ListParagraph"/>
        <w:ind w:left="360" w:hanging="360"/>
        <w:rPr>
          <w:rFonts w:cs="Arial"/>
          <w:sz w:val="22"/>
          <w:szCs w:val="22"/>
          <w:highlight w:val="yellow"/>
          <w:lang w:val="es-ES_tradnl"/>
        </w:rPr>
      </w:pPr>
    </w:p>
    <w:p w14:paraId="1ADFCC06" w14:textId="1C5A1F76" w:rsidR="00C14D58" w:rsidRPr="00FD7853" w:rsidRDefault="003D29DF" w:rsidP="00E07841">
      <w:pPr>
        <w:pStyle w:val="ListParagraph"/>
        <w:numPr>
          <w:ilvl w:val="0"/>
          <w:numId w:val="10"/>
        </w:numPr>
        <w:autoSpaceDE/>
        <w:adjustRightInd/>
        <w:ind w:left="360" w:hanging="360"/>
        <w:jc w:val="both"/>
        <w:rPr>
          <w:rFonts w:cs="Arial"/>
          <w:sz w:val="22"/>
          <w:szCs w:val="22"/>
          <w:lang w:val="es-ES_tradnl"/>
        </w:rPr>
      </w:pPr>
      <w:r>
        <w:rPr>
          <w:rFonts w:cs="Arial"/>
          <w:sz w:val="22"/>
          <w:szCs w:val="22"/>
          <w:lang w:val="es-ES_tradnl"/>
        </w:rPr>
        <w:t>La</w:t>
      </w:r>
      <w:r w:rsidR="004B4149" w:rsidRPr="004B4149">
        <w:rPr>
          <w:rFonts w:cs="Arial"/>
          <w:sz w:val="22"/>
          <w:szCs w:val="22"/>
          <w:lang w:val="es-ES_tradnl"/>
        </w:rPr>
        <w:t xml:space="preserve"> Secretaría desarro</w:t>
      </w:r>
      <w:r w:rsidR="00C13020">
        <w:rPr>
          <w:rFonts w:cs="Arial"/>
          <w:sz w:val="22"/>
          <w:szCs w:val="22"/>
          <w:lang w:val="es-ES_tradnl"/>
        </w:rPr>
        <w:t xml:space="preserve">lló un Programa de Trabajo (véase el </w:t>
      </w:r>
      <w:r w:rsidR="004B4149" w:rsidRPr="004B4149">
        <w:rPr>
          <w:rFonts w:cs="Arial"/>
          <w:sz w:val="22"/>
          <w:szCs w:val="22"/>
          <w:lang w:val="es-ES_tradnl"/>
        </w:rPr>
        <w:t>documento UNEP/CMS/COP12/Doc.14.2)</w:t>
      </w:r>
      <w:r w:rsidR="004B4149">
        <w:rPr>
          <w:rFonts w:cs="Arial"/>
          <w:sz w:val="22"/>
          <w:szCs w:val="22"/>
          <w:lang w:val="es-ES_tradnl"/>
        </w:rPr>
        <w:t xml:space="preserve"> par</w:t>
      </w:r>
      <w:r w:rsidR="00E4341C">
        <w:rPr>
          <w:rFonts w:cs="Arial"/>
          <w:sz w:val="22"/>
          <w:szCs w:val="22"/>
          <w:lang w:val="es-ES_tradnl"/>
        </w:rPr>
        <w:t>a la c</w:t>
      </w:r>
      <w:r w:rsidR="003B2FD1">
        <w:rPr>
          <w:rFonts w:cs="Arial"/>
          <w:sz w:val="22"/>
          <w:szCs w:val="22"/>
          <w:lang w:val="es-ES_tradnl"/>
        </w:rPr>
        <w:t>onsideración de la COP12 donde s</w:t>
      </w:r>
      <w:r w:rsidR="00E4341C">
        <w:rPr>
          <w:rFonts w:cs="Arial"/>
          <w:sz w:val="22"/>
          <w:szCs w:val="22"/>
          <w:lang w:val="es-ES_tradnl"/>
        </w:rPr>
        <w:t xml:space="preserve">e </w:t>
      </w:r>
      <w:r w:rsidR="004B4149">
        <w:rPr>
          <w:rFonts w:cs="Arial"/>
          <w:sz w:val="22"/>
          <w:szCs w:val="22"/>
          <w:lang w:val="es-ES_tradnl"/>
        </w:rPr>
        <w:t>estima</w:t>
      </w:r>
      <w:r w:rsidR="00E4341C">
        <w:rPr>
          <w:rFonts w:cs="Arial"/>
          <w:sz w:val="22"/>
          <w:szCs w:val="22"/>
          <w:lang w:val="es-ES_tradnl"/>
        </w:rPr>
        <w:t>n</w:t>
      </w:r>
      <w:r w:rsidR="00AE1129">
        <w:rPr>
          <w:rFonts w:cs="Arial"/>
          <w:sz w:val="22"/>
          <w:szCs w:val="22"/>
          <w:lang w:val="es-ES_tradnl"/>
        </w:rPr>
        <w:t xml:space="preserve"> los recursos humanos y financieros</w:t>
      </w:r>
      <w:r w:rsidR="004B4149">
        <w:rPr>
          <w:rFonts w:cs="Arial"/>
          <w:sz w:val="22"/>
          <w:szCs w:val="22"/>
          <w:lang w:val="es-ES_tradnl"/>
        </w:rPr>
        <w:t xml:space="preserve"> necesarios para implementar las actividades </w:t>
      </w:r>
      <w:r w:rsidR="00041393">
        <w:rPr>
          <w:rFonts w:cs="Arial"/>
          <w:sz w:val="22"/>
          <w:szCs w:val="22"/>
          <w:lang w:val="es-ES_tradnl"/>
        </w:rPr>
        <w:t>durante el</w:t>
      </w:r>
      <w:r w:rsidR="004B4149">
        <w:rPr>
          <w:rFonts w:cs="Arial"/>
          <w:sz w:val="22"/>
          <w:szCs w:val="22"/>
          <w:lang w:val="es-ES_tradnl"/>
        </w:rPr>
        <w:t xml:space="preserve"> periodo 2018-2020.</w:t>
      </w:r>
      <w:r w:rsidR="0079217A">
        <w:rPr>
          <w:rFonts w:cs="Arial"/>
          <w:sz w:val="22"/>
          <w:szCs w:val="22"/>
          <w:lang w:val="es-ES_tradnl"/>
        </w:rPr>
        <w:t xml:space="preserve"> El PdT está basado en las asignaciones propuestas en los tres escenarios de presupuesto para 2018-2020 e indica el nivel de recursos adicionales </w:t>
      </w:r>
      <w:r w:rsidR="00FD7853">
        <w:rPr>
          <w:rFonts w:cs="Arial"/>
          <w:sz w:val="22"/>
          <w:szCs w:val="22"/>
          <w:lang w:val="es-ES_tradnl"/>
        </w:rPr>
        <w:t>que</w:t>
      </w:r>
      <w:r w:rsidR="0079217A">
        <w:rPr>
          <w:rFonts w:cs="Arial"/>
          <w:sz w:val="22"/>
          <w:szCs w:val="22"/>
          <w:lang w:val="es-ES_tradnl"/>
        </w:rPr>
        <w:t xml:space="preserve"> la Secretaría </w:t>
      </w:r>
      <w:r w:rsidR="00FD7853">
        <w:rPr>
          <w:rFonts w:cs="Arial"/>
          <w:sz w:val="22"/>
          <w:szCs w:val="22"/>
          <w:lang w:val="es-ES_tradnl"/>
        </w:rPr>
        <w:t xml:space="preserve">necesita </w:t>
      </w:r>
      <w:r w:rsidR="0079217A">
        <w:rPr>
          <w:rFonts w:cs="Arial"/>
          <w:sz w:val="22"/>
          <w:szCs w:val="22"/>
          <w:lang w:val="es-ES_tradnl"/>
        </w:rPr>
        <w:t xml:space="preserve">para </w:t>
      </w:r>
      <w:r w:rsidR="00FD7853">
        <w:rPr>
          <w:rFonts w:cs="Arial"/>
          <w:sz w:val="22"/>
          <w:szCs w:val="22"/>
          <w:lang w:val="es-ES_tradnl"/>
        </w:rPr>
        <w:t xml:space="preserve">poder </w:t>
      </w:r>
      <w:r w:rsidR="0079217A">
        <w:rPr>
          <w:rFonts w:cs="Arial"/>
          <w:sz w:val="22"/>
          <w:szCs w:val="22"/>
          <w:lang w:val="es-ES_tradnl"/>
        </w:rPr>
        <w:t>implementar plenamente su futuro mandato. Este documento proporcionará la base para los esfuerzos de movilización de recursos</w:t>
      </w:r>
      <w:r w:rsidR="00F726F5">
        <w:rPr>
          <w:rFonts w:cs="Arial"/>
          <w:sz w:val="22"/>
          <w:szCs w:val="22"/>
          <w:lang w:val="es-ES_tradnl"/>
        </w:rPr>
        <w:t xml:space="preserve"> para el próximo trienio.</w:t>
      </w:r>
    </w:p>
    <w:p w14:paraId="5A4CDBB3" w14:textId="77777777" w:rsidR="00C14D58" w:rsidRDefault="00C14D58" w:rsidP="00E07841">
      <w:pPr>
        <w:ind w:left="360" w:hanging="360"/>
        <w:jc w:val="both"/>
        <w:rPr>
          <w:rFonts w:cs="Arial"/>
          <w:sz w:val="22"/>
          <w:szCs w:val="22"/>
          <w:highlight w:val="yellow"/>
          <w:lang w:val="es-ES_tradnl"/>
        </w:rPr>
      </w:pPr>
    </w:p>
    <w:p w14:paraId="1D21B870" w14:textId="77777777" w:rsidR="00B45B48" w:rsidRPr="004677B0" w:rsidRDefault="00B45B48" w:rsidP="00C14D58">
      <w:pPr>
        <w:jc w:val="both"/>
        <w:rPr>
          <w:rFonts w:cs="Arial"/>
          <w:sz w:val="22"/>
          <w:szCs w:val="22"/>
          <w:highlight w:val="yellow"/>
          <w:lang w:val="es-ES_tradnl"/>
        </w:rPr>
      </w:pPr>
    </w:p>
    <w:p w14:paraId="77D0FBF3" w14:textId="275E8986" w:rsidR="0030329A" w:rsidRPr="0030329A" w:rsidRDefault="0030329A" w:rsidP="00C14D58">
      <w:pPr>
        <w:rPr>
          <w:rFonts w:cs="Arial"/>
          <w:sz w:val="22"/>
          <w:szCs w:val="22"/>
          <w:u w:val="single"/>
          <w:lang w:val="es-ES_tradnl"/>
        </w:rPr>
      </w:pPr>
      <w:r w:rsidRPr="0030329A">
        <w:rPr>
          <w:rFonts w:cs="Arial"/>
          <w:sz w:val="22"/>
          <w:szCs w:val="22"/>
          <w:u w:val="single"/>
          <w:lang w:val="es-ES_tradnl"/>
        </w:rPr>
        <w:t>Acciones recomendadas</w:t>
      </w:r>
    </w:p>
    <w:p w14:paraId="669F1460" w14:textId="77777777" w:rsidR="00C14D58" w:rsidRPr="004677B0" w:rsidRDefault="00C14D58" w:rsidP="00C14D58">
      <w:pPr>
        <w:rPr>
          <w:rFonts w:cs="Arial"/>
          <w:sz w:val="22"/>
          <w:szCs w:val="22"/>
          <w:highlight w:val="yellow"/>
          <w:lang w:val="es-ES_tradnl"/>
        </w:rPr>
      </w:pPr>
    </w:p>
    <w:p w14:paraId="7E6DF0AC" w14:textId="39C471E4" w:rsidR="00EF246C" w:rsidRPr="00EF246C" w:rsidRDefault="00EF246C" w:rsidP="00A666C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/>
        <w:adjustRightInd/>
        <w:contextualSpacing/>
        <w:outlineLvl w:val="1"/>
        <w:rPr>
          <w:rFonts w:cs="Arial"/>
          <w:sz w:val="22"/>
          <w:szCs w:val="22"/>
          <w:lang w:val="es-ES_tradnl" w:eastAsia="en-GB"/>
        </w:rPr>
      </w:pPr>
      <w:r w:rsidRPr="00EF246C">
        <w:rPr>
          <w:rFonts w:cs="Arial"/>
          <w:sz w:val="22"/>
          <w:szCs w:val="22"/>
          <w:lang w:val="es-ES_tradnl" w:eastAsia="en-GB"/>
        </w:rPr>
        <w:t>Se recomienda a la Conferencia de las Partes tomar nota de este documento.</w:t>
      </w:r>
    </w:p>
    <w:p w14:paraId="5047DEEB" w14:textId="12AE0AE5" w:rsidR="00C14D58" w:rsidRPr="004677B0" w:rsidRDefault="00C14D58" w:rsidP="00A666C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/>
        <w:adjustRightInd/>
        <w:contextualSpacing/>
        <w:outlineLvl w:val="1"/>
        <w:rPr>
          <w:rFonts w:cs="Arial"/>
          <w:sz w:val="22"/>
          <w:szCs w:val="22"/>
          <w:lang w:val="es-ES_tradnl"/>
        </w:rPr>
      </w:pPr>
      <w:bookmarkStart w:id="0" w:name="_GoBack"/>
      <w:bookmarkEnd w:id="0"/>
    </w:p>
    <w:sectPr w:rsidR="00C14D58" w:rsidRPr="004677B0" w:rsidSect="008E407D">
      <w:headerReference w:type="first" r:id="rId19"/>
      <w:footerReference w:type="first" r:id="rId20"/>
      <w:endnotePr>
        <w:numFmt w:val="decimal"/>
      </w:endnotePr>
      <w:pgSz w:w="11905" w:h="16837" w:code="9"/>
      <w:pgMar w:top="1008" w:right="1411" w:bottom="990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54537" w14:textId="77777777" w:rsidR="003D29DF" w:rsidRDefault="003D29DF">
      <w:r>
        <w:separator/>
      </w:r>
    </w:p>
  </w:endnote>
  <w:endnote w:type="continuationSeparator" w:id="0">
    <w:p w14:paraId="617894B1" w14:textId="77777777" w:rsidR="003D29DF" w:rsidRDefault="003D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AFEC5" w14:textId="1E054EA7" w:rsidR="003D29DF" w:rsidRPr="00922791" w:rsidRDefault="003D29DF" w:rsidP="00056DC1">
    <w:pPr>
      <w:pStyle w:val="Footer"/>
      <w:ind w:right="-367"/>
      <w:jc w:val="center"/>
      <w:rPr>
        <w:rFonts w:cs="Arial"/>
        <w:szCs w:val="18"/>
      </w:rPr>
    </w:pPr>
    <w:r w:rsidRPr="00922791">
      <w:rPr>
        <w:rFonts w:cs="Arial"/>
        <w:szCs w:val="18"/>
      </w:rPr>
      <w:fldChar w:fldCharType="begin"/>
    </w:r>
    <w:r w:rsidRPr="00922791">
      <w:rPr>
        <w:rFonts w:cs="Arial"/>
        <w:szCs w:val="18"/>
      </w:rPr>
      <w:instrText xml:space="preserve"> PAGE   \* MERGEFORMAT </w:instrText>
    </w:r>
    <w:r w:rsidRPr="00922791">
      <w:rPr>
        <w:rFonts w:cs="Arial"/>
        <w:szCs w:val="18"/>
      </w:rPr>
      <w:fldChar w:fldCharType="separate"/>
    </w:r>
    <w:r w:rsidR="008E407D">
      <w:rPr>
        <w:rFonts w:cs="Arial"/>
        <w:noProof/>
        <w:szCs w:val="18"/>
      </w:rPr>
      <w:t>8</w:t>
    </w:r>
    <w:r w:rsidRPr="00922791">
      <w:rPr>
        <w:rFonts w:cs="Arial"/>
        <w:noProof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C47D9" w14:textId="2B742994" w:rsidR="003D29DF" w:rsidRPr="00F12E7B" w:rsidRDefault="003D29DF" w:rsidP="00056DC1">
    <w:pPr>
      <w:pStyle w:val="Footer"/>
      <w:ind w:right="-367"/>
      <w:jc w:val="center"/>
      <w:rPr>
        <w:rFonts w:cs="Arial"/>
        <w:szCs w:val="18"/>
      </w:rPr>
    </w:pPr>
    <w:r w:rsidRPr="00F12E7B">
      <w:rPr>
        <w:rFonts w:cs="Arial"/>
        <w:szCs w:val="18"/>
      </w:rPr>
      <w:fldChar w:fldCharType="begin"/>
    </w:r>
    <w:r w:rsidRPr="00F12E7B">
      <w:rPr>
        <w:rFonts w:cs="Arial"/>
        <w:szCs w:val="18"/>
      </w:rPr>
      <w:instrText xml:space="preserve"> PAGE   \* MERGEFORMAT </w:instrText>
    </w:r>
    <w:r w:rsidRPr="00F12E7B">
      <w:rPr>
        <w:rFonts w:cs="Arial"/>
        <w:szCs w:val="18"/>
      </w:rPr>
      <w:fldChar w:fldCharType="separate"/>
    </w:r>
    <w:r w:rsidR="008E407D">
      <w:rPr>
        <w:rFonts w:cs="Arial"/>
        <w:noProof/>
        <w:szCs w:val="18"/>
      </w:rPr>
      <w:t>7</w:t>
    </w:r>
    <w:r w:rsidRPr="00F12E7B">
      <w:rPr>
        <w:rFonts w:cs="Arial"/>
        <w:noProof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EDB47" w14:textId="77777777" w:rsidR="003D29DF" w:rsidRPr="00CD7355" w:rsidRDefault="003D29DF" w:rsidP="00015E07">
    <w:pPr>
      <w:pStyle w:val="Footer"/>
      <w:ind w:right="-637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81E28" w14:textId="0B87087A" w:rsidR="003D29DF" w:rsidRPr="00F12E7B" w:rsidRDefault="003D29DF" w:rsidP="00015E07">
    <w:pPr>
      <w:pStyle w:val="Footer"/>
      <w:tabs>
        <w:tab w:val="clear" w:pos="8640"/>
        <w:tab w:val="right" w:pos="9083"/>
      </w:tabs>
      <w:jc w:val="center"/>
      <w:rPr>
        <w:rFonts w:cs="Arial"/>
        <w:szCs w:val="18"/>
      </w:rPr>
    </w:pPr>
    <w:r w:rsidRPr="00F12E7B">
      <w:rPr>
        <w:rFonts w:cs="Arial"/>
        <w:noProof/>
        <w:szCs w:val="18"/>
      </w:rPr>
      <w:tab/>
    </w:r>
    <w:r w:rsidRPr="00F12E7B">
      <w:rPr>
        <w:rFonts w:cs="Arial"/>
        <w:szCs w:val="18"/>
      </w:rPr>
      <w:fldChar w:fldCharType="begin"/>
    </w:r>
    <w:r w:rsidRPr="00F12E7B">
      <w:rPr>
        <w:rFonts w:cs="Arial"/>
        <w:szCs w:val="18"/>
      </w:rPr>
      <w:instrText xml:space="preserve"> PAGE   \* MERGEFORMAT </w:instrText>
    </w:r>
    <w:r w:rsidRPr="00F12E7B">
      <w:rPr>
        <w:rFonts w:cs="Arial"/>
        <w:szCs w:val="18"/>
      </w:rPr>
      <w:fldChar w:fldCharType="separate"/>
    </w:r>
    <w:r w:rsidR="008E407D">
      <w:rPr>
        <w:rFonts w:cs="Arial"/>
        <w:noProof/>
        <w:szCs w:val="18"/>
      </w:rPr>
      <w:t>2</w:t>
    </w:r>
    <w:r w:rsidRPr="00F12E7B">
      <w:rPr>
        <w:rFonts w:cs="Arial"/>
        <w:noProof/>
        <w:szCs w:val="18"/>
      </w:rPr>
      <w:fldChar w:fldCharType="end"/>
    </w:r>
    <w:r w:rsidRPr="00F12E7B">
      <w:rPr>
        <w:rFonts w:cs="Arial"/>
        <w:noProof/>
        <w:szCs w:val="18"/>
      </w:rPr>
      <w:tab/>
    </w:r>
  </w:p>
  <w:p w14:paraId="4849B7C7" w14:textId="77777777" w:rsidR="003D29DF" w:rsidRPr="00D605A4" w:rsidRDefault="003D29DF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0A97D" w14:textId="77777777" w:rsidR="003D29DF" w:rsidRDefault="003D29DF">
      <w:r>
        <w:separator/>
      </w:r>
    </w:p>
  </w:footnote>
  <w:footnote w:type="continuationSeparator" w:id="0">
    <w:p w14:paraId="5E5AD963" w14:textId="77777777" w:rsidR="003D29DF" w:rsidRDefault="003D29DF">
      <w:r>
        <w:continuationSeparator/>
      </w:r>
    </w:p>
  </w:footnote>
  <w:footnote w:id="1">
    <w:p w14:paraId="7D1A1FAB" w14:textId="21D83E78" w:rsidR="003D29DF" w:rsidRPr="00133CCE" w:rsidRDefault="003D29DF" w:rsidP="007454D9">
      <w:pPr>
        <w:pStyle w:val="FootnoteText"/>
        <w:rPr>
          <w:sz w:val="16"/>
          <w:szCs w:val="16"/>
          <w:lang w:val="es-ES_tradnl"/>
        </w:rPr>
      </w:pPr>
      <w:r w:rsidRPr="00133CCE">
        <w:rPr>
          <w:rStyle w:val="FootnoteReference"/>
          <w:sz w:val="16"/>
          <w:szCs w:val="16"/>
          <w:vertAlign w:val="superscript"/>
          <w:lang w:val="es-ES_tradnl"/>
        </w:rPr>
        <w:footnoteRef/>
      </w:r>
      <w:r w:rsidR="00B760CE" w:rsidRPr="00133CCE">
        <w:rPr>
          <w:sz w:val="16"/>
          <w:szCs w:val="16"/>
          <w:vertAlign w:val="superscript"/>
          <w:lang w:val="es-ES_tradnl"/>
        </w:rPr>
        <w:t xml:space="preserve"> </w:t>
      </w:r>
      <w:r w:rsidR="00B760CE" w:rsidRPr="00133CCE">
        <w:rPr>
          <w:sz w:val="16"/>
          <w:szCs w:val="16"/>
          <w:lang w:val="es-ES_tradnl"/>
        </w:rPr>
        <w:t>EC: Comisión Europea</w:t>
      </w:r>
    </w:p>
  </w:footnote>
  <w:footnote w:id="2">
    <w:p w14:paraId="44C11DC3" w14:textId="7DEBC323" w:rsidR="003D29DF" w:rsidRPr="00E07841" w:rsidRDefault="003D29DF" w:rsidP="007454D9">
      <w:pPr>
        <w:pStyle w:val="FootnoteText"/>
        <w:rPr>
          <w:lang w:val="es-ES"/>
        </w:rPr>
      </w:pPr>
      <w:r w:rsidRPr="00133CCE">
        <w:rPr>
          <w:rStyle w:val="FootnoteReference"/>
          <w:sz w:val="16"/>
          <w:szCs w:val="16"/>
          <w:vertAlign w:val="superscript"/>
          <w:lang w:val="es-ES_tradnl"/>
        </w:rPr>
        <w:footnoteRef/>
      </w:r>
      <w:r w:rsidRPr="00133CCE">
        <w:rPr>
          <w:sz w:val="16"/>
          <w:szCs w:val="16"/>
          <w:vertAlign w:val="superscript"/>
          <w:lang w:val="es-ES_tradnl"/>
        </w:rPr>
        <w:t xml:space="preserve"> </w:t>
      </w:r>
      <w:r w:rsidRPr="00133CCE">
        <w:rPr>
          <w:sz w:val="16"/>
          <w:szCs w:val="16"/>
          <w:lang w:val="es-ES_tradnl"/>
        </w:rPr>
        <w:t xml:space="preserve">IKI: </w:t>
      </w:r>
      <w:r w:rsidR="00B760CE" w:rsidRPr="00133CCE">
        <w:rPr>
          <w:sz w:val="16"/>
          <w:szCs w:val="16"/>
          <w:lang w:val="es-ES_tradnl"/>
        </w:rPr>
        <w:t>Iniciativa Internacional sobre el Clima</w:t>
      </w:r>
    </w:p>
  </w:footnote>
  <w:footnote w:id="3">
    <w:p w14:paraId="5480E03E" w14:textId="1682B2E6" w:rsidR="003D29DF" w:rsidRPr="000B6066" w:rsidRDefault="003D29DF" w:rsidP="00603C0F">
      <w:pPr>
        <w:pStyle w:val="FootnoteText"/>
        <w:rPr>
          <w:sz w:val="16"/>
          <w:szCs w:val="16"/>
          <w:lang w:val="es-ES_tradnl"/>
        </w:rPr>
      </w:pPr>
      <w:r w:rsidRPr="000B6066">
        <w:rPr>
          <w:rStyle w:val="FootnoteReference"/>
          <w:sz w:val="16"/>
          <w:szCs w:val="16"/>
          <w:vertAlign w:val="superscript"/>
          <w:lang w:val="es-ES_tradnl"/>
        </w:rPr>
        <w:footnoteRef/>
      </w:r>
      <w:r w:rsidR="00835627" w:rsidRPr="000B6066">
        <w:rPr>
          <w:sz w:val="16"/>
          <w:szCs w:val="16"/>
          <w:vertAlign w:val="superscript"/>
          <w:lang w:val="es-ES_tradnl"/>
        </w:rPr>
        <w:t xml:space="preserve"> </w:t>
      </w:r>
      <w:r w:rsidR="00835627" w:rsidRPr="000B6066">
        <w:rPr>
          <w:sz w:val="16"/>
          <w:szCs w:val="16"/>
          <w:lang w:val="es-ES_tradnl"/>
        </w:rPr>
        <w:t>MTS y Pd</w:t>
      </w:r>
      <w:r w:rsidRPr="000B6066">
        <w:rPr>
          <w:sz w:val="16"/>
          <w:szCs w:val="16"/>
          <w:lang w:val="es-ES_tradnl"/>
        </w:rPr>
        <w:t xml:space="preserve">W: </w:t>
      </w:r>
      <w:r w:rsidR="00835627" w:rsidRPr="000B6066">
        <w:rPr>
          <w:sz w:val="16"/>
          <w:szCs w:val="16"/>
          <w:lang w:val="es-ES_tradnl"/>
        </w:rPr>
        <w:t>Estrategia a medio plazo y Programa de Trabajo</w:t>
      </w:r>
    </w:p>
  </w:footnote>
  <w:footnote w:id="4">
    <w:p w14:paraId="4BF3F1FA" w14:textId="527601E6" w:rsidR="003D29DF" w:rsidRPr="000B6066" w:rsidRDefault="003D29DF" w:rsidP="00603C0F">
      <w:pPr>
        <w:pStyle w:val="FootnoteText"/>
        <w:rPr>
          <w:sz w:val="16"/>
          <w:szCs w:val="16"/>
          <w:lang w:val="es-ES_tradnl"/>
        </w:rPr>
      </w:pPr>
      <w:r w:rsidRPr="000B6066">
        <w:rPr>
          <w:sz w:val="16"/>
          <w:szCs w:val="16"/>
          <w:vertAlign w:val="superscript"/>
          <w:lang w:val="es-ES_tradnl"/>
        </w:rPr>
        <w:footnoteRef/>
      </w:r>
      <w:r w:rsidRPr="000B6066">
        <w:rPr>
          <w:sz w:val="16"/>
          <w:szCs w:val="16"/>
          <w:vertAlign w:val="superscript"/>
          <w:lang w:val="es-ES_tradnl"/>
        </w:rPr>
        <w:t xml:space="preserve"> </w:t>
      </w:r>
      <w:r w:rsidR="00835627" w:rsidRPr="000B6066">
        <w:rPr>
          <w:sz w:val="16"/>
          <w:szCs w:val="16"/>
          <w:lang w:val="es-ES_tradnl"/>
        </w:rPr>
        <w:t>FMAM: Fondo para el Medio Ambiente Mundial</w:t>
      </w:r>
    </w:p>
  </w:footnote>
  <w:footnote w:id="5">
    <w:p w14:paraId="12ACA2FD" w14:textId="0F373F48" w:rsidR="008C36FD" w:rsidRPr="000B6066" w:rsidRDefault="008C36FD" w:rsidP="008C36FD">
      <w:pPr>
        <w:pStyle w:val="FootnoteText"/>
        <w:rPr>
          <w:sz w:val="16"/>
          <w:szCs w:val="16"/>
          <w:lang w:val="es-ES_tradnl"/>
        </w:rPr>
      </w:pPr>
      <w:r w:rsidRPr="000B6066">
        <w:rPr>
          <w:rStyle w:val="FootnoteReference"/>
          <w:sz w:val="16"/>
          <w:szCs w:val="16"/>
          <w:vertAlign w:val="superscript"/>
          <w:lang w:val="es-ES_tradnl"/>
        </w:rPr>
        <w:footnoteRef/>
      </w:r>
      <w:r w:rsidRPr="000B6066">
        <w:rPr>
          <w:sz w:val="16"/>
          <w:szCs w:val="16"/>
          <w:vertAlign w:val="superscript"/>
          <w:lang w:val="es-ES_tradnl"/>
        </w:rPr>
        <w:t xml:space="preserve"> </w:t>
      </w:r>
      <w:r w:rsidRPr="000B6066">
        <w:rPr>
          <w:sz w:val="16"/>
          <w:szCs w:val="16"/>
          <w:lang w:val="es-ES_tradnl"/>
        </w:rPr>
        <w:t xml:space="preserve">USFWS: </w:t>
      </w:r>
      <w:r w:rsidR="000B6066" w:rsidRPr="000B6066">
        <w:rPr>
          <w:sz w:val="16"/>
          <w:szCs w:val="16"/>
          <w:lang w:val="es-ES_tradnl"/>
        </w:rPr>
        <w:t>Servicio de Pesca y Fauna de los Estados Unidos</w:t>
      </w:r>
    </w:p>
  </w:footnote>
  <w:footnote w:id="6">
    <w:p w14:paraId="2369FE51" w14:textId="77777777" w:rsidR="008C36FD" w:rsidRPr="00E07841" w:rsidRDefault="008C36FD" w:rsidP="008C36FD">
      <w:pPr>
        <w:pStyle w:val="FootnoteText"/>
        <w:rPr>
          <w:lang w:val="es-ES"/>
        </w:rPr>
      </w:pPr>
      <w:r w:rsidRPr="000B6066">
        <w:rPr>
          <w:rStyle w:val="FootnoteReference"/>
          <w:sz w:val="16"/>
          <w:szCs w:val="16"/>
          <w:vertAlign w:val="superscript"/>
          <w:lang w:val="es-ES_tradnl"/>
        </w:rPr>
        <w:footnoteRef/>
      </w:r>
      <w:r w:rsidRPr="000B6066">
        <w:rPr>
          <w:sz w:val="16"/>
          <w:szCs w:val="16"/>
          <w:vertAlign w:val="superscript"/>
          <w:lang w:val="es-ES_tradnl"/>
        </w:rPr>
        <w:t xml:space="preserve"> </w:t>
      </w:r>
      <w:r w:rsidRPr="000B6066">
        <w:rPr>
          <w:sz w:val="16"/>
          <w:szCs w:val="16"/>
          <w:lang w:val="es-ES_tradnl"/>
        </w:rPr>
        <w:t>SOS: Save our Species</w:t>
      </w:r>
    </w:p>
  </w:footnote>
  <w:footnote w:id="7">
    <w:p w14:paraId="5001BDDB" w14:textId="5DDCA533" w:rsidR="003D29DF" w:rsidRPr="00C87A2C" w:rsidRDefault="003D29DF" w:rsidP="006D35B2">
      <w:pPr>
        <w:pStyle w:val="FootnoteText"/>
        <w:jc w:val="both"/>
        <w:rPr>
          <w:lang w:val="es-ES_tradnl"/>
        </w:rPr>
      </w:pPr>
      <w:r w:rsidRPr="006D35B2">
        <w:rPr>
          <w:rStyle w:val="FootnoteReference"/>
          <w:vertAlign w:val="superscript"/>
          <w:lang w:val="es-ES_tradnl"/>
        </w:rPr>
        <w:footnoteRef/>
      </w:r>
      <w:r w:rsidRPr="006D35B2">
        <w:rPr>
          <w:lang w:val="es-ES_tradnl"/>
        </w:rPr>
        <w:t xml:space="preserve"> El Ministerio Federal de Medio Ambiente, Conservación de la Naturaleza, Obras Públicas y Seguridad Nuclear de Alemania (BMUB)</w:t>
      </w:r>
      <w:r>
        <w:rPr>
          <w:lang w:val="es-ES_tradnl"/>
        </w:rPr>
        <w:t xml:space="preserve"> y la Academia Internacional para la Conservación de la Naturaleza de la Agencia Federal Alemana para la Conservación de la Naturaleza (BfN).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25F75" w14:textId="6FB44A10" w:rsidR="003D29DF" w:rsidRPr="00E21143" w:rsidRDefault="003D29DF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rPr>
        <w:rFonts w:cs="Arial"/>
        <w:b w:val="0"/>
        <w:i/>
        <w:sz w:val="18"/>
        <w:szCs w:val="18"/>
        <w:lang w:val="fr-FR"/>
      </w:rPr>
    </w:pPr>
    <w:r w:rsidRPr="00E21143">
      <w:rPr>
        <w:rFonts w:cs="Arial"/>
        <w:b w:val="0"/>
        <w:i/>
        <w:sz w:val="18"/>
        <w:szCs w:val="18"/>
        <w:lang w:val="fr-FR"/>
      </w:rPr>
      <w:t>UNEP/CMS/COP12/Doc.</w:t>
    </w:r>
    <w:r w:rsidR="008E407D">
      <w:rPr>
        <w:rFonts w:cs="Arial"/>
        <w:b w:val="0"/>
        <w:i/>
        <w:sz w:val="18"/>
        <w:szCs w:val="18"/>
        <w:lang w:val="fr-FR"/>
      </w:rPr>
      <w:t>14.3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C1274" w14:textId="0473BC1E" w:rsidR="003D29DF" w:rsidRPr="00497E66" w:rsidRDefault="003D29DF" w:rsidP="00F12E7B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11" w:hanging="261"/>
      <w:jc w:val="right"/>
      <w:rPr>
        <w:rFonts w:cs="Arial"/>
        <w:b w:val="0"/>
        <w:i/>
        <w:sz w:val="18"/>
        <w:szCs w:val="18"/>
        <w:lang w:val="fr-FR"/>
      </w:rPr>
    </w:pPr>
    <w:r w:rsidRPr="00497E66">
      <w:rPr>
        <w:rFonts w:cs="Arial"/>
        <w:b w:val="0"/>
        <w:i/>
        <w:sz w:val="18"/>
        <w:szCs w:val="18"/>
        <w:lang w:val="fr-FR"/>
      </w:rPr>
      <w:t>UNEP/CMS/COP12/Doc.</w:t>
    </w:r>
    <w:r>
      <w:rPr>
        <w:rFonts w:cs="Arial"/>
        <w:b w:val="0"/>
        <w:i/>
        <w:sz w:val="18"/>
        <w:szCs w:val="18"/>
        <w:lang w:val="fr-FR"/>
      </w:rPr>
      <w:t>14.3</w:t>
    </w:r>
  </w:p>
  <w:p w14:paraId="210CD5DE" w14:textId="77777777" w:rsidR="003D29DF" w:rsidRPr="00497E66" w:rsidRDefault="003D29DF" w:rsidP="00A27BE3">
    <w:pPr>
      <w:jc w:val="right"/>
      <w:rPr>
        <w:i/>
        <w:szCs w:val="20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46E82" w14:textId="02E72702" w:rsidR="003D29DF" w:rsidRDefault="00743A58" w:rsidP="00894D1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8D03BE8" wp14:editId="67973EB9">
          <wp:simplePos x="0" y="0"/>
          <wp:positionH relativeFrom="column">
            <wp:posOffset>-175260</wp:posOffset>
          </wp:positionH>
          <wp:positionV relativeFrom="paragraph">
            <wp:posOffset>-64770</wp:posOffset>
          </wp:positionV>
          <wp:extent cx="939165" cy="506730"/>
          <wp:effectExtent l="0" t="0" r="0" b="0"/>
          <wp:wrapTight wrapText="bothSides">
            <wp:wrapPolygon edited="0">
              <wp:start x="2191" y="2436"/>
              <wp:lineTo x="1314" y="14617"/>
              <wp:lineTo x="1314" y="18677"/>
              <wp:lineTo x="19716" y="18677"/>
              <wp:lineTo x="19278" y="5684"/>
              <wp:lineTo x="18840" y="2436"/>
              <wp:lineTo x="2191" y="2436"/>
            </wp:wrapPolygon>
          </wp:wrapTight>
          <wp:docPr id="3" name="Picture 3" descr="UNEnvironment_Logo_Spanish_Shor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Environment_Logo_Spanish_Shor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29DF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1669999D" wp14:editId="6C36EAC8">
          <wp:simplePos x="0" y="0"/>
          <wp:positionH relativeFrom="column">
            <wp:posOffset>716280</wp:posOffset>
          </wp:positionH>
          <wp:positionV relativeFrom="paragraph">
            <wp:posOffset>-75565</wp:posOffset>
          </wp:positionV>
          <wp:extent cx="431165" cy="441325"/>
          <wp:effectExtent l="0" t="0" r="6985" b="0"/>
          <wp:wrapTight wrapText="bothSides">
            <wp:wrapPolygon edited="0">
              <wp:start x="0" y="0"/>
              <wp:lineTo x="0" y="20512"/>
              <wp:lineTo x="20996" y="20512"/>
              <wp:lineTo x="20996" y="0"/>
              <wp:lineTo x="0" y="0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0" t="-1236" r="60236" b="48836"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01F32" w14:textId="77777777" w:rsidR="003D29DF" w:rsidRDefault="003D29D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C10FA" w14:textId="52253C45" w:rsidR="003D29DF" w:rsidRPr="00D605A4" w:rsidRDefault="003D29DF" w:rsidP="00F12E7B">
    <w:pPr>
      <w:pStyle w:val="Header"/>
      <w:pBdr>
        <w:bottom w:val="single" w:sz="4" w:space="1" w:color="auto"/>
      </w:pBdr>
      <w:rPr>
        <w:rFonts w:cs="Arial"/>
        <w:i/>
        <w:szCs w:val="18"/>
        <w:lang w:val="de-DE"/>
      </w:rPr>
    </w:pPr>
    <w:r w:rsidRPr="00D605A4">
      <w:rPr>
        <w:rFonts w:cs="Arial"/>
        <w:i/>
        <w:szCs w:val="18"/>
        <w:lang w:val="de-DE"/>
      </w:rPr>
      <w:t>UNEP/CMS/COP12/Doc.</w:t>
    </w:r>
    <w:r>
      <w:rPr>
        <w:rFonts w:cs="Arial"/>
        <w:i/>
        <w:szCs w:val="18"/>
        <w:lang w:val="de-DE"/>
      </w:rPr>
      <w:t>14.3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29274D"/>
    <w:multiLevelType w:val="hybridMultilevel"/>
    <w:tmpl w:val="1C9E1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11895"/>
    <w:multiLevelType w:val="hybridMultilevel"/>
    <w:tmpl w:val="194853E4"/>
    <w:lvl w:ilvl="0" w:tplc="151E79B2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D4436"/>
    <w:multiLevelType w:val="hybridMultilevel"/>
    <w:tmpl w:val="3B4AF8A8"/>
    <w:lvl w:ilvl="0" w:tplc="A0ECFF5A">
      <w:start w:val="1"/>
      <w:numFmt w:val="bullet"/>
      <w:lvlText w:val="−"/>
      <w:lvlJc w:val="left"/>
      <w:pPr>
        <w:ind w:left="720" w:hanging="360"/>
      </w:pPr>
      <w:rPr>
        <w:rFonts w:ascii="Helvetica" w:hAnsi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E5192"/>
    <w:multiLevelType w:val="hybridMultilevel"/>
    <w:tmpl w:val="194853E4"/>
    <w:lvl w:ilvl="0" w:tplc="151E79B2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80F21"/>
    <w:multiLevelType w:val="hybridMultilevel"/>
    <w:tmpl w:val="0D20EA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75E8E"/>
    <w:multiLevelType w:val="hybridMultilevel"/>
    <w:tmpl w:val="8CF2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E4785"/>
    <w:multiLevelType w:val="hybridMultilevel"/>
    <w:tmpl w:val="E6AE3398"/>
    <w:lvl w:ilvl="0" w:tplc="BD78570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702E0B2C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2" w:tplc="1C66E12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3" w:tplc="187EE4FC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23CCCEA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</w:rPr>
    </w:lvl>
    <w:lvl w:ilvl="5" w:tplc="3188956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6" w:tplc="3BFE081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AC2EF71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Helvetica" w:hAnsi="Helvetica" w:hint="default"/>
      </w:rPr>
    </w:lvl>
    <w:lvl w:ilvl="8" w:tplc="60A0666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Helvetica" w:hAnsi="Helvetica" w:hint="default"/>
      </w:rPr>
    </w:lvl>
  </w:abstractNum>
  <w:abstractNum w:abstractNumId="8" w15:restartNumberingAfterBreak="0">
    <w:nsid w:val="220B28AA"/>
    <w:multiLevelType w:val="hybridMultilevel"/>
    <w:tmpl w:val="6BFA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85498"/>
    <w:multiLevelType w:val="hybridMultilevel"/>
    <w:tmpl w:val="36F8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6759F"/>
    <w:multiLevelType w:val="hybridMultilevel"/>
    <w:tmpl w:val="534CF7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0372A"/>
    <w:multiLevelType w:val="multilevel"/>
    <w:tmpl w:val="D992659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3E200771"/>
    <w:multiLevelType w:val="hybridMultilevel"/>
    <w:tmpl w:val="D97261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90994"/>
    <w:multiLevelType w:val="hybridMultilevel"/>
    <w:tmpl w:val="565A4B60"/>
    <w:lvl w:ilvl="0" w:tplc="3AE6FEC6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C66B8"/>
    <w:multiLevelType w:val="hybridMultilevel"/>
    <w:tmpl w:val="3514A8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23F83"/>
    <w:multiLevelType w:val="hybridMultilevel"/>
    <w:tmpl w:val="A6DA6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1B526B"/>
    <w:multiLevelType w:val="hybridMultilevel"/>
    <w:tmpl w:val="1BB2F012"/>
    <w:lvl w:ilvl="0" w:tplc="A0ECFF5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CAEA1CC2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</w:rPr>
    </w:lvl>
    <w:lvl w:ilvl="2" w:tplc="8712301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3" w:tplc="D42C587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25D24E7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Helvetica" w:hAnsi="Helvetica" w:hint="default"/>
      </w:rPr>
    </w:lvl>
    <w:lvl w:ilvl="5" w:tplc="D640FEE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6" w:tplc="B9CEB756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F97A77C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Helvetica" w:hAnsi="Helvetica" w:hint="default"/>
      </w:rPr>
    </w:lvl>
    <w:lvl w:ilvl="8" w:tplc="A35EBD2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Helvetica" w:hAnsi="Helvetica" w:hint="default"/>
      </w:rPr>
    </w:lvl>
  </w:abstractNum>
  <w:abstractNum w:abstractNumId="17" w15:restartNumberingAfterBreak="0">
    <w:nsid w:val="6AA2129E"/>
    <w:multiLevelType w:val="hybridMultilevel"/>
    <w:tmpl w:val="F27AE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F7842"/>
    <w:multiLevelType w:val="hybridMultilevel"/>
    <w:tmpl w:val="C1323E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6076D"/>
    <w:multiLevelType w:val="hybridMultilevel"/>
    <w:tmpl w:val="3AA2A316"/>
    <w:lvl w:ilvl="0" w:tplc="7C3A19F6">
      <w:start w:val="1"/>
      <w:numFmt w:val="lowerLetter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3F4230"/>
    <w:multiLevelType w:val="hybridMultilevel"/>
    <w:tmpl w:val="BA282EB6"/>
    <w:lvl w:ilvl="0" w:tplc="A0ECFF5A">
      <w:start w:val="1"/>
      <w:numFmt w:val="bullet"/>
      <w:lvlText w:val="−"/>
      <w:lvlJc w:val="left"/>
      <w:pPr>
        <w:ind w:left="720" w:hanging="360"/>
      </w:pPr>
      <w:rPr>
        <w:rFonts w:ascii="Helvetica" w:hAnsi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17"/>
  </w:num>
  <w:num w:numId="18">
    <w:abstractNumId w:val="3"/>
  </w:num>
  <w:num w:numId="19">
    <w:abstractNumId w:val="7"/>
  </w:num>
  <w:num w:numId="20">
    <w:abstractNumId w:val="20"/>
  </w:num>
  <w:num w:numId="21">
    <w:abstractNumId w:val="13"/>
  </w:num>
  <w:num w:numId="22">
    <w:abstractNumId w:val="2"/>
  </w:num>
  <w:num w:numId="2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07D2"/>
    <w:rsid w:val="000039B8"/>
    <w:rsid w:val="00007296"/>
    <w:rsid w:val="00015E07"/>
    <w:rsid w:val="00016F6B"/>
    <w:rsid w:val="00017E05"/>
    <w:rsid w:val="000204E2"/>
    <w:rsid w:val="000254DF"/>
    <w:rsid w:val="000264EE"/>
    <w:rsid w:val="00026A37"/>
    <w:rsid w:val="00031A88"/>
    <w:rsid w:val="0003449E"/>
    <w:rsid w:val="00036C53"/>
    <w:rsid w:val="00041393"/>
    <w:rsid w:val="00042926"/>
    <w:rsid w:val="00042F5A"/>
    <w:rsid w:val="00046A9F"/>
    <w:rsid w:val="00046C83"/>
    <w:rsid w:val="000518C2"/>
    <w:rsid w:val="000545FA"/>
    <w:rsid w:val="00056D4A"/>
    <w:rsid w:val="00056DC1"/>
    <w:rsid w:val="00060156"/>
    <w:rsid w:val="00070BBC"/>
    <w:rsid w:val="00072DA3"/>
    <w:rsid w:val="00073C92"/>
    <w:rsid w:val="00080F03"/>
    <w:rsid w:val="0008475A"/>
    <w:rsid w:val="00084965"/>
    <w:rsid w:val="00086517"/>
    <w:rsid w:val="0008700A"/>
    <w:rsid w:val="000900E1"/>
    <w:rsid w:val="0009076A"/>
    <w:rsid w:val="00090DD2"/>
    <w:rsid w:val="000918C1"/>
    <w:rsid w:val="00095BA5"/>
    <w:rsid w:val="000A03C0"/>
    <w:rsid w:val="000A3ED0"/>
    <w:rsid w:val="000B0D3D"/>
    <w:rsid w:val="000B6066"/>
    <w:rsid w:val="000B6220"/>
    <w:rsid w:val="000C21B1"/>
    <w:rsid w:val="000C2873"/>
    <w:rsid w:val="000C3C87"/>
    <w:rsid w:val="000C6059"/>
    <w:rsid w:val="000C7460"/>
    <w:rsid w:val="000D3700"/>
    <w:rsid w:val="000E01C1"/>
    <w:rsid w:val="000E09AD"/>
    <w:rsid w:val="000E1C85"/>
    <w:rsid w:val="000F0B93"/>
    <w:rsid w:val="000F1156"/>
    <w:rsid w:val="000F26DC"/>
    <w:rsid w:val="000F52BA"/>
    <w:rsid w:val="001018D1"/>
    <w:rsid w:val="00101D7D"/>
    <w:rsid w:val="00102289"/>
    <w:rsid w:val="00105A64"/>
    <w:rsid w:val="00110F6F"/>
    <w:rsid w:val="001111A9"/>
    <w:rsid w:val="0011173A"/>
    <w:rsid w:val="001151A3"/>
    <w:rsid w:val="001162F5"/>
    <w:rsid w:val="001226EA"/>
    <w:rsid w:val="001245DF"/>
    <w:rsid w:val="001246E4"/>
    <w:rsid w:val="00125893"/>
    <w:rsid w:val="001302E2"/>
    <w:rsid w:val="00130BFD"/>
    <w:rsid w:val="00133CCE"/>
    <w:rsid w:val="00136127"/>
    <w:rsid w:val="00141763"/>
    <w:rsid w:val="001419C7"/>
    <w:rsid w:val="001423C7"/>
    <w:rsid w:val="00144BF7"/>
    <w:rsid w:val="0014775B"/>
    <w:rsid w:val="00150AC4"/>
    <w:rsid w:val="001545CC"/>
    <w:rsid w:val="00160A59"/>
    <w:rsid w:val="00162BB2"/>
    <w:rsid w:val="00162D88"/>
    <w:rsid w:val="00166ABA"/>
    <w:rsid w:val="00170CF5"/>
    <w:rsid w:val="001715BF"/>
    <w:rsid w:val="001743FD"/>
    <w:rsid w:val="00175E2B"/>
    <w:rsid w:val="001764E6"/>
    <w:rsid w:val="001773AD"/>
    <w:rsid w:val="001808F1"/>
    <w:rsid w:val="0018317C"/>
    <w:rsid w:val="00183AF5"/>
    <w:rsid w:val="00185922"/>
    <w:rsid w:val="0018679B"/>
    <w:rsid w:val="00187DD7"/>
    <w:rsid w:val="00190F81"/>
    <w:rsid w:val="001913F2"/>
    <w:rsid w:val="00191CD1"/>
    <w:rsid w:val="00193A47"/>
    <w:rsid w:val="00195C62"/>
    <w:rsid w:val="001A33B6"/>
    <w:rsid w:val="001A7B11"/>
    <w:rsid w:val="001B5272"/>
    <w:rsid w:val="001B6BFF"/>
    <w:rsid w:val="001C069F"/>
    <w:rsid w:val="001C0810"/>
    <w:rsid w:val="001C5ED6"/>
    <w:rsid w:val="001C6038"/>
    <w:rsid w:val="001D3A34"/>
    <w:rsid w:val="001D5F0A"/>
    <w:rsid w:val="001D7E87"/>
    <w:rsid w:val="001E153D"/>
    <w:rsid w:val="001E1DB3"/>
    <w:rsid w:val="001E2C07"/>
    <w:rsid w:val="001E6F57"/>
    <w:rsid w:val="001F390A"/>
    <w:rsid w:val="001F43AD"/>
    <w:rsid w:val="001F60A1"/>
    <w:rsid w:val="00200759"/>
    <w:rsid w:val="00200A67"/>
    <w:rsid w:val="00201F88"/>
    <w:rsid w:val="00202332"/>
    <w:rsid w:val="00203B08"/>
    <w:rsid w:val="00204CFE"/>
    <w:rsid w:val="002051BE"/>
    <w:rsid w:val="002111EA"/>
    <w:rsid w:val="00214148"/>
    <w:rsid w:val="00217B3B"/>
    <w:rsid w:val="002210CD"/>
    <w:rsid w:val="002210F4"/>
    <w:rsid w:val="00224DAD"/>
    <w:rsid w:val="0023199F"/>
    <w:rsid w:val="00233F6F"/>
    <w:rsid w:val="0024008F"/>
    <w:rsid w:val="0024052D"/>
    <w:rsid w:val="00240BB9"/>
    <w:rsid w:val="002425AA"/>
    <w:rsid w:val="00243CCE"/>
    <w:rsid w:val="00250502"/>
    <w:rsid w:val="002535FA"/>
    <w:rsid w:val="00254721"/>
    <w:rsid w:val="00257709"/>
    <w:rsid w:val="00263159"/>
    <w:rsid w:val="0026517E"/>
    <w:rsid w:val="00273AE5"/>
    <w:rsid w:val="00275A4E"/>
    <w:rsid w:val="002779F7"/>
    <w:rsid w:val="00285360"/>
    <w:rsid w:val="00286E63"/>
    <w:rsid w:val="00287939"/>
    <w:rsid w:val="00290602"/>
    <w:rsid w:val="002940F0"/>
    <w:rsid w:val="00296580"/>
    <w:rsid w:val="002A0A1C"/>
    <w:rsid w:val="002A2DDD"/>
    <w:rsid w:val="002A380C"/>
    <w:rsid w:val="002B248C"/>
    <w:rsid w:val="002B3A7C"/>
    <w:rsid w:val="002B5970"/>
    <w:rsid w:val="002B59F6"/>
    <w:rsid w:val="002C10C9"/>
    <w:rsid w:val="002C187A"/>
    <w:rsid w:val="002C20F1"/>
    <w:rsid w:val="002C2D5E"/>
    <w:rsid w:val="002C66BA"/>
    <w:rsid w:val="002C7C04"/>
    <w:rsid w:val="002D2863"/>
    <w:rsid w:val="002D3EC0"/>
    <w:rsid w:val="002D4D05"/>
    <w:rsid w:val="002D5EC0"/>
    <w:rsid w:val="002E3DEA"/>
    <w:rsid w:val="002E3FDD"/>
    <w:rsid w:val="002E7CC2"/>
    <w:rsid w:val="002F50FF"/>
    <w:rsid w:val="002F6A9E"/>
    <w:rsid w:val="002F6F9B"/>
    <w:rsid w:val="00300194"/>
    <w:rsid w:val="0030060F"/>
    <w:rsid w:val="0030329A"/>
    <w:rsid w:val="00307F22"/>
    <w:rsid w:val="0031017A"/>
    <w:rsid w:val="00317F91"/>
    <w:rsid w:val="003258A1"/>
    <w:rsid w:val="00327E15"/>
    <w:rsid w:val="003331C6"/>
    <w:rsid w:val="003400A6"/>
    <w:rsid w:val="00345044"/>
    <w:rsid w:val="00351095"/>
    <w:rsid w:val="00352207"/>
    <w:rsid w:val="00353329"/>
    <w:rsid w:val="00354A9C"/>
    <w:rsid w:val="00357239"/>
    <w:rsid w:val="00360050"/>
    <w:rsid w:val="00364973"/>
    <w:rsid w:val="00364C8C"/>
    <w:rsid w:val="00366871"/>
    <w:rsid w:val="00372347"/>
    <w:rsid w:val="00372B9C"/>
    <w:rsid w:val="0037339C"/>
    <w:rsid w:val="003779D4"/>
    <w:rsid w:val="00382398"/>
    <w:rsid w:val="00383F3C"/>
    <w:rsid w:val="00384059"/>
    <w:rsid w:val="003857C6"/>
    <w:rsid w:val="003909E4"/>
    <w:rsid w:val="00394DAE"/>
    <w:rsid w:val="003A1F21"/>
    <w:rsid w:val="003A208A"/>
    <w:rsid w:val="003A24D3"/>
    <w:rsid w:val="003A3E30"/>
    <w:rsid w:val="003A5496"/>
    <w:rsid w:val="003A70FE"/>
    <w:rsid w:val="003A7E5D"/>
    <w:rsid w:val="003B0C35"/>
    <w:rsid w:val="003B0D11"/>
    <w:rsid w:val="003B219E"/>
    <w:rsid w:val="003B2FD1"/>
    <w:rsid w:val="003B471F"/>
    <w:rsid w:val="003B6C13"/>
    <w:rsid w:val="003D29DF"/>
    <w:rsid w:val="003D3EC1"/>
    <w:rsid w:val="003E0AEE"/>
    <w:rsid w:val="003E1CCF"/>
    <w:rsid w:val="003E21B3"/>
    <w:rsid w:val="003E2F8F"/>
    <w:rsid w:val="003E2FF1"/>
    <w:rsid w:val="003E516D"/>
    <w:rsid w:val="004060F4"/>
    <w:rsid w:val="00411E65"/>
    <w:rsid w:val="00412DE9"/>
    <w:rsid w:val="00417EB8"/>
    <w:rsid w:val="00420040"/>
    <w:rsid w:val="00423388"/>
    <w:rsid w:val="00426D73"/>
    <w:rsid w:val="00441D2F"/>
    <w:rsid w:val="00444D2F"/>
    <w:rsid w:val="00445673"/>
    <w:rsid w:val="00446522"/>
    <w:rsid w:val="00451D7B"/>
    <w:rsid w:val="004537C5"/>
    <w:rsid w:val="00454913"/>
    <w:rsid w:val="00457441"/>
    <w:rsid w:val="00457663"/>
    <w:rsid w:val="004579F6"/>
    <w:rsid w:val="00460597"/>
    <w:rsid w:val="004656D0"/>
    <w:rsid w:val="00465B53"/>
    <w:rsid w:val="004677B0"/>
    <w:rsid w:val="00470C27"/>
    <w:rsid w:val="004733BA"/>
    <w:rsid w:val="00473ABD"/>
    <w:rsid w:val="00481CBE"/>
    <w:rsid w:val="00482DCA"/>
    <w:rsid w:val="004858C2"/>
    <w:rsid w:val="00497E66"/>
    <w:rsid w:val="004A0C80"/>
    <w:rsid w:val="004A5E0E"/>
    <w:rsid w:val="004A7FF9"/>
    <w:rsid w:val="004B013C"/>
    <w:rsid w:val="004B4149"/>
    <w:rsid w:val="004B46B0"/>
    <w:rsid w:val="004B6CFD"/>
    <w:rsid w:val="004B7F3D"/>
    <w:rsid w:val="004C204D"/>
    <w:rsid w:val="004C480C"/>
    <w:rsid w:val="004C5BE9"/>
    <w:rsid w:val="004C73BC"/>
    <w:rsid w:val="004D0436"/>
    <w:rsid w:val="004D0936"/>
    <w:rsid w:val="004D1C78"/>
    <w:rsid w:val="004D2731"/>
    <w:rsid w:val="004D3883"/>
    <w:rsid w:val="004E0CC4"/>
    <w:rsid w:val="004E4355"/>
    <w:rsid w:val="004E487F"/>
    <w:rsid w:val="004E5A68"/>
    <w:rsid w:val="004E7ED7"/>
    <w:rsid w:val="004F050D"/>
    <w:rsid w:val="004F063F"/>
    <w:rsid w:val="004F1138"/>
    <w:rsid w:val="004F243D"/>
    <w:rsid w:val="004F3D8D"/>
    <w:rsid w:val="004F51C7"/>
    <w:rsid w:val="004F669C"/>
    <w:rsid w:val="00501B72"/>
    <w:rsid w:val="00502620"/>
    <w:rsid w:val="00506DBD"/>
    <w:rsid w:val="005076F1"/>
    <w:rsid w:val="00510DF8"/>
    <w:rsid w:val="005122E7"/>
    <w:rsid w:val="005123E9"/>
    <w:rsid w:val="00512B91"/>
    <w:rsid w:val="00512EA0"/>
    <w:rsid w:val="005158EB"/>
    <w:rsid w:val="005177C3"/>
    <w:rsid w:val="0052082F"/>
    <w:rsid w:val="00526698"/>
    <w:rsid w:val="00533F3A"/>
    <w:rsid w:val="00536184"/>
    <w:rsid w:val="00542FCC"/>
    <w:rsid w:val="00543938"/>
    <w:rsid w:val="00550D73"/>
    <w:rsid w:val="00550E9B"/>
    <w:rsid w:val="00552F3F"/>
    <w:rsid w:val="00556E8D"/>
    <w:rsid w:val="0055762E"/>
    <w:rsid w:val="005577D5"/>
    <w:rsid w:val="00563310"/>
    <w:rsid w:val="00564069"/>
    <w:rsid w:val="00565445"/>
    <w:rsid w:val="00575334"/>
    <w:rsid w:val="0058018F"/>
    <w:rsid w:val="005831E6"/>
    <w:rsid w:val="00583A98"/>
    <w:rsid w:val="00591554"/>
    <w:rsid w:val="00593736"/>
    <w:rsid w:val="00595917"/>
    <w:rsid w:val="0059778A"/>
    <w:rsid w:val="005A009D"/>
    <w:rsid w:val="005A0AFE"/>
    <w:rsid w:val="005A3181"/>
    <w:rsid w:val="005A6E8E"/>
    <w:rsid w:val="005B0F06"/>
    <w:rsid w:val="005B6141"/>
    <w:rsid w:val="005B693F"/>
    <w:rsid w:val="005C1AD3"/>
    <w:rsid w:val="005C227D"/>
    <w:rsid w:val="005C3F15"/>
    <w:rsid w:val="005D2544"/>
    <w:rsid w:val="005D3F13"/>
    <w:rsid w:val="005D5D99"/>
    <w:rsid w:val="005D66D9"/>
    <w:rsid w:val="005D7927"/>
    <w:rsid w:val="005E7601"/>
    <w:rsid w:val="005F1956"/>
    <w:rsid w:val="005F3989"/>
    <w:rsid w:val="005F4303"/>
    <w:rsid w:val="005F5D5E"/>
    <w:rsid w:val="005F7B20"/>
    <w:rsid w:val="00600A72"/>
    <w:rsid w:val="00601B52"/>
    <w:rsid w:val="0060280B"/>
    <w:rsid w:val="00602E9D"/>
    <w:rsid w:val="00603C0F"/>
    <w:rsid w:val="00604422"/>
    <w:rsid w:val="006046C7"/>
    <w:rsid w:val="0060655E"/>
    <w:rsid w:val="0061127B"/>
    <w:rsid w:val="006156E7"/>
    <w:rsid w:val="00620809"/>
    <w:rsid w:val="0062272C"/>
    <w:rsid w:val="00623F5D"/>
    <w:rsid w:val="006311E8"/>
    <w:rsid w:val="00635517"/>
    <w:rsid w:val="006471FE"/>
    <w:rsid w:val="00647419"/>
    <w:rsid w:val="00647CCB"/>
    <w:rsid w:val="00651341"/>
    <w:rsid w:val="0065752A"/>
    <w:rsid w:val="00666F8B"/>
    <w:rsid w:val="00673EBB"/>
    <w:rsid w:val="00680016"/>
    <w:rsid w:val="006807A2"/>
    <w:rsid w:val="006815B2"/>
    <w:rsid w:val="006826E0"/>
    <w:rsid w:val="0068299F"/>
    <w:rsid w:val="00682B31"/>
    <w:rsid w:val="00684B2D"/>
    <w:rsid w:val="006854A7"/>
    <w:rsid w:val="006864E1"/>
    <w:rsid w:val="00691001"/>
    <w:rsid w:val="00693963"/>
    <w:rsid w:val="00696A02"/>
    <w:rsid w:val="006A1089"/>
    <w:rsid w:val="006A3624"/>
    <w:rsid w:val="006A5858"/>
    <w:rsid w:val="006B1037"/>
    <w:rsid w:val="006B3D18"/>
    <w:rsid w:val="006B4C28"/>
    <w:rsid w:val="006C1291"/>
    <w:rsid w:val="006C3BB0"/>
    <w:rsid w:val="006D190B"/>
    <w:rsid w:val="006D35B2"/>
    <w:rsid w:val="006D50F0"/>
    <w:rsid w:val="006D5252"/>
    <w:rsid w:val="006D784D"/>
    <w:rsid w:val="006E153A"/>
    <w:rsid w:val="006E15BC"/>
    <w:rsid w:val="006E46C7"/>
    <w:rsid w:val="006E56AD"/>
    <w:rsid w:val="006E5763"/>
    <w:rsid w:val="006E5907"/>
    <w:rsid w:val="006E6D04"/>
    <w:rsid w:val="006F47BF"/>
    <w:rsid w:val="006F542D"/>
    <w:rsid w:val="006F6036"/>
    <w:rsid w:val="00702E17"/>
    <w:rsid w:val="007101BB"/>
    <w:rsid w:val="00710609"/>
    <w:rsid w:val="00711FC6"/>
    <w:rsid w:val="00713308"/>
    <w:rsid w:val="007149BB"/>
    <w:rsid w:val="007200D9"/>
    <w:rsid w:val="00720920"/>
    <w:rsid w:val="00725A91"/>
    <w:rsid w:val="00727E01"/>
    <w:rsid w:val="00730675"/>
    <w:rsid w:val="00733A90"/>
    <w:rsid w:val="007348BA"/>
    <w:rsid w:val="0073545F"/>
    <w:rsid w:val="00735836"/>
    <w:rsid w:val="00740014"/>
    <w:rsid w:val="007417D8"/>
    <w:rsid w:val="007430FC"/>
    <w:rsid w:val="00743A58"/>
    <w:rsid w:val="00745222"/>
    <w:rsid w:val="007454D9"/>
    <w:rsid w:val="00751D9D"/>
    <w:rsid w:val="00752E19"/>
    <w:rsid w:val="00754DBD"/>
    <w:rsid w:val="007554E9"/>
    <w:rsid w:val="00757614"/>
    <w:rsid w:val="0076079E"/>
    <w:rsid w:val="007642DA"/>
    <w:rsid w:val="00766367"/>
    <w:rsid w:val="007728B4"/>
    <w:rsid w:val="0077622E"/>
    <w:rsid w:val="00777FE4"/>
    <w:rsid w:val="0078317D"/>
    <w:rsid w:val="0078442C"/>
    <w:rsid w:val="00785E1F"/>
    <w:rsid w:val="0079011C"/>
    <w:rsid w:val="0079075D"/>
    <w:rsid w:val="007910DD"/>
    <w:rsid w:val="0079217A"/>
    <w:rsid w:val="00794C7C"/>
    <w:rsid w:val="0079660C"/>
    <w:rsid w:val="007A2718"/>
    <w:rsid w:val="007A5AE3"/>
    <w:rsid w:val="007A6368"/>
    <w:rsid w:val="007A7924"/>
    <w:rsid w:val="007A7963"/>
    <w:rsid w:val="007B12F0"/>
    <w:rsid w:val="007B4C83"/>
    <w:rsid w:val="007C03A2"/>
    <w:rsid w:val="007C1468"/>
    <w:rsid w:val="007C1741"/>
    <w:rsid w:val="007C3236"/>
    <w:rsid w:val="007C41D7"/>
    <w:rsid w:val="007C5DE5"/>
    <w:rsid w:val="007D3114"/>
    <w:rsid w:val="007D59C8"/>
    <w:rsid w:val="007F0327"/>
    <w:rsid w:val="007F0C0D"/>
    <w:rsid w:val="007F16FB"/>
    <w:rsid w:val="007F1BBA"/>
    <w:rsid w:val="007F23A8"/>
    <w:rsid w:val="007F256F"/>
    <w:rsid w:val="007F56A5"/>
    <w:rsid w:val="007F7B89"/>
    <w:rsid w:val="00801404"/>
    <w:rsid w:val="0081409D"/>
    <w:rsid w:val="0081416E"/>
    <w:rsid w:val="00814E37"/>
    <w:rsid w:val="0081600F"/>
    <w:rsid w:val="0082154E"/>
    <w:rsid w:val="00821658"/>
    <w:rsid w:val="00822678"/>
    <w:rsid w:val="00823D0F"/>
    <w:rsid w:val="00823F79"/>
    <w:rsid w:val="00824C7C"/>
    <w:rsid w:val="00825025"/>
    <w:rsid w:val="0082722D"/>
    <w:rsid w:val="008274F7"/>
    <w:rsid w:val="00835627"/>
    <w:rsid w:val="00835A09"/>
    <w:rsid w:val="008441F9"/>
    <w:rsid w:val="00845BEF"/>
    <w:rsid w:val="00846A99"/>
    <w:rsid w:val="00847F09"/>
    <w:rsid w:val="00861CA1"/>
    <w:rsid w:val="008641D1"/>
    <w:rsid w:val="00870FB9"/>
    <w:rsid w:val="00871E1A"/>
    <w:rsid w:val="00872F67"/>
    <w:rsid w:val="0087461F"/>
    <w:rsid w:val="00875286"/>
    <w:rsid w:val="00881362"/>
    <w:rsid w:val="00882BE1"/>
    <w:rsid w:val="0088391F"/>
    <w:rsid w:val="008841D0"/>
    <w:rsid w:val="008850AA"/>
    <w:rsid w:val="008879E9"/>
    <w:rsid w:val="008909FC"/>
    <w:rsid w:val="00893346"/>
    <w:rsid w:val="00894941"/>
    <w:rsid w:val="00894D19"/>
    <w:rsid w:val="00896564"/>
    <w:rsid w:val="00897C09"/>
    <w:rsid w:val="008A05E0"/>
    <w:rsid w:val="008A0D8D"/>
    <w:rsid w:val="008A151D"/>
    <w:rsid w:val="008B1A69"/>
    <w:rsid w:val="008B6C91"/>
    <w:rsid w:val="008C1A39"/>
    <w:rsid w:val="008C36FD"/>
    <w:rsid w:val="008C6D0F"/>
    <w:rsid w:val="008D1B43"/>
    <w:rsid w:val="008D1FD3"/>
    <w:rsid w:val="008E1D46"/>
    <w:rsid w:val="008E407D"/>
    <w:rsid w:val="008E7DFB"/>
    <w:rsid w:val="008F1322"/>
    <w:rsid w:val="008F3420"/>
    <w:rsid w:val="008F3E4F"/>
    <w:rsid w:val="008F61B0"/>
    <w:rsid w:val="008F62A9"/>
    <w:rsid w:val="008F7327"/>
    <w:rsid w:val="0090059C"/>
    <w:rsid w:val="00901D5A"/>
    <w:rsid w:val="00903570"/>
    <w:rsid w:val="009042DA"/>
    <w:rsid w:val="00905383"/>
    <w:rsid w:val="009076C8"/>
    <w:rsid w:val="00912CA6"/>
    <w:rsid w:val="00915BBE"/>
    <w:rsid w:val="00916849"/>
    <w:rsid w:val="00921D62"/>
    <w:rsid w:val="00922791"/>
    <w:rsid w:val="0092301F"/>
    <w:rsid w:val="00924B20"/>
    <w:rsid w:val="00927CD6"/>
    <w:rsid w:val="00933572"/>
    <w:rsid w:val="009363C7"/>
    <w:rsid w:val="009363E5"/>
    <w:rsid w:val="00942ACB"/>
    <w:rsid w:val="009455E9"/>
    <w:rsid w:val="009523B1"/>
    <w:rsid w:val="0095703F"/>
    <w:rsid w:val="00961293"/>
    <w:rsid w:val="00961B26"/>
    <w:rsid w:val="0096537F"/>
    <w:rsid w:val="00966FB8"/>
    <w:rsid w:val="0096729E"/>
    <w:rsid w:val="00972D36"/>
    <w:rsid w:val="00973BFB"/>
    <w:rsid w:val="00980406"/>
    <w:rsid w:val="009804AA"/>
    <w:rsid w:val="00986ED7"/>
    <w:rsid w:val="00994621"/>
    <w:rsid w:val="00996D85"/>
    <w:rsid w:val="009A03F6"/>
    <w:rsid w:val="009A0CE0"/>
    <w:rsid w:val="009A2C8F"/>
    <w:rsid w:val="009A5ABB"/>
    <w:rsid w:val="009A7B65"/>
    <w:rsid w:val="009B073A"/>
    <w:rsid w:val="009B2A20"/>
    <w:rsid w:val="009B7B4A"/>
    <w:rsid w:val="009C2AF0"/>
    <w:rsid w:val="009C5C3C"/>
    <w:rsid w:val="009C7023"/>
    <w:rsid w:val="009D2AD6"/>
    <w:rsid w:val="009D3A07"/>
    <w:rsid w:val="009D3EDB"/>
    <w:rsid w:val="009D4711"/>
    <w:rsid w:val="009D5DA6"/>
    <w:rsid w:val="009D77A1"/>
    <w:rsid w:val="009E1D70"/>
    <w:rsid w:val="009E228D"/>
    <w:rsid w:val="009E3A84"/>
    <w:rsid w:val="009E72D7"/>
    <w:rsid w:val="009E753A"/>
    <w:rsid w:val="009E7ACC"/>
    <w:rsid w:val="009F100E"/>
    <w:rsid w:val="009F3C6E"/>
    <w:rsid w:val="009F3E51"/>
    <w:rsid w:val="009F450E"/>
    <w:rsid w:val="009F54DA"/>
    <w:rsid w:val="009F6CFD"/>
    <w:rsid w:val="00A04F9B"/>
    <w:rsid w:val="00A06984"/>
    <w:rsid w:val="00A12736"/>
    <w:rsid w:val="00A1324E"/>
    <w:rsid w:val="00A14477"/>
    <w:rsid w:val="00A15E14"/>
    <w:rsid w:val="00A21921"/>
    <w:rsid w:val="00A236F0"/>
    <w:rsid w:val="00A257C4"/>
    <w:rsid w:val="00A265FE"/>
    <w:rsid w:val="00A27BE3"/>
    <w:rsid w:val="00A30286"/>
    <w:rsid w:val="00A31674"/>
    <w:rsid w:val="00A339B9"/>
    <w:rsid w:val="00A40EDF"/>
    <w:rsid w:val="00A41878"/>
    <w:rsid w:val="00A44E00"/>
    <w:rsid w:val="00A4616E"/>
    <w:rsid w:val="00A478D7"/>
    <w:rsid w:val="00A512ED"/>
    <w:rsid w:val="00A54615"/>
    <w:rsid w:val="00A568DF"/>
    <w:rsid w:val="00A63829"/>
    <w:rsid w:val="00A666C6"/>
    <w:rsid w:val="00A71062"/>
    <w:rsid w:val="00A71B8D"/>
    <w:rsid w:val="00A720F3"/>
    <w:rsid w:val="00A73344"/>
    <w:rsid w:val="00A73A79"/>
    <w:rsid w:val="00A77628"/>
    <w:rsid w:val="00A83110"/>
    <w:rsid w:val="00A863A5"/>
    <w:rsid w:val="00A871FF"/>
    <w:rsid w:val="00A9119A"/>
    <w:rsid w:val="00A91754"/>
    <w:rsid w:val="00A93C52"/>
    <w:rsid w:val="00A9526C"/>
    <w:rsid w:val="00AA7368"/>
    <w:rsid w:val="00AB3971"/>
    <w:rsid w:val="00AB4FF9"/>
    <w:rsid w:val="00AB7FFE"/>
    <w:rsid w:val="00AC0D37"/>
    <w:rsid w:val="00AC37B7"/>
    <w:rsid w:val="00AC4C48"/>
    <w:rsid w:val="00AC76B4"/>
    <w:rsid w:val="00AD45EA"/>
    <w:rsid w:val="00AE0857"/>
    <w:rsid w:val="00AE1129"/>
    <w:rsid w:val="00AE6F0E"/>
    <w:rsid w:val="00AE7B21"/>
    <w:rsid w:val="00AF1980"/>
    <w:rsid w:val="00AF2021"/>
    <w:rsid w:val="00AF5091"/>
    <w:rsid w:val="00AF7FF4"/>
    <w:rsid w:val="00B016F8"/>
    <w:rsid w:val="00B025B7"/>
    <w:rsid w:val="00B03550"/>
    <w:rsid w:val="00B03A20"/>
    <w:rsid w:val="00B03D54"/>
    <w:rsid w:val="00B159EF"/>
    <w:rsid w:val="00B2359A"/>
    <w:rsid w:val="00B247EF"/>
    <w:rsid w:val="00B32F70"/>
    <w:rsid w:val="00B348B1"/>
    <w:rsid w:val="00B35F8F"/>
    <w:rsid w:val="00B4098B"/>
    <w:rsid w:val="00B4232D"/>
    <w:rsid w:val="00B45B48"/>
    <w:rsid w:val="00B471BD"/>
    <w:rsid w:val="00B4776D"/>
    <w:rsid w:val="00B50B75"/>
    <w:rsid w:val="00B50C2D"/>
    <w:rsid w:val="00B52314"/>
    <w:rsid w:val="00B53469"/>
    <w:rsid w:val="00B53B83"/>
    <w:rsid w:val="00B554F0"/>
    <w:rsid w:val="00B64904"/>
    <w:rsid w:val="00B70103"/>
    <w:rsid w:val="00B70661"/>
    <w:rsid w:val="00B7364F"/>
    <w:rsid w:val="00B74F3E"/>
    <w:rsid w:val="00B760CE"/>
    <w:rsid w:val="00B85E6B"/>
    <w:rsid w:val="00B923D9"/>
    <w:rsid w:val="00B93184"/>
    <w:rsid w:val="00B936CA"/>
    <w:rsid w:val="00B9477E"/>
    <w:rsid w:val="00B96ED7"/>
    <w:rsid w:val="00B97E3F"/>
    <w:rsid w:val="00BA4987"/>
    <w:rsid w:val="00BA60CE"/>
    <w:rsid w:val="00BB70F4"/>
    <w:rsid w:val="00BB7AB8"/>
    <w:rsid w:val="00BC2429"/>
    <w:rsid w:val="00BC4411"/>
    <w:rsid w:val="00BC5607"/>
    <w:rsid w:val="00BD169A"/>
    <w:rsid w:val="00BD639A"/>
    <w:rsid w:val="00BD7A84"/>
    <w:rsid w:val="00BE0D1D"/>
    <w:rsid w:val="00BE2448"/>
    <w:rsid w:val="00BE24D4"/>
    <w:rsid w:val="00BE2675"/>
    <w:rsid w:val="00BF2BE7"/>
    <w:rsid w:val="00BF4512"/>
    <w:rsid w:val="00BF4941"/>
    <w:rsid w:val="00BF4A21"/>
    <w:rsid w:val="00BF6CD1"/>
    <w:rsid w:val="00C0038F"/>
    <w:rsid w:val="00C05102"/>
    <w:rsid w:val="00C13020"/>
    <w:rsid w:val="00C13FA6"/>
    <w:rsid w:val="00C14D58"/>
    <w:rsid w:val="00C15339"/>
    <w:rsid w:val="00C15695"/>
    <w:rsid w:val="00C15826"/>
    <w:rsid w:val="00C169B7"/>
    <w:rsid w:val="00C169ED"/>
    <w:rsid w:val="00C21E90"/>
    <w:rsid w:val="00C22274"/>
    <w:rsid w:val="00C263A0"/>
    <w:rsid w:val="00C30101"/>
    <w:rsid w:val="00C3590E"/>
    <w:rsid w:val="00C363C7"/>
    <w:rsid w:val="00C4300B"/>
    <w:rsid w:val="00C44645"/>
    <w:rsid w:val="00C45410"/>
    <w:rsid w:val="00C47859"/>
    <w:rsid w:val="00C535D7"/>
    <w:rsid w:val="00C5484D"/>
    <w:rsid w:val="00C55125"/>
    <w:rsid w:val="00C615A9"/>
    <w:rsid w:val="00C618F2"/>
    <w:rsid w:val="00C63E5A"/>
    <w:rsid w:val="00C672CF"/>
    <w:rsid w:val="00C73207"/>
    <w:rsid w:val="00C751C1"/>
    <w:rsid w:val="00C7563E"/>
    <w:rsid w:val="00C7602A"/>
    <w:rsid w:val="00C82160"/>
    <w:rsid w:val="00C82ED9"/>
    <w:rsid w:val="00C84C91"/>
    <w:rsid w:val="00C857B2"/>
    <w:rsid w:val="00C87A2C"/>
    <w:rsid w:val="00C87D68"/>
    <w:rsid w:val="00C9281B"/>
    <w:rsid w:val="00C9347A"/>
    <w:rsid w:val="00C94015"/>
    <w:rsid w:val="00C971F1"/>
    <w:rsid w:val="00CA367A"/>
    <w:rsid w:val="00CA4727"/>
    <w:rsid w:val="00CA4FD2"/>
    <w:rsid w:val="00CB0415"/>
    <w:rsid w:val="00CB1D26"/>
    <w:rsid w:val="00CB46C7"/>
    <w:rsid w:val="00CB7325"/>
    <w:rsid w:val="00CC1436"/>
    <w:rsid w:val="00CC3503"/>
    <w:rsid w:val="00CC4C21"/>
    <w:rsid w:val="00CC57AD"/>
    <w:rsid w:val="00CD0FE9"/>
    <w:rsid w:val="00CD2B56"/>
    <w:rsid w:val="00CD48F1"/>
    <w:rsid w:val="00CD7355"/>
    <w:rsid w:val="00CE1E01"/>
    <w:rsid w:val="00CE1E53"/>
    <w:rsid w:val="00CE3C06"/>
    <w:rsid w:val="00CE5B83"/>
    <w:rsid w:val="00CF1C6B"/>
    <w:rsid w:val="00CF3D4E"/>
    <w:rsid w:val="00CF4412"/>
    <w:rsid w:val="00CF6EDD"/>
    <w:rsid w:val="00D01FBE"/>
    <w:rsid w:val="00D0237C"/>
    <w:rsid w:val="00D03464"/>
    <w:rsid w:val="00D03D59"/>
    <w:rsid w:val="00D04A32"/>
    <w:rsid w:val="00D05922"/>
    <w:rsid w:val="00D107A3"/>
    <w:rsid w:val="00D147EA"/>
    <w:rsid w:val="00D20DBB"/>
    <w:rsid w:val="00D21383"/>
    <w:rsid w:val="00D21E59"/>
    <w:rsid w:val="00D2766C"/>
    <w:rsid w:val="00D27954"/>
    <w:rsid w:val="00D31F7C"/>
    <w:rsid w:val="00D42AE1"/>
    <w:rsid w:val="00D46C91"/>
    <w:rsid w:val="00D51BC7"/>
    <w:rsid w:val="00D576DC"/>
    <w:rsid w:val="00D605A4"/>
    <w:rsid w:val="00D60F05"/>
    <w:rsid w:val="00D61B13"/>
    <w:rsid w:val="00D62821"/>
    <w:rsid w:val="00D6463D"/>
    <w:rsid w:val="00D672DF"/>
    <w:rsid w:val="00D6731D"/>
    <w:rsid w:val="00D72AFE"/>
    <w:rsid w:val="00D752DC"/>
    <w:rsid w:val="00D755FD"/>
    <w:rsid w:val="00D7746A"/>
    <w:rsid w:val="00D81BF2"/>
    <w:rsid w:val="00D838FE"/>
    <w:rsid w:val="00D8406F"/>
    <w:rsid w:val="00D859C7"/>
    <w:rsid w:val="00D85C0A"/>
    <w:rsid w:val="00D9021F"/>
    <w:rsid w:val="00D93A55"/>
    <w:rsid w:val="00D960AA"/>
    <w:rsid w:val="00DA1080"/>
    <w:rsid w:val="00DA12C2"/>
    <w:rsid w:val="00DA41ED"/>
    <w:rsid w:val="00DB2A6A"/>
    <w:rsid w:val="00DB30A6"/>
    <w:rsid w:val="00DB70AD"/>
    <w:rsid w:val="00DC17B9"/>
    <w:rsid w:val="00DC75C3"/>
    <w:rsid w:val="00DD3173"/>
    <w:rsid w:val="00DD464A"/>
    <w:rsid w:val="00DD5A65"/>
    <w:rsid w:val="00DD6A5C"/>
    <w:rsid w:val="00DD6A9E"/>
    <w:rsid w:val="00DE317C"/>
    <w:rsid w:val="00DE3D1B"/>
    <w:rsid w:val="00DE4A67"/>
    <w:rsid w:val="00DE6404"/>
    <w:rsid w:val="00DE7EC1"/>
    <w:rsid w:val="00DF723D"/>
    <w:rsid w:val="00E019BC"/>
    <w:rsid w:val="00E07841"/>
    <w:rsid w:val="00E137DD"/>
    <w:rsid w:val="00E14A28"/>
    <w:rsid w:val="00E210F0"/>
    <w:rsid w:val="00E21143"/>
    <w:rsid w:val="00E23367"/>
    <w:rsid w:val="00E31B92"/>
    <w:rsid w:val="00E3772F"/>
    <w:rsid w:val="00E40115"/>
    <w:rsid w:val="00E40273"/>
    <w:rsid w:val="00E42D01"/>
    <w:rsid w:val="00E4341C"/>
    <w:rsid w:val="00E4580D"/>
    <w:rsid w:val="00E45AF4"/>
    <w:rsid w:val="00E475D4"/>
    <w:rsid w:val="00E51A0D"/>
    <w:rsid w:val="00E51B3C"/>
    <w:rsid w:val="00E52835"/>
    <w:rsid w:val="00E546BB"/>
    <w:rsid w:val="00E54D2A"/>
    <w:rsid w:val="00E55E60"/>
    <w:rsid w:val="00E61104"/>
    <w:rsid w:val="00E62776"/>
    <w:rsid w:val="00E63D5D"/>
    <w:rsid w:val="00E73F74"/>
    <w:rsid w:val="00E743E7"/>
    <w:rsid w:val="00E74D1C"/>
    <w:rsid w:val="00E7620E"/>
    <w:rsid w:val="00E8711C"/>
    <w:rsid w:val="00E8776E"/>
    <w:rsid w:val="00E9237A"/>
    <w:rsid w:val="00E93497"/>
    <w:rsid w:val="00E95410"/>
    <w:rsid w:val="00EA0B88"/>
    <w:rsid w:val="00EA1EA8"/>
    <w:rsid w:val="00EA3131"/>
    <w:rsid w:val="00EA7D4B"/>
    <w:rsid w:val="00EB2285"/>
    <w:rsid w:val="00EB358C"/>
    <w:rsid w:val="00EB3799"/>
    <w:rsid w:val="00EC2A95"/>
    <w:rsid w:val="00EC4294"/>
    <w:rsid w:val="00EC681E"/>
    <w:rsid w:val="00ED02D3"/>
    <w:rsid w:val="00ED0B17"/>
    <w:rsid w:val="00ED244C"/>
    <w:rsid w:val="00ED477B"/>
    <w:rsid w:val="00ED5E31"/>
    <w:rsid w:val="00EE4815"/>
    <w:rsid w:val="00EE50E5"/>
    <w:rsid w:val="00EE64C1"/>
    <w:rsid w:val="00EF1646"/>
    <w:rsid w:val="00EF246C"/>
    <w:rsid w:val="00EF759A"/>
    <w:rsid w:val="00F05AA0"/>
    <w:rsid w:val="00F05AA3"/>
    <w:rsid w:val="00F061CB"/>
    <w:rsid w:val="00F06639"/>
    <w:rsid w:val="00F11793"/>
    <w:rsid w:val="00F12E7B"/>
    <w:rsid w:val="00F13551"/>
    <w:rsid w:val="00F15606"/>
    <w:rsid w:val="00F21A65"/>
    <w:rsid w:val="00F24050"/>
    <w:rsid w:val="00F248AA"/>
    <w:rsid w:val="00F31539"/>
    <w:rsid w:val="00F33799"/>
    <w:rsid w:val="00F34F33"/>
    <w:rsid w:val="00F416BE"/>
    <w:rsid w:val="00F41C6B"/>
    <w:rsid w:val="00F42758"/>
    <w:rsid w:val="00F44439"/>
    <w:rsid w:val="00F444EC"/>
    <w:rsid w:val="00F454A4"/>
    <w:rsid w:val="00F45FE3"/>
    <w:rsid w:val="00F463EB"/>
    <w:rsid w:val="00F54D03"/>
    <w:rsid w:val="00F55165"/>
    <w:rsid w:val="00F57518"/>
    <w:rsid w:val="00F6347A"/>
    <w:rsid w:val="00F70F64"/>
    <w:rsid w:val="00F715D0"/>
    <w:rsid w:val="00F726F5"/>
    <w:rsid w:val="00F74AC2"/>
    <w:rsid w:val="00F7503A"/>
    <w:rsid w:val="00F76EAE"/>
    <w:rsid w:val="00F814D8"/>
    <w:rsid w:val="00F81FEF"/>
    <w:rsid w:val="00F9299C"/>
    <w:rsid w:val="00F93845"/>
    <w:rsid w:val="00F94B0B"/>
    <w:rsid w:val="00F978B9"/>
    <w:rsid w:val="00FA61AF"/>
    <w:rsid w:val="00FB2C17"/>
    <w:rsid w:val="00FB649E"/>
    <w:rsid w:val="00FB6ADA"/>
    <w:rsid w:val="00FC086F"/>
    <w:rsid w:val="00FC236A"/>
    <w:rsid w:val="00FC528B"/>
    <w:rsid w:val="00FD3A06"/>
    <w:rsid w:val="00FD7853"/>
    <w:rsid w:val="00FD7D14"/>
    <w:rsid w:val="00FE0914"/>
    <w:rsid w:val="00FE79B8"/>
    <w:rsid w:val="00FF0EDD"/>
    <w:rsid w:val="00F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EA78C6A"/>
  <w15:docId w15:val="{C7D3D37E-310B-47B2-92AB-2889C548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rsid w:val="00CC57AD"/>
    <w:pPr>
      <w:widowControl/>
      <w:adjustRightInd/>
    </w:pPr>
    <w:rPr>
      <w:color w:val="000000"/>
      <w:sz w:val="24"/>
      <w:lang w:val="en-GB" w:eastAsia="en-GB"/>
    </w:rPr>
  </w:style>
  <w:style w:type="character" w:customStyle="1" w:styleId="st">
    <w:name w:val="st"/>
    <w:rsid w:val="004B7F3D"/>
  </w:style>
  <w:style w:type="table" w:styleId="TableGrid">
    <w:name w:val="Table Grid"/>
    <w:basedOn w:val="TableNormal"/>
    <w:locked/>
    <w:rsid w:val="00101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2227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ms.int/sites/default/files/document/Res_11_01_Asuntos_administrativos_y_financieros.pdf" TargetMode="Externa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03126-A553-461A-A10B-29942B86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0</TotalTime>
  <Pages>8</Pages>
  <Words>3146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20246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barbara.schoenberg@cms.int</dc:creator>
  <cp:keywords/>
  <cp:lastModifiedBy>Ximena Cancino</cp:lastModifiedBy>
  <cp:revision>2</cp:revision>
  <cp:lastPrinted>2017-07-25T17:28:00Z</cp:lastPrinted>
  <dcterms:created xsi:type="dcterms:W3CDTF">2017-08-21T11:23:00Z</dcterms:created>
  <dcterms:modified xsi:type="dcterms:W3CDTF">2017-08-21T11:23:00Z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