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002A9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noProof/>
                <w:szCs w:val="24"/>
                <w:lang w:val="es-ES" w:eastAsia="es-ES"/>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fr-FR"/>
              </w:rPr>
            </w:pPr>
            <w:r w:rsidRPr="00002A97">
              <w:rPr>
                <w:rFonts w:eastAsia="Times New Roman" w:cs="Arial"/>
                <w:szCs w:val="24"/>
                <w:lang w:val="fr-FR" w:eastAsia="es-ES"/>
              </w:rPr>
              <w:t>UNEP/CMS/COP13/Doc.</w:t>
            </w:r>
            <w:r w:rsidR="00D746E9">
              <w:rPr>
                <w:rFonts w:eastAsia="Times New Roman" w:cs="Arial"/>
                <w:szCs w:val="24"/>
                <w:lang w:val="fr-FR" w:eastAsia="es-ES"/>
              </w:rPr>
              <w:t>28.2.10</w:t>
            </w:r>
          </w:p>
          <w:p w:rsidR="00002A97" w:rsidRPr="00002A97" w:rsidRDefault="00D746E9"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sidRPr="00D746E9">
              <w:rPr>
                <w:rFonts w:eastAsia="Times New Roman" w:cs="Arial"/>
                <w:szCs w:val="24"/>
                <w:lang w:val="es-ES_tradnl" w:eastAsia="es-ES"/>
              </w:rPr>
              <w:t xml:space="preserve">14 de </w:t>
            </w:r>
            <w:proofErr w:type="spellStart"/>
            <w:r w:rsidRPr="00D746E9">
              <w:rPr>
                <w:rFonts w:eastAsia="Times New Roman" w:cs="Arial"/>
                <w:szCs w:val="24"/>
                <w:lang w:val="es-ES_tradnl" w:eastAsia="es-ES"/>
              </w:rPr>
              <w:t>octubre</w:t>
            </w:r>
            <w:proofErr w:type="spellEnd"/>
            <w:r w:rsidRPr="00D746E9">
              <w:rPr>
                <w:rFonts w:eastAsia="Times New Roman" w:cs="Arial"/>
                <w:szCs w:val="24"/>
                <w:lang w:val="es-ES_tradnl" w:eastAsia="es-ES"/>
              </w:rPr>
              <w:t xml:space="preserve"> </w:t>
            </w:r>
            <w:r w:rsidR="00002A97" w:rsidRPr="00D746E9">
              <w:rPr>
                <w:rFonts w:eastAsia="Times New Roman" w:cs="Arial"/>
                <w:szCs w:val="24"/>
                <w:lang w:val="es-ES_tradnl" w:eastAsia="es-ES"/>
              </w:rPr>
              <w:t>2019</w:t>
            </w:r>
          </w:p>
          <w:p w:rsidR="00002A97" w:rsidRPr="00002A97" w:rsidRDefault="00002A97" w:rsidP="00D746E9">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D746E9" w:rsidRPr="00D746E9">
        <w:rPr>
          <w:rFonts w:eastAsia="Times New Roman" w:cs="Arial"/>
          <w:szCs w:val="24"/>
          <w:lang w:val="es-ES" w:eastAsia="es-ES"/>
        </w:rPr>
        <w:t xml:space="preserve">28.2 </w:t>
      </w:r>
      <w:r w:rsidRPr="00002A97">
        <w:rPr>
          <w:rFonts w:eastAsia="Times New Roman" w:cs="Arial"/>
          <w:szCs w:val="24"/>
          <w:lang w:val="es-ES" w:eastAsia="es-ES"/>
        </w:rPr>
        <w:t>del orden del día</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Pr>
          <w:rFonts w:eastAsia="Times New Roman" w:cs="Arial"/>
          <w:b/>
          <w:bCs/>
          <w:lang w:val="es-ES"/>
        </w:rPr>
        <w:t>PROPUESTA DE ACCIÓN CONCERTADA PARA</w:t>
      </w:r>
    </w:p>
    <w:p w:rsidR="007F347C" w:rsidRPr="007F347C" w:rsidRDefault="007F347C" w:rsidP="007F347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7D16AC">
        <w:rPr>
          <w:rFonts w:eastAsia="Times New Roman" w:cs="Arial"/>
          <w:b/>
          <w:bCs/>
          <w:lang w:val="es-ES"/>
        </w:rPr>
        <w:t>LA AVUTARDA DE LA INDIA (</w:t>
      </w:r>
      <w:proofErr w:type="spellStart"/>
      <w:r w:rsidRPr="00EA4491">
        <w:rPr>
          <w:rFonts w:eastAsia="Times New Roman" w:cs="Arial"/>
          <w:b/>
          <w:bCs/>
          <w:i/>
          <w:lang w:val="es-ES"/>
        </w:rPr>
        <w:t>Ardeotis</w:t>
      </w:r>
      <w:proofErr w:type="spellEnd"/>
      <w:r w:rsidRPr="00EA4491">
        <w:rPr>
          <w:rFonts w:eastAsia="Times New Roman" w:cs="Arial"/>
          <w:b/>
          <w:bCs/>
          <w:i/>
          <w:lang w:val="es-ES"/>
        </w:rPr>
        <w:t xml:space="preserve"> </w:t>
      </w:r>
      <w:proofErr w:type="spellStart"/>
      <w:r w:rsidRPr="00EA4491">
        <w:rPr>
          <w:rFonts w:eastAsia="Times New Roman" w:cs="Arial"/>
          <w:b/>
          <w:bCs/>
          <w:i/>
          <w:lang w:val="es-ES"/>
        </w:rPr>
        <w:t>nigriceps</w:t>
      </w:r>
      <w:proofErr w:type="spellEnd"/>
      <w:r>
        <w:rPr>
          <w:rFonts w:eastAsia="Times New Roman" w:cs="Arial"/>
          <w:b/>
          <w:bCs/>
          <w:lang w:val="es-ES"/>
        </w:rPr>
        <w:t>)</w:t>
      </w:r>
      <w:r w:rsidRPr="007D16AC">
        <w:rPr>
          <w:rFonts w:eastAsia="Times New Roman" w:cs="Arial"/>
          <w:b/>
          <w:bCs/>
          <w:lang w:val="es-ES"/>
        </w:rPr>
        <w:t xml:space="preserve"> </w:t>
      </w:r>
    </w:p>
    <w:p w:rsidR="007F347C" w:rsidRPr="007F347C" w:rsidRDefault="007F347C" w:rsidP="007F347C">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Pr>
          <w:rFonts w:eastAsia="Times New Roman" w:cs="Arial"/>
          <w:b/>
          <w:bCs/>
          <w:lang w:val="es-ES"/>
        </w:rPr>
        <w:t>PROPUESTA PARA SU INCLUSIÓN EN EL APÉNDICE I DE LA CONVENCIÓN</w:t>
      </w:r>
      <w:r>
        <w:rPr>
          <w:rFonts w:eastAsia="Times New Roman" w:cs="Arial"/>
          <w:sz w:val="21"/>
          <w:szCs w:val="21"/>
          <w:lang w:val="es-ES"/>
        </w:rPr>
        <w:t>*</w:t>
      </w:r>
    </w:p>
    <w:p w:rsidR="007F347C" w:rsidRPr="007F347C" w:rsidRDefault="007F347C" w:rsidP="007F347C">
      <w:pPr>
        <w:widowControl w:val="0"/>
        <w:autoSpaceDE w:val="0"/>
        <w:spacing w:after="0"/>
        <w:jc w:val="center"/>
        <w:rPr>
          <w:rFonts w:eastAsia="Times New Roman" w:cs="Arial"/>
          <w:i/>
          <w:lang w:val="es-ES"/>
        </w:rPr>
      </w:pPr>
    </w:p>
    <w:p w:rsidR="007F347C" w:rsidRPr="007F347C" w:rsidRDefault="007F347C" w:rsidP="007F347C">
      <w:pPr>
        <w:widowControl w:val="0"/>
        <w:autoSpaceDE w:val="0"/>
        <w:spacing w:after="0"/>
        <w:jc w:val="both"/>
        <w:rPr>
          <w:rFonts w:eastAsia="Times New Roman" w:cs="Arial"/>
          <w:sz w:val="21"/>
          <w:szCs w:val="21"/>
          <w:lang w:val="es-ES"/>
        </w:rPr>
      </w:pPr>
    </w:p>
    <w:p w:rsidR="007F347C" w:rsidRPr="007F347C" w:rsidRDefault="007F347C" w:rsidP="007F347C">
      <w:pPr>
        <w:widowControl w:val="0"/>
        <w:tabs>
          <w:tab w:val="left" w:pos="8295"/>
        </w:tabs>
        <w:autoSpaceDE w:val="0"/>
        <w:spacing w:after="0"/>
        <w:jc w:val="both"/>
        <w:rPr>
          <w:rFonts w:eastAsia="Times New Roman" w:cs="Arial"/>
          <w:sz w:val="21"/>
          <w:szCs w:val="21"/>
          <w:lang w:val="es-ES"/>
        </w:rPr>
      </w:pPr>
    </w:p>
    <w:p w:rsidR="007F347C" w:rsidRPr="007F347C" w:rsidRDefault="007F347C" w:rsidP="007F347C">
      <w:pPr>
        <w:widowControl w:val="0"/>
        <w:autoSpaceDE w:val="0"/>
        <w:spacing w:after="0"/>
        <w:rPr>
          <w:lang w:val="es-ES"/>
        </w:rPr>
      </w:pPr>
      <w:r>
        <w:rPr>
          <w:rFonts w:eastAsia="Times New Roman" w:cs="Arial"/>
          <w:noProof/>
          <w:sz w:val="21"/>
          <w:szCs w:val="21"/>
          <w:lang w:val="es-ES" w:eastAsia="es-ES"/>
        </w:rPr>
        <mc:AlternateContent>
          <mc:Choice Requires="wps">
            <w:drawing>
              <wp:anchor distT="0" distB="0" distL="114300" distR="114300" simplePos="0" relativeHeight="251659264" behindDoc="0" locked="0" layoutInCell="1" allowOverlap="1" wp14:anchorId="7EFF3C41" wp14:editId="20B77AD5">
                <wp:simplePos x="0" y="0"/>
                <wp:positionH relativeFrom="column">
                  <wp:posOffset>808990</wp:posOffset>
                </wp:positionH>
                <wp:positionV relativeFrom="paragraph">
                  <wp:posOffset>11430</wp:posOffset>
                </wp:positionV>
                <wp:extent cx="4304666" cy="10572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057275"/>
                        </a:xfrm>
                        <a:prstGeom prst="rect">
                          <a:avLst/>
                        </a:prstGeom>
                        <a:solidFill>
                          <a:srgbClr val="FFFFFF"/>
                        </a:solidFill>
                        <a:ln w="3172">
                          <a:solidFill>
                            <a:srgbClr val="000000"/>
                          </a:solidFill>
                          <a:prstDash val="solid"/>
                        </a:ln>
                      </wps:spPr>
                      <wps:txbx>
                        <w:txbxContent>
                          <w:p w:rsidR="007F347C" w:rsidRPr="007F347C" w:rsidRDefault="007F347C" w:rsidP="007F347C">
                            <w:pPr>
                              <w:spacing w:after="0"/>
                              <w:jc w:val="both"/>
                              <w:rPr>
                                <w:rFonts w:cs="Arial"/>
                                <w:lang w:val="es-ES"/>
                              </w:rPr>
                            </w:pPr>
                            <w:r w:rsidRPr="007F347C">
                              <w:rPr>
                                <w:rFonts w:cs="Arial"/>
                                <w:lang w:val="es-ES"/>
                              </w:rPr>
                              <w:t>Resumen:</w:t>
                            </w:r>
                          </w:p>
                          <w:p w:rsidR="007F347C" w:rsidRPr="007F347C" w:rsidRDefault="007F347C" w:rsidP="007F347C">
                            <w:pPr>
                              <w:widowControl w:val="0"/>
                              <w:autoSpaceDE w:val="0"/>
                              <w:spacing w:after="0"/>
                              <w:jc w:val="both"/>
                              <w:rPr>
                                <w:rFonts w:eastAsia="Times New Roman" w:cs="Arial"/>
                                <w:sz w:val="21"/>
                                <w:szCs w:val="21"/>
                                <w:lang w:val="es-ES"/>
                              </w:rPr>
                            </w:pPr>
                          </w:p>
                          <w:p w:rsidR="007F347C" w:rsidRPr="007F347C" w:rsidRDefault="007F347C" w:rsidP="007F347C">
                            <w:pPr>
                              <w:widowControl w:val="0"/>
                              <w:autoSpaceDE w:val="0"/>
                              <w:spacing w:after="0"/>
                              <w:jc w:val="both"/>
                              <w:rPr>
                                <w:rFonts w:eastAsia="Times New Roman" w:cs="Arial"/>
                                <w:sz w:val="21"/>
                                <w:szCs w:val="21"/>
                                <w:lang w:val="es-ES"/>
                              </w:rPr>
                            </w:pPr>
                            <w:r>
                              <w:rPr>
                                <w:rFonts w:eastAsia="Times New Roman" w:cs="Arial"/>
                                <w:sz w:val="21"/>
                                <w:szCs w:val="21"/>
                                <w:lang w:val="es-ES"/>
                              </w:rPr>
                              <w:t>El Gobierno de India ha enviado la propuesta adjunta de una acción concertada para la avutarda de la India (</w:t>
                            </w:r>
                            <w:proofErr w:type="spellStart"/>
                            <w:r w:rsidRPr="00180D51">
                              <w:rPr>
                                <w:rFonts w:eastAsia="Times New Roman" w:cs="Arial"/>
                                <w:i/>
                                <w:sz w:val="21"/>
                                <w:szCs w:val="21"/>
                                <w:lang w:val="es-ES"/>
                              </w:rPr>
                              <w:t>Ardeotis</w:t>
                            </w:r>
                            <w:proofErr w:type="spellEnd"/>
                            <w:r w:rsidRPr="00180D51">
                              <w:rPr>
                                <w:rFonts w:eastAsia="Times New Roman" w:cs="Arial"/>
                                <w:i/>
                                <w:sz w:val="21"/>
                                <w:szCs w:val="21"/>
                                <w:lang w:val="es-ES"/>
                              </w:rPr>
                              <w:t xml:space="preserve"> </w:t>
                            </w:r>
                            <w:proofErr w:type="spellStart"/>
                            <w:r w:rsidRPr="00180D51">
                              <w:rPr>
                                <w:rFonts w:eastAsia="Times New Roman" w:cs="Arial"/>
                                <w:i/>
                                <w:sz w:val="21"/>
                                <w:szCs w:val="21"/>
                                <w:lang w:val="es-ES"/>
                              </w:rPr>
                              <w:t>nigriceps</w:t>
                            </w:r>
                            <w:proofErr w:type="spellEnd"/>
                            <w:r w:rsidRPr="00180D51">
                              <w:rPr>
                                <w:rFonts w:eastAsia="Times New Roman" w:cs="Arial"/>
                                <w:sz w:val="21"/>
                                <w:szCs w:val="21"/>
                                <w:lang w:val="es-ES"/>
                              </w:rPr>
                              <w:t>), de acuerdo con el proceso descrito en la Resolución 12.28.</w:t>
                            </w:r>
                          </w:p>
                          <w:p w:rsidR="007F347C" w:rsidRPr="007F347C" w:rsidRDefault="007F347C" w:rsidP="007F347C">
                            <w:pPr>
                              <w:spacing w:after="0"/>
                              <w:jc w:val="both"/>
                              <w:rPr>
                                <w:rFonts w:cs="Arial"/>
                                <w:lang w:val="es-ES"/>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7EFF3C41" id="_x0000_t202" coordsize="21600,21600" o:spt="202" path="m,l,21600r21600,l21600,xe">
                <v:stroke joinstyle="miter"/>
                <v:path gradientshapeok="t" o:connecttype="rect"/>
              </v:shapetype>
              <v:shape id="Text Box 4" o:spid="_x0000_s1026" type="#_x0000_t202" style="position:absolute;margin-left:63.7pt;margin-top:.9pt;width:338.9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" strokeweight=".08811mm">
                <v:textbox>
                  <w:txbxContent>
                    <w:p w:rsidR="007F347C" w:rsidRPr="007F347C" w:rsidRDefault="007F347C" w:rsidP="007F347C">
                      <w:pPr>
                        <w:spacing w:after="0"/>
                        <w:jc w:val="both"/>
                        <w:rPr>
                          <w:rFonts w:cs="Arial"/>
                          <w:lang w:val="es-ES"/>
                        </w:rPr>
                      </w:pPr>
                      <w:r w:rsidRPr="007F347C">
                        <w:rPr>
                          <w:rFonts w:cs="Arial"/>
                          <w:lang w:val="es-ES"/>
                        </w:rPr>
                        <w:t>Resumen:</w:t>
                      </w:r>
                    </w:p>
                    <w:p w:rsidR="007F347C" w:rsidRPr="007F347C" w:rsidRDefault="007F347C" w:rsidP="007F347C">
                      <w:pPr>
                        <w:widowControl w:val="0"/>
                        <w:autoSpaceDE w:val="0"/>
                        <w:spacing w:after="0"/>
                        <w:jc w:val="both"/>
                        <w:rPr>
                          <w:rFonts w:eastAsia="Times New Roman" w:cs="Arial"/>
                          <w:sz w:val="21"/>
                          <w:szCs w:val="21"/>
                          <w:lang w:val="es-ES"/>
                        </w:rPr>
                      </w:pPr>
                    </w:p>
                    <w:p w:rsidR="007F347C" w:rsidRPr="007F347C" w:rsidRDefault="007F347C" w:rsidP="007F347C">
                      <w:pPr>
                        <w:widowControl w:val="0"/>
                        <w:autoSpaceDE w:val="0"/>
                        <w:spacing w:after="0"/>
                        <w:jc w:val="both"/>
                        <w:rPr>
                          <w:rFonts w:eastAsia="Times New Roman" w:cs="Arial"/>
                          <w:sz w:val="21"/>
                          <w:szCs w:val="21"/>
                          <w:lang w:val="es-ES"/>
                        </w:rPr>
                      </w:pPr>
                      <w:r>
                        <w:rPr>
                          <w:rFonts w:eastAsia="Times New Roman" w:cs="Arial"/>
                          <w:sz w:val="21"/>
                          <w:szCs w:val="21"/>
                          <w:lang w:val="es-ES"/>
                        </w:rPr>
                        <w:t>El Gobierno de India ha enviado la propuesta adjunta de una acción concertada para la avutarda de la India (</w:t>
                      </w:r>
                      <w:proofErr w:type="spellStart"/>
                      <w:r w:rsidRPr="00180D51">
                        <w:rPr>
                          <w:rFonts w:eastAsia="Times New Roman" w:cs="Arial"/>
                          <w:i/>
                          <w:sz w:val="21"/>
                          <w:szCs w:val="21"/>
                          <w:lang w:val="es-ES"/>
                        </w:rPr>
                        <w:t>Ardeotis</w:t>
                      </w:r>
                      <w:proofErr w:type="spellEnd"/>
                      <w:r w:rsidRPr="00180D51">
                        <w:rPr>
                          <w:rFonts w:eastAsia="Times New Roman" w:cs="Arial"/>
                          <w:i/>
                          <w:sz w:val="21"/>
                          <w:szCs w:val="21"/>
                          <w:lang w:val="es-ES"/>
                        </w:rPr>
                        <w:t xml:space="preserve"> </w:t>
                      </w:r>
                      <w:proofErr w:type="spellStart"/>
                      <w:r w:rsidRPr="00180D51">
                        <w:rPr>
                          <w:rFonts w:eastAsia="Times New Roman" w:cs="Arial"/>
                          <w:i/>
                          <w:sz w:val="21"/>
                          <w:szCs w:val="21"/>
                          <w:lang w:val="es-ES"/>
                        </w:rPr>
                        <w:t>nigriceps</w:t>
                      </w:r>
                      <w:proofErr w:type="spellEnd"/>
                      <w:r w:rsidRPr="00180D51">
                        <w:rPr>
                          <w:rFonts w:eastAsia="Times New Roman" w:cs="Arial"/>
                          <w:sz w:val="21"/>
                          <w:szCs w:val="21"/>
                          <w:lang w:val="es-ES"/>
                        </w:rPr>
                        <w:t>), de acuerdo con el proceso descrito en la Resolución 12.28.</w:t>
                      </w:r>
                    </w:p>
                    <w:p w:rsidR="007F347C" w:rsidRPr="007F347C" w:rsidRDefault="007F347C" w:rsidP="007F347C">
                      <w:pPr>
                        <w:spacing w:after="0"/>
                        <w:jc w:val="both"/>
                        <w:rPr>
                          <w:rFonts w:cs="Arial"/>
                          <w:lang w:val="es-ES"/>
                        </w:rPr>
                      </w:pPr>
                    </w:p>
                  </w:txbxContent>
                </v:textbox>
              </v:shape>
            </w:pict>
          </mc:Fallback>
        </mc:AlternateContent>
      </w: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sz w:val="21"/>
          <w:szCs w:val="21"/>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7F347C" w:rsidRPr="007F347C" w:rsidRDefault="007F347C" w:rsidP="007F347C">
      <w:pPr>
        <w:widowControl w:val="0"/>
        <w:autoSpaceDE w:val="0"/>
        <w:spacing w:after="0"/>
        <w:rPr>
          <w:rFonts w:eastAsia="Times New Roman" w:cs="Arial"/>
          <w:lang w:val="es-ES"/>
        </w:rPr>
      </w:pPr>
    </w:p>
    <w:p w:rsidR="00D746E9" w:rsidRDefault="00D746E9" w:rsidP="00D746E9">
      <w:pPr>
        <w:widowControl w:val="0"/>
        <w:autoSpaceDE w:val="0"/>
        <w:spacing w:after="0" w:line="240" w:lineRule="auto"/>
        <w:rPr>
          <w:rFonts w:eastAsia="Times New Roman"/>
          <w:lang w:val="es-ES" w:eastAsia="es-ES"/>
        </w:rPr>
      </w:pPr>
    </w:p>
    <w:p w:rsidR="00D746E9" w:rsidRDefault="00D746E9" w:rsidP="00D746E9">
      <w:pPr>
        <w:widowControl w:val="0"/>
        <w:autoSpaceDE w:val="0"/>
        <w:spacing w:after="0" w:line="240" w:lineRule="auto"/>
        <w:rPr>
          <w:rFonts w:eastAsia="Times New Roman"/>
          <w:lang w:val="es-ES" w:eastAsia="es-ES"/>
        </w:rPr>
      </w:pPr>
    </w:p>
    <w:p w:rsidR="00D746E9" w:rsidRDefault="00D746E9" w:rsidP="00D746E9">
      <w:pPr>
        <w:widowControl w:val="0"/>
        <w:autoSpaceDE w:val="0"/>
        <w:spacing w:after="0" w:line="240" w:lineRule="auto"/>
        <w:rPr>
          <w:rFonts w:eastAsia="Times New Roman"/>
          <w:lang w:val="es-ES" w:eastAsia="es-ES"/>
        </w:rPr>
      </w:pPr>
    </w:p>
    <w:p w:rsidR="00D746E9" w:rsidRDefault="00D746E9" w:rsidP="00D746E9">
      <w:pPr>
        <w:widowControl w:val="0"/>
        <w:autoSpaceDE w:val="0"/>
        <w:spacing w:after="0" w:line="240" w:lineRule="auto"/>
        <w:rPr>
          <w:rFonts w:eastAsia="Times New Roman"/>
          <w:lang w:val="es-ES" w:eastAsia="es-ES"/>
        </w:rPr>
      </w:pPr>
    </w:p>
    <w:p w:rsidR="00D746E9" w:rsidRDefault="00D746E9" w:rsidP="00D746E9">
      <w:pPr>
        <w:widowControl w:val="0"/>
        <w:autoSpaceDE w:val="0"/>
        <w:spacing w:after="0" w:line="240" w:lineRule="auto"/>
        <w:rPr>
          <w:rFonts w:eastAsia="Times New Roman"/>
          <w:lang w:val="es-ES" w:eastAsia="es-ES"/>
        </w:rPr>
      </w:pPr>
    </w:p>
    <w:p w:rsidR="00D746E9" w:rsidRPr="00C65193" w:rsidRDefault="00D746E9" w:rsidP="00D746E9">
      <w:pPr>
        <w:widowControl w:val="0"/>
        <w:autoSpaceDE w:val="0"/>
        <w:spacing w:after="0" w:line="240" w:lineRule="auto"/>
        <w:jc w:val="both"/>
        <w:rPr>
          <w:lang w:val="es-ES"/>
        </w:rPr>
      </w:pPr>
      <w:r>
        <w:rPr>
          <w:rFonts w:eastAsia="Times New Roman"/>
          <w:sz w:val="18"/>
          <w:szCs w:val="18"/>
          <w:lang w:val="es-ES"/>
        </w:rPr>
        <w:t>*Las designaciones geográficas empleadas en este documento no implican, de parte de la Secretaría de la CMS (o del Programa de las Naciones Unidas para el Medio Ambiente), juicio alguno sobre la condición jurídica de ningún país, territorio o área, ni sobre la delimitación de su frontera o fronteras. La responsabilidad del contenido del documento recae exclusivamente en su autor</w:t>
      </w:r>
    </w:p>
    <w:p w:rsidR="007F347C" w:rsidRPr="007F347C" w:rsidRDefault="007F347C" w:rsidP="007F347C">
      <w:pPr>
        <w:rPr>
          <w:rFonts w:cs="Arial"/>
          <w:b/>
          <w:lang w:val="es-ES" w:bidi="bn-IN"/>
        </w:rPr>
      </w:pPr>
    </w:p>
    <w:p w:rsidR="007F347C" w:rsidRPr="007F347C" w:rsidRDefault="007F347C" w:rsidP="007F347C">
      <w:pPr>
        <w:jc w:val="center"/>
        <w:rPr>
          <w:rFonts w:cs="Arial"/>
          <w:b/>
          <w:lang w:val="es-ES" w:bidi="bn-IN"/>
        </w:rPr>
      </w:pPr>
      <w:r w:rsidRPr="00FD35FD">
        <w:rPr>
          <w:rFonts w:cs="Arial"/>
          <w:b/>
          <w:lang w:val="es-ES" w:bidi="bn-IN"/>
        </w:rPr>
        <w:t>Propuesta de acción concertada para la COP13 de la CMS en 2020</w:t>
      </w:r>
    </w:p>
    <w:p w:rsidR="007F347C" w:rsidRPr="007F347C" w:rsidRDefault="007F347C" w:rsidP="007F347C">
      <w:pPr>
        <w:jc w:val="center"/>
        <w:rPr>
          <w:rFonts w:cs="Arial"/>
          <w:b/>
          <w:bCs/>
          <w:lang w:val="es-ES" w:bidi="bn-IN"/>
        </w:rPr>
      </w:pPr>
      <w:r w:rsidRPr="00FD35FD">
        <w:rPr>
          <w:rFonts w:cs="Arial"/>
          <w:b/>
          <w:bCs/>
          <w:lang w:val="es-ES" w:bidi="bn-IN"/>
        </w:rPr>
        <w:t xml:space="preserve">Avutarda de la India </w:t>
      </w:r>
      <w:proofErr w:type="spellStart"/>
      <w:r w:rsidRPr="00FD35FD">
        <w:rPr>
          <w:rFonts w:cs="Arial"/>
          <w:b/>
          <w:bCs/>
          <w:i/>
          <w:lang w:val="es-ES" w:bidi="bn-IN"/>
        </w:rPr>
        <w:t>Ardeotis</w:t>
      </w:r>
      <w:proofErr w:type="spellEnd"/>
      <w:r w:rsidRPr="00FD35FD">
        <w:rPr>
          <w:rFonts w:cs="Arial"/>
          <w:b/>
          <w:bCs/>
          <w:i/>
          <w:lang w:val="es-ES" w:bidi="bn-IN"/>
        </w:rPr>
        <w:t xml:space="preserve"> </w:t>
      </w:r>
      <w:proofErr w:type="spellStart"/>
      <w:r w:rsidRPr="00FD35FD">
        <w:rPr>
          <w:rFonts w:cs="Arial"/>
          <w:b/>
          <w:bCs/>
          <w:i/>
          <w:lang w:val="es-ES" w:bidi="bn-IN"/>
        </w:rPr>
        <w:t>nigriceps</w:t>
      </w:r>
      <w:proofErr w:type="spellEnd"/>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7027"/>
      </w:tblGrid>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Proponente</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India (Ministerio de Medio Ambiente, Bosques y Cambio Climático)</w:t>
            </w:r>
          </w:p>
          <w:p w:rsidR="007F347C" w:rsidRPr="007F347C" w:rsidRDefault="007F347C" w:rsidP="00FE3F58">
            <w:pPr>
              <w:spacing w:after="0"/>
              <w:jc w:val="both"/>
              <w:rPr>
                <w:rFonts w:cs="Arial"/>
                <w:lang w:val="es-ES" w:bidi="bn-IN"/>
              </w:rPr>
            </w:pPr>
          </w:p>
        </w:tc>
      </w:tr>
      <w:tr w:rsidR="007F347C" w:rsidRPr="00FD35FD" w:rsidTr="00FE3F58">
        <w:tc>
          <w:tcPr>
            <w:tcW w:w="1838" w:type="dxa"/>
          </w:tcPr>
          <w:p w:rsidR="007F347C" w:rsidRPr="007F347C" w:rsidRDefault="007F347C" w:rsidP="00FE3F58">
            <w:pPr>
              <w:spacing w:after="0"/>
              <w:rPr>
                <w:rFonts w:cs="Arial"/>
                <w:b/>
                <w:bCs/>
                <w:lang w:val="es-ES" w:bidi="bn-IN"/>
              </w:rPr>
            </w:pPr>
            <w:r w:rsidRPr="00FD35FD">
              <w:rPr>
                <w:rFonts w:cs="Arial"/>
                <w:b/>
                <w:bCs/>
                <w:lang w:val="es-ES" w:bidi="bn-IN"/>
              </w:rPr>
              <w:t>Especies seleccionadas, población o taxón más bajo, o grupo de taxones con necesidades comunes</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 xml:space="preserve">Avutarda de la India </w:t>
            </w:r>
            <w:proofErr w:type="spellStart"/>
            <w:r w:rsidRPr="007F347C">
              <w:rPr>
                <w:rFonts w:cs="Arial"/>
                <w:i/>
                <w:iCs/>
                <w:color w:val="000000"/>
                <w:lang w:val="es-ES"/>
              </w:rPr>
              <w:t>Ardeotis</w:t>
            </w:r>
            <w:proofErr w:type="spellEnd"/>
            <w:r w:rsidRPr="007F347C">
              <w:rPr>
                <w:rFonts w:cs="Arial"/>
                <w:i/>
                <w:iCs/>
                <w:color w:val="000000"/>
                <w:lang w:val="es-ES"/>
              </w:rPr>
              <w:t xml:space="preserve"> </w:t>
            </w:r>
            <w:proofErr w:type="spellStart"/>
            <w:r w:rsidRPr="007F347C">
              <w:rPr>
                <w:rFonts w:cs="Arial"/>
                <w:i/>
                <w:iCs/>
                <w:color w:val="000000"/>
                <w:lang w:val="es-ES"/>
              </w:rPr>
              <w:t>nigriceps</w:t>
            </w:r>
            <w:proofErr w:type="spellEnd"/>
            <w:r w:rsidRPr="007F347C">
              <w:rPr>
                <w:rFonts w:cs="Arial"/>
                <w:i/>
                <w:iCs/>
                <w:color w:val="000000"/>
                <w:lang w:val="es-ES"/>
              </w:rPr>
              <w:t xml:space="preserve"> </w:t>
            </w:r>
            <w:r w:rsidRPr="007F347C">
              <w:rPr>
                <w:rFonts w:cs="Arial"/>
                <w:color w:val="222222"/>
                <w:shd w:val="clear" w:color="auto" w:fill="FFFFFF"/>
                <w:lang w:val="es-ES"/>
              </w:rPr>
              <w:t>(</w:t>
            </w:r>
            <w:proofErr w:type="spellStart"/>
            <w:r w:rsidRPr="007F347C">
              <w:rPr>
                <w:rFonts w:cs="Arial"/>
                <w:color w:val="222222"/>
                <w:shd w:val="clear" w:color="auto" w:fill="FFFFFF"/>
                <w:lang w:val="es-ES"/>
              </w:rPr>
              <w:t>Vigors</w:t>
            </w:r>
            <w:proofErr w:type="spellEnd"/>
            <w:r w:rsidRPr="007F347C">
              <w:rPr>
                <w:rFonts w:cs="Arial"/>
                <w:color w:val="222222"/>
                <w:shd w:val="clear" w:color="auto" w:fill="FFFFFF"/>
                <w:lang w:val="es-ES"/>
              </w:rPr>
              <w:t>)</w:t>
            </w:r>
          </w:p>
          <w:p w:rsidR="007F347C" w:rsidRPr="00FD35FD" w:rsidRDefault="007F347C" w:rsidP="00FE3F58">
            <w:pPr>
              <w:autoSpaceDE w:val="0"/>
              <w:adjustRightInd w:val="0"/>
              <w:spacing w:after="0"/>
              <w:jc w:val="both"/>
              <w:rPr>
                <w:rFonts w:cs="Arial"/>
                <w:color w:val="000000"/>
              </w:rPr>
            </w:pPr>
            <w:r w:rsidRPr="00FD35FD">
              <w:rPr>
                <w:rFonts w:cs="Arial"/>
                <w:color w:val="000000"/>
              </w:rPr>
              <w:t>(Sibley y Ahlquist, 1990)</w:t>
            </w: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Distribución geográfica</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 xml:space="preserve">Históricamente, la especie se distribuía por media India: desde Punjab y </w:t>
            </w:r>
            <w:proofErr w:type="spellStart"/>
            <w:r w:rsidRPr="007F347C">
              <w:rPr>
                <w:rFonts w:cs="Arial"/>
                <w:color w:val="000000"/>
                <w:lang w:val="es-ES"/>
              </w:rPr>
              <w:t>Haryana</w:t>
            </w:r>
            <w:proofErr w:type="spellEnd"/>
            <w:r w:rsidRPr="007F347C">
              <w:rPr>
                <w:rFonts w:cs="Arial"/>
                <w:color w:val="000000"/>
                <w:lang w:val="es-ES"/>
              </w:rPr>
              <w:t xml:space="preserve"> al norte, hasta Tamil Nadu al sur; y desde </w:t>
            </w:r>
            <w:proofErr w:type="spellStart"/>
            <w:r w:rsidRPr="007F347C">
              <w:rPr>
                <w:rFonts w:cs="Arial"/>
                <w:color w:val="000000"/>
                <w:lang w:val="es-ES"/>
              </w:rPr>
              <w:t>Gujarat</w:t>
            </w:r>
            <w:proofErr w:type="spellEnd"/>
            <w:r w:rsidRPr="007F347C">
              <w:rPr>
                <w:rFonts w:cs="Arial"/>
                <w:color w:val="000000"/>
                <w:lang w:val="es-ES"/>
              </w:rPr>
              <w:t xml:space="preserve"> y </w:t>
            </w:r>
            <w:proofErr w:type="spellStart"/>
            <w:r w:rsidRPr="007F347C">
              <w:rPr>
                <w:rFonts w:cs="Arial"/>
                <w:color w:val="000000"/>
                <w:lang w:val="es-ES"/>
              </w:rPr>
              <w:t>Rajastán</w:t>
            </w:r>
            <w:proofErr w:type="spellEnd"/>
            <w:r w:rsidRPr="007F347C">
              <w:rPr>
                <w:rFonts w:cs="Arial"/>
                <w:color w:val="000000"/>
                <w:lang w:val="es-ES"/>
              </w:rPr>
              <w:t xml:space="preserve"> al oeste, hasta Orissa al este, extendiéndose por once estados (</w:t>
            </w:r>
            <w:proofErr w:type="spellStart"/>
            <w:r w:rsidRPr="007F347C">
              <w:rPr>
                <w:rFonts w:cs="Arial"/>
                <w:color w:val="000000"/>
                <w:lang w:val="es-ES"/>
              </w:rPr>
              <w:t>Rahmani</w:t>
            </w:r>
            <w:proofErr w:type="spellEnd"/>
            <w:r w:rsidRPr="007F347C">
              <w:rPr>
                <w:rFonts w:cs="Arial"/>
                <w:color w:val="000000"/>
                <w:lang w:val="es-ES"/>
              </w:rPr>
              <w:t>, 1989), incluido el este de Pakistán (</w:t>
            </w:r>
            <w:proofErr w:type="spellStart"/>
            <w:r w:rsidRPr="007F347C">
              <w:rPr>
                <w:rFonts w:cs="Arial"/>
                <w:color w:val="000000"/>
                <w:lang w:val="es-ES"/>
              </w:rPr>
              <w:t>Cholistan</w:t>
            </w:r>
            <w:proofErr w:type="spellEnd"/>
            <w:r w:rsidRPr="007F347C">
              <w:rPr>
                <w:rFonts w:cs="Arial"/>
                <w:color w:val="000000"/>
                <w:lang w:val="es-ES"/>
              </w:rPr>
              <w:t xml:space="preserve">) y la región de Sind. La distribución actual se limita a seis estados de la India: </w:t>
            </w:r>
            <w:proofErr w:type="spellStart"/>
            <w:r w:rsidRPr="007F347C">
              <w:rPr>
                <w:rFonts w:cs="Arial"/>
                <w:color w:val="000000"/>
                <w:lang w:val="es-ES"/>
              </w:rPr>
              <w:t>Rajastán</w:t>
            </w:r>
            <w:proofErr w:type="spellEnd"/>
            <w:r w:rsidRPr="007F347C">
              <w:rPr>
                <w:rFonts w:cs="Arial"/>
                <w:color w:val="000000"/>
                <w:lang w:val="es-ES"/>
              </w:rPr>
              <w:t xml:space="preserve">, </w:t>
            </w:r>
            <w:proofErr w:type="spellStart"/>
            <w:r w:rsidRPr="007F347C">
              <w:rPr>
                <w:rFonts w:cs="Arial"/>
                <w:color w:val="000000"/>
                <w:lang w:val="es-ES"/>
              </w:rPr>
              <w:t>Gujarat</w:t>
            </w:r>
            <w:proofErr w:type="spellEnd"/>
            <w:r w:rsidRPr="007F347C">
              <w:rPr>
                <w:rFonts w:cs="Arial"/>
                <w:color w:val="000000"/>
                <w:lang w:val="es-ES"/>
              </w:rPr>
              <w:t xml:space="preserve">, </w:t>
            </w:r>
            <w:proofErr w:type="spellStart"/>
            <w:r w:rsidRPr="007F347C">
              <w:rPr>
                <w:rFonts w:cs="Arial"/>
                <w:color w:val="000000"/>
                <w:lang w:val="es-ES"/>
              </w:rPr>
              <w:t>Maharashtra</w:t>
            </w:r>
            <w:proofErr w:type="spellEnd"/>
            <w:r w:rsidRPr="007F347C">
              <w:rPr>
                <w:rFonts w:cs="Arial"/>
                <w:color w:val="000000"/>
                <w:lang w:val="es-ES"/>
              </w:rPr>
              <w:t xml:space="preserve">, Karnataka y Andhra Pradesh, junto con observaciones esporádicas desde Pakistán (Khan </w:t>
            </w:r>
            <w:r w:rsidRPr="007F347C">
              <w:rPr>
                <w:rFonts w:cs="Arial"/>
                <w:i/>
                <w:iCs/>
                <w:color w:val="000000"/>
                <w:lang w:val="es-ES"/>
              </w:rPr>
              <w:t xml:space="preserve">et al., </w:t>
            </w:r>
            <w:r w:rsidRPr="007F347C">
              <w:rPr>
                <w:rFonts w:cs="Arial"/>
                <w:color w:val="000000"/>
                <w:lang w:val="es-ES"/>
              </w:rPr>
              <w:t xml:space="preserve">2008, </w:t>
            </w:r>
            <w:proofErr w:type="spellStart"/>
            <w:r w:rsidRPr="007F347C">
              <w:rPr>
                <w:rFonts w:cs="Arial"/>
                <w:color w:val="000000"/>
                <w:lang w:val="es-ES"/>
              </w:rPr>
              <w:t>Dutta</w:t>
            </w:r>
            <w:proofErr w:type="spellEnd"/>
            <w:r w:rsidRPr="007F347C">
              <w:rPr>
                <w:rFonts w:cs="Arial"/>
                <w:color w:val="000000"/>
                <w:lang w:val="es-ES"/>
              </w:rPr>
              <w:t xml:space="preserve"> </w:t>
            </w:r>
            <w:r w:rsidRPr="007F347C">
              <w:rPr>
                <w:rFonts w:cs="Arial"/>
                <w:i/>
                <w:iCs/>
                <w:color w:val="000000"/>
                <w:lang w:val="es-ES"/>
              </w:rPr>
              <w:t xml:space="preserve">et al., </w:t>
            </w:r>
            <w:r w:rsidRPr="007F347C">
              <w:rPr>
                <w:rFonts w:cs="Arial"/>
                <w:color w:val="000000"/>
                <w:lang w:val="es-ES"/>
              </w:rPr>
              <w:t xml:space="preserve">2013). Dentro de </w:t>
            </w:r>
            <w:proofErr w:type="spellStart"/>
            <w:r w:rsidRPr="007F347C">
              <w:rPr>
                <w:rFonts w:cs="Arial"/>
                <w:color w:val="000000"/>
                <w:lang w:val="es-ES"/>
              </w:rPr>
              <w:t>Rajastán</w:t>
            </w:r>
            <w:proofErr w:type="spellEnd"/>
            <w:r w:rsidRPr="007F347C">
              <w:rPr>
                <w:rFonts w:cs="Arial"/>
                <w:color w:val="000000"/>
                <w:lang w:val="es-ES"/>
              </w:rPr>
              <w:t xml:space="preserve">, se halló en tres áreas, concretamente, en el Parque Nacional del Desierto (DNP), </w:t>
            </w:r>
            <w:proofErr w:type="spellStart"/>
            <w:r w:rsidRPr="007F347C">
              <w:rPr>
                <w:rFonts w:cs="Arial"/>
                <w:color w:val="000000"/>
                <w:lang w:val="es-ES"/>
              </w:rPr>
              <w:t>Mohangarh</w:t>
            </w:r>
            <w:proofErr w:type="spellEnd"/>
            <w:r w:rsidRPr="007F347C">
              <w:rPr>
                <w:rFonts w:cs="Arial"/>
                <w:color w:val="000000"/>
                <w:lang w:val="es-ES"/>
              </w:rPr>
              <w:t xml:space="preserve"> y </w:t>
            </w:r>
            <w:proofErr w:type="spellStart"/>
            <w:r w:rsidRPr="007F347C">
              <w:rPr>
                <w:rFonts w:cs="Arial"/>
                <w:color w:val="000000"/>
                <w:lang w:val="es-ES"/>
              </w:rPr>
              <w:t>Pokhran-Ramdevra</w:t>
            </w:r>
            <w:proofErr w:type="spellEnd"/>
            <w:r w:rsidRPr="007F347C">
              <w:rPr>
                <w:rFonts w:cs="Arial"/>
                <w:color w:val="000000"/>
                <w:lang w:val="es-ES"/>
              </w:rPr>
              <w:t>. La distribución de la especie se ha reducido actualmente un 90 % con respecto a su anterior área de distribución.</w:t>
            </w:r>
          </w:p>
          <w:p w:rsidR="007F347C" w:rsidRPr="007F347C" w:rsidRDefault="007F347C" w:rsidP="00FE3F58">
            <w:pPr>
              <w:spacing w:after="0"/>
              <w:jc w:val="both"/>
              <w:rPr>
                <w:rFonts w:cs="Arial"/>
                <w:color w:val="000000"/>
                <w:lang w:val="es-ES"/>
              </w:rPr>
            </w:pPr>
          </w:p>
          <w:p w:rsidR="007F347C" w:rsidRPr="007F347C" w:rsidRDefault="007F347C" w:rsidP="00FE3F58">
            <w:pPr>
              <w:spacing w:after="0"/>
              <w:jc w:val="both"/>
              <w:rPr>
                <w:rFonts w:cs="Arial"/>
                <w:color w:val="000000"/>
                <w:lang w:val="es-ES"/>
              </w:rPr>
            </w:pPr>
            <w:r w:rsidRPr="00FD35FD">
              <w:rPr>
                <w:rFonts w:cs="Arial"/>
                <w:lang w:val="es-ES" w:bidi="bn-IN"/>
              </w:rPr>
              <w:t xml:space="preserve">La especie se encuentra bajo una tremenda amenaza provocada por actividades antropogénicas, como los cambios en el uso de la tierra. </w:t>
            </w:r>
            <w:r w:rsidRPr="007F347C">
              <w:rPr>
                <w:rFonts w:cs="Arial"/>
                <w:color w:val="000000"/>
                <w:lang w:val="es-ES"/>
              </w:rPr>
              <w:t xml:space="preserve">La acción concertada propuesta en el marco de la CMS reforzará la acción coordinada de conservación necesaria entre los Estados del área de distribución y los organismos afectados. </w:t>
            </w:r>
          </w:p>
          <w:p w:rsidR="007F347C" w:rsidRPr="007F347C" w:rsidRDefault="007F347C" w:rsidP="00FE3F58">
            <w:pPr>
              <w:spacing w:after="0"/>
              <w:jc w:val="both"/>
              <w:rPr>
                <w:rFonts w:cs="Arial"/>
                <w:color w:val="000000"/>
                <w:lang w:val="es-ES"/>
              </w:rPr>
            </w:pPr>
          </w:p>
        </w:tc>
      </w:tr>
      <w:tr w:rsidR="007F347C" w:rsidRPr="00D746E9" w:rsidTr="00FE3F58">
        <w:tc>
          <w:tcPr>
            <w:tcW w:w="1838" w:type="dxa"/>
          </w:tcPr>
          <w:p w:rsidR="007F347C" w:rsidRPr="00FD35FD" w:rsidRDefault="007F347C" w:rsidP="00FE3F58">
            <w:pPr>
              <w:spacing w:after="0"/>
              <w:rPr>
                <w:rFonts w:cs="Arial"/>
                <w:b/>
                <w:bCs/>
                <w:lang w:val="en-IN" w:bidi="bn-IN"/>
              </w:rPr>
            </w:pPr>
            <w:bookmarkStart w:id="0" w:name="_Hlk18517884"/>
            <w:r w:rsidRPr="00FD35FD">
              <w:rPr>
                <w:rFonts w:cs="Arial"/>
                <w:b/>
                <w:bCs/>
                <w:lang w:val="es-ES" w:bidi="bn-IN"/>
              </w:rPr>
              <w:t>Resumen de actividades</w:t>
            </w:r>
          </w:p>
        </w:tc>
        <w:tc>
          <w:tcPr>
            <w:tcW w:w="7802" w:type="dxa"/>
          </w:tcPr>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Conocimiento de la variación estacional y el uso de los hábitats por parte de las especies</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 xml:space="preserve">Análisis de los proyectos de desarrollo existentes y futuros que pueden afectar a la avutarda de la India para diseñar una estrategia de promoción mediante la cual organismos como BNHS y WII involucrarán a organizaciones pertinentes para desarrollar medidas de mitigación </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 xml:space="preserve">A largo plazo, involucrar al ejército de la India en la protección de la población de avutardas en el desierto de Thar, especialmente en el campo de tiro de </w:t>
            </w:r>
            <w:proofErr w:type="spellStart"/>
            <w:r w:rsidRPr="00FD35FD">
              <w:rPr>
                <w:rFonts w:cs="Arial"/>
                <w:lang w:val="es-ES" w:bidi="bn-IN"/>
              </w:rPr>
              <w:t>Pokhran</w:t>
            </w:r>
            <w:proofErr w:type="spellEnd"/>
            <w:r w:rsidRPr="00FD35FD">
              <w:rPr>
                <w:rFonts w:cs="Arial"/>
                <w:lang w:val="es-ES" w:bidi="bn-IN"/>
              </w:rPr>
              <w:t xml:space="preserve">  </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 xml:space="preserve">Conservación de la especie a través de la participación de la comunidad en las zonas no protegidas </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 xml:space="preserve">Gestión de pastizales dedicados a la avutarda de la India </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Promoción de prácticas agrícolas respetuosas con la avutarda en tierras de labranza de su área de distribución</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Identificación y mitigación de las principales amenazas para la especie tanto a nivel de espacios como a nivel de paisajes</w:t>
            </w:r>
          </w:p>
          <w:p w:rsidR="007F347C" w:rsidRPr="007F347C" w:rsidRDefault="007F347C" w:rsidP="007F347C">
            <w:pPr>
              <w:numPr>
                <w:ilvl w:val="0"/>
                <w:numId w:val="8"/>
              </w:numPr>
              <w:spacing w:after="0"/>
              <w:ind w:left="329" w:hanging="283"/>
              <w:contextualSpacing/>
              <w:jc w:val="both"/>
              <w:rPr>
                <w:rFonts w:cs="Arial"/>
                <w:lang w:val="es-ES" w:bidi="bn-IN"/>
              </w:rPr>
            </w:pPr>
            <w:r w:rsidRPr="00FD35FD">
              <w:rPr>
                <w:rFonts w:cs="Arial"/>
                <w:lang w:val="es-ES" w:bidi="bn-IN"/>
              </w:rPr>
              <w:t>Presión del pastoreo: enorme presión del pastoreo provocada por la disminución de los recursos necesarios para aves especialistas de hábitat, como la avutarda de la India</w:t>
            </w:r>
          </w:p>
          <w:p w:rsidR="007F347C" w:rsidRPr="007F347C" w:rsidRDefault="007F347C" w:rsidP="00FE3F58">
            <w:pPr>
              <w:spacing w:after="0"/>
              <w:contextualSpacing/>
              <w:jc w:val="both"/>
              <w:rPr>
                <w:rFonts w:cs="Arial"/>
                <w:lang w:val="es-ES" w:bidi="bn-IN"/>
              </w:rPr>
            </w:pPr>
          </w:p>
        </w:tc>
      </w:tr>
      <w:bookmarkEnd w:id="0"/>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lastRenderedPageBreak/>
              <w:t>Actividades y resultados esperados</w:t>
            </w:r>
          </w:p>
        </w:tc>
        <w:tc>
          <w:tcPr>
            <w:tcW w:w="7802" w:type="dxa"/>
          </w:tcPr>
          <w:p w:rsidR="007F347C" w:rsidRPr="007F347C" w:rsidRDefault="007F347C" w:rsidP="00FE3F58">
            <w:pPr>
              <w:spacing w:after="0"/>
              <w:jc w:val="both"/>
              <w:rPr>
                <w:rFonts w:cs="Arial"/>
                <w:b/>
                <w:bCs/>
                <w:lang w:val="es-ES" w:bidi="bn-IN"/>
              </w:rPr>
            </w:pPr>
            <w:r w:rsidRPr="00FD35FD">
              <w:rPr>
                <w:rFonts w:cs="Arial"/>
                <w:b/>
                <w:bCs/>
                <w:lang w:val="es-ES" w:bidi="bn-IN"/>
              </w:rPr>
              <w:t>Actividades</w:t>
            </w:r>
          </w:p>
          <w:p w:rsidR="007F347C" w:rsidRPr="007F347C" w:rsidRDefault="007F347C" w:rsidP="00FE3F58">
            <w:pPr>
              <w:spacing w:after="0"/>
              <w:jc w:val="both"/>
              <w:rPr>
                <w:rFonts w:cs="Arial"/>
                <w:lang w:val="es-ES" w:bidi="bn-IN"/>
              </w:rPr>
            </w:pPr>
            <w:r w:rsidRPr="00FD35FD">
              <w:rPr>
                <w:rFonts w:cs="Arial"/>
                <w:lang w:val="es-ES" w:bidi="bn-IN"/>
              </w:rPr>
              <w:t>Se proponen las siguientes actividades:</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Conocimiento de los patrones de movimiento, el área de distribución autóctona y el uso del hábitat de la avutarda de la India mediante el uso de anillas y seguimiento por satélite/GPS-GSM durante las temporadas de cría y no cría</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Creación de mapas de los nuevos proyectos de energía renovable existentes y propuestos en paisajes de la avutarda de la India</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 xml:space="preserve">Sensibilización del ejército de la India sobre la conservación de la especie y su hábitat preferido </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Conservación de la especie mediante el establecimiento de zonas de conservación comunitaria en zonas no protegidas</w:t>
            </w:r>
          </w:p>
          <w:p w:rsidR="007F347C" w:rsidRPr="00FD35FD" w:rsidRDefault="007F347C" w:rsidP="007F347C">
            <w:pPr>
              <w:numPr>
                <w:ilvl w:val="0"/>
                <w:numId w:val="5"/>
              </w:numPr>
              <w:spacing w:after="0"/>
              <w:ind w:left="329"/>
              <w:contextualSpacing/>
              <w:jc w:val="both"/>
              <w:rPr>
                <w:rFonts w:cs="Arial"/>
                <w:lang w:val="en-IN" w:bidi="bn-IN"/>
              </w:rPr>
            </w:pPr>
            <w:r w:rsidRPr="00FD35FD">
              <w:rPr>
                <w:rFonts w:cs="Arial"/>
                <w:lang w:val="es-ES" w:bidi="bn-IN"/>
              </w:rPr>
              <w:t xml:space="preserve">Recuperación de pastizales apropiados y control de especies vegetales invasoras como el </w:t>
            </w:r>
            <w:proofErr w:type="spellStart"/>
            <w:r w:rsidRPr="00FD35FD">
              <w:rPr>
                <w:rFonts w:cs="Arial"/>
                <w:i/>
                <w:iCs/>
                <w:lang w:val="es-ES" w:bidi="bn-IN"/>
              </w:rPr>
              <w:t>Prosopis</w:t>
            </w:r>
            <w:proofErr w:type="spellEnd"/>
            <w:r w:rsidRPr="00FD35FD">
              <w:rPr>
                <w:rFonts w:cs="Arial"/>
                <w:i/>
                <w:iCs/>
                <w:lang w:val="es-ES" w:bidi="bn-IN"/>
              </w:rPr>
              <w:t xml:space="preserve"> </w:t>
            </w:r>
            <w:proofErr w:type="spellStart"/>
            <w:r w:rsidRPr="00FD35FD">
              <w:rPr>
                <w:rFonts w:cs="Arial"/>
                <w:i/>
                <w:iCs/>
                <w:lang w:val="es-ES" w:bidi="bn-IN"/>
              </w:rPr>
              <w:t>juliflora</w:t>
            </w:r>
            <w:proofErr w:type="spellEnd"/>
            <w:r w:rsidRPr="00FD35FD">
              <w:rPr>
                <w:rFonts w:cs="Arial"/>
                <w:i/>
                <w:iCs/>
                <w:lang w:val="es-ES" w:bidi="bn-IN"/>
              </w:rPr>
              <w:t xml:space="preserve"> </w:t>
            </w:r>
            <w:r w:rsidRPr="00FD35FD">
              <w:rPr>
                <w:rFonts w:cs="Arial"/>
                <w:lang w:val="es-ES" w:bidi="bn-IN"/>
              </w:rPr>
              <w:t xml:space="preserve">(en India occidental) o el </w:t>
            </w:r>
            <w:proofErr w:type="spellStart"/>
            <w:r w:rsidRPr="00FD35FD">
              <w:rPr>
                <w:rFonts w:cs="Arial"/>
                <w:i/>
                <w:iCs/>
                <w:lang w:val="es-ES" w:bidi="bn-IN"/>
              </w:rPr>
              <w:t>Gliricidia</w:t>
            </w:r>
            <w:proofErr w:type="spellEnd"/>
            <w:r w:rsidRPr="00FD35FD">
              <w:rPr>
                <w:rFonts w:cs="Arial"/>
                <w:i/>
                <w:iCs/>
                <w:lang w:val="es-ES" w:bidi="bn-IN"/>
              </w:rPr>
              <w:t xml:space="preserve"> </w:t>
            </w:r>
            <w:proofErr w:type="spellStart"/>
            <w:r w:rsidRPr="00FD35FD">
              <w:rPr>
                <w:rFonts w:cs="Arial"/>
                <w:i/>
                <w:iCs/>
                <w:lang w:val="es-ES" w:bidi="bn-IN"/>
              </w:rPr>
              <w:t>sp</w:t>
            </w:r>
            <w:proofErr w:type="spellEnd"/>
            <w:r w:rsidRPr="00FD35FD">
              <w:rPr>
                <w:rFonts w:cs="Arial"/>
                <w:i/>
                <w:iCs/>
                <w:lang w:val="es-ES" w:bidi="bn-IN"/>
              </w:rPr>
              <w:t xml:space="preserve">. </w:t>
            </w:r>
            <w:r w:rsidRPr="00FD35FD">
              <w:rPr>
                <w:rFonts w:cs="Arial"/>
                <w:lang w:val="es-ES" w:bidi="bn-IN"/>
              </w:rPr>
              <w:t xml:space="preserve">(península de </w:t>
            </w:r>
            <w:proofErr w:type="spellStart"/>
            <w:r w:rsidRPr="00FD35FD">
              <w:rPr>
                <w:rFonts w:cs="Arial"/>
                <w:lang w:val="es-ES" w:bidi="bn-IN"/>
              </w:rPr>
              <w:t>Deccan</w:t>
            </w:r>
            <w:proofErr w:type="spellEnd"/>
            <w:r w:rsidRPr="00FD35FD">
              <w:rPr>
                <w:rFonts w:cs="Arial"/>
                <w:lang w:val="es-ES" w:bidi="bn-IN"/>
              </w:rPr>
              <w:t>)</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 xml:space="preserve">Promoción de las cosechas tradicionales y la agricultura ecológica </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Introducción de medidas de mitigación adecuadas, como la instalación de desviadores/reflectores para aves en tendidos eléctricos existentes y soterramiento de las nuevas líneas de transmisión propuestas en zonas de cría de la avutarda de la India adyacentes</w:t>
            </w:r>
          </w:p>
          <w:p w:rsidR="007F347C" w:rsidRPr="007F347C" w:rsidRDefault="007F347C" w:rsidP="007F347C">
            <w:pPr>
              <w:numPr>
                <w:ilvl w:val="0"/>
                <w:numId w:val="5"/>
              </w:numPr>
              <w:spacing w:after="0"/>
              <w:ind w:left="329"/>
              <w:contextualSpacing/>
              <w:jc w:val="both"/>
              <w:rPr>
                <w:rFonts w:cs="Arial"/>
                <w:lang w:val="es-ES" w:bidi="bn-IN"/>
              </w:rPr>
            </w:pPr>
            <w:r w:rsidRPr="00FD35FD">
              <w:rPr>
                <w:rFonts w:cs="Arial"/>
                <w:lang w:val="es-ES" w:bidi="bn-IN"/>
              </w:rPr>
              <w:t>Programas piloto de pastoreo rotativo para lidiar con este problema</w:t>
            </w:r>
          </w:p>
          <w:p w:rsidR="007F347C" w:rsidRPr="007F347C" w:rsidRDefault="007F347C" w:rsidP="00FE3F58">
            <w:pPr>
              <w:spacing w:after="0"/>
              <w:contextualSpacing/>
              <w:jc w:val="both"/>
              <w:rPr>
                <w:rFonts w:cs="Arial"/>
                <w:lang w:val="es-ES" w:bidi="bn-IN"/>
              </w:rPr>
            </w:pPr>
          </w:p>
          <w:p w:rsidR="007F347C" w:rsidRPr="007F347C" w:rsidRDefault="007F347C" w:rsidP="00FE3F58">
            <w:pPr>
              <w:spacing w:after="0"/>
              <w:jc w:val="both"/>
              <w:rPr>
                <w:rFonts w:cs="Arial"/>
                <w:b/>
                <w:bCs/>
                <w:lang w:val="es-ES" w:bidi="bn-IN"/>
              </w:rPr>
            </w:pPr>
            <w:r w:rsidRPr="00FD35FD">
              <w:rPr>
                <w:rFonts w:cs="Arial"/>
                <w:b/>
                <w:bCs/>
                <w:lang w:val="es-ES" w:bidi="bn-IN"/>
              </w:rPr>
              <w:t>Resultados previstos</w:t>
            </w:r>
          </w:p>
          <w:p w:rsidR="007F347C" w:rsidRPr="007F347C" w:rsidRDefault="007F347C" w:rsidP="00FE3F58">
            <w:pPr>
              <w:spacing w:after="0"/>
              <w:jc w:val="both"/>
              <w:rPr>
                <w:rFonts w:cs="Arial"/>
                <w:lang w:val="es-ES" w:bidi="bn-IN"/>
              </w:rPr>
            </w:pPr>
            <w:r w:rsidRPr="00FD35FD">
              <w:rPr>
                <w:rFonts w:cs="Arial"/>
                <w:lang w:val="es-ES" w:bidi="bn-IN"/>
              </w:rPr>
              <w:t>Se prevén los siguientes resultados a partir de las anteriores actividades</w:t>
            </w:r>
          </w:p>
          <w:p w:rsidR="007F347C" w:rsidRPr="007F347C" w:rsidRDefault="007F347C" w:rsidP="007F347C">
            <w:pPr>
              <w:numPr>
                <w:ilvl w:val="0"/>
                <w:numId w:val="6"/>
              </w:numPr>
              <w:spacing w:after="0"/>
              <w:ind w:left="329"/>
              <w:contextualSpacing/>
              <w:jc w:val="both"/>
              <w:rPr>
                <w:rFonts w:cs="Arial"/>
                <w:lang w:val="es-ES" w:bidi="bn-IN"/>
              </w:rPr>
            </w:pPr>
            <w:r w:rsidRPr="00FD35FD">
              <w:rPr>
                <w:rFonts w:cs="Arial"/>
                <w:lang w:val="es-ES" w:bidi="bn-IN"/>
              </w:rPr>
              <w:t>El fomento de la concienciación entre las partes interesadas será útil para conseguir apoyo local para la conservación de las especies y sus hábitats</w:t>
            </w:r>
          </w:p>
          <w:p w:rsidR="007F347C" w:rsidRPr="007F347C" w:rsidRDefault="007F347C" w:rsidP="007F347C">
            <w:pPr>
              <w:numPr>
                <w:ilvl w:val="0"/>
                <w:numId w:val="6"/>
              </w:numPr>
              <w:spacing w:after="0"/>
              <w:ind w:left="329"/>
              <w:contextualSpacing/>
              <w:jc w:val="both"/>
              <w:rPr>
                <w:rFonts w:cs="Arial"/>
                <w:lang w:val="es-ES" w:bidi="bn-IN"/>
              </w:rPr>
            </w:pPr>
            <w:r w:rsidRPr="00FD35FD">
              <w:rPr>
                <w:rFonts w:cs="Arial"/>
                <w:lang w:val="es-ES" w:bidi="bn-IN"/>
              </w:rPr>
              <w:t xml:space="preserve">El desarrollo de zonas no protegidas para la avutarda de la India como zonas de conservación comunitaria (o cualquier designación adecuada) con la ayuda de comunidades locales, como </w:t>
            </w:r>
            <w:proofErr w:type="spellStart"/>
            <w:r w:rsidRPr="00FD35FD">
              <w:rPr>
                <w:rFonts w:cs="Arial"/>
                <w:lang w:val="es-ES" w:bidi="bn-IN"/>
              </w:rPr>
              <w:t>Bishnoi</w:t>
            </w:r>
            <w:proofErr w:type="spellEnd"/>
            <w:r w:rsidRPr="00FD35FD">
              <w:rPr>
                <w:rFonts w:cs="Arial"/>
                <w:lang w:val="es-ES" w:bidi="bn-IN"/>
              </w:rPr>
              <w:t>, será fundamental para la supervivencia de la especie en el desierto de Thar</w:t>
            </w:r>
          </w:p>
          <w:p w:rsidR="007F347C" w:rsidRPr="007F347C" w:rsidRDefault="007F347C" w:rsidP="007F347C">
            <w:pPr>
              <w:numPr>
                <w:ilvl w:val="0"/>
                <w:numId w:val="6"/>
              </w:numPr>
              <w:spacing w:after="0"/>
              <w:ind w:left="329"/>
              <w:contextualSpacing/>
              <w:jc w:val="both"/>
              <w:rPr>
                <w:rFonts w:cs="Arial"/>
                <w:lang w:val="es-ES" w:bidi="bn-IN"/>
              </w:rPr>
            </w:pPr>
            <w:r w:rsidRPr="00FD35FD">
              <w:rPr>
                <w:rFonts w:cs="Arial"/>
                <w:lang w:val="es-ES" w:bidi="bn-IN"/>
              </w:rPr>
              <w:t>La avutarda de la India podrá utilizar tierras de labranza o tierras comunes de pastoreo de manera segura, al menos durante la temporada de no cría</w:t>
            </w:r>
          </w:p>
          <w:p w:rsidR="007F347C" w:rsidRPr="007F347C" w:rsidRDefault="007F347C" w:rsidP="00FE3F58">
            <w:pPr>
              <w:spacing w:after="0"/>
              <w:contextualSpacing/>
              <w:jc w:val="both"/>
              <w:rPr>
                <w:rFonts w:cs="Arial"/>
                <w:b/>
                <w:bCs/>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Beneficios asociados</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 xml:space="preserve">La conservación de la avutarda de la India en regiones áridas también beneficiará a otras especies como el lagarto de cola espinosa de la India </w:t>
            </w:r>
            <w:proofErr w:type="spellStart"/>
            <w:r w:rsidRPr="007F347C">
              <w:rPr>
                <w:rFonts w:cs="Arial"/>
                <w:i/>
                <w:iCs/>
                <w:color w:val="000000"/>
                <w:lang w:val="es-ES"/>
              </w:rPr>
              <w:t>Saara</w:t>
            </w:r>
            <w:proofErr w:type="spellEnd"/>
            <w:r w:rsidRPr="007F347C">
              <w:rPr>
                <w:rFonts w:cs="Arial"/>
                <w:i/>
                <w:iCs/>
                <w:color w:val="000000"/>
                <w:lang w:val="es-ES"/>
              </w:rPr>
              <w:t xml:space="preserve"> </w:t>
            </w:r>
            <w:proofErr w:type="spellStart"/>
            <w:r w:rsidRPr="007F347C">
              <w:rPr>
                <w:rFonts w:cs="Arial"/>
                <w:i/>
                <w:iCs/>
                <w:color w:val="000000"/>
                <w:lang w:val="es-ES"/>
              </w:rPr>
              <w:t>hardwickii</w:t>
            </w:r>
            <w:proofErr w:type="spellEnd"/>
            <w:r w:rsidRPr="007F347C">
              <w:rPr>
                <w:rFonts w:cs="Arial"/>
                <w:color w:val="000000"/>
                <w:lang w:val="es-ES"/>
              </w:rPr>
              <w:t xml:space="preserve">, la gacela de la India </w:t>
            </w:r>
            <w:proofErr w:type="spellStart"/>
            <w:r w:rsidRPr="007F347C">
              <w:rPr>
                <w:rFonts w:cs="Arial"/>
                <w:i/>
                <w:iCs/>
                <w:color w:val="000000"/>
                <w:lang w:val="es-ES"/>
              </w:rPr>
              <w:t>Gazella</w:t>
            </w:r>
            <w:proofErr w:type="spellEnd"/>
            <w:r w:rsidRPr="007F347C">
              <w:rPr>
                <w:rFonts w:cs="Arial"/>
                <w:i/>
                <w:iCs/>
                <w:color w:val="000000"/>
                <w:lang w:val="es-ES"/>
              </w:rPr>
              <w:t xml:space="preserve"> </w:t>
            </w:r>
            <w:proofErr w:type="spellStart"/>
            <w:r w:rsidRPr="007F347C">
              <w:rPr>
                <w:rFonts w:cs="Arial"/>
                <w:i/>
                <w:iCs/>
                <w:color w:val="000000"/>
                <w:lang w:val="es-ES"/>
              </w:rPr>
              <w:t>bennettii</w:t>
            </w:r>
            <w:proofErr w:type="spellEnd"/>
            <w:r w:rsidRPr="007F347C">
              <w:rPr>
                <w:rFonts w:cs="Arial"/>
                <w:color w:val="000000"/>
                <w:lang w:val="es-ES"/>
              </w:rPr>
              <w:t xml:space="preserve">, el zorro del desierto </w:t>
            </w:r>
            <w:proofErr w:type="spellStart"/>
            <w:r w:rsidRPr="007F347C">
              <w:rPr>
                <w:rFonts w:cs="Arial"/>
                <w:i/>
                <w:iCs/>
                <w:color w:val="000000"/>
                <w:lang w:val="es-ES"/>
              </w:rPr>
              <w:t>Vulpes</w:t>
            </w:r>
            <w:proofErr w:type="spellEnd"/>
            <w:r w:rsidRPr="007F347C">
              <w:rPr>
                <w:rFonts w:cs="Arial"/>
                <w:i/>
                <w:iCs/>
                <w:color w:val="000000"/>
                <w:lang w:val="es-ES"/>
              </w:rPr>
              <w:t xml:space="preserve"> </w:t>
            </w:r>
            <w:proofErr w:type="spellStart"/>
            <w:r w:rsidRPr="007F347C">
              <w:rPr>
                <w:rFonts w:cs="Arial"/>
                <w:i/>
                <w:iCs/>
                <w:color w:val="000000"/>
                <w:lang w:val="es-ES"/>
              </w:rPr>
              <w:t>vulpes</w:t>
            </w:r>
            <w:proofErr w:type="spellEnd"/>
            <w:r w:rsidRPr="007F347C">
              <w:rPr>
                <w:rFonts w:cs="Arial"/>
                <w:i/>
                <w:iCs/>
                <w:color w:val="000000"/>
                <w:lang w:val="es-ES"/>
              </w:rPr>
              <w:t xml:space="preserve"> </w:t>
            </w:r>
            <w:proofErr w:type="spellStart"/>
            <w:r w:rsidRPr="007F347C">
              <w:rPr>
                <w:rFonts w:cs="Arial"/>
                <w:i/>
                <w:iCs/>
                <w:color w:val="000000"/>
                <w:lang w:val="es-ES"/>
              </w:rPr>
              <w:t>pusilla</w:t>
            </w:r>
            <w:proofErr w:type="spellEnd"/>
            <w:r w:rsidRPr="007F347C">
              <w:rPr>
                <w:rFonts w:cs="Arial"/>
                <w:color w:val="000000"/>
                <w:lang w:val="es-ES"/>
              </w:rPr>
              <w:t xml:space="preserve">, el zorro de Bengala </w:t>
            </w:r>
            <w:proofErr w:type="spellStart"/>
            <w:r w:rsidRPr="007F347C">
              <w:rPr>
                <w:rFonts w:cs="Arial"/>
                <w:i/>
                <w:iCs/>
                <w:color w:val="000000"/>
                <w:lang w:val="es-ES"/>
              </w:rPr>
              <w:t>Vulpes</w:t>
            </w:r>
            <w:proofErr w:type="spellEnd"/>
            <w:r w:rsidRPr="007F347C">
              <w:rPr>
                <w:rFonts w:cs="Arial"/>
                <w:i/>
                <w:iCs/>
                <w:color w:val="000000"/>
                <w:lang w:val="es-ES"/>
              </w:rPr>
              <w:t xml:space="preserve"> </w:t>
            </w:r>
            <w:proofErr w:type="spellStart"/>
            <w:r w:rsidRPr="007F347C">
              <w:rPr>
                <w:rFonts w:cs="Arial"/>
                <w:i/>
                <w:iCs/>
                <w:color w:val="000000"/>
                <w:lang w:val="es-ES"/>
              </w:rPr>
              <w:t>bengalensis</w:t>
            </w:r>
            <w:proofErr w:type="spellEnd"/>
            <w:r w:rsidRPr="007F347C">
              <w:rPr>
                <w:rFonts w:cs="Arial"/>
                <w:color w:val="000000"/>
                <w:lang w:val="es-ES"/>
              </w:rPr>
              <w:t>, el gato del desierto, etc., así como la flora nativa de desierto</w:t>
            </w:r>
          </w:p>
          <w:p w:rsidR="007F347C" w:rsidRPr="007F347C" w:rsidRDefault="007F347C" w:rsidP="00FE3F58">
            <w:pPr>
              <w:autoSpaceDE w:val="0"/>
              <w:adjustRightInd w:val="0"/>
              <w:spacing w:after="0"/>
              <w:jc w:val="both"/>
              <w:rPr>
                <w:rFonts w:cs="Arial"/>
                <w:color w:val="000000"/>
                <w:lang w:val="es-ES"/>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Marco temporal</w:t>
            </w:r>
          </w:p>
        </w:tc>
        <w:tc>
          <w:tcPr>
            <w:tcW w:w="7802" w:type="dxa"/>
          </w:tcPr>
          <w:p w:rsidR="007F347C" w:rsidRPr="007F347C" w:rsidRDefault="007F347C" w:rsidP="007F347C">
            <w:pPr>
              <w:numPr>
                <w:ilvl w:val="0"/>
                <w:numId w:val="10"/>
              </w:numPr>
              <w:spacing w:after="0"/>
              <w:ind w:left="329"/>
              <w:contextualSpacing/>
              <w:jc w:val="both"/>
              <w:rPr>
                <w:rFonts w:cs="Arial"/>
                <w:lang w:val="es-ES" w:bidi="bn-IN"/>
              </w:rPr>
            </w:pPr>
            <w:r w:rsidRPr="00FD35FD">
              <w:rPr>
                <w:rFonts w:cs="Arial"/>
                <w:lang w:val="es-ES" w:bidi="bn-IN"/>
              </w:rPr>
              <w:t xml:space="preserve">La propuesta de zonas de conservación comunitaria se iniciará tras seleccionar las zonas y conocer el interés de las comunidades locales en el área de </w:t>
            </w:r>
            <w:proofErr w:type="spellStart"/>
            <w:r w:rsidRPr="00FD35FD">
              <w:rPr>
                <w:rFonts w:cs="Arial"/>
                <w:lang w:val="es-ES" w:bidi="bn-IN"/>
              </w:rPr>
              <w:t>Pokhran-Ramdevra</w:t>
            </w:r>
            <w:proofErr w:type="spellEnd"/>
            <w:r w:rsidRPr="00FD35FD">
              <w:rPr>
                <w:rFonts w:cs="Arial"/>
                <w:lang w:val="es-ES" w:bidi="bn-IN"/>
              </w:rPr>
              <w:t>: un año</w:t>
            </w:r>
          </w:p>
          <w:p w:rsidR="007F347C" w:rsidRPr="007F347C" w:rsidRDefault="007F347C" w:rsidP="007F347C">
            <w:pPr>
              <w:numPr>
                <w:ilvl w:val="0"/>
                <w:numId w:val="10"/>
              </w:numPr>
              <w:spacing w:after="0"/>
              <w:ind w:left="329"/>
              <w:contextualSpacing/>
              <w:jc w:val="both"/>
              <w:rPr>
                <w:rFonts w:cs="Arial"/>
                <w:lang w:val="es-ES" w:bidi="bn-IN"/>
              </w:rPr>
            </w:pPr>
            <w:r w:rsidRPr="00FD35FD">
              <w:rPr>
                <w:rFonts w:cs="Arial"/>
                <w:lang w:val="es-ES" w:bidi="bn-IN"/>
              </w:rPr>
              <w:t>Los programas de concienciación deben ampliarse en virtud del programa a largo plazo: continuo</w:t>
            </w:r>
          </w:p>
          <w:p w:rsidR="007F347C" w:rsidRPr="007F347C" w:rsidRDefault="007F347C" w:rsidP="007F347C">
            <w:pPr>
              <w:numPr>
                <w:ilvl w:val="0"/>
                <w:numId w:val="10"/>
              </w:numPr>
              <w:spacing w:after="0"/>
              <w:ind w:left="329"/>
              <w:contextualSpacing/>
              <w:jc w:val="both"/>
              <w:rPr>
                <w:rFonts w:cs="Arial"/>
                <w:lang w:val="es-ES" w:bidi="bn-IN"/>
              </w:rPr>
            </w:pPr>
            <w:r w:rsidRPr="00FD35FD">
              <w:rPr>
                <w:rFonts w:cs="Arial"/>
                <w:lang w:val="es-ES" w:bidi="bn-IN"/>
              </w:rPr>
              <w:t xml:space="preserve">Desarrollo de herramientas/directrices para la comunicación con los grupos de interés, especialmente para informar sobre el riesgo </w:t>
            </w:r>
            <w:r w:rsidRPr="00FD35FD">
              <w:rPr>
                <w:rFonts w:cs="Arial"/>
                <w:lang w:val="es-ES" w:bidi="bn-IN"/>
              </w:rPr>
              <w:lastRenderedPageBreak/>
              <w:t>financiero asociado a los impactos de la energía renovable sobre las especies, y para mejorar el desarrollo de capacidad de reguladores y consultores: un año (necesidad urgente)</w:t>
            </w:r>
          </w:p>
          <w:p w:rsidR="007F347C" w:rsidRPr="007F347C" w:rsidRDefault="007F347C" w:rsidP="007F347C">
            <w:pPr>
              <w:numPr>
                <w:ilvl w:val="0"/>
                <w:numId w:val="10"/>
              </w:numPr>
              <w:spacing w:after="0"/>
              <w:ind w:left="329"/>
              <w:contextualSpacing/>
              <w:jc w:val="both"/>
              <w:rPr>
                <w:rFonts w:cs="Arial"/>
                <w:lang w:val="es-ES" w:bidi="bn-IN"/>
              </w:rPr>
            </w:pPr>
            <w:r w:rsidRPr="00FD35FD">
              <w:rPr>
                <w:rFonts w:cs="Arial"/>
                <w:lang w:val="es-ES" w:bidi="bn-IN"/>
              </w:rPr>
              <w:t>Directrices para comunidades locales sobre los impactos en la biodiversidad local y cómo evitarlos/mitigarlos: cinco años</w:t>
            </w:r>
          </w:p>
          <w:p w:rsidR="007F347C" w:rsidRPr="007F347C" w:rsidRDefault="007F347C" w:rsidP="007F347C">
            <w:pPr>
              <w:numPr>
                <w:ilvl w:val="0"/>
                <w:numId w:val="10"/>
              </w:numPr>
              <w:spacing w:after="0"/>
              <w:ind w:left="329"/>
              <w:contextualSpacing/>
              <w:jc w:val="both"/>
              <w:rPr>
                <w:rFonts w:cs="Arial"/>
                <w:lang w:val="es-ES" w:bidi="bn-IN"/>
              </w:rPr>
            </w:pPr>
            <w:r w:rsidRPr="00FD35FD">
              <w:rPr>
                <w:rFonts w:cs="Arial"/>
                <w:lang w:val="es-ES" w:bidi="bn-IN"/>
              </w:rPr>
              <w:t xml:space="preserve">Sensibilización de las partes interesadas, especialmente del ejército de la India y las comunidades locales </w:t>
            </w:r>
          </w:p>
          <w:p w:rsidR="007F347C" w:rsidRPr="007F347C" w:rsidRDefault="007F347C" w:rsidP="00FE3F58">
            <w:pPr>
              <w:spacing w:after="0"/>
              <w:contextualSpacing/>
              <w:jc w:val="both"/>
              <w:rPr>
                <w:rFonts w:cs="Arial"/>
                <w:lang w:val="es-ES" w:bidi="bn-IN"/>
              </w:rPr>
            </w:pPr>
          </w:p>
        </w:tc>
      </w:tr>
      <w:tr w:rsidR="007F347C" w:rsidRPr="00FD35FD" w:rsidTr="00FE3F58">
        <w:tc>
          <w:tcPr>
            <w:tcW w:w="1838" w:type="dxa"/>
          </w:tcPr>
          <w:p w:rsidR="007F347C" w:rsidRPr="007F347C" w:rsidRDefault="007F347C" w:rsidP="00FE3F58">
            <w:pPr>
              <w:spacing w:after="0"/>
              <w:rPr>
                <w:rFonts w:cs="Arial"/>
                <w:b/>
                <w:bCs/>
                <w:lang w:val="es-ES" w:bidi="bn-IN"/>
              </w:rPr>
            </w:pPr>
            <w:r w:rsidRPr="00FD35FD">
              <w:rPr>
                <w:rFonts w:cs="Arial"/>
                <w:b/>
                <w:bCs/>
                <w:lang w:val="es-ES" w:bidi="bn-IN"/>
              </w:rPr>
              <w:lastRenderedPageBreak/>
              <w:t>Relación con otras acciones de la CMS</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 xml:space="preserve">Las siguientes acciones en el marco de la CMS para el sisón bengalí pueden relacionarse con </w:t>
            </w:r>
          </w:p>
          <w:p w:rsidR="007F347C" w:rsidRPr="00FD35FD" w:rsidRDefault="007F347C" w:rsidP="00FE3F58">
            <w:pPr>
              <w:spacing w:after="0"/>
              <w:jc w:val="both"/>
              <w:rPr>
                <w:rFonts w:cs="Arial"/>
                <w:lang w:val="en-IN" w:bidi="bn-IN"/>
              </w:rPr>
            </w:pPr>
            <w:r w:rsidRPr="00FD35FD">
              <w:rPr>
                <w:rFonts w:cs="Arial"/>
                <w:lang w:val="es-ES" w:bidi="bn-IN"/>
              </w:rPr>
              <w:t xml:space="preserve">diversas resoluciones e iniciativas </w:t>
            </w:r>
          </w:p>
          <w:p w:rsidR="007F347C" w:rsidRPr="007F347C" w:rsidRDefault="007F347C" w:rsidP="007F347C">
            <w:pPr>
              <w:widowControl w:val="0"/>
              <w:numPr>
                <w:ilvl w:val="0"/>
                <w:numId w:val="9"/>
              </w:numPr>
              <w:tabs>
                <w:tab w:val="left" w:pos="821"/>
              </w:tabs>
              <w:autoSpaceDE w:val="0"/>
              <w:spacing w:before="41" w:after="0" w:line="237" w:lineRule="auto"/>
              <w:ind w:left="329" w:right="399"/>
              <w:contextualSpacing/>
              <w:jc w:val="both"/>
              <w:rPr>
                <w:rFonts w:cs="Arial"/>
                <w:lang w:val="es-ES" w:bidi="bn-IN"/>
              </w:rPr>
            </w:pPr>
            <w:r w:rsidRPr="00FD35FD">
              <w:rPr>
                <w:rFonts w:cs="Arial"/>
                <w:lang w:val="es-ES" w:bidi="bn-IN"/>
              </w:rPr>
              <w:t xml:space="preserve">Resolución 10.03 (El papel de las redes ecológicas en la conservación de las especies migratorias) </w:t>
            </w:r>
          </w:p>
          <w:p w:rsidR="007F347C" w:rsidRPr="007F347C" w:rsidRDefault="007F347C" w:rsidP="007F347C">
            <w:pPr>
              <w:widowControl w:val="0"/>
              <w:numPr>
                <w:ilvl w:val="0"/>
                <w:numId w:val="9"/>
              </w:numPr>
              <w:tabs>
                <w:tab w:val="left" w:pos="821"/>
              </w:tabs>
              <w:autoSpaceDE w:val="0"/>
              <w:spacing w:before="41" w:after="0" w:line="237" w:lineRule="auto"/>
              <w:ind w:left="329" w:right="399"/>
              <w:contextualSpacing/>
              <w:jc w:val="both"/>
              <w:rPr>
                <w:rFonts w:cs="Arial"/>
                <w:lang w:val="es-ES" w:bidi="bn-IN"/>
              </w:rPr>
            </w:pPr>
            <w:r w:rsidRPr="00FD35FD">
              <w:rPr>
                <w:rFonts w:cs="Arial"/>
                <w:lang w:val="es-ES" w:bidi="bn-IN"/>
              </w:rPr>
              <w:t>Resolución 11.25 (Promoción de las redes ecológicas para responder a las necesidades de las especies migratorias)</w:t>
            </w:r>
          </w:p>
          <w:p w:rsidR="007F347C" w:rsidRPr="007F347C" w:rsidRDefault="007F347C" w:rsidP="007F347C">
            <w:pPr>
              <w:widowControl w:val="0"/>
              <w:numPr>
                <w:ilvl w:val="0"/>
                <w:numId w:val="9"/>
              </w:numPr>
              <w:tabs>
                <w:tab w:val="left" w:pos="821"/>
              </w:tabs>
              <w:autoSpaceDE w:val="0"/>
              <w:spacing w:before="41" w:after="0" w:line="237" w:lineRule="auto"/>
              <w:ind w:left="329" w:right="399"/>
              <w:contextualSpacing/>
              <w:jc w:val="both"/>
              <w:rPr>
                <w:rFonts w:cs="Arial"/>
                <w:lang w:val="es-ES" w:bidi="bn-IN"/>
              </w:rPr>
            </w:pPr>
            <w:r w:rsidRPr="00FD35FD">
              <w:rPr>
                <w:rFonts w:cs="Arial"/>
                <w:lang w:val="es-ES" w:bidi="bn-IN"/>
              </w:rPr>
              <w:t>Resolución 10.23 (Especies designadas para acciones concertadas 2012-2014)</w:t>
            </w:r>
          </w:p>
          <w:p w:rsidR="007F347C" w:rsidRPr="00FD35FD" w:rsidRDefault="007F347C" w:rsidP="007F347C">
            <w:pPr>
              <w:widowControl w:val="0"/>
              <w:numPr>
                <w:ilvl w:val="0"/>
                <w:numId w:val="9"/>
              </w:numPr>
              <w:autoSpaceDE w:val="0"/>
              <w:spacing w:before="41" w:after="0" w:line="237" w:lineRule="auto"/>
              <w:ind w:left="329" w:right="399"/>
              <w:contextualSpacing/>
              <w:jc w:val="both"/>
              <w:rPr>
                <w:rFonts w:cs="Arial"/>
                <w:lang w:val="en-IN" w:bidi="bn-IN"/>
              </w:rPr>
            </w:pPr>
            <w:r w:rsidRPr="00FD35FD">
              <w:rPr>
                <w:rFonts w:cs="Arial"/>
                <w:lang w:val="es-ES" w:bidi="bn-IN"/>
              </w:rPr>
              <w:t>Resolución 11.10 (Sinergias y asociaciones)</w:t>
            </w:r>
          </w:p>
          <w:p w:rsidR="007F347C" w:rsidRPr="00FD35FD" w:rsidRDefault="007F347C" w:rsidP="00FE3F58">
            <w:pPr>
              <w:spacing w:after="0"/>
              <w:jc w:val="both"/>
              <w:rPr>
                <w:rFonts w:cs="Arial"/>
                <w:lang w:val="en-IN"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Prioridad de conservación</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La especie figura como especie en grave peligro de extinción en la lista de la UICN (UICN 2019).</w:t>
            </w:r>
          </w:p>
          <w:p w:rsidR="007F347C" w:rsidRPr="007F347C" w:rsidRDefault="007F347C" w:rsidP="00FE3F58">
            <w:pPr>
              <w:autoSpaceDE w:val="0"/>
              <w:adjustRightInd w:val="0"/>
              <w:spacing w:after="0"/>
              <w:jc w:val="both"/>
              <w:rPr>
                <w:rFonts w:cs="Arial"/>
                <w:color w:val="000000"/>
                <w:lang w:val="es-ES"/>
              </w:rPr>
            </w:pPr>
          </w:p>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 xml:space="preserve">La especie ha desaparecido del 90 % de esta área de distribución; su población se ha reducido un 90 % en 50 años (seis generaciones); y se prevé que sus amenazas aumenten en el futuro (Collar </w:t>
            </w:r>
            <w:r w:rsidRPr="007F347C">
              <w:rPr>
                <w:rFonts w:cs="Arial"/>
                <w:i/>
                <w:iCs/>
                <w:color w:val="000000"/>
                <w:lang w:val="es-ES"/>
              </w:rPr>
              <w:t>et al.,</w:t>
            </w:r>
            <w:r w:rsidRPr="007F347C">
              <w:rPr>
                <w:rFonts w:cs="Arial"/>
                <w:color w:val="000000"/>
                <w:lang w:val="es-ES"/>
              </w:rPr>
              <w:t xml:space="preserve"> 2017).</w:t>
            </w:r>
          </w:p>
          <w:p w:rsidR="007F347C" w:rsidRPr="007F347C" w:rsidRDefault="007F347C" w:rsidP="00FE3F58">
            <w:pPr>
              <w:autoSpaceDE w:val="0"/>
              <w:adjustRightInd w:val="0"/>
              <w:spacing w:after="0"/>
              <w:jc w:val="both"/>
              <w:rPr>
                <w:rFonts w:cs="Arial"/>
                <w:color w:val="000000"/>
                <w:lang w:val="es-ES"/>
              </w:rPr>
            </w:pPr>
          </w:p>
          <w:p w:rsidR="007F347C" w:rsidRPr="007F347C" w:rsidRDefault="007F347C" w:rsidP="00FE3F58">
            <w:pPr>
              <w:autoSpaceDE w:val="0"/>
              <w:adjustRightInd w:val="0"/>
              <w:spacing w:after="0"/>
              <w:jc w:val="both"/>
              <w:rPr>
                <w:rFonts w:cs="Arial"/>
                <w:color w:val="000000"/>
                <w:lang w:val="es-ES"/>
              </w:rPr>
            </w:pPr>
          </w:p>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Las directrices para el plan de acción estatal para el programa de recuperación de la avutarda residente, desarrollado por el Ministerio de Medio Ambiente, Bosques y Cambio Climático a través de reuniones consultivas con científicos, gestores y responsables de la toma de decisiones, recomiendan un enfoque múltiple que contemple lo siguiente: a) la protección de los hábitats de cría mediante la creación de recintos a prueba de depredadores que por temporadas sean inviolables para usos consumistas de los humanos; b) la mitigación de amenazas, especialmente de tendidos eléctricos e infraestructuras perjudiciales a nivel de paisaje; c) la incorporación de problemas de subsistencia locales en la planificación de la conservación mediante el incentivo de prácticas agrícolas respetuosas con la avutarda; y d) la adopción de un programa de reproducción para la conservación, incluida la puesta en libertad de la población criada en cautividad, con el que se impida la extinción total de la población (</w:t>
            </w:r>
            <w:proofErr w:type="spellStart"/>
            <w:r w:rsidRPr="007F347C">
              <w:rPr>
                <w:rFonts w:cs="Arial"/>
                <w:color w:val="000000"/>
                <w:lang w:val="es-ES"/>
              </w:rPr>
              <w:t>Dutta</w:t>
            </w:r>
            <w:proofErr w:type="spellEnd"/>
            <w:r w:rsidRPr="007F347C">
              <w:rPr>
                <w:rFonts w:cs="Arial"/>
                <w:color w:val="000000"/>
                <w:lang w:val="es-ES"/>
              </w:rPr>
              <w:t xml:space="preserve"> </w:t>
            </w:r>
            <w:r w:rsidRPr="007F347C">
              <w:rPr>
                <w:rFonts w:cs="Arial"/>
                <w:i/>
                <w:iCs/>
                <w:color w:val="000000"/>
                <w:lang w:val="es-ES"/>
              </w:rPr>
              <w:t>et al.,</w:t>
            </w:r>
            <w:r w:rsidRPr="007F347C">
              <w:rPr>
                <w:rFonts w:cs="Arial"/>
                <w:color w:val="000000"/>
                <w:lang w:val="es-ES"/>
              </w:rPr>
              <w:t xml:space="preserve"> 2013). </w:t>
            </w:r>
          </w:p>
          <w:p w:rsidR="007F347C" w:rsidRPr="007F347C" w:rsidRDefault="007F347C" w:rsidP="00FE3F58">
            <w:pPr>
              <w:autoSpaceDE w:val="0"/>
              <w:adjustRightInd w:val="0"/>
              <w:spacing w:after="0"/>
              <w:jc w:val="both"/>
              <w:rPr>
                <w:rFonts w:cs="Arial"/>
                <w:color w:val="000000"/>
                <w:lang w:val="es-ES"/>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Relevancia</w:t>
            </w:r>
          </w:p>
        </w:tc>
        <w:tc>
          <w:tcPr>
            <w:tcW w:w="7802" w:type="dxa"/>
          </w:tcPr>
          <w:p w:rsidR="007F347C" w:rsidRPr="007F347C" w:rsidRDefault="007F347C" w:rsidP="00FE3F58">
            <w:pPr>
              <w:autoSpaceDE w:val="0"/>
              <w:adjustRightInd w:val="0"/>
              <w:spacing w:after="0"/>
              <w:jc w:val="both"/>
              <w:rPr>
                <w:rFonts w:cs="Arial"/>
                <w:color w:val="000000"/>
                <w:lang w:val="es-ES"/>
              </w:rPr>
            </w:pPr>
            <w:r w:rsidRPr="007F347C">
              <w:rPr>
                <w:rFonts w:cs="Arial"/>
                <w:color w:val="000000"/>
                <w:lang w:val="es-ES"/>
              </w:rPr>
              <w:t xml:space="preserve">En Pakistán, las redes sociales han informado en el pasado e incluso recientemente de la práctica de la caza (Khan </w:t>
            </w:r>
            <w:r w:rsidRPr="007F347C">
              <w:rPr>
                <w:rFonts w:cs="Arial"/>
                <w:i/>
                <w:iCs/>
                <w:color w:val="000000"/>
                <w:lang w:val="es-ES"/>
              </w:rPr>
              <w:t>et al.,</w:t>
            </w:r>
            <w:r w:rsidRPr="007F347C">
              <w:rPr>
                <w:rFonts w:cs="Arial"/>
                <w:color w:val="000000"/>
                <w:lang w:val="es-ES"/>
              </w:rPr>
              <w:t xml:space="preserve"> 2008). Dado el número críticamente bajo de especies, dicha mortalidad adicionalmente inducida por los humanos es insostenible para la continuidad de las especies (</w:t>
            </w:r>
            <w:proofErr w:type="spellStart"/>
            <w:r w:rsidRPr="007F347C">
              <w:rPr>
                <w:rFonts w:cs="Arial"/>
                <w:color w:val="000000"/>
                <w:lang w:val="es-ES"/>
              </w:rPr>
              <w:t>Dutta</w:t>
            </w:r>
            <w:proofErr w:type="spellEnd"/>
            <w:r w:rsidRPr="007F347C">
              <w:rPr>
                <w:rFonts w:cs="Arial"/>
                <w:color w:val="000000"/>
                <w:lang w:val="es-ES"/>
              </w:rPr>
              <w:t xml:space="preserve"> </w:t>
            </w:r>
            <w:r w:rsidRPr="007F347C">
              <w:rPr>
                <w:rFonts w:cs="Arial"/>
                <w:i/>
                <w:iCs/>
                <w:color w:val="000000"/>
                <w:lang w:val="es-ES"/>
              </w:rPr>
              <w:t>et al.,</w:t>
            </w:r>
            <w:r w:rsidRPr="007F347C">
              <w:rPr>
                <w:rFonts w:cs="Arial"/>
                <w:color w:val="000000"/>
                <w:lang w:val="es-ES"/>
              </w:rPr>
              <w:t xml:space="preserve"> 2011) y es la principal amenaza para la conservación de la especie. La densidad de los tendidos eléctricos en </w:t>
            </w:r>
            <w:proofErr w:type="spellStart"/>
            <w:r w:rsidRPr="007F347C">
              <w:rPr>
                <w:rFonts w:cs="Arial"/>
                <w:color w:val="000000"/>
                <w:lang w:val="es-ES"/>
              </w:rPr>
              <w:t>Rajastán</w:t>
            </w:r>
            <w:proofErr w:type="spellEnd"/>
            <w:r w:rsidRPr="007F347C">
              <w:rPr>
                <w:rFonts w:cs="Arial"/>
                <w:color w:val="000000"/>
                <w:lang w:val="es-ES"/>
              </w:rPr>
              <w:t xml:space="preserve">, India, también está aumentando debido a la producción de energía renovable y supone una importante amenazada vinculada a la migración. En la India, la pérdida de hábitats </w:t>
            </w:r>
            <w:r w:rsidRPr="007F347C">
              <w:rPr>
                <w:rFonts w:cs="Arial"/>
                <w:color w:val="000000"/>
                <w:lang w:val="es-ES"/>
              </w:rPr>
              <w:lastRenderedPageBreak/>
              <w:t>y los tendidos eléctricos son las principales amenazas; en cambio en Pakistán, aunque siguen existiendo grandes hábitats, la caza y la falta de concienciación sobre la especie siguen siendo las principales amenazas.</w:t>
            </w:r>
          </w:p>
          <w:p w:rsidR="007F347C" w:rsidRPr="007F347C" w:rsidRDefault="007F347C" w:rsidP="00FE3F58">
            <w:pPr>
              <w:spacing w:after="0"/>
              <w:jc w:val="both"/>
              <w:rPr>
                <w:rFonts w:cs="Arial"/>
                <w:color w:val="000000"/>
                <w:lang w:val="es-ES"/>
              </w:rPr>
            </w:pPr>
          </w:p>
          <w:p w:rsidR="007F347C" w:rsidRPr="007F347C" w:rsidRDefault="007F347C" w:rsidP="00FE3F58">
            <w:pPr>
              <w:spacing w:after="0"/>
              <w:jc w:val="both"/>
              <w:rPr>
                <w:rFonts w:cs="Arial"/>
                <w:color w:val="000000"/>
                <w:lang w:val="es-ES"/>
              </w:rPr>
            </w:pPr>
            <w:r w:rsidRPr="007F347C">
              <w:rPr>
                <w:rFonts w:cs="Arial"/>
                <w:color w:val="000000"/>
                <w:lang w:val="es-ES"/>
              </w:rPr>
              <w:t xml:space="preserve">Esta propuesta de la CMS puede servir de marco de orientación para convencer a los organismos interesados de que lleven a cabo las acciones propuestas. </w:t>
            </w:r>
          </w:p>
          <w:p w:rsidR="007F347C" w:rsidRPr="007F347C" w:rsidRDefault="007F347C" w:rsidP="00FE3F58">
            <w:pPr>
              <w:spacing w:after="0"/>
              <w:jc w:val="both"/>
              <w:rPr>
                <w:rFonts w:cs="Arial"/>
                <w:color w:val="000000"/>
                <w:lang w:val="es-ES"/>
              </w:rPr>
            </w:pPr>
          </w:p>
        </w:tc>
      </w:tr>
      <w:tr w:rsidR="007F347C" w:rsidRPr="00D746E9" w:rsidTr="00FE3F58">
        <w:tc>
          <w:tcPr>
            <w:tcW w:w="1838" w:type="dxa"/>
          </w:tcPr>
          <w:p w:rsidR="007F347C" w:rsidRPr="007F347C" w:rsidRDefault="007F347C" w:rsidP="00FE3F58">
            <w:pPr>
              <w:spacing w:after="0"/>
              <w:rPr>
                <w:rFonts w:cs="Arial"/>
                <w:b/>
                <w:bCs/>
                <w:lang w:val="es-ES" w:bidi="bn-IN"/>
              </w:rPr>
            </w:pPr>
          </w:p>
          <w:p w:rsidR="007F347C" w:rsidRPr="00FD35FD" w:rsidRDefault="007F347C" w:rsidP="00FE3F58">
            <w:pPr>
              <w:spacing w:after="0"/>
              <w:rPr>
                <w:rFonts w:cs="Arial"/>
                <w:b/>
                <w:bCs/>
                <w:lang w:val="en-IN" w:bidi="bn-IN"/>
              </w:rPr>
            </w:pPr>
            <w:r w:rsidRPr="00FD35FD">
              <w:rPr>
                <w:rFonts w:cs="Arial"/>
                <w:b/>
                <w:bCs/>
                <w:lang w:val="es-ES" w:bidi="bn-IN"/>
              </w:rPr>
              <w:t>Ausencia de mejores soluciones</w:t>
            </w:r>
          </w:p>
          <w:p w:rsidR="007F347C" w:rsidRPr="00FD35FD" w:rsidRDefault="007F347C" w:rsidP="00FE3F58">
            <w:pPr>
              <w:spacing w:after="0"/>
              <w:rPr>
                <w:rFonts w:cs="Arial"/>
                <w:b/>
                <w:bCs/>
                <w:lang w:val="en-IN" w:bidi="bn-IN"/>
              </w:rPr>
            </w:pP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En lugar de soluciones como financiación adecuada o apoyo comunitario, los impedimentos en el uso de la tecnología hacen que resulte bastante difícil garantizar la futura supervivencia de la especie (</w:t>
            </w:r>
            <w:proofErr w:type="spellStart"/>
            <w:r w:rsidRPr="00FD35FD">
              <w:rPr>
                <w:rFonts w:cs="Arial"/>
                <w:lang w:val="es-ES" w:bidi="bn-IN"/>
              </w:rPr>
              <w:t>Dolman</w:t>
            </w:r>
            <w:proofErr w:type="spellEnd"/>
            <w:r w:rsidRPr="00FD35FD">
              <w:rPr>
                <w:rFonts w:cs="Arial"/>
                <w:lang w:val="es-ES" w:bidi="bn-IN"/>
              </w:rPr>
              <w:t xml:space="preserve"> </w:t>
            </w:r>
            <w:r w:rsidRPr="00FD35FD">
              <w:rPr>
                <w:rFonts w:cs="Arial"/>
                <w:i/>
                <w:iCs/>
                <w:lang w:val="es-ES" w:bidi="bn-IN"/>
              </w:rPr>
              <w:t>et al.,</w:t>
            </w:r>
            <w:r w:rsidRPr="00FD35FD">
              <w:rPr>
                <w:rFonts w:cs="Arial"/>
                <w:lang w:val="es-ES" w:bidi="bn-IN"/>
              </w:rPr>
              <w:t xml:space="preserve"> 2015).</w:t>
            </w:r>
          </w:p>
          <w:p w:rsidR="007F347C" w:rsidRPr="007F347C" w:rsidRDefault="007F347C" w:rsidP="00FE3F58">
            <w:pPr>
              <w:spacing w:after="0"/>
              <w:jc w:val="both"/>
              <w:rPr>
                <w:rFonts w:cs="Arial"/>
                <w:lang w:val="es-ES" w:bidi="bn-IN"/>
              </w:rPr>
            </w:pPr>
          </w:p>
          <w:p w:rsidR="007F347C" w:rsidRPr="007F347C" w:rsidRDefault="007F347C" w:rsidP="00FE3F58">
            <w:pPr>
              <w:tabs>
                <w:tab w:val="left" w:pos="709"/>
              </w:tabs>
              <w:spacing w:after="0"/>
              <w:jc w:val="both"/>
              <w:rPr>
                <w:rFonts w:cs="Arial"/>
                <w:lang w:val="es-ES" w:bidi="bn-IN"/>
              </w:rPr>
            </w:pPr>
            <w:r w:rsidRPr="00FD35FD">
              <w:rPr>
                <w:rFonts w:cs="Arial"/>
                <w:lang w:val="es-ES" w:bidi="bn-IN"/>
              </w:rPr>
              <w:t xml:space="preserve">Destrucción y deterioro del hábitat: las alteraciones durante la temporada de cría de las aves, la transformación de pastizales y las denominadas tierras incultas en campos de cultivo, los proyectos de desarrollo, y el aumento de la energía renovable, como molinos de viento y centrales de energía solar. </w:t>
            </w:r>
          </w:p>
          <w:p w:rsidR="007F347C" w:rsidRPr="007F347C" w:rsidRDefault="007F347C" w:rsidP="00FE3F58">
            <w:pPr>
              <w:spacing w:after="0"/>
              <w:jc w:val="both"/>
              <w:rPr>
                <w:rFonts w:cs="Arial"/>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Disponibilidad y viabilidad</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Los siguientes problemas significativos afectan a la viabilidad práctica:</w:t>
            </w:r>
          </w:p>
          <w:p w:rsidR="007F347C" w:rsidRPr="007F347C" w:rsidRDefault="007F347C" w:rsidP="007F347C">
            <w:pPr>
              <w:numPr>
                <w:ilvl w:val="0"/>
                <w:numId w:val="7"/>
              </w:numPr>
              <w:spacing w:after="0"/>
              <w:ind w:left="329"/>
              <w:contextualSpacing/>
              <w:jc w:val="both"/>
              <w:rPr>
                <w:rFonts w:cs="Arial"/>
                <w:lang w:val="es-ES" w:bidi="bn-IN"/>
              </w:rPr>
            </w:pPr>
            <w:r w:rsidRPr="00FD35FD">
              <w:rPr>
                <w:rFonts w:cs="Arial"/>
                <w:lang w:val="es-ES" w:bidi="bn-IN"/>
              </w:rPr>
              <w:t xml:space="preserve">La recuperación de pastizales requiere una gran cantidad de fondos o disposiciones especiales según lo dispuesto en los planes de gestión </w:t>
            </w:r>
          </w:p>
          <w:p w:rsidR="007F347C" w:rsidRPr="007F347C" w:rsidRDefault="007F347C" w:rsidP="007F347C">
            <w:pPr>
              <w:numPr>
                <w:ilvl w:val="0"/>
                <w:numId w:val="7"/>
              </w:numPr>
              <w:spacing w:after="0"/>
              <w:ind w:left="329"/>
              <w:contextualSpacing/>
              <w:jc w:val="both"/>
              <w:rPr>
                <w:rFonts w:cs="Arial"/>
                <w:lang w:val="es-ES" w:bidi="bn-IN"/>
              </w:rPr>
            </w:pPr>
            <w:r w:rsidRPr="00FD35FD">
              <w:rPr>
                <w:rFonts w:cs="Arial"/>
                <w:lang w:val="es-ES" w:bidi="bn-IN"/>
              </w:rPr>
              <w:t>El traslado de los proyectos de energía renovable al marco de la estricta evaluación de impacto medioambiental, y la minimización de las colisiones y electrocuciones de las avutardas mediante la reubicación, reconfiguración o rediseño de las infraestructuras del tendido eléctrico, los molinos de vientos y los paneles solares para minimizar los impactos de las colisiones de las avutardas</w:t>
            </w:r>
          </w:p>
          <w:p w:rsidR="007F347C" w:rsidRPr="007F347C" w:rsidRDefault="007F347C" w:rsidP="007F347C">
            <w:pPr>
              <w:numPr>
                <w:ilvl w:val="0"/>
                <w:numId w:val="7"/>
              </w:numPr>
              <w:spacing w:after="0"/>
              <w:ind w:left="329"/>
              <w:contextualSpacing/>
              <w:jc w:val="both"/>
              <w:rPr>
                <w:rFonts w:cs="Arial"/>
                <w:lang w:val="es-ES" w:bidi="bn-IN"/>
              </w:rPr>
            </w:pPr>
            <w:r w:rsidRPr="00FD35FD">
              <w:rPr>
                <w:rFonts w:cs="Arial"/>
                <w:lang w:val="es-ES" w:bidi="bn-IN"/>
              </w:rPr>
              <w:t xml:space="preserve">Ya existe un plan de gestión de pastizales para las zonas protegidas, pero la mayoría de las aves se encuentran en zonas no protegidas </w:t>
            </w:r>
          </w:p>
          <w:p w:rsidR="007F347C" w:rsidRPr="007F347C" w:rsidRDefault="007F347C" w:rsidP="007F347C">
            <w:pPr>
              <w:numPr>
                <w:ilvl w:val="0"/>
                <w:numId w:val="7"/>
              </w:numPr>
              <w:spacing w:after="0"/>
              <w:ind w:left="329"/>
              <w:contextualSpacing/>
              <w:jc w:val="both"/>
              <w:rPr>
                <w:rFonts w:cs="Arial"/>
                <w:lang w:val="es-ES" w:bidi="bn-IN"/>
              </w:rPr>
            </w:pPr>
            <w:r w:rsidRPr="00FD35FD">
              <w:rPr>
                <w:rFonts w:cs="Arial"/>
                <w:lang w:val="es-ES" w:bidi="bn-IN"/>
              </w:rPr>
              <w:t>Colaboración con la comunidad y las ONG: las acciones concertadas transfronterizas, con ayuda de WWF-</w:t>
            </w:r>
            <w:proofErr w:type="spellStart"/>
            <w:r w:rsidRPr="00FD35FD">
              <w:rPr>
                <w:rFonts w:cs="Arial"/>
                <w:lang w:val="es-ES" w:bidi="bn-IN"/>
              </w:rPr>
              <w:t>Pakistan</w:t>
            </w:r>
            <w:proofErr w:type="spellEnd"/>
            <w:r w:rsidRPr="00FD35FD">
              <w:rPr>
                <w:rFonts w:cs="Arial"/>
                <w:lang w:val="es-ES" w:bidi="bn-IN"/>
              </w:rPr>
              <w:t xml:space="preserve">, ayudarán en la recuperación de las especies. Instituciones como BNHS con una larga vinculación con la conservación de la avutarda, y como socio de BirdLife International en la India, pueden desempeñar un papel importante para reducir la brecha entre el Gobierno y las comunidades </w:t>
            </w:r>
          </w:p>
          <w:p w:rsidR="007F347C" w:rsidRPr="007F347C" w:rsidRDefault="007F347C" w:rsidP="00FE3F58">
            <w:pPr>
              <w:spacing w:after="0"/>
              <w:contextualSpacing/>
              <w:jc w:val="both"/>
              <w:rPr>
                <w:rFonts w:cs="Arial"/>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Probabilidad de éxito</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 xml:space="preserve">Serán necesarios un gran equipo de investigadores y numerosos fondos para implementar la acción propuesta con ayuda del correspondiente departamento forestal estatal. </w:t>
            </w:r>
          </w:p>
          <w:p w:rsidR="007F347C" w:rsidRPr="007F347C" w:rsidRDefault="007F347C" w:rsidP="00FE3F58">
            <w:pPr>
              <w:spacing w:after="0"/>
              <w:jc w:val="both"/>
              <w:rPr>
                <w:rFonts w:cs="Arial"/>
                <w:lang w:val="es-ES" w:bidi="bn-IN"/>
              </w:rPr>
            </w:pPr>
          </w:p>
          <w:p w:rsidR="007F347C" w:rsidRPr="007F347C" w:rsidRDefault="007F347C" w:rsidP="00FE3F58">
            <w:pPr>
              <w:spacing w:after="0"/>
              <w:jc w:val="both"/>
              <w:rPr>
                <w:rFonts w:cs="Arial"/>
                <w:lang w:val="es-ES" w:bidi="bn-IN"/>
              </w:rPr>
            </w:pPr>
            <w:r w:rsidRPr="00FD35FD">
              <w:rPr>
                <w:rFonts w:cs="Arial"/>
                <w:lang w:val="es-ES" w:bidi="bn-IN"/>
              </w:rPr>
              <w:t xml:space="preserve">Los factores de riesgo incluyen la no participación de comunidades en la conservación de la especie fuera de las zonas protegidas. </w:t>
            </w:r>
          </w:p>
          <w:p w:rsidR="007F347C" w:rsidRPr="007F347C" w:rsidRDefault="007F347C" w:rsidP="00FE3F58">
            <w:pPr>
              <w:spacing w:after="0"/>
              <w:jc w:val="both"/>
              <w:rPr>
                <w:rFonts w:cs="Arial"/>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Magnitud del impacto probable</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 xml:space="preserve">Las acciones propuestas ayudarán a la población de la avutarda de la India en la India y Pakistán. La avutarda de la India puede actuar como especie bandera para la conservación de otras muchas especies que dependen del desierto.  La especie es especialista en pastizales y </w:t>
            </w:r>
            <w:r w:rsidRPr="00FD35FD">
              <w:rPr>
                <w:rFonts w:cs="Arial"/>
                <w:lang w:val="es-ES" w:bidi="bn-IN"/>
              </w:rPr>
              <w:lastRenderedPageBreak/>
              <w:t xml:space="preserve">comparte su hábitat preferido en pastizales con numerosa fauna exclusiva del desierto como el lagarto de cola espinosa de la India </w:t>
            </w:r>
            <w:proofErr w:type="spellStart"/>
            <w:r w:rsidRPr="00FD35FD">
              <w:rPr>
                <w:rFonts w:cs="Arial"/>
                <w:i/>
                <w:iCs/>
                <w:lang w:val="es-ES" w:bidi="bn-IN"/>
              </w:rPr>
              <w:t>Saara</w:t>
            </w:r>
            <w:proofErr w:type="spellEnd"/>
            <w:r w:rsidRPr="00FD35FD">
              <w:rPr>
                <w:rFonts w:cs="Arial"/>
                <w:i/>
                <w:iCs/>
                <w:lang w:val="es-ES" w:bidi="bn-IN"/>
              </w:rPr>
              <w:t xml:space="preserve"> </w:t>
            </w:r>
            <w:proofErr w:type="spellStart"/>
            <w:r w:rsidRPr="00FD35FD">
              <w:rPr>
                <w:rFonts w:cs="Arial"/>
                <w:i/>
                <w:iCs/>
                <w:lang w:val="es-ES" w:bidi="bn-IN"/>
              </w:rPr>
              <w:t>hardwickii</w:t>
            </w:r>
            <w:proofErr w:type="spellEnd"/>
            <w:r w:rsidRPr="00FD35FD">
              <w:rPr>
                <w:rFonts w:cs="Arial"/>
                <w:lang w:val="es-ES" w:bidi="bn-IN"/>
              </w:rPr>
              <w:t xml:space="preserve">, la gacela de la India </w:t>
            </w:r>
            <w:proofErr w:type="spellStart"/>
            <w:r w:rsidRPr="00FD35FD">
              <w:rPr>
                <w:rFonts w:cs="Arial"/>
                <w:i/>
                <w:iCs/>
                <w:lang w:val="es-ES" w:bidi="bn-IN"/>
              </w:rPr>
              <w:t>Gazella</w:t>
            </w:r>
            <w:proofErr w:type="spellEnd"/>
            <w:r w:rsidRPr="00FD35FD">
              <w:rPr>
                <w:rFonts w:cs="Arial"/>
                <w:i/>
                <w:iCs/>
                <w:lang w:val="es-ES" w:bidi="bn-IN"/>
              </w:rPr>
              <w:t xml:space="preserve"> </w:t>
            </w:r>
            <w:proofErr w:type="spellStart"/>
            <w:r w:rsidRPr="00FD35FD">
              <w:rPr>
                <w:rFonts w:cs="Arial"/>
                <w:i/>
                <w:iCs/>
                <w:lang w:val="es-ES" w:bidi="bn-IN"/>
              </w:rPr>
              <w:t>bennettii</w:t>
            </w:r>
            <w:proofErr w:type="spellEnd"/>
            <w:r w:rsidRPr="00FD35FD">
              <w:rPr>
                <w:rFonts w:cs="Arial"/>
                <w:lang w:val="es-ES" w:bidi="bn-IN"/>
              </w:rPr>
              <w:t xml:space="preserve">, el zorro del desierto </w:t>
            </w:r>
            <w:proofErr w:type="spellStart"/>
            <w:r w:rsidRPr="00FD35FD">
              <w:rPr>
                <w:rFonts w:cs="Arial"/>
                <w:i/>
                <w:iCs/>
                <w:lang w:val="es-ES" w:bidi="bn-IN"/>
              </w:rPr>
              <w:t>Vulpes</w:t>
            </w:r>
            <w:proofErr w:type="spellEnd"/>
            <w:r w:rsidRPr="00FD35FD">
              <w:rPr>
                <w:rFonts w:cs="Arial"/>
                <w:i/>
                <w:iCs/>
                <w:lang w:val="es-ES" w:bidi="bn-IN"/>
              </w:rPr>
              <w:t xml:space="preserve"> </w:t>
            </w:r>
            <w:proofErr w:type="spellStart"/>
            <w:r w:rsidRPr="00FD35FD">
              <w:rPr>
                <w:rFonts w:cs="Arial"/>
                <w:i/>
                <w:iCs/>
                <w:lang w:val="es-ES" w:bidi="bn-IN"/>
              </w:rPr>
              <w:t>vulpes</w:t>
            </w:r>
            <w:proofErr w:type="spellEnd"/>
            <w:r w:rsidRPr="00FD35FD">
              <w:rPr>
                <w:rFonts w:cs="Arial"/>
                <w:i/>
                <w:iCs/>
                <w:lang w:val="es-ES" w:bidi="bn-IN"/>
              </w:rPr>
              <w:t xml:space="preserve"> </w:t>
            </w:r>
            <w:proofErr w:type="spellStart"/>
            <w:r w:rsidRPr="00FD35FD">
              <w:rPr>
                <w:rFonts w:cs="Arial"/>
                <w:i/>
                <w:iCs/>
                <w:lang w:val="es-ES" w:bidi="bn-IN"/>
              </w:rPr>
              <w:t>pusilla</w:t>
            </w:r>
            <w:proofErr w:type="spellEnd"/>
            <w:r w:rsidRPr="00FD35FD">
              <w:rPr>
                <w:rFonts w:cs="Arial"/>
                <w:lang w:val="es-ES" w:bidi="bn-IN"/>
              </w:rPr>
              <w:t xml:space="preserve">, el zorro de Bengala </w:t>
            </w:r>
            <w:proofErr w:type="spellStart"/>
            <w:r w:rsidRPr="00FD35FD">
              <w:rPr>
                <w:rFonts w:cs="Arial"/>
                <w:i/>
                <w:iCs/>
                <w:lang w:val="es-ES" w:bidi="bn-IN"/>
              </w:rPr>
              <w:t>Vulpes</w:t>
            </w:r>
            <w:proofErr w:type="spellEnd"/>
            <w:r w:rsidRPr="00FD35FD">
              <w:rPr>
                <w:rFonts w:cs="Arial"/>
                <w:i/>
                <w:iCs/>
                <w:lang w:val="es-ES" w:bidi="bn-IN"/>
              </w:rPr>
              <w:t xml:space="preserve"> </w:t>
            </w:r>
            <w:proofErr w:type="spellStart"/>
            <w:r w:rsidRPr="00FD35FD">
              <w:rPr>
                <w:rFonts w:cs="Arial"/>
                <w:i/>
                <w:iCs/>
                <w:lang w:val="es-ES" w:bidi="bn-IN"/>
              </w:rPr>
              <w:t>bengalensis</w:t>
            </w:r>
            <w:proofErr w:type="spellEnd"/>
            <w:r w:rsidRPr="00FD35FD">
              <w:rPr>
                <w:rFonts w:cs="Arial"/>
                <w:lang w:val="es-ES" w:bidi="bn-IN"/>
              </w:rPr>
              <w:t xml:space="preserve">, el gato del desierto, etc. </w:t>
            </w:r>
          </w:p>
          <w:p w:rsidR="007F347C" w:rsidRPr="007F347C" w:rsidRDefault="007F347C" w:rsidP="00FE3F58">
            <w:pPr>
              <w:spacing w:after="0"/>
              <w:jc w:val="both"/>
              <w:rPr>
                <w:rFonts w:cs="Arial"/>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lastRenderedPageBreak/>
              <w:t>Rentabilidad</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Una serie de directrices para la formulación de planes de recuperación de especies específicos para estados está disponible para tres especies residentes de avutardas de la India, a saber, la gran avutarda hindú, el sisón de penacho y el sisón bengalí, las cuales han sido respaldadas por el Ministerio de Medio Ambiente, Bosques y Cambio Climático (</w:t>
            </w:r>
            <w:proofErr w:type="spellStart"/>
            <w:r w:rsidRPr="00FD35FD">
              <w:rPr>
                <w:rFonts w:cs="Arial"/>
                <w:lang w:val="es-ES" w:bidi="bn-IN"/>
              </w:rPr>
              <w:t>Dutta</w:t>
            </w:r>
            <w:proofErr w:type="spellEnd"/>
            <w:r w:rsidRPr="00FD35FD">
              <w:rPr>
                <w:rFonts w:cs="Arial"/>
                <w:lang w:val="es-ES" w:bidi="bn-IN"/>
              </w:rPr>
              <w:t xml:space="preserve"> </w:t>
            </w:r>
            <w:r w:rsidRPr="00FD35FD">
              <w:rPr>
                <w:rFonts w:cs="Arial"/>
                <w:i/>
                <w:iCs/>
                <w:lang w:val="es-ES" w:bidi="bn-IN"/>
              </w:rPr>
              <w:t xml:space="preserve">et al., </w:t>
            </w:r>
            <w:r w:rsidRPr="00FD35FD">
              <w:rPr>
                <w:rFonts w:cs="Arial"/>
                <w:lang w:val="es-ES" w:bidi="bn-IN"/>
              </w:rPr>
              <w:t xml:space="preserve">2013). WII, </w:t>
            </w:r>
            <w:proofErr w:type="spellStart"/>
            <w:r w:rsidRPr="00FD35FD">
              <w:rPr>
                <w:rFonts w:cs="Arial"/>
                <w:lang w:val="es-ES" w:bidi="bn-IN"/>
              </w:rPr>
              <w:t>Dehradun</w:t>
            </w:r>
            <w:proofErr w:type="spellEnd"/>
            <w:r w:rsidRPr="00FD35FD">
              <w:rPr>
                <w:rFonts w:cs="Arial"/>
                <w:lang w:val="es-ES" w:bidi="bn-IN"/>
              </w:rPr>
              <w:t xml:space="preserve"> ha recibido una importante financiación por parte de CAMPA para la recuperación de la gran avutarda hindú y el sisón de penacho centrada en la conservación ex situ.</w:t>
            </w:r>
          </w:p>
          <w:p w:rsidR="007F347C" w:rsidRPr="007F347C" w:rsidRDefault="007F347C" w:rsidP="00FE3F58">
            <w:pPr>
              <w:spacing w:after="0"/>
              <w:jc w:val="both"/>
              <w:rPr>
                <w:rFonts w:cs="Arial"/>
                <w:lang w:val="es-ES" w:bidi="bn-IN"/>
              </w:rPr>
            </w:pPr>
          </w:p>
          <w:p w:rsidR="007F347C" w:rsidRPr="007F347C" w:rsidRDefault="007F347C" w:rsidP="00FE3F58">
            <w:pPr>
              <w:spacing w:after="0"/>
              <w:jc w:val="both"/>
              <w:rPr>
                <w:rFonts w:cs="Arial"/>
                <w:lang w:val="es-ES" w:bidi="bn-IN"/>
              </w:rPr>
            </w:pPr>
            <w:r w:rsidRPr="00FD35FD">
              <w:rPr>
                <w:rFonts w:cs="Arial"/>
                <w:lang w:val="es-ES" w:bidi="bn-IN"/>
              </w:rPr>
              <w:t xml:space="preserve">Actividades como el desarrollo de zonas de conservación comunitaria resultarán rentables. La acción concertada ayudará a involucrar a la comunidad y evitará la duplicación de tareas entre los organismos competentes. El éxito de la conservación de la avutarda de la India depende de la participación de diversos organismos, comunidades locales y ONG. </w:t>
            </w:r>
          </w:p>
          <w:p w:rsidR="007F347C" w:rsidRPr="007F347C" w:rsidRDefault="007F347C" w:rsidP="00FE3F58">
            <w:pPr>
              <w:spacing w:after="0"/>
              <w:jc w:val="both"/>
              <w:rPr>
                <w:rFonts w:cs="Arial"/>
                <w:lang w:val="es-ES" w:bidi="bn-IN"/>
              </w:rPr>
            </w:pPr>
          </w:p>
        </w:tc>
      </w:tr>
      <w:tr w:rsidR="007F347C" w:rsidRPr="00D746E9" w:rsidTr="00FE3F58">
        <w:tc>
          <w:tcPr>
            <w:tcW w:w="1838" w:type="dxa"/>
          </w:tcPr>
          <w:p w:rsidR="007F347C" w:rsidRPr="00FD35FD" w:rsidRDefault="007F347C" w:rsidP="00FE3F58">
            <w:pPr>
              <w:spacing w:after="0"/>
              <w:rPr>
                <w:rFonts w:cs="Arial"/>
                <w:b/>
                <w:bCs/>
                <w:lang w:val="en-IN" w:bidi="bn-IN"/>
              </w:rPr>
            </w:pPr>
            <w:r w:rsidRPr="00FD35FD">
              <w:rPr>
                <w:rFonts w:cs="Arial"/>
                <w:b/>
                <w:bCs/>
                <w:lang w:val="es-ES" w:bidi="bn-IN"/>
              </w:rPr>
              <w:t>Consultas planificadas/realizadas</w:t>
            </w:r>
          </w:p>
        </w:tc>
        <w:tc>
          <w:tcPr>
            <w:tcW w:w="7802" w:type="dxa"/>
          </w:tcPr>
          <w:p w:rsidR="007F347C" w:rsidRPr="007F347C" w:rsidRDefault="007F347C" w:rsidP="00FE3F58">
            <w:pPr>
              <w:spacing w:after="0"/>
              <w:jc w:val="both"/>
              <w:rPr>
                <w:rFonts w:cs="Arial"/>
                <w:lang w:val="es-ES" w:bidi="bn-IN"/>
              </w:rPr>
            </w:pPr>
            <w:r w:rsidRPr="00FD35FD">
              <w:rPr>
                <w:rFonts w:cs="Arial"/>
                <w:lang w:val="es-ES" w:bidi="bn-IN"/>
              </w:rPr>
              <w:t xml:space="preserve">El Gobierno de la India ha lanzado un programa a nivel nacional para proteger a la avutarda de la India que contempla la reproducción para la conservación y el establecimiento de un panel de expertos nacional de emergencia a través de su Tribunal Supremo que formule recomendaciones para la recuperación de la población.  </w:t>
            </w:r>
          </w:p>
          <w:p w:rsidR="007F347C" w:rsidRPr="007F347C" w:rsidRDefault="007F347C" w:rsidP="00FE3F58">
            <w:pPr>
              <w:spacing w:after="0"/>
              <w:jc w:val="both"/>
              <w:rPr>
                <w:rFonts w:cs="Arial"/>
                <w:lang w:val="es-ES" w:bidi="bn-IN"/>
              </w:rPr>
            </w:pPr>
          </w:p>
          <w:p w:rsidR="007F347C" w:rsidRPr="007F347C" w:rsidRDefault="007F347C" w:rsidP="00FE3F58">
            <w:pPr>
              <w:spacing w:after="0"/>
              <w:jc w:val="both"/>
              <w:rPr>
                <w:rFonts w:cs="Arial"/>
                <w:lang w:val="es-ES" w:bidi="bn-IN"/>
              </w:rPr>
            </w:pPr>
            <w:r w:rsidRPr="00FD35FD">
              <w:rPr>
                <w:rFonts w:cs="Arial"/>
                <w:lang w:val="es-ES" w:bidi="bn-IN"/>
              </w:rPr>
              <w:t xml:space="preserve">WII, </w:t>
            </w:r>
            <w:proofErr w:type="spellStart"/>
            <w:r w:rsidRPr="00FD35FD">
              <w:rPr>
                <w:rFonts w:cs="Arial"/>
                <w:lang w:val="es-ES" w:bidi="bn-IN"/>
              </w:rPr>
              <w:t>Dehradun</w:t>
            </w:r>
            <w:proofErr w:type="spellEnd"/>
            <w:r w:rsidRPr="00FD35FD">
              <w:rPr>
                <w:rFonts w:cs="Arial"/>
                <w:lang w:val="es-ES" w:bidi="bn-IN"/>
              </w:rPr>
              <w:t xml:space="preserve">; el Departamento de Bosques de </w:t>
            </w:r>
            <w:proofErr w:type="spellStart"/>
            <w:r w:rsidRPr="00FD35FD">
              <w:rPr>
                <w:rFonts w:cs="Arial"/>
                <w:lang w:val="es-ES" w:bidi="bn-IN"/>
              </w:rPr>
              <w:t>Rajastán</w:t>
            </w:r>
            <w:proofErr w:type="spellEnd"/>
            <w:r w:rsidRPr="00FD35FD">
              <w:rPr>
                <w:rFonts w:cs="Arial"/>
                <w:lang w:val="es-ES" w:bidi="bn-IN"/>
              </w:rPr>
              <w:t xml:space="preserve"> y el Ministerio de Medio Ambiente, Bosques y Cambio Climático formaron un comité para supervisar el progreso del programa de conservación ex situ e in situ financiado por CAMPA. </w:t>
            </w:r>
          </w:p>
          <w:p w:rsidR="007F347C" w:rsidRPr="007F347C" w:rsidRDefault="007F347C" w:rsidP="00FE3F58">
            <w:pPr>
              <w:spacing w:after="0"/>
              <w:jc w:val="both"/>
              <w:rPr>
                <w:rFonts w:cs="Arial"/>
                <w:lang w:val="es-ES" w:bidi="bn-IN"/>
              </w:rPr>
            </w:pPr>
          </w:p>
          <w:p w:rsidR="007F347C" w:rsidRPr="007F347C" w:rsidRDefault="007F347C" w:rsidP="00FE3F58">
            <w:pPr>
              <w:spacing w:after="0"/>
              <w:jc w:val="both"/>
              <w:rPr>
                <w:rFonts w:cs="Arial"/>
                <w:lang w:val="es-ES" w:bidi="bn-IN"/>
              </w:rPr>
            </w:pPr>
            <w:r w:rsidRPr="00FD35FD">
              <w:rPr>
                <w:rFonts w:cs="Arial"/>
                <w:lang w:val="es-ES" w:bidi="bn-IN"/>
              </w:rPr>
              <w:t xml:space="preserve">Colaboración de BNHS y otras organizaciones con el ejército de la India y las comunidades locales para desarrollar un plan con el que gestionar las poblaciones de especies que existen fuera de las zonas protegidas.  A nivel local, BNHS ha celebrado reuniones de consulta con comunidades locales en el área de </w:t>
            </w:r>
            <w:proofErr w:type="spellStart"/>
            <w:r w:rsidRPr="00FD35FD">
              <w:rPr>
                <w:rFonts w:cs="Arial"/>
                <w:lang w:val="es-ES" w:bidi="bn-IN"/>
              </w:rPr>
              <w:t>Pokhran</w:t>
            </w:r>
            <w:proofErr w:type="spellEnd"/>
            <w:r w:rsidRPr="00FD35FD">
              <w:rPr>
                <w:rFonts w:cs="Arial"/>
                <w:lang w:val="es-ES" w:bidi="bn-IN"/>
              </w:rPr>
              <w:t xml:space="preserve">, en </w:t>
            </w:r>
            <w:proofErr w:type="spellStart"/>
            <w:r w:rsidRPr="00FD35FD">
              <w:rPr>
                <w:rFonts w:cs="Arial"/>
                <w:lang w:val="es-ES" w:bidi="bn-IN"/>
              </w:rPr>
              <w:t>Rajastán</w:t>
            </w:r>
            <w:proofErr w:type="spellEnd"/>
            <w:r w:rsidRPr="00FD35FD">
              <w:rPr>
                <w:rFonts w:cs="Arial"/>
                <w:lang w:val="es-ES" w:bidi="bn-IN"/>
              </w:rPr>
              <w:t xml:space="preserve">, en las que se han desarrollado algunas medidas relevantes. </w:t>
            </w:r>
          </w:p>
          <w:p w:rsidR="007F347C" w:rsidRPr="007F347C" w:rsidRDefault="007F347C" w:rsidP="00FE3F58">
            <w:pPr>
              <w:spacing w:after="0"/>
              <w:jc w:val="both"/>
              <w:rPr>
                <w:rFonts w:cs="Arial"/>
                <w:lang w:val="es-ES" w:bidi="bn-IN"/>
              </w:rPr>
            </w:pPr>
          </w:p>
        </w:tc>
      </w:tr>
    </w:tbl>
    <w:p w:rsidR="007F347C" w:rsidRPr="007F347C" w:rsidRDefault="007F347C" w:rsidP="007F347C">
      <w:pPr>
        <w:rPr>
          <w:rFonts w:cs="Arial"/>
          <w:lang w:val="es-ES"/>
        </w:rPr>
      </w:pPr>
    </w:p>
    <w:p w:rsidR="00D746E9" w:rsidRDefault="00D746E9">
      <w:pPr>
        <w:rPr>
          <w:lang w:val="es-ES"/>
        </w:rPr>
      </w:pPr>
      <w:r>
        <w:rPr>
          <w:lang w:val="es-ES"/>
        </w:rPr>
        <w:br w:type="page"/>
      </w:r>
    </w:p>
    <w:p w:rsidR="00D746E9" w:rsidRPr="00D746E9" w:rsidRDefault="00D746E9" w:rsidP="00D746E9">
      <w:pPr>
        <w:rPr>
          <w:rFonts w:cs="Arial"/>
          <w:b/>
          <w:bCs/>
          <w:lang w:val="es-ES" w:bidi="bn-IN"/>
        </w:rPr>
      </w:pPr>
      <w:r w:rsidRPr="00D746E9">
        <w:rPr>
          <w:rFonts w:cs="Arial"/>
          <w:b/>
          <w:bCs/>
          <w:lang w:val="es-ES" w:bidi="bn-IN"/>
        </w:rPr>
        <w:lastRenderedPageBreak/>
        <w:t>References</w:t>
      </w:r>
    </w:p>
    <w:p w:rsidR="00D746E9" w:rsidRPr="00FD35FD" w:rsidRDefault="00D746E9" w:rsidP="00D746E9">
      <w:pPr>
        <w:spacing w:after="120"/>
        <w:ind w:left="425" w:hanging="425"/>
        <w:jc w:val="both"/>
        <w:rPr>
          <w:rFonts w:cs="Arial"/>
          <w:color w:val="222222"/>
          <w:shd w:val="clear" w:color="auto" w:fill="FFFFFF"/>
          <w:lang w:val="en-IN" w:bidi="bn-IN"/>
        </w:rPr>
      </w:pPr>
      <w:bookmarkStart w:id="1" w:name="_Hlk6234626"/>
      <w:r w:rsidRPr="00D746E9">
        <w:rPr>
          <w:rFonts w:cs="Arial"/>
          <w:color w:val="222222"/>
          <w:shd w:val="clear" w:color="auto" w:fill="FFFFFF"/>
          <w:lang w:val="es-ES" w:bidi="bn-IN"/>
        </w:rPr>
        <w:t xml:space="preserve">Collar, N. J., H. S. Baral, N. Batbayar, G. S. Bhardwaj, N. Brahma, R. J. Burnside, A. U. Choudhury, O. Combreau, P. M. Dolman, P. F. Donald, S. Dutta, D. Gadhavi, K. Gore, O. A. Goroshko, Hong C., G. A. Jathar, R. R. S. Jha, Y. V. Jhala, M. A. Koshkin, B. P. Lahkar, G. Liu, S. P. Mahood, M. B. Morales, S. S. Narwade, T. Natsagdorj, A. A. Nefedov, J. P. Silva, J. J. Thakuri, M. Wang, Y. Zhang &amp; A. E. Kessler, 2017. </w:t>
      </w:r>
      <w:r w:rsidRPr="00FD35FD">
        <w:rPr>
          <w:rFonts w:cs="Arial"/>
          <w:color w:val="222222"/>
          <w:shd w:val="clear" w:color="auto" w:fill="FFFFFF"/>
          <w:lang w:val="en-IN" w:bidi="bn-IN"/>
        </w:rPr>
        <w:t xml:space="preserve">Averting the extinction of bustards in Asia. </w:t>
      </w:r>
      <w:r w:rsidRPr="00FD35FD">
        <w:rPr>
          <w:rFonts w:cs="Arial"/>
          <w:i/>
          <w:color w:val="222222"/>
          <w:shd w:val="clear" w:color="auto" w:fill="FFFFFF"/>
          <w:lang w:val="en-IN" w:bidi="bn-IN"/>
        </w:rPr>
        <w:t>FORKTAIL</w:t>
      </w:r>
      <w:r w:rsidRPr="00FD35FD">
        <w:rPr>
          <w:rFonts w:cs="Arial"/>
          <w:color w:val="222222"/>
          <w:shd w:val="clear" w:color="auto" w:fill="FFFFFF"/>
          <w:lang w:val="en-IN" w:bidi="bn-IN"/>
        </w:rPr>
        <w:t xml:space="preserve"> 33: 1–26</w:t>
      </w:r>
    </w:p>
    <w:p w:rsidR="00D746E9" w:rsidRPr="00FD35FD" w:rsidRDefault="00D746E9" w:rsidP="00D746E9">
      <w:pPr>
        <w:spacing w:after="120"/>
        <w:ind w:left="425" w:hanging="425"/>
        <w:jc w:val="both"/>
        <w:rPr>
          <w:rFonts w:cs="Arial"/>
          <w:lang w:val="en-IN" w:bidi="bn-IN"/>
        </w:rPr>
      </w:pPr>
      <w:r w:rsidRPr="00FD35FD">
        <w:rPr>
          <w:rFonts w:cs="Arial"/>
          <w:color w:val="222222"/>
          <w:shd w:val="clear" w:color="auto" w:fill="FFFFFF"/>
          <w:lang w:val="en-IN" w:bidi="bn-IN"/>
        </w:rPr>
        <w:t>Dolman, P.M., Collar, N.J., Scotland, K.M. and Burnside, R., 2015. Ark or park: the need to predict relative effectiveness of ex situ and in situ conservation before attempting captive breeding. </w:t>
      </w:r>
      <w:r w:rsidRPr="00FD35FD">
        <w:rPr>
          <w:rFonts w:cs="Arial"/>
          <w:i/>
          <w:iCs/>
          <w:color w:val="222222"/>
          <w:shd w:val="clear" w:color="auto" w:fill="FFFFFF"/>
          <w:lang w:val="en-IN" w:bidi="bn-IN"/>
        </w:rPr>
        <w:t>Journal of Applied Ecology</w:t>
      </w:r>
      <w:r w:rsidRPr="00FD35FD">
        <w:rPr>
          <w:rFonts w:cs="Arial"/>
          <w:color w:val="222222"/>
          <w:shd w:val="clear" w:color="auto" w:fill="FFFFFF"/>
          <w:lang w:val="en-IN" w:bidi="bn-IN"/>
        </w:rPr>
        <w:t>, </w:t>
      </w:r>
      <w:r w:rsidRPr="00FD35FD">
        <w:rPr>
          <w:rFonts w:cs="Arial"/>
          <w:i/>
          <w:iCs/>
          <w:color w:val="222222"/>
          <w:shd w:val="clear" w:color="auto" w:fill="FFFFFF"/>
          <w:lang w:val="en-IN" w:bidi="bn-IN"/>
        </w:rPr>
        <w:t>52</w:t>
      </w:r>
      <w:r w:rsidRPr="00FD35FD">
        <w:rPr>
          <w:rFonts w:cs="Arial"/>
          <w:color w:val="222222"/>
          <w:shd w:val="clear" w:color="auto" w:fill="FFFFFF"/>
          <w:lang w:val="en-IN" w:bidi="bn-IN"/>
        </w:rPr>
        <w:t>(4), pp.841-850.</w:t>
      </w:r>
    </w:p>
    <w:p w:rsidR="00D746E9" w:rsidRPr="00FD35FD" w:rsidRDefault="00D746E9" w:rsidP="00D746E9">
      <w:pPr>
        <w:spacing w:after="120"/>
        <w:ind w:left="425" w:hanging="425"/>
        <w:jc w:val="both"/>
        <w:rPr>
          <w:rFonts w:cs="Arial"/>
          <w:lang w:val="en-IN" w:bidi="bn-IN"/>
        </w:rPr>
      </w:pPr>
      <w:r w:rsidRPr="00FD35FD">
        <w:rPr>
          <w:rFonts w:cs="Arial"/>
          <w:lang w:val="en-IN" w:bidi="bn-IN"/>
        </w:rPr>
        <w:t xml:space="preserve">Dutta, S., A. </w:t>
      </w:r>
      <w:proofErr w:type="spellStart"/>
      <w:r w:rsidRPr="00FD35FD">
        <w:rPr>
          <w:rFonts w:cs="Arial"/>
          <w:lang w:val="en-IN" w:bidi="bn-IN"/>
        </w:rPr>
        <w:t>Rahmani</w:t>
      </w:r>
      <w:proofErr w:type="spellEnd"/>
      <w:r w:rsidRPr="00FD35FD">
        <w:rPr>
          <w:rFonts w:cs="Arial"/>
          <w:lang w:val="en-IN" w:bidi="bn-IN"/>
        </w:rPr>
        <w:t xml:space="preserve"> &amp; Y. </w:t>
      </w:r>
      <w:proofErr w:type="spellStart"/>
      <w:r w:rsidRPr="00FD35FD">
        <w:rPr>
          <w:rFonts w:cs="Arial"/>
          <w:lang w:val="en-IN" w:bidi="bn-IN"/>
        </w:rPr>
        <w:t>Jhala</w:t>
      </w:r>
      <w:proofErr w:type="spellEnd"/>
      <w:r w:rsidRPr="00FD35FD">
        <w:rPr>
          <w:rFonts w:cs="Arial"/>
          <w:lang w:val="en-IN" w:bidi="bn-IN"/>
        </w:rPr>
        <w:t xml:space="preserve"> (2011): Running out of time? The great Indian bustard </w:t>
      </w:r>
      <w:proofErr w:type="spellStart"/>
      <w:r w:rsidRPr="00FD35FD">
        <w:rPr>
          <w:rFonts w:cs="Arial"/>
          <w:i/>
          <w:lang w:val="en-IN" w:bidi="bn-IN"/>
        </w:rPr>
        <w:t>Ardeotis</w:t>
      </w:r>
      <w:proofErr w:type="spellEnd"/>
      <w:r w:rsidRPr="00FD35FD">
        <w:rPr>
          <w:rFonts w:cs="Arial"/>
          <w:i/>
          <w:lang w:val="en-IN" w:bidi="bn-IN"/>
        </w:rPr>
        <w:t xml:space="preserve"> </w:t>
      </w:r>
      <w:proofErr w:type="spellStart"/>
      <w:r w:rsidRPr="00FD35FD">
        <w:rPr>
          <w:rFonts w:cs="Arial"/>
          <w:i/>
          <w:lang w:val="en-IN" w:bidi="bn-IN"/>
        </w:rPr>
        <w:t>nigriceps</w:t>
      </w:r>
      <w:proofErr w:type="spellEnd"/>
      <w:r w:rsidRPr="00FD35FD">
        <w:rPr>
          <w:rFonts w:cs="Arial"/>
          <w:i/>
          <w:lang w:val="en-IN" w:bidi="bn-IN"/>
        </w:rPr>
        <w:t xml:space="preserve"> </w:t>
      </w:r>
      <w:r w:rsidRPr="00FD35FD">
        <w:rPr>
          <w:rFonts w:cs="Arial"/>
          <w:lang w:val="en-IN" w:bidi="bn-IN"/>
        </w:rPr>
        <w:t xml:space="preserve">status, viability, and conservation strategies. </w:t>
      </w:r>
      <w:r w:rsidRPr="00FD35FD">
        <w:rPr>
          <w:rFonts w:cs="Arial"/>
          <w:i/>
          <w:iCs/>
          <w:lang w:val="en-IN" w:bidi="bn-IN"/>
        </w:rPr>
        <w:t>European Journal of Wildlife Research</w:t>
      </w:r>
      <w:r w:rsidRPr="00FD35FD">
        <w:rPr>
          <w:rFonts w:cs="Arial"/>
          <w:lang w:val="en-IN" w:bidi="bn-IN"/>
        </w:rPr>
        <w:t xml:space="preserve"> 57: 615–625.</w:t>
      </w:r>
    </w:p>
    <w:p w:rsidR="00D746E9" w:rsidRPr="00FD35FD" w:rsidRDefault="00D746E9" w:rsidP="00D746E9">
      <w:pPr>
        <w:spacing w:after="120"/>
        <w:ind w:left="425" w:hanging="425"/>
        <w:jc w:val="both"/>
        <w:rPr>
          <w:rFonts w:cs="Arial"/>
          <w:color w:val="222222"/>
          <w:shd w:val="clear" w:color="auto" w:fill="FFFFFF"/>
          <w:lang w:val="en-IN" w:bidi="bn-IN"/>
        </w:rPr>
      </w:pPr>
      <w:r w:rsidRPr="00FD35FD">
        <w:rPr>
          <w:rFonts w:cs="Arial"/>
          <w:color w:val="222222"/>
          <w:shd w:val="clear" w:color="auto" w:fill="FFFFFF"/>
          <w:lang w:val="en-IN" w:bidi="bn-IN"/>
        </w:rPr>
        <w:t xml:space="preserve">Dutta, S., </w:t>
      </w: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xml:space="preserve">, A.R., Gautam, P., </w:t>
      </w:r>
      <w:proofErr w:type="spellStart"/>
      <w:r w:rsidRPr="00FD35FD">
        <w:rPr>
          <w:rFonts w:cs="Arial"/>
          <w:color w:val="222222"/>
          <w:shd w:val="clear" w:color="auto" w:fill="FFFFFF"/>
          <w:lang w:val="en-IN" w:bidi="bn-IN"/>
        </w:rPr>
        <w:t>Kasambe</w:t>
      </w:r>
      <w:proofErr w:type="spellEnd"/>
      <w:r w:rsidRPr="00FD35FD">
        <w:rPr>
          <w:rFonts w:cs="Arial"/>
          <w:color w:val="222222"/>
          <w:shd w:val="clear" w:color="auto" w:fill="FFFFFF"/>
          <w:lang w:val="en-IN" w:bidi="bn-IN"/>
        </w:rPr>
        <w:t xml:space="preserve">, R., </w:t>
      </w:r>
      <w:proofErr w:type="spellStart"/>
      <w:r w:rsidRPr="00FD35FD">
        <w:rPr>
          <w:rFonts w:cs="Arial"/>
          <w:color w:val="222222"/>
          <w:shd w:val="clear" w:color="auto" w:fill="FFFFFF"/>
          <w:lang w:val="en-IN" w:bidi="bn-IN"/>
        </w:rPr>
        <w:t>Narwade</w:t>
      </w:r>
      <w:proofErr w:type="spellEnd"/>
      <w:r w:rsidRPr="00FD35FD">
        <w:rPr>
          <w:rFonts w:cs="Arial"/>
          <w:color w:val="222222"/>
          <w:shd w:val="clear" w:color="auto" w:fill="FFFFFF"/>
          <w:lang w:val="en-IN" w:bidi="bn-IN"/>
        </w:rPr>
        <w:t xml:space="preserve">, S., Narayan, G. and </w:t>
      </w:r>
      <w:proofErr w:type="spellStart"/>
      <w:r w:rsidRPr="00FD35FD">
        <w:rPr>
          <w:rFonts w:cs="Arial"/>
          <w:color w:val="222222"/>
          <w:shd w:val="clear" w:color="auto" w:fill="FFFFFF"/>
          <w:lang w:val="en-IN" w:bidi="bn-IN"/>
        </w:rPr>
        <w:t>Jhala</w:t>
      </w:r>
      <w:proofErr w:type="spellEnd"/>
      <w:r w:rsidRPr="00FD35FD">
        <w:rPr>
          <w:rFonts w:cs="Arial"/>
          <w:color w:val="222222"/>
          <w:shd w:val="clear" w:color="auto" w:fill="FFFFFF"/>
          <w:lang w:val="en-IN" w:bidi="bn-IN"/>
        </w:rPr>
        <w:t>, Y.V., 2013. Guidelines for state action plan for resident bustards’ recovery programme. </w:t>
      </w:r>
      <w:r w:rsidRPr="00FD35FD">
        <w:rPr>
          <w:rFonts w:cs="Arial"/>
          <w:i/>
          <w:iCs/>
          <w:color w:val="222222"/>
          <w:shd w:val="clear" w:color="auto" w:fill="FFFFFF"/>
          <w:lang w:val="en-IN" w:bidi="bn-IN"/>
        </w:rPr>
        <w:t>New Delhi: Ministry of Environment and Forests, Government of India</w:t>
      </w:r>
      <w:r w:rsidRPr="00FD35FD">
        <w:rPr>
          <w:rFonts w:cs="Arial"/>
          <w:color w:val="222222"/>
          <w:shd w:val="clear" w:color="auto" w:fill="FFFFFF"/>
          <w:lang w:val="en-IN" w:bidi="bn-IN"/>
        </w:rPr>
        <w:t>.</w:t>
      </w:r>
    </w:p>
    <w:p w:rsidR="00D746E9" w:rsidRPr="00D746E9" w:rsidRDefault="00D746E9" w:rsidP="00D746E9">
      <w:pPr>
        <w:spacing w:after="120"/>
        <w:ind w:left="425" w:hanging="425"/>
        <w:jc w:val="both"/>
        <w:rPr>
          <w:rFonts w:cs="Arial"/>
          <w:lang w:val="fr-FR" w:bidi="bn-IN"/>
        </w:rPr>
      </w:pPr>
      <w:r w:rsidRPr="00FD35FD">
        <w:rPr>
          <w:rFonts w:cs="Arial"/>
          <w:lang w:val="en-IN" w:bidi="bn-IN"/>
        </w:rPr>
        <w:t xml:space="preserve">IUCN 2019. The IUCN Red List of Threatened Species. </w:t>
      </w:r>
      <w:r w:rsidRPr="00D746E9">
        <w:rPr>
          <w:rFonts w:cs="Arial"/>
          <w:lang w:val="fr-FR" w:bidi="bn-IN"/>
        </w:rPr>
        <w:t>Version 2019-1. &lt;https://www.iucnredlist.org&gt;</w:t>
      </w:r>
    </w:p>
    <w:p w:rsidR="00D746E9" w:rsidRPr="00FD35FD" w:rsidRDefault="00D746E9" w:rsidP="00D746E9">
      <w:pPr>
        <w:spacing w:after="120"/>
        <w:ind w:left="425" w:hanging="425"/>
        <w:jc w:val="both"/>
        <w:rPr>
          <w:rFonts w:cs="Arial"/>
          <w:color w:val="222222"/>
          <w:shd w:val="clear" w:color="auto" w:fill="FFFFFF"/>
          <w:lang w:val="en-IN" w:bidi="bn-IN"/>
        </w:rPr>
      </w:pPr>
      <w:r w:rsidRPr="00D746E9">
        <w:rPr>
          <w:rFonts w:cs="Arial"/>
          <w:color w:val="222222"/>
          <w:shd w:val="clear" w:color="auto" w:fill="FFFFFF"/>
          <w:lang w:val="fr-FR" w:bidi="bn-IN"/>
        </w:rPr>
        <w:t xml:space="preserve">Khan, A.A., Khaliq, I., Choudhry, M.J.I., Farooq, A. and Hussain, N., 2008. </w:t>
      </w:r>
      <w:r w:rsidRPr="00FD35FD">
        <w:rPr>
          <w:rFonts w:cs="Arial"/>
          <w:color w:val="222222"/>
          <w:shd w:val="clear" w:color="auto" w:fill="FFFFFF"/>
          <w:lang w:val="en-IN" w:bidi="bn-IN"/>
        </w:rPr>
        <w:t xml:space="preserve">Status, threats and conservation of the Great Indian Bustard </w:t>
      </w:r>
      <w:proofErr w:type="spellStart"/>
      <w:r w:rsidRPr="00FD35FD">
        <w:rPr>
          <w:rFonts w:cs="Arial"/>
          <w:i/>
          <w:iCs/>
          <w:color w:val="222222"/>
          <w:shd w:val="clear" w:color="auto" w:fill="FFFFFF"/>
          <w:lang w:val="en-IN" w:bidi="bn-IN"/>
        </w:rPr>
        <w:t>Ardeotis</w:t>
      </w:r>
      <w:proofErr w:type="spellEnd"/>
      <w:r w:rsidRPr="00FD35FD">
        <w:rPr>
          <w:rFonts w:cs="Arial"/>
          <w:i/>
          <w:iCs/>
          <w:color w:val="222222"/>
          <w:shd w:val="clear" w:color="auto" w:fill="FFFFFF"/>
          <w:lang w:val="en-IN" w:bidi="bn-IN"/>
        </w:rPr>
        <w:t xml:space="preserve"> </w:t>
      </w:r>
      <w:proofErr w:type="spellStart"/>
      <w:r w:rsidRPr="00FD35FD">
        <w:rPr>
          <w:rFonts w:cs="Arial"/>
          <w:i/>
          <w:iCs/>
          <w:color w:val="222222"/>
          <w:shd w:val="clear" w:color="auto" w:fill="FFFFFF"/>
          <w:lang w:val="en-IN" w:bidi="bn-IN"/>
        </w:rPr>
        <w:t>nigriceps</w:t>
      </w:r>
      <w:proofErr w:type="spellEnd"/>
      <w:r w:rsidRPr="00FD35FD">
        <w:rPr>
          <w:rFonts w:cs="Arial"/>
          <w:color w:val="222222"/>
          <w:shd w:val="clear" w:color="auto" w:fill="FFFFFF"/>
          <w:lang w:val="en-IN" w:bidi="bn-IN"/>
        </w:rPr>
        <w:t xml:space="preserve"> (</w:t>
      </w:r>
      <w:proofErr w:type="spellStart"/>
      <w:r w:rsidRPr="00FD35FD">
        <w:rPr>
          <w:rFonts w:cs="Arial"/>
          <w:color w:val="222222"/>
          <w:shd w:val="clear" w:color="auto" w:fill="FFFFFF"/>
          <w:lang w:val="en-IN" w:bidi="bn-IN"/>
        </w:rPr>
        <w:t>Vigors</w:t>
      </w:r>
      <w:proofErr w:type="spellEnd"/>
      <w:r w:rsidRPr="00FD35FD">
        <w:rPr>
          <w:rFonts w:cs="Arial"/>
          <w:color w:val="222222"/>
          <w:shd w:val="clear" w:color="auto" w:fill="FFFFFF"/>
          <w:lang w:val="en-IN" w:bidi="bn-IN"/>
        </w:rPr>
        <w:t>) in Pakistan. </w:t>
      </w:r>
      <w:r w:rsidRPr="00FD35FD">
        <w:rPr>
          <w:rFonts w:cs="Arial"/>
          <w:i/>
          <w:iCs/>
          <w:color w:val="222222"/>
          <w:shd w:val="clear" w:color="auto" w:fill="FFFFFF"/>
          <w:lang w:val="en-IN" w:bidi="bn-IN"/>
        </w:rPr>
        <w:t>Current Science</w:t>
      </w:r>
      <w:r w:rsidRPr="00FD35FD">
        <w:rPr>
          <w:rFonts w:cs="Arial"/>
          <w:color w:val="222222"/>
          <w:shd w:val="clear" w:color="auto" w:fill="FFFFFF"/>
          <w:lang w:val="en-IN" w:bidi="bn-IN"/>
        </w:rPr>
        <w:t>pp.1079-1082.</w:t>
      </w:r>
    </w:p>
    <w:p w:rsidR="00D746E9" w:rsidRPr="00FD35FD" w:rsidRDefault="00D746E9" w:rsidP="00D746E9">
      <w:pPr>
        <w:spacing w:after="0"/>
        <w:ind w:left="432" w:hanging="432"/>
        <w:jc w:val="both"/>
        <w:rPr>
          <w:rFonts w:cs="Arial"/>
        </w:rPr>
      </w:pPr>
      <w:proofErr w:type="spellStart"/>
      <w:r w:rsidRPr="00FD35FD">
        <w:rPr>
          <w:rFonts w:cs="Arial"/>
          <w:color w:val="222222"/>
          <w:shd w:val="clear" w:color="auto" w:fill="FFFFFF"/>
          <w:lang w:val="en-IN" w:bidi="bn-IN"/>
        </w:rPr>
        <w:t>Rahmani</w:t>
      </w:r>
      <w:proofErr w:type="spellEnd"/>
      <w:r w:rsidRPr="00FD35FD">
        <w:rPr>
          <w:rFonts w:cs="Arial"/>
          <w:color w:val="222222"/>
          <w:shd w:val="clear" w:color="auto" w:fill="FFFFFF"/>
          <w:lang w:val="en-IN" w:bidi="bn-IN"/>
        </w:rPr>
        <w:t>, A.R. (1989): The Great Indian Bustard, Final Report, Bombay Natural History Society. Pp. 234.</w:t>
      </w:r>
      <w:bookmarkEnd w:id="1"/>
    </w:p>
    <w:p w:rsidR="00002A97" w:rsidRPr="00002A97" w:rsidRDefault="00002A97" w:rsidP="007F347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lang w:val="es-ES"/>
        </w:rPr>
      </w:pPr>
      <w:bookmarkStart w:id="2" w:name="_GoBack"/>
      <w:bookmarkEnd w:id="2"/>
    </w:p>
    <w:sectPr w:rsidR="00002A97" w:rsidRPr="00002A97" w:rsidSect="00B104EC">
      <w:headerReference w:type="even" r:id="rId8"/>
      <w:headerReference w:type="default" r:id="rId9"/>
      <w:footerReference w:type="even" r:id="rId10"/>
      <w:footerReference w:type="default" r:id="rId11"/>
      <w:headerReference w:type="first" r:id="rId12"/>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DF" w:rsidRDefault="009947DF" w:rsidP="00002A97">
      <w:pPr>
        <w:spacing w:after="0" w:line="240" w:lineRule="auto"/>
      </w:pPr>
      <w:r>
        <w:separator/>
      </w:r>
    </w:p>
  </w:endnote>
  <w:endnote w:type="continuationSeparator" w:id="0">
    <w:p w:rsidR="009947DF" w:rsidRDefault="009947DF"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628821"/>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7F347C">
          <w:rPr>
            <w:noProof/>
            <w:sz w:val="18"/>
            <w:szCs w:val="18"/>
          </w:rPr>
          <w:t>2</w:t>
        </w:r>
        <w:r w:rsidRPr="00002A97">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15420"/>
      <w:docPartObj>
        <w:docPartGallery w:val="Page Numbers (Bottom of Page)"/>
        <w:docPartUnique/>
      </w:docPartObj>
    </w:sdtPr>
    <w:sdtEndPr>
      <w:rPr>
        <w:noProof/>
        <w:sz w:val="18"/>
        <w:szCs w:val="18"/>
      </w:rPr>
    </w:sdtEndPr>
    <w:sdtContent>
      <w:p w:rsidR="00002A97" w:rsidRPr="00002A97" w:rsidRDefault="00002A97">
        <w:pPr>
          <w:pStyle w:val="Footer"/>
          <w:jc w:val="center"/>
          <w:rPr>
            <w:sz w:val="18"/>
            <w:szCs w:val="18"/>
          </w:rPr>
        </w:pPr>
        <w:r w:rsidRPr="00002A97">
          <w:rPr>
            <w:sz w:val="18"/>
            <w:szCs w:val="18"/>
          </w:rPr>
          <w:fldChar w:fldCharType="begin"/>
        </w:r>
        <w:r w:rsidRPr="00002A97">
          <w:rPr>
            <w:sz w:val="18"/>
            <w:szCs w:val="18"/>
          </w:rPr>
          <w:instrText xml:space="preserve"> PAGE   \* MERGEFORMAT </w:instrText>
        </w:r>
        <w:r w:rsidRPr="00002A97">
          <w:rPr>
            <w:sz w:val="18"/>
            <w:szCs w:val="18"/>
          </w:rPr>
          <w:fldChar w:fldCharType="separate"/>
        </w:r>
        <w:r w:rsidR="007F347C">
          <w:rPr>
            <w:noProof/>
            <w:sz w:val="18"/>
            <w:szCs w:val="18"/>
          </w:rPr>
          <w:t>3</w:t>
        </w:r>
        <w:r w:rsidRPr="00002A9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DF" w:rsidRDefault="009947DF" w:rsidP="00002A97">
      <w:pPr>
        <w:spacing w:after="0" w:line="240" w:lineRule="auto"/>
      </w:pPr>
      <w:r>
        <w:separator/>
      </w:r>
    </w:p>
  </w:footnote>
  <w:footnote w:type="continuationSeparator" w:id="0">
    <w:p w:rsidR="009947DF" w:rsidRDefault="009947DF"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rPr>
        <w:i/>
        <w:sz w:val="18"/>
        <w:szCs w:val="18"/>
      </w:rPr>
    </w:pPr>
    <w:r w:rsidRPr="00002A97">
      <w:rPr>
        <w:rFonts w:eastAsia="Times New Roman" w:cs="Arial"/>
        <w:i/>
        <w:sz w:val="18"/>
        <w:szCs w:val="18"/>
        <w:lang w:val="fr-FR" w:eastAsia="es-ES"/>
      </w:rPr>
      <w:t>UNEP/CMS/COP13/Doc</w:t>
    </w:r>
    <w:r w:rsidR="00D746E9">
      <w:rPr>
        <w:rFonts w:eastAsia="Times New Roman" w:cs="Arial"/>
        <w:i/>
        <w:sz w:val="18"/>
        <w:szCs w:val="18"/>
        <w:lang w:val="fr-FR" w:eastAsia="es-ES"/>
      </w:rPr>
      <w:t>.28.2.2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pStyle w:val="Header"/>
      <w:pBdr>
        <w:bottom w:val="single" w:sz="4" w:space="1" w:color="auto"/>
      </w:pBdr>
      <w:jc w:val="right"/>
      <w:rPr>
        <w:i/>
        <w:sz w:val="18"/>
        <w:szCs w:val="18"/>
      </w:rPr>
    </w:pPr>
    <w:r w:rsidRPr="00002A97">
      <w:rPr>
        <w:rFonts w:eastAsia="Times New Roman" w:cs="Arial"/>
        <w:i/>
        <w:sz w:val="18"/>
        <w:szCs w:val="18"/>
        <w:lang w:val="fr-FR" w:eastAsia="es-ES"/>
      </w:rPr>
      <w:t>UNEP/CMS/COP13/Doc</w:t>
    </w:r>
    <w:r w:rsidR="00D746E9">
      <w:rPr>
        <w:rFonts w:eastAsia="Times New Roman" w:cs="Arial"/>
        <w:i/>
        <w:sz w:val="18"/>
        <w:szCs w:val="18"/>
        <w:lang w:val="fr-FR" w:eastAsia="es-ES"/>
      </w:rPr>
      <w:t>.28.2.2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A97" w:rsidRPr="00002A97" w:rsidRDefault="00002A97" w:rsidP="00002A97">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419E1E1" wp14:editId="5FFB4E2A">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60288" behindDoc="0" locked="0" layoutInCell="1" allowOverlap="1" wp14:anchorId="46F28626" wp14:editId="61113CB7">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002A97">
      <w:rPr>
        <w:rFonts w:eastAsia="Times New Roman" w:cs="Times New Roman"/>
        <w:noProof/>
        <w:sz w:val="18"/>
        <w:szCs w:val="20"/>
        <w:lang w:val="es-ES" w:eastAsia="es-ES"/>
      </w:rPr>
      <w:drawing>
        <wp:anchor distT="0" distB="0" distL="114300" distR="114300" simplePos="0" relativeHeight="251659264" behindDoc="0" locked="0" layoutInCell="1" allowOverlap="1" wp14:anchorId="6D531B4F" wp14:editId="284B95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002A97" w:rsidRDefault="00002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A1C4482E"/>
    <w:lvl w:ilvl="0" w:tplc="99C6BF5C">
      <w:start w:val="1"/>
      <w:numFmt w:val="decimal"/>
      <w:pStyle w:val="Firstnumber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445AB"/>
    <w:multiLevelType w:val="hybridMultilevel"/>
    <w:tmpl w:val="DC6E05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0471C"/>
    <w:multiLevelType w:val="hybridMultilevel"/>
    <w:tmpl w:val="658C1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AD0F8E"/>
    <w:multiLevelType w:val="hybridMultilevel"/>
    <w:tmpl w:val="E0C6A9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742FF8"/>
    <w:multiLevelType w:val="hybridMultilevel"/>
    <w:tmpl w:val="E6169894"/>
    <w:lvl w:ilvl="0" w:tplc="E7A41622">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15F6B"/>
    <w:multiLevelType w:val="hybridMultilevel"/>
    <w:tmpl w:val="AEEA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254C0"/>
    <w:multiLevelType w:val="hybridMultilevel"/>
    <w:tmpl w:val="1BE43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2"/>
  </w:num>
  <w:num w:numId="6">
    <w:abstractNumId w:val="5"/>
  </w:num>
  <w:num w:numId="7">
    <w:abstractNumId w:val="4"/>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A97"/>
    <w:rsid w:val="00002A97"/>
    <w:rsid w:val="002F7EC2"/>
    <w:rsid w:val="004C7808"/>
    <w:rsid w:val="005330F7"/>
    <w:rsid w:val="00563598"/>
    <w:rsid w:val="007F347C"/>
    <w:rsid w:val="00943D15"/>
    <w:rsid w:val="009947DF"/>
    <w:rsid w:val="00B104EC"/>
    <w:rsid w:val="00BC5707"/>
    <w:rsid w:val="00BF7838"/>
    <w:rsid w:val="00D746E9"/>
    <w:rsid w:val="00E77A9F"/>
    <w:rsid w:val="00E81B4A"/>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805E1"/>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F147ED"/>
    <w:pPr>
      <w:widowControl w:val="0"/>
      <w:numPr>
        <w:numId w:val="1"/>
      </w:numPr>
      <w:suppressAutoHyphens/>
      <w:autoSpaceDE w:val="0"/>
      <w:autoSpaceDN w:val="0"/>
      <w:spacing w:after="0" w:line="240" w:lineRule="auto"/>
      <w:ind w:left="567" w:hanging="567"/>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F147ED"/>
    <w:pPr>
      <w:numPr>
        <w:numId w:val="2"/>
      </w:numPr>
      <w:spacing w:after="0" w:line="240" w:lineRule="auto"/>
      <w:ind w:left="1134" w:hanging="283"/>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F147ED"/>
    <w:rPr>
      <w:rFonts w:eastAsia="Times New Roman" w:cs="Arial"/>
      <w:lang w:val="es-ES" w:eastAsia="es-ES"/>
    </w:rPr>
  </w:style>
  <w:style w:type="character" w:customStyle="1" w:styleId="SecondnumberingaChar">
    <w:name w:val="Second numbering a). Char"/>
    <w:basedOn w:val="ListParagraphChar"/>
    <w:link w:val="Secondnumberinga"/>
    <w:rsid w:val="00F147ED"/>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2019-10-25T10:38:00Z</dcterms:created>
  <dcterms:modified xsi:type="dcterms:W3CDTF">2019-10-25T10:38:00Z</dcterms:modified>
</cp:coreProperties>
</file>