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111A" w14:textId="77777777" w:rsidR="00682B31" w:rsidRPr="00682B31" w:rsidRDefault="00682B31" w:rsidP="00682B31">
      <w:pPr>
        <w:tabs>
          <w:tab w:val="left" w:pos="-1057"/>
          <w:tab w:val="left" w:pos="-720"/>
        </w:tabs>
        <w:ind w:left="-90"/>
        <w:rPr>
          <w:rFonts w:cs="Arial"/>
          <w:spacing w:val="-8"/>
          <w:sz w:val="12"/>
          <w:szCs w:val="12"/>
          <w:lang w:val="en-GB"/>
        </w:rPr>
      </w:pPr>
    </w:p>
    <w:p w14:paraId="1C94C2A0" w14:textId="14661EBC" w:rsidR="0081600F" w:rsidRPr="00DB204E" w:rsidRDefault="00921D62" w:rsidP="009E72D7">
      <w:pPr>
        <w:tabs>
          <w:tab w:val="left" w:pos="-1057"/>
          <w:tab w:val="left" w:pos="-720"/>
        </w:tabs>
        <w:rPr>
          <w:rFonts w:cs="Arial"/>
          <w:sz w:val="22"/>
          <w:szCs w:val="22"/>
          <w:lang w:val="fr-FR"/>
        </w:rPr>
      </w:pPr>
      <w:r w:rsidRPr="00DB204E">
        <w:rPr>
          <w:rFonts w:cs="Arial"/>
          <w:sz w:val="22"/>
          <w:szCs w:val="22"/>
          <w:lang w:val="fr-FR"/>
        </w:rPr>
        <w:t>1</w:t>
      </w:r>
      <w:r w:rsidR="00ED02D3" w:rsidRPr="00DB204E">
        <w:rPr>
          <w:rFonts w:cs="Arial"/>
          <w:sz w:val="22"/>
          <w:szCs w:val="22"/>
          <w:lang w:val="fr-FR"/>
        </w:rPr>
        <w:t>2</w:t>
      </w:r>
      <w:r w:rsidR="00DB204E" w:rsidRPr="00DB204E">
        <w:rPr>
          <w:rFonts w:cs="Arial"/>
          <w:sz w:val="22"/>
          <w:szCs w:val="22"/>
          <w:vertAlign w:val="superscript"/>
          <w:lang w:val="fr-FR"/>
        </w:rPr>
        <w:t>ème</w:t>
      </w:r>
      <w:r w:rsidR="0081600F" w:rsidRPr="00DB204E">
        <w:rPr>
          <w:rFonts w:cs="Arial"/>
          <w:sz w:val="22"/>
          <w:szCs w:val="22"/>
          <w:lang w:val="fr-FR"/>
        </w:rPr>
        <w:t xml:space="preserve"> </w:t>
      </w:r>
      <w:r w:rsidR="00DB204E" w:rsidRPr="00DB204E">
        <w:rPr>
          <w:rFonts w:cs="Arial"/>
          <w:sz w:val="22"/>
          <w:szCs w:val="22"/>
          <w:lang w:val="fr-FR"/>
        </w:rPr>
        <w:t>SESSION</w:t>
      </w:r>
      <w:r w:rsidR="00DB204E">
        <w:rPr>
          <w:rFonts w:cs="Arial"/>
          <w:sz w:val="22"/>
          <w:szCs w:val="22"/>
          <w:lang w:val="fr-FR"/>
        </w:rPr>
        <w:t xml:space="preserve"> DE </w:t>
      </w:r>
      <w:r w:rsidR="00DB204E" w:rsidRPr="00DB204E">
        <w:rPr>
          <w:rFonts w:cs="Arial"/>
          <w:sz w:val="22"/>
          <w:szCs w:val="22"/>
          <w:lang w:val="fr-FR"/>
        </w:rPr>
        <w:t>LA CONFÉRENCE DES PARTIES</w:t>
      </w:r>
    </w:p>
    <w:p w14:paraId="11FB461A" w14:textId="1DE6813F" w:rsidR="0081600F" w:rsidRPr="00420040" w:rsidRDefault="00DB204E" w:rsidP="009E72D7">
      <w:pPr>
        <w:pStyle w:val="Heading2"/>
        <w:keepNext w:val="0"/>
        <w:spacing w:line="228" w:lineRule="auto"/>
        <w:rPr>
          <w:rFonts w:cs="Arial"/>
          <w:b w:val="0"/>
          <w:bCs w:val="0"/>
          <w:sz w:val="22"/>
          <w:szCs w:val="22"/>
          <w:lang w:val="pt-PT"/>
        </w:rPr>
      </w:pPr>
      <w:r>
        <w:rPr>
          <w:rFonts w:cs="Arial"/>
          <w:b w:val="0"/>
          <w:sz w:val="22"/>
          <w:szCs w:val="22"/>
          <w:lang w:val="pt-PT"/>
        </w:rPr>
        <w:t>Manille</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Pr>
          <w:rFonts w:cs="Arial"/>
          <w:b w:val="0"/>
          <w:sz w:val="22"/>
          <w:szCs w:val="22"/>
          <w:lang w:val="pt-PT"/>
        </w:rPr>
        <w:t>octobre</w:t>
      </w:r>
      <w:r w:rsidR="009F450E" w:rsidRPr="00420040">
        <w:rPr>
          <w:rFonts w:cs="Arial"/>
          <w:b w:val="0"/>
          <w:sz w:val="22"/>
          <w:szCs w:val="22"/>
          <w:lang w:val="pt-PT"/>
        </w:rPr>
        <w:t xml:space="preserve"> 201</w:t>
      </w:r>
      <w:r w:rsidR="00EA0B88">
        <w:rPr>
          <w:rFonts w:cs="Arial"/>
          <w:b w:val="0"/>
          <w:sz w:val="22"/>
          <w:szCs w:val="22"/>
          <w:lang w:val="pt-PT"/>
        </w:rPr>
        <w:t>7</w:t>
      </w:r>
    </w:p>
    <w:p w14:paraId="6FBCFBFB" w14:textId="4A4951E8" w:rsidR="0081600F" w:rsidRPr="00420040" w:rsidRDefault="00CB73C7" w:rsidP="009E72D7">
      <w:pPr>
        <w:spacing w:line="228" w:lineRule="auto"/>
        <w:rPr>
          <w:rFonts w:cs="Arial"/>
          <w:iCs/>
          <w:sz w:val="22"/>
          <w:szCs w:val="22"/>
          <w:lang w:val="pt-PT"/>
        </w:rPr>
      </w:pPr>
      <w:r>
        <w:rPr>
          <w:rFonts w:cs="Arial"/>
          <w:iCs/>
          <w:sz w:val="22"/>
          <w:szCs w:val="22"/>
          <w:lang w:val="pt-PT"/>
        </w:rPr>
        <w:t xml:space="preserve">Point </w:t>
      </w:r>
      <w:r w:rsidR="00D46C15" w:rsidRPr="00D46C15">
        <w:rPr>
          <w:rFonts w:cs="Arial"/>
          <w:iCs/>
          <w:sz w:val="22"/>
          <w:szCs w:val="22"/>
          <w:lang w:val="pt-PT"/>
        </w:rPr>
        <w:t>24.1.3</w:t>
      </w:r>
      <w:r w:rsidR="00DB204E">
        <w:rPr>
          <w:rFonts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1545009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01BB04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DB204E">
              <w:rPr>
                <w:rFonts w:cs="Arial"/>
                <w:b/>
                <w:sz w:val="28"/>
                <w:szCs w:val="28"/>
                <w:lang w:val="fr-FR"/>
              </w:rPr>
              <w:tab/>
            </w:r>
            <w:r w:rsidRPr="00DB204E">
              <w:rPr>
                <w:rFonts w:cs="Arial"/>
                <w:b/>
                <w:sz w:val="28"/>
                <w:szCs w:val="28"/>
                <w:lang w:val="fr-FR"/>
              </w:rPr>
              <w:tab/>
            </w:r>
            <w:r w:rsidRPr="00DB204E">
              <w:rPr>
                <w:rFonts w:cs="Arial"/>
                <w:b/>
                <w:sz w:val="28"/>
                <w:szCs w:val="28"/>
                <w:lang w:val="fr-FR"/>
              </w:rPr>
              <w:tab/>
            </w:r>
            <w:r w:rsidRPr="00DB204E">
              <w:rPr>
                <w:rFonts w:cs="Arial"/>
                <w:b/>
                <w:sz w:val="28"/>
                <w:szCs w:val="28"/>
                <w:lang w:val="fr-FR"/>
              </w:rPr>
              <w:tab/>
            </w:r>
            <w:r w:rsidR="00FA61AF" w:rsidRPr="002F6F9B">
              <w:rPr>
                <w:rFonts w:cs="Arial"/>
                <w:b/>
                <w:sz w:val="28"/>
                <w:szCs w:val="28"/>
                <w:lang w:val="en-GB"/>
              </w:rPr>
              <w:t>CMS</w:t>
            </w:r>
          </w:p>
          <w:p w14:paraId="0146D423"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4A3B6E0E"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1335158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75769A0A" wp14:editId="62006805">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68690A6"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3681AE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BDC7252" w14:textId="29A176D7" w:rsidR="0081600F" w:rsidRPr="00DB204E" w:rsidRDefault="00DB204E"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DB204E">
              <w:rPr>
                <w:rFonts w:cs="Arial"/>
                <w:bCs w:val="0"/>
                <w:sz w:val="32"/>
                <w:szCs w:val="32"/>
                <w:lang w:val="fr-FR"/>
              </w:rPr>
              <w:t>CONVENTION SUR</w:t>
            </w:r>
          </w:p>
          <w:p w14:paraId="2E2AFA7A" w14:textId="49F29D2F" w:rsidR="0081600F" w:rsidRPr="00DB204E" w:rsidRDefault="00DB204E" w:rsidP="00DB204E">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DB204E">
              <w:rPr>
                <w:rFonts w:cs="Arial"/>
                <w:bCs w:val="0"/>
                <w:sz w:val="32"/>
                <w:szCs w:val="32"/>
                <w:lang w:val="fr-FR"/>
              </w:rPr>
              <w:t>LES ESPÈCES 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1D7F92F" w14:textId="77777777" w:rsidR="00682B31" w:rsidRPr="00DB204E" w:rsidRDefault="00682B31" w:rsidP="000C21B1">
            <w:pPr>
              <w:tabs>
                <w:tab w:val="left" w:pos="5040"/>
                <w:tab w:val="left" w:pos="5760"/>
                <w:tab w:val="left" w:pos="6008"/>
                <w:tab w:val="left" w:pos="6480"/>
                <w:tab w:val="left" w:pos="7200"/>
                <w:tab w:val="left" w:pos="7920"/>
                <w:tab w:val="left" w:pos="8640"/>
              </w:tabs>
              <w:rPr>
                <w:rFonts w:cs="Arial"/>
                <w:sz w:val="12"/>
                <w:szCs w:val="12"/>
                <w:lang w:val="fr-FR"/>
              </w:rPr>
            </w:pPr>
          </w:p>
          <w:p w14:paraId="157F48E8" w14:textId="637545BC" w:rsidR="0081600F" w:rsidRPr="00A731EC" w:rsidRDefault="00DB204E" w:rsidP="000C21B1">
            <w:pPr>
              <w:tabs>
                <w:tab w:val="left" w:pos="5040"/>
                <w:tab w:val="left" w:pos="5760"/>
                <w:tab w:val="left" w:pos="6008"/>
                <w:tab w:val="left" w:pos="6480"/>
                <w:tab w:val="left" w:pos="7200"/>
                <w:tab w:val="left" w:pos="7920"/>
                <w:tab w:val="left" w:pos="8640"/>
              </w:tabs>
              <w:rPr>
                <w:rFonts w:cs="Arial"/>
                <w:sz w:val="22"/>
                <w:szCs w:val="22"/>
                <w:lang w:val="fr-FR"/>
              </w:rPr>
            </w:pPr>
            <w:r w:rsidRPr="00A731EC">
              <w:rPr>
                <w:rFonts w:cs="Arial"/>
                <w:sz w:val="22"/>
                <w:szCs w:val="22"/>
                <w:lang w:val="fr-FR"/>
              </w:rPr>
              <w:t>Distribution : Géné</w:t>
            </w:r>
            <w:r w:rsidR="0081600F" w:rsidRPr="00A731EC">
              <w:rPr>
                <w:rFonts w:cs="Arial"/>
                <w:sz w:val="22"/>
                <w:szCs w:val="22"/>
                <w:lang w:val="fr-FR"/>
              </w:rPr>
              <w:t>ral</w:t>
            </w:r>
            <w:r w:rsidRPr="00A731EC">
              <w:rPr>
                <w:rFonts w:cs="Arial"/>
                <w:sz w:val="22"/>
                <w:szCs w:val="22"/>
                <w:lang w:val="fr-FR"/>
              </w:rPr>
              <w:t>e</w:t>
            </w:r>
          </w:p>
          <w:p w14:paraId="4F1CB509" w14:textId="77777777" w:rsidR="0081600F" w:rsidRPr="00A731EC"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fr-FR"/>
              </w:rPr>
            </w:pPr>
          </w:p>
          <w:p w14:paraId="1B5A026C" w14:textId="402A9E8B" w:rsidR="0081600F" w:rsidRPr="0055215A" w:rsidRDefault="00921D62" w:rsidP="000C21B1">
            <w:pPr>
              <w:tabs>
                <w:tab w:val="left" w:pos="5040"/>
                <w:tab w:val="left" w:pos="5760"/>
                <w:tab w:val="left" w:pos="6008"/>
                <w:tab w:val="left" w:pos="6480"/>
                <w:tab w:val="left" w:pos="7200"/>
                <w:tab w:val="left" w:pos="7920"/>
                <w:tab w:val="left" w:pos="8640"/>
              </w:tabs>
              <w:rPr>
                <w:rFonts w:cs="Arial"/>
                <w:sz w:val="22"/>
                <w:szCs w:val="22"/>
                <w:lang w:val="fr-FR"/>
              </w:rPr>
            </w:pPr>
            <w:r w:rsidRPr="0055215A">
              <w:rPr>
                <w:rFonts w:cs="Arial"/>
                <w:sz w:val="22"/>
                <w:szCs w:val="22"/>
                <w:lang w:val="fr-FR"/>
              </w:rPr>
              <w:t>UNEP/CMS/</w:t>
            </w:r>
            <w:r w:rsidR="00ED02D3" w:rsidRPr="0055215A">
              <w:rPr>
                <w:rFonts w:cs="Arial"/>
                <w:sz w:val="22"/>
                <w:szCs w:val="22"/>
                <w:lang w:val="fr-FR"/>
              </w:rPr>
              <w:t>COP12</w:t>
            </w:r>
            <w:r w:rsidR="00A27BE3" w:rsidRPr="0055215A">
              <w:rPr>
                <w:rFonts w:cs="Arial"/>
                <w:sz w:val="22"/>
                <w:szCs w:val="22"/>
                <w:lang w:val="fr-FR"/>
              </w:rPr>
              <w:t>/</w:t>
            </w:r>
            <w:r w:rsidR="0079075D" w:rsidRPr="0055215A">
              <w:rPr>
                <w:rFonts w:cs="Arial"/>
                <w:sz w:val="22"/>
                <w:szCs w:val="22"/>
                <w:lang w:val="fr-FR"/>
              </w:rPr>
              <w:t>Doc.</w:t>
            </w:r>
            <w:r w:rsidR="00D46C15" w:rsidRPr="0055215A">
              <w:rPr>
                <w:rFonts w:cs="Arial"/>
                <w:sz w:val="22"/>
                <w:szCs w:val="22"/>
                <w:lang w:val="fr-FR"/>
              </w:rPr>
              <w:t>24.1.3</w:t>
            </w:r>
            <w:r w:rsidR="003573D2" w:rsidRPr="0055215A">
              <w:rPr>
                <w:rFonts w:cs="Arial"/>
                <w:sz w:val="22"/>
                <w:szCs w:val="22"/>
                <w:lang w:val="fr-FR"/>
              </w:rPr>
              <w:t>/Rev.2</w:t>
            </w:r>
          </w:p>
          <w:p w14:paraId="2501309D" w14:textId="595127E3" w:rsidR="00DB204E" w:rsidRDefault="003573D2" w:rsidP="00DB204E">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9 </w:t>
            </w:r>
            <w:proofErr w:type="spellStart"/>
            <w:r>
              <w:rPr>
                <w:rFonts w:cs="Arial"/>
                <w:sz w:val="22"/>
                <w:szCs w:val="22"/>
                <w:lang w:val="en-GB"/>
              </w:rPr>
              <w:t>juin</w:t>
            </w:r>
            <w:proofErr w:type="spellEnd"/>
            <w:r w:rsidR="0079075D" w:rsidRPr="00420040">
              <w:rPr>
                <w:rFonts w:cs="Arial"/>
                <w:sz w:val="22"/>
                <w:szCs w:val="22"/>
                <w:lang w:val="en-GB"/>
              </w:rPr>
              <w:t xml:space="preserve"> </w:t>
            </w:r>
            <w:r w:rsidR="00EA0B88">
              <w:rPr>
                <w:rFonts w:cs="Arial"/>
                <w:sz w:val="22"/>
                <w:szCs w:val="22"/>
                <w:lang w:val="en-GB"/>
              </w:rPr>
              <w:t>201</w:t>
            </w:r>
            <w:r w:rsidR="00DB204E">
              <w:rPr>
                <w:rFonts w:cs="Arial"/>
                <w:sz w:val="22"/>
                <w:szCs w:val="22"/>
                <w:lang w:val="en-GB"/>
              </w:rPr>
              <w:t>7</w:t>
            </w:r>
          </w:p>
          <w:p w14:paraId="5CA97CB9" w14:textId="77777777" w:rsidR="00DB204E" w:rsidRDefault="00DB204E" w:rsidP="00DB204E">
            <w:pPr>
              <w:tabs>
                <w:tab w:val="left" w:pos="5040"/>
                <w:tab w:val="left" w:pos="5760"/>
                <w:tab w:val="left" w:pos="6008"/>
                <w:tab w:val="left" w:pos="6480"/>
                <w:tab w:val="left" w:pos="7200"/>
                <w:tab w:val="left" w:pos="7920"/>
                <w:tab w:val="left" w:pos="8640"/>
              </w:tabs>
              <w:rPr>
                <w:rFonts w:cs="Arial"/>
                <w:sz w:val="22"/>
                <w:szCs w:val="22"/>
                <w:lang w:val="en-GB"/>
              </w:rPr>
            </w:pPr>
          </w:p>
          <w:p w14:paraId="39B2BF6B" w14:textId="7443386E" w:rsidR="00DB204E" w:rsidRDefault="00DB204E" w:rsidP="000C21B1">
            <w:pPr>
              <w:rPr>
                <w:rFonts w:cs="Arial"/>
                <w:sz w:val="22"/>
                <w:szCs w:val="22"/>
                <w:lang w:val="en-GB"/>
              </w:rPr>
            </w:pPr>
            <w:proofErr w:type="spellStart"/>
            <w:r>
              <w:rPr>
                <w:rFonts w:cs="Arial"/>
                <w:sz w:val="22"/>
                <w:szCs w:val="22"/>
                <w:lang w:val="en-GB"/>
              </w:rPr>
              <w:t>Français</w:t>
            </w:r>
            <w:proofErr w:type="spellEnd"/>
          </w:p>
          <w:p w14:paraId="1EA8B6E1" w14:textId="21ABE96E" w:rsidR="0081600F" w:rsidRPr="00420040" w:rsidRDefault="0081600F" w:rsidP="000C21B1">
            <w:pPr>
              <w:rPr>
                <w:rFonts w:cs="Arial"/>
                <w:sz w:val="22"/>
                <w:szCs w:val="22"/>
                <w:lang w:val="en-GB"/>
              </w:rPr>
            </w:pPr>
            <w:proofErr w:type="gramStart"/>
            <w:r w:rsidRPr="00420040">
              <w:rPr>
                <w:rFonts w:cs="Arial"/>
                <w:sz w:val="22"/>
                <w:szCs w:val="22"/>
                <w:lang w:val="en-GB"/>
              </w:rPr>
              <w:t>Original</w:t>
            </w:r>
            <w:r w:rsidR="00DB204E">
              <w:rPr>
                <w:rFonts w:cs="Arial"/>
                <w:sz w:val="22"/>
                <w:szCs w:val="22"/>
                <w:lang w:val="en-GB"/>
              </w:rPr>
              <w:t xml:space="preserve"> :</w:t>
            </w:r>
            <w:proofErr w:type="gramEnd"/>
            <w:r w:rsidR="00DB204E">
              <w:rPr>
                <w:rFonts w:cs="Arial"/>
                <w:sz w:val="22"/>
                <w:szCs w:val="22"/>
                <w:lang w:val="en-GB"/>
              </w:rPr>
              <w:t xml:space="preserve"> </w:t>
            </w:r>
            <w:proofErr w:type="spellStart"/>
            <w:r w:rsidR="00DB204E">
              <w:rPr>
                <w:rFonts w:cs="Arial"/>
                <w:sz w:val="22"/>
                <w:szCs w:val="22"/>
                <w:lang w:val="en-GB"/>
              </w:rPr>
              <w:t>A</w:t>
            </w:r>
            <w:r w:rsidRPr="00420040">
              <w:rPr>
                <w:rFonts w:cs="Arial"/>
                <w:sz w:val="22"/>
                <w:szCs w:val="22"/>
                <w:lang w:val="en-GB"/>
              </w:rPr>
              <w:t>ngl</w:t>
            </w:r>
            <w:r w:rsidR="00DB204E">
              <w:rPr>
                <w:rFonts w:cs="Arial"/>
                <w:sz w:val="22"/>
                <w:szCs w:val="22"/>
                <w:lang w:val="en-GB"/>
              </w:rPr>
              <w:t>ais</w:t>
            </w:r>
            <w:proofErr w:type="spellEnd"/>
          </w:p>
          <w:p w14:paraId="497C8D09" w14:textId="77777777" w:rsidR="00682B31" w:rsidRPr="00682B31" w:rsidRDefault="00682B31" w:rsidP="000C21B1">
            <w:pPr>
              <w:rPr>
                <w:rFonts w:cs="Arial"/>
                <w:sz w:val="12"/>
                <w:szCs w:val="12"/>
                <w:lang w:val="en-GB"/>
              </w:rPr>
            </w:pPr>
          </w:p>
        </w:tc>
      </w:tr>
    </w:tbl>
    <w:p w14:paraId="64F9FC7B" w14:textId="77777777" w:rsidR="00E8776E" w:rsidRPr="00682B31" w:rsidRDefault="00E8776E" w:rsidP="00E8776E">
      <w:pPr>
        <w:tabs>
          <w:tab w:val="left" w:pos="7020"/>
        </w:tabs>
        <w:rPr>
          <w:rFonts w:cs="Arial"/>
          <w:sz w:val="22"/>
          <w:szCs w:val="22"/>
        </w:rPr>
      </w:pPr>
    </w:p>
    <w:p w14:paraId="6557DC03" w14:textId="77777777" w:rsidR="00354A9C" w:rsidRPr="00682B31" w:rsidRDefault="00354A9C" w:rsidP="00922791">
      <w:pPr>
        <w:tabs>
          <w:tab w:val="left" w:pos="7020"/>
        </w:tabs>
        <w:rPr>
          <w:rFonts w:cs="Arial"/>
          <w:sz w:val="22"/>
          <w:szCs w:val="22"/>
        </w:rPr>
      </w:pPr>
    </w:p>
    <w:p w14:paraId="76A05D6A" w14:textId="77777777" w:rsidR="0052082F" w:rsidRPr="00682B31" w:rsidRDefault="0052082F" w:rsidP="00354A9C">
      <w:pPr>
        <w:rPr>
          <w:rFonts w:cs="Arial"/>
          <w:sz w:val="22"/>
          <w:szCs w:val="22"/>
        </w:rPr>
      </w:pPr>
    </w:p>
    <w:p w14:paraId="012CB528" w14:textId="3CC822F0" w:rsidR="00B64904" w:rsidRPr="00DB204E" w:rsidRDefault="00CB73C7" w:rsidP="00056DC1">
      <w:pPr>
        <w:pStyle w:val="Heading2"/>
        <w:keepNext w:val="0"/>
        <w:ind w:left="-90" w:right="-367"/>
        <w:jc w:val="center"/>
        <w:rPr>
          <w:rFonts w:cs="Arial"/>
          <w:sz w:val="22"/>
          <w:szCs w:val="22"/>
          <w:lang w:val="fr-FR"/>
        </w:rPr>
      </w:pPr>
      <w:r>
        <w:rPr>
          <w:rFonts w:cs="Arial"/>
          <w:sz w:val="22"/>
          <w:szCs w:val="22"/>
          <w:lang w:val="fr-FR"/>
        </w:rPr>
        <w:t xml:space="preserve">LA </w:t>
      </w:r>
      <w:r w:rsidR="00D34D9A">
        <w:rPr>
          <w:rFonts w:cs="Arial"/>
          <w:sz w:val="22"/>
          <w:szCs w:val="22"/>
          <w:lang w:val="fr-FR"/>
        </w:rPr>
        <w:t>PRÉ</w:t>
      </w:r>
      <w:r w:rsidR="00DB204E">
        <w:rPr>
          <w:rFonts w:cs="Arial"/>
          <w:sz w:val="22"/>
          <w:szCs w:val="22"/>
          <w:lang w:val="fr-FR"/>
        </w:rPr>
        <w:t xml:space="preserve">VENTION DE </w:t>
      </w:r>
      <w:r w:rsidR="00DB204E" w:rsidRPr="00DB204E">
        <w:rPr>
          <w:rFonts w:cs="Arial"/>
          <w:sz w:val="22"/>
          <w:szCs w:val="22"/>
          <w:lang w:val="fr-FR"/>
        </w:rPr>
        <w:t>L’EMPOISONNEMENT DES OISEAUX</w:t>
      </w:r>
    </w:p>
    <w:p w14:paraId="2B2E6692" w14:textId="77777777" w:rsidR="00593736" w:rsidRPr="00DB204E" w:rsidRDefault="00593736" w:rsidP="00593736">
      <w:pPr>
        <w:rPr>
          <w:sz w:val="8"/>
          <w:szCs w:val="8"/>
          <w:lang w:val="fr-FR"/>
        </w:rPr>
      </w:pPr>
    </w:p>
    <w:p w14:paraId="2E21BADE" w14:textId="082B52DD" w:rsidR="00B64904" w:rsidRPr="00A731EC" w:rsidRDefault="00B64904" w:rsidP="00B64904">
      <w:pPr>
        <w:jc w:val="center"/>
        <w:rPr>
          <w:rFonts w:cs="Arial"/>
          <w:i/>
          <w:sz w:val="22"/>
          <w:szCs w:val="22"/>
          <w:lang w:val="fr-FR"/>
        </w:rPr>
      </w:pPr>
      <w:r w:rsidRPr="00A731EC">
        <w:rPr>
          <w:rFonts w:cs="Arial"/>
          <w:i/>
          <w:sz w:val="22"/>
          <w:szCs w:val="22"/>
          <w:lang w:val="fr-FR"/>
        </w:rPr>
        <w:t>(</w:t>
      </w:r>
      <w:r w:rsidR="00F11793" w:rsidRPr="00A731EC">
        <w:rPr>
          <w:rFonts w:cs="Arial"/>
          <w:i/>
          <w:sz w:val="22"/>
          <w:szCs w:val="22"/>
          <w:lang w:val="fr-FR"/>
        </w:rPr>
        <w:t>P</w:t>
      </w:r>
      <w:r w:rsidR="00DB204E" w:rsidRPr="00A731EC">
        <w:rPr>
          <w:rFonts w:cs="Arial"/>
          <w:i/>
          <w:sz w:val="22"/>
          <w:szCs w:val="22"/>
          <w:lang w:val="fr-FR"/>
        </w:rPr>
        <w:t>réparé par le Secrétariat</w:t>
      </w:r>
      <w:r w:rsidRPr="00A731EC">
        <w:rPr>
          <w:rFonts w:cs="Arial"/>
          <w:i/>
          <w:sz w:val="22"/>
          <w:szCs w:val="22"/>
          <w:lang w:val="fr-FR"/>
        </w:rPr>
        <w:t>)</w:t>
      </w:r>
      <w:r w:rsidR="00497E66" w:rsidRPr="00A731EC">
        <w:rPr>
          <w:rFonts w:cs="Arial"/>
          <w:i/>
          <w:sz w:val="22"/>
          <w:szCs w:val="22"/>
          <w:lang w:val="fr-FR"/>
        </w:rPr>
        <w:t xml:space="preserve"> </w:t>
      </w:r>
    </w:p>
    <w:p w14:paraId="5F0AB518" w14:textId="77777777" w:rsidR="00870FB9" w:rsidRPr="00A731EC" w:rsidRDefault="00870FB9" w:rsidP="00870FB9">
      <w:pPr>
        <w:rPr>
          <w:sz w:val="8"/>
          <w:szCs w:val="8"/>
          <w:lang w:val="fr-FR"/>
        </w:rPr>
      </w:pPr>
    </w:p>
    <w:p w14:paraId="38D24521" w14:textId="77777777" w:rsidR="00870FB9" w:rsidRPr="00A731EC" w:rsidRDefault="00870FB9" w:rsidP="00870FB9">
      <w:pPr>
        <w:jc w:val="center"/>
        <w:rPr>
          <w:rFonts w:cs="Arial"/>
          <w:i/>
          <w:sz w:val="22"/>
          <w:szCs w:val="22"/>
          <w:lang w:val="fr-FR"/>
        </w:rPr>
      </w:pPr>
    </w:p>
    <w:p w14:paraId="75B2D841" w14:textId="77777777" w:rsidR="00870FB9" w:rsidRPr="00A731EC" w:rsidRDefault="00870FB9" w:rsidP="00B64904">
      <w:pPr>
        <w:jc w:val="center"/>
        <w:rPr>
          <w:rFonts w:cs="Arial"/>
          <w:i/>
          <w:sz w:val="22"/>
          <w:szCs w:val="22"/>
          <w:lang w:val="fr-FR"/>
        </w:rPr>
      </w:pPr>
    </w:p>
    <w:p w14:paraId="691F2A93" w14:textId="77777777" w:rsidR="001764E6" w:rsidRPr="00A731EC" w:rsidRDefault="001764E6" w:rsidP="001764E6">
      <w:pPr>
        <w:jc w:val="both"/>
        <w:rPr>
          <w:rFonts w:cs="Arial"/>
          <w:sz w:val="21"/>
          <w:szCs w:val="21"/>
          <w:lang w:val="fr-FR"/>
        </w:rPr>
      </w:pPr>
    </w:p>
    <w:p w14:paraId="6BB13812" w14:textId="77777777" w:rsidR="001764E6" w:rsidRPr="00A731EC" w:rsidRDefault="001764E6" w:rsidP="00D605A4">
      <w:pPr>
        <w:tabs>
          <w:tab w:val="left" w:pos="8295"/>
        </w:tabs>
        <w:jc w:val="both"/>
        <w:rPr>
          <w:rFonts w:cs="Arial"/>
          <w:sz w:val="21"/>
          <w:szCs w:val="21"/>
          <w:lang w:val="fr-FR"/>
        </w:rPr>
      </w:pPr>
    </w:p>
    <w:p w14:paraId="08C0EF3F" w14:textId="2CA46742" w:rsidR="00D605A4" w:rsidRPr="00A731EC" w:rsidRDefault="003573D2" w:rsidP="00D605A4">
      <w:pPr>
        <w:rPr>
          <w:rFonts w:cs="Arial"/>
          <w:sz w:val="21"/>
          <w:szCs w:val="21"/>
          <w:lang w:val="fr-FR"/>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44A3615B" wp14:editId="189BE5B6">
                <wp:simplePos x="0" y="0"/>
                <wp:positionH relativeFrom="column">
                  <wp:posOffset>780415</wp:posOffset>
                </wp:positionH>
                <wp:positionV relativeFrom="paragraph">
                  <wp:posOffset>157480</wp:posOffset>
                </wp:positionV>
                <wp:extent cx="4629150" cy="35337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533775"/>
                        </a:xfrm>
                        <a:prstGeom prst="rect">
                          <a:avLst/>
                        </a:prstGeom>
                        <a:solidFill>
                          <a:srgbClr val="FFFFFF"/>
                        </a:solidFill>
                        <a:ln w="3175">
                          <a:solidFill>
                            <a:srgbClr val="000000"/>
                          </a:solidFill>
                          <a:miter lim="800000"/>
                          <a:headEnd/>
                          <a:tailEnd/>
                        </a:ln>
                      </wps:spPr>
                      <wps:txbx>
                        <w:txbxContent>
                          <w:p w14:paraId="1C4B2A43" w14:textId="75480AC7" w:rsidR="000F4030" w:rsidRPr="00A731EC" w:rsidRDefault="000F4030" w:rsidP="00E475D4">
                            <w:pPr>
                              <w:rPr>
                                <w:rFonts w:cs="Arial"/>
                                <w:sz w:val="22"/>
                                <w:szCs w:val="22"/>
                                <w:lang w:val="fr-FR"/>
                              </w:rPr>
                            </w:pPr>
                            <w:proofErr w:type="gramStart"/>
                            <w:r w:rsidRPr="00A731EC">
                              <w:rPr>
                                <w:rFonts w:cs="Arial"/>
                                <w:sz w:val="22"/>
                                <w:szCs w:val="22"/>
                                <w:lang w:val="fr-FR"/>
                              </w:rPr>
                              <w:t>Résumé:</w:t>
                            </w:r>
                            <w:proofErr w:type="gramEnd"/>
                          </w:p>
                          <w:p w14:paraId="3B9AF2DF" w14:textId="77777777" w:rsidR="000F4030" w:rsidRPr="00A731EC" w:rsidRDefault="000F4030" w:rsidP="00E475D4">
                            <w:pPr>
                              <w:rPr>
                                <w:rFonts w:cs="Arial"/>
                                <w:sz w:val="22"/>
                                <w:szCs w:val="22"/>
                                <w:lang w:val="fr-FR"/>
                              </w:rPr>
                            </w:pPr>
                          </w:p>
                          <w:p w14:paraId="0A4908CB" w14:textId="2E5C13CB" w:rsidR="000F4030" w:rsidRPr="00DB204E" w:rsidRDefault="000F4030" w:rsidP="003573D2">
                            <w:pPr>
                              <w:jc w:val="both"/>
                              <w:rPr>
                                <w:rFonts w:cs="Arial"/>
                                <w:sz w:val="22"/>
                                <w:szCs w:val="22"/>
                                <w:lang w:val="fr-FR"/>
                              </w:rPr>
                            </w:pPr>
                            <w:r>
                              <w:rPr>
                                <w:rFonts w:cs="Arial"/>
                                <w:sz w:val="22"/>
                                <w:szCs w:val="22"/>
                                <w:lang w:val="fr-FR"/>
                              </w:rPr>
                              <w:t>L</w:t>
                            </w:r>
                            <w:r w:rsidRPr="00DB204E">
                              <w:rPr>
                                <w:rFonts w:cs="Arial"/>
                                <w:sz w:val="22"/>
                                <w:szCs w:val="22"/>
                                <w:lang w:val="fr-FR"/>
                              </w:rPr>
                              <w:t xml:space="preserve">e </w:t>
                            </w:r>
                            <w:r>
                              <w:rPr>
                                <w:rFonts w:cs="Arial"/>
                                <w:sz w:val="22"/>
                                <w:szCs w:val="22"/>
                                <w:lang w:val="fr-FR"/>
                              </w:rPr>
                              <w:t xml:space="preserve">présent </w:t>
                            </w:r>
                            <w:r w:rsidRPr="00DB204E">
                              <w:rPr>
                                <w:rFonts w:cs="Arial"/>
                                <w:sz w:val="22"/>
                                <w:szCs w:val="22"/>
                                <w:lang w:val="fr-FR"/>
                              </w:rPr>
                              <w:t xml:space="preserve">document rend compte de la mise en </w:t>
                            </w:r>
                            <w:r>
                              <w:rPr>
                                <w:rFonts w:cs="Arial"/>
                                <w:sz w:val="22"/>
                                <w:szCs w:val="22"/>
                                <w:lang w:val="fr-FR"/>
                              </w:rPr>
                              <w:t>œuvre de la résolution </w:t>
                            </w:r>
                            <w:r w:rsidRPr="00DB204E">
                              <w:rPr>
                                <w:rFonts w:cs="Arial"/>
                                <w:sz w:val="22"/>
                                <w:szCs w:val="22"/>
                                <w:lang w:val="fr-FR"/>
                              </w:rPr>
                              <w:t>11.1</w:t>
                            </w:r>
                            <w:r>
                              <w:rPr>
                                <w:rFonts w:cs="Arial"/>
                                <w:sz w:val="22"/>
                                <w:szCs w:val="22"/>
                                <w:lang w:val="fr-FR"/>
                              </w:rPr>
                              <w:t xml:space="preserve">5 </w:t>
                            </w:r>
                            <w:r>
                              <w:rPr>
                                <w:rFonts w:cs="Arial"/>
                                <w:i/>
                                <w:sz w:val="22"/>
                                <w:szCs w:val="22"/>
                                <w:lang w:val="fr-FR"/>
                              </w:rPr>
                              <w:t>Prévenir les risques d’</w:t>
                            </w:r>
                            <w:r w:rsidRPr="00DB204E">
                              <w:rPr>
                                <w:rFonts w:cs="Arial"/>
                                <w:i/>
                                <w:sz w:val="22"/>
                                <w:szCs w:val="22"/>
                                <w:lang w:val="fr-FR"/>
                              </w:rPr>
                              <w:t>empoisonnement des oiseaux migrateurs</w:t>
                            </w:r>
                            <w:r w:rsidRPr="00DB204E">
                              <w:rPr>
                                <w:rFonts w:cs="Arial"/>
                                <w:sz w:val="22"/>
                                <w:szCs w:val="22"/>
                                <w:lang w:val="fr-FR"/>
                              </w:rPr>
                              <w:t xml:space="preserve">, </w:t>
                            </w:r>
                            <w:r>
                              <w:rPr>
                                <w:rFonts w:cs="Arial"/>
                                <w:sz w:val="22"/>
                                <w:szCs w:val="22"/>
                                <w:lang w:val="fr-FR"/>
                              </w:rPr>
                              <w:t>qui demande au</w:t>
                            </w:r>
                            <w:r w:rsidRPr="00DB204E">
                              <w:rPr>
                                <w:rFonts w:cs="Arial"/>
                                <w:sz w:val="22"/>
                                <w:szCs w:val="22"/>
                                <w:lang w:val="fr-FR"/>
                              </w:rPr>
                              <w:t xml:space="preserve"> </w:t>
                            </w:r>
                            <w:r>
                              <w:rPr>
                                <w:rFonts w:cs="Arial"/>
                                <w:sz w:val="22"/>
                                <w:szCs w:val="22"/>
                                <w:lang w:val="fr-FR"/>
                              </w:rPr>
                              <w:t>Groupe de travail intersessions sur l</w:t>
                            </w:r>
                            <w:r w:rsidRPr="00DB204E">
                              <w:rPr>
                                <w:rFonts w:cs="Arial"/>
                                <w:sz w:val="22"/>
                                <w:szCs w:val="22"/>
                                <w:lang w:val="fr-FR"/>
                              </w:rPr>
                              <w:t xml:space="preserve">a prévention </w:t>
                            </w:r>
                            <w:r>
                              <w:rPr>
                                <w:rFonts w:cs="Arial"/>
                                <w:sz w:val="22"/>
                                <w:szCs w:val="22"/>
                                <w:lang w:val="fr-FR"/>
                              </w:rPr>
                              <w:t>de l’empoisonnement auprès du Conseil scientifique</w:t>
                            </w:r>
                            <w:r w:rsidRPr="00DB204E">
                              <w:rPr>
                                <w:rFonts w:cs="Arial"/>
                                <w:sz w:val="22"/>
                                <w:szCs w:val="22"/>
                                <w:lang w:val="fr-FR"/>
                              </w:rPr>
                              <w:t xml:space="preserve"> </w:t>
                            </w:r>
                            <w:r>
                              <w:rPr>
                                <w:rFonts w:cs="Arial"/>
                                <w:sz w:val="22"/>
                                <w:szCs w:val="22"/>
                                <w:lang w:val="fr-FR"/>
                              </w:rPr>
                              <w:t>de la CMS de poursuivre ses travaux dans le cadre de son mandat</w:t>
                            </w:r>
                            <w:r w:rsidRPr="00DB204E">
                              <w:rPr>
                                <w:rFonts w:cs="Arial"/>
                                <w:sz w:val="22"/>
                                <w:szCs w:val="22"/>
                                <w:lang w:val="fr-FR"/>
                              </w:rPr>
                              <w:t xml:space="preserve">. </w:t>
                            </w:r>
                            <w:r>
                              <w:rPr>
                                <w:rFonts w:cs="Arial"/>
                                <w:sz w:val="22"/>
                                <w:szCs w:val="22"/>
                                <w:lang w:val="fr-FR"/>
                              </w:rPr>
                              <w:t>Le document inclut un projet de ré</w:t>
                            </w:r>
                            <w:r w:rsidRPr="00DB204E">
                              <w:rPr>
                                <w:rFonts w:cs="Arial"/>
                                <w:sz w:val="22"/>
                                <w:szCs w:val="22"/>
                                <w:lang w:val="fr-FR"/>
                              </w:rPr>
                              <w:t xml:space="preserve">solution </w:t>
                            </w:r>
                            <w:r>
                              <w:rPr>
                                <w:rFonts w:cs="Arial"/>
                                <w:sz w:val="22"/>
                                <w:szCs w:val="22"/>
                                <w:lang w:val="fr-FR"/>
                              </w:rPr>
                              <w:t>qui propose la mise en place d’un</w:t>
                            </w:r>
                            <w:r w:rsidRPr="00DB204E">
                              <w:rPr>
                                <w:rFonts w:cs="Arial"/>
                                <w:sz w:val="22"/>
                                <w:szCs w:val="22"/>
                                <w:lang w:val="fr-FR"/>
                              </w:rPr>
                              <w:t xml:space="preserve"> </w:t>
                            </w:r>
                            <w:r>
                              <w:rPr>
                                <w:rFonts w:cs="Arial"/>
                                <w:sz w:val="22"/>
                                <w:szCs w:val="22"/>
                                <w:lang w:val="fr-FR"/>
                              </w:rPr>
                              <w:t>groupe spécial sur le plomb</w:t>
                            </w:r>
                            <w:r w:rsidRPr="00DB204E">
                              <w:rPr>
                                <w:rFonts w:cs="Arial"/>
                                <w:sz w:val="22"/>
                                <w:szCs w:val="22"/>
                                <w:lang w:val="fr-FR"/>
                              </w:rPr>
                              <w:t xml:space="preserve"> </w:t>
                            </w:r>
                            <w:r>
                              <w:rPr>
                                <w:rFonts w:cs="Arial"/>
                                <w:sz w:val="22"/>
                                <w:szCs w:val="22"/>
                                <w:lang w:val="fr-FR"/>
                              </w:rPr>
                              <w:t>comme sous</w:t>
                            </w:r>
                            <w:r w:rsidRPr="00DB204E">
                              <w:rPr>
                                <w:rFonts w:cs="Arial"/>
                                <w:sz w:val="22"/>
                                <w:szCs w:val="22"/>
                                <w:lang w:val="fr-FR"/>
                              </w:rPr>
                              <w:t>-group</w:t>
                            </w:r>
                            <w:r>
                              <w:rPr>
                                <w:rFonts w:cs="Arial"/>
                                <w:sz w:val="22"/>
                                <w:szCs w:val="22"/>
                                <w:lang w:val="fr-FR"/>
                              </w:rPr>
                              <w:t>e au sein du Groupe de travail de la CMS sur l</w:t>
                            </w:r>
                            <w:r w:rsidRPr="00DB204E">
                              <w:rPr>
                                <w:rFonts w:cs="Arial"/>
                                <w:sz w:val="22"/>
                                <w:szCs w:val="22"/>
                                <w:lang w:val="fr-FR"/>
                              </w:rPr>
                              <w:t>a prévention</w:t>
                            </w:r>
                            <w:r>
                              <w:rPr>
                                <w:rFonts w:cs="Arial"/>
                                <w:sz w:val="22"/>
                                <w:szCs w:val="22"/>
                                <w:lang w:val="fr-FR"/>
                              </w:rPr>
                              <w:t xml:space="preserve"> de l</w:t>
                            </w:r>
                            <w:r w:rsidRPr="00DB204E">
                              <w:rPr>
                                <w:rFonts w:cs="Arial"/>
                                <w:sz w:val="22"/>
                                <w:szCs w:val="22"/>
                                <w:lang w:val="fr-FR"/>
                              </w:rPr>
                              <w:t>’</w:t>
                            </w:r>
                            <w:r>
                              <w:rPr>
                                <w:rFonts w:cs="Arial"/>
                                <w:sz w:val="22"/>
                                <w:szCs w:val="22"/>
                                <w:lang w:val="fr-FR"/>
                              </w:rPr>
                              <w:t>empoisonnement</w:t>
                            </w:r>
                            <w:r w:rsidRPr="00DB204E">
                              <w:rPr>
                                <w:rFonts w:cs="Arial"/>
                                <w:sz w:val="22"/>
                                <w:szCs w:val="22"/>
                                <w:lang w:val="fr-FR"/>
                              </w:rPr>
                              <w:t>.</w:t>
                            </w:r>
                          </w:p>
                          <w:p w14:paraId="3D3CA170" w14:textId="6C9AAC7D" w:rsidR="000F4030" w:rsidRPr="00DB204E" w:rsidRDefault="000F4030" w:rsidP="003573D2">
                            <w:pPr>
                              <w:jc w:val="both"/>
                              <w:rPr>
                                <w:rFonts w:cs="Arial"/>
                                <w:i/>
                                <w:sz w:val="22"/>
                                <w:szCs w:val="22"/>
                                <w:lang w:val="fr-FR"/>
                              </w:rPr>
                            </w:pPr>
                            <w:r w:rsidRPr="00DB204E">
                              <w:rPr>
                                <w:rFonts w:cs="Arial"/>
                                <w:i/>
                                <w:sz w:val="22"/>
                                <w:szCs w:val="22"/>
                                <w:lang w:val="fr-FR"/>
                              </w:rPr>
                              <w:t xml:space="preserve"> </w:t>
                            </w:r>
                          </w:p>
                          <w:p w14:paraId="1AC47A16" w14:textId="115942BC" w:rsidR="000F4030" w:rsidRDefault="000F4030" w:rsidP="003573D2">
                            <w:pPr>
                              <w:jc w:val="both"/>
                              <w:rPr>
                                <w:rFonts w:cs="Arial"/>
                                <w:sz w:val="22"/>
                                <w:szCs w:val="22"/>
                                <w:lang w:val="fr-FR"/>
                              </w:rPr>
                            </w:pPr>
                            <w:r w:rsidRPr="00DB204E">
                              <w:rPr>
                                <w:rFonts w:cs="Arial"/>
                                <w:sz w:val="22"/>
                                <w:szCs w:val="22"/>
                                <w:lang w:val="fr-FR"/>
                              </w:rPr>
                              <w:t xml:space="preserve">La mise en œuvre du projet de </w:t>
                            </w:r>
                            <w:r>
                              <w:rPr>
                                <w:rFonts w:cs="Arial"/>
                                <w:sz w:val="22"/>
                                <w:szCs w:val="22"/>
                                <w:lang w:val="fr-FR"/>
                              </w:rPr>
                              <w:t>résolution ci-joint et des décisions contribu</w:t>
                            </w:r>
                            <w:r w:rsidRPr="00DB204E">
                              <w:rPr>
                                <w:rFonts w:cs="Arial"/>
                                <w:sz w:val="22"/>
                                <w:szCs w:val="22"/>
                                <w:lang w:val="fr-FR"/>
                              </w:rPr>
                              <w:t>e</w:t>
                            </w:r>
                            <w:r>
                              <w:rPr>
                                <w:rFonts w:cs="Arial"/>
                                <w:sz w:val="22"/>
                                <w:szCs w:val="22"/>
                                <w:lang w:val="fr-FR"/>
                              </w:rPr>
                              <w:t>ra à la réalisation des Objectifs</w:t>
                            </w:r>
                            <w:r w:rsidRPr="00DB204E">
                              <w:rPr>
                                <w:rFonts w:cs="Arial"/>
                                <w:sz w:val="22"/>
                                <w:szCs w:val="22"/>
                                <w:lang w:val="fr-FR"/>
                              </w:rPr>
                              <w:t xml:space="preserve"> </w:t>
                            </w:r>
                            <w:r>
                              <w:rPr>
                                <w:rFonts w:cs="Arial"/>
                                <w:sz w:val="22"/>
                                <w:szCs w:val="22"/>
                                <w:lang w:val="fr-FR"/>
                              </w:rPr>
                              <w:t xml:space="preserve">1 à 11, 13, 15 et 16 du </w:t>
                            </w:r>
                            <w:r w:rsidRPr="00DB204E">
                              <w:rPr>
                                <w:rFonts w:cs="Arial"/>
                                <w:sz w:val="22"/>
                                <w:szCs w:val="22"/>
                                <w:lang w:val="fr-FR"/>
                              </w:rPr>
                              <w:t xml:space="preserve">Plan </w:t>
                            </w:r>
                            <w:r>
                              <w:rPr>
                                <w:rFonts w:cs="Arial"/>
                                <w:sz w:val="22"/>
                                <w:szCs w:val="22"/>
                                <w:lang w:val="fr-FR"/>
                              </w:rPr>
                              <w:t>stratégique pour les e</w:t>
                            </w:r>
                            <w:r w:rsidRPr="00DB204E">
                              <w:rPr>
                                <w:rFonts w:cs="Arial"/>
                                <w:sz w:val="22"/>
                                <w:szCs w:val="22"/>
                                <w:lang w:val="fr-FR"/>
                              </w:rPr>
                              <w:t>spèces migratrices 2015 – 2023.</w:t>
                            </w:r>
                          </w:p>
                          <w:p w14:paraId="2861EE61" w14:textId="415D1DD2" w:rsidR="000F4030" w:rsidRDefault="000F4030" w:rsidP="003573D2">
                            <w:pPr>
                              <w:jc w:val="both"/>
                              <w:rPr>
                                <w:rFonts w:cs="Arial"/>
                                <w:sz w:val="22"/>
                                <w:szCs w:val="22"/>
                                <w:lang w:val="fr-FR"/>
                              </w:rPr>
                            </w:pPr>
                          </w:p>
                          <w:p w14:paraId="6CA4E041" w14:textId="1A3F77E5" w:rsidR="000F4030" w:rsidRPr="0055215A" w:rsidRDefault="000F4030" w:rsidP="003573D2">
                            <w:pPr>
                              <w:jc w:val="both"/>
                              <w:rPr>
                                <w:sz w:val="22"/>
                                <w:szCs w:val="22"/>
                                <w:lang w:val="fr-FR"/>
                              </w:rPr>
                            </w:pPr>
                            <w:r w:rsidRPr="0055215A">
                              <w:rPr>
                                <w:sz w:val="22"/>
                                <w:szCs w:val="22"/>
                                <w:lang w:val="fr-FR"/>
                              </w:rPr>
                              <w:t>La Rev.1 a clarifié l'appartenance au groupe spécial sur le plomb</w:t>
                            </w:r>
                            <w:r>
                              <w:rPr>
                                <w:sz w:val="22"/>
                                <w:szCs w:val="22"/>
                                <w:lang w:val="fr-FR"/>
                              </w:rPr>
                              <w:t xml:space="preserve"> à l'A</w:t>
                            </w:r>
                            <w:r w:rsidRPr="0055215A">
                              <w:rPr>
                                <w:sz w:val="22"/>
                                <w:szCs w:val="22"/>
                                <w:lang w:val="fr-FR"/>
                              </w:rPr>
                              <w:t>nnexe 3.</w:t>
                            </w:r>
                          </w:p>
                          <w:p w14:paraId="791FCEF1" w14:textId="77777777" w:rsidR="000F4030" w:rsidRDefault="000F4030" w:rsidP="003573D2">
                            <w:pPr>
                              <w:jc w:val="both"/>
                              <w:rPr>
                                <w:lang w:val="fr-FR"/>
                              </w:rPr>
                            </w:pPr>
                          </w:p>
                          <w:p w14:paraId="2C4DD895" w14:textId="740B2561" w:rsidR="000F4030" w:rsidRDefault="000F4030" w:rsidP="003573D2">
                            <w:pPr>
                              <w:jc w:val="both"/>
                              <w:rPr>
                                <w:sz w:val="22"/>
                                <w:szCs w:val="22"/>
                                <w:lang w:val="fr-FR"/>
                              </w:rPr>
                            </w:pPr>
                            <w:r>
                              <w:rPr>
                                <w:sz w:val="22"/>
                                <w:szCs w:val="22"/>
                                <w:lang w:val="fr-FR"/>
                              </w:rPr>
                              <w:t xml:space="preserve">La </w:t>
                            </w:r>
                            <w:r w:rsidRPr="0055215A">
                              <w:rPr>
                                <w:sz w:val="22"/>
                                <w:szCs w:val="22"/>
                                <w:lang w:val="fr-FR"/>
                              </w:rPr>
                              <w:t>Rev.2 a supprimé le mot</w:t>
                            </w:r>
                            <w:proofErr w:type="gramStart"/>
                            <w:r w:rsidRPr="0055215A">
                              <w:rPr>
                                <w:sz w:val="22"/>
                                <w:szCs w:val="22"/>
                                <w:lang w:val="fr-FR"/>
                              </w:rPr>
                              <w:t xml:space="preserve"> «projet</w:t>
                            </w:r>
                            <w:proofErr w:type="gramEnd"/>
                            <w:r w:rsidRPr="0055215A">
                              <w:rPr>
                                <w:sz w:val="22"/>
                                <w:szCs w:val="22"/>
                                <w:lang w:val="fr-FR"/>
                              </w:rPr>
                              <w:t>» du titre</w:t>
                            </w:r>
                            <w:r>
                              <w:rPr>
                                <w:sz w:val="22"/>
                                <w:szCs w:val="22"/>
                                <w:lang w:val="fr-FR"/>
                              </w:rPr>
                              <w:t xml:space="preserve"> de la résolution figurant à l'A</w:t>
                            </w:r>
                            <w:r w:rsidRPr="0055215A">
                              <w:rPr>
                                <w:sz w:val="22"/>
                                <w:szCs w:val="22"/>
                                <w:lang w:val="fr-FR"/>
                              </w:rPr>
                              <w:t>nnexe 1 du présent document.</w:t>
                            </w:r>
                          </w:p>
                          <w:p w14:paraId="53808C8B" w14:textId="77777777" w:rsidR="000F4030" w:rsidRPr="0055215A" w:rsidRDefault="000F4030" w:rsidP="003573D2">
                            <w:pPr>
                              <w:jc w:val="both"/>
                              <w:rPr>
                                <w:rFonts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3615B" id="_x0000_t202" coordsize="21600,21600" o:spt="202" path="m,l,21600r21600,l21600,xe">
                <v:stroke joinstyle="miter"/>
                <v:path gradientshapeok="t" o:connecttype="rect"/>
              </v:shapetype>
              <v:shape id="Text Box 4" o:spid="_x0000_s1026" type="#_x0000_t202" style="position:absolute;margin-left:61.45pt;margin-top:12.4pt;width:364.5pt;height:27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" strokeweight=".25pt">
                <v:textbox>
                  <w:txbxContent>
                    <w:p w14:paraId="1C4B2A43" w14:textId="75480AC7" w:rsidR="000F4030" w:rsidRPr="00A731EC" w:rsidRDefault="000F4030" w:rsidP="00E475D4">
                      <w:pPr>
                        <w:rPr>
                          <w:rFonts w:cs="Arial"/>
                          <w:sz w:val="22"/>
                          <w:szCs w:val="22"/>
                          <w:lang w:val="fr-FR"/>
                        </w:rPr>
                      </w:pPr>
                      <w:proofErr w:type="gramStart"/>
                      <w:r w:rsidRPr="00A731EC">
                        <w:rPr>
                          <w:rFonts w:cs="Arial"/>
                          <w:sz w:val="22"/>
                          <w:szCs w:val="22"/>
                          <w:lang w:val="fr-FR"/>
                        </w:rPr>
                        <w:t>Résumé:</w:t>
                      </w:r>
                      <w:proofErr w:type="gramEnd"/>
                    </w:p>
                    <w:p w14:paraId="3B9AF2DF" w14:textId="77777777" w:rsidR="000F4030" w:rsidRPr="00A731EC" w:rsidRDefault="000F4030" w:rsidP="00E475D4">
                      <w:pPr>
                        <w:rPr>
                          <w:rFonts w:cs="Arial"/>
                          <w:sz w:val="22"/>
                          <w:szCs w:val="22"/>
                          <w:lang w:val="fr-FR"/>
                        </w:rPr>
                      </w:pPr>
                    </w:p>
                    <w:p w14:paraId="0A4908CB" w14:textId="2E5C13CB" w:rsidR="000F4030" w:rsidRPr="00DB204E" w:rsidRDefault="000F4030" w:rsidP="003573D2">
                      <w:pPr>
                        <w:jc w:val="both"/>
                        <w:rPr>
                          <w:rFonts w:cs="Arial"/>
                          <w:sz w:val="22"/>
                          <w:szCs w:val="22"/>
                          <w:lang w:val="fr-FR"/>
                        </w:rPr>
                      </w:pPr>
                      <w:r>
                        <w:rPr>
                          <w:rFonts w:cs="Arial"/>
                          <w:sz w:val="22"/>
                          <w:szCs w:val="22"/>
                          <w:lang w:val="fr-FR"/>
                        </w:rPr>
                        <w:t>L</w:t>
                      </w:r>
                      <w:r w:rsidRPr="00DB204E">
                        <w:rPr>
                          <w:rFonts w:cs="Arial"/>
                          <w:sz w:val="22"/>
                          <w:szCs w:val="22"/>
                          <w:lang w:val="fr-FR"/>
                        </w:rPr>
                        <w:t xml:space="preserve">e </w:t>
                      </w:r>
                      <w:r>
                        <w:rPr>
                          <w:rFonts w:cs="Arial"/>
                          <w:sz w:val="22"/>
                          <w:szCs w:val="22"/>
                          <w:lang w:val="fr-FR"/>
                        </w:rPr>
                        <w:t xml:space="preserve">présent </w:t>
                      </w:r>
                      <w:r w:rsidRPr="00DB204E">
                        <w:rPr>
                          <w:rFonts w:cs="Arial"/>
                          <w:sz w:val="22"/>
                          <w:szCs w:val="22"/>
                          <w:lang w:val="fr-FR"/>
                        </w:rPr>
                        <w:t xml:space="preserve">document rend compte de la mise en </w:t>
                      </w:r>
                      <w:r>
                        <w:rPr>
                          <w:rFonts w:cs="Arial"/>
                          <w:sz w:val="22"/>
                          <w:szCs w:val="22"/>
                          <w:lang w:val="fr-FR"/>
                        </w:rPr>
                        <w:t>œuvre de la résolution </w:t>
                      </w:r>
                      <w:r w:rsidRPr="00DB204E">
                        <w:rPr>
                          <w:rFonts w:cs="Arial"/>
                          <w:sz w:val="22"/>
                          <w:szCs w:val="22"/>
                          <w:lang w:val="fr-FR"/>
                        </w:rPr>
                        <w:t>11.1</w:t>
                      </w:r>
                      <w:r>
                        <w:rPr>
                          <w:rFonts w:cs="Arial"/>
                          <w:sz w:val="22"/>
                          <w:szCs w:val="22"/>
                          <w:lang w:val="fr-FR"/>
                        </w:rPr>
                        <w:t xml:space="preserve">5 </w:t>
                      </w:r>
                      <w:r>
                        <w:rPr>
                          <w:rFonts w:cs="Arial"/>
                          <w:i/>
                          <w:sz w:val="22"/>
                          <w:szCs w:val="22"/>
                          <w:lang w:val="fr-FR"/>
                        </w:rPr>
                        <w:t>Prévenir les risques d’</w:t>
                      </w:r>
                      <w:r w:rsidRPr="00DB204E">
                        <w:rPr>
                          <w:rFonts w:cs="Arial"/>
                          <w:i/>
                          <w:sz w:val="22"/>
                          <w:szCs w:val="22"/>
                          <w:lang w:val="fr-FR"/>
                        </w:rPr>
                        <w:t>empoisonnement des oiseaux migrateurs</w:t>
                      </w:r>
                      <w:r w:rsidRPr="00DB204E">
                        <w:rPr>
                          <w:rFonts w:cs="Arial"/>
                          <w:sz w:val="22"/>
                          <w:szCs w:val="22"/>
                          <w:lang w:val="fr-FR"/>
                        </w:rPr>
                        <w:t xml:space="preserve">, </w:t>
                      </w:r>
                      <w:r>
                        <w:rPr>
                          <w:rFonts w:cs="Arial"/>
                          <w:sz w:val="22"/>
                          <w:szCs w:val="22"/>
                          <w:lang w:val="fr-FR"/>
                        </w:rPr>
                        <w:t>qui demande au</w:t>
                      </w:r>
                      <w:r w:rsidRPr="00DB204E">
                        <w:rPr>
                          <w:rFonts w:cs="Arial"/>
                          <w:sz w:val="22"/>
                          <w:szCs w:val="22"/>
                          <w:lang w:val="fr-FR"/>
                        </w:rPr>
                        <w:t xml:space="preserve"> </w:t>
                      </w:r>
                      <w:r>
                        <w:rPr>
                          <w:rFonts w:cs="Arial"/>
                          <w:sz w:val="22"/>
                          <w:szCs w:val="22"/>
                          <w:lang w:val="fr-FR"/>
                        </w:rPr>
                        <w:t>Groupe de travail intersessions sur l</w:t>
                      </w:r>
                      <w:r w:rsidRPr="00DB204E">
                        <w:rPr>
                          <w:rFonts w:cs="Arial"/>
                          <w:sz w:val="22"/>
                          <w:szCs w:val="22"/>
                          <w:lang w:val="fr-FR"/>
                        </w:rPr>
                        <w:t xml:space="preserve">a prévention </w:t>
                      </w:r>
                      <w:r>
                        <w:rPr>
                          <w:rFonts w:cs="Arial"/>
                          <w:sz w:val="22"/>
                          <w:szCs w:val="22"/>
                          <w:lang w:val="fr-FR"/>
                        </w:rPr>
                        <w:t>de l’empoisonnement auprès du Conseil scientifique</w:t>
                      </w:r>
                      <w:r w:rsidRPr="00DB204E">
                        <w:rPr>
                          <w:rFonts w:cs="Arial"/>
                          <w:sz w:val="22"/>
                          <w:szCs w:val="22"/>
                          <w:lang w:val="fr-FR"/>
                        </w:rPr>
                        <w:t xml:space="preserve"> </w:t>
                      </w:r>
                      <w:r>
                        <w:rPr>
                          <w:rFonts w:cs="Arial"/>
                          <w:sz w:val="22"/>
                          <w:szCs w:val="22"/>
                          <w:lang w:val="fr-FR"/>
                        </w:rPr>
                        <w:t>de la CMS de poursuivre ses travaux dans le cadre de son mandat</w:t>
                      </w:r>
                      <w:r w:rsidRPr="00DB204E">
                        <w:rPr>
                          <w:rFonts w:cs="Arial"/>
                          <w:sz w:val="22"/>
                          <w:szCs w:val="22"/>
                          <w:lang w:val="fr-FR"/>
                        </w:rPr>
                        <w:t xml:space="preserve">. </w:t>
                      </w:r>
                      <w:r>
                        <w:rPr>
                          <w:rFonts w:cs="Arial"/>
                          <w:sz w:val="22"/>
                          <w:szCs w:val="22"/>
                          <w:lang w:val="fr-FR"/>
                        </w:rPr>
                        <w:t>Le document inclut un projet de ré</w:t>
                      </w:r>
                      <w:r w:rsidRPr="00DB204E">
                        <w:rPr>
                          <w:rFonts w:cs="Arial"/>
                          <w:sz w:val="22"/>
                          <w:szCs w:val="22"/>
                          <w:lang w:val="fr-FR"/>
                        </w:rPr>
                        <w:t xml:space="preserve">solution </w:t>
                      </w:r>
                      <w:r>
                        <w:rPr>
                          <w:rFonts w:cs="Arial"/>
                          <w:sz w:val="22"/>
                          <w:szCs w:val="22"/>
                          <w:lang w:val="fr-FR"/>
                        </w:rPr>
                        <w:t>qui propose la mise en place d’un</w:t>
                      </w:r>
                      <w:r w:rsidRPr="00DB204E">
                        <w:rPr>
                          <w:rFonts w:cs="Arial"/>
                          <w:sz w:val="22"/>
                          <w:szCs w:val="22"/>
                          <w:lang w:val="fr-FR"/>
                        </w:rPr>
                        <w:t xml:space="preserve"> </w:t>
                      </w:r>
                      <w:r>
                        <w:rPr>
                          <w:rFonts w:cs="Arial"/>
                          <w:sz w:val="22"/>
                          <w:szCs w:val="22"/>
                          <w:lang w:val="fr-FR"/>
                        </w:rPr>
                        <w:t>groupe spécial sur le plomb</w:t>
                      </w:r>
                      <w:r w:rsidRPr="00DB204E">
                        <w:rPr>
                          <w:rFonts w:cs="Arial"/>
                          <w:sz w:val="22"/>
                          <w:szCs w:val="22"/>
                          <w:lang w:val="fr-FR"/>
                        </w:rPr>
                        <w:t xml:space="preserve"> </w:t>
                      </w:r>
                      <w:r>
                        <w:rPr>
                          <w:rFonts w:cs="Arial"/>
                          <w:sz w:val="22"/>
                          <w:szCs w:val="22"/>
                          <w:lang w:val="fr-FR"/>
                        </w:rPr>
                        <w:t>comme sous</w:t>
                      </w:r>
                      <w:r w:rsidRPr="00DB204E">
                        <w:rPr>
                          <w:rFonts w:cs="Arial"/>
                          <w:sz w:val="22"/>
                          <w:szCs w:val="22"/>
                          <w:lang w:val="fr-FR"/>
                        </w:rPr>
                        <w:t>-group</w:t>
                      </w:r>
                      <w:r>
                        <w:rPr>
                          <w:rFonts w:cs="Arial"/>
                          <w:sz w:val="22"/>
                          <w:szCs w:val="22"/>
                          <w:lang w:val="fr-FR"/>
                        </w:rPr>
                        <w:t>e au sein du Groupe de travail de la CMS sur l</w:t>
                      </w:r>
                      <w:r w:rsidRPr="00DB204E">
                        <w:rPr>
                          <w:rFonts w:cs="Arial"/>
                          <w:sz w:val="22"/>
                          <w:szCs w:val="22"/>
                          <w:lang w:val="fr-FR"/>
                        </w:rPr>
                        <w:t>a prévention</w:t>
                      </w:r>
                      <w:r>
                        <w:rPr>
                          <w:rFonts w:cs="Arial"/>
                          <w:sz w:val="22"/>
                          <w:szCs w:val="22"/>
                          <w:lang w:val="fr-FR"/>
                        </w:rPr>
                        <w:t xml:space="preserve"> de l</w:t>
                      </w:r>
                      <w:r w:rsidRPr="00DB204E">
                        <w:rPr>
                          <w:rFonts w:cs="Arial"/>
                          <w:sz w:val="22"/>
                          <w:szCs w:val="22"/>
                          <w:lang w:val="fr-FR"/>
                        </w:rPr>
                        <w:t>’</w:t>
                      </w:r>
                      <w:r>
                        <w:rPr>
                          <w:rFonts w:cs="Arial"/>
                          <w:sz w:val="22"/>
                          <w:szCs w:val="22"/>
                          <w:lang w:val="fr-FR"/>
                        </w:rPr>
                        <w:t>empoisonnement</w:t>
                      </w:r>
                      <w:r w:rsidRPr="00DB204E">
                        <w:rPr>
                          <w:rFonts w:cs="Arial"/>
                          <w:sz w:val="22"/>
                          <w:szCs w:val="22"/>
                          <w:lang w:val="fr-FR"/>
                        </w:rPr>
                        <w:t>.</w:t>
                      </w:r>
                    </w:p>
                    <w:p w14:paraId="3D3CA170" w14:textId="6C9AAC7D" w:rsidR="000F4030" w:rsidRPr="00DB204E" w:rsidRDefault="000F4030" w:rsidP="003573D2">
                      <w:pPr>
                        <w:jc w:val="both"/>
                        <w:rPr>
                          <w:rFonts w:cs="Arial"/>
                          <w:i/>
                          <w:sz w:val="22"/>
                          <w:szCs w:val="22"/>
                          <w:lang w:val="fr-FR"/>
                        </w:rPr>
                      </w:pPr>
                      <w:r w:rsidRPr="00DB204E">
                        <w:rPr>
                          <w:rFonts w:cs="Arial"/>
                          <w:i/>
                          <w:sz w:val="22"/>
                          <w:szCs w:val="22"/>
                          <w:lang w:val="fr-FR"/>
                        </w:rPr>
                        <w:t xml:space="preserve"> </w:t>
                      </w:r>
                    </w:p>
                    <w:p w14:paraId="1AC47A16" w14:textId="115942BC" w:rsidR="000F4030" w:rsidRDefault="000F4030" w:rsidP="003573D2">
                      <w:pPr>
                        <w:jc w:val="both"/>
                        <w:rPr>
                          <w:rFonts w:cs="Arial"/>
                          <w:sz w:val="22"/>
                          <w:szCs w:val="22"/>
                          <w:lang w:val="fr-FR"/>
                        </w:rPr>
                      </w:pPr>
                      <w:r w:rsidRPr="00DB204E">
                        <w:rPr>
                          <w:rFonts w:cs="Arial"/>
                          <w:sz w:val="22"/>
                          <w:szCs w:val="22"/>
                          <w:lang w:val="fr-FR"/>
                        </w:rPr>
                        <w:t xml:space="preserve">La mise en œuvre du projet de </w:t>
                      </w:r>
                      <w:r>
                        <w:rPr>
                          <w:rFonts w:cs="Arial"/>
                          <w:sz w:val="22"/>
                          <w:szCs w:val="22"/>
                          <w:lang w:val="fr-FR"/>
                        </w:rPr>
                        <w:t>résolution ci-joint et des décisions contribu</w:t>
                      </w:r>
                      <w:r w:rsidRPr="00DB204E">
                        <w:rPr>
                          <w:rFonts w:cs="Arial"/>
                          <w:sz w:val="22"/>
                          <w:szCs w:val="22"/>
                          <w:lang w:val="fr-FR"/>
                        </w:rPr>
                        <w:t>e</w:t>
                      </w:r>
                      <w:r>
                        <w:rPr>
                          <w:rFonts w:cs="Arial"/>
                          <w:sz w:val="22"/>
                          <w:szCs w:val="22"/>
                          <w:lang w:val="fr-FR"/>
                        </w:rPr>
                        <w:t>ra à la réalisation des Objectifs</w:t>
                      </w:r>
                      <w:r w:rsidRPr="00DB204E">
                        <w:rPr>
                          <w:rFonts w:cs="Arial"/>
                          <w:sz w:val="22"/>
                          <w:szCs w:val="22"/>
                          <w:lang w:val="fr-FR"/>
                        </w:rPr>
                        <w:t xml:space="preserve"> </w:t>
                      </w:r>
                      <w:r>
                        <w:rPr>
                          <w:rFonts w:cs="Arial"/>
                          <w:sz w:val="22"/>
                          <w:szCs w:val="22"/>
                          <w:lang w:val="fr-FR"/>
                        </w:rPr>
                        <w:t xml:space="preserve">1 à 11, 13, 15 et 16 du </w:t>
                      </w:r>
                      <w:r w:rsidRPr="00DB204E">
                        <w:rPr>
                          <w:rFonts w:cs="Arial"/>
                          <w:sz w:val="22"/>
                          <w:szCs w:val="22"/>
                          <w:lang w:val="fr-FR"/>
                        </w:rPr>
                        <w:t xml:space="preserve">Plan </w:t>
                      </w:r>
                      <w:r>
                        <w:rPr>
                          <w:rFonts w:cs="Arial"/>
                          <w:sz w:val="22"/>
                          <w:szCs w:val="22"/>
                          <w:lang w:val="fr-FR"/>
                        </w:rPr>
                        <w:t>stratégique pour les e</w:t>
                      </w:r>
                      <w:r w:rsidRPr="00DB204E">
                        <w:rPr>
                          <w:rFonts w:cs="Arial"/>
                          <w:sz w:val="22"/>
                          <w:szCs w:val="22"/>
                          <w:lang w:val="fr-FR"/>
                        </w:rPr>
                        <w:t>spèces migratrices 2015 – 2023.</w:t>
                      </w:r>
                    </w:p>
                    <w:p w14:paraId="2861EE61" w14:textId="415D1DD2" w:rsidR="000F4030" w:rsidRDefault="000F4030" w:rsidP="003573D2">
                      <w:pPr>
                        <w:jc w:val="both"/>
                        <w:rPr>
                          <w:rFonts w:cs="Arial"/>
                          <w:sz w:val="22"/>
                          <w:szCs w:val="22"/>
                          <w:lang w:val="fr-FR"/>
                        </w:rPr>
                      </w:pPr>
                    </w:p>
                    <w:p w14:paraId="6CA4E041" w14:textId="1A3F77E5" w:rsidR="000F4030" w:rsidRPr="0055215A" w:rsidRDefault="000F4030" w:rsidP="003573D2">
                      <w:pPr>
                        <w:jc w:val="both"/>
                        <w:rPr>
                          <w:sz w:val="22"/>
                          <w:szCs w:val="22"/>
                          <w:lang w:val="fr-FR"/>
                        </w:rPr>
                      </w:pPr>
                      <w:r w:rsidRPr="0055215A">
                        <w:rPr>
                          <w:sz w:val="22"/>
                          <w:szCs w:val="22"/>
                          <w:lang w:val="fr-FR"/>
                        </w:rPr>
                        <w:t>La Rev.1 a clarifié l'appartenance au groupe spécial sur le plomb</w:t>
                      </w:r>
                      <w:r>
                        <w:rPr>
                          <w:sz w:val="22"/>
                          <w:szCs w:val="22"/>
                          <w:lang w:val="fr-FR"/>
                        </w:rPr>
                        <w:t xml:space="preserve"> à l'A</w:t>
                      </w:r>
                      <w:r w:rsidRPr="0055215A">
                        <w:rPr>
                          <w:sz w:val="22"/>
                          <w:szCs w:val="22"/>
                          <w:lang w:val="fr-FR"/>
                        </w:rPr>
                        <w:t>nnexe 3.</w:t>
                      </w:r>
                    </w:p>
                    <w:p w14:paraId="791FCEF1" w14:textId="77777777" w:rsidR="000F4030" w:rsidRDefault="000F4030" w:rsidP="003573D2">
                      <w:pPr>
                        <w:jc w:val="both"/>
                        <w:rPr>
                          <w:lang w:val="fr-FR"/>
                        </w:rPr>
                      </w:pPr>
                    </w:p>
                    <w:p w14:paraId="2C4DD895" w14:textId="740B2561" w:rsidR="000F4030" w:rsidRDefault="000F4030" w:rsidP="003573D2">
                      <w:pPr>
                        <w:jc w:val="both"/>
                        <w:rPr>
                          <w:sz w:val="22"/>
                          <w:szCs w:val="22"/>
                          <w:lang w:val="fr-FR"/>
                        </w:rPr>
                      </w:pPr>
                      <w:r>
                        <w:rPr>
                          <w:sz w:val="22"/>
                          <w:szCs w:val="22"/>
                          <w:lang w:val="fr-FR"/>
                        </w:rPr>
                        <w:t xml:space="preserve">La </w:t>
                      </w:r>
                      <w:r w:rsidRPr="0055215A">
                        <w:rPr>
                          <w:sz w:val="22"/>
                          <w:szCs w:val="22"/>
                          <w:lang w:val="fr-FR"/>
                        </w:rPr>
                        <w:t>Rev.2 a supprimé le mot</w:t>
                      </w:r>
                      <w:proofErr w:type="gramStart"/>
                      <w:r w:rsidRPr="0055215A">
                        <w:rPr>
                          <w:sz w:val="22"/>
                          <w:szCs w:val="22"/>
                          <w:lang w:val="fr-FR"/>
                        </w:rPr>
                        <w:t xml:space="preserve"> «projet</w:t>
                      </w:r>
                      <w:proofErr w:type="gramEnd"/>
                      <w:r w:rsidRPr="0055215A">
                        <w:rPr>
                          <w:sz w:val="22"/>
                          <w:szCs w:val="22"/>
                          <w:lang w:val="fr-FR"/>
                        </w:rPr>
                        <w:t>» du titre</w:t>
                      </w:r>
                      <w:r>
                        <w:rPr>
                          <w:sz w:val="22"/>
                          <w:szCs w:val="22"/>
                          <w:lang w:val="fr-FR"/>
                        </w:rPr>
                        <w:t xml:space="preserve"> de la résolution figurant à l'A</w:t>
                      </w:r>
                      <w:r w:rsidRPr="0055215A">
                        <w:rPr>
                          <w:sz w:val="22"/>
                          <w:szCs w:val="22"/>
                          <w:lang w:val="fr-FR"/>
                        </w:rPr>
                        <w:t>nnexe 1 du présent document.</w:t>
                      </w:r>
                    </w:p>
                    <w:p w14:paraId="53808C8B" w14:textId="77777777" w:rsidR="000F4030" w:rsidRPr="0055215A" w:rsidRDefault="000F4030" w:rsidP="003573D2">
                      <w:pPr>
                        <w:jc w:val="both"/>
                        <w:rPr>
                          <w:rFonts w:cs="Arial"/>
                          <w:sz w:val="22"/>
                          <w:szCs w:val="22"/>
                          <w:lang w:val="fr-FR"/>
                        </w:rPr>
                      </w:pPr>
                    </w:p>
                  </w:txbxContent>
                </v:textbox>
              </v:shape>
            </w:pict>
          </mc:Fallback>
        </mc:AlternateContent>
      </w:r>
    </w:p>
    <w:p w14:paraId="6CA6FC28" w14:textId="0B3C8AC5" w:rsidR="00D605A4" w:rsidRPr="00A731EC" w:rsidRDefault="00D605A4" w:rsidP="00D605A4">
      <w:pPr>
        <w:rPr>
          <w:rFonts w:cs="Arial"/>
          <w:sz w:val="21"/>
          <w:szCs w:val="21"/>
          <w:lang w:val="fr-FR"/>
        </w:rPr>
      </w:pPr>
    </w:p>
    <w:p w14:paraId="5D24742E" w14:textId="77777777" w:rsidR="00D605A4" w:rsidRPr="00A731EC" w:rsidRDefault="00D605A4" w:rsidP="00D605A4">
      <w:pPr>
        <w:rPr>
          <w:rFonts w:cs="Arial"/>
          <w:sz w:val="21"/>
          <w:szCs w:val="21"/>
          <w:lang w:val="fr-FR"/>
        </w:rPr>
      </w:pPr>
    </w:p>
    <w:p w14:paraId="5A89E70B" w14:textId="77777777" w:rsidR="00D605A4" w:rsidRPr="00A731EC" w:rsidRDefault="00D605A4" w:rsidP="00D605A4">
      <w:pPr>
        <w:rPr>
          <w:rFonts w:cs="Arial"/>
          <w:sz w:val="21"/>
          <w:szCs w:val="21"/>
          <w:lang w:val="fr-FR"/>
        </w:rPr>
      </w:pPr>
    </w:p>
    <w:p w14:paraId="77718522" w14:textId="77777777" w:rsidR="00D605A4" w:rsidRPr="00A731EC" w:rsidRDefault="00D605A4" w:rsidP="00D605A4">
      <w:pPr>
        <w:rPr>
          <w:rFonts w:cs="Arial"/>
          <w:sz w:val="21"/>
          <w:szCs w:val="21"/>
          <w:lang w:val="fr-FR"/>
        </w:rPr>
      </w:pPr>
    </w:p>
    <w:p w14:paraId="590D5805" w14:textId="77777777" w:rsidR="00D605A4" w:rsidRPr="00A731EC" w:rsidRDefault="00D605A4" w:rsidP="00D605A4">
      <w:pPr>
        <w:rPr>
          <w:rFonts w:cs="Arial"/>
          <w:sz w:val="21"/>
          <w:szCs w:val="21"/>
          <w:lang w:val="fr-FR"/>
        </w:rPr>
      </w:pPr>
    </w:p>
    <w:p w14:paraId="6FF69C98" w14:textId="77777777" w:rsidR="00D605A4" w:rsidRPr="00A731EC" w:rsidRDefault="00D605A4" w:rsidP="00D605A4">
      <w:pPr>
        <w:rPr>
          <w:rFonts w:cs="Arial"/>
          <w:sz w:val="21"/>
          <w:szCs w:val="21"/>
          <w:lang w:val="fr-FR"/>
        </w:rPr>
      </w:pPr>
    </w:p>
    <w:p w14:paraId="62E258D2" w14:textId="77777777" w:rsidR="00D605A4" w:rsidRPr="00A731EC" w:rsidRDefault="00D605A4" w:rsidP="00D605A4">
      <w:pPr>
        <w:rPr>
          <w:rFonts w:cs="Arial"/>
          <w:sz w:val="21"/>
          <w:szCs w:val="21"/>
          <w:lang w:val="fr-FR"/>
        </w:rPr>
      </w:pPr>
    </w:p>
    <w:p w14:paraId="207655D2" w14:textId="77777777" w:rsidR="00D605A4" w:rsidRPr="00A731EC" w:rsidRDefault="00D605A4" w:rsidP="00D605A4">
      <w:pPr>
        <w:rPr>
          <w:rFonts w:cs="Arial"/>
          <w:sz w:val="21"/>
          <w:szCs w:val="21"/>
          <w:lang w:val="fr-FR"/>
        </w:rPr>
      </w:pPr>
    </w:p>
    <w:p w14:paraId="76C7117B" w14:textId="77777777" w:rsidR="00D605A4" w:rsidRPr="00A731EC" w:rsidRDefault="00D605A4" w:rsidP="00D605A4">
      <w:pPr>
        <w:rPr>
          <w:rFonts w:cs="Arial"/>
          <w:sz w:val="21"/>
          <w:szCs w:val="21"/>
          <w:lang w:val="fr-FR"/>
        </w:rPr>
      </w:pPr>
    </w:p>
    <w:p w14:paraId="4DF6A4BA" w14:textId="77777777" w:rsidR="00D605A4" w:rsidRPr="00A731EC" w:rsidRDefault="00D605A4" w:rsidP="00D605A4">
      <w:pPr>
        <w:rPr>
          <w:rFonts w:cs="Arial"/>
          <w:sz w:val="21"/>
          <w:szCs w:val="21"/>
          <w:lang w:val="fr-FR"/>
        </w:rPr>
      </w:pPr>
    </w:p>
    <w:p w14:paraId="0A1A55F4" w14:textId="77777777" w:rsidR="00D605A4" w:rsidRPr="00A731EC" w:rsidRDefault="00D605A4" w:rsidP="00D605A4">
      <w:pPr>
        <w:rPr>
          <w:rFonts w:cs="Arial"/>
          <w:sz w:val="21"/>
          <w:szCs w:val="21"/>
          <w:lang w:val="fr-FR"/>
        </w:rPr>
      </w:pPr>
    </w:p>
    <w:p w14:paraId="2F603813" w14:textId="77777777" w:rsidR="00D605A4" w:rsidRPr="00A731EC" w:rsidRDefault="00D605A4" w:rsidP="00D605A4">
      <w:pPr>
        <w:rPr>
          <w:rFonts w:cs="Arial"/>
          <w:sz w:val="21"/>
          <w:szCs w:val="21"/>
          <w:lang w:val="fr-FR"/>
        </w:rPr>
      </w:pPr>
    </w:p>
    <w:p w14:paraId="195400DB" w14:textId="77777777" w:rsidR="00D605A4" w:rsidRPr="00A731EC" w:rsidRDefault="00D605A4" w:rsidP="00D605A4">
      <w:pPr>
        <w:rPr>
          <w:rFonts w:cs="Arial"/>
          <w:sz w:val="21"/>
          <w:szCs w:val="21"/>
          <w:lang w:val="fr-FR"/>
        </w:rPr>
      </w:pPr>
    </w:p>
    <w:p w14:paraId="46B17DC4" w14:textId="77777777" w:rsidR="00D605A4" w:rsidRPr="00A731EC" w:rsidRDefault="00D605A4" w:rsidP="00D605A4">
      <w:pPr>
        <w:rPr>
          <w:rFonts w:cs="Arial"/>
          <w:sz w:val="21"/>
          <w:szCs w:val="21"/>
          <w:lang w:val="fr-FR"/>
        </w:rPr>
      </w:pPr>
    </w:p>
    <w:p w14:paraId="2232A87D" w14:textId="77777777" w:rsidR="00D605A4" w:rsidRPr="00A731EC" w:rsidRDefault="00D605A4" w:rsidP="00D605A4">
      <w:pPr>
        <w:rPr>
          <w:rFonts w:cs="Arial"/>
          <w:sz w:val="21"/>
          <w:szCs w:val="21"/>
          <w:lang w:val="fr-FR"/>
        </w:rPr>
      </w:pPr>
    </w:p>
    <w:p w14:paraId="0C76868D" w14:textId="77777777" w:rsidR="00D605A4" w:rsidRPr="00A731EC" w:rsidRDefault="00D605A4" w:rsidP="00D605A4">
      <w:pPr>
        <w:rPr>
          <w:rFonts w:cs="Arial"/>
          <w:sz w:val="21"/>
          <w:szCs w:val="21"/>
          <w:lang w:val="fr-FR"/>
        </w:rPr>
      </w:pPr>
    </w:p>
    <w:p w14:paraId="3A14791C" w14:textId="77777777" w:rsidR="00D605A4" w:rsidRPr="00A731EC" w:rsidRDefault="00D605A4" w:rsidP="00D605A4">
      <w:pPr>
        <w:rPr>
          <w:rFonts w:cs="Arial"/>
          <w:sz w:val="21"/>
          <w:szCs w:val="21"/>
          <w:lang w:val="fr-FR"/>
        </w:rPr>
      </w:pPr>
    </w:p>
    <w:p w14:paraId="3E76EF41" w14:textId="77777777" w:rsidR="00D605A4" w:rsidRPr="00A731EC" w:rsidRDefault="00D605A4" w:rsidP="00D605A4">
      <w:pPr>
        <w:rPr>
          <w:rFonts w:cs="Arial"/>
          <w:sz w:val="21"/>
          <w:szCs w:val="21"/>
          <w:lang w:val="fr-FR"/>
        </w:rPr>
      </w:pPr>
    </w:p>
    <w:p w14:paraId="73C56069" w14:textId="77777777" w:rsidR="00D605A4" w:rsidRPr="00A731EC" w:rsidRDefault="00D605A4" w:rsidP="00D605A4">
      <w:pPr>
        <w:rPr>
          <w:rFonts w:cs="Arial"/>
          <w:sz w:val="22"/>
          <w:szCs w:val="22"/>
          <w:lang w:val="fr-FR"/>
        </w:rPr>
      </w:pPr>
    </w:p>
    <w:p w14:paraId="76108724" w14:textId="77777777" w:rsidR="00031A88" w:rsidRPr="00A731EC" w:rsidRDefault="00031A88" w:rsidP="00D605A4">
      <w:pPr>
        <w:rPr>
          <w:rFonts w:cs="Arial"/>
          <w:sz w:val="22"/>
          <w:szCs w:val="22"/>
          <w:lang w:val="fr-FR"/>
        </w:rPr>
      </w:pPr>
    </w:p>
    <w:p w14:paraId="731D589A" w14:textId="77777777" w:rsidR="00031A88" w:rsidRPr="00A731EC" w:rsidRDefault="00031A88" w:rsidP="00D605A4">
      <w:pPr>
        <w:rPr>
          <w:rFonts w:cs="Arial"/>
          <w:sz w:val="22"/>
          <w:szCs w:val="22"/>
          <w:lang w:val="fr-FR"/>
        </w:rPr>
      </w:pPr>
    </w:p>
    <w:p w14:paraId="47DCF4C5" w14:textId="77777777" w:rsidR="00031A88" w:rsidRPr="00A731EC" w:rsidRDefault="00031A88" w:rsidP="00D605A4">
      <w:pPr>
        <w:rPr>
          <w:rFonts w:cs="Arial"/>
          <w:sz w:val="22"/>
          <w:szCs w:val="22"/>
          <w:lang w:val="fr-FR"/>
        </w:rPr>
      </w:pPr>
    </w:p>
    <w:p w14:paraId="02A707E8" w14:textId="77777777" w:rsidR="00031A88" w:rsidRPr="00A731EC" w:rsidRDefault="00031A88" w:rsidP="00D605A4">
      <w:pPr>
        <w:rPr>
          <w:rFonts w:cs="Arial"/>
          <w:sz w:val="22"/>
          <w:szCs w:val="22"/>
          <w:lang w:val="fr-FR"/>
        </w:rPr>
      </w:pPr>
    </w:p>
    <w:p w14:paraId="5CE6F6B1" w14:textId="77777777" w:rsidR="00031A88" w:rsidRPr="00A731EC" w:rsidRDefault="00031A88" w:rsidP="00D605A4">
      <w:pPr>
        <w:rPr>
          <w:rFonts w:cs="Arial"/>
          <w:sz w:val="22"/>
          <w:szCs w:val="22"/>
          <w:lang w:val="fr-FR"/>
        </w:rPr>
      </w:pPr>
    </w:p>
    <w:p w14:paraId="2392D2F9" w14:textId="77777777" w:rsidR="00031A88" w:rsidRPr="00A731EC" w:rsidRDefault="00031A88" w:rsidP="00D605A4">
      <w:pPr>
        <w:rPr>
          <w:rFonts w:cs="Arial"/>
          <w:sz w:val="22"/>
          <w:szCs w:val="22"/>
          <w:lang w:val="fr-FR"/>
        </w:rPr>
      </w:pPr>
    </w:p>
    <w:p w14:paraId="52B46FCD" w14:textId="77777777" w:rsidR="00031A88" w:rsidRPr="00A731EC" w:rsidRDefault="00031A88" w:rsidP="00D605A4">
      <w:pPr>
        <w:rPr>
          <w:rFonts w:cs="Arial"/>
          <w:sz w:val="22"/>
          <w:szCs w:val="22"/>
          <w:lang w:val="fr-FR"/>
        </w:rPr>
      </w:pPr>
    </w:p>
    <w:p w14:paraId="6F31E10A" w14:textId="77777777" w:rsidR="00031A88" w:rsidRPr="00A731EC" w:rsidRDefault="00031A88" w:rsidP="00D605A4">
      <w:pPr>
        <w:rPr>
          <w:rFonts w:cs="Arial"/>
          <w:sz w:val="22"/>
          <w:szCs w:val="22"/>
          <w:lang w:val="fr-FR"/>
        </w:rPr>
      </w:pPr>
    </w:p>
    <w:p w14:paraId="6793271B" w14:textId="77777777" w:rsidR="00031A88" w:rsidRPr="00A731EC" w:rsidRDefault="00031A88" w:rsidP="00D605A4">
      <w:pPr>
        <w:rPr>
          <w:rFonts w:cs="Arial"/>
          <w:sz w:val="22"/>
          <w:szCs w:val="22"/>
          <w:lang w:val="fr-FR"/>
        </w:rPr>
      </w:pPr>
    </w:p>
    <w:p w14:paraId="135014FF" w14:textId="77777777" w:rsidR="00031A88" w:rsidRPr="00A731EC" w:rsidRDefault="00031A88" w:rsidP="00D605A4">
      <w:pPr>
        <w:rPr>
          <w:rFonts w:cs="Arial"/>
          <w:sz w:val="22"/>
          <w:szCs w:val="22"/>
          <w:lang w:val="fr-FR"/>
        </w:rPr>
      </w:pPr>
    </w:p>
    <w:p w14:paraId="02423A7B" w14:textId="77777777" w:rsidR="00031A88" w:rsidRPr="00A731EC" w:rsidRDefault="00031A88" w:rsidP="00D605A4">
      <w:pPr>
        <w:rPr>
          <w:rFonts w:cs="Arial"/>
          <w:sz w:val="22"/>
          <w:szCs w:val="22"/>
          <w:lang w:val="fr-FR"/>
        </w:rPr>
      </w:pPr>
    </w:p>
    <w:p w14:paraId="41CA2ADE" w14:textId="77777777" w:rsidR="00D605A4" w:rsidRPr="00A731EC" w:rsidRDefault="00D605A4" w:rsidP="00D605A4">
      <w:pPr>
        <w:rPr>
          <w:rFonts w:cs="Arial"/>
          <w:sz w:val="22"/>
          <w:szCs w:val="22"/>
          <w:lang w:val="fr-FR"/>
        </w:rPr>
      </w:pPr>
    </w:p>
    <w:p w14:paraId="03DB6A9C" w14:textId="77777777" w:rsidR="00D605A4" w:rsidRPr="00A731EC" w:rsidRDefault="00D605A4" w:rsidP="00D605A4">
      <w:pPr>
        <w:tabs>
          <w:tab w:val="left" w:pos="1020"/>
        </w:tabs>
        <w:rPr>
          <w:rFonts w:cs="Arial"/>
          <w:sz w:val="22"/>
          <w:szCs w:val="22"/>
          <w:lang w:val="fr-FR"/>
        </w:rPr>
        <w:sectPr w:rsidR="00D605A4" w:rsidRPr="00A731EC"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39592A1" w14:textId="2E169BCB" w:rsidR="007910DD" w:rsidRPr="00DB204E" w:rsidRDefault="00DB204E"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sidRPr="00DB204E">
        <w:rPr>
          <w:rFonts w:cs="Arial"/>
          <w:b/>
          <w:caps/>
          <w:sz w:val="22"/>
          <w:szCs w:val="22"/>
          <w:lang w:val="fr-FR"/>
        </w:rPr>
        <w:lastRenderedPageBreak/>
        <w:t>LA</w:t>
      </w:r>
      <w:r w:rsidR="00983795" w:rsidRPr="00DB204E">
        <w:rPr>
          <w:rFonts w:cs="Arial"/>
          <w:b/>
          <w:caps/>
          <w:sz w:val="22"/>
          <w:szCs w:val="22"/>
          <w:lang w:val="fr-FR"/>
        </w:rPr>
        <w:t xml:space="preserve"> </w:t>
      </w:r>
      <w:r w:rsidR="00302B8C">
        <w:rPr>
          <w:rFonts w:cs="Arial"/>
          <w:b/>
          <w:caps/>
          <w:sz w:val="22"/>
          <w:szCs w:val="22"/>
          <w:lang w:val="fr-FR"/>
        </w:rPr>
        <w:t>PRÉ</w:t>
      </w:r>
      <w:r w:rsidRPr="00DB204E">
        <w:rPr>
          <w:rFonts w:cs="Arial"/>
          <w:b/>
          <w:caps/>
          <w:sz w:val="22"/>
          <w:szCs w:val="22"/>
          <w:lang w:val="fr-FR"/>
        </w:rPr>
        <w:t>VENTION DE L’EMPOISONNEMENT DES OISEAUX</w:t>
      </w:r>
    </w:p>
    <w:p w14:paraId="6C26E78D" w14:textId="77777777" w:rsidR="007910DD" w:rsidRPr="00DB204E" w:rsidRDefault="007910DD" w:rsidP="007910DD">
      <w:pPr>
        <w:jc w:val="center"/>
        <w:rPr>
          <w:rFonts w:cs="Arial"/>
          <w:sz w:val="22"/>
          <w:szCs w:val="22"/>
          <w:lang w:val="fr-FR"/>
        </w:rPr>
      </w:pPr>
    </w:p>
    <w:p w14:paraId="1EB6695E" w14:textId="1096F010" w:rsidR="007910DD" w:rsidRPr="00DB204E" w:rsidRDefault="007910DD" w:rsidP="007910DD">
      <w:pPr>
        <w:jc w:val="both"/>
        <w:rPr>
          <w:rFonts w:cs="Arial"/>
          <w:sz w:val="22"/>
          <w:szCs w:val="22"/>
          <w:lang w:val="fr-FR"/>
        </w:rPr>
      </w:pPr>
    </w:p>
    <w:p w14:paraId="56F4EB2D" w14:textId="32153136" w:rsidR="007910DD" w:rsidRPr="00CD0FE9" w:rsidRDefault="00DB204E" w:rsidP="007910DD">
      <w:pPr>
        <w:jc w:val="both"/>
        <w:rPr>
          <w:rFonts w:cs="Arial"/>
          <w:sz w:val="22"/>
          <w:szCs w:val="22"/>
          <w:u w:val="single"/>
          <w:lang w:val="en-GB"/>
        </w:rPr>
      </w:pPr>
      <w:proofErr w:type="spellStart"/>
      <w:r>
        <w:rPr>
          <w:rFonts w:cs="Arial"/>
          <w:sz w:val="22"/>
          <w:szCs w:val="22"/>
          <w:u w:val="single"/>
          <w:lang w:val="en-GB"/>
        </w:rPr>
        <w:t>Informations</w:t>
      </w:r>
      <w:proofErr w:type="spellEnd"/>
      <w:r>
        <w:rPr>
          <w:rFonts w:cs="Arial"/>
          <w:sz w:val="22"/>
          <w:szCs w:val="22"/>
          <w:u w:val="single"/>
          <w:lang w:val="en-GB"/>
        </w:rPr>
        <w:t xml:space="preserve"> </w:t>
      </w:r>
      <w:proofErr w:type="spellStart"/>
      <w:r>
        <w:rPr>
          <w:rFonts w:cs="Arial"/>
          <w:sz w:val="22"/>
          <w:szCs w:val="22"/>
          <w:u w:val="single"/>
          <w:lang w:val="en-GB"/>
        </w:rPr>
        <w:t>générales</w:t>
      </w:r>
      <w:proofErr w:type="spellEnd"/>
    </w:p>
    <w:p w14:paraId="798C7B65" w14:textId="77777777" w:rsidR="008627EF" w:rsidRDefault="008627EF" w:rsidP="008627EF">
      <w:pPr>
        <w:jc w:val="both"/>
        <w:rPr>
          <w:rFonts w:cs="Arial"/>
          <w:sz w:val="22"/>
          <w:szCs w:val="22"/>
        </w:rPr>
      </w:pPr>
    </w:p>
    <w:p w14:paraId="2F16D755" w14:textId="3BE68768" w:rsidR="00AB348F" w:rsidRPr="00971318" w:rsidRDefault="00ED27C6" w:rsidP="008627EF">
      <w:pPr>
        <w:pStyle w:val="ListParagraph"/>
        <w:numPr>
          <w:ilvl w:val="0"/>
          <w:numId w:val="2"/>
        </w:numPr>
        <w:jc w:val="both"/>
        <w:rPr>
          <w:rFonts w:cs="Arial"/>
          <w:sz w:val="22"/>
          <w:szCs w:val="22"/>
          <w:lang w:val="fr-FR"/>
        </w:rPr>
      </w:pPr>
      <w:r>
        <w:rPr>
          <w:rFonts w:cs="Arial"/>
          <w:color w:val="000000"/>
          <w:sz w:val="22"/>
          <w:szCs w:val="22"/>
          <w:lang w:val="fr-FR"/>
        </w:rPr>
        <w:t>Comme demandé dans la r</w:t>
      </w:r>
      <w:r w:rsidR="00DB204E" w:rsidRPr="00971318">
        <w:rPr>
          <w:rFonts w:cs="Arial"/>
          <w:color w:val="000000"/>
          <w:sz w:val="22"/>
          <w:szCs w:val="22"/>
          <w:lang w:val="fr-FR"/>
        </w:rPr>
        <w:t>ésolution</w:t>
      </w:r>
      <w:r w:rsidR="00A11721" w:rsidRPr="00971318">
        <w:rPr>
          <w:rFonts w:cs="Arial"/>
          <w:color w:val="000000"/>
          <w:sz w:val="22"/>
          <w:szCs w:val="22"/>
          <w:lang w:val="fr-FR"/>
        </w:rPr>
        <w:t xml:space="preserve"> 10.26 “</w:t>
      </w:r>
      <w:r>
        <w:rPr>
          <w:rFonts w:cs="Arial"/>
          <w:color w:val="000000"/>
          <w:sz w:val="22"/>
          <w:szCs w:val="22"/>
          <w:lang w:val="fr-FR"/>
        </w:rPr>
        <w:t>Réduire le</w:t>
      </w:r>
      <w:r w:rsidR="00971318" w:rsidRPr="00971318">
        <w:rPr>
          <w:rFonts w:cs="Arial"/>
          <w:color w:val="000000"/>
          <w:sz w:val="22"/>
          <w:szCs w:val="22"/>
          <w:lang w:val="fr-FR"/>
        </w:rPr>
        <w:t xml:space="preserve"> risque d</w:t>
      </w:r>
      <w:r w:rsidR="00DB204E" w:rsidRPr="00971318">
        <w:rPr>
          <w:rFonts w:cs="Arial"/>
          <w:color w:val="000000"/>
          <w:sz w:val="22"/>
          <w:szCs w:val="22"/>
          <w:lang w:val="fr-FR"/>
        </w:rPr>
        <w:t>’empoisonnement</w:t>
      </w:r>
      <w:r w:rsidR="00971318" w:rsidRPr="00971318">
        <w:rPr>
          <w:rFonts w:cs="Arial"/>
          <w:color w:val="000000"/>
          <w:sz w:val="22"/>
          <w:szCs w:val="22"/>
          <w:lang w:val="fr-FR"/>
        </w:rPr>
        <w:t xml:space="preserve"> des o</w:t>
      </w:r>
      <w:r w:rsidR="00DB204E" w:rsidRPr="00971318">
        <w:rPr>
          <w:rFonts w:cs="Arial"/>
          <w:color w:val="000000"/>
          <w:sz w:val="22"/>
          <w:szCs w:val="22"/>
          <w:lang w:val="fr-FR"/>
        </w:rPr>
        <w:t>iseaux migrateurs</w:t>
      </w:r>
      <w:r w:rsidR="00302B8C">
        <w:rPr>
          <w:rFonts w:cs="Arial"/>
          <w:color w:val="000000"/>
          <w:sz w:val="22"/>
          <w:szCs w:val="22"/>
          <w:lang w:val="fr-FR"/>
        </w:rPr>
        <w:t>”,</w:t>
      </w:r>
      <w:r w:rsidR="00971318" w:rsidRPr="00971318">
        <w:rPr>
          <w:rFonts w:cs="Arial"/>
          <w:color w:val="000000"/>
          <w:sz w:val="22"/>
          <w:szCs w:val="22"/>
          <w:lang w:val="fr-FR"/>
        </w:rPr>
        <w:t xml:space="preserve"> e</w:t>
      </w:r>
      <w:r w:rsidR="004D0630" w:rsidRPr="00971318">
        <w:rPr>
          <w:rFonts w:cs="Arial"/>
          <w:color w:val="000000"/>
          <w:sz w:val="22"/>
          <w:szCs w:val="22"/>
          <w:lang w:val="fr-FR"/>
        </w:rPr>
        <w:t>n 2011</w:t>
      </w:r>
      <w:r w:rsidR="003A02C4" w:rsidRPr="00971318">
        <w:rPr>
          <w:rFonts w:cs="Arial"/>
          <w:color w:val="000000"/>
          <w:sz w:val="22"/>
          <w:szCs w:val="22"/>
          <w:lang w:val="fr-FR"/>
        </w:rPr>
        <w:t>,</w:t>
      </w:r>
      <w:r w:rsidR="004D0630" w:rsidRPr="00971318">
        <w:rPr>
          <w:rFonts w:cs="Arial"/>
          <w:color w:val="000000"/>
          <w:sz w:val="22"/>
          <w:szCs w:val="22"/>
          <w:lang w:val="fr-FR"/>
        </w:rPr>
        <w:t xml:space="preserve"> </w:t>
      </w:r>
      <w:r w:rsidR="00971318" w:rsidRPr="00971318">
        <w:rPr>
          <w:rFonts w:cs="Arial"/>
          <w:color w:val="000000"/>
          <w:sz w:val="22"/>
          <w:szCs w:val="22"/>
          <w:lang w:val="fr-FR"/>
        </w:rPr>
        <w:t>l</w:t>
      </w:r>
      <w:r w:rsidR="00971318">
        <w:rPr>
          <w:rFonts w:cs="Arial"/>
          <w:color w:val="000000"/>
          <w:sz w:val="22"/>
          <w:szCs w:val="22"/>
          <w:lang w:val="fr-FR"/>
        </w:rPr>
        <w:t>e G</w:t>
      </w:r>
      <w:r w:rsidR="00971318" w:rsidRPr="00971318">
        <w:rPr>
          <w:rFonts w:cs="Arial"/>
          <w:color w:val="000000"/>
          <w:sz w:val="22"/>
          <w:szCs w:val="22"/>
          <w:lang w:val="fr-FR"/>
        </w:rPr>
        <w:t>roupe de travail sur la prévention de l’empoisonnement</w:t>
      </w:r>
      <w:r w:rsidR="00AB348F" w:rsidRPr="00971318">
        <w:rPr>
          <w:rFonts w:cs="Arial"/>
          <w:color w:val="000000"/>
          <w:sz w:val="22"/>
          <w:szCs w:val="22"/>
          <w:lang w:val="fr-FR"/>
        </w:rPr>
        <w:t xml:space="preserve"> </w:t>
      </w:r>
      <w:r w:rsidR="00302B8C">
        <w:rPr>
          <w:rFonts w:cs="Arial"/>
          <w:color w:val="000000"/>
          <w:sz w:val="22"/>
          <w:szCs w:val="22"/>
          <w:lang w:val="fr-FR"/>
        </w:rPr>
        <w:t>(</w:t>
      </w:r>
      <w:r w:rsidR="004B6CD8" w:rsidRPr="00971318">
        <w:rPr>
          <w:rFonts w:cs="Arial"/>
          <w:color w:val="000000"/>
          <w:sz w:val="22"/>
          <w:szCs w:val="22"/>
          <w:lang w:val="fr-FR"/>
        </w:rPr>
        <w:t>G</w:t>
      </w:r>
      <w:r w:rsidR="00302B8C">
        <w:rPr>
          <w:rFonts w:cs="Arial"/>
          <w:color w:val="000000"/>
          <w:sz w:val="22"/>
          <w:szCs w:val="22"/>
          <w:lang w:val="fr-FR"/>
        </w:rPr>
        <w:t>TPE</w:t>
      </w:r>
      <w:r w:rsidR="004B6CD8" w:rsidRPr="00971318">
        <w:rPr>
          <w:rFonts w:cs="Arial"/>
          <w:color w:val="000000"/>
          <w:sz w:val="22"/>
          <w:szCs w:val="22"/>
          <w:lang w:val="fr-FR"/>
        </w:rPr>
        <w:t>)</w:t>
      </w:r>
      <w:r w:rsidR="00971318">
        <w:rPr>
          <w:rFonts w:cs="Arial"/>
          <w:color w:val="000000"/>
          <w:sz w:val="22"/>
          <w:szCs w:val="22"/>
          <w:lang w:val="fr-FR"/>
        </w:rPr>
        <w:t xml:space="preserve"> de la </w:t>
      </w:r>
      <w:r w:rsidR="00682EAA" w:rsidRPr="00971318">
        <w:rPr>
          <w:rFonts w:cs="Arial"/>
          <w:color w:val="000000"/>
          <w:sz w:val="22"/>
          <w:szCs w:val="22"/>
          <w:lang w:val="fr-FR"/>
        </w:rPr>
        <w:t xml:space="preserve">CMS </w:t>
      </w:r>
      <w:r w:rsidR="00302B8C">
        <w:rPr>
          <w:rFonts w:cs="Arial"/>
          <w:color w:val="000000"/>
          <w:sz w:val="22"/>
          <w:szCs w:val="22"/>
          <w:lang w:val="fr-FR"/>
        </w:rPr>
        <w:t>a été mis en place</w:t>
      </w:r>
      <w:r w:rsidR="00971318">
        <w:rPr>
          <w:rFonts w:cs="Arial"/>
          <w:color w:val="000000"/>
          <w:sz w:val="22"/>
          <w:szCs w:val="22"/>
          <w:lang w:val="fr-FR"/>
        </w:rPr>
        <w:t xml:space="preserve"> pour évaluer la gravité et l’étendue de</w:t>
      </w:r>
      <w:r w:rsidR="00AB348F" w:rsidRPr="00971318">
        <w:rPr>
          <w:rFonts w:cs="Arial"/>
          <w:color w:val="000000"/>
          <w:sz w:val="22"/>
          <w:szCs w:val="22"/>
          <w:lang w:val="fr-FR"/>
        </w:rPr>
        <w:t xml:space="preserve"> </w:t>
      </w:r>
      <w:r w:rsidR="00DB204E" w:rsidRPr="00971318">
        <w:rPr>
          <w:rFonts w:cs="Arial"/>
          <w:color w:val="000000"/>
          <w:sz w:val="22"/>
          <w:szCs w:val="22"/>
          <w:lang w:val="fr-FR"/>
        </w:rPr>
        <w:t>l’empoisonnement</w:t>
      </w:r>
      <w:r w:rsidR="00302B8C">
        <w:rPr>
          <w:rFonts w:cs="Arial"/>
          <w:color w:val="000000"/>
          <w:sz w:val="22"/>
          <w:szCs w:val="22"/>
          <w:lang w:val="fr-FR"/>
        </w:rPr>
        <w:t xml:space="preserve"> des </w:t>
      </w:r>
      <w:r w:rsidR="00DB204E" w:rsidRPr="00971318">
        <w:rPr>
          <w:rFonts w:cs="Arial"/>
          <w:color w:val="000000"/>
          <w:sz w:val="22"/>
          <w:szCs w:val="22"/>
          <w:lang w:val="fr-FR"/>
        </w:rPr>
        <w:t>oiseaux migrateurs</w:t>
      </w:r>
      <w:r w:rsidR="00971318">
        <w:rPr>
          <w:rFonts w:cs="Arial"/>
          <w:color w:val="000000"/>
          <w:sz w:val="22"/>
          <w:szCs w:val="22"/>
          <w:lang w:val="fr-FR"/>
        </w:rPr>
        <w:t>, identifier les lacunes importantes dans les connaissances, et</w:t>
      </w:r>
      <w:r w:rsidR="00682EAA" w:rsidRPr="00971318">
        <w:rPr>
          <w:rFonts w:cs="Arial"/>
          <w:color w:val="000000"/>
          <w:sz w:val="22"/>
          <w:szCs w:val="22"/>
          <w:lang w:val="fr-FR"/>
        </w:rPr>
        <w:t xml:space="preserve"> </w:t>
      </w:r>
      <w:r w:rsidR="00971318">
        <w:rPr>
          <w:rFonts w:cs="Arial"/>
          <w:color w:val="000000"/>
          <w:sz w:val="22"/>
          <w:szCs w:val="22"/>
          <w:lang w:val="fr-FR"/>
        </w:rPr>
        <w:t>recomma</w:t>
      </w:r>
      <w:r w:rsidR="00AB348F" w:rsidRPr="00971318">
        <w:rPr>
          <w:rFonts w:cs="Arial"/>
          <w:color w:val="000000"/>
          <w:sz w:val="22"/>
          <w:szCs w:val="22"/>
          <w:lang w:val="fr-FR"/>
        </w:rPr>
        <w:t>nd</w:t>
      </w:r>
      <w:r w:rsidR="00971318">
        <w:rPr>
          <w:rFonts w:cs="Arial"/>
          <w:color w:val="000000"/>
          <w:sz w:val="22"/>
          <w:szCs w:val="22"/>
          <w:lang w:val="fr-FR"/>
        </w:rPr>
        <w:t>er des réponses</w:t>
      </w:r>
      <w:r w:rsidR="00302B8C">
        <w:rPr>
          <w:rFonts w:cs="Arial"/>
          <w:color w:val="000000"/>
          <w:sz w:val="22"/>
          <w:szCs w:val="22"/>
          <w:lang w:val="fr-FR"/>
        </w:rPr>
        <w:t xml:space="preserve"> adaptées pour faire face aux</w:t>
      </w:r>
      <w:r w:rsidR="00971318">
        <w:rPr>
          <w:rFonts w:cs="Arial"/>
          <w:color w:val="000000"/>
          <w:sz w:val="22"/>
          <w:szCs w:val="22"/>
          <w:lang w:val="fr-FR"/>
        </w:rPr>
        <w:t xml:space="preserve"> problè</w:t>
      </w:r>
      <w:r w:rsidR="00AB348F" w:rsidRPr="00971318">
        <w:rPr>
          <w:rFonts w:cs="Arial"/>
          <w:color w:val="000000"/>
          <w:sz w:val="22"/>
          <w:szCs w:val="22"/>
          <w:lang w:val="fr-FR"/>
        </w:rPr>
        <w:t>m</w:t>
      </w:r>
      <w:r w:rsidR="00971318">
        <w:rPr>
          <w:rFonts w:cs="Arial"/>
          <w:color w:val="000000"/>
          <w:sz w:val="22"/>
          <w:szCs w:val="22"/>
          <w:lang w:val="fr-FR"/>
        </w:rPr>
        <w:t>e</w:t>
      </w:r>
      <w:r w:rsidR="00AB348F" w:rsidRPr="00971318">
        <w:rPr>
          <w:rFonts w:cs="Arial"/>
          <w:color w:val="000000"/>
          <w:sz w:val="22"/>
          <w:szCs w:val="22"/>
          <w:lang w:val="fr-FR"/>
        </w:rPr>
        <w:t>s</w:t>
      </w:r>
      <w:r w:rsidR="00A743F3" w:rsidRPr="00971318">
        <w:rPr>
          <w:rFonts w:cs="Arial"/>
          <w:color w:val="000000"/>
          <w:sz w:val="22"/>
          <w:szCs w:val="22"/>
          <w:lang w:val="fr-FR"/>
        </w:rPr>
        <w:t>.</w:t>
      </w:r>
      <w:r w:rsidR="00AB348F" w:rsidRPr="00971318">
        <w:rPr>
          <w:rFonts w:cs="Arial"/>
          <w:color w:val="000000"/>
          <w:sz w:val="22"/>
          <w:szCs w:val="22"/>
          <w:lang w:val="fr-FR"/>
        </w:rPr>
        <w:t xml:space="preserve"> </w:t>
      </w:r>
      <w:r w:rsidR="00971318" w:rsidRPr="00971318">
        <w:rPr>
          <w:rFonts w:cs="Arial"/>
          <w:color w:val="000000"/>
          <w:sz w:val="22"/>
          <w:szCs w:val="22"/>
          <w:lang w:val="fr-FR"/>
        </w:rPr>
        <w:t>Ces réponses inclu</w:t>
      </w:r>
      <w:r w:rsidR="00302B8C">
        <w:rPr>
          <w:rFonts w:cs="Arial"/>
          <w:color w:val="000000"/>
          <w:sz w:val="22"/>
          <w:szCs w:val="22"/>
          <w:lang w:val="fr-FR"/>
        </w:rPr>
        <w:t>ent</w:t>
      </w:r>
      <w:r w:rsidR="00971318" w:rsidRPr="00971318">
        <w:rPr>
          <w:rFonts w:cs="Arial"/>
          <w:color w:val="000000"/>
          <w:sz w:val="22"/>
          <w:szCs w:val="22"/>
          <w:lang w:val="fr-FR"/>
        </w:rPr>
        <w:t xml:space="preserve"> des domaines </w:t>
      </w:r>
      <w:r w:rsidR="00302B8C">
        <w:rPr>
          <w:rFonts w:cs="Arial"/>
          <w:color w:val="000000"/>
          <w:sz w:val="22"/>
          <w:szCs w:val="22"/>
          <w:lang w:val="fr-FR"/>
        </w:rPr>
        <w:t xml:space="preserve">potentiels dans </w:t>
      </w:r>
      <w:r w:rsidR="00971318" w:rsidRPr="00971318">
        <w:rPr>
          <w:rFonts w:cs="Arial"/>
          <w:color w:val="000000"/>
          <w:sz w:val="22"/>
          <w:szCs w:val="22"/>
          <w:lang w:val="fr-FR"/>
        </w:rPr>
        <w:t>lesquels une</w:t>
      </w:r>
      <w:r w:rsidR="00A743F3" w:rsidRPr="00971318">
        <w:rPr>
          <w:rFonts w:cs="Arial"/>
          <w:color w:val="000000"/>
          <w:sz w:val="22"/>
          <w:szCs w:val="22"/>
          <w:lang w:val="fr-FR"/>
        </w:rPr>
        <w:t xml:space="preserve"> </w:t>
      </w:r>
      <w:r w:rsidR="00971318">
        <w:rPr>
          <w:rFonts w:cs="Arial"/>
          <w:color w:val="000000"/>
          <w:sz w:val="22"/>
          <w:szCs w:val="22"/>
          <w:lang w:val="fr-FR"/>
        </w:rPr>
        <w:t>lé</w:t>
      </w:r>
      <w:r w:rsidR="00AB348F" w:rsidRPr="00971318">
        <w:rPr>
          <w:rFonts w:cs="Arial"/>
          <w:color w:val="000000"/>
          <w:sz w:val="22"/>
          <w:szCs w:val="22"/>
          <w:lang w:val="fr-FR"/>
        </w:rPr>
        <w:t xml:space="preserve">gislation </w:t>
      </w:r>
      <w:r w:rsidR="00971318">
        <w:rPr>
          <w:rFonts w:cs="Arial"/>
          <w:color w:val="000000"/>
          <w:sz w:val="22"/>
          <w:szCs w:val="22"/>
          <w:lang w:val="fr-FR"/>
        </w:rPr>
        <w:t>renforcée peut êtr</w:t>
      </w:r>
      <w:r w:rsidR="00302B8C">
        <w:rPr>
          <w:rFonts w:cs="Arial"/>
          <w:color w:val="000000"/>
          <w:sz w:val="22"/>
          <w:szCs w:val="22"/>
          <w:lang w:val="fr-FR"/>
        </w:rPr>
        <w:t>e requise, des éléments pour des</w:t>
      </w:r>
      <w:r w:rsidR="00971318">
        <w:rPr>
          <w:rFonts w:cs="Arial"/>
          <w:color w:val="000000"/>
          <w:sz w:val="22"/>
          <w:szCs w:val="22"/>
          <w:lang w:val="fr-FR"/>
        </w:rPr>
        <w:t xml:space="preserve"> systèmes de réglementation efficaces, et une connaissance </w:t>
      </w:r>
      <w:r w:rsidR="00302B8C">
        <w:rPr>
          <w:rFonts w:cs="Arial"/>
          <w:color w:val="000000"/>
          <w:sz w:val="22"/>
          <w:szCs w:val="22"/>
          <w:lang w:val="fr-FR"/>
        </w:rPr>
        <w:t>des facteurs socioéconomiques qui contribuent à un</w:t>
      </w:r>
      <w:r w:rsidR="00AB348F" w:rsidRPr="00971318">
        <w:rPr>
          <w:rFonts w:cs="Arial"/>
          <w:color w:val="000000"/>
          <w:sz w:val="22"/>
          <w:szCs w:val="22"/>
          <w:lang w:val="fr-FR"/>
        </w:rPr>
        <w:t xml:space="preserve"> </w:t>
      </w:r>
      <w:r w:rsidR="00DB204E" w:rsidRPr="00971318">
        <w:rPr>
          <w:rFonts w:cs="Arial"/>
          <w:color w:val="000000"/>
          <w:sz w:val="22"/>
          <w:szCs w:val="22"/>
          <w:lang w:val="fr-FR"/>
        </w:rPr>
        <w:t>empoisonnement</w:t>
      </w:r>
      <w:r w:rsidR="00AB348F" w:rsidRPr="00971318">
        <w:rPr>
          <w:rFonts w:cs="Arial"/>
          <w:color w:val="000000"/>
          <w:sz w:val="22"/>
          <w:szCs w:val="22"/>
          <w:lang w:val="fr-FR"/>
        </w:rPr>
        <w:t>.</w:t>
      </w:r>
    </w:p>
    <w:p w14:paraId="1A8BEF45" w14:textId="77777777" w:rsidR="00AB348F" w:rsidRPr="00971318" w:rsidRDefault="00AB348F" w:rsidP="00AB348F">
      <w:pPr>
        <w:pStyle w:val="ListParagraph"/>
        <w:rPr>
          <w:rFonts w:cs="Arial"/>
          <w:sz w:val="22"/>
          <w:szCs w:val="22"/>
          <w:lang w:val="fr-FR"/>
        </w:rPr>
      </w:pPr>
    </w:p>
    <w:p w14:paraId="551FF09B" w14:textId="1A52C383" w:rsidR="00AB348F" w:rsidRPr="00971318" w:rsidRDefault="00971318" w:rsidP="004B6CD8">
      <w:pPr>
        <w:pStyle w:val="ListParagraph"/>
        <w:numPr>
          <w:ilvl w:val="0"/>
          <w:numId w:val="2"/>
        </w:numPr>
        <w:jc w:val="both"/>
        <w:rPr>
          <w:rFonts w:cs="Arial"/>
          <w:sz w:val="22"/>
          <w:szCs w:val="22"/>
          <w:lang w:val="fr-FR"/>
        </w:rPr>
      </w:pPr>
      <w:r w:rsidRPr="00971318">
        <w:rPr>
          <w:rFonts w:cs="Arial"/>
          <w:sz w:val="22"/>
          <w:szCs w:val="22"/>
          <w:lang w:val="fr-FR"/>
        </w:rPr>
        <w:t>Une</w:t>
      </w:r>
      <w:r w:rsidR="004B6CD8" w:rsidRPr="00971318">
        <w:rPr>
          <w:rFonts w:cs="Arial"/>
          <w:sz w:val="22"/>
          <w:szCs w:val="22"/>
          <w:lang w:val="fr-FR"/>
        </w:rPr>
        <w:t xml:space="preserve"> </w:t>
      </w:r>
      <w:r w:rsidR="00DB204E" w:rsidRPr="00971318">
        <w:rPr>
          <w:rFonts w:cs="Arial"/>
          <w:sz w:val="22"/>
          <w:szCs w:val="22"/>
          <w:lang w:val="fr-FR"/>
        </w:rPr>
        <w:t>réunion</w:t>
      </w:r>
      <w:r w:rsidRPr="00971318">
        <w:rPr>
          <w:rFonts w:cs="Arial"/>
          <w:sz w:val="22"/>
          <w:szCs w:val="22"/>
          <w:lang w:val="fr-FR"/>
        </w:rPr>
        <w:t xml:space="preserve"> du</w:t>
      </w:r>
      <w:r w:rsidR="004B6CD8" w:rsidRPr="00971318">
        <w:rPr>
          <w:rFonts w:cs="Arial"/>
          <w:sz w:val="22"/>
          <w:szCs w:val="22"/>
          <w:lang w:val="fr-FR"/>
        </w:rPr>
        <w:t xml:space="preserve"> </w:t>
      </w:r>
      <w:r w:rsidR="00302B8C">
        <w:rPr>
          <w:rFonts w:cs="Arial"/>
          <w:sz w:val="22"/>
          <w:szCs w:val="22"/>
          <w:lang w:val="fr-FR"/>
        </w:rPr>
        <w:t>GTPE</w:t>
      </w:r>
      <w:r w:rsidR="004B6CD8" w:rsidRPr="00971318">
        <w:rPr>
          <w:rFonts w:cs="Arial"/>
          <w:sz w:val="22"/>
          <w:szCs w:val="22"/>
          <w:lang w:val="fr-FR"/>
        </w:rPr>
        <w:t xml:space="preserve"> </w:t>
      </w:r>
      <w:r w:rsidRPr="00971318">
        <w:rPr>
          <w:rFonts w:cs="Arial"/>
          <w:sz w:val="22"/>
          <w:szCs w:val="22"/>
          <w:lang w:val="fr-FR"/>
        </w:rPr>
        <w:t xml:space="preserve">s’est tenue à </w:t>
      </w:r>
      <w:r w:rsidR="00AB348F" w:rsidRPr="00971318">
        <w:rPr>
          <w:rFonts w:cs="Arial"/>
          <w:sz w:val="22"/>
          <w:szCs w:val="22"/>
          <w:lang w:val="fr-FR"/>
        </w:rPr>
        <w:t xml:space="preserve">Tunis, </w:t>
      </w:r>
      <w:r w:rsidRPr="00971318">
        <w:rPr>
          <w:rFonts w:cs="Arial"/>
          <w:sz w:val="22"/>
          <w:szCs w:val="22"/>
          <w:lang w:val="fr-FR"/>
        </w:rPr>
        <w:t xml:space="preserve">les </w:t>
      </w:r>
      <w:r w:rsidR="004B6CD8" w:rsidRPr="00971318">
        <w:rPr>
          <w:rFonts w:cs="Arial"/>
          <w:sz w:val="22"/>
          <w:szCs w:val="22"/>
          <w:lang w:val="fr-FR"/>
        </w:rPr>
        <w:t>27</w:t>
      </w:r>
      <w:r w:rsidRPr="00971318">
        <w:rPr>
          <w:rFonts w:cs="Arial"/>
          <w:sz w:val="22"/>
          <w:szCs w:val="22"/>
          <w:lang w:val="fr-FR"/>
        </w:rPr>
        <w:t xml:space="preserve"> et</w:t>
      </w:r>
      <w:r w:rsidR="00682EAA" w:rsidRPr="00971318">
        <w:rPr>
          <w:rFonts w:cs="Arial"/>
          <w:sz w:val="22"/>
          <w:szCs w:val="22"/>
          <w:lang w:val="fr-FR"/>
        </w:rPr>
        <w:t xml:space="preserve"> </w:t>
      </w:r>
      <w:r w:rsidRPr="00971318">
        <w:rPr>
          <w:rFonts w:cs="Arial"/>
          <w:sz w:val="22"/>
          <w:szCs w:val="22"/>
          <w:lang w:val="fr-FR"/>
        </w:rPr>
        <w:t>28 mai</w:t>
      </w:r>
      <w:r w:rsidR="004B6CD8" w:rsidRPr="00971318">
        <w:rPr>
          <w:rFonts w:cs="Arial"/>
          <w:sz w:val="22"/>
          <w:szCs w:val="22"/>
          <w:lang w:val="fr-FR"/>
        </w:rPr>
        <w:t xml:space="preserve"> 2013, </w:t>
      </w:r>
      <w:r w:rsidRPr="00971318">
        <w:rPr>
          <w:rFonts w:cs="Arial"/>
          <w:sz w:val="22"/>
          <w:szCs w:val="22"/>
          <w:lang w:val="fr-FR"/>
        </w:rPr>
        <w:t xml:space="preserve">en même temps que la </w:t>
      </w:r>
      <w:r w:rsidR="004B6CD8" w:rsidRPr="00971318">
        <w:rPr>
          <w:rFonts w:cs="Arial"/>
          <w:sz w:val="22"/>
          <w:szCs w:val="22"/>
          <w:lang w:val="fr-FR"/>
        </w:rPr>
        <w:t>2</w:t>
      </w:r>
      <w:r w:rsidRPr="00971318">
        <w:rPr>
          <w:rFonts w:cs="Arial"/>
          <w:sz w:val="22"/>
          <w:szCs w:val="22"/>
          <w:vertAlign w:val="superscript"/>
          <w:lang w:val="fr-FR"/>
        </w:rPr>
        <w:t>e</w:t>
      </w:r>
      <w:r w:rsidRPr="00971318">
        <w:rPr>
          <w:rFonts w:cs="Arial"/>
          <w:sz w:val="22"/>
          <w:szCs w:val="22"/>
          <w:lang w:val="fr-FR"/>
        </w:rPr>
        <w:t xml:space="preserve"> Confé</w:t>
      </w:r>
      <w:r w:rsidR="00AB348F" w:rsidRPr="00971318">
        <w:rPr>
          <w:rFonts w:cs="Arial"/>
          <w:sz w:val="22"/>
          <w:szCs w:val="22"/>
          <w:lang w:val="fr-FR"/>
        </w:rPr>
        <w:t>rence</w:t>
      </w:r>
      <w:r>
        <w:rPr>
          <w:rFonts w:cs="Arial"/>
          <w:sz w:val="22"/>
          <w:szCs w:val="22"/>
          <w:lang w:val="fr-FR"/>
        </w:rPr>
        <w:t xml:space="preserve"> de la Convention de Berne </w:t>
      </w:r>
      <w:r w:rsidR="00302B8C">
        <w:rPr>
          <w:rFonts w:cs="Arial"/>
          <w:sz w:val="22"/>
          <w:szCs w:val="22"/>
          <w:lang w:val="fr-FR"/>
        </w:rPr>
        <w:t xml:space="preserve">portant </w:t>
      </w:r>
      <w:r>
        <w:rPr>
          <w:rFonts w:cs="Arial"/>
          <w:sz w:val="22"/>
          <w:szCs w:val="22"/>
          <w:lang w:val="fr-FR"/>
        </w:rPr>
        <w:t>sur</w:t>
      </w:r>
      <w:r w:rsidR="00AB348F" w:rsidRPr="00971318">
        <w:rPr>
          <w:rFonts w:cs="Arial"/>
          <w:sz w:val="22"/>
          <w:szCs w:val="22"/>
          <w:lang w:val="fr-FR"/>
        </w:rPr>
        <w:t xml:space="preserve"> </w:t>
      </w:r>
      <w:r w:rsidR="00302B8C">
        <w:rPr>
          <w:rFonts w:cs="Arial"/>
          <w:sz w:val="22"/>
          <w:szCs w:val="22"/>
          <w:lang w:val="fr-FR"/>
        </w:rPr>
        <w:t>l’’abattage, le piégeage et le commerce</w:t>
      </w:r>
      <w:r>
        <w:rPr>
          <w:rFonts w:cs="Arial"/>
          <w:sz w:val="22"/>
          <w:szCs w:val="22"/>
          <w:lang w:val="fr-FR"/>
        </w:rPr>
        <w:t xml:space="preserve"> illégaux des oiseaux sauvages et la </w:t>
      </w:r>
      <w:r w:rsidR="004B6CD8" w:rsidRPr="00971318">
        <w:rPr>
          <w:rFonts w:cs="Arial"/>
          <w:sz w:val="22"/>
          <w:szCs w:val="22"/>
          <w:lang w:val="fr-FR"/>
        </w:rPr>
        <w:t>4</w:t>
      </w:r>
      <w:r>
        <w:rPr>
          <w:rFonts w:cs="Arial"/>
          <w:sz w:val="22"/>
          <w:szCs w:val="22"/>
          <w:vertAlign w:val="superscript"/>
          <w:lang w:val="fr-FR"/>
        </w:rPr>
        <w:t>e</w:t>
      </w:r>
      <w:r w:rsidR="00AB348F" w:rsidRPr="00971318">
        <w:rPr>
          <w:rFonts w:cs="Arial"/>
          <w:sz w:val="22"/>
          <w:szCs w:val="22"/>
          <w:lang w:val="fr-FR"/>
        </w:rPr>
        <w:t xml:space="preserve"> </w:t>
      </w:r>
      <w:r>
        <w:rPr>
          <w:rFonts w:cs="Arial"/>
          <w:sz w:val="22"/>
          <w:szCs w:val="22"/>
          <w:lang w:val="fr-FR"/>
        </w:rPr>
        <w:t>r</w:t>
      </w:r>
      <w:r w:rsidR="00DB204E" w:rsidRPr="00971318">
        <w:rPr>
          <w:rFonts w:cs="Arial"/>
          <w:sz w:val="22"/>
          <w:szCs w:val="22"/>
          <w:lang w:val="fr-FR"/>
        </w:rPr>
        <w:t>éunion</w:t>
      </w:r>
      <w:r>
        <w:rPr>
          <w:rFonts w:cs="Arial"/>
          <w:sz w:val="22"/>
          <w:szCs w:val="22"/>
          <w:lang w:val="fr-FR"/>
        </w:rPr>
        <w:t xml:space="preserve"> du Groupe d’experts sur la conservation des oiseaux</w:t>
      </w:r>
      <w:r w:rsidR="00AB348F" w:rsidRPr="00971318">
        <w:rPr>
          <w:rFonts w:cs="Arial"/>
          <w:sz w:val="22"/>
          <w:szCs w:val="22"/>
          <w:lang w:val="fr-FR"/>
        </w:rPr>
        <w:t xml:space="preserve">. </w:t>
      </w:r>
      <w:r w:rsidRPr="00971318">
        <w:rPr>
          <w:rFonts w:cs="Arial"/>
          <w:sz w:val="22"/>
          <w:szCs w:val="22"/>
          <w:lang w:val="fr-FR"/>
        </w:rPr>
        <w:t>Le groupe de travail</w:t>
      </w:r>
      <w:r w:rsidR="004B6CD8" w:rsidRPr="00971318">
        <w:rPr>
          <w:rFonts w:cs="Arial"/>
          <w:sz w:val="22"/>
          <w:szCs w:val="22"/>
          <w:lang w:val="fr-FR"/>
        </w:rPr>
        <w:t xml:space="preserve"> </w:t>
      </w:r>
      <w:r>
        <w:rPr>
          <w:rFonts w:cs="Arial"/>
          <w:sz w:val="22"/>
          <w:szCs w:val="22"/>
          <w:lang w:val="fr-FR"/>
        </w:rPr>
        <w:t>a évalu</w:t>
      </w:r>
      <w:r w:rsidRPr="00971318">
        <w:rPr>
          <w:rFonts w:cs="Arial"/>
          <w:sz w:val="22"/>
          <w:szCs w:val="22"/>
          <w:lang w:val="fr-FR"/>
        </w:rPr>
        <w:t>é la gravité</w:t>
      </w:r>
      <w:r>
        <w:rPr>
          <w:rFonts w:cs="Arial"/>
          <w:sz w:val="22"/>
          <w:szCs w:val="22"/>
          <w:lang w:val="fr-FR"/>
        </w:rPr>
        <w:t xml:space="preserve"> de </w:t>
      </w:r>
      <w:r w:rsidR="00DB204E" w:rsidRPr="00971318">
        <w:rPr>
          <w:rFonts w:cs="Arial"/>
          <w:sz w:val="22"/>
          <w:szCs w:val="22"/>
          <w:lang w:val="fr-FR"/>
        </w:rPr>
        <w:t>l’empoisonnement</w:t>
      </w:r>
      <w:r w:rsidR="004B6CD8" w:rsidRPr="00971318">
        <w:rPr>
          <w:rFonts w:cs="Arial"/>
          <w:sz w:val="22"/>
          <w:szCs w:val="22"/>
          <w:lang w:val="fr-FR"/>
        </w:rPr>
        <w:t xml:space="preserve"> </w:t>
      </w:r>
      <w:r>
        <w:rPr>
          <w:rFonts w:cs="Arial"/>
          <w:sz w:val="22"/>
          <w:szCs w:val="22"/>
          <w:lang w:val="fr-FR"/>
        </w:rPr>
        <w:t xml:space="preserve">et a examiné des </w:t>
      </w:r>
      <w:r w:rsidR="00D9190E">
        <w:rPr>
          <w:rFonts w:cs="Arial"/>
          <w:sz w:val="22"/>
          <w:szCs w:val="22"/>
          <w:lang w:val="fr-FR"/>
        </w:rPr>
        <w:t>lignes directrices</w:t>
      </w:r>
      <w:r w:rsidR="004B6CD8" w:rsidRPr="00971318">
        <w:rPr>
          <w:rFonts w:cs="Arial"/>
          <w:sz w:val="22"/>
          <w:szCs w:val="22"/>
          <w:lang w:val="fr-FR"/>
        </w:rPr>
        <w:t xml:space="preserve">. </w:t>
      </w:r>
      <w:r w:rsidRPr="00971318">
        <w:rPr>
          <w:rFonts w:cs="Arial"/>
          <w:sz w:val="22"/>
          <w:szCs w:val="22"/>
          <w:lang w:val="fr-FR"/>
        </w:rPr>
        <w:t>Cet atelier</w:t>
      </w:r>
      <w:r w:rsidR="00AB348F" w:rsidRPr="00971318">
        <w:rPr>
          <w:rFonts w:cs="Arial"/>
          <w:sz w:val="22"/>
          <w:szCs w:val="22"/>
          <w:lang w:val="fr-FR"/>
        </w:rPr>
        <w:t xml:space="preserve"> </w:t>
      </w:r>
      <w:r w:rsidRPr="00971318">
        <w:rPr>
          <w:rFonts w:cs="Arial"/>
          <w:sz w:val="22"/>
          <w:szCs w:val="22"/>
          <w:lang w:val="fr-FR"/>
        </w:rPr>
        <w:t xml:space="preserve">a </w:t>
      </w:r>
      <w:r w:rsidR="00302B8C">
        <w:rPr>
          <w:rFonts w:cs="Arial"/>
          <w:sz w:val="22"/>
          <w:szCs w:val="22"/>
          <w:lang w:val="fr-FR"/>
        </w:rPr>
        <w:t xml:space="preserve">été </w:t>
      </w:r>
      <w:r w:rsidRPr="00971318">
        <w:rPr>
          <w:rFonts w:cs="Arial"/>
          <w:sz w:val="22"/>
          <w:szCs w:val="22"/>
          <w:lang w:val="fr-FR"/>
        </w:rPr>
        <w:t xml:space="preserve">rendu </w:t>
      </w:r>
      <w:r w:rsidR="00AB348F" w:rsidRPr="00971318">
        <w:rPr>
          <w:rFonts w:cs="Arial"/>
          <w:sz w:val="22"/>
          <w:szCs w:val="22"/>
          <w:lang w:val="fr-FR"/>
        </w:rPr>
        <w:t xml:space="preserve">possible </w:t>
      </w:r>
      <w:r w:rsidRPr="00971318">
        <w:rPr>
          <w:rFonts w:cs="Arial"/>
          <w:sz w:val="22"/>
          <w:szCs w:val="22"/>
          <w:lang w:val="fr-FR"/>
        </w:rPr>
        <w:t xml:space="preserve">grâce aux </w:t>
      </w:r>
      <w:r w:rsidR="00AB348F" w:rsidRPr="00971318">
        <w:rPr>
          <w:rFonts w:cs="Arial"/>
          <w:sz w:val="22"/>
          <w:szCs w:val="22"/>
          <w:lang w:val="fr-FR"/>
        </w:rPr>
        <w:t xml:space="preserve">contributions </w:t>
      </w:r>
      <w:r w:rsidR="00302B8C">
        <w:rPr>
          <w:rFonts w:cs="Arial"/>
          <w:sz w:val="22"/>
          <w:szCs w:val="22"/>
          <w:lang w:val="fr-FR"/>
        </w:rPr>
        <w:t>volontaires du</w:t>
      </w:r>
      <w:r w:rsidR="00D9190E">
        <w:rPr>
          <w:rFonts w:cs="Arial"/>
          <w:sz w:val="22"/>
          <w:szCs w:val="22"/>
          <w:lang w:val="fr-FR"/>
        </w:rPr>
        <w:t xml:space="preserve"> </w:t>
      </w:r>
      <w:r w:rsidR="00AB348F" w:rsidRPr="00971318">
        <w:rPr>
          <w:rFonts w:cs="Arial"/>
          <w:sz w:val="22"/>
          <w:szCs w:val="22"/>
          <w:lang w:val="fr-FR"/>
        </w:rPr>
        <w:t>Go</w:t>
      </w:r>
      <w:r w:rsidR="00D9190E">
        <w:rPr>
          <w:rFonts w:cs="Arial"/>
          <w:sz w:val="22"/>
          <w:szCs w:val="22"/>
          <w:lang w:val="fr-FR"/>
        </w:rPr>
        <w:t>u</w:t>
      </w:r>
      <w:r w:rsidR="00AB348F" w:rsidRPr="00971318">
        <w:rPr>
          <w:rFonts w:cs="Arial"/>
          <w:sz w:val="22"/>
          <w:szCs w:val="22"/>
          <w:lang w:val="fr-FR"/>
        </w:rPr>
        <w:t>vern</w:t>
      </w:r>
      <w:r w:rsidR="00D9190E">
        <w:rPr>
          <w:rFonts w:cs="Arial"/>
          <w:sz w:val="22"/>
          <w:szCs w:val="22"/>
          <w:lang w:val="fr-FR"/>
        </w:rPr>
        <w:t>e</w:t>
      </w:r>
      <w:r w:rsidR="00AB348F" w:rsidRPr="00971318">
        <w:rPr>
          <w:rFonts w:cs="Arial"/>
          <w:sz w:val="22"/>
          <w:szCs w:val="22"/>
          <w:lang w:val="fr-FR"/>
        </w:rPr>
        <w:t xml:space="preserve">ment </w:t>
      </w:r>
      <w:r w:rsidR="00D9190E">
        <w:rPr>
          <w:rFonts w:cs="Arial"/>
          <w:sz w:val="22"/>
          <w:szCs w:val="22"/>
          <w:lang w:val="fr-FR"/>
        </w:rPr>
        <w:t xml:space="preserve">suisse et </w:t>
      </w:r>
      <w:r w:rsidR="00302B8C">
        <w:rPr>
          <w:rFonts w:cs="Arial"/>
          <w:sz w:val="22"/>
          <w:szCs w:val="22"/>
          <w:lang w:val="fr-FR"/>
        </w:rPr>
        <w:t xml:space="preserve">de </w:t>
      </w:r>
      <w:r w:rsidR="00D9190E">
        <w:rPr>
          <w:rFonts w:cs="Arial"/>
          <w:sz w:val="22"/>
          <w:szCs w:val="22"/>
          <w:lang w:val="fr-FR"/>
        </w:rPr>
        <w:t>la Fo</w:t>
      </w:r>
      <w:r w:rsidR="00AB348F" w:rsidRPr="00971318">
        <w:rPr>
          <w:rFonts w:cs="Arial"/>
          <w:sz w:val="22"/>
          <w:szCs w:val="22"/>
          <w:lang w:val="fr-FR"/>
        </w:rPr>
        <w:t>ndation</w:t>
      </w:r>
      <w:r w:rsidR="00302B8C">
        <w:rPr>
          <w:rFonts w:cs="Arial"/>
          <w:sz w:val="22"/>
          <w:szCs w:val="22"/>
          <w:lang w:val="fr-FR"/>
        </w:rPr>
        <w:t xml:space="preserve"> européenne </w:t>
      </w:r>
      <w:r w:rsidR="00F551EF">
        <w:rPr>
          <w:rFonts w:cs="Arial"/>
          <w:sz w:val="22"/>
          <w:szCs w:val="22"/>
          <w:lang w:val="fr-FR"/>
        </w:rPr>
        <w:t xml:space="preserve">de </w:t>
      </w:r>
      <w:r w:rsidR="00D9190E">
        <w:rPr>
          <w:rFonts w:cs="Arial"/>
          <w:sz w:val="22"/>
          <w:szCs w:val="22"/>
          <w:lang w:val="fr-FR"/>
        </w:rPr>
        <w:t>la science</w:t>
      </w:r>
      <w:r w:rsidR="00AB348F" w:rsidRPr="00971318">
        <w:rPr>
          <w:rFonts w:cs="Arial"/>
          <w:sz w:val="22"/>
          <w:szCs w:val="22"/>
          <w:lang w:val="fr-FR"/>
        </w:rPr>
        <w:t>.</w:t>
      </w:r>
    </w:p>
    <w:p w14:paraId="10BB3059" w14:textId="77777777" w:rsidR="00AB348F" w:rsidRPr="00971318" w:rsidRDefault="00AB348F" w:rsidP="00AB348F">
      <w:pPr>
        <w:pStyle w:val="ListParagraph"/>
        <w:rPr>
          <w:rFonts w:cs="Arial"/>
          <w:sz w:val="22"/>
          <w:szCs w:val="22"/>
          <w:lang w:val="fr-FR"/>
        </w:rPr>
      </w:pPr>
    </w:p>
    <w:p w14:paraId="1D66CC5A" w14:textId="72CCC721" w:rsidR="008627EF" w:rsidRPr="00D9190E" w:rsidRDefault="00D9190E" w:rsidP="008627EF">
      <w:pPr>
        <w:pStyle w:val="ListParagraph"/>
        <w:numPr>
          <w:ilvl w:val="0"/>
          <w:numId w:val="2"/>
        </w:numPr>
        <w:jc w:val="both"/>
        <w:rPr>
          <w:rFonts w:cs="Arial"/>
          <w:sz w:val="22"/>
          <w:szCs w:val="22"/>
          <w:lang w:val="fr-FR"/>
        </w:rPr>
      </w:pPr>
      <w:r w:rsidRPr="00D9190E">
        <w:rPr>
          <w:rFonts w:cs="Arial"/>
          <w:sz w:val="22"/>
          <w:szCs w:val="22"/>
          <w:lang w:val="fr-FR"/>
        </w:rPr>
        <w:t xml:space="preserve">La </w:t>
      </w:r>
      <w:r w:rsidR="00ED27C6">
        <w:rPr>
          <w:rFonts w:cs="Arial"/>
          <w:sz w:val="22"/>
          <w:szCs w:val="22"/>
          <w:lang w:val="fr-FR"/>
        </w:rPr>
        <w:t>résolution</w:t>
      </w:r>
      <w:r w:rsidR="008627EF" w:rsidRPr="00D9190E">
        <w:rPr>
          <w:rFonts w:cs="Arial"/>
          <w:sz w:val="22"/>
          <w:szCs w:val="22"/>
          <w:lang w:val="fr-FR"/>
        </w:rPr>
        <w:t xml:space="preserve"> 11.15</w:t>
      </w:r>
      <w:r w:rsidRPr="00D9190E">
        <w:rPr>
          <w:rFonts w:cs="Arial"/>
          <w:sz w:val="22"/>
          <w:szCs w:val="22"/>
          <w:lang w:val="fr-FR"/>
        </w:rPr>
        <w:t xml:space="preserve"> a été </w:t>
      </w:r>
      <w:r w:rsidR="008627EF" w:rsidRPr="00D9190E">
        <w:rPr>
          <w:rFonts w:cs="Arial"/>
          <w:sz w:val="22"/>
          <w:szCs w:val="22"/>
          <w:lang w:val="fr-FR"/>
        </w:rPr>
        <w:t>adopt</w:t>
      </w:r>
      <w:r w:rsidR="005D6611">
        <w:rPr>
          <w:rFonts w:cs="Arial"/>
          <w:sz w:val="22"/>
          <w:szCs w:val="22"/>
          <w:lang w:val="fr-FR"/>
        </w:rPr>
        <w:t>ée par la</w:t>
      </w:r>
      <w:r w:rsidR="00DB204E" w:rsidRPr="00D9190E">
        <w:rPr>
          <w:rFonts w:cs="Arial"/>
          <w:sz w:val="22"/>
          <w:szCs w:val="22"/>
          <w:lang w:val="fr-FR"/>
        </w:rPr>
        <w:t xml:space="preserve"> Conférence des Parties</w:t>
      </w:r>
      <w:r w:rsidR="008627EF" w:rsidRPr="00D9190E">
        <w:rPr>
          <w:rFonts w:cs="Arial"/>
          <w:sz w:val="22"/>
          <w:szCs w:val="22"/>
          <w:lang w:val="fr-FR"/>
        </w:rPr>
        <w:t xml:space="preserve"> </w:t>
      </w:r>
      <w:r>
        <w:rPr>
          <w:rFonts w:cs="Arial"/>
          <w:sz w:val="22"/>
          <w:szCs w:val="22"/>
          <w:lang w:val="fr-FR"/>
        </w:rPr>
        <w:t>à la CMS</w:t>
      </w:r>
      <w:r w:rsidR="005D6611">
        <w:rPr>
          <w:rFonts w:cs="Arial"/>
          <w:sz w:val="22"/>
          <w:szCs w:val="22"/>
          <w:lang w:val="fr-FR"/>
        </w:rPr>
        <w:t xml:space="preserve"> </w:t>
      </w:r>
      <w:r w:rsidRPr="00D9190E">
        <w:rPr>
          <w:rFonts w:cs="Arial"/>
          <w:sz w:val="22"/>
          <w:szCs w:val="22"/>
          <w:lang w:val="fr-FR"/>
        </w:rPr>
        <w:t xml:space="preserve">à </w:t>
      </w:r>
      <w:r>
        <w:rPr>
          <w:rFonts w:cs="Arial"/>
          <w:sz w:val="22"/>
          <w:szCs w:val="22"/>
          <w:lang w:val="fr-FR"/>
        </w:rPr>
        <w:t>Quito</w:t>
      </w:r>
      <w:r w:rsidR="005D6611">
        <w:rPr>
          <w:rFonts w:cs="Arial"/>
          <w:sz w:val="22"/>
          <w:szCs w:val="22"/>
          <w:lang w:val="fr-FR"/>
        </w:rPr>
        <w:t>,</w:t>
      </w:r>
      <w:r>
        <w:rPr>
          <w:rFonts w:cs="Arial"/>
          <w:sz w:val="22"/>
          <w:szCs w:val="22"/>
          <w:lang w:val="fr-FR"/>
        </w:rPr>
        <w:t xml:space="preserve"> en novemb</w:t>
      </w:r>
      <w:r w:rsidR="008627EF" w:rsidRPr="00D9190E">
        <w:rPr>
          <w:rFonts w:cs="Arial"/>
          <w:sz w:val="22"/>
          <w:szCs w:val="22"/>
          <w:lang w:val="fr-FR"/>
        </w:rPr>
        <w:t>r</w:t>
      </w:r>
      <w:r>
        <w:rPr>
          <w:rFonts w:cs="Arial"/>
          <w:sz w:val="22"/>
          <w:szCs w:val="22"/>
          <w:lang w:val="fr-FR"/>
        </w:rPr>
        <w:t>e</w:t>
      </w:r>
      <w:r w:rsidR="008627EF" w:rsidRPr="00D9190E">
        <w:rPr>
          <w:rFonts w:cs="Arial"/>
          <w:sz w:val="22"/>
          <w:szCs w:val="22"/>
          <w:lang w:val="fr-FR"/>
        </w:rPr>
        <w:t xml:space="preserve"> 2014</w:t>
      </w:r>
      <w:r w:rsidR="005D6611">
        <w:rPr>
          <w:rFonts w:cs="Arial"/>
          <w:sz w:val="22"/>
          <w:szCs w:val="22"/>
          <w:lang w:val="fr-FR"/>
        </w:rPr>
        <w:t xml:space="preserve">, y compris </w:t>
      </w:r>
      <w:r>
        <w:rPr>
          <w:rFonts w:cs="Arial"/>
          <w:sz w:val="22"/>
          <w:szCs w:val="22"/>
          <w:lang w:val="fr-FR"/>
        </w:rPr>
        <w:t xml:space="preserve">son annexe </w:t>
      </w:r>
      <w:r w:rsidR="005D6611">
        <w:rPr>
          <w:rFonts w:cs="Arial"/>
          <w:sz w:val="22"/>
          <w:szCs w:val="22"/>
          <w:lang w:val="fr-FR"/>
        </w:rPr>
        <w:t xml:space="preserve">intitulée </w:t>
      </w:r>
      <w:r w:rsidR="005713B1" w:rsidRPr="00D9190E">
        <w:rPr>
          <w:rFonts w:cs="Arial"/>
          <w:sz w:val="22"/>
          <w:szCs w:val="22"/>
          <w:lang w:val="fr-FR"/>
        </w:rPr>
        <w:t>“</w:t>
      </w:r>
      <w:r>
        <w:rPr>
          <w:rFonts w:cs="Arial"/>
          <w:sz w:val="22"/>
          <w:szCs w:val="22"/>
          <w:lang w:val="fr-FR"/>
        </w:rPr>
        <w:t>Lignes directrices</w:t>
      </w:r>
      <w:r w:rsidR="008627EF" w:rsidRPr="00D9190E">
        <w:rPr>
          <w:rFonts w:cs="Arial"/>
          <w:sz w:val="22"/>
          <w:szCs w:val="22"/>
          <w:lang w:val="fr-FR"/>
        </w:rPr>
        <w:t xml:space="preserve"> </w:t>
      </w:r>
      <w:r>
        <w:rPr>
          <w:rFonts w:cs="Arial"/>
          <w:sz w:val="22"/>
          <w:szCs w:val="22"/>
          <w:lang w:val="fr-FR"/>
        </w:rPr>
        <w:t>pour prévenir</w:t>
      </w:r>
      <w:r w:rsidR="008627EF" w:rsidRPr="00D9190E">
        <w:rPr>
          <w:rFonts w:cs="Arial"/>
          <w:bCs/>
          <w:sz w:val="22"/>
          <w:szCs w:val="22"/>
          <w:lang w:val="fr-FR"/>
        </w:rPr>
        <w:t xml:space="preserve"> </w:t>
      </w:r>
      <w:r>
        <w:rPr>
          <w:rFonts w:cs="Arial"/>
          <w:bCs/>
          <w:sz w:val="22"/>
          <w:szCs w:val="22"/>
          <w:lang w:val="fr-FR"/>
        </w:rPr>
        <w:t>le</w:t>
      </w:r>
      <w:r w:rsidR="005D6611">
        <w:rPr>
          <w:rFonts w:cs="Arial"/>
          <w:bCs/>
          <w:sz w:val="22"/>
          <w:szCs w:val="22"/>
          <w:lang w:val="fr-FR"/>
        </w:rPr>
        <w:t>s</w:t>
      </w:r>
      <w:r>
        <w:rPr>
          <w:rFonts w:cs="Arial"/>
          <w:bCs/>
          <w:sz w:val="22"/>
          <w:szCs w:val="22"/>
          <w:lang w:val="fr-FR"/>
        </w:rPr>
        <w:t xml:space="preserve"> </w:t>
      </w:r>
      <w:r w:rsidR="00DB204E" w:rsidRPr="00D9190E">
        <w:rPr>
          <w:rFonts w:cs="Arial"/>
          <w:bCs/>
          <w:sz w:val="22"/>
          <w:szCs w:val="22"/>
          <w:lang w:val="fr-FR"/>
        </w:rPr>
        <w:t>risque</w:t>
      </w:r>
      <w:r w:rsidR="005D6611">
        <w:rPr>
          <w:rFonts w:cs="Arial"/>
          <w:bCs/>
          <w:sz w:val="22"/>
          <w:szCs w:val="22"/>
          <w:lang w:val="fr-FR"/>
        </w:rPr>
        <w:t>s</w:t>
      </w:r>
      <w:r w:rsidR="00DB204E" w:rsidRPr="00D9190E">
        <w:rPr>
          <w:rFonts w:cs="Arial"/>
          <w:bCs/>
          <w:sz w:val="22"/>
          <w:szCs w:val="22"/>
          <w:lang w:val="fr-FR"/>
        </w:rPr>
        <w:t xml:space="preserve"> d’empoisonnement</w:t>
      </w:r>
      <w:r>
        <w:rPr>
          <w:rFonts w:cs="Arial"/>
          <w:bCs/>
          <w:sz w:val="22"/>
          <w:szCs w:val="22"/>
          <w:lang w:val="fr-FR"/>
        </w:rPr>
        <w:t xml:space="preserve"> des o</w:t>
      </w:r>
      <w:r w:rsidR="00DB204E" w:rsidRPr="00D9190E">
        <w:rPr>
          <w:rFonts w:cs="Arial"/>
          <w:bCs/>
          <w:sz w:val="22"/>
          <w:szCs w:val="22"/>
          <w:lang w:val="fr-FR"/>
        </w:rPr>
        <w:t>iseaux migrateurs</w:t>
      </w:r>
      <w:r w:rsidR="005713B1" w:rsidRPr="00D9190E">
        <w:rPr>
          <w:rFonts w:cs="Arial"/>
          <w:bCs/>
          <w:sz w:val="22"/>
          <w:szCs w:val="22"/>
          <w:lang w:val="fr-FR"/>
        </w:rPr>
        <w:t>”</w:t>
      </w:r>
      <w:r>
        <w:rPr>
          <w:rFonts w:cs="Arial"/>
          <w:bCs/>
          <w:sz w:val="22"/>
          <w:szCs w:val="22"/>
          <w:lang w:val="fr-FR"/>
        </w:rPr>
        <w:t xml:space="preserve"> (</w:t>
      </w:r>
      <w:r w:rsidR="005D6611">
        <w:rPr>
          <w:rFonts w:cs="Arial"/>
          <w:bCs/>
          <w:sz w:val="22"/>
          <w:szCs w:val="22"/>
          <w:lang w:val="fr-FR"/>
        </w:rPr>
        <w:t>ci-après « </w:t>
      </w:r>
      <w:r>
        <w:rPr>
          <w:rFonts w:cs="Arial"/>
          <w:bCs/>
          <w:sz w:val="22"/>
          <w:szCs w:val="22"/>
          <w:lang w:val="fr-FR"/>
        </w:rPr>
        <w:t>Lignes directrices</w:t>
      </w:r>
      <w:r w:rsidR="005D6611">
        <w:rPr>
          <w:rFonts w:cs="Arial"/>
          <w:bCs/>
          <w:sz w:val="22"/>
          <w:szCs w:val="22"/>
          <w:lang w:val="fr-FR"/>
        </w:rPr>
        <w:t> »</w:t>
      </w:r>
      <w:r w:rsidR="00502375" w:rsidRPr="00D9190E">
        <w:rPr>
          <w:rFonts w:cs="Arial"/>
          <w:bCs/>
          <w:sz w:val="22"/>
          <w:szCs w:val="22"/>
          <w:lang w:val="fr-FR"/>
        </w:rPr>
        <w:t>)</w:t>
      </w:r>
      <w:r>
        <w:rPr>
          <w:rFonts w:cs="Arial"/>
          <w:bCs/>
          <w:sz w:val="22"/>
          <w:szCs w:val="22"/>
          <w:lang w:val="fr-FR"/>
        </w:rPr>
        <w:t xml:space="preserve"> et</w:t>
      </w:r>
      <w:r w:rsidR="00754822" w:rsidRPr="00D9190E">
        <w:rPr>
          <w:rFonts w:cs="Arial"/>
          <w:bCs/>
          <w:sz w:val="22"/>
          <w:szCs w:val="22"/>
          <w:lang w:val="fr-FR"/>
        </w:rPr>
        <w:t xml:space="preserve"> </w:t>
      </w:r>
      <w:r w:rsidR="00754822" w:rsidRPr="00D9190E">
        <w:rPr>
          <w:rFonts w:cs="Arial"/>
          <w:color w:val="000000"/>
          <w:sz w:val="22"/>
          <w:szCs w:val="22"/>
          <w:lang w:val="fr-FR"/>
        </w:rPr>
        <w:t>“</w:t>
      </w:r>
      <w:r>
        <w:rPr>
          <w:rFonts w:cs="Arial"/>
          <w:color w:val="000000"/>
          <w:sz w:val="22"/>
          <w:szCs w:val="22"/>
          <w:lang w:val="fr-FR"/>
        </w:rPr>
        <w:t>L’analyse des effets écologiques de l’</w:t>
      </w:r>
      <w:r w:rsidR="00DB204E" w:rsidRPr="00D9190E">
        <w:rPr>
          <w:rFonts w:cs="Arial"/>
          <w:color w:val="000000"/>
          <w:sz w:val="22"/>
          <w:szCs w:val="22"/>
          <w:lang w:val="fr-FR"/>
        </w:rPr>
        <w:t>empoisonnement</w:t>
      </w:r>
      <w:r w:rsidR="005D6611">
        <w:rPr>
          <w:rFonts w:cs="Arial"/>
          <w:color w:val="000000"/>
          <w:sz w:val="22"/>
          <w:szCs w:val="22"/>
          <w:lang w:val="fr-FR"/>
        </w:rPr>
        <w:t xml:space="preserve"> sur l</w:t>
      </w:r>
      <w:r>
        <w:rPr>
          <w:rFonts w:cs="Arial"/>
          <w:color w:val="000000"/>
          <w:sz w:val="22"/>
          <w:szCs w:val="22"/>
          <w:lang w:val="fr-FR"/>
        </w:rPr>
        <w:t xml:space="preserve">es </w:t>
      </w:r>
      <w:r w:rsidR="00DB204E" w:rsidRPr="00D9190E">
        <w:rPr>
          <w:rFonts w:cs="Arial"/>
          <w:color w:val="000000"/>
          <w:sz w:val="22"/>
          <w:szCs w:val="22"/>
          <w:lang w:val="fr-FR"/>
        </w:rPr>
        <w:t>oiseaux migrateurs</w:t>
      </w:r>
      <w:r w:rsidR="00754822" w:rsidRPr="00D9190E">
        <w:rPr>
          <w:rFonts w:cs="Arial"/>
          <w:color w:val="000000"/>
          <w:sz w:val="22"/>
          <w:szCs w:val="22"/>
          <w:lang w:val="fr-FR"/>
        </w:rPr>
        <w:t xml:space="preserve">” (UNEP/CMS/COP11/Inf.34), </w:t>
      </w:r>
      <w:r>
        <w:rPr>
          <w:rFonts w:cs="Arial"/>
          <w:color w:val="000000"/>
          <w:sz w:val="22"/>
          <w:szCs w:val="22"/>
          <w:lang w:val="fr-FR"/>
        </w:rPr>
        <w:t xml:space="preserve">qui avaient été préparées par les membres du </w:t>
      </w:r>
      <w:r w:rsidR="00302B8C">
        <w:rPr>
          <w:rFonts w:cs="Arial"/>
          <w:color w:val="000000"/>
          <w:sz w:val="22"/>
          <w:szCs w:val="22"/>
          <w:lang w:val="fr-FR"/>
        </w:rPr>
        <w:t>GTPE</w:t>
      </w:r>
      <w:r w:rsidR="00754822" w:rsidRPr="00D9190E">
        <w:rPr>
          <w:rFonts w:cs="Arial"/>
          <w:color w:val="000000"/>
          <w:sz w:val="22"/>
          <w:szCs w:val="22"/>
          <w:lang w:val="fr-FR"/>
        </w:rPr>
        <w:t xml:space="preserve"> </w:t>
      </w:r>
      <w:r>
        <w:rPr>
          <w:rFonts w:cs="Arial"/>
          <w:color w:val="000000"/>
          <w:sz w:val="22"/>
          <w:szCs w:val="22"/>
          <w:lang w:val="fr-FR"/>
        </w:rPr>
        <w:t>et le Secrétariat de la CMS</w:t>
      </w:r>
      <w:r w:rsidR="00754822" w:rsidRPr="00D9190E">
        <w:rPr>
          <w:rFonts w:cs="Arial"/>
          <w:bCs/>
          <w:sz w:val="22"/>
          <w:szCs w:val="22"/>
          <w:lang w:val="fr-FR"/>
        </w:rPr>
        <w:t xml:space="preserve">. </w:t>
      </w:r>
      <w:r w:rsidRPr="00D9190E">
        <w:rPr>
          <w:rFonts w:cs="Arial"/>
          <w:bCs/>
          <w:sz w:val="22"/>
          <w:szCs w:val="22"/>
          <w:lang w:val="fr-FR"/>
        </w:rPr>
        <w:t xml:space="preserve">La </w:t>
      </w:r>
      <w:r w:rsidR="00ED27C6">
        <w:rPr>
          <w:rFonts w:cs="Arial"/>
          <w:bCs/>
          <w:sz w:val="22"/>
          <w:szCs w:val="22"/>
          <w:lang w:val="fr-FR"/>
        </w:rPr>
        <w:t>résolution</w:t>
      </w:r>
      <w:r w:rsidR="00754822" w:rsidRPr="00D9190E">
        <w:rPr>
          <w:rFonts w:cs="Arial"/>
          <w:bCs/>
          <w:sz w:val="22"/>
          <w:szCs w:val="22"/>
          <w:lang w:val="fr-FR"/>
        </w:rPr>
        <w:t xml:space="preserve"> 11.15</w:t>
      </w:r>
      <w:r w:rsidR="008627EF" w:rsidRPr="00D9190E">
        <w:rPr>
          <w:rFonts w:cs="Arial"/>
          <w:sz w:val="22"/>
          <w:szCs w:val="22"/>
          <w:lang w:val="fr-FR"/>
        </w:rPr>
        <w:t xml:space="preserve"> </w:t>
      </w:r>
      <w:r w:rsidR="005D6611">
        <w:rPr>
          <w:rFonts w:cs="Arial"/>
          <w:sz w:val="22"/>
          <w:szCs w:val="22"/>
          <w:lang w:val="fr-FR"/>
        </w:rPr>
        <w:t>demande</w:t>
      </w:r>
      <w:r w:rsidRPr="00D9190E">
        <w:rPr>
          <w:rFonts w:cs="Arial"/>
          <w:sz w:val="22"/>
          <w:szCs w:val="22"/>
          <w:lang w:val="fr-FR"/>
        </w:rPr>
        <w:t xml:space="preserve"> au </w:t>
      </w:r>
      <w:r w:rsidR="00302B8C">
        <w:rPr>
          <w:rFonts w:cs="Arial"/>
          <w:sz w:val="22"/>
          <w:szCs w:val="22"/>
          <w:lang w:val="fr-FR"/>
        </w:rPr>
        <w:t>GTPE</w:t>
      </w:r>
      <w:r w:rsidRPr="00D9190E">
        <w:rPr>
          <w:rFonts w:cs="Arial"/>
          <w:sz w:val="22"/>
          <w:szCs w:val="22"/>
          <w:lang w:val="fr-FR"/>
        </w:rPr>
        <w:t xml:space="preserve"> de poursuivre ses travaux</w:t>
      </w:r>
      <w:r>
        <w:rPr>
          <w:rFonts w:cs="Arial"/>
          <w:sz w:val="22"/>
          <w:szCs w:val="22"/>
          <w:lang w:val="fr-FR"/>
        </w:rPr>
        <w:t xml:space="preserve"> dans le cadre de son mandat</w:t>
      </w:r>
      <w:r w:rsidR="00357D1D" w:rsidRPr="00D9190E">
        <w:rPr>
          <w:rFonts w:cs="Arial"/>
          <w:sz w:val="22"/>
          <w:szCs w:val="22"/>
          <w:lang w:val="fr-FR"/>
        </w:rPr>
        <w:t xml:space="preserve"> </w:t>
      </w:r>
      <w:r w:rsidR="005D6611">
        <w:rPr>
          <w:rFonts w:cs="Arial"/>
          <w:sz w:val="22"/>
          <w:szCs w:val="22"/>
          <w:lang w:val="fr-FR"/>
        </w:rPr>
        <w:t xml:space="preserve">énoncé </w:t>
      </w:r>
      <w:r>
        <w:rPr>
          <w:rFonts w:cs="Arial"/>
          <w:sz w:val="22"/>
          <w:szCs w:val="22"/>
          <w:lang w:val="fr-FR"/>
        </w:rPr>
        <w:t xml:space="preserve">dans l’annexe à cette </w:t>
      </w:r>
      <w:r w:rsidR="00DB204E" w:rsidRPr="00D9190E">
        <w:rPr>
          <w:rFonts w:cs="Arial"/>
          <w:sz w:val="22"/>
          <w:szCs w:val="22"/>
          <w:lang w:val="fr-FR"/>
        </w:rPr>
        <w:t>résolution</w:t>
      </w:r>
      <w:r w:rsidR="00357D1D" w:rsidRPr="00D9190E">
        <w:rPr>
          <w:rFonts w:cs="Arial"/>
          <w:sz w:val="22"/>
          <w:szCs w:val="22"/>
          <w:lang w:val="fr-FR"/>
        </w:rPr>
        <w:t xml:space="preserve">. </w:t>
      </w:r>
      <w:r w:rsidRPr="00D9190E">
        <w:rPr>
          <w:rFonts w:cs="Arial"/>
          <w:sz w:val="22"/>
          <w:szCs w:val="22"/>
          <w:lang w:val="fr-FR"/>
        </w:rPr>
        <w:t>Elle deman</w:t>
      </w:r>
      <w:r w:rsidR="005D6611">
        <w:rPr>
          <w:rFonts w:cs="Arial"/>
          <w:sz w:val="22"/>
          <w:szCs w:val="22"/>
          <w:lang w:val="fr-FR"/>
        </w:rPr>
        <w:t xml:space="preserve">de aussi de constituer des groupes </w:t>
      </w:r>
      <w:r w:rsidR="00F43BD3">
        <w:rPr>
          <w:rFonts w:cs="Arial"/>
          <w:sz w:val="22"/>
          <w:szCs w:val="22"/>
          <w:lang w:val="fr-FR"/>
        </w:rPr>
        <w:t>spéciaux</w:t>
      </w:r>
      <w:r>
        <w:rPr>
          <w:rFonts w:cs="Arial"/>
          <w:sz w:val="22"/>
          <w:szCs w:val="22"/>
          <w:lang w:val="fr-FR"/>
        </w:rPr>
        <w:t xml:space="preserve"> </w:t>
      </w:r>
      <w:r w:rsidRPr="00D9190E">
        <w:rPr>
          <w:rFonts w:cs="Arial"/>
          <w:sz w:val="22"/>
          <w:szCs w:val="22"/>
          <w:lang w:val="fr-FR"/>
        </w:rPr>
        <w:t xml:space="preserve">au sein du </w:t>
      </w:r>
      <w:r w:rsidR="00302B8C">
        <w:rPr>
          <w:rFonts w:cs="Arial"/>
          <w:sz w:val="22"/>
          <w:szCs w:val="22"/>
          <w:lang w:val="fr-FR"/>
        </w:rPr>
        <w:t>GTPE</w:t>
      </w:r>
      <w:r w:rsidR="005D6611">
        <w:rPr>
          <w:rFonts w:cs="Arial"/>
          <w:sz w:val="22"/>
          <w:szCs w:val="22"/>
          <w:lang w:val="fr-FR"/>
        </w:rPr>
        <w:t>, chargés d’</w:t>
      </w:r>
      <w:r w:rsidRPr="00D9190E">
        <w:rPr>
          <w:rFonts w:cs="Arial"/>
          <w:sz w:val="22"/>
          <w:szCs w:val="22"/>
          <w:lang w:val="fr-FR"/>
        </w:rPr>
        <w:t xml:space="preserve">examiner des questions </w:t>
      </w:r>
      <w:r>
        <w:rPr>
          <w:rFonts w:cs="Arial"/>
          <w:sz w:val="22"/>
          <w:szCs w:val="22"/>
          <w:lang w:val="fr-FR"/>
        </w:rPr>
        <w:t>thématiques (diffé</w:t>
      </w:r>
      <w:r w:rsidR="008627EF" w:rsidRPr="00D9190E">
        <w:rPr>
          <w:rFonts w:cs="Arial"/>
          <w:sz w:val="22"/>
          <w:szCs w:val="22"/>
          <w:lang w:val="fr-FR"/>
        </w:rPr>
        <w:t>rent</w:t>
      </w:r>
      <w:r>
        <w:rPr>
          <w:rFonts w:cs="Arial"/>
          <w:sz w:val="22"/>
          <w:szCs w:val="22"/>
          <w:lang w:val="fr-FR"/>
        </w:rPr>
        <w:t xml:space="preserve">s </w:t>
      </w:r>
      <w:r w:rsidR="008627EF" w:rsidRPr="00D9190E">
        <w:rPr>
          <w:rFonts w:cs="Arial"/>
          <w:sz w:val="22"/>
          <w:szCs w:val="22"/>
          <w:lang w:val="fr-FR"/>
        </w:rPr>
        <w:t>types</w:t>
      </w:r>
      <w:r>
        <w:rPr>
          <w:rFonts w:cs="Arial"/>
          <w:sz w:val="22"/>
          <w:szCs w:val="22"/>
          <w:lang w:val="fr-FR"/>
        </w:rPr>
        <w:t xml:space="preserve"> de poison par exemple) et/ou</w:t>
      </w:r>
      <w:r w:rsidR="008627EF" w:rsidRPr="00D9190E">
        <w:rPr>
          <w:rFonts w:cs="Arial"/>
          <w:sz w:val="22"/>
          <w:szCs w:val="22"/>
          <w:lang w:val="fr-FR"/>
        </w:rPr>
        <w:t xml:space="preserve"> </w:t>
      </w:r>
      <w:r>
        <w:rPr>
          <w:rFonts w:cs="Arial"/>
          <w:sz w:val="22"/>
          <w:szCs w:val="22"/>
          <w:lang w:val="fr-FR"/>
        </w:rPr>
        <w:t>d</w:t>
      </w:r>
      <w:r w:rsidR="005D6611">
        <w:rPr>
          <w:rFonts w:cs="Arial"/>
          <w:sz w:val="22"/>
          <w:szCs w:val="22"/>
          <w:lang w:val="fr-FR"/>
        </w:rPr>
        <w:t xml:space="preserve">es régions géographiques, pour pouvoir </w:t>
      </w:r>
      <w:r>
        <w:rPr>
          <w:rFonts w:cs="Arial"/>
          <w:sz w:val="22"/>
          <w:szCs w:val="22"/>
          <w:lang w:val="fr-FR"/>
        </w:rPr>
        <w:t>avancer dans ses travaux, et d’organis</w:t>
      </w:r>
      <w:r w:rsidR="008627EF" w:rsidRPr="00D9190E">
        <w:rPr>
          <w:rFonts w:cs="Arial"/>
          <w:sz w:val="22"/>
          <w:szCs w:val="22"/>
          <w:lang w:val="fr-FR"/>
        </w:rPr>
        <w:t>e</w:t>
      </w:r>
      <w:r>
        <w:rPr>
          <w:rFonts w:cs="Arial"/>
          <w:sz w:val="22"/>
          <w:szCs w:val="22"/>
          <w:lang w:val="fr-FR"/>
        </w:rPr>
        <w:t xml:space="preserve">r des </w:t>
      </w:r>
      <w:r w:rsidR="00971318" w:rsidRPr="00D9190E">
        <w:rPr>
          <w:rFonts w:cs="Arial"/>
          <w:sz w:val="22"/>
          <w:szCs w:val="22"/>
          <w:lang w:val="fr-FR"/>
        </w:rPr>
        <w:t>atelier</w:t>
      </w:r>
      <w:r w:rsidR="008627EF" w:rsidRPr="00D9190E">
        <w:rPr>
          <w:rFonts w:cs="Arial"/>
          <w:sz w:val="22"/>
          <w:szCs w:val="22"/>
          <w:lang w:val="fr-FR"/>
        </w:rPr>
        <w:t xml:space="preserve">s </w:t>
      </w:r>
      <w:r>
        <w:rPr>
          <w:rFonts w:cs="Arial"/>
          <w:sz w:val="22"/>
          <w:szCs w:val="22"/>
          <w:lang w:val="fr-FR"/>
        </w:rPr>
        <w:t xml:space="preserve">régionaux dans des zones ou </w:t>
      </w:r>
      <w:r w:rsidR="005D6611">
        <w:rPr>
          <w:rFonts w:cs="Arial"/>
          <w:sz w:val="22"/>
          <w:szCs w:val="22"/>
          <w:lang w:val="fr-FR"/>
        </w:rPr>
        <w:t>voies</w:t>
      </w:r>
      <w:r>
        <w:rPr>
          <w:rFonts w:cs="Arial"/>
          <w:sz w:val="22"/>
          <w:szCs w:val="22"/>
          <w:lang w:val="fr-FR"/>
        </w:rPr>
        <w:t xml:space="preserve"> de migration à </w:t>
      </w:r>
      <w:r w:rsidR="005D6611">
        <w:rPr>
          <w:rFonts w:cs="Arial"/>
          <w:sz w:val="22"/>
          <w:szCs w:val="22"/>
          <w:lang w:val="fr-FR"/>
        </w:rPr>
        <w:t>haut risque, en vue de faciliter</w:t>
      </w:r>
      <w:r>
        <w:rPr>
          <w:rFonts w:cs="Arial"/>
          <w:sz w:val="22"/>
          <w:szCs w:val="22"/>
          <w:lang w:val="fr-FR"/>
        </w:rPr>
        <w:t xml:space="preserve"> la mise en œuvre des </w:t>
      </w:r>
      <w:r w:rsidRPr="00D9190E">
        <w:rPr>
          <w:rFonts w:cs="Arial"/>
          <w:sz w:val="22"/>
          <w:szCs w:val="22"/>
          <w:lang w:val="fr-FR"/>
        </w:rPr>
        <w:t>Lignes directrices</w:t>
      </w:r>
      <w:r w:rsidR="008627EF" w:rsidRPr="00D9190E">
        <w:rPr>
          <w:rFonts w:cs="Arial"/>
          <w:sz w:val="22"/>
          <w:szCs w:val="22"/>
          <w:lang w:val="fr-FR"/>
        </w:rPr>
        <w:t>.</w:t>
      </w:r>
    </w:p>
    <w:p w14:paraId="0BBA5983" w14:textId="77777777" w:rsidR="00786BD3" w:rsidRPr="00D9190E" w:rsidRDefault="00786BD3" w:rsidP="00786BD3">
      <w:pPr>
        <w:jc w:val="both"/>
        <w:rPr>
          <w:rFonts w:cs="Arial"/>
          <w:sz w:val="22"/>
          <w:szCs w:val="22"/>
          <w:lang w:val="fr-FR"/>
        </w:rPr>
      </w:pPr>
    </w:p>
    <w:p w14:paraId="0708AEA4" w14:textId="53D67162" w:rsidR="00786BD3" w:rsidRPr="00D928F5" w:rsidRDefault="00D9190E" w:rsidP="00786BD3">
      <w:pPr>
        <w:pStyle w:val="ListParagraph"/>
        <w:numPr>
          <w:ilvl w:val="0"/>
          <w:numId w:val="2"/>
        </w:numPr>
        <w:jc w:val="both"/>
        <w:rPr>
          <w:rFonts w:cs="Arial"/>
          <w:sz w:val="22"/>
          <w:szCs w:val="22"/>
          <w:lang w:val="fr-FR"/>
        </w:rPr>
      </w:pPr>
      <w:r w:rsidRPr="00D928F5">
        <w:rPr>
          <w:rFonts w:cs="Arial"/>
          <w:sz w:val="22"/>
          <w:szCs w:val="22"/>
          <w:lang w:val="fr-FR"/>
        </w:rPr>
        <w:t>Un a</w:t>
      </w:r>
      <w:r w:rsidR="00971318" w:rsidRPr="00D928F5">
        <w:rPr>
          <w:rFonts w:cs="Arial"/>
          <w:bCs/>
          <w:sz w:val="22"/>
          <w:szCs w:val="22"/>
          <w:lang w:val="fr-FR"/>
        </w:rPr>
        <w:t>telier</w:t>
      </w:r>
      <w:r w:rsidRPr="00D928F5">
        <w:rPr>
          <w:rFonts w:cs="Arial"/>
          <w:bCs/>
          <w:sz w:val="22"/>
          <w:szCs w:val="22"/>
          <w:lang w:val="fr-FR"/>
        </w:rPr>
        <w:t xml:space="preserve"> régional sur la prévention</w:t>
      </w:r>
      <w:r w:rsidR="00A04CC9" w:rsidRPr="00D928F5">
        <w:rPr>
          <w:rFonts w:cs="Arial"/>
          <w:bCs/>
          <w:sz w:val="22"/>
          <w:szCs w:val="22"/>
          <w:lang w:val="fr-FR"/>
        </w:rPr>
        <w:t xml:space="preserve"> </w:t>
      </w:r>
      <w:r w:rsidRPr="00D928F5">
        <w:rPr>
          <w:rFonts w:cs="Arial"/>
          <w:bCs/>
          <w:sz w:val="22"/>
          <w:szCs w:val="22"/>
          <w:lang w:val="fr-FR"/>
        </w:rPr>
        <w:t>de l</w:t>
      </w:r>
      <w:r w:rsidR="00DB204E" w:rsidRPr="00D928F5">
        <w:rPr>
          <w:rFonts w:cs="Arial"/>
          <w:bCs/>
          <w:sz w:val="22"/>
          <w:szCs w:val="22"/>
          <w:lang w:val="fr-FR"/>
        </w:rPr>
        <w:t>’empoisonnement</w:t>
      </w:r>
      <w:r w:rsidRPr="00D928F5">
        <w:rPr>
          <w:rFonts w:cs="Arial"/>
          <w:bCs/>
          <w:sz w:val="22"/>
          <w:szCs w:val="22"/>
          <w:lang w:val="fr-FR"/>
        </w:rPr>
        <w:t xml:space="preserve"> des o</w:t>
      </w:r>
      <w:r w:rsidR="00DB204E" w:rsidRPr="00D928F5">
        <w:rPr>
          <w:rFonts w:cs="Arial"/>
          <w:bCs/>
          <w:sz w:val="22"/>
          <w:szCs w:val="22"/>
          <w:lang w:val="fr-FR"/>
        </w:rPr>
        <w:t>iseaux migrateurs</w:t>
      </w:r>
      <w:r w:rsidR="00A04CC9" w:rsidRPr="00D928F5">
        <w:rPr>
          <w:rFonts w:cs="Arial"/>
          <w:bCs/>
          <w:sz w:val="22"/>
          <w:szCs w:val="22"/>
          <w:lang w:val="fr-FR"/>
        </w:rPr>
        <w:t xml:space="preserve"> </w:t>
      </w:r>
      <w:r w:rsidR="005D6611">
        <w:rPr>
          <w:rFonts w:cs="Arial"/>
          <w:bCs/>
          <w:sz w:val="22"/>
          <w:szCs w:val="22"/>
          <w:lang w:val="fr-FR"/>
        </w:rPr>
        <w:t xml:space="preserve">s’est découlé à Cape </w:t>
      </w:r>
      <w:proofErr w:type="spellStart"/>
      <w:r w:rsidR="005D6611">
        <w:rPr>
          <w:rFonts w:cs="Arial"/>
          <w:bCs/>
          <w:sz w:val="22"/>
          <w:szCs w:val="22"/>
          <w:lang w:val="fr-FR"/>
        </w:rPr>
        <w:t>Town</w:t>
      </w:r>
      <w:proofErr w:type="spellEnd"/>
      <w:r w:rsidRPr="00D928F5">
        <w:rPr>
          <w:rFonts w:cs="Arial"/>
          <w:bCs/>
          <w:sz w:val="22"/>
          <w:szCs w:val="22"/>
          <w:lang w:val="fr-FR"/>
        </w:rPr>
        <w:t xml:space="preserve"> (Afrique du Sud), le</w:t>
      </w:r>
      <w:r w:rsidR="00A04CC9" w:rsidRPr="00D928F5">
        <w:rPr>
          <w:rFonts w:cs="Arial"/>
          <w:bCs/>
          <w:sz w:val="22"/>
          <w:szCs w:val="22"/>
          <w:lang w:val="fr-FR"/>
        </w:rPr>
        <w:t xml:space="preserve"> </w:t>
      </w:r>
      <w:r w:rsidRPr="00D928F5">
        <w:rPr>
          <w:rFonts w:cs="Arial"/>
          <w:bCs/>
          <w:sz w:val="22"/>
          <w:szCs w:val="22"/>
          <w:lang w:val="fr-FR"/>
        </w:rPr>
        <w:t>24 aoû</w:t>
      </w:r>
      <w:r w:rsidR="00A04CC9" w:rsidRPr="00D928F5">
        <w:rPr>
          <w:rFonts w:cs="Arial"/>
          <w:bCs/>
          <w:sz w:val="22"/>
          <w:szCs w:val="22"/>
          <w:lang w:val="fr-FR"/>
        </w:rPr>
        <w:t>t 2015</w:t>
      </w:r>
      <w:r w:rsidRPr="00D928F5">
        <w:rPr>
          <w:rFonts w:cs="Arial"/>
          <w:bCs/>
          <w:sz w:val="22"/>
          <w:szCs w:val="22"/>
          <w:lang w:val="fr-FR"/>
        </w:rPr>
        <w:t>,</w:t>
      </w:r>
      <w:r w:rsidR="00D928F5" w:rsidRPr="00D928F5">
        <w:rPr>
          <w:rFonts w:cs="Arial"/>
          <w:bCs/>
          <w:sz w:val="22"/>
          <w:szCs w:val="22"/>
          <w:lang w:val="fr-FR"/>
        </w:rPr>
        <w:t xml:space="preserve"> à</w:t>
      </w:r>
      <w:r w:rsidR="00A04CC9" w:rsidRPr="00D928F5">
        <w:rPr>
          <w:rFonts w:ascii="Lato" w:hAnsi="Lato" w:cs="Arial"/>
          <w:color w:val="333333"/>
          <w:sz w:val="23"/>
          <w:szCs w:val="23"/>
          <w:lang w:val="fr-FR"/>
        </w:rPr>
        <w:t xml:space="preserve"> </w:t>
      </w:r>
      <w:r w:rsidR="00D928F5" w:rsidRPr="00D928F5">
        <w:rPr>
          <w:rFonts w:cs="Arial"/>
          <w:bCs/>
          <w:sz w:val="22"/>
          <w:szCs w:val="22"/>
          <w:lang w:val="fr-FR"/>
        </w:rPr>
        <w:t>l’</w:t>
      </w:r>
      <w:r w:rsidR="005D6611">
        <w:rPr>
          <w:rFonts w:cs="Arial"/>
          <w:bCs/>
          <w:sz w:val="22"/>
          <w:szCs w:val="22"/>
          <w:lang w:val="fr-FR"/>
        </w:rPr>
        <w:t>invitation du Gouvernement d</w:t>
      </w:r>
      <w:r w:rsidR="00D928F5">
        <w:rPr>
          <w:rFonts w:cs="Arial"/>
          <w:bCs/>
          <w:sz w:val="22"/>
          <w:szCs w:val="22"/>
          <w:lang w:val="fr-FR"/>
        </w:rPr>
        <w:t>’Afrique du Sud, dans le cadre du</w:t>
      </w:r>
      <w:r w:rsidR="005D6611">
        <w:rPr>
          <w:rFonts w:cs="Arial"/>
          <w:bCs/>
          <w:sz w:val="22"/>
          <w:szCs w:val="22"/>
          <w:lang w:val="fr-FR"/>
        </w:rPr>
        <w:t xml:space="preserve"> P</w:t>
      </w:r>
      <w:r w:rsidR="008B1AAD" w:rsidRPr="00D928F5">
        <w:rPr>
          <w:rFonts w:cs="Arial"/>
          <w:bCs/>
          <w:sz w:val="22"/>
          <w:szCs w:val="22"/>
          <w:lang w:val="fr-FR"/>
        </w:rPr>
        <w:t xml:space="preserve">rogramme </w:t>
      </w:r>
      <w:r w:rsidR="005D6611">
        <w:rPr>
          <w:rFonts w:cs="Arial"/>
          <w:bCs/>
          <w:sz w:val="22"/>
          <w:szCs w:val="22"/>
          <w:lang w:val="fr-FR"/>
        </w:rPr>
        <w:t>thématique po</w:t>
      </w:r>
      <w:r w:rsidR="00D928F5">
        <w:rPr>
          <w:rFonts w:cs="Arial"/>
          <w:bCs/>
          <w:sz w:val="22"/>
          <w:szCs w:val="22"/>
          <w:lang w:val="fr-FR"/>
        </w:rPr>
        <w:t>ur l’e</w:t>
      </w:r>
      <w:r w:rsidR="008B1AAD" w:rsidRPr="00D928F5">
        <w:rPr>
          <w:rFonts w:cs="Arial"/>
          <w:bCs/>
          <w:sz w:val="22"/>
          <w:szCs w:val="22"/>
          <w:lang w:val="fr-FR"/>
        </w:rPr>
        <w:t>nviron</w:t>
      </w:r>
      <w:r w:rsidR="00D928F5">
        <w:rPr>
          <w:rFonts w:cs="Arial"/>
          <w:bCs/>
          <w:sz w:val="22"/>
          <w:szCs w:val="22"/>
          <w:lang w:val="fr-FR"/>
        </w:rPr>
        <w:t>ne</w:t>
      </w:r>
      <w:r w:rsidR="008B1AAD" w:rsidRPr="00D928F5">
        <w:rPr>
          <w:rFonts w:cs="Arial"/>
          <w:bCs/>
          <w:sz w:val="22"/>
          <w:szCs w:val="22"/>
          <w:lang w:val="fr-FR"/>
        </w:rPr>
        <w:t>ment</w:t>
      </w:r>
      <w:r w:rsidR="00D928F5">
        <w:rPr>
          <w:rFonts w:cs="Arial"/>
          <w:bCs/>
          <w:sz w:val="22"/>
          <w:szCs w:val="22"/>
          <w:lang w:val="fr-FR"/>
        </w:rPr>
        <w:t xml:space="preserve"> et la gestion durable des ressources naturelles, y compris l’énergie</w:t>
      </w:r>
      <w:r w:rsidR="008B1AAD" w:rsidRPr="00D928F5">
        <w:rPr>
          <w:rFonts w:cs="Arial"/>
          <w:bCs/>
          <w:sz w:val="22"/>
          <w:szCs w:val="22"/>
          <w:lang w:val="fr-FR"/>
        </w:rPr>
        <w:t xml:space="preserve"> (ENRTP)</w:t>
      </w:r>
      <w:r w:rsidR="005D6611">
        <w:rPr>
          <w:rFonts w:cs="Arial"/>
          <w:bCs/>
          <w:sz w:val="22"/>
          <w:szCs w:val="22"/>
          <w:lang w:val="fr-FR"/>
        </w:rPr>
        <w:t>,</w:t>
      </w:r>
      <w:r w:rsidR="00D928F5">
        <w:rPr>
          <w:rFonts w:cs="Arial"/>
          <w:bCs/>
          <w:sz w:val="22"/>
          <w:szCs w:val="22"/>
          <w:lang w:val="fr-FR"/>
        </w:rPr>
        <w:t xml:space="preserve"> de l’Accord de coopération stratégique</w:t>
      </w:r>
      <w:r w:rsidR="008B1AAD" w:rsidRPr="00D928F5">
        <w:rPr>
          <w:rFonts w:cs="Arial"/>
          <w:bCs/>
          <w:sz w:val="22"/>
          <w:szCs w:val="22"/>
          <w:lang w:val="fr-FR"/>
        </w:rPr>
        <w:t xml:space="preserve"> (SCA) </w:t>
      </w:r>
      <w:r w:rsidR="00D928F5">
        <w:rPr>
          <w:rFonts w:cs="Arial"/>
          <w:bCs/>
          <w:sz w:val="22"/>
          <w:szCs w:val="22"/>
          <w:lang w:val="fr-FR"/>
        </w:rPr>
        <w:t xml:space="preserve">conclu entre la </w:t>
      </w:r>
      <w:r w:rsidR="005D6611">
        <w:rPr>
          <w:rFonts w:cs="Arial"/>
          <w:bCs/>
          <w:sz w:val="22"/>
          <w:szCs w:val="22"/>
          <w:lang w:val="fr-FR"/>
        </w:rPr>
        <w:t xml:space="preserve">DG Environnement de la </w:t>
      </w:r>
      <w:r w:rsidR="008B1AAD" w:rsidRPr="00D928F5">
        <w:rPr>
          <w:rFonts w:cs="Arial"/>
          <w:bCs/>
          <w:sz w:val="22"/>
          <w:szCs w:val="22"/>
          <w:lang w:val="fr-FR"/>
        </w:rPr>
        <w:t>Commission</w:t>
      </w:r>
      <w:r w:rsidR="00D928F5">
        <w:rPr>
          <w:rFonts w:cs="Arial"/>
          <w:bCs/>
          <w:sz w:val="22"/>
          <w:szCs w:val="22"/>
          <w:lang w:val="fr-FR"/>
        </w:rPr>
        <w:t xml:space="preserve"> européenne</w:t>
      </w:r>
      <w:r w:rsidR="005D6611">
        <w:rPr>
          <w:rFonts w:cs="Arial"/>
          <w:bCs/>
          <w:sz w:val="22"/>
          <w:szCs w:val="22"/>
          <w:lang w:val="fr-FR"/>
        </w:rPr>
        <w:t xml:space="preserve"> </w:t>
      </w:r>
      <w:r w:rsidR="00D928F5">
        <w:rPr>
          <w:rFonts w:cs="Arial"/>
          <w:bCs/>
          <w:sz w:val="22"/>
          <w:szCs w:val="22"/>
          <w:lang w:val="fr-FR"/>
        </w:rPr>
        <w:t>et le Programme des Nations Unies pour l’e</w:t>
      </w:r>
      <w:r w:rsidR="008B1AAD" w:rsidRPr="00D928F5">
        <w:rPr>
          <w:rFonts w:cs="Arial"/>
          <w:bCs/>
          <w:sz w:val="22"/>
          <w:szCs w:val="22"/>
          <w:lang w:val="fr-FR"/>
        </w:rPr>
        <w:t>nviron</w:t>
      </w:r>
      <w:r w:rsidR="00D928F5">
        <w:rPr>
          <w:rFonts w:cs="Arial"/>
          <w:bCs/>
          <w:sz w:val="22"/>
          <w:szCs w:val="22"/>
          <w:lang w:val="fr-FR"/>
        </w:rPr>
        <w:t>ne</w:t>
      </w:r>
      <w:r w:rsidR="008B1AAD" w:rsidRPr="00D928F5">
        <w:rPr>
          <w:rFonts w:cs="Arial"/>
          <w:bCs/>
          <w:sz w:val="22"/>
          <w:szCs w:val="22"/>
          <w:lang w:val="fr-FR"/>
        </w:rPr>
        <w:t>me</w:t>
      </w:r>
      <w:r w:rsidR="00D928F5">
        <w:rPr>
          <w:rFonts w:cs="Arial"/>
          <w:bCs/>
          <w:sz w:val="22"/>
          <w:szCs w:val="22"/>
          <w:lang w:val="fr-FR"/>
        </w:rPr>
        <w:t>nt (</w:t>
      </w:r>
      <w:r w:rsidR="008B1AAD" w:rsidRPr="00D928F5">
        <w:rPr>
          <w:rFonts w:cs="Arial"/>
          <w:bCs/>
          <w:sz w:val="22"/>
          <w:szCs w:val="22"/>
          <w:lang w:val="fr-FR"/>
        </w:rPr>
        <w:t>P</w:t>
      </w:r>
      <w:r w:rsidR="00D928F5">
        <w:rPr>
          <w:rFonts w:cs="Arial"/>
          <w:bCs/>
          <w:sz w:val="22"/>
          <w:szCs w:val="22"/>
          <w:lang w:val="fr-FR"/>
        </w:rPr>
        <w:t>NUE</w:t>
      </w:r>
      <w:r w:rsidR="008B1AAD" w:rsidRPr="00D928F5">
        <w:rPr>
          <w:rFonts w:cs="Arial"/>
          <w:bCs/>
          <w:sz w:val="22"/>
          <w:szCs w:val="22"/>
          <w:lang w:val="fr-FR"/>
        </w:rPr>
        <w:t>)</w:t>
      </w:r>
      <w:r w:rsidR="00A04CC9" w:rsidRPr="00D928F5">
        <w:rPr>
          <w:rFonts w:cs="Arial"/>
          <w:bCs/>
          <w:sz w:val="22"/>
          <w:szCs w:val="22"/>
          <w:lang w:val="fr-FR"/>
        </w:rPr>
        <w:t xml:space="preserve">. </w:t>
      </w:r>
      <w:r w:rsidR="005D6611">
        <w:rPr>
          <w:rFonts w:cs="Arial"/>
          <w:bCs/>
          <w:sz w:val="22"/>
          <w:szCs w:val="22"/>
          <w:lang w:val="fr-FR"/>
        </w:rPr>
        <w:t>L’</w:t>
      </w:r>
      <w:r w:rsidR="00971318" w:rsidRPr="00D928F5">
        <w:rPr>
          <w:rFonts w:cs="Arial"/>
          <w:bCs/>
          <w:sz w:val="22"/>
          <w:szCs w:val="22"/>
          <w:lang w:val="fr-FR"/>
        </w:rPr>
        <w:t>atelier</w:t>
      </w:r>
      <w:r w:rsidR="00A04CC9" w:rsidRPr="00D928F5">
        <w:rPr>
          <w:rFonts w:cs="Arial"/>
          <w:bCs/>
          <w:sz w:val="22"/>
          <w:szCs w:val="22"/>
          <w:lang w:val="fr-FR"/>
        </w:rPr>
        <w:t xml:space="preserve"> </w:t>
      </w:r>
      <w:r w:rsidR="00D928F5">
        <w:rPr>
          <w:rFonts w:cs="Arial"/>
          <w:bCs/>
          <w:sz w:val="22"/>
          <w:szCs w:val="22"/>
          <w:lang w:val="fr-FR"/>
        </w:rPr>
        <w:t>a adopté</w:t>
      </w:r>
      <w:r w:rsidR="00A04CC9" w:rsidRPr="00D928F5">
        <w:rPr>
          <w:rFonts w:cs="Arial"/>
          <w:bCs/>
          <w:sz w:val="22"/>
          <w:szCs w:val="22"/>
          <w:lang w:val="fr-FR"/>
        </w:rPr>
        <w:t xml:space="preserve"> </w:t>
      </w:r>
      <w:r w:rsidR="00D928F5">
        <w:rPr>
          <w:rFonts w:cs="Arial"/>
          <w:bCs/>
          <w:sz w:val="22"/>
          <w:szCs w:val="22"/>
          <w:lang w:val="fr-FR"/>
        </w:rPr>
        <w:t xml:space="preserve">le </w:t>
      </w:r>
      <w:r w:rsidR="005713B1" w:rsidRPr="00D928F5">
        <w:rPr>
          <w:rFonts w:cs="Arial"/>
          <w:bCs/>
          <w:sz w:val="22"/>
          <w:szCs w:val="22"/>
          <w:lang w:val="fr-FR"/>
        </w:rPr>
        <w:t>“</w:t>
      </w:r>
      <w:r w:rsidR="005D6611">
        <w:rPr>
          <w:rFonts w:cs="Arial"/>
          <w:bCs/>
          <w:sz w:val="22"/>
          <w:szCs w:val="22"/>
          <w:lang w:val="fr-FR"/>
        </w:rPr>
        <w:t>Plan</w:t>
      </w:r>
      <w:r w:rsidR="00D928F5">
        <w:rPr>
          <w:rFonts w:cs="Arial"/>
          <w:bCs/>
          <w:sz w:val="22"/>
          <w:szCs w:val="22"/>
          <w:lang w:val="fr-FR"/>
        </w:rPr>
        <w:t xml:space="preserve"> de mise en œuvre infrarégional </w:t>
      </w:r>
      <w:r w:rsidRPr="00D928F5">
        <w:rPr>
          <w:rFonts w:cs="Arial"/>
          <w:bCs/>
          <w:sz w:val="22"/>
          <w:szCs w:val="22"/>
          <w:lang w:val="fr-FR"/>
        </w:rPr>
        <w:t>pour prévenir</w:t>
      </w:r>
      <w:r w:rsidR="00A04CC9" w:rsidRPr="00D928F5">
        <w:rPr>
          <w:rFonts w:cs="Arial"/>
          <w:bCs/>
          <w:sz w:val="22"/>
          <w:szCs w:val="22"/>
          <w:lang w:val="fr-FR"/>
        </w:rPr>
        <w:t xml:space="preserve"> </w:t>
      </w:r>
      <w:r w:rsidR="00D928F5">
        <w:rPr>
          <w:rFonts w:cs="Arial"/>
          <w:bCs/>
          <w:sz w:val="22"/>
          <w:szCs w:val="22"/>
          <w:lang w:val="fr-FR"/>
        </w:rPr>
        <w:t>l</w:t>
      </w:r>
      <w:r w:rsidR="00DB204E" w:rsidRPr="00D928F5">
        <w:rPr>
          <w:rFonts w:cs="Arial"/>
          <w:bCs/>
          <w:sz w:val="22"/>
          <w:szCs w:val="22"/>
          <w:lang w:val="fr-FR"/>
        </w:rPr>
        <w:t>’empoisonnement</w:t>
      </w:r>
      <w:r w:rsidR="00D928F5">
        <w:rPr>
          <w:rFonts w:cs="Arial"/>
          <w:bCs/>
          <w:sz w:val="22"/>
          <w:szCs w:val="22"/>
          <w:lang w:val="fr-FR"/>
        </w:rPr>
        <w:t xml:space="preserve"> des o</w:t>
      </w:r>
      <w:r w:rsidR="00DB204E" w:rsidRPr="00D928F5">
        <w:rPr>
          <w:rFonts w:cs="Arial"/>
          <w:bCs/>
          <w:sz w:val="22"/>
          <w:szCs w:val="22"/>
          <w:lang w:val="fr-FR"/>
        </w:rPr>
        <w:t>iseaux migrateurs</w:t>
      </w:r>
      <w:r w:rsidR="00D928F5">
        <w:rPr>
          <w:rFonts w:cs="Arial"/>
          <w:bCs/>
          <w:sz w:val="22"/>
          <w:szCs w:val="22"/>
          <w:lang w:val="fr-FR"/>
        </w:rPr>
        <w:t xml:space="preserve"> dans les pays d’Afrique australe</w:t>
      </w:r>
      <w:r w:rsidR="00A04CC9" w:rsidRPr="00D928F5">
        <w:rPr>
          <w:rFonts w:cs="Arial"/>
          <w:bCs/>
          <w:sz w:val="22"/>
          <w:szCs w:val="22"/>
          <w:lang w:val="fr-FR"/>
        </w:rPr>
        <w:t xml:space="preserve"> 2017-2020</w:t>
      </w:r>
      <w:r w:rsidR="005713B1" w:rsidRPr="00D928F5">
        <w:rPr>
          <w:rFonts w:cs="Arial"/>
          <w:bCs/>
          <w:sz w:val="22"/>
          <w:szCs w:val="22"/>
          <w:lang w:val="fr-FR"/>
        </w:rPr>
        <w:t>”</w:t>
      </w:r>
      <w:r w:rsidR="00E5044E" w:rsidRPr="00D928F5">
        <w:rPr>
          <w:rFonts w:cs="Arial"/>
          <w:bCs/>
          <w:sz w:val="22"/>
          <w:szCs w:val="22"/>
          <w:lang w:val="fr-FR"/>
        </w:rPr>
        <w:t xml:space="preserve">, </w:t>
      </w:r>
      <w:r w:rsidR="005D6611">
        <w:rPr>
          <w:rFonts w:cs="Arial"/>
          <w:bCs/>
          <w:sz w:val="22"/>
          <w:szCs w:val="22"/>
          <w:lang w:val="fr-FR"/>
        </w:rPr>
        <w:t>lequel</w:t>
      </w:r>
      <w:r w:rsidR="00D928F5">
        <w:rPr>
          <w:rFonts w:cs="Arial"/>
          <w:bCs/>
          <w:sz w:val="22"/>
          <w:szCs w:val="22"/>
          <w:lang w:val="fr-FR"/>
        </w:rPr>
        <w:t xml:space="preserve"> fourni</w:t>
      </w:r>
      <w:r w:rsidR="005D6611">
        <w:rPr>
          <w:rFonts w:cs="Arial"/>
          <w:bCs/>
          <w:sz w:val="22"/>
          <w:szCs w:val="22"/>
          <w:lang w:val="fr-FR"/>
        </w:rPr>
        <w:t>t des orientations pour mettre en œuvre l</w:t>
      </w:r>
      <w:r w:rsidR="00D928F5">
        <w:rPr>
          <w:rFonts w:cs="Arial"/>
          <w:bCs/>
          <w:sz w:val="22"/>
          <w:szCs w:val="22"/>
          <w:lang w:val="fr-FR"/>
        </w:rPr>
        <w:t xml:space="preserve">es </w:t>
      </w:r>
      <w:r w:rsidRPr="00D928F5">
        <w:rPr>
          <w:rFonts w:cs="Arial"/>
          <w:bCs/>
          <w:sz w:val="22"/>
          <w:szCs w:val="22"/>
          <w:lang w:val="fr-FR"/>
        </w:rPr>
        <w:t>Lignes directrices</w:t>
      </w:r>
      <w:r w:rsidR="00D928F5">
        <w:rPr>
          <w:rFonts w:cs="Arial"/>
          <w:bCs/>
          <w:sz w:val="22"/>
          <w:szCs w:val="22"/>
          <w:lang w:val="fr-FR"/>
        </w:rPr>
        <w:t xml:space="preserve"> à l’échelon national</w:t>
      </w:r>
      <w:r w:rsidR="00A04CC9" w:rsidRPr="00D928F5">
        <w:rPr>
          <w:rFonts w:cs="Arial"/>
          <w:bCs/>
          <w:sz w:val="22"/>
          <w:szCs w:val="22"/>
          <w:lang w:val="fr-FR"/>
        </w:rPr>
        <w:t xml:space="preserve">. </w:t>
      </w:r>
      <w:r w:rsidR="00D928F5" w:rsidRPr="00D928F5">
        <w:rPr>
          <w:rFonts w:cs="Arial"/>
          <w:bCs/>
          <w:sz w:val="22"/>
          <w:szCs w:val="22"/>
          <w:lang w:val="fr-FR"/>
        </w:rPr>
        <w:t>Le texte définitif</w:t>
      </w:r>
      <w:r w:rsidR="005713B1" w:rsidRPr="00D928F5">
        <w:rPr>
          <w:rFonts w:cs="Arial"/>
          <w:bCs/>
          <w:sz w:val="22"/>
          <w:szCs w:val="22"/>
          <w:lang w:val="fr-FR"/>
        </w:rPr>
        <w:t xml:space="preserve"> </w:t>
      </w:r>
      <w:r w:rsidR="00E71F52">
        <w:rPr>
          <w:rFonts w:cs="Arial"/>
          <w:bCs/>
          <w:sz w:val="22"/>
          <w:szCs w:val="22"/>
          <w:lang w:val="fr-FR"/>
        </w:rPr>
        <w:t>de ce plan</w:t>
      </w:r>
      <w:r w:rsidR="00D928F5">
        <w:rPr>
          <w:rFonts w:cs="Arial"/>
          <w:bCs/>
          <w:sz w:val="22"/>
          <w:szCs w:val="22"/>
          <w:lang w:val="fr-FR"/>
        </w:rPr>
        <w:t xml:space="preserve"> de </w:t>
      </w:r>
      <w:r w:rsidR="00D928F5" w:rsidRPr="00D928F5">
        <w:rPr>
          <w:rFonts w:cs="Arial"/>
          <w:bCs/>
          <w:sz w:val="22"/>
          <w:szCs w:val="22"/>
          <w:lang w:val="fr-FR"/>
        </w:rPr>
        <w:t xml:space="preserve">mise en </w:t>
      </w:r>
      <w:r w:rsidR="00D928F5">
        <w:rPr>
          <w:rFonts w:cs="Arial"/>
          <w:bCs/>
          <w:sz w:val="22"/>
          <w:szCs w:val="22"/>
          <w:lang w:val="fr-FR"/>
        </w:rPr>
        <w:t xml:space="preserve">œuvre nationale a été diffusé par le </w:t>
      </w:r>
      <w:r w:rsidR="00DB204E" w:rsidRPr="00D928F5">
        <w:rPr>
          <w:rFonts w:cs="Arial"/>
          <w:bCs/>
          <w:sz w:val="22"/>
          <w:szCs w:val="22"/>
          <w:lang w:val="fr-FR"/>
        </w:rPr>
        <w:t>Secrétariat</w:t>
      </w:r>
      <w:r w:rsidR="00D928F5">
        <w:rPr>
          <w:rFonts w:cs="Arial"/>
          <w:bCs/>
          <w:sz w:val="22"/>
          <w:szCs w:val="22"/>
          <w:lang w:val="fr-FR"/>
        </w:rPr>
        <w:t xml:space="preserve"> en novembre</w:t>
      </w:r>
      <w:r w:rsidR="00D37145" w:rsidRPr="00D928F5">
        <w:rPr>
          <w:rFonts w:cs="Arial"/>
          <w:bCs/>
          <w:sz w:val="22"/>
          <w:szCs w:val="22"/>
          <w:lang w:val="fr-FR"/>
        </w:rPr>
        <w:t xml:space="preserve"> 2016.</w:t>
      </w:r>
    </w:p>
    <w:p w14:paraId="732077F5" w14:textId="77777777" w:rsidR="00A04CC9" w:rsidRPr="00D928F5" w:rsidRDefault="00A04CC9" w:rsidP="00A04CC9">
      <w:pPr>
        <w:pStyle w:val="ListParagraph"/>
        <w:rPr>
          <w:rFonts w:cs="Arial"/>
          <w:sz w:val="22"/>
          <w:szCs w:val="22"/>
          <w:lang w:val="fr-FR"/>
        </w:rPr>
      </w:pPr>
    </w:p>
    <w:p w14:paraId="3FA6DC8D" w14:textId="0FAC3201" w:rsidR="00E5044E" w:rsidRPr="00F10F82" w:rsidRDefault="00D928F5" w:rsidP="00E5044E">
      <w:pPr>
        <w:pStyle w:val="ListParagraph"/>
        <w:numPr>
          <w:ilvl w:val="0"/>
          <w:numId w:val="2"/>
        </w:numPr>
        <w:jc w:val="both"/>
        <w:rPr>
          <w:rFonts w:cs="Arial"/>
          <w:sz w:val="22"/>
          <w:szCs w:val="22"/>
          <w:lang w:val="fr-FR"/>
        </w:rPr>
      </w:pPr>
      <w:r w:rsidRPr="00D928F5">
        <w:rPr>
          <w:rFonts w:cs="Arial"/>
          <w:sz w:val="22"/>
          <w:szCs w:val="22"/>
          <w:lang w:val="fr-FR"/>
        </w:rPr>
        <w:t>Du 19 au 21 février 2017, une</w:t>
      </w:r>
      <w:r w:rsidR="005713B1" w:rsidRPr="00D928F5">
        <w:rPr>
          <w:rFonts w:cs="Arial"/>
          <w:sz w:val="22"/>
          <w:szCs w:val="22"/>
          <w:lang w:val="fr-FR"/>
        </w:rPr>
        <w:t xml:space="preserve"> </w:t>
      </w:r>
      <w:r w:rsidR="00DB204E" w:rsidRPr="00D928F5">
        <w:rPr>
          <w:rFonts w:cs="Arial"/>
          <w:sz w:val="22"/>
          <w:szCs w:val="22"/>
          <w:lang w:val="fr-FR"/>
        </w:rPr>
        <w:t>réunion</w:t>
      </w:r>
      <w:r w:rsidRPr="00D928F5">
        <w:rPr>
          <w:rFonts w:cs="Arial"/>
          <w:sz w:val="22"/>
          <w:szCs w:val="22"/>
          <w:lang w:val="fr-FR"/>
        </w:rPr>
        <w:t xml:space="preserve"> du</w:t>
      </w:r>
      <w:r w:rsidR="00106232" w:rsidRPr="00D928F5">
        <w:rPr>
          <w:rFonts w:cs="Arial"/>
          <w:sz w:val="22"/>
          <w:szCs w:val="22"/>
          <w:lang w:val="fr-FR"/>
        </w:rPr>
        <w:t xml:space="preserve"> </w:t>
      </w:r>
      <w:r w:rsidR="00302B8C">
        <w:rPr>
          <w:rFonts w:cs="Arial"/>
          <w:sz w:val="22"/>
          <w:szCs w:val="22"/>
          <w:lang w:val="fr-FR"/>
        </w:rPr>
        <w:t>GTPE</w:t>
      </w:r>
      <w:r w:rsidR="00611C78" w:rsidRPr="00D928F5">
        <w:rPr>
          <w:rFonts w:cs="Arial"/>
          <w:sz w:val="22"/>
          <w:szCs w:val="22"/>
          <w:lang w:val="fr-FR"/>
        </w:rPr>
        <w:t xml:space="preserve"> </w:t>
      </w:r>
      <w:r w:rsidR="00E71F52">
        <w:rPr>
          <w:rFonts w:cs="Arial"/>
          <w:sz w:val="22"/>
          <w:szCs w:val="22"/>
          <w:lang w:val="fr-FR"/>
        </w:rPr>
        <w:t>s’est tenu</w:t>
      </w:r>
      <w:r w:rsidRPr="00D928F5">
        <w:rPr>
          <w:rFonts w:cs="Arial"/>
          <w:sz w:val="22"/>
          <w:szCs w:val="22"/>
          <w:lang w:val="fr-FR"/>
        </w:rPr>
        <w:t>e à Toledo (Espagne)</w:t>
      </w:r>
      <w:r w:rsidR="00E5044E" w:rsidRPr="00D928F5">
        <w:rPr>
          <w:rFonts w:cs="Arial"/>
          <w:sz w:val="22"/>
          <w:szCs w:val="22"/>
          <w:lang w:val="fr-FR"/>
        </w:rPr>
        <w:t xml:space="preserve">, </w:t>
      </w:r>
      <w:r w:rsidR="00E71F52">
        <w:rPr>
          <w:rFonts w:cs="Arial"/>
          <w:sz w:val="22"/>
          <w:szCs w:val="22"/>
          <w:lang w:val="fr-FR"/>
        </w:rPr>
        <w:t xml:space="preserve">grâce au soutien </w:t>
      </w:r>
      <w:r w:rsidRPr="00D928F5">
        <w:rPr>
          <w:rFonts w:cs="Arial"/>
          <w:sz w:val="22"/>
          <w:szCs w:val="22"/>
          <w:lang w:val="fr-FR"/>
        </w:rPr>
        <w:t>du Gouvernement</w:t>
      </w:r>
      <w:r w:rsidR="00E5044E" w:rsidRPr="00D928F5">
        <w:rPr>
          <w:rFonts w:cs="Arial"/>
          <w:sz w:val="22"/>
          <w:szCs w:val="22"/>
          <w:lang w:val="fr-FR"/>
        </w:rPr>
        <w:t xml:space="preserve"> </w:t>
      </w:r>
      <w:r>
        <w:rPr>
          <w:rFonts w:cs="Arial"/>
          <w:sz w:val="22"/>
          <w:szCs w:val="22"/>
          <w:lang w:val="fr-FR"/>
        </w:rPr>
        <w:t>ré</w:t>
      </w:r>
      <w:r w:rsidRPr="00D928F5">
        <w:rPr>
          <w:rFonts w:cs="Arial"/>
          <w:sz w:val="22"/>
          <w:szCs w:val="22"/>
          <w:lang w:val="fr-FR"/>
        </w:rPr>
        <w:t xml:space="preserve">gional de </w:t>
      </w:r>
      <w:r w:rsidR="00E5044E" w:rsidRPr="00D928F5">
        <w:rPr>
          <w:rFonts w:cs="Arial"/>
          <w:sz w:val="22"/>
          <w:szCs w:val="22"/>
          <w:lang w:val="fr-FR"/>
        </w:rPr>
        <w:t>Castilla</w:t>
      </w:r>
      <w:r w:rsidR="008627EF" w:rsidRPr="00D928F5">
        <w:rPr>
          <w:rFonts w:cs="Arial"/>
          <w:sz w:val="22"/>
          <w:szCs w:val="22"/>
          <w:lang w:val="fr-FR"/>
        </w:rPr>
        <w:t xml:space="preserve">-La </w:t>
      </w:r>
      <w:proofErr w:type="spellStart"/>
      <w:r w:rsidR="008627EF" w:rsidRPr="00D928F5">
        <w:rPr>
          <w:rFonts w:cs="Arial"/>
          <w:sz w:val="22"/>
          <w:szCs w:val="22"/>
          <w:lang w:val="fr-FR"/>
        </w:rPr>
        <w:t>Mancha</w:t>
      </w:r>
      <w:proofErr w:type="spellEnd"/>
      <w:r w:rsidR="008627EF" w:rsidRPr="00D928F5">
        <w:rPr>
          <w:rFonts w:cs="Arial"/>
          <w:sz w:val="22"/>
          <w:szCs w:val="22"/>
          <w:lang w:val="fr-FR"/>
        </w:rPr>
        <w:t xml:space="preserve"> </w:t>
      </w:r>
      <w:r>
        <w:rPr>
          <w:rFonts w:cs="Arial"/>
          <w:sz w:val="22"/>
          <w:szCs w:val="22"/>
          <w:lang w:val="fr-FR"/>
        </w:rPr>
        <w:t xml:space="preserve">et de l’Unité de coordination du Mémorandum d’entente </w:t>
      </w:r>
      <w:r w:rsidR="00E71F52">
        <w:rPr>
          <w:rFonts w:cs="Arial"/>
          <w:sz w:val="22"/>
          <w:szCs w:val="22"/>
          <w:lang w:val="fr-FR"/>
        </w:rPr>
        <w:t xml:space="preserve">du PNUE/CMS </w:t>
      </w:r>
      <w:r>
        <w:rPr>
          <w:rFonts w:cs="Arial"/>
          <w:sz w:val="22"/>
          <w:szCs w:val="22"/>
          <w:lang w:val="fr-FR"/>
        </w:rPr>
        <w:t>sur la conservation de</w:t>
      </w:r>
      <w:r w:rsidR="00E71F52">
        <w:rPr>
          <w:rFonts w:cs="Arial"/>
          <w:sz w:val="22"/>
          <w:szCs w:val="22"/>
          <w:lang w:val="fr-FR"/>
        </w:rPr>
        <w:t>s</w:t>
      </w:r>
      <w:r>
        <w:rPr>
          <w:rFonts w:cs="Arial"/>
          <w:sz w:val="22"/>
          <w:szCs w:val="22"/>
          <w:lang w:val="fr-FR"/>
        </w:rPr>
        <w:t xml:space="preserve"> o</w:t>
      </w:r>
      <w:r w:rsidR="00DB204E" w:rsidRPr="00D928F5">
        <w:rPr>
          <w:rFonts w:cs="Arial"/>
          <w:sz w:val="22"/>
          <w:szCs w:val="22"/>
          <w:lang w:val="fr-FR"/>
        </w:rPr>
        <w:t xml:space="preserve">iseaux </w:t>
      </w:r>
      <w:r>
        <w:rPr>
          <w:rFonts w:cs="Arial"/>
          <w:sz w:val="22"/>
          <w:szCs w:val="22"/>
          <w:lang w:val="fr-FR"/>
        </w:rPr>
        <w:t xml:space="preserve">de proie </w:t>
      </w:r>
      <w:r w:rsidR="00DB204E" w:rsidRPr="00D928F5">
        <w:rPr>
          <w:rFonts w:cs="Arial"/>
          <w:sz w:val="22"/>
          <w:szCs w:val="22"/>
          <w:lang w:val="fr-FR"/>
        </w:rPr>
        <w:t>migrateurs</w:t>
      </w:r>
      <w:r>
        <w:rPr>
          <w:rFonts w:cs="Arial"/>
          <w:sz w:val="22"/>
          <w:szCs w:val="22"/>
          <w:lang w:val="fr-FR"/>
        </w:rPr>
        <w:t xml:space="preserve"> en Afrique et Eurasie</w:t>
      </w:r>
      <w:r w:rsidR="00E5044E" w:rsidRPr="00D928F5">
        <w:rPr>
          <w:rFonts w:cs="Arial"/>
          <w:sz w:val="22"/>
          <w:szCs w:val="22"/>
          <w:lang w:val="fr-FR"/>
        </w:rPr>
        <w:t xml:space="preserve"> (</w:t>
      </w:r>
      <w:proofErr w:type="spellStart"/>
      <w:r>
        <w:rPr>
          <w:rFonts w:cs="Arial"/>
          <w:sz w:val="22"/>
          <w:szCs w:val="22"/>
          <w:lang w:val="fr-FR"/>
        </w:rPr>
        <w:t>MdE</w:t>
      </w:r>
      <w:proofErr w:type="spellEnd"/>
      <w:r>
        <w:rPr>
          <w:rFonts w:cs="Arial"/>
          <w:sz w:val="22"/>
          <w:szCs w:val="22"/>
          <w:lang w:val="fr-FR"/>
        </w:rPr>
        <w:t xml:space="preserve"> Rapaces</w:t>
      </w:r>
      <w:r w:rsidR="00E5044E" w:rsidRPr="00D928F5">
        <w:rPr>
          <w:rFonts w:cs="Arial"/>
          <w:sz w:val="22"/>
          <w:szCs w:val="22"/>
          <w:lang w:val="fr-FR"/>
        </w:rPr>
        <w:t>)</w:t>
      </w:r>
      <w:r w:rsidR="008627EF" w:rsidRPr="00D928F5">
        <w:rPr>
          <w:rFonts w:cs="Arial"/>
          <w:sz w:val="22"/>
          <w:szCs w:val="22"/>
          <w:lang w:val="fr-FR"/>
        </w:rPr>
        <w:t>,</w:t>
      </w:r>
      <w:r>
        <w:rPr>
          <w:rFonts w:cs="Arial"/>
          <w:sz w:val="22"/>
          <w:szCs w:val="22"/>
          <w:lang w:val="fr-FR"/>
        </w:rPr>
        <w:t xml:space="preserve"> et </w:t>
      </w:r>
      <w:r w:rsidR="00B40AFF">
        <w:rPr>
          <w:rFonts w:cs="Arial"/>
          <w:sz w:val="22"/>
          <w:szCs w:val="22"/>
          <w:lang w:val="fr-FR"/>
        </w:rPr>
        <w:t xml:space="preserve">était </w:t>
      </w:r>
      <w:r>
        <w:rPr>
          <w:rFonts w:cs="Arial"/>
          <w:sz w:val="22"/>
          <w:szCs w:val="22"/>
          <w:lang w:val="fr-FR"/>
        </w:rPr>
        <w:t>organisé</w:t>
      </w:r>
      <w:r w:rsidR="00E71F52">
        <w:rPr>
          <w:rFonts w:cs="Arial"/>
          <w:sz w:val="22"/>
          <w:szCs w:val="22"/>
          <w:lang w:val="fr-FR"/>
        </w:rPr>
        <w:t>e</w:t>
      </w:r>
      <w:r>
        <w:rPr>
          <w:rFonts w:cs="Arial"/>
          <w:sz w:val="22"/>
          <w:szCs w:val="22"/>
          <w:lang w:val="fr-FR"/>
        </w:rPr>
        <w:t xml:space="preserve"> par la Société </w:t>
      </w:r>
      <w:r w:rsidR="00B40AFF">
        <w:rPr>
          <w:rFonts w:cs="Arial"/>
          <w:sz w:val="22"/>
          <w:szCs w:val="22"/>
          <w:lang w:val="fr-FR"/>
        </w:rPr>
        <w:t>d’ornithologi</w:t>
      </w:r>
      <w:r>
        <w:rPr>
          <w:rFonts w:cs="Arial"/>
          <w:sz w:val="22"/>
          <w:szCs w:val="22"/>
          <w:lang w:val="fr-FR"/>
        </w:rPr>
        <w:t>e espagnole (SEO/</w:t>
      </w:r>
      <w:proofErr w:type="spellStart"/>
      <w:r>
        <w:rPr>
          <w:rFonts w:cs="Arial"/>
          <w:sz w:val="22"/>
          <w:szCs w:val="22"/>
          <w:lang w:val="fr-FR"/>
        </w:rPr>
        <w:t>BirdLife</w:t>
      </w:r>
      <w:proofErr w:type="spellEnd"/>
      <w:r>
        <w:rPr>
          <w:rFonts w:cs="Arial"/>
          <w:sz w:val="22"/>
          <w:szCs w:val="22"/>
          <w:lang w:val="fr-FR"/>
        </w:rPr>
        <w:t xml:space="preserve"> Espagne</w:t>
      </w:r>
      <w:r w:rsidR="00E5044E" w:rsidRPr="00D928F5">
        <w:rPr>
          <w:rFonts w:cs="Arial"/>
          <w:sz w:val="22"/>
          <w:szCs w:val="22"/>
          <w:lang w:val="fr-FR"/>
        </w:rPr>
        <w:t>)</w:t>
      </w:r>
      <w:r w:rsidR="00D11925" w:rsidRPr="00D928F5">
        <w:rPr>
          <w:rFonts w:cs="Arial"/>
          <w:sz w:val="22"/>
          <w:szCs w:val="22"/>
          <w:lang w:val="fr-FR"/>
        </w:rPr>
        <w:t xml:space="preserve"> </w:t>
      </w:r>
      <w:r>
        <w:rPr>
          <w:rFonts w:cs="Arial"/>
          <w:sz w:val="22"/>
          <w:szCs w:val="22"/>
          <w:lang w:val="fr-FR"/>
        </w:rPr>
        <w:t xml:space="preserve">et le </w:t>
      </w:r>
      <w:r w:rsidR="00D9190E" w:rsidRPr="00D928F5">
        <w:rPr>
          <w:rFonts w:cs="Arial"/>
          <w:sz w:val="22"/>
          <w:szCs w:val="22"/>
          <w:lang w:val="fr-FR"/>
        </w:rPr>
        <w:t>Secrétariat de la CMS</w:t>
      </w:r>
      <w:r w:rsidR="00E5044E" w:rsidRPr="00D928F5">
        <w:rPr>
          <w:rFonts w:cs="Arial"/>
          <w:sz w:val="22"/>
          <w:szCs w:val="22"/>
          <w:lang w:val="fr-FR"/>
        </w:rPr>
        <w:t>.</w:t>
      </w:r>
      <w:r w:rsidR="00D01841" w:rsidRPr="00D928F5">
        <w:rPr>
          <w:rFonts w:cs="Arial"/>
          <w:sz w:val="22"/>
          <w:szCs w:val="22"/>
          <w:lang w:val="fr-FR"/>
        </w:rPr>
        <w:t xml:space="preserve"> </w:t>
      </w:r>
      <w:r w:rsidR="00B40AFF">
        <w:rPr>
          <w:rFonts w:cs="Arial"/>
          <w:sz w:val="22"/>
          <w:szCs w:val="22"/>
          <w:lang w:val="fr-FR"/>
        </w:rPr>
        <w:t xml:space="preserve">Lors de </w:t>
      </w:r>
      <w:r w:rsidRPr="00F10F82">
        <w:rPr>
          <w:rFonts w:cs="Arial"/>
          <w:sz w:val="22"/>
          <w:szCs w:val="22"/>
          <w:lang w:val="fr-FR"/>
        </w:rPr>
        <w:t>cette</w:t>
      </w:r>
      <w:r w:rsidR="00D01841" w:rsidRPr="00F10F82">
        <w:rPr>
          <w:rFonts w:cs="Arial"/>
          <w:sz w:val="22"/>
          <w:szCs w:val="22"/>
          <w:lang w:val="fr-FR"/>
        </w:rPr>
        <w:t xml:space="preserve"> </w:t>
      </w:r>
      <w:r w:rsidR="00DB204E" w:rsidRPr="00F10F82">
        <w:rPr>
          <w:rFonts w:cs="Arial"/>
          <w:sz w:val="22"/>
          <w:szCs w:val="22"/>
          <w:lang w:val="fr-FR"/>
        </w:rPr>
        <w:t>réunion</w:t>
      </w:r>
      <w:r w:rsidR="00F10F82" w:rsidRPr="00F10F82">
        <w:rPr>
          <w:rFonts w:cs="Arial"/>
          <w:sz w:val="22"/>
          <w:szCs w:val="22"/>
          <w:lang w:val="fr-FR"/>
        </w:rPr>
        <w:t>, l</w:t>
      </w:r>
      <w:r w:rsidR="00971318" w:rsidRPr="00F10F82">
        <w:rPr>
          <w:rFonts w:cs="Arial"/>
          <w:sz w:val="22"/>
          <w:szCs w:val="22"/>
          <w:lang w:val="fr-FR"/>
        </w:rPr>
        <w:t>e groupe de travail</w:t>
      </w:r>
      <w:r w:rsidR="00D01841" w:rsidRPr="00F10F82">
        <w:rPr>
          <w:rFonts w:cs="Arial"/>
          <w:sz w:val="22"/>
          <w:szCs w:val="22"/>
          <w:lang w:val="fr-FR"/>
        </w:rPr>
        <w:t xml:space="preserve"> </w:t>
      </w:r>
      <w:r w:rsidR="00B40AFF">
        <w:rPr>
          <w:rFonts w:cs="Arial"/>
          <w:sz w:val="22"/>
          <w:szCs w:val="22"/>
          <w:lang w:val="fr-FR"/>
        </w:rPr>
        <w:t>a conclu</w:t>
      </w:r>
      <w:r w:rsidR="00E315E1" w:rsidRPr="00F10F82">
        <w:rPr>
          <w:rFonts w:cs="Arial"/>
          <w:sz w:val="22"/>
          <w:szCs w:val="22"/>
          <w:lang w:val="fr-FR"/>
        </w:rPr>
        <w:t xml:space="preserve"> </w:t>
      </w:r>
      <w:r w:rsidR="00F10F82" w:rsidRPr="00F10F82">
        <w:rPr>
          <w:rFonts w:cs="Arial"/>
          <w:sz w:val="22"/>
          <w:szCs w:val="22"/>
          <w:lang w:val="fr-FR"/>
        </w:rPr>
        <w:t xml:space="preserve">que l’ensemble des </w:t>
      </w:r>
      <w:r w:rsidR="00F10F82">
        <w:rPr>
          <w:rFonts w:cs="Arial"/>
          <w:sz w:val="22"/>
          <w:szCs w:val="22"/>
          <w:lang w:val="fr-FR"/>
        </w:rPr>
        <w:t>progrè</w:t>
      </w:r>
      <w:r w:rsidR="00F10F82" w:rsidRPr="00F10F82">
        <w:rPr>
          <w:rFonts w:cs="Arial"/>
          <w:sz w:val="22"/>
          <w:szCs w:val="22"/>
          <w:lang w:val="fr-FR"/>
        </w:rPr>
        <w:t xml:space="preserve">s </w:t>
      </w:r>
      <w:r w:rsidR="00F10F82">
        <w:rPr>
          <w:rFonts w:cs="Arial"/>
          <w:sz w:val="22"/>
          <w:szCs w:val="22"/>
          <w:lang w:val="fr-FR"/>
        </w:rPr>
        <w:t>accomplis</w:t>
      </w:r>
      <w:r w:rsidR="00F10F82" w:rsidRPr="00F10F82">
        <w:rPr>
          <w:rFonts w:cs="Arial"/>
          <w:sz w:val="22"/>
          <w:szCs w:val="22"/>
          <w:lang w:val="fr-FR"/>
        </w:rPr>
        <w:t xml:space="preserve"> dans la </w:t>
      </w:r>
      <w:r w:rsidRPr="00F10F82">
        <w:rPr>
          <w:rFonts w:cs="Arial"/>
          <w:sz w:val="22"/>
          <w:szCs w:val="22"/>
          <w:lang w:val="fr-FR"/>
        </w:rPr>
        <w:t xml:space="preserve">mise en </w:t>
      </w:r>
      <w:r w:rsidR="00F10F82">
        <w:rPr>
          <w:rFonts w:cs="Arial"/>
          <w:sz w:val="22"/>
          <w:szCs w:val="22"/>
          <w:lang w:val="fr-FR"/>
        </w:rPr>
        <w:t>œuvre des</w:t>
      </w:r>
      <w:r w:rsidR="005335BD" w:rsidRPr="00F10F82">
        <w:rPr>
          <w:rFonts w:cs="Arial"/>
          <w:sz w:val="22"/>
          <w:szCs w:val="22"/>
          <w:lang w:val="fr-FR"/>
        </w:rPr>
        <w:t xml:space="preserve"> </w:t>
      </w:r>
      <w:r w:rsidR="00D9190E" w:rsidRPr="00F10F82">
        <w:rPr>
          <w:rFonts w:cs="Arial"/>
          <w:sz w:val="22"/>
          <w:szCs w:val="22"/>
          <w:lang w:val="fr-FR"/>
        </w:rPr>
        <w:t>Lignes directrices</w:t>
      </w:r>
      <w:r w:rsidR="00E315E1" w:rsidRPr="00F10F82">
        <w:rPr>
          <w:rFonts w:cs="Arial"/>
          <w:sz w:val="22"/>
          <w:szCs w:val="22"/>
          <w:lang w:val="fr-FR"/>
        </w:rPr>
        <w:t xml:space="preserve"> </w:t>
      </w:r>
      <w:r w:rsidR="00B40AFF">
        <w:rPr>
          <w:rFonts w:cs="Arial"/>
          <w:sz w:val="22"/>
          <w:szCs w:val="22"/>
          <w:lang w:val="fr-FR"/>
        </w:rPr>
        <w:t xml:space="preserve">au niveau </w:t>
      </w:r>
      <w:r w:rsidR="00F10F82">
        <w:rPr>
          <w:rFonts w:cs="Arial"/>
          <w:sz w:val="22"/>
          <w:szCs w:val="22"/>
          <w:lang w:val="fr-FR"/>
        </w:rPr>
        <w:t xml:space="preserve">national avaient été insuffisants depuis la </w:t>
      </w:r>
      <w:r w:rsidR="00E315E1" w:rsidRPr="00F10F82">
        <w:rPr>
          <w:rFonts w:cs="Arial"/>
          <w:sz w:val="22"/>
          <w:szCs w:val="22"/>
          <w:lang w:val="fr-FR"/>
        </w:rPr>
        <w:t xml:space="preserve">COP11 </w:t>
      </w:r>
      <w:r w:rsidR="00B40AFF">
        <w:rPr>
          <w:rFonts w:cs="Arial"/>
          <w:sz w:val="22"/>
          <w:szCs w:val="22"/>
          <w:lang w:val="fr-FR"/>
        </w:rPr>
        <w:t>et que les délais proposés</w:t>
      </w:r>
      <w:r w:rsidR="00F10F82">
        <w:rPr>
          <w:rFonts w:cs="Arial"/>
          <w:sz w:val="22"/>
          <w:szCs w:val="22"/>
          <w:lang w:val="fr-FR"/>
        </w:rPr>
        <w:t xml:space="preserve"> n’avaie</w:t>
      </w:r>
      <w:r w:rsidR="00B40AFF">
        <w:rPr>
          <w:rFonts w:cs="Arial"/>
          <w:sz w:val="22"/>
          <w:szCs w:val="22"/>
          <w:lang w:val="fr-FR"/>
        </w:rPr>
        <w:t>nt pas été respecté</w:t>
      </w:r>
      <w:r w:rsidR="00F10F82">
        <w:rPr>
          <w:rFonts w:cs="Arial"/>
          <w:sz w:val="22"/>
          <w:szCs w:val="22"/>
          <w:lang w:val="fr-FR"/>
        </w:rPr>
        <w:t xml:space="preserve">s. </w:t>
      </w:r>
      <w:r w:rsidR="00F10F82" w:rsidRPr="00F10F82">
        <w:rPr>
          <w:rFonts w:cs="Arial"/>
          <w:sz w:val="22"/>
          <w:szCs w:val="22"/>
          <w:lang w:val="fr-FR"/>
        </w:rPr>
        <w:t>Pour</w:t>
      </w:r>
      <w:r w:rsidR="00B40AFF">
        <w:rPr>
          <w:rFonts w:cs="Arial"/>
          <w:sz w:val="22"/>
          <w:szCs w:val="22"/>
          <w:lang w:val="fr-FR"/>
        </w:rPr>
        <w:t xml:space="preserve"> promouvoir une</w:t>
      </w:r>
      <w:r w:rsidR="00E315E1" w:rsidRPr="00F10F82">
        <w:rPr>
          <w:rFonts w:cs="Arial"/>
          <w:sz w:val="22"/>
          <w:szCs w:val="22"/>
          <w:lang w:val="fr-FR"/>
        </w:rPr>
        <w:t xml:space="preserve"> </w:t>
      </w:r>
      <w:r w:rsidRPr="00F10F82">
        <w:rPr>
          <w:rFonts w:cs="Arial"/>
          <w:sz w:val="22"/>
          <w:szCs w:val="22"/>
          <w:lang w:val="fr-FR"/>
        </w:rPr>
        <w:t xml:space="preserve">mise en </w:t>
      </w:r>
      <w:r w:rsidR="00B40AFF">
        <w:rPr>
          <w:rFonts w:cs="Arial"/>
          <w:sz w:val="22"/>
          <w:szCs w:val="22"/>
          <w:lang w:val="fr-FR"/>
        </w:rPr>
        <w:t>œuvre</w:t>
      </w:r>
      <w:r w:rsidR="00F10F82" w:rsidRPr="00F10F82">
        <w:rPr>
          <w:rFonts w:cs="Arial"/>
          <w:sz w:val="22"/>
          <w:szCs w:val="22"/>
          <w:lang w:val="fr-FR"/>
        </w:rPr>
        <w:t xml:space="preserve"> </w:t>
      </w:r>
      <w:r w:rsidR="00B40AFF">
        <w:rPr>
          <w:rFonts w:cs="Arial"/>
          <w:sz w:val="22"/>
          <w:szCs w:val="22"/>
          <w:lang w:val="fr-FR"/>
        </w:rPr>
        <w:t xml:space="preserve">plus efficace </w:t>
      </w:r>
      <w:r w:rsidR="00F10F82" w:rsidRPr="00F10F82">
        <w:rPr>
          <w:rFonts w:cs="Arial"/>
          <w:sz w:val="22"/>
          <w:szCs w:val="22"/>
          <w:lang w:val="fr-FR"/>
        </w:rPr>
        <w:t xml:space="preserve">des </w:t>
      </w:r>
      <w:r w:rsidR="00D9190E" w:rsidRPr="00F10F82">
        <w:rPr>
          <w:rFonts w:cs="Arial"/>
          <w:sz w:val="22"/>
          <w:szCs w:val="22"/>
          <w:lang w:val="fr-FR"/>
        </w:rPr>
        <w:t>Lignes directrices</w:t>
      </w:r>
      <w:r w:rsidR="00F10F82" w:rsidRPr="00F10F82">
        <w:rPr>
          <w:rFonts w:cs="Arial"/>
          <w:sz w:val="22"/>
          <w:szCs w:val="22"/>
          <w:lang w:val="fr-FR"/>
        </w:rPr>
        <w:t>, le</w:t>
      </w:r>
      <w:r w:rsidR="00E315E1" w:rsidRPr="00F10F82">
        <w:rPr>
          <w:rFonts w:cs="Arial"/>
          <w:sz w:val="22"/>
          <w:szCs w:val="22"/>
          <w:lang w:val="fr-FR"/>
        </w:rPr>
        <w:t xml:space="preserve"> </w:t>
      </w:r>
      <w:r w:rsidR="00302B8C">
        <w:rPr>
          <w:rFonts w:cs="Arial"/>
          <w:sz w:val="22"/>
          <w:szCs w:val="22"/>
          <w:lang w:val="fr-FR"/>
        </w:rPr>
        <w:t>GTPE</w:t>
      </w:r>
      <w:r w:rsidR="00E315E1" w:rsidRPr="00F10F82">
        <w:rPr>
          <w:rFonts w:cs="Arial"/>
          <w:sz w:val="22"/>
          <w:szCs w:val="22"/>
          <w:lang w:val="fr-FR"/>
        </w:rPr>
        <w:t xml:space="preserve"> </w:t>
      </w:r>
      <w:r w:rsidR="00B40AFF">
        <w:rPr>
          <w:rFonts w:cs="Arial"/>
          <w:sz w:val="22"/>
          <w:szCs w:val="22"/>
          <w:lang w:val="fr-FR"/>
        </w:rPr>
        <w:t xml:space="preserve">s’est mis d’accord sur </w:t>
      </w:r>
      <w:r w:rsidR="00F10F82" w:rsidRPr="00F10F82">
        <w:rPr>
          <w:rFonts w:cs="Arial"/>
          <w:sz w:val="22"/>
          <w:szCs w:val="22"/>
          <w:lang w:val="fr-FR"/>
        </w:rPr>
        <w:t xml:space="preserve">un </w:t>
      </w:r>
      <w:r w:rsidR="00B40AFF">
        <w:rPr>
          <w:rFonts w:cs="Arial"/>
          <w:sz w:val="22"/>
          <w:szCs w:val="22"/>
          <w:lang w:val="fr-FR"/>
        </w:rPr>
        <w:t>p</w:t>
      </w:r>
      <w:r w:rsidR="00F10F82" w:rsidRPr="00F10F82">
        <w:rPr>
          <w:rFonts w:cs="Arial"/>
          <w:sz w:val="22"/>
          <w:szCs w:val="22"/>
          <w:lang w:val="fr-FR"/>
        </w:rPr>
        <w:t>rogramme de travail</w:t>
      </w:r>
      <w:r w:rsidR="00D01841" w:rsidRPr="00F10F82">
        <w:rPr>
          <w:rFonts w:cs="Arial"/>
          <w:sz w:val="22"/>
          <w:szCs w:val="22"/>
          <w:lang w:val="fr-FR"/>
        </w:rPr>
        <w:t xml:space="preserve"> </w:t>
      </w:r>
      <w:r w:rsidR="00B40AFF">
        <w:rPr>
          <w:rFonts w:cs="Arial"/>
          <w:sz w:val="22"/>
          <w:szCs w:val="22"/>
          <w:lang w:val="fr-FR"/>
        </w:rPr>
        <w:t xml:space="preserve">et la constitution </w:t>
      </w:r>
      <w:r w:rsidR="00F10F82">
        <w:rPr>
          <w:rFonts w:cs="Arial"/>
          <w:sz w:val="22"/>
          <w:szCs w:val="22"/>
          <w:lang w:val="fr-FR"/>
        </w:rPr>
        <w:t>d’</w:t>
      </w:r>
      <w:r w:rsidR="002D04A3">
        <w:rPr>
          <w:rFonts w:cs="Arial"/>
          <w:sz w:val="22"/>
          <w:szCs w:val="22"/>
          <w:lang w:val="fr-FR"/>
        </w:rPr>
        <w:t xml:space="preserve">un groupe </w:t>
      </w:r>
      <w:r w:rsidR="00292877">
        <w:rPr>
          <w:rFonts w:cs="Arial"/>
          <w:sz w:val="22"/>
          <w:szCs w:val="22"/>
          <w:lang w:val="fr-FR"/>
        </w:rPr>
        <w:t>spécial</w:t>
      </w:r>
      <w:r w:rsidR="0056725E">
        <w:rPr>
          <w:rFonts w:cs="Arial"/>
          <w:sz w:val="22"/>
          <w:szCs w:val="22"/>
          <w:lang w:val="fr-FR"/>
        </w:rPr>
        <w:t xml:space="preserve"> </w:t>
      </w:r>
      <w:r w:rsidR="00F10F82">
        <w:rPr>
          <w:rFonts w:cs="Arial"/>
          <w:sz w:val="22"/>
          <w:szCs w:val="22"/>
          <w:lang w:val="fr-FR"/>
        </w:rPr>
        <w:t xml:space="preserve">comme sous-groupe thématique </w:t>
      </w:r>
      <w:r w:rsidR="00B40AFF">
        <w:rPr>
          <w:rFonts w:cs="Arial"/>
          <w:sz w:val="22"/>
          <w:szCs w:val="22"/>
          <w:lang w:val="fr-FR"/>
        </w:rPr>
        <w:t xml:space="preserve">au sein du GTPE </w:t>
      </w:r>
      <w:r w:rsidR="00F10F82">
        <w:rPr>
          <w:rFonts w:cs="Arial"/>
          <w:sz w:val="22"/>
          <w:szCs w:val="22"/>
          <w:lang w:val="fr-FR"/>
        </w:rPr>
        <w:t xml:space="preserve">axé sur </w:t>
      </w:r>
      <w:r w:rsidR="00DB204E" w:rsidRPr="00F10F82">
        <w:rPr>
          <w:rFonts w:cs="Arial"/>
          <w:bCs/>
          <w:sz w:val="22"/>
          <w:szCs w:val="22"/>
          <w:lang w:val="fr-FR"/>
        </w:rPr>
        <w:t>l’empoisonnement</w:t>
      </w:r>
      <w:r w:rsidR="0056725E">
        <w:rPr>
          <w:rFonts w:cs="Arial"/>
          <w:bCs/>
          <w:sz w:val="22"/>
          <w:szCs w:val="22"/>
          <w:lang w:val="fr-FR"/>
        </w:rPr>
        <w:t xml:space="preserve"> causé par</w:t>
      </w:r>
      <w:r w:rsidR="00B40AFF">
        <w:rPr>
          <w:rFonts w:cs="Arial"/>
          <w:bCs/>
          <w:sz w:val="22"/>
          <w:szCs w:val="22"/>
          <w:lang w:val="fr-FR"/>
        </w:rPr>
        <w:t xml:space="preserve"> l</w:t>
      </w:r>
      <w:r w:rsidR="00F10F82">
        <w:rPr>
          <w:rFonts w:cs="Arial"/>
          <w:bCs/>
          <w:sz w:val="22"/>
          <w:szCs w:val="22"/>
          <w:lang w:val="fr-FR"/>
        </w:rPr>
        <w:t xml:space="preserve">es </w:t>
      </w:r>
      <w:r w:rsidR="00E97629">
        <w:rPr>
          <w:rFonts w:cs="Arial"/>
          <w:bCs/>
          <w:sz w:val="22"/>
          <w:szCs w:val="22"/>
          <w:lang w:val="fr-FR"/>
        </w:rPr>
        <w:t>munitions en plomb</w:t>
      </w:r>
      <w:r w:rsidR="00502375" w:rsidRPr="00F10F82">
        <w:rPr>
          <w:rFonts w:cs="Arial"/>
          <w:bCs/>
          <w:sz w:val="22"/>
          <w:szCs w:val="22"/>
          <w:lang w:val="fr-FR"/>
        </w:rPr>
        <w:t xml:space="preserve">, </w:t>
      </w:r>
      <w:r w:rsidR="00B40AFF">
        <w:rPr>
          <w:rFonts w:cs="Arial"/>
          <w:bCs/>
          <w:sz w:val="22"/>
          <w:szCs w:val="22"/>
          <w:lang w:val="fr-FR"/>
        </w:rPr>
        <w:lastRenderedPageBreak/>
        <w:t>l</w:t>
      </w:r>
      <w:r w:rsidR="0056725E">
        <w:rPr>
          <w:rFonts w:cs="Arial"/>
          <w:bCs/>
          <w:sz w:val="22"/>
          <w:szCs w:val="22"/>
          <w:lang w:val="fr-FR"/>
        </w:rPr>
        <w:t xml:space="preserve">es </w:t>
      </w:r>
      <w:r w:rsidR="00EE212D">
        <w:rPr>
          <w:rFonts w:cs="Arial"/>
          <w:bCs/>
          <w:sz w:val="22"/>
          <w:szCs w:val="22"/>
          <w:lang w:val="fr-FR"/>
        </w:rPr>
        <w:t>poids de pêche en plomb</w:t>
      </w:r>
      <w:r w:rsidR="00F10F82">
        <w:rPr>
          <w:rFonts w:cs="Arial"/>
          <w:bCs/>
          <w:sz w:val="22"/>
          <w:szCs w:val="22"/>
          <w:lang w:val="fr-FR"/>
        </w:rPr>
        <w:t xml:space="preserve"> et </w:t>
      </w:r>
      <w:r w:rsidR="00B40AFF">
        <w:rPr>
          <w:rFonts w:cs="Arial"/>
          <w:bCs/>
          <w:sz w:val="22"/>
          <w:szCs w:val="22"/>
          <w:lang w:val="fr-FR"/>
        </w:rPr>
        <w:t>d’</w:t>
      </w:r>
      <w:r w:rsidR="00F10F82">
        <w:rPr>
          <w:rFonts w:cs="Arial"/>
          <w:bCs/>
          <w:sz w:val="22"/>
          <w:szCs w:val="22"/>
          <w:lang w:val="fr-FR"/>
        </w:rPr>
        <w:t xml:space="preserve">autres sources </w:t>
      </w:r>
      <w:r w:rsidR="00E97629">
        <w:rPr>
          <w:rFonts w:cs="Arial"/>
          <w:bCs/>
          <w:sz w:val="22"/>
          <w:szCs w:val="22"/>
          <w:lang w:val="fr-FR"/>
        </w:rPr>
        <w:t>en plomb</w:t>
      </w:r>
      <w:r w:rsidR="00502375" w:rsidRPr="00F10F82">
        <w:rPr>
          <w:rFonts w:cs="Arial"/>
          <w:bCs/>
          <w:sz w:val="22"/>
          <w:szCs w:val="22"/>
          <w:lang w:val="fr-FR"/>
        </w:rPr>
        <w:t>,</w:t>
      </w:r>
      <w:r w:rsidR="000E788A" w:rsidRPr="00F10F82">
        <w:rPr>
          <w:rFonts w:cs="Arial"/>
          <w:sz w:val="22"/>
          <w:szCs w:val="22"/>
          <w:lang w:val="fr-FR"/>
        </w:rPr>
        <w:t xml:space="preserve"> </w:t>
      </w:r>
      <w:r w:rsidR="00B40AFF">
        <w:rPr>
          <w:rFonts w:cs="Arial"/>
          <w:sz w:val="22"/>
          <w:szCs w:val="22"/>
          <w:lang w:val="fr-FR"/>
        </w:rPr>
        <w:t xml:space="preserve">et a établi le </w:t>
      </w:r>
      <w:r w:rsidR="00F10F82">
        <w:rPr>
          <w:rFonts w:cs="Arial"/>
          <w:sz w:val="22"/>
          <w:szCs w:val="22"/>
          <w:lang w:val="fr-FR"/>
        </w:rPr>
        <w:t>m</w:t>
      </w:r>
      <w:r w:rsidR="00D9190E" w:rsidRPr="00F10F82">
        <w:rPr>
          <w:rFonts w:cs="Arial"/>
          <w:sz w:val="22"/>
          <w:szCs w:val="22"/>
          <w:lang w:val="fr-FR"/>
        </w:rPr>
        <w:t>andat</w:t>
      </w:r>
      <w:r w:rsidR="00B40AFF">
        <w:rPr>
          <w:rFonts w:cs="Arial"/>
          <w:sz w:val="22"/>
          <w:szCs w:val="22"/>
          <w:lang w:val="fr-FR"/>
        </w:rPr>
        <w:t xml:space="preserve"> de ce groupe </w:t>
      </w:r>
      <w:r w:rsidR="00292877">
        <w:rPr>
          <w:rFonts w:cs="Arial"/>
          <w:sz w:val="22"/>
          <w:szCs w:val="22"/>
          <w:lang w:val="fr-FR"/>
        </w:rPr>
        <w:t>spécial</w:t>
      </w:r>
      <w:r w:rsidR="004370B7" w:rsidRPr="00F10F82">
        <w:rPr>
          <w:rFonts w:cs="Arial"/>
          <w:sz w:val="22"/>
          <w:szCs w:val="22"/>
          <w:lang w:val="fr-FR"/>
        </w:rPr>
        <w:t>.</w:t>
      </w:r>
      <w:r w:rsidR="00F94D10" w:rsidRPr="00F10F82">
        <w:rPr>
          <w:rFonts w:cs="Arial"/>
          <w:sz w:val="22"/>
          <w:szCs w:val="22"/>
          <w:lang w:val="fr-FR"/>
        </w:rPr>
        <w:t xml:space="preserve"> </w:t>
      </w:r>
      <w:r w:rsidR="00F10F82" w:rsidRPr="00F10F82">
        <w:rPr>
          <w:rFonts w:cs="Arial"/>
          <w:sz w:val="22"/>
          <w:szCs w:val="22"/>
          <w:lang w:val="fr-FR"/>
        </w:rPr>
        <w:t>I</w:t>
      </w:r>
      <w:r w:rsidR="00F10F82">
        <w:rPr>
          <w:rFonts w:cs="Arial"/>
          <w:sz w:val="22"/>
          <w:szCs w:val="22"/>
          <w:lang w:val="fr-FR"/>
        </w:rPr>
        <w:t>l a émis également des</w:t>
      </w:r>
      <w:r w:rsidR="00F94D10" w:rsidRPr="00F10F82">
        <w:rPr>
          <w:rFonts w:cs="Arial"/>
          <w:sz w:val="22"/>
          <w:szCs w:val="22"/>
          <w:lang w:val="fr-FR"/>
        </w:rPr>
        <w:t xml:space="preserve"> </w:t>
      </w:r>
      <w:r w:rsidR="00A324B4" w:rsidRPr="00F10F82">
        <w:rPr>
          <w:rFonts w:cs="Arial"/>
          <w:sz w:val="22"/>
          <w:szCs w:val="22"/>
          <w:lang w:val="fr-FR"/>
        </w:rPr>
        <w:t xml:space="preserve">suggestions </w:t>
      </w:r>
      <w:r w:rsidR="00F10F82">
        <w:rPr>
          <w:rFonts w:cs="Arial"/>
          <w:sz w:val="22"/>
          <w:szCs w:val="22"/>
          <w:lang w:val="fr-FR"/>
        </w:rPr>
        <w:t>d’</w:t>
      </w:r>
      <w:r w:rsidR="00A324B4" w:rsidRPr="00F10F82">
        <w:rPr>
          <w:rFonts w:cs="Arial"/>
          <w:sz w:val="22"/>
          <w:szCs w:val="22"/>
          <w:lang w:val="fr-FR"/>
        </w:rPr>
        <w:t>amend</w:t>
      </w:r>
      <w:r w:rsidR="00B40AFF">
        <w:rPr>
          <w:rFonts w:cs="Arial"/>
          <w:sz w:val="22"/>
          <w:szCs w:val="22"/>
          <w:lang w:val="fr-FR"/>
        </w:rPr>
        <w:t>ement de</w:t>
      </w:r>
      <w:r w:rsidR="00F10F82">
        <w:rPr>
          <w:rFonts w:cs="Arial"/>
          <w:sz w:val="22"/>
          <w:szCs w:val="22"/>
          <w:lang w:val="fr-FR"/>
        </w:rPr>
        <w:t xml:space="preserve"> la</w:t>
      </w:r>
      <w:r w:rsidR="008B34A7" w:rsidRPr="00F10F82">
        <w:rPr>
          <w:rFonts w:cs="Arial"/>
          <w:sz w:val="22"/>
          <w:szCs w:val="22"/>
          <w:lang w:val="fr-FR"/>
        </w:rPr>
        <w:t xml:space="preserve"> </w:t>
      </w:r>
      <w:r w:rsidR="00ED27C6">
        <w:rPr>
          <w:rFonts w:cs="Arial"/>
          <w:sz w:val="22"/>
          <w:szCs w:val="22"/>
          <w:lang w:val="fr-FR"/>
        </w:rPr>
        <w:t>résolution</w:t>
      </w:r>
      <w:r w:rsidR="00F10F82">
        <w:rPr>
          <w:rFonts w:cs="Arial"/>
          <w:sz w:val="22"/>
          <w:szCs w:val="22"/>
          <w:lang w:val="fr-FR"/>
        </w:rPr>
        <w:t> </w:t>
      </w:r>
      <w:r w:rsidR="008B34A7" w:rsidRPr="00F10F82">
        <w:rPr>
          <w:rFonts w:cs="Arial"/>
          <w:sz w:val="22"/>
          <w:szCs w:val="22"/>
          <w:lang w:val="fr-FR"/>
        </w:rPr>
        <w:t>11.15.</w:t>
      </w:r>
    </w:p>
    <w:p w14:paraId="7F67F272" w14:textId="77777777" w:rsidR="00A04CC9" w:rsidRPr="00F10F82" w:rsidRDefault="00A04CC9" w:rsidP="008B1AAD">
      <w:pPr>
        <w:jc w:val="both"/>
        <w:rPr>
          <w:rFonts w:cs="Arial"/>
          <w:sz w:val="22"/>
          <w:szCs w:val="22"/>
          <w:lang w:val="fr-FR"/>
        </w:rPr>
      </w:pPr>
    </w:p>
    <w:p w14:paraId="51CD0ED3" w14:textId="5E49A69D" w:rsidR="00EB0011" w:rsidRPr="00971318" w:rsidRDefault="0056725E" w:rsidP="008575E5">
      <w:pPr>
        <w:jc w:val="both"/>
        <w:rPr>
          <w:rFonts w:cs="Arial"/>
          <w:sz w:val="22"/>
          <w:szCs w:val="22"/>
          <w:u w:val="single"/>
          <w:lang w:val="fr-FR"/>
        </w:rPr>
      </w:pPr>
      <w:r>
        <w:rPr>
          <w:rFonts w:cs="Arial"/>
          <w:sz w:val="22"/>
          <w:szCs w:val="22"/>
          <w:u w:val="single"/>
          <w:lang w:val="fr-FR"/>
        </w:rPr>
        <w:t>C</w:t>
      </w:r>
      <w:r w:rsidR="00F10F82">
        <w:rPr>
          <w:rFonts w:cs="Arial"/>
          <w:sz w:val="22"/>
          <w:szCs w:val="22"/>
          <w:u w:val="single"/>
          <w:lang w:val="fr-FR"/>
        </w:rPr>
        <w:t>oordination du G</w:t>
      </w:r>
      <w:r w:rsidR="00971318" w:rsidRPr="00971318">
        <w:rPr>
          <w:rFonts w:cs="Arial"/>
          <w:sz w:val="22"/>
          <w:szCs w:val="22"/>
          <w:u w:val="single"/>
          <w:lang w:val="fr-FR"/>
        </w:rPr>
        <w:t>roupe de travail sur la prévention de l’empoisonnement</w:t>
      </w:r>
    </w:p>
    <w:p w14:paraId="42BEA7F8" w14:textId="77777777" w:rsidR="001B36E0" w:rsidRPr="00971318" w:rsidRDefault="001B36E0" w:rsidP="008575E5">
      <w:pPr>
        <w:jc w:val="both"/>
        <w:rPr>
          <w:rFonts w:cs="Arial"/>
          <w:sz w:val="22"/>
          <w:szCs w:val="22"/>
          <w:u w:val="single"/>
          <w:lang w:val="fr-FR"/>
        </w:rPr>
      </w:pPr>
    </w:p>
    <w:p w14:paraId="282C16A1" w14:textId="388F9C09" w:rsidR="001B36E0" w:rsidRDefault="00F10F82" w:rsidP="008575E5">
      <w:pPr>
        <w:pStyle w:val="ListParagraph"/>
        <w:numPr>
          <w:ilvl w:val="0"/>
          <w:numId w:val="2"/>
        </w:numPr>
        <w:jc w:val="both"/>
        <w:rPr>
          <w:rFonts w:cs="Arial"/>
          <w:sz w:val="22"/>
          <w:szCs w:val="22"/>
          <w:lang w:val="fr-FR"/>
        </w:rPr>
      </w:pPr>
      <w:r w:rsidRPr="0056725E">
        <w:rPr>
          <w:rFonts w:cs="Arial"/>
          <w:sz w:val="22"/>
          <w:szCs w:val="22"/>
          <w:lang w:val="fr-FR"/>
        </w:rPr>
        <w:t>En l’absence de financement d’un</w:t>
      </w:r>
      <w:r w:rsidR="00D11925" w:rsidRPr="0056725E">
        <w:rPr>
          <w:rFonts w:cs="Arial"/>
          <w:sz w:val="22"/>
          <w:szCs w:val="22"/>
          <w:lang w:val="fr-FR"/>
        </w:rPr>
        <w:t xml:space="preserve"> </w:t>
      </w:r>
      <w:r w:rsidRPr="0056725E">
        <w:rPr>
          <w:rFonts w:cs="Arial"/>
          <w:sz w:val="22"/>
          <w:szCs w:val="22"/>
          <w:lang w:val="fr-FR"/>
        </w:rPr>
        <w:t>coordinateur</w:t>
      </w:r>
      <w:r w:rsidR="00D11925" w:rsidRPr="0056725E">
        <w:rPr>
          <w:rFonts w:cs="Arial"/>
          <w:sz w:val="22"/>
          <w:szCs w:val="22"/>
          <w:lang w:val="fr-FR"/>
        </w:rPr>
        <w:t xml:space="preserve">, </w:t>
      </w:r>
      <w:r w:rsidR="001B36E0" w:rsidRPr="0056725E">
        <w:rPr>
          <w:rFonts w:cs="Arial"/>
          <w:sz w:val="22"/>
          <w:szCs w:val="22"/>
          <w:lang w:val="fr-FR"/>
        </w:rPr>
        <w:t>SEO/</w:t>
      </w:r>
      <w:proofErr w:type="spellStart"/>
      <w:r w:rsidR="001B36E0" w:rsidRPr="0056725E">
        <w:rPr>
          <w:rFonts w:cs="Arial"/>
          <w:sz w:val="22"/>
          <w:szCs w:val="22"/>
          <w:lang w:val="fr-FR"/>
        </w:rPr>
        <w:t>BirdLife</w:t>
      </w:r>
      <w:proofErr w:type="spellEnd"/>
      <w:r w:rsidR="001B36E0" w:rsidRPr="0056725E">
        <w:rPr>
          <w:rFonts w:cs="Arial"/>
          <w:sz w:val="22"/>
          <w:szCs w:val="22"/>
          <w:lang w:val="fr-FR"/>
        </w:rPr>
        <w:t xml:space="preserve"> </w:t>
      </w:r>
      <w:r w:rsidRPr="0056725E">
        <w:rPr>
          <w:rFonts w:cs="Arial"/>
          <w:sz w:val="22"/>
          <w:szCs w:val="22"/>
          <w:lang w:val="fr-FR"/>
        </w:rPr>
        <w:t>Espagne</w:t>
      </w:r>
      <w:r w:rsidR="001B36E0" w:rsidRPr="0056725E">
        <w:rPr>
          <w:rFonts w:cs="Arial"/>
          <w:sz w:val="22"/>
          <w:szCs w:val="22"/>
          <w:lang w:val="fr-FR"/>
        </w:rPr>
        <w:t xml:space="preserve"> </w:t>
      </w:r>
      <w:r w:rsidR="0056725E" w:rsidRPr="0056725E">
        <w:rPr>
          <w:rFonts w:cs="Arial"/>
          <w:sz w:val="22"/>
          <w:szCs w:val="22"/>
          <w:lang w:val="fr-FR"/>
        </w:rPr>
        <w:t xml:space="preserve">a accepté de </w:t>
      </w:r>
      <w:r w:rsidR="0056725E">
        <w:rPr>
          <w:rFonts w:cs="Arial"/>
          <w:sz w:val="22"/>
          <w:szCs w:val="22"/>
          <w:lang w:val="fr-FR"/>
        </w:rPr>
        <w:t xml:space="preserve">coordonner </w:t>
      </w:r>
      <w:r w:rsidR="00370F57">
        <w:rPr>
          <w:rFonts w:cs="Arial"/>
          <w:sz w:val="22"/>
          <w:szCs w:val="22"/>
          <w:lang w:val="fr-FR"/>
        </w:rPr>
        <w:t xml:space="preserve">provisoirement </w:t>
      </w:r>
      <w:r w:rsidR="0056725E">
        <w:rPr>
          <w:rFonts w:cs="Arial"/>
          <w:sz w:val="22"/>
          <w:szCs w:val="22"/>
          <w:lang w:val="fr-FR"/>
        </w:rPr>
        <w:t xml:space="preserve">le </w:t>
      </w:r>
      <w:r w:rsidR="00302B8C">
        <w:rPr>
          <w:rFonts w:cs="Arial"/>
          <w:sz w:val="22"/>
          <w:szCs w:val="22"/>
          <w:lang w:val="fr-FR"/>
        </w:rPr>
        <w:t>GTPE</w:t>
      </w:r>
      <w:r w:rsidR="001B36E0" w:rsidRPr="0056725E">
        <w:rPr>
          <w:rFonts w:cs="Arial"/>
          <w:sz w:val="22"/>
          <w:szCs w:val="22"/>
          <w:lang w:val="fr-FR"/>
        </w:rPr>
        <w:t xml:space="preserve"> </w:t>
      </w:r>
      <w:r w:rsidR="0056725E">
        <w:rPr>
          <w:rFonts w:cs="Arial"/>
          <w:sz w:val="22"/>
          <w:szCs w:val="22"/>
          <w:lang w:val="fr-FR"/>
        </w:rPr>
        <w:t xml:space="preserve">jusqu’à la </w:t>
      </w:r>
      <w:r w:rsidR="001B36E0" w:rsidRPr="0056725E">
        <w:rPr>
          <w:rFonts w:cs="Arial"/>
          <w:sz w:val="22"/>
          <w:szCs w:val="22"/>
          <w:lang w:val="fr-FR"/>
        </w:rPr>
        <w:t xml:space="preserve">COP12. </w:t>
      </w:r>
      <w:r w:rsidR="0056725E" w:rsidRPr="0056725E">
        <w:rPr>
          <w:rFonts w:cs="Arial"/>
          <w:sz w:val="22"/>
          <w:szCs w:val="22"/>
          <w:lang w:val="fr-FR"/>
        </w:rPr>
        <w:t xml:space="preserve">Cependant, pour le début de la </w:t>
      </w:r>
      <w:r w:rsidR="00CD24E0" w:rsidRPr="0056725E">
        <w:rPr>
          <w:rFonts w:cs="Arial"/>
          <w:sz w:val="22"/>
          <w:szCs w:val="22"/>
          <w:lang w:val="fr-FR"/>
        </w:rPr>
        <w:t>période triennale</w:t>
      </w:r>
      <w:r w:rsidR="00413651" w:rsidRPr="0056725E">
        <w:rPr>
          <w:rFonts w:cs="Arial"/>
          <w:sz w:val="22"/>
          <w:szCs w:val="22"/>
          <w:lang w:val="fr-FR"/>
        </w:rPr>
        <w:t xml:space="preserve"> 2017-2020</w:t>
      </w:r>
      <w:r w:rsidR="001B36E0" w:rsidRPr="0056725E">
        <w:rPr>
          <w:rFonts w:cs="Arial"/>
          <w:sz w:val="22"/>
          <w:szCs w:val="22"/>
          <w:lang w:val="fr-FR"/>
        </w:rPr>
        <w:t xml:space="preserve">, </w:t>
      </w:r>
      <w:r w:rsidR="0056725E">
        <w:rPr>
          <w:rFonts w:cs="Arial"/>
          <w:sz w:val="22"/>
          <w:szCs w:val="22"/>
          <w:lang w:val="fr-FR"/>
        </w:rPr>
        <w:t>des ressources pour un</w:t>
      </w:r>
      <w:r w:rsidR="001B36E0" w:rsidRPr="0056725E">
        <w:rPr>
          <w:rFonts w:cs="Arial"/>
          <w:sz w:val="22"/>
          <w:szCs w:val="22"/>
          <w:lang w:val="fr-FR"/>
        </w:rPr>
        <w:t xml:space="preserve"> </w:t>
      </w:r>
      <w:r w:rsidRPr="0056725E">
        <w:rPr>
          <w:rFonts w:cs="Arial"/>
          <w:sz w:val="22"/>
          <w:szCs w:val="22"/>
          <w:lang w:val="fr-FR"/>
        </w:rPr>
        <w:t>coordinateur</w:t>
      </w:r>
      <w:r w:rsidR="0056725E">
        <w:rPr>
          <w:rFonts w:cs="Arial"/>
          <w:sz w:val="22"/>
          <w:szCs w:val="22"/>
          <w:lang w:val="fr-FR"/>
        </w:rPr>
        <w:t xml:space="preserve"> du </w:t>
      </w:r>
      <w:r w:rsidR="00302B8C">
        <w:rPr>
          <w:rFonts w:cs="Arial"/>
          <w:sz w:val="22"/>
          <w:szCs w:val="22"/>
          <w:lang w:val="fr-FR"/>
        </w:rPr>
        <w:t>GTPE</w:t>
      </w:r>
      <w:r w:rsidR="00370F57">
        <w:rPr>
          <w:rFonts w:cs="Arial"/>
          <w:sz w:val="22"/>
          <w:szCs w:val="22"/>
          <w:lang w:val="fr-FR"/>
        </w:rPr>
        <w:t xml:space="preserve"> doivent être identifiées de toute urgence</w:t>
      </w:r>
      <w:r w:rsidR="001B36E0" w:rsidRPr="0056725E">
        <w:rPr>
          <w:rFonts w:cs="Arial"/>
          <w:sz w:val="22"/>
          <w:szCs w:val="22"/>
          <w:lang w:val="fr-FR"/>
        </w:rPr>
        <w:t>.</w:t>
      </w:r>
    </w:p>
    <w:p w14:paraId="44E7D0E0" w14:textId="77777777" w:rsidR="0056725E" w:rsidRPr="0056725E" w:rsidRDefault="0056725E" w:rsidP="0056725E">
      <w:pPr>
        <w:jc w:val="both"/>
        <w:rPr>
          <w:rFonts w:cs="Arial"/>
          <w:sz w:val="22"/>
          <w:szCs w:val="22"/>
          <w:lang w:val="fr-FR"/>
        </w:rPr>
      </w:pPr>
    </w:p>
    <w:p w14:paraId="3E6CF901" w14:textId="75B0C27F" w:rsidR="00EB0011" w:rsidRPr="00EE212D" w:rsidRDefault="00370F57" w:rsidP="008575E5">
      <w:pPr>
        <w:pStyle w:val="ListParagraph"/>
        <w:numPr>
          <w:ilvl w:val="0"/>
          <w:numId w:val="2"/>
        </w:numPr>
        <w:jc w:val="both"/>
        <w:rPr>
          <w:rFonts w:cs="Arial"/>
          <w:sz w:val="22"/>
          <w:szCs w:val="22"/>
          <w:lang w:val="fr-FR"/>
        </w:rPr>
      </w:pPr>
      <w:r>
        <w:rPr>
          <w:rFonts w:cs="Arial"/>
          <w:sz w:val="22"/>
          <w:szCs w:val="22"/>
          <w:lang w:val="fr-FR"/>
        </w:rPr>
        <w:t xml:space="preserve">Pour </w:t>
      </w:r>
      <w:r w:rsidR="00F10F82" w:rsidRPr="00EE212D">
        <w:rPr>
          <w:rFonts w:cs="Arial"/>
          <w:sz w:val="22"/>
          <w:szCs w:val="22"/>
          <w:lang w:val="fr-FR"/>
        </w:rPr>
        <w:t xml:space="preserve">assurer la </w:t>
      </w:r>
      <w:r w:rsidR="00D928F5" w:rsidRPr="00EE212D">
        <w:rPr>
          <w:rFonts w:cs="Arial"/>
          <w:sz w:val="22"/>
          <w:szCs w:val="22"/>
          <w:lang w:val="fr-FR"/>
        </w:rPr>
        <w:t xml:space="preserve">mise en </w:t>
      </w:r>
      <w:r w:rsidR="0056725E">
        <w:rPr>
          <w:rFonts w:cs="Arial"/>
          <w:sz w:val="22"/>
          <w:szCs w:val="22"/>
          <w:lang w:val="fr-FR"/>
        </w:rPr>
        <w:t>œuvre</w:t>
      </w:r>
      <w:r w:rsidR="001B36E0" w:rsidRPr="00EE212D">
        <w:rPr>
          <w:rFonts w:cs="Arial"/>
          <w:sz w:val="22"/>
          <w:szCs w:val="22"/>
          <w:lang w:val="fr-FR"/>
        </w:rPr>
        <w:t xml:space="preserve"> </w:t>
      </w:r>
      <w:r w:rsidR="00F10F82" w:rsidRPr="00EE212D">
        <w:rPr>
          <w:rFonts w:cs="Arial"/>
          <w:sz w:val="22"/>
          <w:szCs w:val="22"/>
          <w:lang w:val="fr-FR"/>
        </w:rPr>
        <w:t>du programme de travail proposé</w:t>
      </w:r>
      <w:r w:rsidR="0056725E">
        <w:rPr>
          <w:rFonts w:cs="Arial"/>
          <w:sz w:val="22"/>
          <w:szCs w:val="22"/>
          <w:lang w:val="fr-FR"/>
        </w:rPr>
        <w:t>, l</w:t>
      </w:r>
      <w:r w:rsidR="001B36E0" w:rsidRPr="00EE212D">
        <w:rPr>
          <w:rFonts w:cs="Arial"/>
          <w:sz w:val="22"/>
          <w:szCs w:val="22"/>
          <w:lang w:val="fr-FR"/>
        </w:rPr>
        <w:t xml:space="preserve">e </w:t>
      </w:r>
      <w:r w:rsidR="00F10F82" w:rsidRPr="00EE212D">
        <w:rPr>
          <w:rFonts w:cs="Arial"/>
          <w:sz w:val="22"/>
          <w:szCs w:val="22"/>
          <w:lang w:val="fr-FR"/>
        </w:rPr>
        <w:t>coordinateur</w:t>
      </w:r>
      <w:r w:rsidR="001B36E0" w:rsidRPr="00EE212D">
        <w:rPr>
          <w:rFonts w:cs="Arial"/>
          <w:sz w:val="22"/>
          <w:szCs w:val="22"/>
          <w:lang w:val="fr-FR"/>
        </w:rPr>
        <w:t xml:space="preserve"> </w:t>
      </w:r>
      <w:r w:rsidR="0056725E">
        <w:rPr>
          <w:rFonts w:cs="Arial"/>
          <w:sz w:val="22"/>
          <w:szCs w:val="22"/>
          <w:lang w:val="fr-FR"/>
        </w:rPr>
        <w:t>organis</w:t>
      </w:r>
      <w:r w:rsidR="00682EAA" w:rsidRPr="00EE212D">
        <w:rPr>
          <w:rFonts w:cs="Arial"/>
          <w:sz w:val="22"/>
          <w:szCs w:val="22"/>
          <w:lang w:val="fr-FR"/>
        </w:rPr>
        <w:t>e</w:t>
      </w:r>
      <w:r w:rsidR="0056725E">
        <w:rPr>
          <w:rFonts w:cs="Arial"/>
          <w:sz w:val="22"/>
          <w:szCs w:val="22"/>
          <w:lang w:val="fr-FR"/>
        </w:rPr>
        <w:t>ra</w:t>
      </w:r>
      <w:r w:rsidR="00682EAA" w:rsidRPr="00EE212D">
        <w:rPr>
          <w:rFonts w:cs="Arial"/>
          <w:sz w:val="22"/>
          <w:szCs w:val="22"/>
          <w:lang w:val="fr-FR"/>
        </w:rPr>
        <w:t xml:space="preserve"> </w:t>
      </w:r>
      <w:r w:rsidR="0056725E">
        <w:rPr>
          <w:rFonts w:cs="Arial"/>
          <w:sz w:val="22"/>
          <w:szCs w:val="22"/>
          <w:lang w:val="fr-FR"/>
        </w:rPr>
        <w:t>l</w:t>
      </w:r>
      <w:r w:rsidR="001B36E0" w:rsidRPr="00EE212D">
        <w:rPr>
          <w:rFonts w:cs="Arial"/>
          <w:sz w:val="22"/>
          <w:szCs w:val="22"/>
          <w:lang w:val="fr-FR"/>
        </w:rPr>
        <w:t>e</w:t>
      </w:r>
      <w:r w:rsidR="0056725E">
        <w:rPr>
          <w:rFonts w:cs="Arial"/>
          <w:sz w:val="22"/>
          <w:szCs w:val="22"/>
          <w:lang w:val="fr-FR"/>
        </w:rPr>
        <w:t>s</w:t>
      </w:r>
      <w:r w:rsidR="001B36E0" w:rsidRPr="00EE212D">
        <w:rPr>
          <w:rFonts w:cs="Arial"/>
          <w:sz w:val="22"/>
          <w:szCs w:val="22"/>
          <w:lang w:val="fr-FR"/>
        </w:rPr>
        <w:t xml:space="preserve"> </w:t>
      </w:r>
      <w:r w:rsidR="00DB204E" w:rsidRPr="00EE212D">
        <w:rPr>
          <w:rFonts w:cs="Arial"/>
          <w:sz w:val="22"/>
          <w:szCs w:val="22"/>
          <w:lang w:val="fr-FR"/>
        </w:rPr>
        <w:t>réunion</w:t>
      </w:r>
      <w:r w:rsidR="00ED1671">
        <w:rPr>
          <w:rFonts w:cs="Arial"/>
          <w:sz w:val="22"/>
          <w:szCs w:val="22"/>
          <w:lang w:val="fr-FR"/>
        </w:rPr>
        <w:t>s du groupe de travail</w:t>
      </w:r>
      <w:r w:rsidR="0056725E">
        <w:rPr>
          <w:rFonts w:cs="Arial"/>
          <w:sz w:val="22"/>
          <w:szCs w:val="22"/>
          <w:lang w:val="fr-FR"/>
        </w:rPr>
        <w:t>, pré</w:t>
      </w:r>
      <w:r w:rsidR="001B36E0" w:rsidRPr="00EE212D">
        <w:rPr>
          <w:rFonts w:cs="Arial"/>
          <w:sz w:val="22"/>
          <w:szCs w:val="22"/>
          <w:lang w:val="fr-FR"/>
        </w:rPr>
        <w:t>pare</w:t>
      </w:r>
      <w:r w:rsidR="0056725E">
        <w:rPr>
          <w:rFonts w:cs="Arial"/>
          <w:sz w:val="22"/>
          <w:szCs w:val="22"/>
          <w:lang w:val="fr-FR"/>
        </w:rPr>
        <w:t>r</w:t>
      </w:r>
      <w:r>
        <w:rPr>
          <w:rFonts w:cs="Arial"/>
          <w:sz w:val="22"/>
          <w:szCs w:val="22"/>
          <w:lang w:val="fr-FR"/>
        </w:rPr>
        <w:t>a</w:t>
      </w:r>
      <w:r w:rsidR="0056725E">
        <w:rPr>
          <w:rFonts w:cs="Arial"/>
          <w:sz w:val="22"/>
          <w:szCs w:val="22"/>
          <w:lang w:val="fr-FR"/>
        </w:rPr>
        <w:t xml:space="preserve"> les </w:t>
      </w:r>
      <w:r w:rsidR="001B36E0" w:rsidRPr="00EE212D">
        <w:rPr>
          <w:rFonts w:cs="Arial"/>
          <w:sz w:val="22"/>
          <w:szCs w:val="22"/>
          <w:lang w:val="fr-FR"/>
        </w:rPr>
        <w:t>documents</w:t>
      </w:r>
      <w:r w:rsidR="0056725E">
        <w:rPr>
          <w:rFonts w:cs="Arial"/>
          <w:sz w:val="22"/>
          <w:szCs w:val="22"/>
          <w:lang w:val="fr-FR"/>
        </w:rPr>
        <w:t xml:space="preserve"> d’information, coordonnera les communications du</w:t>
      </w:r>
      <w:r>
        <w:rPr>
          <w:rFonts w:cs="Arial"/>
          <w:sz w:val="22"/>
          <w:szCs w:val="22"/>
          <w:lang w:val="fr-FR"/>
        </w:rPr>
        <w:t xml:space="preserve"> GTPE</w:t>
      </w:r>
      <w:r w:rsidR="0056725E">
        <w:rPr>
          <w:rFonts w:cs="Arial"/>
          <w:sz w:val="22"/>
          <w:szCs w:val="22"/>
          <w:lang w:val="fr-FR"/>
        </w:rPr>
        <w:t>, facilitera la</w:t>
      </w:r>
      <w:r w:rsidR="001B36E0" w:rsidRPr="00EE212D">
        <w:rPr>
          <w:rFonts w:cs="Arial"/>
          <w:sz w:val="22"/>
          <w:szCs w:val="22"/>
          <w:lang w:val="fr-FR"/>
        </w:rPr>
        <w:t xml:space="preserve"> </w:t>
      </w:r>
      <w:r w:rsidR="00EE212D" w:rsidRPr="00EE212D">
        <w:rPr>
          <w:rFonts w:cs="Arial"/>
          <w:sz w:val="22"/>
          <w:szCs w:val="22"/>
          <w:lang w:val="fr-FR"/>
        </w:rPr>
        <w:t>levée de fonds</w:t>
      </w:r>
      <w:r w:rsidR="00EE212D">
        <w:rPr>
          <w:rFonts w:cs="Arial"/>
          <w:sz w:val="22"/>
          <w:szCs w:val="22"/>
          <w:lang w:val="fr-FR"/>
        </w:rPr>
        <w:t xml:space="preserve"> et </w:t>
      </w:r>
      <w:r w:rsidR="0056725E">
        <w:rPr>
          <w:rFonts w:cs="Arial"/>
          <w:sz w:val="22"/>
          <w:szCs w:val="22"/>
          <w:lang w:val="fr-FR"/>
        </w:rPr>
        <w:t xml:space="preserve">la </w:t>
      </w:r>
      <w:r w:rsidR="00EE212D" w:rsidRPr="00EE212D">
        <w:rPr>
          <w:rFonts w:cs="Arial"/>
          <w:sz w:val="22"/>
          <w:szCs w:val="22"/>
          <w:lang w:val="fr-FR"/>
        </w:rPr>
        <w:t>mobilisation de ressources</w:t>
      </w:r>
      <w:r w:rsidR="0056725E">
        <w:rPr>
          <w:rFonts w:cs="Arial"/>
          <w:sz w:val="22"/>
          <w:szCs w:val="22"/>
          <w:lang w:val="fr-FR"/>
        </w:rPr>
        <w:t>,</w:t>
      </w:r>
      <w:r w:rsidR="00EE212D">
        <w:rPr>
          <w:rFonts w:cs="Arial"/>
          <w:sz w:val="22"/>
          <w:szCs w:val="22"/>
          <w:lang w:val="fr-FR"/>
        </w:rPr>
        <w:t xml:space="preserve"> et </w:t>
      </w:r>
      <w:r>
        <w:rPr>
          <w:rFonts w:cs="Arial"/>
          <w:sz w:val="22"/>
          <w:szCs w:val="22"/>
          <w:lang w:val="fr-FR"/>
        </w:rPr>
        <w:t>favorisera</w:t>
      </w:r>
      <w:r w:rsidR="0056725E">
        <w:rPr>
          <w:rFonts w:cs="Arial"/>
          <w:sz w:val="22"/>
          <w:szCs w:val="22"/>
          <w:lang w:val="fr-FR"/>
        </w:rPr>
        <w:t xml:space="preserve"> l’</w:t>
      </w:r>
      <w:r w:rsidR="001B36E0" w:rsidRPr="00EE212D">
        <w:rPr>
          <w:rFonts w:cs="Arial"/>
          <w:sz w:val="22"/>
          <w:szCs w:val="22"/>
          <w:lang w:val="fr-FR"/>
        </w:rPr>
        <w:t>engagement</w:t>
      </w:r>
      <w:r w:rsidR="00EE212D">
        <w:rPr>
          <w:rFonts w:cs="Arial"/>
          <w:sz w:val="22"/>
          <w:szCs w:val="22"/>
          <w:lang w:val="fr-FR"/>
        </w:rPr>
        <w:t xml:space="preserve"> </w:t>
      </w:r>
      <w:r w:rsidR="0056725E">
        <w:rPr>
          <w:rFonts w:cs="Arial"/>
          <w:sz w:val="22"/>
          <w:szCs w:val="22"/>
          <w:lang w:val="fr-FR"/>
        </w:rPr>
        <w:t>des par</w:t>
      </w:r>
      <w:r>
        <w:rPr>
          <w:rFonts w:cs="Arial"/>
          <w:sz w:val="22"/>
          <w:szCs w:val="22"/>
          <w:lang w:val="fr-FR"/>
        </w:rPr>
        <w:t xml:space="preserve">ties prenantes </w:t>
      </w:r>
      <w:r w:rsidR="00B10D13">
        <w:rPr>
          <w:rFonts w:cs="Arial"/>
          <w:sz w:val="22"/>
          <w:szCs w:val="22"/>
          <w:lang w:val="fr-FR"/>
        </w:rPr>
        <w:t>au sein et au-delà</w:t>
      </w:r>
      <w:r w:rsidR="0056725E">
        <w:rPr>
          <w:rFonts w:cs="Arial"/>
          <w:sz w:val="22"/>
          <w:szCs w:val="22"/>
          <w:lang w:val="fr-FR"/>
        </w:rPr>
        <w:t xml:space="preserve"> du</w:t>
      </w:r>
      <w:r w:rsidR="00971318" w:rsidRPr="00EE212D">
        <w:rPr>
          <w:rFonts w:cs="Arial"/>
          <w:sz w:val="22"/>
          <w:szCs w:val="22"/>
          <w:lang w:val="fr-FR"/>
        </w:rPr>
        <w:t xml:space="preserve"> groupe de travail</w:t>
      </w:r>
      <w:r w:rsidR="001B36E0" w:rsidRPr="00EE212D">
        <w:rPr>
          <w:rFonts w:cs="Arial"/>
          <w:sz w:val="22"/>
          <w:szCs w:val="22"/>
          <w:lang w:val="fr-FR"/>
        </w:rPr>
        <w:t xml:space="preserve">.  </w:t>
      </w:r>
    </w:p>
    <w:p w14:paraId="75995F05" w14:textId="77777777" w:rsidR="00EB0011" w:rsidRPr="00EE212D" w:rsidRDefault="00EB0011" w:rsidP="008575E5">
      <w:pPr>
        <w:jc w:val="both"/>
        <w:rPr>
          <w:rFonts w:cs="Arial"/>
          <w:sz w:val="22"/>
          <w:szCs w:val="22"/>
          <w:u w:val="single"/>
          <w:lang w:val="fr-FR"/>
        </w:rPr>
      </w:pPr>
    </w:p>
    <w:p w14:paraId="17DF43D9" w14:textId="1A83FB81" w:rsidR="007910DD" w:rsidRPr="00F10F82" w:rsidRDefault="00ED490C" w:rsidP="008575E5">
      <w:pPr>
        <w:jc w:val="both"/>
        <w:rPr>
          <w:rFonts w:cs="Arial"/>
          <w:sz w:val="22"/>
          <w:szCs w:val="22"/>
          <w:u w:val="single"/>
          <w:lang w:val="fr-FR"/>
        </w:rPr>
      </w:pPr>
      <w:r w:rsidRPr="00F10F82">
        <w:rPr>
          <w:rFonts w:cs="Arial"/>
          <w:sz w:val="22"/>
          <w:szCs w:val="22"/>
          <w:u w:val="single"/>
          <w:lang w:val="fr-FR"/>
        </w:rPr>
        <w:t>S</w:t>
      </w:r>
      <w:r w:rsidR="00F10F82" w:rsidRPr="00F10F82">
        <w:rPr>
          <w:rFonts w:cs="Arial"/>
          <w:sz w:val="22"/>
          <w:szCs w:val="22"/>
          <w:u w:val="single"/>
          <w:lang w:val="fr-FR"/>
        </w:rPr>
        <w:t xml:space="preserve">ynergies entre le </w:t>
      </w:r>
      <w:r w:rsidR="00302B8C">
        <w:rPr>
          <w:rFonts w:cs="Arial"/>
          <w:sz w:val="22"/>
          <w:szCs w:val="22"/>
          <w:u w:val="single"/>
          <w:lang w:val="fr-FR"/>
        </w:rPr>
        <w:t>GTPE</w:t>
      </w:r>
      <w:r w:rsidR="00F10F82" w:rsidRPr="00F10F82">
        <w:rPr>
          <w:rFonts w:cs="Arial"/>
          <w:sz w:val="22"/>
          <w:szCs w:val="22"/>
          <w:u w:val="single"/>
          <w:lang w:val="fr-FR"/>
        </w:rPr>
        <w:t xml:space="preserve"> et l</w:t>
      </w:r>
      <w:r w:rsidR="00F10F82">
        <w:rPr>
          <w:rFonts w:cs="Arial"/>
          <w:sz w:val="22"/>
          <w:szCs w:val="22"/>
          <w:u w:val="single"/>
          <w:lang w:val="fr-FR"/>
        </w:rPr>
        <w:t>e G</w:t>
      </w:r>
      <w:r w:rsidR="00971318" w:rsidRPr="00F10F82">
        <w:rPr>
          <w:rFonts w:cs="Arial"/>
          <w:sz w:val="22"/>
          <w:szCs w:val="22"/>
          <w:u w:val="single"/>
          <w:lang w:val="fr-FR"/>
        </w:rPr>
        <w:t>roupe de travail</w:t>
      </w:r>
      <w:r w:rsidR="00C302AC" w:rsidRPr="00F10F82">
        <w:rPr>
          <w:rFonts w:cs="Arial"/>
          <w:sz w:val="22"/>
          <w:szCs w:val="22"/>
          <w:u w:val="single"/>
          <w:lang w:val="fr-FR"/>
        </w:rPr>
        <w:t xml:space="preserve"> </w:t>
      </w:r>
      <w:r w:rsidR="00F10F82">
        <w:rPr>
          <w:rFonts w:cs="Arial"/>
          <w:sz w:val="22"/>
          <w:szCs w:val="22"/>
          <w:u w:val="single"/>
          <w:lang w:val="fr-FR"/>
        </w:rPr>
        <w:t xml:space="preserve">sur les vautours (VWG) et </w:t>
      </w:r>
      <w:r w:rsidR="00370F57">
        <w:rPr>
          <w:rFonts w:cs="Arial"/>
          <w:sz w:val="22"/>
          <w:szCs w:val="22"/>
          <w:u w:val="single"/>
          <w:lang w:val="fr-FR"/>
        </w:rPr>
        <w:t>le G</w:t>
      </w:r>
      <w:r w:rsidR="002D04A3">
        <w:rPr>
          <w:rFonts w:cs="Arial"/>
          <w:sz w:val="22"/>
          <w:szCs w:val="22"/>
          <w:u w:val="single"/>
          <w:lang w:val="fr-FR"/>
        </w:rPr>
        <w:t xml:space="preserve">roupe </w:t>
      </w:r>
      <w:r w:rsidR="00292877">
        <w:rPr>
          <w:rFonts w:cs="Arial"/>
          <w:sz w:val="22"/>
          <w:szCs w:val="22"/>
          <w:u w:val="single"/>
          <w:lang w:val="fr-FR"/>
        </w:rPr>
        <w:t>spécial</w:t>
      </w:r>
      <w:r w:rsidR="00C302AC" w:rsidRPr="00F10F82">
        <w:rPr>
          <w:rFonts w:cs="Arial"/>
          <w:sz w:val="22"/>
          <w:szCs w:val="22"/>
          <w:u w:val="single"/>
          <w:lang w:val="fr-FR"/>
        </w:rPr>
        <w:t xml:space="preserve"> </w:t>
      </w:r>
      <w:r w:rsidR="00370F57">
        <w:rPr>
          <w:rFonts w:cs="Arial"/>
          <w:sz w:val="22"/>
          <w:szCs w:val="22"/>
          <w:u w:val="single"/>
          <w:lang w:val="fr-FR"/>
        </w:rPr>
        <w:t>intergouvernemental</w:t>
      </w:r>
      <w:r w:rsidR="00F10F82">
        <w:rPr>
          <w:rFonts w:cs="Arial"/>
          <w:sz w:val="22"/>
          <w:szCs w:val="22"/>
          <w:u w:val="single"/>
          <w:lang w:val="fr-FR"/>
        </w:rPr>
        <w:t xml:space="preserve"> sur l’abattage, le prélèvement et le commerce illégaux des o</w:t>
      </w:r>
      <w:r w:rsidR="00DB204E" w:rsidRPr="00F10F82">
        <w:rPr>
          <w:rFonts w:cs="Arial"/>
          <w:sz w:val="22"/>
          <w:szCs w:val="22"/>
          <w:u w:val="single"/>
          <w:lang w:val="fr-FR"/>
        </w:rPr>
        <w:t>iseaux migrateurs</w:t>
      </w:r>
      <w:r w:rsidR="00F10F82">
        <w:rPr>
          <w:rFonts w:cs="Arial"/>
          <w:sz w:val="22"/>
          <w:szCs w:val="22"/>
          <w:u w:val="single"/>
          <w:lang w:val="fr-FR"/>
        </w:rPr>
        <w:t xml:space="preserve"> dans la région méditerranéenne</w:t>
      </w:r>
      <w:r w:rsidR="00C302AC" w:rsidRPr="00F10F82">
        <w:rPr>
          <w:rFonts w:cs="Arial"/>
          <w:sz w:val="22"/>
          <w:szCs w:val="22"/>
          <w:u w:val="single"/>
          <w:lang w:val="fr-FR"/>
        </w:rPr>
        <w:t xml:space="preserve"> (MIKT)</w:t>
      </w:r>
    </w:p>
    <w:p w14:paraId="6B3A8737" w14:textId="77777777" w:rsidR="00611C78" w:rsidRPr="00F10F82" w:rsidRDefault="00611C78" w:rsidP="008575E5">
      <w:pPr>
        <w:jc w:val="both"/>
        <w:rPr>
          <w:rFonts w:cs="Arial"/>
          <w:sz w:val="22"/>
          <w:szCs w:val="22"/>
          <w:lang w:val="fr-FR"/>
        </w:rPr>
      </w:pPr>
    </w:p>
    <w:p w14:paraId="3F622957" w14:textId="34AB8093" w:rsidR="00CC3B76" w:rsidRPr="00A731EC" w:rsidRDefault="00DB204E" w:rsidP="008575E5">
      <w:pPr>
        <w:pStyle w:val="ListParagraph"/>
        <w:numPr>
          <w:ilvl w:val="0"/>
          <w:numId w:val="2"/>
        </w:numPr>
        <w:jc w:val="both"/>
        <w:rPr>
          <w:rFonts w:cs="Arial"/>
          <w:sz w:val="22"/>
          <w:szCs w:val="22"/>
          <w:lang w:val="fr-FR"/>
        </w:rPr>
      </w:pPr>
      <w:r w:rsidRPr="00A731EC">
        <w:rPr>
          <w:rFonts w:cs="Arial"/>
          <w:sz w:val="22"/>
          <w:szCs w:val="22"/>
          <w:lang w:val="fr-FR"/>
        </w:rPr>
        <w:t>L’empoisonnement</w:t>
      </w:r>
      <w:r w:rsidR="00CC3B76" w:rsidRPr="00A731EC">
        <w:rPr>
          <w:rFonts w:cs="Arial"/>
          <w:sz w:val="22"/>
          <w:szCs w:val="22"/>
          <w:lang w:val="fr-FR"/>
        </w:rPr>
        <w:t xml:space="preserve"> </w:t>
      </w:r>
      <w:r w:rsidR="00A731EC" w:rsidRPr="00A731EC">
        <w:rPr>
          <w:rFonts w:cs="Arial"/>
          <w:sz w:val="22"/>
          <w:szCs w:val="22"/>
          <w:lang w:val="fr-FR"/>
        </w:rPr>
        <w:t xml:space="preserve">sous </w:t>
      </w:r>
      <w:r w:rsidR="00370F57">
        <w:rPr>
          <w:rFonts w:cs="Arial"/>
          <w:sz w:val="22"/>
          <w:szCs w:val="22"/>
          <w:lang w:val="fr-FR"/>
        </w:rPr>
        <w:t xml:space="preserve">toutes ses </w:t>
      </w:r>
      <w:r w:rsidR="00A731EC" w:rsidRPr="00A731EC">
        <w:rPr>
          <w:rFonts w:cs="Arial"/>
          <w:sz w:val="22"/>
          <w:szCs w:val="22"/>
          <w:lang w:val="fr-FR"/>
        </w:rPr>
        <w:t>form</w:t>
      </w:r>
      <w:r w:rsidR="00A731EC">
        <w:rPr>
          <w:rFonts w:cs="Arial"/>
          <w:sz w:val="22"/>
          <w:szCs w:val="22"/>
          <w:lang w:val="fr-FR"/>
        </w:rPr>
        <w:t>e</w:t>
      </w:r>
      <w:r w:rsidR="00370F57">
        <w:rPr>
          <w:rFonts w:cs="Arial"/>
          <w:sz w:val="22"/>
          <w:szCs w:val="22"/>
          <w:lang w:val="fr-FR"/>
        </w:rPr>
        <w:t>s</w:t>
      </w:r>
      <w:r w:rsidR="00A731EC" w:rsidRPr="00A731EC">
        <w:rPr>
          <w:rFonts w:cs="Arial"/>
          <w:sz w:val="22"/>
          <w:szCs w:val="22"/>
          <w:lang w:val="fr-FR"/>
        </w:rPr>
        <w:t xml:space="preserve"> constitue la </w:t>
      </w:r>
      <w:r w:rsidR="00370F57">
        <w:rPr>
          <w:rFonts w:cs="Arial"/>
          <w:sz w:val="22"/>
          <w:szCs w:val="22"/>
          <w:lang w:val="fr-FR"/>
        </w:rPr>
        <w:t xml:space="preserve">plus grave menace </w:t>
      </w:r>
      <w:r w:rsidR="00A731EC" w:rsidRPr="00A731EC">
        <w:rPr>
          <w:rFonts w:cs="Arial"/>
          <w:sz w:val="22"/>
          <w:szCs w:val="22"/>
          <w:lang w:val="fr-FR"/>
        </w:rPr>
        <w:t>pesant sur les espèces de vautours d’</w:t>
      </w:r>
      <w:r w:rsidR="00A731EC">
        <w:rPr>
          <w:rFonts w:cs="Arial"/>
          <w:sz w:val="22"/>
          <w:szCs w:val="22"/>
          <w:lang w:val="fr-FR"/>
        </w:rPr>
        <w:t>Afrique-Euras</w:t>
      </w:r>
      <w:r w:rsidR="00370F57">
        <w:rPr>
          <w:rFonts w:cs="Arial"/>
          <w:sz w:val="22"/>
          <w:szCs w:val="22"/>
          <w:lang w:val="fr-FR"/>
        </w:rPr>
        <w:t>ie qui sont visées</w:t>
      </w:r>
      <w:r w:rsidR="00D46D66">
        <w:rPr>
          <w:rFonts w:cs="Arial"/>
          <w:sz w:val="22"/>
          <w:szCs w:val="22"/>
          <w:lang w:val="fr-FR"/>
        </w:rPr>
        <w:t xml:space="preserve"> dans</w:t>
      </w:r>
      <w:r w:rsidR="00A731EC">
        <w:rPr>
          <w:rFonts w:cs="Arial"/>
          <w:sz w:val="22"/>
          <w:szCs w:val="22"/>
          <w:lang w:val="fr-FR"/>
        </w:rPr>
        <w:t xml:space="preserve"> le Plan d’action multi-espèces de la CMS pour </w:t>
      </w:r>
      <w:r w:rsidR="00D46D66">
        <w:rPr>
          <w:rFonts w:cs="Arial"/>
          <w:sz w:val="22"/>
          <w:szCs w:val="22"/>
          <w:lang w:val="fr-FR"/>
        </w:rPr>
        <w:t>la conservation des vautours d’Afrique-Eurasie</w:t>
      </w:r>
      <w:r w:rsidR="00CC3B76" w:rsidRPr="00A731EC">
        <w:rPr>
          <w:rFonts w:cs="Arial"/>
          <w:sz w:val="22"/>
          <w:szCs w:val="22"/>
          <w:lang w:val="fr-FR"/>
        </w:rPr>
        <w:t xml:space="preserve"> (</w:t>
      </w:r>
      <w:r w:rsidR="00D46D66">
        <w:rPr>
          <w:rFonts w:cs="Arial"/>
          <w:sz w:val="22"/>
          <w:szCs w:val="22"/>
          <w:lang w:val="fr-FR"/>
        </w:rPr>
        <w:t>PAME Vautours), qui sera</w:t>
      </w:r>
      <w:r w:rsidR="00CC3B76" w:rsidRPr="00A731EC">
        <w:rPr>
          <w:rFonts w:cs="Arial"/>
          <w:sz w:val="22"/>
          <w:szCs w:val="22"/>
          <w:lang w:val="fr-FR"/>
        </w:rPr>
        <w:t xml:space="preserve"> </w:t>
      </w:r>
      <w:r w:rsidR="00D46D66">
        <w:rPr>
          <w:rFonts w:cs="Arial"/>
          <w:sz w:val="22"/>
          <w:szCs w:val="22"/>
          <w:lang w:val="fr-FR"/>
        </w:rPr>
        <w:t xml:space="preserve">examiné à la </w:t>
      </w:r>
      <w:r w:rsidR="00ED490C" w:rsidRPr="00A731EC">
        <w:rPr>
          <w:rFonts w:cs="Arial"/>
          <w:sz w:val="22"/>
          <w:szCs w:val="22"/>
          <w:lang w:val="fr-FR"/>
        </w:rPr>
        <w:t>COP12</w:t>
      </w:r>
      <w:r w:rsidR="00CC3B76" w:rsidRPr="00A731EC">
        <w:rPr>
          <w:rFonts w:cs="Arial"/>
          <w:sz w:val="22"/>
          <w:szCs w:val="22"/>
          <w:lang w:val="fr-FR"/>
        </w:rPr>
        <w:t>.</w:t>
      </w:r>
    </w:p>
    <w:p w14:paraId="33D8B8DC" w14:textId="77777777" w:rsidR="00CC3B76" w:rsidRPr="00A731EC" w:rsidRDefault="00CC3B76" w:rsidP="008575E5">
      <w:pPr>
        <w:pStyle w:val="ListParagraph"/>
        <w:ind w:left="360"/>
        <w:jc w:val="both"/>
        <w:rPr>
          <w:rFonts w:cs="Arial"/>
          <w:sz w:val="22"/>
          <w:szCs w:val="22"/>
          <w:lang w:val="fr-FR"/>
        </w:rPr>
      </w:pPr>
    </w:p>
    <w:p w14:paraId="1C38A9FD" w14:textId="6A22DB9E" w:rsidR="0084230F" w:rsidRPr="00017381" w:rsidRDefault="005F0466" w:rsidP="008575E5">
      <w:pPr>
        <w:pStyle w:val="ListParagraph"/>
        <w:numPr>
          <w:ilvl w:val="0"/>
          <w:numId w:val="2"/>
        </w:numPr>
        <w:jc w:val="both"/>
        <w:rPr>
          <w:rFonts w:cs="Arial"/>
          <w:sz w:val="22"/>
          <w:szCs w:val="22"/>
          <w:lang w:val="fr-FR"/>
        </w:rPr>
      </w:pPr>
      <w:r>
        <w:rPr>
          <w:rFonts w:cs="Arial"/>
          <w:sz w:val="22"/>
          <w:szCs w:val="22"/>
          <w:lang w:val="fr-FR"/>
        </w:rPr>
        <w:t xml:space="preserve">Comme principale tâche </w:t>
      </w:r>
      <w:r w:rsidR="009C61AD">
        <w:rPr>
          <w:rFonts w:cs="Arial"/>
          <w:sz w:val="22"/>
          <w:szCs w:val="22"/>
          <w:lang w:val="fr-FR"/>
        </w:rPr>
        <w:t xml:space="preserve">énoncée </w:t>
      </w:r>
      <w:r>
        <w:rPr>
          <w:rFonts w:cs="Arial"/>
          <w:sz w:val="22"/>
          <w:szCs w:val="22"/>
          <w:lang w:val="fr-FR"/>
        </w:rPr>
        <w:t>dans</w:t>
      </w:r>
      <w:r w:rsidR="00D46D66" w:rsidRPr="00D46D66">
        <w:rPr>
          <w:rFonts w:cs="Arial"/>
          <w:sz w:val="22"/>
          <w:szCs w:val="22"/>
          <w:lang w:val="fr-FR"/>
        </w:rPr>
        <w:t xml:space="preserve"> son </w:t>
      </w:r>
      <w:r w:rsidR="00F10F82" w:rsidRPr="00D46D66">
        <w:rPr>
          <w:rFonts w:cs="Arial"/>
          <w:sz w:val="22"/>
          <w:szCs w:val="22"/>
          <w:lang w:val="fr-FR"/>
        </w:rPr>
        <w:t>programme de travail</w:t>
      </w:r>
      <w:r w:rsidR="00D46D66">
        <w:rPr>
          <w:rFonts w:cs="Arial"/>
          <w:sz w:val="22"/>
          <w:szCs w:val="22"/>
          <w:lang w:val="fr-FR"/>
        </w:rPr>
        <w:t>, l</w:t>
      </w:r>
      <w:r w:rsidR="00C302AC" w:rsidRPr="00D46D66">
        <w:rPr>
          <w:rFonts w:cs="Arial"/>
          <w:sz w:val="22"/>
          <w:szCs w:val="22"/>
          <w:lang w:val="fr-FR"/>
        </w:rPr>
        <w:t xml:space="preserve">e </w:t>
      </w:r>
      <w:r>
        <w:rPr>
          <w:rFonts w:cs="Arial"/>
          <w:sz w:val="22"/>
          <w:szCs w:val="22"/>
          <w:lang w:val="fr-FR"/>
        </w:rPr>
        <w:t>GTPE s’emploie à</w:t>
      </w:r>
      <w:r w:rsidR="009C61AD">
        <w:rPr>
          <w:rFonts w:cs="Arial"/>
          <w:sz w:val="22"/>
          <w:szCs w:val="22"/>
          <w:lang w:val="fr-FR"/>
        </w:rPr>
        <w:t xml:space="preserve"> définir la</w:t>
      </w:r>
      <w:r w:rsidR="00D46D66">
        <w:rPr>
          <w:rFonts w:cs="Arial"/>
          <w:sz w:val="22"/>
          <w:szCs w:val="22"/>
          <w:lang w:val="fr-FR"/>
        </w:rPr>
        <w:t xml:space="preserve"> </w:t>
      </w:r>
      <w:r w:rsidR="009C61AD">
        <w:rPr>
          <w:rFonts w:cs="Arial"/>
          <w:sz w:val="22"/>
          <w:szCs w:val="22"/>
          <w:lang w:val="fr-FR"/>
        </w:rPr>
        <w:t>répartition des tâches</w:t>
      </w:r>
      <w:r w:rsidR="00D46D66">
        <w:rPr>
          <w:rFonts w:cs="Arial"/>
          <w:sz w:val="22"/>
          <w:szCs w:val="22"/>
          <w:lang w:val="fr-FR"/>
        </w:rPr>
        <w:t xml:space="preserve"> et à identifier des</w:t>
      </w:r>
      <w:r w:rsidR="00C302AC" w:rsidRPr="00D46D66">
        <w:rPr>
          <w:rFonts w:cs="Arial"/>
          <w:sz w:val="22"/>
          <w:szCs w:val="22"/>
          <w:lang w:val="fr-FR"/>
        </w:rPr>
        <w:t xml:space="preserve"> synergie</w:t>
      </w:r>
      <w:r w:rsidR="003614AA" w:rsidRPr="00D46D66">
        <w:rPr>
          <w:rFonts w:cs="Arial"/>
          <w:sz w:val="22"/>
          <w:szCs w:val="22"/>
          <w:lang w:val="fr-FR"/>
        </w:rPr>
        <w:t xml:space="preserve">s </w:t>
      </w:r>
      <w:r w:rsidR="00D46D66">
        <w:rPr>
          <w:rFonts w:cs="Arial"/>
          <w:sz w:val="22"/>
          <w:szCs w:val="22"/>
          <w:lang w:val="fr-FR"/>
        </w:rPr>
        <w:t>avec l</w:t>
      </w:r>
      <w:r w:rsidR="009C61AD">
        <w:rPr>
          <w:rFonts w:cs="Arial"/>
          <w:sz w:val="22"/>
          <w:szCs w:val="22"/>
          <w:lang w:val="fr-FR"/>
        </w:rPr>
        <w:t>e G</w:t>
      </w:r>
      <w:r w:rsidR="00971318" w:rsidRPr="00D46D66">
        <w:rPr>
          <w:rFonts w:cs="Arial"/>
          <w:sz w:val="22"/>
          <w:szCs w:val="22"/>
          <w:lang w:val="fr-FR"/>
        </w:rPr>
        <w:t>roupe de travail</w:t>
      </w:r>
      <w:r w:rsidR="00A658E4" w:rsidRPr="00D46D66">
        <w:rPr>
          <w:rFonts w:cs="Arial"/>
          <w:sz w:val="22"/>
          <w:szCs w:val="22"/>
          <w:lang w:val="fr-FR"/>
        </w:rPr>
        <w:t xml:space="preserve"> </w:t>
      </w:r>
      <w:r w:rsidR="00D46D66">
        <w:rPr>
          <w:rFonts w:cs="Arial"/>
          <w:sz w:val="22"/>
          <w:szCs w:val="22"/>
          <w:lang w:val="fr-FR"/>
        </w:rPr>
        <w:t xml:space="preserve">sur les vautours </w:t>
      </w:r>
      <w:r w:rsidR="00A658E4" w:rsidRPr="00D46D66">
        <w:rPr>
          <w:rFonts w:cs="Arial"/>
          <w:sz w:val="22"/>
          <w:szCs w:val="22"/>
          <w:lang w:val="fr-FR"/>
        </w:rPr>
        <w:t>(VWG)</w:t>
      </w:r>
      <w:r w:rsidR="00D46D66">
        <w:rPr>
          <w:rFonts w:cs="Arial"/>
          <w:sz w:val="22"/>
          <w:szCs w:val="22"/>
          <w:lang w:val="fr-FR"/>
        </w:rPr>
        <w:t xml:space="preserve"> et d’autres </w:t>
      </w:r>
      <w:r w:rsidR="00D11925" w:rsidRPr="00D46D66">
        <w:rPr>
          <w:rFonts w:cs="Arial"/>
          <w:sz w:val="22"/>
          <w:szCs w:val="22"/>
          <w:lang w:val="fr-FR"/>
        </w:rPr>
        <w:t>initiatives</w:t>
      </w:r>
      <w:r w:rsidR="00D46D66">
        <w:rPr>
          <w:rFonts w:cs="Arial"/>
          <w:sz w:val="22"/>
          <w:szCs w:val="22"/>
          <w:lang w:val="fr-FR"/>
        </w:rPr>
        <w:t xml:space="preserve"> de la CMS</w:t>
      </w:r>
      <w:r w:rsidR="003614AA" w:rsidRPr="00D46D66">
        <w:rPr>
          <w:rFonts w:cs="Arial"/>
          <w:sz w:val="22"/>
          <w:szCs w:val="22"/>
          <w:lang w:val="fr-FR"/>
        </w:rPr>
        <w:t xml:space="preserve">. </w:t>
      </w:r>
      <w:r w:rsidR="009C61AD">
        <w:rPr>
          <w:rFonts w:cs="Arial"/>
          <w:sz w:val="22"/>
          <w:szCs w:val="22"/>
          <w:lang w:val="fr-FR"/>
        </w:rPr>
        <w:t>De même, selon qu’il convient</w:t>
      </w:r>
      <w:r w:rsidR="00D46D66">
        <w:rPr>
          <w:rFonts w:cs="Arial"/>
          <w:sz w:val="22"/>
          <w:szCs w:val="22"/>
          <w:lang w:val="fr-FR"/>
        </w:rPr>
        <w:t>, des similitudes</w:t>
      </w:r>
      <w:r w:rsidR="00C302AC" w:rsidRPr="00D46D66">
        <w:rPr>
          <w:rFonts w:cs="Arial"/>
          <w:sz w:val="22"/>
          <w:szCs w:val="22"/>
          <w:lang w:val="fr-FR"/>
        </w:rPr>
        <w:t xml:space="preserve"> </w:t>
      </w:r>
      <w:r w:rsidR="00D46D66">
        <w:rPr>
          <w:rFonts w:cs="Arial"/>
          <w:sz w:val="22"/>
          <w:szCs w:val="22"/>
          <w:lang w:val="fr-FR"/>
        </w:rPr>
        <w:t>structure</w:t>
      </w:r>
      <w:r w:rsidR="003614AA" w:rsidRPr="00D46D66">
        <w:rPr>
          <w:rFonts w:cs="Arial"/>
          <w:sz w:val="22"/>
          <w:szCs w:val="22"/>
          <w:lang w:val="fr-FR"/>
        </w:rPr>
        <w:t>l</w:t>
      </w:r>
      <w:r w:rsidR="00D46D66">
        <w:rPr>
          <w:rFonts w:cs="Arial"/>
          <w:sz w:val="22"/>
          <w:szCs w:val="22"/>
          <w:lang w:val="fr-FR"/>
        </w:rPr>
        <w:t>les et conceptue</w:t>
      </w:r>
      <w:r w:rsidR="003614AA" w:rsidRPr="00D46D66">
        <w:rPr>
          <w:rFonts w:cs="Arial"/>
          <w:sz w:val="22"/>
          <w:szCs w:val="22"/>
          <w:lang w:val="fr-FR"/>
        </w:rPr>
        <w:t>l</w:t>
      </w:r>
      <w:r w:rsidR="00D46D66">
        <w:rPr>
          <w:rFonts w:cs="Arial"/>
          <w:sz w:val="22"/>
          <w:szCs w:val="22"/>
          <w:lang w:val="fr-FR"/>
        </w:rPr>
        <w:t xml:space="preserve">les et des </w:t>
      </w:r>
      <w:r w:rsidR="003614AA" w:rsidRPr="00D46D66">
        <w:rPr>
          <w:rFonts w:cs="Arial"/>
          <w:sz w:val="22"/>
          <w:szCs w:val="22"/>
          <w:lang w:val="fr-FR"/>
        </w:rPr>
        <w:t xml:space="preserve">synergies </w:t>
      </w:r>
      <w:r w:rsidR="00D46D66">
        <w:rPr>
          <w:rFonts w:cs="Arial"/>
          <w:sz w:val="22"/>
          <w:szCs w:val="22"/>
          <w:lang w:val="fr-FR"/>
        </w:rPr>
        <w:t xml:space="preserve">avec </w:t>
      </w:r>
      <w:r w:rsidR="009C61AD">
        <w:rPr>
          <w:rFonts w:cs="Arial"/>
          <w:sz w:val="22"/>
          <w:szCs w:val="22"/>
          <w:lang w:val="fr-FR"/>
        </w:rPr>
        <w:t>le G</w:t>
      </w:r>
      <w:r w:rsidR="002D04A3">
        <w:rPr>
          <w:rFonts w:cs="Arial"/>
          <w:sz w:val="22"/>
          <w:szCs w:val="22"/>
          <w:lang w:val="fr-FR"/>
        </w:rPr>
        <w:t xml:space="preserve">roupe </w:t>
      </w:r>
      <w:r w:rsidR="00292877">
        <w:rPr>
          <w:rFonts w:cs="Arial"/>
          <w:sz w:val="22"/>
          <w:szCs w:val="22"/>
          <w:lang w:val="fr-FR"/>
        </w:rPr>
        <w:t>spécial</w:t>
      </w:r>
      <w:r w:rsidR="009C61AD">
        <w:rPr>
          <w:rFonts w:cs="Arial"/>
          <w:sz w:val="22"/>
          <w:szCs w:val="22"/>
          <w:lang w:val="fr-FR"/>
        </w:rPr>
        <w:t xml:space="preserve"> intergouvernemental</w:t>
      </w:r>
      <w:r w:rsidR="00D46D66">
        <w:rPr>
          <w:rFonts w:cs="Arial"/>
          <w:sz w:val="22"/>
          <w:szCs w:val="22"/>
          <w:lang w:val="fr-FR"/>
        </w:rPr>
        <w:t xml:space="preserve"> sur l</w:t>
      </w:r>
      <w:r w:rsidR="00F10F82" w:rsidRPr="00D46D66">
        <w:rPr>
          <w:rFonts w:cs="Arial"/>
          <w:sz w:val="22"/>
          <w:szCs w:val="22"/>
          <w:lang w:val="fr-FR"/>
        </w:rPr>
        <w:t>’abattage, le prélèvement et le commerce illégaux</w:t>
      </w:r>
      <w:r w:rsidR="009C61AD">
        <w:rPr>
          <w:rFonts w:cs="Arial"/>
          <w:sz w:val="22"/>
          <w:szCs w:val="22"/>
          <w:lang w:val="fr-FR"/>
        </w:rPr>
        <w:t xml:space="preserve"> d</w:t>
      </w:r>
      <w:r w:rsidR="00D46D66">
        <w:rPr>
          <w:rFonts w:cs="Arial"/>
          <w:sz w:val="22"/>
          <w:szCs w:val="22"/>
          <w:lang w:val="fr-FR"/>
        </w:rPr>
        <w:t>es o</w:t>
      </w:r>
      <w:r w:rsidR="00DB204E" w:rsidRPr="00D46D66">
        <w:rPr>
          <w:rFonts w:cs="Arial"/>
          <w:sz w:val="22"/>
          <w:szCs w:val="22"/>
          <w:lang w:val="fr-FR"/>
        </w:rPr>
        <w:t>iseaux migrateurs</w:t>
      </w:r>
      <w:r w:rsidR="00D46D66">
        <w:rPr>
          <w:rFonts w:cs="Arial"/>
          <w:sz w:val="22"/>
          <w:szCs w:val="22"/>
          <w:lang w:val="fr-FR"/>
        </w:rPr>
        <w:t xml:space="preserve"> dans la région méditerranéenne</w:t>
      </w:r>
      <w:r w:rsidR="00C302AC" w:rsidRPr="00D46D66">
        <w:rPr>
          <w:rFonts w:cs="Arial"/>
          <w:sz w:val="22"/>
          <w:szCs w:val="22"/>
          <w:lang w:val="fr-FR"/>
        </w:rPr>
        <w:t xml:space="preserve"> (MIKT)</w:t>
      </w:r>
      <w:r w:rsidR="00413651" w:rsidRPr="00D46D66">
        <w:rPr>
          <w:rFonts w:cs="Arial"/>
          <w:sz w:val="22"/>
          <w:szCs w:val="22"/>
          <w:lang w:val="fr-FR"/>
        </w:rPr>
        <w:t xml:space="preserve"> </w:t>
      </w:r>
      <w:r w:rsidR="00804851">
        <w:rPr>
          <w:rFonts w:cs="Arial"/>
          <w:sz w:val="22"/>
          <w:szCs w:val="22"/>
          <w:lang w:val="fr-FR"/>
        </w:rPr>
        <w:t>peuvent être encourag</w:t>
      </w:r>
      <w:r w:rsidR="00D46D66">
        <w:rPr>
          <w:rFonts w:cs="Arial"/>
          <w:sz w:val="22"/>
          <w:szCs w:val="22"/>
          <w:lang w:val="fr-FR"/>
        </w:rPr>
        <w:t xml:space="preserve">ées. </w:t>
      </w:r>
      <w:r w:rsidR="00804851">
        <w:rPr>
          <w:rFonts w:cs="Arial"/>
          <w:sz w:val="22"/>
          <w:szCs w:val="22"/>
          <w:lang w:val="fr-FR"/>
        </w:rPr>
        <w:t>En ce qui concerne le G</w:t>
      </w:r>
      <w:r w:rsidR="00017381">
        <w:rPr>
          <w:rFonts w:cs="Arial"/>
          <w:sz w:val="22"/>
          <w:szCs w:val="22"/>
          <w:lang w:val="fr-FR"/>
        </w:rPr>
        <w:t>roupe de travail sur les vautours</w:t>
      </w:r>
      <w:r w:rsidR="00804851">
        <w:rPr>
          <w:rFonts w:cs="Arial"/>
          <w:sz w:val="22"/>
          <w:szCs w:val="22"/>
          <w:lang w:val="fr-FR"/>
        </w:rPr>
        <w:t xml:space="preserve"> notamment</w:t>
      </w:r>
      <w:r w:rsidR="00017381">
        <w:rPr>
          <w:rFonts w:cs="Arial"/>
          <w:sz w:val="22"/>
          <w:szCs w:val="22"/>
          <w:lang w:val="fr-FR"/>
        </w:rPr>
        <w:t xml:space="preserve">, </w:t>
      </w:r>
      <w:r w:rsidR="00804851">
        <w:rPr>
          <w:rFonts w:cs="Arial"/>
          <w:sz w:val="22"/>
          <w:szCs w:val="22"/>
          <w:lang w:val="fr-FR"/>
        </w:rPr>
        <w:t>la</w:t>
      </w:r>
      <w:r w:rsidR="00017381">
        <w:rPr>
          <w:rFonts w:cs="Arial"/>
          <w:sz w:val="22"/>
          <w:szCs w:val="22"/>
          <w:lang w:val="fr-FR"/>
        </w:rPr>
        <w:t xml:space="preserve"> </w:t>
      </w:r>
      <w:r w:rsidR="009C61AD">
        <w:rPr>
          <w:rFonts w:cs="Arial"/>
          <w:sz w:val="22"/>
          <w:szCs w:val="22"/>
          <w:lang w:val="fr-FR"/>
        </w:rPr>
        <w:t>répartition des tâches</w:t>
      </w:r>
      <w:r w:rsidR="00017381">
        <w:rPr>
          <w:rFonts w:cs="Arial"/>
          <w:sz w:val="22"/>
          <w:szCs w:val="22"/>
          <w:lang w:val="fr-FR"/>
        </w:rPr>
        <w:t xml:space="preserve"> et la création de </w:t>
      </w:r>
      <w:r w:rsidR="003D22CD" w:rsidRPr="00017381">
        <w:rPr>
          <w:rFonts w:cs="Arial"/>
          <w:sz w:val="22"/>
          <w:szCs w:val="22"/>
          <w:lang w:val="fr-FR"/>
        </w:rPr>
        <w:t xml:space="preserve">synergies </w:t>
      </w:r>
      <w:r w:rsidR="00017381" w:rsidRPr="00017381">
        <w:rPr>
          <w:rFonts w:cs="Arial"/>
          <w:sz w:val="22"/>
          <w:szCs w:val="22"/>
          <w:lang w:val="fr-FR"/>
        </w:rPr>
        <w:t>nécessite</w:t>
      </w:r>
      <w:r w:rsidR="00804851">
        <w:rPr>
          <w:rFonts w:cs="Arial"/>
          <w:sz w:val="22"/>
          <w:szCs w:val="22"/>
          <w:lang w:val="fr-FR"/>
        </w:rPr>
        <w:t>nt l’achèvement et l’adoption du</w:t>
      </w:r>
      <w:r w:rsidR="00017381">
        <w:rPr>
          <w:rFonts w:cs="Arial"/>
          <w:sz w:val="22"/>
          <w:szCs w:val="22"/>
          <w:lang w:val="fr-FR"/>
        </w:rPr>
        <w:t xml:space="preserve"> cadre d’</w:t>
      </w:r>
      <w:r w:rsidR="003D22CD" w:rsidRPr="00017381">
        <w:rPr>
          <w:rFonts w:cs="Arial"/>
          <w:sz w:val="22"/>
          <w:szCs w:val="22"/>
          <w:lang w:val="fr-FR"/>
        </w:rPr>
        <w:t xml:space="preserve">action </w:t>
      </w:r>
      <w:r w:rsidR="00017381">
        <w:rPr>
          <w:rFonts w:cs="Arial"/>
          <w:sz w:val="22"/>
          <w:szCs w:val="22"/>
          <w:lang w:val="fr-FR"/>
        </w:rPr>
        <w:t xml:space="preserve">du </w:t>
      </w:r>
      <w:r w:rsidR="00D46D66" w:rsidRPr="00017381">
        <w:rPr>
          <w:rFonts w:cs="Arial"/>
          <w:sz w:val="22"/>
          <w:szCs w:val="22"/>
          <w:lang w:val="fr-FR"/>
        </w:rPr>
        <w:t>PAME Vautours</w:t>
      </w:r>
      <w:r w:rsidR="003D22CD" w:rsidRPr="00017381">
        <w:rPr>
          <w:rFonts w:cs="Arial"/>
          <w:sz w:val="22"/>
          <w:szCs w:val="22"/>
          <w:lang w:val="fr-FR"/>
        </w:rPr>
        <w:t>.</w:t>
      </w:r>
      <w:r w:rsidR="00D11925" w:rsidRPr="00017381">
        <w:rPr>
          <w:rFonts w:cs="Arial"/>
          <w:sz w:val="22"/>
          <w:szCs w:val="22"/>
          <w:lang w:val="fr-FR"/>
        </w:rPr>
        <w:t xml:space="preserve"> </w:t>
      </w:r>
      <w:r w:rsidR="00017381" w:rsidRPr="00017381">
        <w:rPr>
          <w:rFonts w:cs="Arial"/>
          <w:sz w:val="22"/>
          <w:szCs w:val="22"/>
          <w:lang w:val="fr-FR"/>
        </w:rPr>
        <w:t>L</w:t>
      </w:r>
      <w:r w:rsidR="00D11925" w:rsidRPr="00017381">
        <w:rPr>
          <w:rFonts w:cs="Arial"/>
          <w:sz w:val="22"/>
          <w:szCs w:val="22"/>
          <w:lang w:val="fr-FR"/>
        </w:rPr>
        <w:t xml:space="preserve">e </w:t>
      </w:r>
      <w:r w:rsidR="00302B8C">
        <w:rPr>
          <w:rFonts w:cs="Arial"/>
          <w:sz w:val="22"/>
          <w:szCs w:val="22"/>
          <w:lang w:val="fr-FR"/>
        </w:rPr>
        <w:t>GTPE</w:t>
      </w:r>
      <w:r w:rsidR="00D11925" w:rsidRPr="00017381">
        <w:rPr>
          <w:rFonts w:cs="Arial"/>
          <w:sz w:val="22"/>
          <w:szCs w:val="22"/>
          <w:lang w:val="fr-FR"/>
        </w:rPr>
        <w:t xml:space="preserve"> a</w:t>
      </w:r>
      <w:r w:rsidR="00804851">
        <w:rPr>
          <w:rFonts w:cs="Arial"/>
          <w:sz w:val="22"/>
          <w:szCs w:val="22"/>
          <w:lang w:val="fr-FR"/>
        </w:rPr>
        <w:t xml:space="preserve"> convenu que la</w:t>
      </w:r>
      <w:r w:rsidR="00017381" w:rsidRPr="00017381">
        <w:rPr>
          <w:rFonts w:cs="Arial"/>
          <w:sz w:val="22"/>
          <w:szCs w:val="22"/>
          <w:lang w:val="fr-FR"/>
        </w:rPr>
        <w:t xml:space="preserve"> </w:t>
      </w:r>
      <w:r w:rsidR="009C61AD">
        <w:rPr>
          <w:rFonts w:cs="Arial"/>
          <w:sz w:val="22"/>
          <w:szCs w:val="22"/>
          <w:lang w:val="fr-FR"/>
        </w:rPr>
        <w:t>répartition des tâches</w:t>
      </w:r>
      <w:r w:rsidR="00017381" w:rsidRPr="00017381">
        <w:rPr>
          <w:rFonts w:cs="Arial"/>
          <w:sz w:val="22"/>
          <w:szCs w:val="22"/>
          <w:lang w:val="fr-FR"/>
        </w:rPr>
        <w:t xml:space="preserve"> devrait </w:t>
      </w:r>
      <w:r w:rsidR="00804851">
        <w:rPr>
          <w:rFonts w:cs="Arial"/>
          <w:sz w:val="22"/>
          <w:szCs w:val="22"/>
          <w:lang w:val="fr-FR"/>
        </w:rPr>
        <w:t>être clairement indiquée</w:t>
      </w:r>
      <w:r w:rsidR="00017381">
        <w:rPr>
          <w:rFonts w:cs="Arial"/>
          <w:sz w:val="22"/>
          <w:szCs w:val="22"/>
          <w:lang w:val="fr-FR"/>
        </w:rPr>
        <w:t xml:space="preserve"> dans les</w:t>
      </w:r>
      <w:r w:rsidR="00D11925" w:rsidRPr="00017381">
        <w:rPr>
          <w:rFonts w:cs="Arial"/>
          <w:sz w:val="22"/>
          <w:szCs w:val="22"/>
          <w:lang w:val="fr-FR"/>
        </w:rPr>
        <w:t xml:space="preserve"> </w:t>
      </w:r>
      <w:r w:rsidR="00F10F82" w:rsidRPr="00017381">
        <w:rPr>
          <w:rFonts w:cs="Arial"/>
          <w:sz w:val="22"/>
          <w:szCs w:val="22"/>
          <w:lang w:val="fr-FR"/>
        </w:rPr>
        <w:t>programme</w:t>
      </w:r>
      <w:r w:rsidR="00017381">
        <w:rPr>
          <w:rFonts w:cs="Arial"/>
          <w:sz w:val="22"/>
          <w:szCs w:val="22"/>
          <w:lang w:val="fr-FR"/>
        </w:rPr>
        <w:t>s</w:t>
      </w:r>
      <w:r w:rsidR="00F10F82" w:rsidRPr="00017381">
        <w:rPr>
          <w:rFonts w:cs="Arial"/>
          <w:sz w:val="22"/>
          <w:szCs w:val="22"/>
          <w:lang w:val="fr-FR"/>
        </w:rPr>
        <w:t xml:space="preserve"> de travail</w:t>
      </w:r>
      <w:r w:rsidR="00017381">
        <w:rPr>
          <w:rFonts w:cs="Arial"/>
          <w:sz w:val="22"/>
          <w:szCs w:val="22"/>
          <w:lang w:val="fr-FR"/>
        </w:rPr>
        <w:t xml:space="preserve"> des</w:t>
      </w:r>
      <w:r w:rsidR="00971318" w:rsidRPr="00017381">
        <w:rPr>
          <w:rFonts w:cs="Arial"/>
          <w:sz w:val="22"/>
          <w:szCs w:val="22"/>
          <w:lang w:val="fr-FR"/>
        </w:rPr>
        <w:t xml:space="preserve"> groupe</w:t>
      </w:r>
      <w:r w:rsidR="00017381">
        <w:rPr>
          <w:rFonts w:cs="Arial"/>
          <w:sz w:val="22"/>
          <w:szCs w:val="22"/>
          <w:lang w:val="fr-FR"/>
        </w:rPr>
        <w:t>s</w:t>
      </w:r>
      <w:r w:rsidR="00971318" w:rsidRPr="00017381">
        <w:rPr>
          <w:rFonts w:cs="Arial"/>
          <w:sz w:val="22"/>
          <w:szCs w:val="22"/>
          <w:lang w:val="fr-FR"/>
        </w:rPr>
        <w:t xml:space="preserve"> de travail</w:t>
      </w:r>
      <w:r w:rsidR="00017381">
        <w:rPr>
          <w:rFonts w:cs="Arial"/>
          <w:sz w:val="22"/>
          <w:szCs w:val="22"/>
          <w:lang w:val="fr-FR"/>
        </w:rPr>
        <w:t xml:space="preserve"> et</w:t>
      </w:r>
      <w:r w:rsidR="00D11925" w:rsidRPr="00017381">
        <w:rPr>
          <w:rFonts w:cs="Arial"/>
          <w:sz w:val="22"/>
          <w:szCs w:val="22"/>
          <w:lang w:val="fr-FR"/>
        </w:rPr>
        <w:t xml:space="preserve"> </w:t>
      </w:r>
      <w:r w:rsidR="00804851">
        <w:rPr>
          <w:rFonts w:cs="Arial"/>
          <w:sz w:val="22"/>
          <w:szCs w:val="22"/>
          <w:lang w:val="fr-FR"/>
        </w:rPr>
        <w:t>groupes d’étude sur la faune aviaire concernés</w:t>
      </w:r>
      <w:r w:rsidR="00D11925" w:rsidRPr="00017381">
        <w:rPr>
          <w:rFonts w:cs="Arial"/>
          <w:sz w:val="22"/>
          <w:szCs w:val="22"/>
          <w:lang w:val="fr-FR"/>
        </w:rPr>
        <w:t xml:space="preserve">. </w:t>
      </w:r>
    </w:p>
    <w:p w14:paraId="44DE0F20" w14:textId="77777777" w:rsidR="00651302" w:rsidRPr="00017381" w:rsidRDefault="00651302" w:rsidP="008575E5">
      <w:pPr>
        <w:pStyle w:val="ListParagraph"/>
        <w:jc w:val="both"/>
        <w:rPr>
          <w:rFonts w:cs="Arial"/>
          <w:sz w:val="22"/>
          <w:szCs w:val="22"/>
          <w:lang w:val="fr-FR"/>
        </w:rPr>
      </w:pPr>
    </w:p>
    <w:p w14:paraId="15F70BA7" w14:textId="52E37ECA" w:rsidR="00651302" w:rsidRPr="00F10F82" w:rsidRDefault="002569D8" w:rsidP="008575E5">
      <w:pPr>
        <w:jc w:val="both"/>
        <w:rPr>
          <w:rFonts w:cs="Arial"/>
          <w:sz w:val="22"/>
          <w:szCs w:val="22"/>
          <w:u w:val="single"/>
          <w:lang w:val="fr-FR"/>
        </w:rPr>
      </w:pPr>
      <w:r>
        <w:rPr>
          <w:rFonts w:cs="Arial"/>
          <w:sz w:val="22"/>
          <w:szCs w:val="22"/>
          <w:u w:val="single"/>
          <w:lang w:val="fr-FR"/>
        </w:rPr>
        <w:t xml:space="preserve">Mise en place </w:t>
      </w:r>
      <w:r w:rsidR="005D22B5">
        <w:rPr>
          <w:rFonts w:cs="Arial"/>
          <w:sz w:val="22"/>
          <w:szCs w:val="22"/>
          <w:u w:val="single"/>
          <w:lang w:val="fr-FR"/>
        </w:rPr>
        <w:t xml:space="preserve">du </w:t>
      </w:r>
      <w:r w:rsidR="00292877">
        <w:rPr>
          <w:rFonts w:cs="Arial"/>
          <w:sz w:val="22"/>
          <w:szCs w:val="22"/>
          <w:u w:val="single"/>
          <w:lang w:val="fr-FR"/>
        </w:rPr>
        <w:t>Groupe spécial sur le plomb</w:t>
      </w:r>
    </w:p>
    <w:p w14:paraId="4186D504" w14:textId="77777777" w:rsidR="00EB0011" w:rsidRPr="00F10F82" w:rsidRDefault="00EB0011" w:rsidP="008575E5">
      <w:pPr>
        <w:jc w:val="both"/>
        <w:rPr>
          <w:rFonts w:cs="Arial"/>
          <w:sz w:val="22"/>
          <w:szCs w:val="22"/>
          <w:u w:val="single"/>
          <w:lang w:val="fr-FR"/>
        </w:rPr>
      </w:pPr>
    </w:p>
    <w:p w14:paraId="6CA6E200" w14:textId="29A4BCD2" w:rsidR="00EB0011" w:rsidRPr="00E97629" w:rsidRDefault="00F10F82" w:rsidP="008575E5">
      <w:pPr>
        <w:pStyle w:val="ListParagraph"/>
        <w:numPr>
          <w:ilvl w:val="0"/>
          <w:numId w:val="2"/>
        </w:numPr>
        <w:jc w:val="both"/>
        <w:rPr>
          <w:rFonts w:cs="Arial"/>
          <w:sz w:val="22"/>
          <w:szCs w:val="22"/>
          <w:lang w:val="fr-FR"/>
        </w:rPr>
      </w:pPr>
      <w:r w:rsidRPr="00F3243E">
        <w:rPr>
          <w:rFonts w:cs="Arial"/>
          <w:sz w:val="22"/>
          <w:szCs w:val="22"/>
          <w:lang w:val="fr-FR"/>
        </w:rPr>
        <w:t>A la</w:t>
      </w:r>
      <w:r w:rsidR="009C7730" w:rsidRPr="00F3243E">
        <w:rPr>
          <w:rFonts w:cs="Arial"/>
          <w:sz w:val="22"/>
          <w:szCs w:val="22"/>
          <w:lang w:val="fr-FR"/>
        </w:rPr>
        <w:t xml:space="preserve"> </w:t>
      </w:r>
      <w:r w:rsidR="00DB204E" w:rsidRPr="00F3243E">
        <w:rPr>
          <w:rFonts w:cs="Arial"/>
          <w:sz w:val="22"/>
          <w:szCs w:val="22"/>
          <w:lang w:val="fr-FR"/>
        </w:rPr>
        <w:t>réunion</w:t>
      </w:r>
      <w:r w:rsidRPr="00F3243E">
        <w:rPr>
          <w:rFonts w:cs="Arial"/>
          <w:sz w:val="22"/>
          <w:szCs w:val="22"/>
          <w:lang w:val="fr-FR"/>
        </w:rPr>
        <w:t xml:space="preserve"> tenue à </w:t>
      </w:r>
      <w:r w:rsidR="009C7730" w:rsidRPr="00F3243E">
        <w:rPr>
          <w:rFonts w:cs="Arial"/>
          <w:sz w:val="22"/>
          <w:szCs w:val="22"/>
          <w:lang w:val="fr-FR"/>
        </w:rPr>
        <w:t>Toledo</w:t>
      </w:r>
      <w:r w:rsidR="003A02C4" w:rsidRPr="00F3243E">
        <w:rPr>
          <w:rFonts w:cs="Arial"/>
          <w:sz w:val="22"/>
          <w:szCs w:val="22"/>
          <w:lang w:val="fr-FR"/>
        </w:rPr>
        <w:t>,</w:t>
      </w:r>
      <w:r w:rsidRPr="00F3243E">
        <w:rPr>
          <w:rFonts w:cs="Arial"/>
          <w:sz w:val="22"/>
          <w:szCs w:val="22"/>
          <w:lang w:val="fr-FR"/>
        </w:rPr>
        <w:t xml:space="preserve"> l</w:t>
      </w:r>
      <w:r w:rsidR="009C7730" w:rsidRPr="00F3243E">
        <w:rPr>
          <w:rFonts w:cs="Arial"/>
          <w:sz w:val="22"/>
          <w:szCs w:val="22"/>
          <w:lang w:val="fr-FR"/>
        </w:rPr>
        <w:t xml:space="preserve">e </w:t>
      </w:r>
      <w:r w:rsidR="00302B8C">
        <w:rPr>
          <w:rFonts w:cs="Arial"/>
          <w:sz w:val="22"/>
          <w:szCs w:val="22"/>
          <w:lang w:val="fr-FR"/>
        </w:rPr>
        <w:t>GTPE</w:t>
      </w:r>
      <w:r w:rsidR="009C7730" w:rsidRPr="00F3243E">
        <w:rPr>
          <w:rFonts w:cs="Arial"/>
          <w:sz w:val="22"/>
          <w:szCs w:val="22"/>
          <w:lang w:val="fr-FR"/>
        </w:rPr>
        <w:t xml:space="preserve"> </w:t>
      </w:r>
      <w:r w:rsidRPr="00F3243E">
        <w:rPr>
          <w:rFonts w:cs="Arial"/>
          <w:sz w:val="22"/>
          <w:szCs w:val="22"/>
          <w:lang w:val="fr-FR"/>
        </w:rPr>
        <w:t>a examiné</w:t>
      </w:r>
      <w:r w:rsidR="009C7730" w:rsidRPr="00F3243E">
        <w:rPr>
          <w:rFonts w:cs="Arial"/>
          <w:sz w:val="22"/>
          <w:szCs w:val="22"/>
          <w:lang w:val="fr-FR"/>
        </w:rPr>
        <w:t xml:space="preserve"> </w:t>
      </w:r>
      <w:r w:rsidR="00017381">
        <w:rPr>
          <w:rFonts w:cs="Arial"/>
          <w:sz w:val="22"/>
          <w:szCs w:val="22"/>
          <w:lang w:val="fr-FR"/>
        </w:rPr>
        <w:t>le m</w:t>
      </w:r>
      <w:r w:rsidR="00D9190E" w:rsidRPr="00F3243E">
        <w:rPr>
          <w:rFonts w:cs="Arial"/>
          <w:sz w:val="22"/>
          <w:szCs w:val="22"/>
          <w:lang w:val="fr-FR"/>
        </w:rPr>
        <w:t>andat</w:t>
      </w:r>
      <w:r w:rsidR="00017381">
        <w:rPr>
          <w:rFonts w:cs="Arial"/>
          <w:sz w:val="22"/>
          <w:szCs w:val="22"/>
          <w:lang w:val="fr-FR"/>
        </w:rPr>
        <w:t xml:space="preserve"> d’</w:t>
      </w:r>
      <w:r w:rsidR="00701CD2">
        <w:rPr>
          <w:rFonts w:cs="Arial"/>
          <w:sz w:val="22"/>
          <w:szCs w:val="22"/>
          <w:lang w:val="fr-FR"/>
        </w:rPr>
        <w:t>un g</w:t>
      </w:r>
      <w:r w:rsidR="002D04A3">
        <w:rPr>
          <w:rFonts w:cs="Arial"/>
          <w:sz w:val="22"/>
          <w:szCs w:val="22"/>
          <w:lang w:val="fr-FR"/>
        </w:rPr>
        <w:t xml:space="preserve">roupe </w:t>
      </w:r>
      <w:r w:rsidR="00292877">
        <w:rPr>
          <w:rFonts w:cs="Arial"/>
          <w:sz w:val="22"/>
          <w:szCs w:val="22"/>
          <w:lang w:val="fr-FR"/>
        </w:rPr>
        <w:t>spécial</w:t>
      </w:r>
      <w:r w:rsidR="009C7730" w:rsidRPr="00F3243E">
        <w:rPr>
          <w:rFonts w:cs="Arial"/>
          <w:sz w:val="22"/>
          <w:szCs w:val="22"/>
          <w:lang w:val="fr-FR"/>
        </w:rPr>
        <w:t xml:space="preserve"> </w:t>
      </w:r>
      <w:r w:rsidR="00292877">
        <w:rPr>
          <w:rFonts w:cs="Arial"/>
          <w:sz w:val="22"/>
          <w:szCs w:val="22"/>
          <w:lang w:val="fr-FR"/>
        </w:rPr>
        <w:t xml:space="preserve">sur le plomb </w:t>
      </w:r>
      <w:r w:rsidR="002569D8">
        <w:rPr>
          <w:rFonts w:cs="Arial"/>
          <w:sz w:val="22"/>
          <w:szCs w:val="22"/>
          <w:lang w:val="fr-FR"/>
        </w:rPr>
        <w:t xml:space="preserve">chargé d’étudier </w:t>
      </w:r>
      <w:r w:rsidR="00017381">
        <w:rPr>
          <w:rFonts w:cs="Arial"/>
          <w:sz w:val="22"/>
          <w:szCs w:val="22"/>
          <w:lang w:val="fr-FR"/>
        </w:rPr>
        <w:t>en priorité la question des</w:t>
      </w:r>
      <w:r w:rsidR="009C7730" w:rsidRPr="00F3243E">
        <w:rPr>
          <w:rFonts w:cs="Arial"/>
          <w:sz w:val="22"/>
          <w:szCs w:val="22"/>
          <w:lang w:val="fr-FR"/>
        </w:rPr>
        <w:t xml:space="preserve"> </w:t>
      </w:r>
      <w:r w:rsidR="00E97629">
        <w:rPr>
          <w:rFonts w:cs="Arial"/>
          <w:sz w:val="22"/>
          <w:szCs w:val="22"/>
          <w:lang w:val="fr-FR"/>
        </w:rPr>
        <w:t>munitions en plomb</w:t>
      </w:r>
      <w:r w:rsidR="009C7730" w:rsidRPr="00F3243E">
        <w:rPr>
          <w:rFonts w:cs="Arial"/>
          <w:sz w:val="22"/>
          <w:szCs w:val="22"/>
          <w:lang w:val="fr-FR"/>
        </w:rPr>
        <w:t xml:space="preserve">. </w:t>
      </w:r>
      <w:r w:rsidR="00E97629" w:rsidRPr="00E97629">
        <w:rPr>
          <w:rFonts w:cs="Arial"/>
          <w:sz w:val="22"/>
          <w:szCs w:val="22"/>
          <w:lang w:val="fr-FR"/>
        </w:rPr>
        <w:t>Les memb</w:t>
      </w:r>
      <w:r w:rsidR="00EB0011" w:rsidRPr="00E97629">
        <w:rPr>
          <w:rFonts w:cs="Arial"/>
          <w:sz w:val="22"/>
          <w:szCs w:val="22"/>
          <w:lang w:val="fr-FR"/>
        </w:rPr>
        <w:t>r</w:t>
      </w:r>
      <w:r w:rsidR="00E97629" w:rsidRPr="00E97629">
        <w:rPr>
          <w:rFonts w:cs="Arial"/>
          <w:sz w:val="22"/>
          <w:szCs w:val="22"/>
          <w:lang w:val="fr-FR"/>
        </w:rPr>
        <w:t xml:space="preserve">es </w:t>
      </w:r>
      <w:r w:rsidR="005D22B5">
        <w:rPr>
          <w:rFonts w:cs="Arial"/>
          <w:sz w:val="22"/>
          <w:szCs w:val="22"/>
          <w:lang w:val="fr-FR"/>
        </w:rPr>
        <w:t xml:space="preserve">du </w:t>
      </w:r>
      <w:r w:rsidR="00701CD2">
        <w:rPr>
          <w:rFonts w:cs="Arial"/>
          <w:sz w:val="22"/>
          <w:szCs w:val="22"/>
          <w:lang w:val="fr-FR"/>
        </w:rPr>
        <w:t xml:space="preserve">groupe </w:t>
      </w:r>
      <w:r w:rsidR="00292877">
        <w:rPr>
          <w:rFonts w:cs="Arial"/>
          <w:sz w:val="22"/>
          <w:szCs w:val="22"/>
          <w:lang w:val="fr-FR"/>
        </w:rPr>
        <w:t>spécial</w:t>
      </w:r>
      <w:r w:rsidR="009845C6" w:rsidRPr="00E97629">
        <w:rPr>
          <w:rFonts w:cs="Arial"/>
          <w:sz w:val="22"/>
          <w:szCs w:val="22"/>
          <w:lang w:val="fr-FR"/>
        </w:rPr>
        <w:t xml:space="preserve"> </w:t>
      </w:r>
      <w:r w:rsidR="002569D8">
        <w:rPr>
          <w:rFonts w:cs="Arial"/>
          <w:sz w:val="22"/>
          <w:szCs w:val="22"/>
          <w:lang w:val="fr-FR"/>
        </w:rPr>
        <w:t>seront l</w:t>
      </w:r>
      <w:r w:rsidR="00E97629" w:rsidRPr="00E97629">
        <w:rPr>
          <w:rFonts w:cs="Arial"/>
          <w:sz w:val="22"/>
          <w:szCs w:val="22"/>
          <w:lang w:val="fr-FR"/>
        </w:rPr>
        <w:t>es</w:t>
      </w:r>
      <w:r w:rsidR="009C7730" w:rsidRPr="00E97629">
        <w:rPr>
          <w:rFonts w:cs="Arial"/>
          <w:sz w:val="22"/>
          <w:szCs w:val="22"/>
          <w:lang w:val="fr-FR"/>
        </w:rPr>
        <w:t xml:space="preserve"> </w:t>
      </w:r>
      <w:r w:rsidR="00E97629">
        <w:rPr>
          <w:rFonts w:cs="Arial"/>
          <w:sz w:val="22"/>
          <w:szCs w:val="22"/>
          <w:lang w:val="fr-FR"/>
        </w:rPr>
        <w:t xml:space="preserve">représentants des accords multilatéraux sur l’environnement </w:t>
      </w:r>
      <w:r w:rsidR="002569D8">
        <w:rPr>
          <w:rFonts w:cs="Arial"/>
          <w:sz w:val="22"/>
          <w:szCs w:val="22"/>
          <w:lang w:val="fr-FR"/>
        </w:rPr>
        <w:t>participants, l</w:t>
      </w:r>
      <w:r w:rsidR="00E97629">
        <w:rPr>
          <w:rFonts w:cs="Arial"/>
          <w:sz w:val="22"/>
          <w:szCs w:val="22"/>
          <w:lang w:val="fr-FR"/>
        </w:rPr>
        <w:t>es Partie</w:t>
      </w:r>
      <w:r w:rsidR="002569D8">
        <w:rPr>
          <w:rFonts w:cs="Arial"/>
          <w:sz w:val="22"/>
          <w:szCs w:val="22"/>
          <w:lang w:val="fr-FR"/>
        </w:rPr>
        <w:t>s à la CMS et à l’AEWA</w:t>
      </w:r>
      <w:r w:rsidR="00E97629">
        <w:rPr>
          <w:rFonts w:cs="Arial"/>
          <w:sz w:val="22"/>
          <w:szCs w:val="22"/>
          <w:lang w:val="fr-FR"/>
        </w:rPr>
        <w:t>, ainsi que des établissements universitaires, des ONG</w:t>
      </w:r>
      <w:r w:rsidR="002569D8">
        <w:rPr>
          <w:rFonts w:cs="Arial"/>
          <w:sz w:val="22"/>
          <w:szCs w:val="22"/>
          <w:lang w:val="fr-FR"/>
        </w:rPr>
        <w:t>, des représentants d’industrie et d’autres</w:t>
      </w:r>
      <w:r w:rsidR="00EB0011" w:rsidRPr="00E97629">
        <w:rPr>
          <w:rFonts w:cs="Arial"/>
          <w:sz w:val="22"/>
          <w:szCs w:val="22"/>
          <w:lang w:val="fr-FR"/>
        </w:rPr>
        <w:t xml:space="preserve"> </w:t>
      </w:r>
      <w:r w:rsidR="00E97629">
        <w:rPr>
          <w:rFonts w:cs="Arial"/>
          <w:sz w:val="22"/>
          <w:szCs w:val="22"/>
          <w:lang w:val="fr-FR"/>
        </w:rPr>
        <w:t>parties prenantes, selon qu’il convient</w:t>
      </w:r>
      <w:r w:rsidR="009845C6" w:rsidRPr="00E97629">
        <w:rPr>
          <w:rFonts w:cs="Arial"/>
          <w:sz w:val="22"/>
          <w:szCs w:val="22"/>
          <w:lang w:val="fr-FR"/>
        </w:rPr>
        <w:t>.</w:t>
      </w:r>
    </w:p>
    <w:p w14:paraId="59391B40" w14:textId="77777777" w:rsidR="00651302" w:rsidRPr="00E97629" w:rsidRDefault="00651302" w:rsidP="008575E5">
      <w:pPr>
        <w:jc w:val="both"/>
        <w:rPr>
          <w:rFonts w:cs="Arial"/>
          <w:sz w:val="22"/>
          <w:szCs w:val="22"/>
          <w:lang w:val="fr-FR"/>
        </w:rPr>
      </w:pPr>
    </w:p>
    <w:p w14:paraId="7ED74CD3" w14:textId="6A16833F" w:rsidR="00651302" w:rsidRPr="001E09A7" w:rsidRDefault="00701CD2" w:rsidP="008575E5">
      <w:pPr>
        <w:pStyle w:val="ListParagraph"/>
        <w:numPr>
          <w:ilvl w:val="0"/>
          <w:numId w:val="2"/>
        </w:numPr>
        <w:jc w:val="both"/>
        <w:rPr>
          <w:rFonts w:cs="Arial"/>
          <w:sz w:val="22"/>
          <w:szCs w:val="22"/>
          <w:lang w:val="fr-FR"/>
        </w:rPr>
      </w:pPr>
      <w:r>
        <w:rPr>
          <w:rFonts w:cs="Arial"/>
          <w:sz w:val="22"/>
          <w:szCs w:val="22"/>
          <w:lang w:val="fr-FR"/>
        </w:rPr>
        <w:t>Le g</w:t>
      </w:r>
      <w:r w:rsidR="002D04A3">
        <w:rPr>
          <w:rFonts w:cs="Arial"/>
          <w:sz w:val="22"/>
          <w:szCs w:val="22"/>
          <w:lang w:val="fr-FR"/>
        </w:rPr>
        <w:t xml:space="preserve">roupe </w:t>
      </w:r>
      <w:r w:rsidR="00292877">
        <w:rPr>
          <w:rFonts w:cs="Arial"/>
          <w:sz w:val="22"/>
          <w:szCs w:val="22"/>
          <w:lang w:val="fr-FR"/>
        </w:rPr>
        <w:t>spécial</w:t>
      </w:r>
      <w:r w:rsidR="002569D8">
        <w:rPr>
          <w:rFonts w:cs="Arial"/>
          <w:sz w:val="22"/>
          <w:szCs w:val="22"/>
          <w:lang w:val="fr-FR"/>
        </w:rPr>
        <w:t xml:space="preserve"> </w:t>
      </w:r>
      <w:r w:rsidR="00292877">
        <w:rPr>
          <w:rFonts w:cs="Arial"/>
          <w:sz w:val="22"/>
          <w:szCs w:val="22"/>
          <w:lang w:val="fr-FR"/>
        </w:rPr>
        <w:t xml:space="preserve">sur le plomb </w:t>
      </w:r>
      <w:r w:rsidR="002569D8">
        <w:rPr>
          <w:rFonts w:cs="Arial"/>
          <w:sz w:val="22"/>
          <w:szCs w:val="22"/>
          <w:lang w:val="fr-FR"/>
        </w:rPr>
        <w:t>proposé doit</w:t>
      </w:r>
      <w:r w:rsidR="006070D6" w:rsidRPr="001E09A7">
        <w:rPr>
          <w:rFonts w:cs="Arial"/>
          <w:sz w:val="22"/>
          <w:szCs w:val="22"/>
          <w:lang w:val="fr-FR"/>
        </w:rPr>
        <w:t xml:space="preserve"> identifier</w:t>
      </w:r>
      <w:r w:rsidR="00382FA8" w:rsidRPr="001E09A7">
        <w:rPr>
          <w:rFonts w:cs="Arial"/>
          <w:sz w:val="22"/>
          <w:szCs w:val="22"/>
          <w:lang w:val="fr-FR"/>
        </w:rPr>
        <w:t xml:space="preserve"> </w:t>
      </w:r>
      <w:r w:rsidR="006070D6" w:rsidRPr="001E09A7">
        <w:rPr>
          <w:rFonts w:cs="Arial"/>
          <w:sz w:val="22"/>
          <w:szCs w:val="22"/>
          <w:lang w:val="fr-FR"/>
        </w:rPr>
        <w:t xml:space="preserve">les </w:t>
      </w:r>
      <w:r w:rsidR="001E09A7" w:rsidRPr="001E09A7">
        <w:rPr>
          <w:rFonts w:cs="Arial"/>
          <w:sz w:val="22"/>
          <w:szCs w:val="22"/>
          <w:lang w:val="fr-FR"/>
        </w:rPr>
        <w:t>objectifs</w:t>
      </w:r>
      <w:r w:rsidR="00382FA8" w:rsidRPr="001E09A7">
        <w:rPr>
          <w:rFonts w:cs="Arial"/>
          <w:sz w:val="22"/>
          <w:szCs w:val="22"/>
          <w:lang w:val="fr-FR"/>
        </w:rPr>
        <w:t xml:space="preserve">, </w:t>
      </w:r>
      <w:r w:rsidR="002569D8">
        <w:rPr>
          <w:rFonts w:cs="Arial"/>
          <w:sz w:val="22"/>
          <w:szCs w:val="22"/>
          <w:lang w:val="fr-FR"/>
        </w:rPr>
        <w:t xml:space="preserve">les </w:t>
      </w:r>
      <w:r w:rsidR="001E09A7" w:rsidRPr="001E09A7">
        <w:rPr>
          <w:rFonts w:cs="Arial"/>
          <w:sz w:val="22"/>
          <w:szCs w:val="22"/>
          <w:lang w:val="fr-FR"/>
        </w:rPr>
        <w:t>indicateurs</w:t>
      </w:r>
      <w:r w:rsidR="00382FA8" w:rsidRPr="001E09A7">
        <w:rPr>
          <w:rFonts w:cs="Arial"/>
          <w:sz w:val="22"/>
          <w:szCs w:val="22"/>
          <w:lang w:val="fr-FR"/>
        </w:rPr>
        <w:t xml:space="preserve">, </w:t>
      </w:r>
      <w:r w:rsidR="002569D8">
        <w:rPr>
          <w:rFonts w:cs="Arial"/>
          <w:sz w:val="22"/>
          <w:szCs w:val="22"/>
          <w:lang w:val="fr-FR"/>
        </w:rPr>
        <w:t xml:space="preserve">le </w:t>
      </w:r>
      <w:r w:rsidR="001E09A7" w:rsidRPr="001E09A7">
        <w:rPr>
          <w:rFonts w:cs="Arial"/>
          <w:sz w:val="22"/>
          <w:szCs w:val="22"/>
          <w:lang w:val="fr-FR"/>
        </w:rPr>
        <w:t>champ d’applic</w:t>
      </w:r>
      <w:r w:rsidR="001E09A7">
        <w:rPr>
          <w:rFonts w:cs="Arial"/>
          <w:sz w:val="22"/>
          <w:szCs w:val="22"/>
          <w:lang w:val="fr-FR"/>
        </w:rPr>
        <w:t xml:space="preserve">ation, </w:t>
      </w:r>
      <w:r w:rsidR="002569D8">
        <w:rPr>
          <w:rFonts w:cs="Arial"/>
          <w:sz w:val="22"/>
          <w:szCs w:val="22"/>
          <w:lang w:val="fr-FR"/>
        </w:rPr>
        <w:t xml:space="preserve">les </w:t>
      </w:r>
      <w:r w:rsidR="001E09A7">
        <w:rPr>
          <w:rFonts w:cs="Arial"/>
          <w:sz w:val="22"/>
          <w:szCs w:val="22"/>
          <w:lang w:val="fr-FR"/>
        </w:rPr>
        <w:t xml:space="preserve">organismes responsables, </w:t>
      </w:r>
      <w:r w:rsidR="002569D8">
        <w:rPr>
          <w:rFonts w:cs="Arial"/>
          <w:sz w:val="22"/>
          <w:szCs w:val="22"/>
          <w:lang w:val="fr-FR"/>
        </w:rPr>
        <w:t xml:space="preserve">les </w:t>
      </w:r>
      <w:r w:rsidR="00382FA8" w:rsidRPr="001E09A7">
        <w:rPr>
          <w:rFonts w:cs="Arial"/>
          <w:sz w:val="22"/>
          <w:szCs w:val="22"/>
          <w:lang w:val="fr-FR"/>
        </w:rPr>
        <w:t xml:space="preserve">budgets, </w:t>
      </w:r>
      <w:r w:rsidR="002569D8">
        <w:rPr>
          <w:rFonts w:cs="Arial"/>
          <w:sz w:val="22"/>
          <w:szCs w:val="22"/>
          <w:lang w:val="fr-FR"/>
        </w:rPr>
        <w:t xml:space="preserve">les </w:t>
      </w:r>
      <w:r w:rsidR="001E09A7">
        <w:rPr>
          <w:rFonts w:cs="Arial"/>
          <w:sz w:val="22"/>
          <w:szCs w:val="22"/>
          <w:lang w:val="fr-FR"/>
        </w:rPr>
        <w:t xml:space="preserve">échéances et </w:t>
      </w:r>
      <w:r w:rsidR="002569D8">
        <w:rPr>
          <w:rFonts w:cs="Arial"/>
          <w:sz w:val="22"/>
          <w:szCs w:val="22"/>
          <w:lang w:val="fr-FR"/>
        </w:rPr>
        <w:t xml:space="preserve">les </w:t>
      </w:r>
      <w:r w:rsidR="001E09A7">
        <w:rPr>
          <w:rFonts w:cs="Arial"/>
          <w:sz w:val="22"/>
          <w:szCs w:val="22"/>
          <w:lang w:val="fr-FR"/>
        </w:rPr>
        <w:t>priorité</w:t>
      </w:r>
      <w:r w:rsidR="00382FA8" w:rsidRPr="001E09A7">
        <w:rPr>
          <w:rFonts w:cs="Arial"/>
          <w:sz w:val="22"/>
          <w:szCs w:val="22"/>
          <w:lang w:val="fr-FR"/>
        </w:rPr>
        <w:t>s</w:t>
      </w:r>
      <w:r w:rsidR="00ED1671">
        <w:rPr>
          <w:rFonts w:cs="Arial"/>
          <w:sz w:val="22"/>
          <w:szCs w:val="22"/>
          <w:lang w:val="fr-FR"/>
        </w:rPr>
        <w:t xml:space="preserve"> pour </w:t>
      </w:r>
      <w:r w:rsidR="001E09A7">
        <w:rPr>
          <w:rFonts w:cs="Arial"/>
          <w:sz w:val="22"/>
          <w:szCs w:val="22"/>
          <w:lang w:val="fr-FR"/>
        </w:rPr>
        <w:t xml:space="preserve">les mesures prévues dans le </w:t>
      </w:r>
      <w:r w:rsidR="00F10F82" w:rsidRPr="001E09A7">
        <w:rPr>
          <w:rFonts w:cs="Arial"/>
          <w:sz w:val="22"/>
          <w:szCs w:val="22"/>
          <w:lang w:val="fr-FR"/>
        </w:rPr>
        <w:t>programme de travail</w:t>
      </w:r>
      <w:r w:rsidR="001E09A7">
        <w:rPr>
          <w:rFonts w:cs="Arial"/>
          <w:sz w:val="22"/>
          <w:szCs w:val="22"/>
          <w:lang w:val="fr-FR"/>
        </w:rPr>
        <w:t xml:space="preserve"> du </w:t>
      </w:r>
      <w:r w:rsidR="00302B8C">
        <w:rPr>
          <w:rFonts w:cs="Arial"/>
          <w:sz w:val="22"/>
          <w:szCs w:val="22"/>
          <w:lang w:val="fr-FR"/>
        </w:rPr>
        <w:t>GTPE</w:t>
      </w:r>
      <w:r w:rsidR="00EB0011" w:rsidRPr="001E09A7">
        <w:rPr>
          <w:rFonts w:cs="Arial"/>
          <w:sz w:val="22"/>
          <w:szCs w:val="22"/>
          <w:lang w:val="fr-FR"/>
        </w:rPr>
        <w:t>.</w:t>
      </w:r>
    </w:p>
    <w:p w14:paraId="24AB2E0B" w14:textId="77777777" w:rsidR="00127CC7" w:rsidRPr="001E09A7" w:rsidRDefault="00127CC7" w:rsidP="008575E5">
      <w:pPr>
        <w:pStyle w:val="ListParagraph"/>
        <w:jc w:val="both"/>
        <w:rPr>
          <w:rFonts w:cs="Arial"/>
          <w:sz w:val="22"/>
          <w:szCs w:val="22"/>
          <w:lang w:val="fr-FR"/>
        </w:rPr>
      </w:pPr>
    </w:p>
    <w:p w14:paraId="56122B58" w14:textId="0A504E1E" w:rsidR="00127CC7" w:rsidRPr="00E97629" w:rsidRDefault="001E09A7" w:rsidP="008575E5">
      <w:pPr>
        <w:pStyle w:val="ListParagraph"/>
        <w:numPr>
          <w:ilvl w:val="0"/>
          <w:numId w:val="2"/>
        </w:numPr>
        <w:jc w:val="both"/>
        <w:rPr>
          <w:rFonts w:cs="Arial"/>
          <w:sz w:val="22"/>
          <w:szCs w:val="22"/>
          <w:lang w:val="fr-FR"/>
        </w:rPr>
      </w:pPr>
      <w:r w:rsidRPr="001E09A7">
        <w:rPr>
          <w:rFonts w:cs="Arial"/>
          <w:sz w:val="22"/>
          <w:szCs w:val="22"/>
          <w:lang w:val="fr-FR"/>
        </w:rPr>
        <w:t>Les r</w:t>
      </w:r>
      <w:r w:rsidR="00127CC7" w:rsidRPr="001E09A7">
        <w:rPr>
          <w:rFonts w:cs="Arial"/>
          <w:sz w:val="22"/>
          <w:szCs w:val="22"/>
          <w:lang w:val="fr-FR"/>
        </w:rPr>
        <w:t>es</w:t>
      </w:r>
      <w:r w:rsidRPr="001E09A7">
        <w:rPr>
          <w:rFonts w:cs="Arial"/>
          <w:sz w:val="22"/>
          <w:szCs w:val="22"/>
          <w:lang w:val="fr-FR"/>
        </w:rPr>
        <w:t>s</w:t>
      </w:r>
      <w:r w:rsidR="00127CC7" w:rsidRPr="001E09A7">
        <w:rPr>
          <w:rFonts w:cs="Arial"/>
          <w:sz w:val="22"/>
          <w:szCs w:val="22"/>
          <w:lang w:val="fr-FR"/>
        </w:rPr>
        <w:t xml:space="preserve">ources </w:t>
      </w:r>
      <w:r w:rsidRPr="001E09A7">
        <w:rPr>
          <w:rFonts w:cs="Arial"/>
          <w:sz w:val="22"/>
          <w:szCs w:val="22"/>
          <w:lang w:val="fr-FR"/>
        </w:rPr>
        <w:t>disponibles pour le financement</w:t>
      </w:r>
      <w:r>
        <w:rPr>
          <w:rFonts w:cs="Arial"/>
          <w:sz w:val="22"/>
          <w:szCs w:val="22"/>
          <w:lang w:val="fr-FR"/>
        </w:rPr>
        <w:t xml:space="preserve"> d’un </w:t>
      </w:r>
      <w:r w:rsidR="00F10F82" w:rsidRPr="001E09A7">
        <w:rPr>
          <w:rFonts w:cs="Arial"/>
          <w:sz w:val="22"/>
          <w:szCs w:val="22"/>
          <w:lang w:val="fr-FR"/>
        </w:rPr>
        <w:t>coordinateur</w:t>
      </w:r>
      <w:r>
        <w:rPr>
          <w:rFonts w:cs="Arial"/>
          <w:sz w:val="22"/>
          <w:szCs w:val="22"/>
          <w:lang w:val="fr-FR"/>
        </w:rPr>
        <w:t xml:space="preserve"> </w:t>
      </w:r>
      <w:r w:rsidR="005D22B5">
        <w:rPr>
          <w:rFonts w:cs="Arial"/>
          <w:sz w:val="22"/>
          <w:szCs w:val="22"/>
          <w:lang w:val="fr-FR"/>
        </w:rPr>
        <w:t xml:space="preserve">du </w:t>
      </w:r>
      <w:r w:rsidR="00701CD2">
        <w:rPr>
          <w:rFonts w:cs="Arial"/>
          <w:sz w:val="22"/>
          <w:szCs w:val="22"/>
          <w:lang w:val="fr-FR"/>
        </w:rPr>
        <w:t xml:space="preserve">groupe </w:t>
      </w:r>
      <w:r w:rsidR="00292877">
        <w:rPr>
          <w:rFonts w:cs="Arial"/>
          <w:sz w:val="22"/>
          <w:szCs w:val="22"/>
          <w:lang w:val="fr-FR"/>
        </w:rPr>
        <w:t>spécial</w:t>
      </w:r>
      <w:r w:rsidR="00127CC7" w:rsidRPr="001E09A7">
        <w:rPr>
          <w:rFonts w:cs="Arial"/>
          <w:sz w:val="22"/>
          <w:szCs w:val="22"/>
          <w:lang w:val="fr-FR"/>
        </w:rPr>
        <w:t xml:space="preserve"> </w:t>
      </w:r>
      <w:r w:rsidR="00292877">
        <w:rPr>
          <w:rFonts w:cs="Arial"/>
          <w:sz w:val="22"/>
          <w:szCs w:val="22"/>
          <w:lang w:val="fr-FR"/>
        </w:rPr>
        <w:t xml:space="preserve">sur le plomb </w:t>
      </w:r>
      <w:r>
        <w:rPr>
          <w:rFonts w:cs="Arial"/>
          <w:sz w:val="22"/>
          <w:szCs w:val="22"/>
          <w:lang w:val="fr-FR"/>
        </w:rPr>
        <w:t xml:space="preserve">doivent être </w:t>
      </w:r>
      <w:r w:rsidR="00127CC7" w:rsidRPr="001E09A7">
        <w:rPr>
          <w:rFonts w:cs="Arial"/>
          <w:sz w:val="22"/>
          <w:szCs w:val="22"/>
          <w:lang w:val="fr-FR"/>
        </w:rPr>
        <w:t>identifi</w:t>
      </w:r>
      <w:r>
        <w:rPr>
          <w:rFonts w:cs="Arial"/>
          <w:sz w:val="22"/>
          <w:szCs w:val="22"/>
          <w:lang w:val="fr-FR"/>
        </w:rPr>
        <w:t>ées</w:t>
      </w:r>
      <w:r w:rsidR="00127CC7" w:rsidRPr="001E09A7">
        <w:rPr>
          <w:rFonts w:cs="Arial"/>
          <w:sz w:val="22"/>
          <w:szCs w:val="22"/>
          <w:lang w:val="fr-FR"/>
        </w:rPr>
        <w:t xml:space="preserve">. </w:t>
      </w:r>
      <w:r w:rsidR="00E97629" w:rsidRPr="00E97629">
        <w:rPr>
          <w:rFonts w:cs="Arial"/>
          <w:sz w:val="22"/>
          <w:szCs w:val="22"/>
          <w:lang w:val="fr-FR"/>
        </w:rPr>
        <w:t xml:space="preserve">Selon les termes </w:t>
      </w:r>
      <w:r w:rsidR="00E97629">
        <w:rPr>
          <w:rFonts w:cs="Arial"/>
          <w:sz w:val="22"/>
          <w:szCs w:val="22"/>
          <w:lang w:val="fr-FR"/>
        </w:rPr>
        <w:t xml:space="preserve">du </w:t>
      </w:r>
      <w:r w:rsidRPr="00E97629">
        <w:rPr>
          <w:rFonts w:cs="Arial"/>
          <w:sz w:val="22"/>
          <w:szCs w:val="22"/>
          <w:lang w:val="fr-FR"/>
        </w:rPr>
        <w:t>mandat</w:t>
      </w:r>
      <w:r w:rsidR="00E97629">
        <w:rPr>
          <w:rFonts w:cs="Arial"/>
          <w:sz w:val="22"/>
          <w:szCs w:val="22"/>
          <w:lang w:val="fr-FR"/>
        </w:rPr>
        <w:t xml:space="preserve"> proposé, l</w:t>
      </w:r>
      <w:r w:rsidR="00127CC7" w:rsidRPr="00E97629">
        <w:rPr>
          <w:rFonts w:cs="Arial"/>
          <w:sz w:val="22"/>
          <w:szCs w:val="22"/>
          <w:lang w:val="fr-FR"/>
        </w:rPr>
        <w:t xml:space="preserve">e </w:t>
      </w:r>
      <w:r w:rsidR="00F10F82" w:rsidRPr="00E97629">
        <w:rPr>
          <w:rFonts w:cs="Arial"/>
          <w:sz w:val="22"/>
          <w:szCs w:val="22"/>
          <w:lang w:val="fr-FR"/>
        </w:rPr>
        <w:t>coordinateur</w:t>
      </w:r>
      <w:r w:rsidR="00E97629">
        <w:rPr>
          <w:rFonts w:cs="Arial"/>
          <w:sz w:val="22"/>
          <w:szCs w:val="22"/>
          <w:lang w:val="fr-FR"/>
        </w:rPr>
        <w:t xml:space="preserve"> </w:t>
      </w:r>
      <w:r w:rsidR="00682EAA" w:rsidRPr="00E97629">
        <w:rPr>
          <w:rFonts w:cs="Arial"/>
          <w:sz w:val="22"/>
          <w:szCs w:val="22"/>
          <w:lang w:val="fr-FR"/>
        </w:rPr>
        <w:t>organi</w:t>
      </w:r>
      <w:r w:rsidR="00E97629">
        <w:rPr>
          <w:rFonts w:cs="Arial"/>
          <w:sz w:val="22"/>
          <w:szCs w:val="22"/>
          <w:lang w:val="fr-FR"/>
        </w:rPr>
        <w:t>s</w:t>
      </w:r>
      <w:r w:rsidR="00682EAA" w:rsidRPr="00E97629">
        <w:rPr>
          <w:rFonts w:cs="Arial"/>
          <w:sz w:val="22"/>
          <w:szCs w:val="22"/>
          <w:lang w:val="fr-FR"/>
        </w:rPr>
        <w:t>e</w:t>
      </w:r>
      <w:r w:rsidR="00E97629">
        <w:rPr>
          <w:rFonts w:cs="Arial"/>
          <w:sz w:val="22"/>
          <w:szCs w:val="22"/>
          <w:lang w:val="fr-FR"/>
        </w:rPr>
        <w:t>ra</w:t>
      </w:r>
      <w:r w:rsidR="00682EAA" w:rsidRPr="00E97629">
        <w:rPr>
          <w:rFonts w:cs="Arial"/>
          <w:sz w:val="22"/>
          <w:szCs w:val="22"/>
          <w:lang w:val="fr-FR"/>
        </w:rPr>
        <w:t xml:space="preserve"> </w:t>
      </w:r>
      <w:r w:rsidR="00E97629">
        <w:rPr>
          <w:rFonts w:cs="Arial"/>
          <w:sz w:val="22"/>
          <w:szCs w:val="22"/>
          <w:lang w:val="fr-FR"/>
        </w:rPr>
        <w:t>les</w:t>
      </w:r>
      <w:r w:rsidR="00127CC7" w:rsidRPr="00E97629">
        <w:rPr>
          <w:rFonts w:cs="Arial"/>
          <w:sz w:val="22"/>
          <w:szCs w:val="22"/>
          <w:lang w:val="fr-FR"/>
        </w:rPr>
        <w:t xml:space="preserve"> </w:t>
      </w:r>
      <w:r w:rsidR="00DB204E" w:rsidRPr="00E97629">
        <w:rPr>
          <w:rFonts w:cs="Arial"/>
          <w:sz w:val="22"/>
          <w:szCs w:val="22"/>
          <w:lang w:val="fr-FR"/>
        </w:rPr>
        <w:t>réunion</w:t>
      </w:r>
      <w:r w:rsidR="00E97629">
        <w:rPr>
          <w:rFonts w:cs="Arial"/>
          <w:sz w:val="22"/>
          <w:szCs w:val="22"/>
          <w:lang w:val="fr-FR"/>
        </w:rPr>
        <w:t xml:space="preserve">s </w:t>
      </w:r>
      <w:r w:rsidR="005D22B5">
        <w:rPr>
          <w:rFonts w:cs="Arial"/>
          <w:sz w:val="22"/>
          <w:szCs w:val="22"/>
          <w:lang w:val="fr-FR"/>
        </w:rPr>
        <w:t xml:space="preserve">du </w:t>
      </w:r>
      <w:r w:rsidR="00292877">
        <w:rPr>
          <w:rFonts w:cs="Arial"/>
          <w:sz w:val="22"/>
          <w:szCs w:val="22"/>
          <w:lang w:val="fr-FR"/>
        </w:rPr>
        <w:t>groupe spécial sur le plomb</w:t>
      </w:r>
      <w:r w:rsidR="00E97629">
        <w:rPr>
          <w:rFonts w:cs="Arial"/>
          <w:sz w:val="22"/>
          <w:szCs w:val="22"/>
          <w:lang w:val="fr-FR"/>
        </w:rPr>
        <w:t>, pré</w:t>
      </w:r>
      <w:r w:rsidR="00127CC7" w:rsidRPr="00E97629">
        <w:rPr>
          <w:rFonts w:cs="Arial"/>
          <w:sz w:val="22"/>
          <w:szCs w:val="22"/>
          <w:lang w:val="fr-FR"/>
        </w:rPr>
        <w:t>pare</w:t>
      </w:r>
      <w:r w:rsidR="00ED1671">
        <w:rPr>
          <w:rFonts w:cs="Arial"/>
          <w:sz w:val="22"/>
          <w:szCs w:val="22"/>
          <w:lang w:val="fr-FR"/>
        </w:rPr>
        <w:t>ra l</w:t>
      </w:r>
      <w:r w:rsidR="00E97629">
        <w:rPr>
          <w:rFonts w:cs="Arial"/>
          <w:sz w:val="22"/>
          <w:szCs w:val="22"/>
          <w:lang w:val="fr-FR"/>
        </w:rPr>
        <w:t>es</w:t>
      </w:r>
      <w:r w:rsidR="00127CC7" w:rsidRPr="00E97629">
        <w:rPr>
          <w:rFonts w:cs="Arial"/>
          <w:sz w:val="22"/>
          <w:szCs w:val="22"/>
          <w:lang w:val="fr-FR"/>
        </w:rPr>
        <w:t xml:space="preserve"> documents</w:t>
      </w:r>
      <w:r w:rsidR="00E97629">
        <w:rPr>
          <w:rFonts w:cs="Arial"/>
          <w:sz w:val="22"/>
          <w:szCs w:val="22"/>
          <w:lang w:val="fr-FR"/>
        </w:rPr>
        <w:t xml:space="preserve"> d’information</w:t>
      </w:r>
      <w:r w:rsidR="00127CC7" w:rsidRPr="00E97629">
        <w:rPr>
          <w:rFonts w:cs="Arial"/>
          <w:sz w:val="22"/>
          <w:szCs w:val="22"/>
          <w:lang w:val="fr-FR"/>
        </w:rPr>
        <w:t xml:space="preserve">, </w:t>
      </w:r>
      <w:r w:rsidR="00E97629">
        <w:rPr>
          <w:rFonts w:cs="Arial"/>
          <w:sz w:val="22"/>
          <w:szCs w:val="22"/>
          <w:lang w:val="fr-FR"/>
        </w:rPr>
        <w:t>coordonnera</w:t>
      </w:r>
      <w:r w:rsidR="00F52715">
        <w:rPr>
          <w:rFonts w:cs="Arial"/>
          <w:sz w:val="22"/>
          <w:szCs w:val="22"/>
          <w:lang w:val="fr-FR"/>
        </w:rPr>
        <w:t xml:space="preserve"> les communications </w:t>
      </w:r>
      <w:r w:rsidR="005D22B5">
        <w:rPr>
          <w:rFonts w:cs="Arial"/>
          <w:sz w:val="22"/>
          <w:szCs w:val="22"/>
          <w:lang w:val="fr-FR"/>
        </w:rPr>
        <w:t xml:space="preserve">du </w:t>
      </w:r>
      <w:r w:rsidR="00701CD2">
        <w:rPr>
          <w:rFonts w:cs="Arial"/>
          <w:sz w:val="22"/>
          <w:szCs w:val="22"/>
          <w:lang w:val="fr-FR"/>
        </w:rPr>
        <w:t>groupe d’étude</w:t>
      </w:r>
      <w:r w:rsidR="00F52715">
        <w:rPr>
          <w:rFonts w:cs="Arial"/>
          <w:sz w:val="22"/>
          <w:szCs w:val="22"/>
          <w:lang w:val="fr-FR"/>
        </w:rPr>
        <w:t>, facilitera</w:t>
      </w:r>
      <w:r w:rsidR="00127CC7" w:rsidRPr="00E97629">
        <w:rPr>
          <w:rFonts w:cs="Arial"/>
          <w:sz w:val="22"/>
          <w:szCs w:val="22"/>
          <w:lang w:val="fr-FR"/>
        </w:rPr>
        <w:t xml:space="preserve"> </w:t>
      </w:r>
      <w:r w:rsidR="00F52715">
        <w:rPr>
          <w:rFonts w:cs="Arial"/>
          <w:sz w:val="22"/>
          <w:szCs w:val="22"/>
          <w:lang w:val="fr-FR"/>
        </w:rPr>
        <w:t>la levée de fonds et la mobilis</w:t>
      </w:r>
      <w:r w:rsidR="00682EAA" w:rsidRPr="00E97629">
        <w:rPr>
          <w:rFonts w:cs="Arial"/>
          <w:sz w:val="22"/>
          <w:szCs w:val="22"/>
          <w:lang w:val="fr-FR"/>
        </w:rPr>
        <w:t>ation</w:t>
      </w:r>
      <w:r w:rsidR="00F52715">
        <w:rPr>
          <w:rFonts w:cs="Arial"/>
          <w:sz w:val="22"/>
          <w:szCs w:val="22"/>
          <w:lang w:val="fr-FR"/>
        </w:rPr>
        <w:t xml:space="preserve"> de ressources</w:t>
      </w:r>
      <w:r w:rsidR="00ED1671">
        <w:rPr>
          <w:rFonts w:cs="Arial"/>
          <w:sz w:val="22"/>
          <w:szCs w:val="22"/>
          <w:lang w:val="fr-FR"/>
        </w:rPr>
        <w:t>,</w:t>
      </w:r>
      <w:r w:rsidR="00682EAA" w:rsidRPr="00E97629">
        <w:rPr>
          <w:rFonts w:cs="Arial"/>
          <w:sz w:val="22"/>
          <w:szCs w:val="22"/>
          <w:lang w:val="fr-FR"/>
        </w:rPr>
        <w:t xml:space="preserve"> </w:t>
      </w:r>
      <w:r w:rsidR="00ED1671">
        <w:rPr>
          <w:rFonts w:cs="Arial"/>
          <w:sz w:val="22"/>
          <w:szCs w:val="22"/>
          <w:lang w:val="fr-FR"/>
        </w:rPr>
        <w:t>et favorise</w:t>
      </w:r>
      <w:r w:rsidR="00F52715">
        <w:rPr>
          <w:rFonts w:cs="Arial"/>
          <w:sz w:val="22"/>
          <w:szCs w:val="22"/>
          <w:lang w:val="fr-FR"/>
        </w:rPr>
        <w:t>ra un</w:t>
      </w:r>
      <w:r w:rsidR="00127CC7" w:rsidRPr="00E97629">
        <w:rPr>
          <w:rFonts w:cs="Arial"/>
          <w:sz w:val="22"/>
          <w:szCs w:val="22"/>
          <w:lang w:val="fr-FR"/>
        </w:rPr>
        <w:t xml:space="preserve"> engagement</w:t>
      </w:r>
      <w:r w:rsidR="00F52715">
        <w:rPr>
          <w:rFonts w:cs="Arial"/>
          <w:sz w:val="22"/>
          <w:szCs w:val="22"/>
          <w:lang w:val="fr-FR"/>
        </w:rPr>
        <w:t xml:space="preserve"> des parties prenantes</w:t>
      </w:r>
      <w:r w:rsidR="00127CC7" w:rsidRPr="00E97629">
        <w:rPr>
          <w:rFonts w:cs="Arial"/>
          <w:sz w:val="22"/>
          <w:szCs w:val="22"/>
          <w:lang w:val="fr-FR"/>
        </w:rPr>
        <w:t xml:space="preserve"> </w:t>
      </w:r>
      <w:r w:rsidR="00B10D13">
        <w:rPr>
          <w:rFonts w:cs="Arial"/>
          <w:sz w:val="22"/>
          <w:szCs w:val="22"/>
          <w:lang w:val="fr-FR"/>
        </w:rPr>
        <w:t>au sein et au-delà</w:t>
      </w:r>
      <w:r w:rsidR="00F52715">
        <w:rPr>
          <w:rFonts w:cs="Arial"/>
          <w:sz w:val="22"/>
          <w:szCs w:val="22"/>
          <w:lang w:val="fr-FR"/>
        </w:rPr>
        <w:t xml:space="preserve"> du </w:t>
      </w:r>
      <w:r w:rsidR="00971318" w:rsidRPr="00E97629">
        <w:rPr>
          <w:rFonts w:cs="Arial"/>
          <w:sz w:val="22"/>
          <w:szCs w:val="22"/>
          <w:lang w:val="fr-FR"/>
        </w:rPr>
        <w:t>groupe de travail</w:t>
      </w:r>
      <w:r w:rsidR="00127CC7" w:rsidRPr="00E97629">
        <w:rPr>
          <w:rFonts w:cs="Arial"/>
          <w:sz w:val="22"/>
          <w:szCs w:val="22"/>
          <w:lang w:val="fr-FR"/>
        </w:rPr>
        <w:t>.</w:t>
      </w:r>
    </w:p>
    <w:p w14:paraId="3E1AF6CA" w14:textId="690589A6" w:rsidR="008B34A7" w:rsidRDefault="008B34A7" w:rsidP="008B34A7">
      <w:pPr>
        <w:pStyle w:val="ListParagraph"/>
        <w:ind w:left="360"/>
        <w:jc w:val="both"/>
        <w:rPr>
          <w:rFonts w:cs="Arial"/>
          <w:sz w:val="22"/>
          <w:szCs w:val="22"/>
          <w:lang w:val="fr-FR"/>
        </w:rPr>
      </w:pPr>
    </w:p>
    <w:p w14:paraId="147E8511" w14:textId="33F1BE35" w:rsidR="00292877" w:rsidRDefault="00292877" w:rsidP="008B34A7">
      <w:pPr>
        <w:pStyle w:val="ListParagraph"/>
        <w:ind w:left="360"/>
        <w:jc w:val="both"/>
        <w:rPr>
          <w:rFonts w:cs="Arial"/>
          <w:sz w:val="22"/>
          <w:szCs w:val="22"/>
          <w:lang w:val="fr-FR"/>
        </w:rPr>
      </w:pPr>
    </w:p>
    <w:p w14:paraId="5C1AC7A7" w14:textId="77777777" w:rsidR="00292877" w:rsidRPr="00E97629" w:rsidRDefault="00292877" w:rsidP="008B34A7">
      <w:pPr>
        <w:pStyle w:val="ListParagraph"/>
        <w:ind w:left="360"/>
        <w:jc w:val="both"/>
        <w:rPr>
          <w:rFonts w:cs="Arial"/>
          <w:sz w:val="22"/>
          <w:szCs w:val="22"/>
          <w:lang w:val="fr-FR"/>
        </w:rPr>
      </w:pPr>
    </w:p>
    <w:p w14:paraId="5458AC85" w14:textId="321AFC15" w:rsidR="008B34A7" w:rsidRPr="00F3243E" w:rsidRDefault="00F3243E" w:rsidP="008B34A7">
      <w:pPr>
        <w:jc w:val="both"/>
        <w:rPr>
          <w:rFonts w:cs="Arial"/>
          <w:sz w:val="22"/>
          <w:szCs w:val="22"/>
          <w:u w:val="single"/>
          <w:lang w:val="fr-FR"/>
        </w:rPr>
      </w:pPr>
      <w:r w:rsidRPr="00F3243E">
        <w:rPr>
          <w:rFonts w:cs="Arial"/>
          <w:sz w:val="22"/>
          <w:szCs w:val="22"/>
          <w:u w:val="single"/>
          <w:lang w:val="fr-FR"/>
        </w:rPr>
        <w:lastRenderedPageBreak/>
        <w:t>Assemblée des Nations Unies pour l’environnement</w:t>
      </w:r>
    </w:p>
    <w:p w14:paraId="08A3ABD1" w14:textId="77777777" w:rsidR="008B34A7" w:rsidRPr="00F3243E" w:rsidRDefault="008B34A7" w:rsidP="008B34A7">
      <w:pPr>
        <w:jc w:val="both"/>
        <w:rPr>
          <w:rFonts w:cs="Arial"/>
          <w:sz w:val="22"/>
          <w:szCs w:val="22"/>
          <w:lang w:val="fr-FR"/>
        </w:rPr>
      </w:pPr>
    </w:p>
    <w:p w14:paraId="4EA594C0" w14:textId="2D79C30C" w:rsidR="00D4082B" w:rsidRPr="007C64B1" w:rsidRDefault="00F52715" w:rsidP="008B34A7">
      <w:pPr>
        <w:pStyle w:val="ListParagraph"/>
        <w:numPr>
          <w:ilvl w:val="0"/>
          <w:numId w:val="2"/>
        </w:numPr>
        <w:jc w:val="both"/>
        <w:rPr>
          <w:rFonts w:cs="Arial"/>
          <w:sz w:val="22"/>
          <w:szCs w:val="22"/>
          <w:lang w:val="fr-FR"/>
        </w:rPr>
      </w:pPr>
      <w:r>
        <w:rPr>
          <w:rFonts w:cs="Arial"/>
          <w:sz w:val="22"/>
          <w:szCs w:val="22"/>
          <w:lang w:val="fr-FR"/>
        </w:rPr>
        <w:t>En dé</w:t>
      </w:r>
      <w:r w:rsidR="009C7730" w:rsidRPr="00A731EC">
        <w:rPr>
          <w:rFonts w:cs="Arial"/>
          <w:sz w:val="22"/>
          <w:szCs w:val="22"/>
          <w:lang w:val="fr-FR"/>
        </w:rPr>
        <w:t>ce</w:t>
      </w:r>
      <w:r>
        <w:rPr>
          <w:rFonts w:cs="Arial"/>
          <w:sz w:val="22"/>
          <w:szCs w:val="22"/>
          <w:lang w:val="fr-FR"/>
        </w:rPr>
        <w:t>mb</w:t>
      </w:r>
      <w:r w:rsidR="009C7730" w:rsidRPr="00A731EC">
        <w:rPr>
          <w:rFonts w:cs="Arial"/>
          <w:sz w:val="22"/>
          <w:szCs w:val="22"/>
          <w:lang w:val="fr-FR"/>
        </w:rPr>
        <w:t>r</w:t>
      </w:r>
      <w:r>
        <w:rPr>
          <w:rFonts w:cs="Arial"/>
          <w:sz w:val="22"/>
          <w:szCs w:val="22"/>
          <w:lang w:val="fr-FR"/>
        </w:rPr>
        <w:t>e</w:t>
      </w:r>
      <w:r w:rsidR="009C7730" w:rsidRPr="00A731EC">
        <w:rPr>
          <w:rFonts w:cs="Arial"/>
          <w:sz w:val="22"/>
          <w:szCs w:val="22"/>
          <w:lang w:val="fr-FR"/>
        </w:rPr>
        <w:t xml:space="preserve"> 2017</w:t>
      </w:r>
      <w:r w:rsidR="00735F82" w:rsidRPr="00A731EC">
        <w:rPr>
          <w:rFonts w:cs="Arial"/>
          <w:sz w:val="22"/>
          <w:szCs w:val="22"/>
          <w:lang w:val="fr-FR"/>
        </w:rPr>
        <w:t>,</w:t>
      </w:r>
      <w:r w:rsidR="009C7730" w:rsidRPr="00A731EC">
        <w:rPr>
          <w:rFonts w:cs="Arial"/>
          <w:sz w:val="22"/>
          <w:szCs w:val="22"/>
          <w:lang w:val="fr-FR"/>
        </w:rPr>
        <w:t xml:space="preserve"> </w:t>
      </w:r>
      <w:r>
        <w:rPr>
          <w:rFonts w:cs="Arial"/>
          <w:sz w:val="22"/>
          <w:szCs w:val="22"/>
          <w:lang w:val="fr-FR"/>
        </w:rPr>
        <w:t>la</w:t>
      </w:r>
      <w:r w:rsidR="00735F82" w:rsidRPr="00A731EC">
        <w:rPr>
          <w:rFonts w:cs="Arial"/>
          <w:sz w:val="22"/>
          <w:szCs w:val="22"/>
          <w:lang w:val="fr-FR"/>
        </w:rPr>
        <w:t xml:space="preserve"> </w:t>
      </w:r>
      <w:r w:rsidR="00DB204E" w:rsidRPr="00A731EC">
        <w:rPr>
          <w:rFonts w:cs="Arial"/>
          <w:sz w:val="22"/>
          <w:szCs w:val="22"/>
          <w:lang w:val="fr-FR"/>
        </w:rPr>
        <w:t>réunion</w:t>
      </w:r>
      <w:r>
        <w:rPr>
          <w:rFonts w:cs="Arial"/>
          <w:sz w:val="22"/>
          <w:szCs w:val="22"/>
          <w:lang w:val="fr-FR"/>
        </w:rPr>
        <w:t xml:space="preserve"> de l’</w:t>
      </w:r>
      <w:r w:rsidR="00F3243E" w:rsidRPr="00A731EC">
        <w:rPr>
          <w:rFonts w:cs="Arial"/>
          <w:sz w:val="22"/>
          <w:szCs w:val="22"/>
          <w:lang w:val="fr-FR"/>
        </w:rPr>
        <w:t>Assemblée des Nations Unies pour l’environnement</w:t>
      </w:r>
      <w:r w:rsidR="009C7730" w:rsidRPr="00A731EC">
        <w:rPr>
          <w:rFonts w:cs="Arial"/>
          <w:sz w:val="22"/>
          <w:szCs w:val="22"/>
          <w:lang w:val="fr-FR"/>
        </w:rPr>
        <w:t xml:space="preserve"> </w:t>
      </w:r>
      <w:r w:rsidR="00F3243E" w:rsidRPr="00A731EC">
        <w:rPr>
          <w:rFonts w:cs="Arial"/>
          <w:sz w:val="22"/>
          <w:szCs w:val="22"/>
          <w:lang w:val="fr-FR"/>
        </w:rPr>
        <w:t>ANUE</w:t>
      </w:r>
      <w:r>
        <w:rPr>
          <w:rFonts w:cs="Arial"/>
          <w:sz w:val="22"/>
          <w:szCs w:val="22"/>
          <w:lang w:val="fr-FR"/>
        </w:rPr>
        <w:t>3 se tiendra à</w:t>
      </w:r>
      <w:r w:rsidR="008B5953" w:rsidRPr="00A731EC">
        <w:rPr>
          <w:rFonts w:cs="Arial"/>
          <w:sz w:val="22"/>
          <w:szCs w:val="22"/>
          <w:lang w:val="fr-FR"/>
        </w:rPr>
        <w:t xml:space="preserve"> Nairobi. </w:t>
      </w:r>
      <w:r>
        <w:rPr>
          <w:rFonts w:cs="Arial"/>
          <w:sz w:val="22"/>
          <w:szCs w:val="22"/>
          <w:lang w:val="fr-FR"/>
        </w:rPr>
        <w:t xml:space="preserve">Puisque le thème de cette </w:t>
      </w:r>
      <w:r w:rsidR="00DB204E" w:rsidRPr="007C64B1">
        <w:rPr>
          <w:rFonts w:cs="Arial"/>
          <w:sz w:val="22"/>
          <w:szCs w:val="22"/>
          <w:lang w:val="fr-FR"/>
        </w:rPr>
        <w:t>réunion</w:t>
      </w:r>
      <w:r>
        <w:rPr>
          <w:rFonts w:cs="Arial"/>
          <w:sz w:val="22"/>
          <w:szCs w:val="22"/>
          <w:lang w:val="fr-FR"/>
        </w:rPr>
        <w:t xml:space="preserve"> est </w:t>
      </w:r>
      <w:r w:rsidR="00735F82" w:rsidRPr="007C64B1">
        <w:rPr>
          <w:rFonts w:cs="Arial"/>
          <w:sz w:val="22"/>
          <w:szCs w:val="22"/>
          <w:lang w:val="fr-FR"/>
        </w:rPr>
        <w:t>“</w:t>
      </w:r>
      <w:r>
        <w:rPr>
          <w:rFonts w:cs="Arial"/>
          <w:sz w:val="22"/>
          <w:szCs w:val="22"/>
          <w:lang w:val="fr-FR"/>
        </w:rPr>
        <w:t>la p</w:t>
      </w:r>
      <w:r w:rsidR="008B5953" w:rsidRPr="007C64B1">
        <w:rPr>
          <w:rFonts w:cs="Arial"/>
          <w:sz w:val="22"/>
          <w:szCs w:val="22"/>
          <w:lang w:val="fr-FR"/>
        </w:rPr>
        <w:t>ollution</w:t>
      </w:r>
      <w:r w:rsidR="00735F82" w:rsidRPr="007C64B1">
        <w:rPr>
          <w:rFonts w:cs="Arial"/>
          <w:sz w:val="22"/>
          <w:szCs w:val="22"/>
          <w:lang w:val="fr-FR"/>
        </w:rPr>
        <w:t>”,</w:t>
      </w:r>
      <w:r w:rsidR="00ED1671">
        <w:rPr>
          <w:rFonts w:cs="Arial"/>
          <w:sz w:val="22"/>
          <w:szCs w:val="22"/>
          <w:lang w:val="fr-FR"/>
        </w:rPr>
        <w:t xml:space="preserve"> elle</w:t>
      </w:r>
      <w:r w:rsidR="00735F82" w:rsidRPr="007C64B1">
        <w:rPr>
          <w:rFonts w:cs="Arial"/>
          <w:sz w:val="22"/>
          <w:szCs w:val="22"/>
          <w:lang w:val="fr-FR"/>
        </w:rPr>
        <w:t xml:space="preserve"> </w:t>
      </w:r>
      <w:r w:rsidR="007C64B1" w:rsidRPr="007C64B1">
        <w:rPr>
          <w:rFonts w:cs="Arial"/>
          <w:sz w:val="22"/>
          <w:szCs w:val="22"/>
          <w:lang w:val="fr-FR"/>
        </w:rPr>
        <w:t xml:space="preserve">fournit une occasion de faire connaître les </w:t>
      </w:r>
      <w:r w:rsidR="00D9190E" w:rsidRPr="007C64B1">
        <w:rPr>
          <w:rFonts w:cs="Arial"/>
          <w:sz w:val="22"/>
          <w:szCs w:val="22"/>
          <w:lang w:val="fr-FR"/>
        </w:rPr>
        <w:t>Lignes directrices</w:t>
      </w:r>
      <w:r w:rsidR="008B5953" w:rsidRPr="007C64B1">
        <w:rPr>
          <w:rFonts w:cs="Arial"/>
          <w:sz w:val="22"/>
          <w:szCs w:val="22"/>
          <w:lang w:val="fr-FR"/>
        </w:rPr>
        <w:t xml:space="preserve"> </w:t>
      </w:r>
      <w:r w:rsidR="007C64B1">
        <w:rPr>
          <w:rFonts w:cs="Arial"/>
          <w:sz w:val="22"/>
          <w:szCs w:val="22"/>
          <w:lang w:val="fr-FR"/>
        </w:rPr>
        <w:t xml:space="preserve">de la CMS </w:t>
      </w:r>
      <w:r w:rsidR="00ED1671">
        <w:rPr>
          <w:rFonts w:cs="Arial"/>
          <w:sz w:val="22"/>
          <w:szCs w:val="22"/>
          <w:lang w:val="fr-FR"/>
        </w:rPr>
        <w:t>pour la</w:t>
      </w:r>
      <w:r w:rsidR="001E09A7" w:rsidRPr="007C64B1">
        <w:rPr>
          <w:rFonts w:cs="Arial"/>
          <w:sz w:val="22"/>
          <w:szCs w:val="22"/>
          <w:lang w:val="fr-FR"/>
        </w:rPr>
        <w:t xml:space="preserve"> prévention</w:t>
      </w:r>
      <w:r w:rsidR="00314A03" w:rsidRPr="007C64B1">
        <w:rPr>
          <w:rFonts w:cs="Arial"/>
          <w:bCs/>
          <w:sz w:val="22"/>
          <w:szCs w:val="22"/>
          <w:lang w:val="fr-FR"/>
        </w:rPr>
        <w:t xml:space="preserve"> </w:t>
      </w:r>
      <w:r>
        <w:rPr>
          <w:rFonts w:cs="Arial"/>
          <w:bCs/>
          <w:sz w:val="22"/>
          <w:szCs w:val="22"/>
          <w:lang w:val="fr-FR"/>
        </w:rPr>
        <w:t>des</w:t>
      </w:r>
      <w:r w:rsidR="00DB204E" w:rsidRPr="007C64B1">
        <w:rPr>
          <w:rFonts w:cs="Arial"/>
          <w:bCs/>
          <w:sz w:val="22"/>
          <w:szCs w:val="22"/>
          <w:lang w:val="fr-FR"/>
        </w:rPr>
        <w:t xml:space="preserve"> risque</w:t>
      </w:r>
      <w:r>
        <w:rPr>
          <w:rFonts w:cs="Arial"/>
          <w:bCs/>
          <w:sz w:val="22"/>
          <w:szCs w:val="22"/>
          <w:lang w:val="fr-FR"/>
        </w:rPr>
        <w:t>s</w:t>
      </w:r>
      <w:r w:rsidR="00DB204E" w:rsidRPr="007C64B1">
        <w:rPr>
          <w:rFonts w:cs="Arial"/>
          <w:bCs/>
          <w:sz w:val="22"/>
          <w:szCs w:val="22"/>
          <w:lang w:val="fr-FR"/>
        </w:rPr>
        <w:t xml:space="preserve"> </w:t>
      </w:r>
      <w:r w:rsidR="001E09A7" w:rsidRPr="007C64B1">
        <w:rPr>
          <w:rFonts w:cs="Arial"/>
          <w:bCs/>
          <w:sz w:val="22"/>
          <w:szCs w:val="22"/>
          <w:lang w:val="fr-FR"/>
        </w:rPr>
        <w:t>d’em</w:t>
      </w:r>
      <w:r w:rsidR="00DB204E" w:rsidRPr="007C64B1">
        <w:rPr>
          <w:rFonts w:cs="Arial"/>
          <w:bCs/>
          <w:sz w:val="22"/>
          <w:szCs w:val="22"/>
          <w:lang w:val="fr-FR"/>
        </w:rPr>
        <w:t>poisonnement</w:t>
      </w:r>
      <w:r w:rsidR="001E09A7" w:rsidRPr="007C64B1">
        <w:rPr>
          <w:rFonts w:cs="Arial"/>
          <w:bCs/>
          <w:sz w:val="22"/>
          <w:szCs w:val="22"/>
          <w:lang w:val="fr-FR"/>
        </w:rPr>
        <w:t xml:space="preserve"> des o</w:t>
      </w:r>
      <w:r w:rsidR="00DB204E" w:rsidRPr="007C64B1">
        <w:rPr>
          <w:rFonts w:cs="Arial"/>
          <w:bCs/>
          <w:sz w:val="22"/>
          <w:szCs w:val="22"/>
          <w:lang w:val="fr-FR"/>
        </w:rPr>
        <w:t>iseaux migrateurs</w:t>
      </w:r>
      <w:r w:rsidR="008B5953" w:rsidRPr="007C64B1">
        <w:rPr>
          <w:rFonts w:cs="Arial"/>
          <w:sz w:val="22"/>
          <w:szCs w:val="22"/>
          <w:lang w:val="fr-FR"/>
        </w:rPr>
        <w:t xml:space="preserve"> </w:t>
      </w:r>
      <w:r w:rsidR="007C64B1">
        <w:rPr>
          <w:rFonts w:cs="Arial"/>
          <w:sz w:val="22"/>
          <w:szCs w:val="22"/>
          <w:lang w:val="fr-FR"/>
        </w:rPr>
        <w:t xml:space="preserve">et </w:t>
      </w:r>
      <w:r w:rsidR="00ED1671">
        <w:rPr>
          <w:rFonts w:cs="Arial"/>
          <w:sz w:val="22"/>
          <w:szCs w:val="22"/>
          <w:lang w:val="fr-FR"/>
        </w:rPr>
        <w:t xml:space="preserve">d’avancer dans la mise en place </w:t>
      </w:r>
      <w:r w:rsidR="007C64B1">
        <w:rPr>
          <w:rFonts w:cs="Arial"/>
          <w:sz w:val="22"/>
          <w:szCs w:val="22"/>
          <w:lang w:val="fr-FR"/>
        </w:rPr>
        <w:t xml:space="preserve">d’une interdiction des </w:t>
      </w:r>
      <w:r w:rsidR="00E97629">
        <w:rPr>
          <w:rFonts w:cs="Arial"/>
          <w:sz w:val="22"/>
          <w:szCs w:val="22"/>
          <w:lang w:val="fr-FR"/>
        </w:rPr>
        <w:t>munitions en plomb</w:t>
      </w:r>
      <w:r>
        <w:rPr>
          <w:rFonts w:cs="Arial"/>
          <w:sz w:val="22"/>
          <w:szCs w:val="22"/>
          <w:lang w:val="fr-FR"/>
        </w:rPr>
        <w:t xml:space="preserve"> à l’échelle mondiale</w:t>
      </w:r>
      <w:r w:rsidR="008B5953" w:rsidRPr="007C64B1">
        <w:rPr>
          <w:rFonts w:cs="Arial"/>
          <w:sz w:val="22"/>
          <w:szCs w:val="22"/>
          <w:lang w:val="fr-FR"/>
        </w:rPr>
        <w:t>.</w:t>
      </w:r>
    </w:p>
    <w:p w14:paraId="105EA4DE" w14:textId="758D761A" w:rsidR="007910DD" w:rsidRPr="007C64B1" w:rsidRDefault="007910DD" w:rsidP="008575E5">
      <w:pPr>
        <w:jc w:val="both"/>
        <w:rPr>
          <w:rFonts w:cs="Arial"/>
          <w:sz w:val="22"/>
          <w:szCs w:val="22"/>
          <w:u w:val="single"/>
          <w:lang w:val="fr-FR"/>
        </w:rPr>
      </w:pPr>
    </w:p>
    <w:p w14:paraId="19E78755" w14:textId="0219AF29" w:rsidR="007910DD" w:rsidRPr="005335BD" w:rsidRDefault="001E09A7" w:rsidP="008575E5">
      <w:pPr>
        <w:jc w:val="both"/>
        <w:rPr>
          <w:rFonts w:cs="Arial"/>
          <w:sz w:val="22"/>
          <w:szCs w:val="22"/>
          <w:u w:val="single"/>
          <w:lang w:val="en-GB"/>
        </w:rPr>
      </w:pPr>
      <w:r>
        <w:rPr>
          <w:rFonts w:cs="Arial"/>
          <w:sz w:val="22"/>
          <w:szCs w:val="22"/>
          <w:u w:val="single"/>
          <w:lang w:val="en-GB"/>
        </w:rPr>
        <w:t xml:space="preserve">Discussion et </w:t>
      </w:r>
      <w:r w:rsidR="007910DD" w:rsidRPr="005335BD">
        <w:rPr>
          <w:rFonts w:cs="Arial"/>
          <w:sz w:val="22"/>
          <w:szCs w:val="22"/>
          <w:u w:val="single"/>
          <w:lang w:val="en-GB"/>
        </w:rPr>
        <w:t>analy</w:t>
      </w:r>
      <w:r>
        <w:rPr>
          <w:rFonts w:cs="Arial"/>
          <w:sz w:val="22"/>
          <w:szCs w:val="22"/>
          <w:u w:val="single"/>
          <w:lang w:val="en-GB"/>
        </w:rPr>
        <w:t>se</w:t>
      </w:r>
    </w:p>
    <w:p w14:paraId="623F8192" w14:textId="3CDD6E41" w:rsidR="007910DD" w:rsidRDefault="007910DD" w:rsidP="008575E5">
      <w:pPr>
        <w:jc w:val="both"/>
        <w:rPr>
          <w:rFonts w:cs="Arial"/>
          <w:sz w:val="22"/>
          <w:szCs w:val="22"/>
          <w:lang w:val="en-GB"/>
        </w:rPr>
      </w:pPr>
    </w:p>
    <w:p w14:paraId="15DB87C3" w14:textId="71FEBAA1" w:rsidR="005335BD" w:rsidRPr="004F74F2" w:rsidRDefault="00E2189E" w:rsidP="002F2B3F">
      <w:pPr>
        <w:pStyle w:val="ListParagraph"/>
        <w:widowControl/>
        <w:numPr>
          <w:ilvl w:val="0"/>
          <w:numId w:val="2"/>
        </w:numPr>
        <w:ind w:left="357" w:hanging="357"/>
        <w:jc w:val="both"/>
        <w:rPr>
          <w:rFonts w:cs="Arial"/>
          <w:sz w:val="22"/>
          <w:szCs w:val="22"/>
          <w:lang w:val="fr-FR"/>
        </w:rPr>
      </w:pPr>
      <w:r w:rsidRPr="00E2189E">
        <w:rPr>
          <w:rFonts w:cs="Arial"/>
          <w:sz w:val="22"/>
          <w:szCs w:val="22"/>
          <w:lang w:val="fr-FR"/>
        </w:rPr>
        <w:t xml:space="preserve">La </w:t>
      </w:r>
      <w:r w:rsidR="00F330D2" w:rsidRPr="00E2189E">
        <w:rPr>
          <w:rFonts w:cs="Arial"/>
          <w:sz w:val="22"/>
          <w:szCs w:val="22"/>
          <w:lang w:val="fr-FR"/>
        </w:rPr>
        <w:t xml:space="preserve">coordination </w:t>
      </w:r>
      <w:r w:rsidRPr="00E2189E">
        <w:rPr>
          <w:rFonts w:cs="Arial"/>
          <w:sz w:val="22"/>
          <w:szCs w:val="22"/>
          <w:lang w:val="fr-FR"/>
        </w:rPr>
        <w:t xml:space="preserve">provisoire du </w:t>
      </w:r>
      <w:r w:rsidR="00302B8C">
        <w:rPr>
          <w:rFonts w:cs="Arial"/>
          <w:sz w:val="22"/>
          <w:szCs w:val="22"/>
          <w:lang w:val="fr-FR"/>
        </w:rPr>
        <w:t>GTPE</w:t>
      </w:r>
      <w:r w:rsidR="00F330D2" w:rsidRPr="00E2189E">
        <w:rPr>
          <w:rFonts w:cs="Arial"/>
          <w:sz w:val="22"/>
          <w:szCs w:val="22"/>
          <w:lang w:val="fr-FR"/>
        </w:rPr>
        <w:t xml:space="preserve"> </w:t>
      </w:r>
      <w:r w:rsidRPr="00E2189E">
        <w:rPr>
          <w:rFonts w:cs="Arial"/>
          <w:sz w:val="22"/>
          <w:szCs w:val="22"/>
          <w:lang w:val="fr-FR"/>
        </w:rPr>
        <w:t xml:space="preserve">par </w:t>
      </w:r>
      <w:r w:rsidR="00F51748" w:rsidRPr="00E2189E">
        <w:rPr>
          <w:rFonts w:cs="Arial"/>
          <w:sz w:val="22"/>
          <w:szCs w:val="22"/>
          <w:lang w:val="fr-FR"/>
        </w:rPr>
        <w:t>SEO/</w:t>
      </w:r>
      <w:proofErr w:type="spellStart"/>
      <w:r w:rsidR="00F51748" w:rsidRPr="00E2189E">
        <w:rPr>
          <w:rFonts w:cs="Arial"/>
          <w:sz w:val="22"/>
          <w:szCs w:val="22"/>
          <w:lang w:val="fr-FR"/>
        </w:rPr>
        <w:t>BirdLife</w:t>
      </w:r>
      <w:proofErr w:type="spellEnd"/>
      <w:r w:rsidR="00F51748" w:rsidRPr="00E2189E">
        <w:rPr>
          <w:rFonts w:cs="Arial"/>
          <w:sz w:val="22"/>
          <w:szCs w:val="22"/>
          <w:lang w:val="fr-FR"/>
        </w:rPr>
        <w:t xml:space="preserve"> </w:t>
      </w:r>
      <w:r w:rsidR="00F10F82" w:rsidRPr="00E2189E">
        <w:rPr>
          <w:rFonts w:cs="Arial"/>
          <w:sz w:val="22"/>
          <w:szCs w:val="22"/>
          <w:lang w:val="fr-FR"/>
        </w:rPr>
        <w:t>Espagne</w:t>
      </w:r>
      <w:r w:rsidRPr="00E2189E">
        <w:rPr>
          <w:rFonts w:cs="Arial"/>
          <w:sz w:val="22"/>
          <w:szCs w:val="22"/>
          <w:lang w:val="fr-FR"/>
        </w:rPr>
        <w:t xml:space="preserve"> est clairement limitée à la période allant jusqu’</w:t>
      </w:r>
      <w:r>
        <w:rPr>
          <w:rFonts w:cs="Arial"/>
          <w:sz w:val="22"/>
          <w:szCs w:val="22"/>
          <w:lang w:val="fr-FR"/>
        </w:rPr>
        <w:t xml:space="preserve">à la </w:t>
      </w:r>
      <w:r w:rsidR="00F51748" w:rsidRPr="00E2189E">
        <w:rPr>
          <w:rFonts w:cs="Arial"/>
          <w:sz w:val="22"/>
          <w:szCs w:val="22"/>
          <w:lang w:val="fr-FR"/>
        </w:rPr>
        <w:t>COP12</w:t>
      </w:r>
      <w:r w:rsidR="00F330D2" w:rsidRPr="00E2189E">
        <w:rPr>
          <w:rFonts w:cs="Arial"/>
          <w:sz w:val="22"/>
          <w:szCs w:val="22"/>
          <w:lang w:val="fr-FR"/>
        </w:rPr>
        <w:t xml:space="preserve">. </w:t>
      </w:r>
      <w:r w:rsidR="00ED1671">
        <w:rPr>
          <w:rFonts w:cs="Arial"/>
          <w:sz w:val="22"/>
          <w:szCs w:val="22"/>
          <w:lang w:val="fr-FR"/>
        </w:rPr>
        <w:t xml:space="preserve">Etant donné </w:t>
      </w:r>
      <w:r w:rsidRPr="00E2189E">
        <w:rPr>
          <w:rFonts w:cs="Arial"/>
          <w:sz w:val="22"/>
          <w:szCs w:val="22"/>
          <w:lang w:val="fr-FR"/>
        </w:rPr>
        <w:t>l’impact élevé de</w:t>
      </w:r>
      <w:r w:rsidR="00F51748" w:rsidRPr="00E2189E">
        <w:rPr>
          <w:rFonts w:cs="Arial"/>
          <w:sz w:val="22"/>
          <w:szCs w:val="22"/>
          <w:lang w:val="fr-FR"/>
        </w:rPr>
        <w:t xml:space="preserve"> </w:t>
      </w:r>
      <w:r w:rsidR="00DB204E" w:rsidRPr="00E2189E">
        <w:rPr>
          <w:rFonts w:cs="Arial"/>
          <w:sz w:val="22"/>
          <w:szCs w:val="22"/>
          <w:lang w:val="fr-FR"/>
        </w:rPr>
        <w:t>l’empoisonnement</w:t>
      </w:r>
      <w:r w:rsidRPr="00E2189E">
        <w:rPr>
          <w:rFonts w:cs="Arial"/>
          <w:sz w:val="22"/>
          <w:szCs w:val="22"/>
          <w:lang w:val="fr-FR"/>
        </w:rPr>
        <w:t xml:space="preserve"> sur les</w:t>
      </w:r>
      <w:r w:rsidR="00E315E1" w:rsidRPr="00E2189E">
        <w:rPr>
          <w:rFonts w:cs="Arial"/>
          <w:sz w:val="22"/>
          <w:szCs w:val="22"/>
          <w:lang w:val="fr-FR"/>
        </w:rPr>
        <w:t xml:space="preserve"> </w:t>
      </w:r>
      <w:r w:rsidR="00DB204E" w:rsidRPr="00E2189E">
        <w:rPr>
          <w:rFonts w:cs="Arial"/>
          <w:sz w:val="22"/>
          <w:szCs w:val="22"/>
          <w:lang w:val="fr-FR"/>
        </w:rPr>
        <w:t>oiseaux migrateurs</w:t>
      </w:r>
      <w:r w:rsidR="005457DB" w:rsidRPr="00E2189E">
        <w:rPr>
          <w:rFonts w:cs="Arial"/>
          <w:sz w:val="22"/>
          <w:szCs w:val="22"/>
          <w:lang w:val="fr-FR"/>
        </w:rPr>
        <w:t xml:space="preserve">, </w:t>
      </w:r>
      <w:r w:rsidRPr="00E2189E">
        <w:rPr>
          <w:rFonts w:cs="Arial"/>
          <w:sz w:val="22"/>
          <w:szCs w:val="22"/>
          <w:lang w:val="fr-FR"/>
        </w:rPr>
        <w:t>en particulie</w:t>
      </w:r>
      <w:r w:rsidR="00ED1671">
        <w:rPr>
          <w:rFonts w:cs="Arial"/>
          <w:sz w:val="22"/>
          <w:szCs w:val="22"/>
          <w:lang w:val="fr-FR"/>
        </w:rPr>
        <w:t xml:space="preserve">r l’impact de </w:t>
      </w:r>
      <w:r>
        <w:rPr>
          <w:rFonts w:cs="Arial"/>
          <w:sz w:val="22"/>
          <w:szCs w:val="22"/>
          <w:lang w:val="fr-FR"/>
        </w:rPr>
        <w:t>sources d</w:t>
      </w:r>
      <w:r w:rsidR="00DB204E" w:rsidRPr="00E2189E">
        <w:rPr>
          <w:rFonts w:cs="Arial"/>
          <w:sz w:val="22"/>
          <w:szCs w:val="22"/>
          <w:lang w:val="fr-FR"/>
        </w:rPr>
        <w:t>’empoisonnement</w:t>
      </w:r>
      <w:r w:rsidR="005457DB" w:rsidRPr="00E2189E">
        <w:rPr>
          <w:rFonts w:cs="Arial"/>
          <w:sz w:val="22"/>
          <w:szCs w:val="22"/>
          <w:lang w:val="fr-FR"/>
        </w:rPr>
        <w:t xml:space="preserve"> s</w:t>
      </w:r>
      <w:r>
        <w:rPr>
          <w:rFonts w:cs="Arial"/>
          <w:sz w:val="22"/>
          <w:szCs w:val="22"/>
          <w:lang w:val="fr-FR"/>
        </w:rPr>
        <w:t>pécifiques et</w:t>
      </w:r>
      <w:r w:rsidR="00ED1671">
        <w:rPr>
          <w:rFonts w:cs="Arial"/>
          <w:sz w:val="22"/>
          <w:szCs w:val="22"/>
          <w:lang w:val="fr-FR"/>
        </w:rPr>
        <w:t xml:space="preserve"> l’impact sur</w:t>
      </w:r>
      <w:r>
        <w:rPr>
          <w:rFonts w:cs="Arial"/>
          <w:sz w:val="22"/>
          <w:szCs w:val="22"/>
          <w:lang w:val="fr-FR"/>
        </w:rPr>
        <w:t xml:space="preserve"> des taxons d’oiseaux vulnérables</w:t>
      </w:r>
      <w:r w:rsidR="005457DB" w:rsidRPr="00E2189E">
        <w:rPr>
          <w:rFonts w:cs="Arial"/>
          <w:sz w:val="22"/>
          <w:szCs w:val="22"/>
          <w:lang w:val="fr-FR"/>
        </w:rPr>
        <w:t xml:space="preserve"> </w:t>
      </w:r>
      <w:r w:rsidR="00ED1671">
        <w:rPr>
          <w:rFonts w:cs="Arial"/>
          <w:sz w:val="22"/>
          <w:szCs w:val="22"/>
          <w:lang w:val="fr-FR"/>
        </w:rPr>
        <w:t xml:space="preserve">comme </w:t>
      </w:r>
      <w:r>
        <w:rPr>
          <w:rFonts w:cs="Arial"/>
          <w:sz w:val="22"/>
          <w:szCs w:val="22"/>
          <w:lang w:val="fr-FR"/>
        </w:rPr>
        <w:t>les</w:t>
      </w:r>
      <w:r w:rsidR="005457DB" w:rsidRPr="00E2189E">
        <w:rPr>
          <w:rFonts w:cs="Arial"/>
          <w:sz w:val="22"/>
          <w:szCs w:val="22"/>
          <w:lang w:val="fr-FR"/>
        </w:rPr>
        <w:t xml:space="preserve"> </w:t>
      </w:r>
      <w:r w:rsidR="00971318" w:rsidRPr="00E2189E">
        <w:rPr>
          <w:rFonts w:cs="Arial"/>
          <w:sz w:val="22"/>
          <w:szCs w:val="22"/>
          <w:lang w:val="fr-FR"/>
        </w:rPr>
        <w:t>oiseaux</w:t>
      </w:r>
      <w:r>
        <w:rPr>
          <w:rFonts w:cs="Arial"/>
          <w:sz w:val="22"/>
          <w:szCs w:val="22"/>
          <w:lang w:val="fr-FR"/>
        </w:rPr>
        <w:t xml:space="preserve"> de proie</w:t>
      </w:r>
      <w:r w:rsidR="005457DB" w:rsidRPr="00E2189E">
        <w:rPr>
          <w:rFonts w:cs="Arial"/>
          <w:sz w:val="22"/>
          <w:szCs w:val="22"/>
          <w:lang w:val="fr-FR"/>
        </w:rPr>
        <w:t>,</w:t>
      </w:r>
      <w:r w:rsidR="00E315E1" w:rsidRPr="00E2189E">
        <w:rPr>
          <w:rFonts w:cs="Arial"/>
          <w:sz w:val="22"/>
          <w:szCs w:val="22"/>
          <w:lang w:val="fr-FR"/>
        </w:rPr>
        <w:t xml:space="preserve"> </w:t>
      </w:r>
      <w:r w:rsidR="00ED1671">
        <w:rPr>
          <w:rFonts w:cs="Arial"/>
          <w:sz w:val="22"/>
          <w:szCs w:val="22"/>
          <w:lang w:val="fr-FR"/>
        </w:rPr>
        <w:t xml:space="preserve">et </w:t>
      </w:r>
      <w:r w:rsidR="00D2410B">
        <w:rPr>
          <w:rFonts w:cs="Arial"/>
          <w:sz w:val="22"/>
          <w:szCs w:val="22"/>
          <w:lang w:val="fr-FR"/>
        </w:rPr>
        <w:t>du fait de</w:t>
      </w:r>
      <w:r w:rsidR="00ED1671">
        <w:rPr>
          <w:rFonts w:cs="Arial"/>
          <w:sz w:val="22"/>
          <w:szCs w:val="22"/>
          <w:lang w:val="fr-FR"/>
        </w:rPr>
        <w:t xml:space="preserve"> progrès insuffisants </w:t>
      </w:r>
      <w:r>
        <w:rPr>
          <w:rFonts w:cs="Arial"/>
          <w:sz w:val="22"/>
          <w:szCs w:val="22"/>
          <w:lang w:val="fr-FR"/>
        </w:rPr>
        <w:t xml:space="preserve">dans la </w:t>
      </w:r>
      <w:r w:rsidR="00D928F5" w:rsidRPr="00E2189E">
        <w:rPr>
          <w:rFonts w:cs="Arial"/>
          <w:sz w:val="22"/>
          <w:szCs w:val="22"/>
          <w:lang w:val="fr-FR"/>
        </w:rPr>
        <w:t xml:space="preserve">mise en </w:t>
      </w:r>
      <w:r w:rsidR="00ED1671">
        <w:rPr>
          <w:rFonts w:cs="Arial"/>
          <w:sz w:val="22"/>
          <w:szCs w:val="22"/>
          <w:lang w:val="fr-FR"/>
        </w:rPr>
        <w:t>œuvre</w:t>
      </w:r>
      <w:r>
        <w:rPr>
          <w:rFonts w:cs="Arial"/>
          <w:sz w:val="22"/>
          <w:szCs w:val="22"/>
          <w:lang w:val="fr-FR"/>
        </w:rPr>
        <w:t xml:space="preserve"> de la </w:t>
      </w:r>
      <w:r w:rsidR="00ED27C6">
        <w:rPr>
          <w:rFonts w:cs="Arial"/>
          <w:sz w:val="22"/>
          <w:szCs w:val="22"/>
          <w:lang w:val="fr-FR"/>
        </w:rPr>
        <w:t>résolution</w:t>
      </w:r>
      <w:r>
        <w:rPr>
          <w:rFonts w:cs="Arial"/>
          <w:sz w:val="22"/>
          <w:szCs w:val="22"/>
          <w:lang w:val="fr-FR"/>
        </w:rPr>
        <w:t xml:space="preserve"> 11.15 et des </w:t>
      </w:r>
      <w:r w:rsidR="00D9190E" w:rsidRPr="00E2189E">
        <w:rPr>
          <w:rFonts w:cs="Arial"/>
          <w:sz w:val="22"/>
          <w:szCs w:val="22"/>
          <w:lang w:val="fr-FR"/>
        </w:rPr>
        <w:t>Lignes directrices</w:t>
      </w:r>
      <w:r w:rsidR="00E315E1" w:rsidRPr="00E2189E">
        <w:rPr>
          <w:rFonts w:cs="Arial"/>
          <w:sz w:val="22"/>
          <w:szCs w:val="22"/>
          <w:lang w:val="fr-FR"/>
        </w:rPr>
        <w:t xml:space="preserve">, </w:t>
      </w:r>
      <w:r w:rsidR="00ED1671">
        <w:rPr>
          <w:rFonts w:cs="Arial"/>
          <w:sz w:val="22"/>
          <w:szCs w:val="22"/>
          <w:lang w:val="fr-FR"/>
        </w:rPr>
        <w:t>la création</w:t>
      </w:r>
      <w:r>
        <w:rPr>
          <w:rFonts w:cs="Arial"/>
          <w:sz w:val="22"/>
          <w:szCs w:val="22"/>
          <w:lang w:val="fr-FR"/>
        </w:rPr>
        <w:t xml:space="preserve"> de</w:t>
      </w:r>
      <w:r w:rsidR="005335BD" w:rsidRPr="00E2189E">
        <w:rPr>
          <w:rFonts w:cs="Arial"/>
          <w:sz w:val="22"/>
          <w:szCs w:val="22"/>
          <w:lang w:val="fr-FR"/>
        </w:rPr>
        <w:t xml:space="preserve"> synergies</w:t>
      </w:r>
      <w:r w:rsidR="005457DB" w:rsidRPr="00E2189E">
        <w:rPr>
          <w:rFonts w:cs="Arial"/>
          <w:sz w:val="22"/>
          <w:szCs w:val="22"/>
          <w:lang w:val="fr-FR"/>
        </w:rPr>
        <w:t xml:space="preserve"> </w:t>
      </w:r>
      <w:r>
        <w:rPr>
          <w:rFonts w:cs="Arial"/>
          <w:sz w:val="22"/>
          <w:szCs w:val="22"/>
          <w:lang w:val="fr-FR"/>
        </w:rPr>
        <w:t xml:space="preserve">entre le </w:t>
      </w:r>
      <w:r w:rsidR="00302B8C">
        <w:rPr>
          <w:rFonts w:cs="Arial"/>
          <w:sz w:val="22"/>
          <w:szCs w:val="22"/>
          <w:lang w:val="fr-FR"/>
        </w:rPr>
        <w:t>GTPE</w:t>
      </w:r>
      <w:r>
        <w:rPr>
          <w:rFonts w:cs="Arial"/>
          <w:sz w:val="22"/>
          <w:szCs w:val="22"/>
          <w:lang w:val="fr-FR"/>
        </w:rPr>
        <w:t xml:space="preserve"> et le Groupe de travail sur les vautours sera très </w:t>
      </w:r>
      <w:r w:rsidR="005335BD" w:rsidRPr="00E2189E">
        <w:rPr>
          <w:rFonts w:cs="Arial"/>
          <w:sz w:val="22"/>
          <w:szCs w:val="22"/>
          <w:lang w:val="fr-FR"/>
        </w:rPr>
        <w:t>important</w:t>
      </w:r>
      <w:r>
        <w:rPr>
          <w:rFonts w:cs="Arial"/>
          <w:sz w:val="22"/>
          <w:szCs w:val="22"/>
          <w:lang w:val="fr-FR"/>
        </w:rPr>
        <w:t xml:space="preserve">e pour </w:t>
      </w:r>
      <w:r w:rsidR="00ED1671">
        <w:rPr>
          <w:rFonts w:cs="Arial"/>
          <w:sz w:val="22"/>
          <w:szCs w:val="22"/>
          <w:lang w:val="fr-FR"/>
        </w:rPr>
        <w:t xml:space="preserve">mener à bien </w:t>
      </w:r>
      <w:r>
        <w:rPr>
          <w:rFonts w:cs="Arial"/>
          <w:sz w:val="22"/>
          <w:szCs w:val="22"/>
          <w:lang w:val="fr-FR"/>
        </w:rPr>
        <w:t>le</w:t>
      </w:r>
      <w:r w:rsidR="00F01D3D">
        <w:rPr>
          <w:rFonts w:cs="Arial"/>
          <w:sz w:val="22"/>
          <w:szCs w:val="22"/>
          <w:lang w:val="fr-FR"/>
        </w:rPr>
        <w:t xml:space="preserve"> </w:t>
      </w:r>
      <w:r w:rsidR="00F10F82" w:rsidRPr="00E2189E">
        <w:rPr>
          <w:rFonts w:cs="Arial"/>
          <w:sz w:val="22"/>
          <w:szCs w:val="22"/>
          <w:lang w:val="fr-FR"/>
        </w:rPr>
        <w:t>programme de travail</w:t>
      </w:r>
      <w:r w:rsidR="00F01D3D">
        <w:rPr>
          <w:rFonts w:cs="Arial"/>
          <w:sz w:val="22"/>
          <w:szCs w:val="22"/>
          <w:lang w:val="fr-FR"/>
        </w:rPr>
        <w:t xml:space="preserve"> </w:t>
      </w:r>
      <w:r w:rsidR="00ED1671">
        <w:rPr>
          <w:rFonts w:cs="Arial"/>
          <w:sz w:val="22"/>
          <w:szCs w:val="22"/>
          <w:lang w:val="fr-FR"/>
        </w:rPr>
        <w:t xml:space="preserve">du </w:t>
      </w:r>
      <w:r w:rsidR="00302B8C">
        <w:rPr>
          <w:rFonts w:cs="Arial"/>
          <w:sz w:val="22"/>
          <w:szCs w:val="22"/>
          <w:lang w:val="fr-FR"/>
        </w:rPr>
        <w:t>GTPE</w:t>
      </w:r>
      <w:r w:rsidR="00F01D3D">
        <w:rPr>
          <w:rFonts w:cs="Arial"/>
          <w:sz w:val="22"/>
          <w:szCs w:val="22"/>
          <w:lang w:val="fr-FR"/>
        </w:rPr>
        <w:t xml:space="preserve"> et atteindre les objectifs du</w:t>
      </w:r>
      <w:r w:rsidR="00777F31" w:rsidRPr="00E2189E">
        <w:rPr>
          <w:rFonts w:cs="Arial"/>
          <w:sz w:val="22"/>
          <w:szCs w:val="22"/>
          <w:lang w:val="fr-FR"/>
        </w:rPr>
        <w:t xml:space="preserve"> </w:t>
      </w:r>
      <w:r w:rsidR="00D46D66" w:rsidRPr="00E2189E">
        <w:rPr>
          <w:rFonts w:cs="Arial"/>
          <w:sz w:val="22"/>
          <w:szCs w:val="22"/>
          <w:lang w:val="fr-FR"/>
        </w:rPr>
        <w:t>PAME Vautours</w:t>
      </w:r>
      <w:r w:rsidR="00F01D3D">
        <w:rPr>
          <w:rFonts w:cs="Arial"/>
          <w:sz w:val="22"/>
          <w:szCs w:val="22"/>
          <w:lang w:val="fr-FR"/>
        </w:rPr>
        <w:t xml:space="preserve"> proposé</w:t>
      </w:r>
      <w:r w:rsidR="005457DB" w:rsidRPr="00E2189E">
        <w:rPr>
          <w:rFonts w:cs="Arial"/>
          <w:sz w:val="22"/>
          <w:szCs w:val="22"/>
          <w:lang w:val="fr-FR"/>
        </w:rPr>
        <w:t xml:space="preserve">. </w:t>
      </w:r>
      <w:r w:rsidR="00F01D3D" w:rsidRPr="004F74F2">
        <w:rPr>
          <w:rFonts w:cs="Arial"/>
          <w:sz w:val="22"/>
          <w:szCs w:val="22"/>
          <w:lang w:val="fr-FR"/>
        </w:rPr>
        <w:t>Sachant que les act</w:t>
      </w:r>
      <w:r w:rsidR="00ED1671">
        <w:rPr>
          <w:rFonts w:cs="Arial"/>
          <w:sz w:val="22"/>
          <w:szCs w:val="22"/>
          <w:lang w:val="fr-FR"/>
        </w:rPr>
        <w:t>ivités</w:t>
      </w:r>
      <w:r w:rsidR="00D2410B">
        <w:rPr>
          <w:rFonts w:cs="Arial"/>
          <w:sz w:val="22"/>
          <w:szCs w:val="22"/>
          <w:lang w:val="fr-FR"/>
        </w:rPr>
        <w:t xml:space="preserve"> du GTPE</w:t>
      </w:r>
      <w:r w:rsidR="00ED1671">
        <w:rPr>
          <w:rFonts w:cs="Arial"/>
          <w:sz w:val="22"/>
          <w:szCs w:val="22"/>
          <w:lang w:val="fr-FR"/>
        </w:rPr>
        <w:t xml:space="preserve"> axées sur d</w:t>
      </w:r>
      <w:r w:rsidR="004F74F2" w:rsidRPr="004F74F2">
        <w:rPr>
          <w:rFonts w:cs="Arial"/>
          <w:sz w:val="22"/>
          <w:szCs w:val="22"/>
          <w:lang w:val="fr-FR"/>
        </w:rPr>
        <w:t>es</w:t>
      </w:r>
      <w:r w:rsidR="00ED1671">
        <w:rPr>
          <w:rFonts w:cs="Arial"/>
          <w:sz w:val="22"/>
          <w:szCs w:val="22"/>
          <w:lang w:val="fr-FR"/>
        </w:rPr>
        <w:t xml:space="preserve"> objectifs</w:t>
      </w:r>
      <w:r w:rsidR="00374425" w:rsidRPr="004F74F2">
        <w:rPr>
          <w:rFonts w:cs="Arial"/>
          <w:sz w:val="22"/>
          <w:szCs w:val="22"/>
          <w:lang w:val="fr-FR"/>
        </w:rPr>
        <w:t xml:space="preserve"> </w:t>
      </w:r>
      <w:r w:rsidR="00F01D3D" w:rsidRPr="004F74F2">
        <w:rPr>
          <w:rFonts w:cs="Arial"/>
          <w:sz w:val="22"/>
          <w:szCs w:val="22"/>
          <w:lang w:val="fr-FR"/>
        </w:rPr>
        <w:t xml:space="preserve">seraient grandement facilitées par un </w:t>
      </w:r>
      <w:r w:rsidR="00F10F82" w:rsidRPr="004F74F2">
        <w:rPr>
          <w:rFonts w:cs="Arial"/>
          <w:sz w:val="22"/>
          <w:szCs w:val="22"/>
          <w:lang w:val="fr-FR"/>
        </w:rPr>
        <w:t>coordinateur</w:t>
      </w:r>
      <w:r w:rsidR="00D2410B">
        <w:rPr>
          <w:rFonts w:cs="Arial"/>
          <w:sz w:val="22"/>
          <w:szCs w:val="22"/>
          <w:lang w:val="fr-FR"/>
        </w:rPr>
        <w:t xml:space="preserve"> expert permanent</w:t>
      </w:r>
      <w:r w:rsidR="005457DB" w:rsidRPr="004F74F2">
        <w:rPr>
          <w:rFonts w:cs="Arial"/>
          <w:sz w:val="22"/>
          <w:szCs w:val="22"/>
          <w:lang w:val="fr-FR"/>
        </w:rPr>
        <w:t xml:space="preserve">, </w:t>
      </w:r>
      <w:r w:rsidR="00D2410B">
        <w:rPr>
          <w:rFonts w:cs="Arial"/>
          <w:sz w:val="22"/>
          <w:szCs w:val="22"/>
          <w:lang w:val="fr-FR"/>
        </w:rPr>
        <w:t>l’apport d’</w:t>
      </w:r>
      <w:r w:rsidR="004F74F2">
        <w:rPr>
          <w:rFonts w:cs="Arial"/>
          <w:sz w:val="22"/>
          <w:szCs w:val="22"/>
          <w:lang w:val="fr-FR"/>
        </w:rPr>
        <w:t>un financement pour ce poste serait une ét</w:t>
      </w:r>
      <w:r w:rsidR="00D2410B">
        <w:rPr>
          <w:rFonts w:cs="Arial"/>
          <w:sz w:val="22"/>
          <w:szCs w:val="22"/>
          <w:lang w:val="fr-FR"/>
        </w:rPr>
        <w:t>ape importante pour mettre en œuvre efficacement le</w:t>
      </w:r>
      <w:r w:rsidR="005457DB" w:rsidRPr="004F74F2">
        <w:rPr>
          <w:rFonts w:cs="Arial"/>
          <w:sz w:val="22"/>
          <w:szCs w:val="22"/>
          <w:lang w:val="fr-FR"/>
        </w:rPr>
        <w:t xml:space="preserve"> </w:t>
      </w:r>
      <w:r w:rsidR="00F10F82" w:rsidRPr="004F74F2">
        <w:rPr>
          <w:rFonts w:cs="Arial"/>
          <w:sz w:val="22"/>
          <w:szCs w:val="22"/>
          <w:lang w:val="fr-FR"/>
        </w:rPr>
        <w:t>programme de travail</w:t>
      </w:r>
      <w:r w:rsidR="00374425" w:rsidRPr="004F74F2">
        <w:rPr>
          <w:rFonts w:cs="Arial"/>
          <w:sz w:val="22"/>
          <w:szCs w:val="22"/>
          <w:lang w:val="fr-FR"/>
        </w:rPr>
        <w:t xml:space="preserve">, </w:t>
      </w:r>
      <w:r w:rsidR="00D2410B">
        <w:rPr>
          <w:rFonts w:cs="Arial"/>
          <w:sz w:val="22"/>
          <w:szCs w:val="22"/>
          <w:lang w:val="fr-FR"/>
        </w:rPr>
        <w:t>aboutissant à une plus grande efficacité dans la</w:t>
      </w:r>
      <w:r w:rsidR="004F74F2">
        <w:rPr>
          <w:rFonts w:cs="Arial"/>
          <w:sz w:val="22"/>
          <w:szCs w:val="22"/>
          <w:lang w:val="fr-FR"/>
        </w:rPr>
        <w:t xml:space="preserve"> mise en œuvre des </w:t>
      </w:r>
      <w:r w:rsidR="00D9190E" w:rsidRPr="004F74F2">
        <w:rPr>
          <w:rFonts w:cs="Arial"/>
          <w:sz w:val="22"/>
          <w:szCs w:val="22"/>
          <w:lang w:val="fr-FR"/>
        </w:rPr>
        <w:t>Lignes directrices</w:t>
      </w:r>
      <w:r w:rsidR="004F74F2">
        <w:rPr>
          <w:rFonts w:cs="Arial"/>
          <w:sz w:val="22"/>
          <w:szCs w:val="22"/>
          <w:lang w:val="fr-FR"/>
        </w:rPr>
        <w:t xml:space="preserve"> et des mesures décrites dans</w:t>
      </w:r>
      <w:r w:rsidR="00F51748" w:rsidRPr="004F74F2">
        <w:rPr>
          <w:rFonts w:cs="Arial"/>
          <w:sz w:val="22"/>
          <w:szCs w:val="22"/>
          <w:lang w:val="fr-FR"/>
        </w:rPr>
        <w:t xml:space="preserve"> </w:t>
      </w:r>
      <w:r w:rsidR="004F74F2">
        <w:rPr>
          <w:rFonts w:cs="Arial"/>
          <w:sz w:val="22"/>
          <w:szCs w:val="22"/>
          <w:lang w:val="fr-FR"/>
        </w:rPr>
        <w:t xml:space="preserve">le </w:t>
      </w:r>
      <w:r w:rsidR="00D46D66" w:rsidRPr="004F74F2">
        <w:rPr>
          <w:rFonts w:cs="Arial"/>
          <w:sz w:val="22"/>
          <w:szCs w:val="22"/>
          <w:lang w:val="fr-FR"/>
        </w:rPr>
        <w:t>PAME Vautours</w:t>
      </w:r>
      <w:r w:rsidR="004F74F2">
        <w:rPr>
          <w:rFonts w:cs="Arial"/>
          <w:sz w:val="22"/>
          <w:szCs w:val="22"/>
          <w:lang w:val="fr-FR"/>
        </w:rPr>
        <w:t xml:space="preserve"> </w:t>
      </w:r>
      <w:proofErr w:type="gramStart"/>
      <w:r w:rsidR="004F74F2">
        <w:rPr>
          <w:rFonts w:cs="Arial"/>
          <w:sz w:val="22"/>
          <w:szCs w:val="22"/>
          <w:lang w:val="fr-FR"/>
        </w:rPr>
        <w:t>aux niveaux nation</w:t>
      </w:r>
      <w:r w:rsidR="00D2410B">
        <w:rPr>
          <w:rFonts w:cs="Arial"/>
          <w:sz w:val="22"/>
          <w:szCs w:val="22"/>
          <w:lang w:val="fr-FR"/>
        </w:rPr>
        <w:t>al</w:t>
      </w:r>
      <w:proofErr w:type="gramEnd"/>
      <w:r w:rsidR="00D2410B">
        <w:rPr>
          <w:rFonts w:cs="Arial"/>
          <w:sz w:val="22"/>
          <w:szCs w:val="22"/>
          <w:lang w:val="fr-FR"/>
        </w:rPr>
        <w:t>, régional et mondi</w:t>
      </w:r>
      <w:r w:rsidR="004F74F2">
        <w:rPr>
          <w:rFonts w:cs="Arial"/>
          <w:sz w:val="22"/>
          <w:szCs w:val="22"/>
          <w:lang w:val="fr-FR"/>
        </w:rPr>
        <w:t>a</w:t>
      </w:r>
      <w:r w:rsidR="00D2410B">
        <w:rPr>
          <w:rFonts w:cs="Arial"/>
          <w:sz w:val="22"/>
          <w:szCs w:val="22"/>
          <w:lang w:val="fr-FR"/>
        </w:rPr>
        <w:t>l</w:t>
      </w:r>
      <w:r w:rsidR="00F51748" w:rsidRPr="004F74F2">
        <w:rPr>
          <w:rFonts w:cs="Arial"/>
          <w:sz w:val="22"/>
          <w:szCs w:val="22"/>
          <w:lang w:val="fr-FR"/>
        </w:rPr>
        <w:t>.</w:t>
      </w:r>
    </w:p>
    <w:p w14:paraId="0CA95656" w14:textId="58EEBFB0" w:rsidR="00446B38" w:rsidRPr="004F74F2" w:rsidRDefault="00446B38" w:rsidP="008575E5">
      <w:pPr>
        <w:jc w:val="both"/>
        <w:rPr>
          <w:rFonts w:cs="Arial"/>
          <w:sz w:val="22"/>
          <w:szCs w:val="22"/>
          <w:lang w:val="fr-FR"/>
        </w:rPr>
      </w:pPr>
    </w:p>
    <w:p w14:paraId="45F33969" w14:textId="430010FE" w:rsidR="00FF57B0" w:rsidRPr="004F74F2" w:rsidRDefault="004F74F2" w:rsidP="00FF57B0">
      <w:pPr>
        <w:pStyle w:val="ListParagraph"/>
        <w:numPr>
          <w:ilvl w:val="0"/>
          <w:numId w:val="2"/>
        </w:numPr>
        <w:jc w:val="both"/>
        <w:rPr>
          <w:rFonts w:cs="Arial"/>
          <w:sz w:val="22"/>
          <w:szCs w:val="22"/>
          <w:lang w:val="fr-FR"/>
        </w:rPr>
      </w:pPr>
      <w:r w:rsidRPr="004F74F2">
        <w:rPr>
          <w:rFonts w:cs="Arial"/>
          <w:sz w:val="22"/>
          <w:szCs w:val="22"/>
          <w:lang w:val="fr-FR"/>
        </w:rPr>
        <w:t>L’</w:t>
      </w:r>
      <w:r w:rsidR="00446B38" w:rsidRPr="004F74F2">
        <w:rPr>
          <w:rFonts w:cs="Arial"/>
          <w:sz w:val="22"/>
          <w:szCs w:val="22"/>
          <w:lang w:val="fr-FR"/>
        </w:rPr>
        <w:t>initiative</w:t>
      </w:r>
      <w:r w:rsidR="00D2410B">
        <w:rPr>
          <w:rFonts w:cs="Arial"/>
          <w:sz w:val="22"/>
          <w:szCs w:val="22"/>
          <w:lang w:val="fr-FR"/>
        </w:rPr>
        <w:t xml:space="preserve"> robuste concernant la</w:t>
      </w:r>
      <w:r w:rsidR="0056725E">
        <w:rPr>
          <w:rFonts w:cs="Arial"/>
          <w:sz w:val="22"/>
          <w:szCs w:val="22"/>
          <w:lang w:val="fr-FR"/>
        </w:rPr>
        <w:t xml:space="preserve"> mise en place</w:t>
      </w:r>
      <w:r w:rsidR="00F10F82" w:rsidRPr="004F74F2">
        <w:rPr>
          <w:rFonts w:cs="Arial"/>
          <w:sz w:val="22"/>
          <w:szCs w:val="22"/>
          <w:lang w:val="fr-FR"/>
        </w:rPr>
        <w:t xml:space="preserve"> </w:t>
      </w:r>
      <w:r w:rsidR="005D22B5">
        <w:rPr>
          <w:rFonts w:cs="Arial"/>
          <w:sz w:val="22"/>
          <w:szCs w:val="22"/>
          <w:lang w:val="fr-FR"/>
        </w:rPr>
        <w:t xml:space="preserve">du </w:t>
      </w:r>
      <w:r w:rsidR="00292877">
        <w:rPr>
          <w:rFonts w:cs="Arial"/>
          <w:sz w:val="22"/>
          <w:szCs w:val="22"/>
          <w:lang w:val="fr-FR"/>
        </w:rPr>
        <w:t>groupe spécial sur le plomb</w:t>
      </w:r>
      <w:r w:rsidR="00680EC9" w:rsidRPr="004F74F2">
        <w:rPr>
          <w:rFonts w:cs="Arial"/>
          <w:sz w:val="22"/>
          <w:szCs w:val="22"/>
          <w:lang w:val="fr-FR"/>
        </w:rPr>
        <w:t xml:space="preserve"> </w:t>
      </w:r>
      <w:r w:rsidR="00D2410B">
        <w:rPr>
          <w:rFonts w:cs="Arial"/>
          <w:sz w:val="22"/>
          <w:szCs w:val="22"/>
          <w:lang w:val="fr-FR"/>
        </w:rPr>
        <w:t xml:space="preserve">exige la réalisation </w:t>
      </w:r>
      <w:r w:rsidRPr="004F74F2">
        <w:rPr>
          <w:rFonts w:cs="Arial"/>
          <w:sz w:val="22"/>
          <w:szCs w:val="22"/>
          <w:lang w:val="fr-FR"/>
        </w:rPr>
        <w:t>efficace de ses actions proposées</w:t>
      </w:r>
      <w:r w:rsidR="00680EC9" w:rsidRPr="004F74F2">
        <w:rPr>
          <w:rFonts w:cs="Arial"/>
          <w:sz w:val="22"/>
          <w:szCs w:val="22"/>
          <w:lang w:val="fr-FR"/>
        </w:rPr>
        <w:t xml:space="preserve"> </w:t>
      </w:r>
      <w:r w:rsidRPr="004F74F2">
        <w:rPr>
          <w:rFonts w:cs="Arial"/>
          <w:sz w:val="22"/>
          <w:szCs w:val="22"/>
          <w:lang w:val="fr-FR"/>
        </w:rPr>
        <w:t xml:space="preserve">dans le cadre du </w:t>
      </w:r>
      <w:r w:rsidR="00F10F82" w:rsidRPr="004F74F2">
        <w:rPr>
          <w:rFonts w:cs="Arial"/>
          <w:sz w:val="22"/>
          <w:szCs w:val="22"/>
          <w:lang w:val="fr-FR"/>
        </w:rPr>
        <w:t>programme de travail</w:t>
      </w:r>
      <w:r>
        <w:rPr>
          <w:rFonts w:cs="Arial"/>
          <w:sz w:val="22"/>
          <w:szCs w:val="22"/>
          <w:lang w:val="fr-FR"/>
        </w:rPr>
        <w:t xml:space="preserve"> du</w:t>
      </w:r>
      <w:r w:rsidR="00680EC9" w:rsidRPr="004F74F2">
        <w:rPr>
          <w:rFonts w:cs="Arial"/>
          <w:sz w:val="22"/>
          <w:szCs w:val="22"/>
          <w:lang w:val="fr-FR"/>
        </w:rPr>
        <w:t xml:space="preserve"> </w:t>
      </w:r>
      <w:r w:rsidR="00302B8C">
        <w:rPr>
          <w:rFonts w:cs="Arial"/>
          <w:sz w:val="22"/>
          <w:szCs w:val="22"/>
          <w:lang w:val="fr-FR"/>
        </w:rPr>
        <w:t>GTPE</w:t>
      </w:r>
      <w:r w:rsidR="00680EC9" w:rsidRPr="004F74F2">
        <w:rPr>
          <w:rFonts w:cs="Arial"/>
          <w:sz w:val="22"/>
          <w:szCs w:val="22"/>
          <w:lang w:val="fr-FR"/>
        </w:rPr>
        <w:t xml:space="preserve">, </w:t>
      </w:r>
      <w:r>
        <w:rPr>
          <w:rFonts w:cs="Arial"/>
          <w:sz w:val="22"/>
          <w:szCs w:val="22"/>
          <w:lang w:val="fr-FR"/>
        </w:rPr>
        <w:t>y compris les négoc</w:t>
      </w:r>
      <w:r w:rsidR="00680EC9" w:rsidRPr="004F74F2">
        <w:rPr>
          <w:rFonts w:cs="Arial"/>
          <w:sz w:val="22"/>
          <w:szCs w:val="22"/>
          <w:lang w:val="fr-FR"/>
        </w:rPr>
        <w:t xml:space="preserve">iations </w:t>
      </w:r>
      <w:r w:rsidR="00D2410B">
        <w:rPr>
          <w:rFonts w:cs="Arial"/>
          <w:sz w:val="22"/>
          <w:szCs w:val="22"/>
          <w:lang w:val="fr-FR"/>
        </w:rPr>
        <w:t>requise</w:t>
      </w:r>
      <w:r>
        <w:rPr>
          <w:rFonts w:cs="Arial"/>
          <w:sz w:val="22"/>
          <w:szCs w:val="22"/>
          <w:lang w:val="fr-FR"/>
        </w:rPr>
        <w:t xml:space="preserve">s </w:t>
      </w:r>
      <w:r w:rsidR="00E2189E" w:rsidRPr="004F74F2">
        <w:rPr>
          <w:rFonts w:cs="Arial"/>
          <w:sz w:val="22"/>
          <w:szCs w:val="22"/>
          <w:lang w:val="fr-FR"/>
        </w:rPr>
        <w:t>entre</w:t>
      </w:r>
      <w:r>
        <w:rPr>
          <w:rFonts w:cs="Arial"/>
          <w:sz w:val="22"/>
          <w:szCs w:val="22"/>
          <w:lang w:val="fr-FR"/>
        </w:rPr>
        <w:t xml:space="preserve"> différents </w:t>
      </w:r>
      <w:r w:rsidR="00BF5C9C" w:rsidRPr="004F74F2">
        <w:rPr>
          <w:rFonts w:cs="Arial"/>
          <w:sz w:val="22"/>
          <w:szCs w:val="22"/>
          <w:lang w:val="fr-FR"/>
        </w:rPr>
        <w:t>acteurs</w:t>
      </w:r>
      <w:r>
        <w:rPr>
          <w:rFonts w:cs="Arial"/>
          <w:sz w:val="22"/>
          <w:szCs w:val="22"/>
          <w:lang w:val="fr-FR"/>
        </w:rPr>
        <w:t xml:space="preserve"> très impliqués</w:t>
      </w:r>
      <w:r w:rsidR="00D2410B">
        <w:rPr>
          <w:rFonts w:cs="Arial"/>
          <w:sz w:val="22"/>
          <w:szCs w:val="22"/>
          <w:lang w:val="fr-FR"/>
        </w:rPr>
        <w:t> :</w:t>
      </w:r>
      <w:r w:rsidR="00680EC9" w:rsidRPr="004F74F2">
        <w:rPr>
          <w:rFonts w:cs="Arial"/>
          <w:sz w:val="22"/>
          <w:szCs w:val="22"/>
          <w:lang w:val="fr-FR"/>
        </w:rPr>
        <w:t xml:space="preserve"> </w:t>
      </w:r>
      <w:r>
        <w:rPr>
          <w:rFonts w:cs="Arial"/>
          <w:sz w:val="22"/>
          <w:szCs w:val="22"/>
          <w:lang w:val="fr-FR"/>
        </w:rPr>
        <w:t>ce</w:t>
      </w:r>
      <w:r w:rsidR="00D2410B">
        <w:rPr>
          <w:rFonts w:cs="Arial"/>
          <w:sz w:val="22"/>
          <w:szCs w:val="22"/>
          <w:lang w:val="fr-FR"/>
        </w:rPr>
        <w:t xml:space="preserve">ci ne peut être accompli que </w:t>
      </w:r>
      <w:r>
        <w:rPr>
          <w:rFonts w:cs="Arial"/>
          <w:sz w:val="22"/>
          <w:szCs w:val="22"/>
          <w:lang w:val="fr-FR"/>
        </w:rPr>
        <w:t xml:space="preserve">par une </w:t>
      </w:r>
      <w:r w:rsidR="00446B38" w:rsidRPr="004F74F2">
        <w:rPr>
          <w:rFonts w:cs="Arial"/>
          <w:sz w:val="22"/>
          <w:szCs w:val="22"/>
          <w:lang w:val="fr-FR"/>
        </w:rPr>
        <w:t>coordination</w:t>
      </w:r>
      <w:r w:rsidR="00D2410B">
        <w:rPr>
          <w:rFonts w:cs="Arial"/>
          <w:sz w:val="22"/>
          <w:szCs w:val="22"/>
          <w:lang w:val="fr-FR"/>
        </w:rPr>
        <w:t xml:space="preserve"> régulière</w:t>
      </w:r>
      <w:r w:rsidR="00680EC9" w:rsidRPr="004F74F2">
        <w:rPr>
          <w:rFonts w:cs="Arial"/>
          <w:sz w:val="22"/>
          <w:szCs w:val="22"/>
          <w:lang w:val="fr-FR"/>
        </w:rPr>
        <w:t xml:space="preserve">. </w:t>
      </w:r>
      <w:r w:rsidRPr="004F74F2">
        <w:rPr>
          <w:rFonts w:cs="Arial"/>
          <w:sz w:val="22"/>
          <w:szCs w:val="22"/>
          <w:lang w:val="fr-FR"/>
        </w:rPr>
        <w:t>En</w:t>
      </w:r>
      <w:r w:rsidR="0014156C" w:rsidRPr="004F74F2">
        <w:rPr>
          <w:rFonts w:cs="Arial"/>
          <w:sz w:val="22"/>
          <w:szCs w:val="22"/>
          <w:lang w:val="fr-FR"/>
        </w:rPr>
        <w:t xml:space="preserve"> </w:t>
      </w:r>
      <w:r w:rsidRPr="004F74F2">
        <w:rPr>
          <w:rFonts w:cs="Arial"/>
          <w:sz w:val="22"/>
          <w:szCs w:val="22"/>
          <w:lang w:val="fr-FR"/>
        </w:rPr>
        <w:t>consé</w:t>
      </w:r>
      <w:r w:rsidR="00680EC9" w:rsidRPr="004F74F2">
        <w:rPr>
          <w:rFonts w:cs="Arial"/>
          <w:sz w:val="22"/>
          <w:szCs w:val="22"/>
          <w:lang w:val="fr-FR"/>
        </w:rPr>
        <w:t xml:space="preserve">quence, </w:t>
      </w:r>
      <w:r w:rsidR="00D2410B">
        <w:rPr>
          <w:rFonts w:cs="Arial"/>
          <w:sz w:val="22"/>
          <w:szCs w:val="22"/>
          <w:lang w:val="fr-FR"/>
        </w:rPr>
        <w:t>l’apport d’un</w:t>
      </w:r>
      <w:r w:rsidRPr="004F74F2">
        <w:rPr>
          <w:rFonts w:cs="Arial"/>
          <w:sz w:val="22"/>
          <w:szCs w:val="22"/>
          <w:lang w:val="fr-FR"/>
        </w:rPr>
        <w:t xml:space="preserve"> </w:t>
      </w:r>
      <w:r w:rsidR="001E09A7" w:rsidRPr="004F74F2">
        <w:rPr>
          <w:rFonts w:cs="Arial"/>
          <w:sz w:val="22"/>
          <w:szCs w:val="22"/>
          <w:lang w:val="fr-FR"/>
        </w:rPr>
        <w:t>financement</w:t>
      </w:r>
      <w:r w:rsidR="00D2410B">
        <w:rPr>
          <w:rFonts w:cs="Arial"/>
          <w:sz w:val="22"/>
          <w:szCs w:val="22"/>
          <w:lang w:val="fr-FR"/>
        </w:rPr>
        <w:t xml:space="preserve"> pour un </w:t>
      </w:r>
      <w:r w:rsidR="00F10F82" w:rsidRPr="004F74F2">
        <w:rPr>
          <w:rFonts w:cs="Arial"/>
          <w:sz w:val="22"/>
          <w:szCs w:val="22"/>
          <w:lang w:val="fr-FR"/>
        </w:rPr>
        <w:t>coordinateur</w:t>
      </w:r>
      <w:r w:rsidRPr="004F74F2">
        <w:rPr>
          <w:rFonts w:cs="Arial"/>
          <w:sz w:val="22"/>
          <w:szCs w:val="22"/>
          <w:lang w:val="fr-FR"/>
        </w:rPr>
        <w:t xml:space="preserve"> du</w:t>
      </w:r>
      <w:r w:rsidR="00680EC9" w:rsidRPr="004F74F2">
        <w:rPr>
          <w:rFonts w:cs="Arial"/>
          <w:sz w:val="22"/>
          <w:szCs w:val="22"/>
          <w:lang w:val="fr-FR"/>
        </w:rPr>
        <w:t xml:space="preserve"> </w:t>
      </w:r>
      <w:r w:rsidR="00302B8C">
        <w:rPr>
          <w:rFonts w:cs="Arial"/>
          <w:sz w:val="22"/>
          <w:szCs w:val="22"/>
          <w:lang w:val="fr-FR"/>
        </w:rPr>
        <w:t>GTPE</w:t>
      </w:r>
      <w:r w:rsidR="00D2410B">
        <w:rPr>
          <w:rFonts w:cs="Arial"/>
          <w:sz w:val="22"/>
          <w:szCs w:val="22"/>
          <w:lang w:val="fr-FR"/>
        </w:rPr>
        <w:t>, qui inclut</w:t>
      </w:r>
      <w:r>
        <w:rPr>
          <w:rFonts w:cs="Arial"/>
          <w:sz w:val="22"/>
          <w:szCs w:val="22"/>
          <w:lang w:val="fr-FR"/>
        </w:rPr>
        <w:t xml:space="preserve"> aussi la coordination </w:t>
      </w:r>
      <w:r w:rsidR="005D22B5">
        <w:rPr>
          <w:rFonts w:cs="Arial"/>
          <w:sz w:val="22"/>
          <w:szCs w:val="22"/>
          <w:lang w:val="fr-FR"/>
        </w:rPr>
        <w:t xml:space="preserve">du </w:t>
      </w:r>
      <w:r w:rsidR="00292877">
        <w:rPr>
          <w:rFonts w:cs="Arial"/>
          <w:sz w:val="22"/>
          <w:szCs w:val="22"/>
          <w:lang w:val="fr-FR"/>
        </w:rPr>
        <w:t>groupe spécial sur le plomb</w:t>
      </w:r>
      <w:r w:rsidR="00A428A7" w:rsidRPr="004F74F2">
        <w:rPr>
          <w:rFonts w:cs="Arial"/>
          <w:sz w:val="22"/>
          <w:szCs w:val="22"/>
          <w:lang w:val="fr-FR"/>
        </w:rPr>
        <w:t>,</w:t>
      </w:r>
      <w:r w:rsidR="00680EC9" w:rsidRPr="004F74F2">
        <w:rPr>
          <w:rFonts w:cs="Arial"/>
          <w:sz w:val="22"/>
          <w:szCs w:val="22"/>
          <w:lang w:val="fr-FR"/>
        </w:rPr>
        <w:t xml:space="preserve"> </w:t>
      </w:r>
      <w:r>
        <w:rPr>
          <w:rFonts w:cs="Arial"/>
          <w:sz w:val="22"/>
          <w:szCs w:val="22"/>
          <w:lang w:val="fr-FR"/>
        </w:rPr>
        <w:t xml:space="preserve">serait un facteur </w:t>
      </w:r>
      <w:r w:rsidR="00680EC9" w:rsidRPr="004F74F2">
        <w:rPr>
          <w:rFonts w:cs="Arial"/>
          <w:sz w:val="22"/>
          <w:szCs w:val="22"/>
          <w:lang w:val="fr-FR"/>
        </w:rPr>
        <w:t xml:space="preserve">important </w:t>
      </w:r>
      <w:r w:rsidR="00722818">
        <w:rPr>
          <w:rFonts w:cs="Arial"/>
          <w:sz w:val="22"/>
          <w:szCs w:val="22"/>
          <w:lang w:val="fr-FR"/>
        </w:rPr>
        <w:t xml:space="preserve">pour </w:t>
      </w:r>
      <w:r>
        <w:rPr>
          <w:rFonts w:cs="Arial"/>
          <w:sz w:val="22"/>
          <w:szCs w:val="22"/>
          <w:lang w:val="fr-FR"/>
        </w:rPr>
        <w:t>p</w:t>
      </w:r>
      <w:r w:rsidR="00722818">
        <w:rPr>
          <w:rFonts w:cs="Arial"/>
          <w:sz w:val="22"/>
          <w:szCs w:val="22"/>
          <w:lang w:val="fr-FR"/>
        </w:rPr>
        <w:t>ermettre</w:t>
      </w:r>
      <w:r w:rsidR="00D2410B">
        <w:rPr>
          <w:rFonts w:cs="Arial"/>
          <w:sz w:val="22"/>
          <w:szCs w:val="22"/>
          <w:lang w:val="fr-FR"/>
        </w:rPr>
        <w:t xml:space="preserve"> au</w:t>
      </w:r>
      <w:r w:rsidR="002D04A3">
        <w:rPr>
          <w:rFonts w:cs="Arial"/>
          <w:sz w:val="22"/>
          <w:szCs w:val="22"/>
          <w:lang w:val="fr-FR"/>
        </w:rPr>
        <w:t xml:space="preserve"> groupe d’étude</w:t>
      </w:r>
      <w:r w:rsidR="0024379F" w:rsidRPr="004F74F2">
        <w:rPr>
          <w:rFonts w:cs="Arial"/>
          <w:sz w:val="22"/>
          <w:szCs w:val="22"/>
          <w:lang w:val="fr-FR"/>
        </w:rPr>
        <w:t xml:space="preserve"> </w:t>
      </w:r>
      <w:proofErr w:type="gramStart"/>
      <w:r w:rsidR="00D2410B">
        <w:rPr>
          <w:rFonts w:cs="Arial"/>
          <w:sz w:val="22"/>
          <w:szCs w:val="22"/>
          <w:lang w:val="fr-FR"/>
        </w:rPr>
        <w:t>d’accomplir</w:t>
      </w:r>
      <w:proofErr w:type="gramEnd"/>
      <w:r w:rsidR="00D2410B">
        <w:rPr>
          <w:rFonts w:cs="Arial"/>
          <w:sz w:val="22"/>
          <w:szCs w:val="22"/>
          <w:lang w:val="fr-FR"/>
        </w:rPr>
        <w:t xml:space="preserve"> </w:t>
      </w:r>
      <w:r>
        <w:rPr>
          <w:rFonts w:cs="Arial"/>
          <w:sz w:val="22"/>
          <w:szCs w:val="22"/>
          <w:lang w:val="fr-FR"/>
        </w:rPr>
        <w:t xml:space="preserve">son </w:t>
      </w:r>
      <w:r w:rsidR="001E09A7" w:rsidRPr="004F74F2">
        <w:rPr>
          <w:rFonts w:cs="Arial"/>
          <w:sz w:val="22"/>
          <w:szCs w:val="22"/>
          <w:lang w:val="fr-FR"/>
        </w:rPr>
        <w:t>mandat</w:t>
      </w:r>
      <w:r>
        <w:rPr>
          <w:rFonts w:cs="Arial"/>
          <w:sz w:val="22"/>
          <w:szCs w:val="22"/>
          <w:lang w:val="fr-FR"/>
        </w:rPr>
        <w:t xml:space="preserve"> proposé</w:t>
      </w:r>
      <w:r w:rsidR="0024379F" w:rsidRPr="004F74F2">
        <w:rPr>
          <w:rFonts w:cs="Arial"/>
          <w:sz w:val="22"/>
          <w:szCs w:val="22"/>
          <w:lang w:val="fr-FR"/>
        </w:rPr>
        <w:t>.</w:t>
      </w:r>
    </w:p>
    <w:p w14:paraId="3B2A2A94" w14:textId="1C487C56" w:rsidR="00FF57B0" w:rsidRPr="004F74F2" w:rsidRDefault="00FF57B0" w:rsidP="00FF57B0">
      <w:pPr>
        <w:jc w:val="both"/>
        <w:rPr>
          <w:rFonts w:cs="Arial"/>
          <w:sz w:val="22"/>
          <w:szCs w:val="22"/>
          <w:lang w:val="fr-FR"/>
        </w:rPr>
      </w:pPr>
    </w:p>
    <w:p w14:paraId="23D6B60D" w14:textId="4E3B9B23" w:rsidR="00FF57B0" w:rsidRPr="00FF57B0" w:rsidRDefault="00776E53" w:rsidP="00FF57B0">
      <w:pPr>
        <w:jc w:val="both"/>
        <w:rPr>
          <w:rFonts w:cs="Arial"/>
          <w:color w:val="000000"/>
          <w:sz w:val="22"/>
          <w:szCs w:val="22"/>
          <w:u w:val="single"/>
        </w:rPr>
      </w:pPr>
      <w:proofErr w:type="spellStart"/>
      <w:r>
        <w:rPr>
          <w:rFonts w:cs="Arial"/>
          <w:color w:val="000000"/>
          <w:sz w:val="22"/>
          <w:szCs w:val="22"/>
          <w:u w:val="single"/>
        </w:rPr>
        <w:t>Résolution</w:t>
      </w:r>
      <w:proofErr w:type="spellEnd"/>
      <w:r w:rsidR="00FF57B0" w:rsidRPr="00FF57B0">
        <w:rPr>
          <w:rFonts w:cs="Arial"/>
          <w:color w:val="000000"/>
          <w:sz w:val="22"/>
          <w:szCs w:val="22"/>
          <w:u w:val="single"/>
        </w:rPr>
        <w:t xml:space="preserve"> </w:t>
      </w:r>
      <w:r w:rsidR="00FF57B0">
        <w:rPr>
          <w:rFonts w:cs="Arial"/>
          <w:color w:val="000000"/>
          <w:sz w:val="22"/>
          <w:szCs w:val="22"/>
          <w:u w:val="single"/>
        </w:rPr>
        <w:t>11.15</w:t>
      </w:r>
    </w:p>
    <w:p w14:paraId="49124F9F" w14:textId="77777777" w:rsidR="00FF57B0" w:rsidRPr="00FF57B0" w:rsidRDefault="00FF57B0" w:rsidP="00FF57B0">
      <w:pPr>
        <w:jc w:val="both"/>
        <w:rPr>
          <w:rFonts w:cs="Arial"/>
          <w:sz w:val="22"/>
          <w:szCs w:val="22"/>
          <w:lang w:val="en-GB"/>
        </w:rPr>
      </w:pPr>
    </w:p>
    <w:p w14:paraId="6AF56F87" w14:textId="66CC4725" w:rsidR="00FF57B0" w:rsidRPr="00E2189E" w:rsidRDefault="00722818" w:rsidP="00FF57B0">
      <w:pPr>
        <w:pStyle w:val="ListParagraph"/>
        <w:numPr>
          <w:ilvl w:val="0"/>
          <w:numId w:val="2"/>
        </w:numPr>
        <w:jc w:val="both"/>
        <w:rPr>
          <w:rFonts w:cs="Arial"/>
          <w:sz w:val="22"/>
          <w:szCs w:val="22"/>
          <w:lang w:val="fr-FR"/>
        </w:rPr>
      </w:pPr>
      <w:r>
        <w:rPr>
          <w:rFonts w:cs="Arial"/>
          <w:color w:val="000000"/>
          <w:sz w:val="22"/>
          <w:szCs w:val="22"/>
          <w:lang w:val="fr-FR"/>
        </w:rPr>
        <w:t xml:space="preserve">Afin d’intégrer les récents </w:t>
      </w:r>
      <w:r w:rsidR="00E2189E">
        <w:rPr>
          <w:rFonts w:cs="Arial"/>
          <w:color w:val="000000"/>
          <w:sz w:val="22"/>
          <w:szCs w:val="22"/>
          <w:lang w:val="fr-FR"/>
        </w:rPr>
        <w:t>dé</w:t>
      </w:r>
      <w:r w:rsidR="00FF57B0" w:rsidRPr="00E2189E">
        <w:rPr>
          <w:rFonts w:cs="Arial"/>
          <w:color w:val="000000"/>
          <w:sz w:val="22"/>
          <w:szCs w:val="22"/>
          <w:lang w:val="fr-FR"/>
        </w:rPr>
        <w:t>velop</w:t>
      </w:r>
      <w:r w:rsidR="00E2189E">
        <w:rPr>
          <w:rFonts w:cs="Arial"/>
          <w:color w:val="000000"/>
          <w:sz w:val="22"/>
          <w:szCs w:val="22"/>
          <w:lang w:val="fr-FR"/>
        </w:rPr>
        <w:t>pements et</w:t>
      </w:r>
      <w:r w:rsidR="00FF57B0" w:rsidRPr="00E2189E">
        <w:rPr>
          <w:rFonts w:cs="Arial"/>
          <w:color w:val="000000"/>
          <w:sz w:val="22"/>
          <w:szCs w:val="22"/>
          <w:lang w:val="fr-FR"/>
        </w:rPr>
        <w:t xml:space="preserve"> suggestions </w:t>
      </w:r>
      <w:r w:rsidR="00E2189E">
        <w:rPr>
          <w:rFonts w:cs="Arial"/>
          <w:color w:val="000000"/>
          <w:sz w:val="22"/>
          <w:szCs w:val="22"/>
          <w:lang w:val="fr-FR"/>
        </w:rPr>
        <w:t>faites par le G</w:t>
      </w:r>
      <w:r w:rsidR="00971318" w:rsidRPr="00E2189E">
        <w:rPr>
          <w:rFonts w:cs="Arial"/>
          <w:color w:val="000000"/>
          <w:sz w:val="22"/>
          <w:szCs w:val="22"/>
          <w:lang w:val="fr-FR"/>
        </w:rPr>
        <w:t>roupe de travail sur la prévention de l’empoisonnement</w:t>
      </w:r>
      <w:r w:rsidR="00FF57B0" w:rsidRPr="00E2189E">
        <w:rPr>
          <w:rFonts w:cs="Arial"/>
          <w:color w:val="000000"/>
          <w:sz w:val="22"/>
          <w:szCs w:val="22"/>
          <w:lang w:val="fr-FR"/>
        </w:rPr>
        <w:t xml:space="preserve">, </w:t>
      </w:r>
      <w:r w:rsidR="00E2189E">
        <w:rPr>
          <w:rFonts w:cs="Arial"/>
          <w:color w:val="000000"/>
          <w:sz w:val="22"/>
          <w:szCs w:val="22"/>
          <w:lang w:val="fr-FR"/>
        </w:rPr>
        <w:t xml:space="preserve">un nouveau </w:t>
      </w:r>
      <w:r w:rsidR="00FF57B0" w:rsidRPr="00E2189E">
        <w:rPr>
          <w:rFonts w:cs="Arial"/>
          <w:color w:val="000000"/>
          <w:sz w:val="22"/>
          <w:szCs w:val="22"/>
          <w:lang w:val="fr-FR"/>
        </w:rPr>
        <w:t>text</w:t>
      </w:r>
      <w:r w:rsidR="00E2189E">
        <w:rPr>
          <w:rFonts w:cs="Arial"/>
          <w:color w:val="000000"/>
          <w:sz w:val="22"/>
          <w:szCs w:val="22"/>
          <w:lang w:val="fr-FR"/>
        </w:rPr>
        <w:t xml:space="preserve">e a été inséré dans la </w:t>
      </w:r>
      <w:r w:rsidR="00ED27C6">
        <w:rPr>
          <w:rFonts w:cs="Arial"/>
          <w:color w:val="000000"/>
          <w:sz w:val="22"/>
          <w:szCs w:val="22"/>
          <w:lang w:val="fr-FR"/>
        </w:rPr>
        <w:t>résolution</w:t>
      </w:r>
      <w:r w:rsidR="007C64B1" w:rsidRPr="00E2189E">
        <w:rPr>
          <w:rFonts w:cs="Arial"/>
          <w:color w:val="000000"/>
          <w:sz w:val="22"/>
          <w:szCs w:val="22"/>
          <w:lang w:val="fr-FR"/>
        </w:rPr>
        <w:t> </w:t>
      </w:r>
      <w:r w:rsidR="00FF57B0" w:rsidRPr="00E2189E">
        <w:rPr>
          <w:rFonts w:cs="Arial"/>
          <w:color w:val="000000"/>
          <w:sz w:val="22"/>
          <w:szCs w:val="22"/>
          <w:lang w:val="fr-FR"/>
        </w:rPr>
        <w:t>11.15.</w:t>
      </w:r>
    </w:p>
    <w:p w14:paraId="0034B7D9" w14:textId="77777777" w:rsidR="001E09A7" w:rsidRPr="00E2189E" w:rsidRDefault="001E09A7" w:rsidP="008575E5">
      <w:pPr>
        <w:jc w:val="both"/>
        <w:rPr>
          <w:rFonts w:cs="Arial"/>
          <w:sz w:val="22"/>
          <w:szCs w:val="22"/>
          <w:lang w:val="fr-FR"/>
        </w:rPr>
      </w:pPr>
    </w:p>
    <w:p w14:paraId="5B88BD35" w14:textId="6BC5D7C6" w:rsidR="007910DD" w:rsidRPr="0024379F" w:rsidRDefault="001E09A7" w:rsidP="008575E5">
      <w:pPr>
        <w:jc w:val="both"/>
        <w:rPr>
          <w:rFonts w:cs="Arial"/>
          <w:sz w:val="22"/>
          <w:szCs w:val="22"/>
          <w:lang w:val="en-GB"/>
        </w:rPr>
      </w:pPr>
      <w:r>
        <w:rPr>
          <w:rFonts w:cs="Arial"/>
          <w:sz w:val="22"/>
          <w:szCs w:val="22"/>
          <w:u w:val="single"/>
          <w:lang w:val="en-GB"/>
        </w:rPr>
        <w:t>Ac</w:t>
      </w:r>
      <w:r w:rsidR="0090059C" w:rsidRPr="0024379F">
        <w:rPr>
          <w:rFonts w:cs="Arial"/>
          <w:sz w:val="22"/>
          <w:szCs w:val="22"/>
          <w:u w:val="single"/>
          <w:lang w:val="en-GB"/>
        </w:rPr>
        <w:t>tions</w:t>
      </w:r>
      <w:r>
        <w:rPr>
          <w:rFonts w:cs="Arial"/>
          <w:sz w:val="22"/>
          <w:szCs w:val="22"/>
          <w:u w:val="single"/>
          <w:lang w:val="en-GB"/>
        </w:rPr>
        <w:t xml:space="preserve"> </w:t>
      </w:r>
      <w:proofErr w:type="spellStart"/>
      <w:r>
        <w:rPr>
          <w:rFonts w:cs="Arial"/>
          <w:sz w:val="22"/>
          <w:szCs w:val="22"/>
          <w:u w:val="single"/>
          <w:lang w:val="en-GB"/>
        </w:rPr>
        <w:t>recommandées</w:t>
      </w:r>
      <w:proofErr w:type="spellEnd"/>
    </w:p>
    <w:p w14:paraId="27CF749F" w14:textId="77777777" w:rsidR="007910DD" w:rsidRPr="0024379F" w:rsidRDefault="007910DD" w:rsidP="008575E5">
      <w:pPr>
        <w:jc w:val="both"/>
        <w:rPr>
          <w:rFonts w:cs="Arial"/>
          <w:sz w:val="22"/>
          <w:szCs w:val="22"/>
          <w:lang w:val="en-GB"/>
        </w:rPr>
      </w:pPr>
    </w:p>
    <w:p w14:paraId="5CB9AD7C" w14:textId="0092E45C" w:rsidR="007910DD" w:rsidRPr="00DB204E" w:rsidRDefault="001E09A7" w:rsidP="008575E5">
      <w:pPr>
        <w:numPr>
          <w:ilvl w:val="0"/>
          <w:numId w:val="2"/>
        </w:numPr>
        <w:jc w:val="both"/>
        <w:rPr>
          <w:rFonts w:cs="Arial"/>
          <w:sz w:val="22"/>
          <w:szCs w:val="22"/>
          <w:lang w:val="fr-FR"/>
        </w:rPr>
      </w:pPr>
      <w:r>
        <w:rPr>
          <w:rFonts w:cs="Arial"/>
          <w:sz w:val="22"/>
          <w:szCs w:val="22"/>
          <w:lang w:val="fr-FR" w:eastAsia="en-GB"/>
        </w:rPr>
        <w:t>Il est r</w:t>
      </w:r>
      <w:r w:rsidR="00722818">
        <w:rPr>
          <w:rFonts w:cs="Arial"/>
          <w:sz w:val="22"/>
          <w:szCs w:val="22"/>
          <w:lang w:val="fr-FR" w:eastAsia="en-GB"/>
        </w:rPr>
        <w:t xml:space="preserve">ecommandé que </w:t>
      </w:r>
      <w:r>
        <w:rPr>
          <w:rFonts w:cs="Arial"/>
          <w:sz w:val="22"/>
          <w:szCs w:val="22"/>
          <w:lang w:val="fr-FR" w:eastAsia="en-GB"/>
        </w:rPr>
        <w:t>la</w:t>
      </w:r>
      <w:r w:rsidR="00DB204E" w:rsidRPr="00DB204E">
        <w:rPr>
          <w:rFonts w:cs="Arial"/>
          <w:sz w:val="22"/>
          <w:szCs w:val="22"/>
          <w:lang w:val="fr-FR" w:eastAsia="en-GB"/>
        </w:rPr>
        <w:t xml:space="preserve"> Conférence des Parties</w:t>
      </w:r>
      <w:r>
        <w:rPr>
          <w:rFonts w:cs="Arial"/>
          <w:sz w:val="22"/>
          <w:szCs w:val="22"/>
          <w:lang w:val="fr-FR" w:eastAsia="en-GB"/>
        </w:rPr>
        <w:t xml:space="preserve"> </w:t>
      </w:r>
      <w:r w:rsidR="007910DD" w:rsidRPr="00DB204E">
        <w:rPr>
          <w:rFonts w:cs="Arial"/>
          <w:sz w:val="22"/>
          <w:szCs w:val="22"/>
          <w:lang w:val="fr-FR"/>
        </w:rPr>
        <w:t>:</w:t>
      </w:r>
    </w:p>
    <w:p w14:paraId="15CDA1E1" w14:textId="47E92D99" w:rsidR="007910DD" w:rsidRPr="00DB204E" w:rsidRDefault="007910DD" w:rsidP="008575E5">
      <w:pPr>
        <w:jc w:val="both"/>
        <w:rPr>
          <w:rFonts w:cs="Arial"/>
          <w:sz w:val="22"/>
          <w:szCs w:val="22"/>
          <w:lang w:val="fr-FR"/>
        </w:rPr>
      </w:pPr>
    </w:p>
    <w:p w14:paraId="2D65BB98" w14:textId="3E629A4B" w:rsidR="007910DD" w:rsidRPr="001E09A7" w:rsidRDefault="00292877" w:rsidP="008575E5">
      <w:pPr>
        <w:widowControl/>
        <w:numPr>
          <w:ilvl w:val="0"/>
          <w:numId w:val="3"/>
        </w:numPr>
        <w:autoSpaceDE/>
        <w:adjustRightInd/>
        <w:contextualSpacing/>
        <w:jc w:val="both"/>
        <w:rPr>
          <w:rFonts w:cs="Arial"/>
          <w:sz w:val="22"/>
          <w:szCs w:val="22"/>
          <w:lang w:val="fr-FR"/>
        </w:rPr>
      </w:pPr>
      <w:proofErr w:type="gramStart"/>
      <w:r>
        <w:rPr>
          <w:rFonts w:cs="Arial"/>
          <w:sz w:val="22"/>
          <w:szCs w:val="22"/>
          <w:lang w:val="fr-FR"/>
        </w:rPr>
        <w:t>a</w:t>
      </w:r>
      <w:r w:rsidR="007910DD" w:rsidRPr="001E09A7">
        <w:rPr>
          <w:rFonts w:cs="Arial"/>
          <w:sz w:val="22"/>
          <w:szCs w:val="22"/>
          <w:lang w:val="fr-FR"/>
        </w:rPr>
        <w:t>dopt</w:t>
      </w:r>
      <w:r w:rsidR="0056725E">
        <w:rPr>
          <w:rFonts w:cs="Arial"/>
          <w:sz w:val="22"/>
          <w:szCs w:val="22"/>
          <w:lang w:val="fr-FR"/>
        </w:rPr>
        <w:t>e</w:t>
      </w:r>
      <w:proofErr w:type="gramEnd"/>
      <w:r w:rsidR="00D96890" w:rsidRPr="001E09A7">
        <w:rPr>
          <w:rFonts w:cs="Arial"/>
          <w:sz w:val="22"/>
          <w:szCs w:val="22"/>
          <w:lang w:val="fr-FR"/>
        </w:rPr>
        <w:t xml:space="preserve"> </w:t>
      </w:r>
      <w:r w:rsidR="001E09A7" w:rsidRPr="001E09A7">
        <w:rPr>
          <w:rFonts w:cs="Arial"/>
          <w:sz w:val="22"/>
          <w:szCs w:val="22"/>
          <w:lang w:val="fr-FR"/>
        </w:rPr>
        <w:t>les</w:t>
      </w:r>
      <w:r w:rsidR="0019248C" w:rsidRPr="001E09A7">
        <w:rPr>
          <w:rFonts w:cs="Arial"/>
          <w:sz w:val="22"/>
          <w:szCs w:val="22"/>
          <w:lang w:val="fr-FR"/>
        </w:rPr>
        <w:t xml:space="preserve"> amend</w:t>
      </w:r>
      <w:r w:rsidR="001E09A7" w:rsidRPr="001E09A7">
        <w:rPr>
          <w:rFonts w:cs="Arial"/>
          <w:sz w:val="22"/>
          <w:szCs w:val="22"/>
          <w:lang w:val="fr-FR"/>
        </w:rPr>
        <w:t xml:space="preserve">ements à la </w:t>
      </w:r>
      <w:r w:rsidR="00ED27C6">
        <w:rPr>
          <w:rFonts w:cs="Arial"/>
          <w:sz w:val="22"/>
          <w:szCs w:val="22"/>
          <w:lang w:val="fr-FR"/>
        </w:rPr>
        <w:t>résolution</w:t>
      </w:r>
      <w:r w:rsidR="00BA11E7" w:rsidRPr="001E09A7">
        <w:rPr>
          <w:rFonts w:cs="Arial"/>
          <w:sz w:val="22"/>
          <w:szCs w:val="22"/>
          <w:lang w:val="fr-FR"/>
        </w:rPr>
        <w:t xml:space="preserve"> 11.15</w:t>
      </w:r>
      <w:r w:rsidR="001E09A7">
        <w:rPr>
          <w:rFonts w:cs="Arial"/>
          <w:sz w:val="22"/>
          <w:szCs w:val="22"/>
          <w:lang w:val="fr-FR"/>
        </w:rPr>
        <w:t xml:space="preserve"> contenus dans l’</w:t>
      </w:r>
      <w:r w:rsidR="0024379F" w:rsidRPr="001E09A7">
        <w:rPr>
          <w:rFonts w:cs="Arial"/>
          <w:sz w:val="22"/>
          <w:szCs w:val="22"/>
          <w:lang w:val="fr-FR"/>
        </w:rPr>
        <w:t>Annex</w:t>
      </w:r>
      <w:r w:rsidR="001E09A7">
        <w:rPr>
          <w:rFonts w:cs="Arial"/>
          <w:sz w:val="22"/>
          <w:szCs w:val="22"/>
          <w:lang w:val="fr-FR"/>
        </w:rPr>
        <w:t>e</w:t>
      </w:r>
      <w:r w:rsidR="0024379F" w:rsidRPr="001E09A7">
        <w:rPr>
          <w:rFonts w:cs="Arial"/>
          <w:sz w:val="22"/>
          <w:szCs w:val="22"/>
          <w:lang w:val="fr-FR"/>
        </w:rPr>
        <w:t xml:space="preserve"> 1 </w:t>
      </w:r>
      <w:r w:rsidR="001E09A7">
        <w:rPr>
          <w:rFonts w:cs="Arial"/>
          <w:sz w:val="22"/>
          <w:szCs w:val="22"/>
          <w:lang w:val="fr-FR"/>
        </w:rPr>
        <w:t xml:space="preserve">au présent </w:t>
      </w:r>
      <w:r w:rsidR="007910DD" w:rsidRPr="001E09A7">
        <w:rPr>
          <w:rFonts w:cs="Arial"/>
          <w:sz w:val="22"/>
          <w:szCs w:val="22"/>
          <w:lang w:val="fr-FR"/>
        </w:rPr>
        <w:t>document;</w:t>
      </w:r>
    </w:p>
    <w:p w14:paraId="2D1B96E2" w14:textId="77777777" w:rsidR="00BA11E7" w:rsidRPr="001E09A7" w:rsidRDefault="00BA11E7" w:rsidP="008575E5">
      <w:pPr>
        <w:pStyle w:val="ListParagraph"/>
        <w:jc w:val="both"/>
        <w:rPr>
          <w:rFonts w:cs="Arial"/>
          <w:sz w:val="22"/>
          <w:szCs w:val="22"/>
          <w:lang w:val="fr-FR"/>
        </w:rPr>
      </w:pPr>
    </w:p>
    <w:p w14:paraId="06983DA4" w14:textId="64DEEC03" w:rsidR="00BA11E7" w:rsidRPr="001E09A7" w:rsidRDefault="00292877" w:rsidP="008575E5">
      <w:pPr>
        <w:widowControl/>
        <w:numPr>
          <w:ilvl w:val="0"/>
          <w:numId w:val="3"/>
        </w:numPr>
        <w:autoSpaceDE/>
        <w:adjustRightInd/>
        <w:contextualSpacing/>
        <w:jc w:val="both"/>
        <w:rPr>
          <w:rFonts w:cs="Arial"/>
          <w:sz w:val="22"/>
          <w:szCs w:val="22"/>
          <w:lang w:val="fr-FR"/>
        </w:rPr>
      </w:pPr>
      <w:proofErr w:type="gramStart"/>
      <w:r>
        <w:rPr>
          <w:rFonts w:cs="Arial"/>
          <w:sz w:val="22"/>
          <w:szCs w:val="22"/>
          <w:lang w:val="fr-FR"/>
        </w:rPr>
        <w:t>a</w:t>
      </w:r>
      <w:r w:rsidR="001E09A7" w:rsidRPr="001E09A7">
        <w:rPr>
          <w:rFonts w:cs="Arial"/>
          <w:sz w:val="22"/>
          <w:szCs w:val="22"/>
          <w:lang w:val="fr-FR"/>
        </w:rPr>
        <w:t>dopt</w:t>
      </w:r>
      <w:r w:rsidR="0056725E">
        <w:rPr>
          <w:rFonts w:cs="Arial"/>
          <w:sz w:val="22"/>
          <w:szCs w:val="22"/>
          <w:lang w:val="fr-FR"/>
        </w:rPr>
        <w:t>e</w:t>
      </w:r>
      <w:proofErr w:type="gramEnd"/>
      <w:r w:rsidR="001E09A7" w:rsidRPr="001E09A7">
        <w:rPr>
          <w:rFonts w:cs="Arial"/>
          <w:sz w:val="22"/>
          <w:szCs w:val="22"/>
          <w:lang w:val="fr-FR"/>
        </w:rPr>
        <w:t xml:space="preserve"> le projet de </w:t>
      </w:r>
      <w:r w:rsidR="001E09A7">
        <w:rPr>
          <w:rFonts w:cs="Arial"/>
          <w:sz w:val="22"/>
          <w:szCs w:val="22"/>
          <w:lang w:val="fr-FR"/>
        </w:rPr>
        <w:t>d</w:t>
      </w:r>
      <w:r w:rsidR="001E09A7" w:rsidRPr="001E09A7">
        <w:rPr>
          <w:rFonts w:cs="Arial"/>
          <w:sz w:val="22"/>
          <w:szCs w:val="22"/>
          <w:lang w:val="fr-FR"/>
        </w:rPr>
        <w:t>é</w:t>
      </w:r>
      <w:r w:rsidR="00BA11E7" w:rsidRPr="001E09A7">
        <w:rPr>
          <w:rFonts w:cs="Arial"/>
          <w:sz w:val="22"/>
          <w:szCs w:val="22"/>
          <w:lang w:val="fr-FR"/>
        </w:rPr>
        <w:t xml:space="preserve">cisions </w:t>
      </w:r>
      <w:r w:rsidR="001E09A7">
        <w:rPr>
          <w:rFonts w:cs="Arial"/>
          <w:sz w:val="22"/>
          <w:szCs w:val="22"/>
          <w:lang w:val="fr-FR"/>
        </w:rPr>
        <w:t>contenu dans l’</w:t>
      </w:r>
      <w:r w:rsidR="00BA11E7" w:rsidRPr="001E09A7">
        <w:rPr>
          <w:rFonts w:cs="Arial"/>
          <w:sz w:val="22"/>
          <w:szCs w:val="22"/>
          <w:lang w:val="fr-FR"/>
        </w:rPr>
        <w:t>Annex</w:t>
      </w:r>
      <w:r w:rsidR="001E09A7">
        <w:rPr>
          <w:rFonts w:cs="Arial"/>
          <w:sz w:val="22"/>
          <w:szCs w:val="22"/>
          <w:lang w:val="fr-FR"/>
        </w:rPr>
        <w:t>e</w:t>
      </w:r>
      <w:r w:rsidR="00BA11E7" w:rsidRPr="001E09A7">
        <w:rPr>
          <w:rFonts w:cs="Arial"/>
          <w:sz w:val="22"/>
          <w:szCs w:val="22"/>
          <w:lang w:val="fr-FR"/>
        </w:rPr>
        <w:t xml:space="preserve"> 2 </w:t>
      </w:r>
      <w:r w:rsidR="001E09A7">
        <w:rPr>
          <w:rFonts w:cs="Arial"/>
          <w:sz w:val="22"/>
          <w:szCs w:val="22"/>
          <w:lang w:val="fr-FR"/>
        </w:rPr>
        <w:t xml:space="preserve">au présent </w:t>
      </w:r>
      <w:r w:rsidR="00BA11E7" w:rsidRPr="001E09A7">
        <w:rPr>
          <w:rFonts w:cs="Arial"/>
          <w:sz w:val="22"/>
          <w:szCs w:val="22"/>
          <w:lang w:val="fr-FR"/>
        </w:rPr>
        <w:t>document</w:t>
      </w:r>
      <w:r w:rsidR="00F51748" w:rsidRPr="001E09A7">
        <w:rPr>
          <w:rFonts w:cs="Arial"/>
          <w:sz w:val="22"/>
          <w:szCs w:val="22"/>
          <w:lang w:val="fr-FR"/>
        </w:rPr>
        <w:t>;</w:t>
      </w:r>
    </w:p>
    <w:p w14:paraId="61846937" w14:textId="77777777" w:rsidR="0024379F" w:rsidRPr="001E09A7" w:rsidRDefault="0024379F" w:rsidP="008575E5">
      <w:pPr>
        <w:pStyle w:val="ListParagraph"/>
        <w:jc w:val="both"/>
        <w:rPr>
          <w:rFonts w:cs="Arial"/>
          <w:sz w:val="22"/>
          <w:szCs w:val="22"/>
          <w:lang w:val="fr-FR"/>
        </w:rPr>
      </w:pPr>
    </w:p>
    <w:p w14:paraId="2B570647" w14:textId="1CAA8204" w:rsidR="00F51748" w:rsidRPr="001E09A7" w:rsidRDefault="00292877" w:rsidP="008575E5">
      <w:pPr>
        <w:widowControl/>
        <w:numPr>
          <w:ilvl w:val="0"/>
          <w:numId w:val="3"/>
        </w:numPr>
        <w:autoSpaceDE/>
        <w:adjustRightInd/>
        <w:contextualSpacing/>
        <w:jc w:val="both"/>
        <w:rPr>
          <w:rFonts w:cs="Arial"/>
          <w:sz w:val="22"/>
          <w:szCs w:val="22"/>
          <w:lang w:val="fr-FR"/>
        </w:rPr>
      </w:pPr>
      <w:proofErr w:type="gramStart"/>
      <w:r>
        <w:rPr>
          <w:rFonts w:cs="Arial"/>
          <w:sz w:val="22"/>
          <w:szCs w:val="22"/>
          <w:lang w:val="fr-FR"/>
        </w:rPr>
        <w:t>a</w:t>
      </w:r>
      <w:r w:rsidR="0056725E">
        <w:rPr>
          <w:rFonts w:cs="Arial"/>
          <w:sz w:val="22"/>
          <w:szCs w:val="22"/>
          <w:lang w:val="fr-FR"/>
        </w:rPr>
        <w:t>dopte</w:t>
      </w:r>
      <w:proofErr w:type="gramEnd"/>
      <w:r w:rsidR="001E09A7" w:rsidRPr="001E09A7">
        <w:rPr>
          <w:rFonts w:cs="Arial"/>
          <w:sz w:val="22"/>
          <w:szCs w:val="22"/>
          <w:lang w:val="fr-FR"/>
        </w:rPr>
        <w:t xml:space="preserve"> le</w:t>
      </w:r>
      <w:r w:rsidR="0024379F" w:rsidRPr="001E09A7">
        <w:rPr>
          <w:rFonts w:cs="Arial"/>
          <w:sz w:val="22"/>
          <w:szCs w:val="22"/>
          <w:lang w:val="fr-FR"/>
        </w:rPr>
        <w:t xml:space="preserve"> </w:t>
      </w:r>
      <w:r w:rsidR="001E09A7" w:rsidRPr="001E09A7">
        <w:rPr>
          <w:rFonts w:cs="Arial"/>
          <w:sz w:val="22"/>
          <w:szCs w:val="22"/>
          <w:lang w:val="fr-FR"/>
        </w:rPr>
        <w:t>m</w:t>
      </w:r>
      <w:r w:rsidR="00D9190E" w:rsidRPr="001E09A7">
        <w:rPr>
          <w:rFonts w:cs="Arial"/>
          <w:sz w:val="22"/>
          <w:szCs w:val="22"/>
          <w:lang w:val="fr-FR"/>
        </w:rPr>
        <w:t>andat</w:t>
      </w:r>
      <w:r w:rsidR="001E09A7" w:rsidRPr="001E09A7">
        <w:rPr>
          <w:rFonts w:cs="Arial"/>
          <w:sz w:val="22"/>
          <w:szCs w:val="22"/>
          <w:lang w:val="fr-FR"/>
        </w:rPr>
        <w:t xml:space="preserve"> </w:t>
      </w:r>
      <w:r w:rsidR="005D22B5">
        <w:rPr>
          <w:rFonts w:cs="Arial"/>
          <w:sz w:val="22"/>
          <w:szCs w:val="22"/>
          <w:lang w:val="fr-FR"/>
        </w:rPr>
        <w:t xml:space="preserve">du </w:t>
      </w:r>
      <w:r>
        <w:rPr>
          <w:rFonts w:cs="Arial"/>
          <w:sz w:val="22"/>
          <w:szCs w:val="22"/>
          <w:lang w:val="fr-FR"/>
        </w:rPr>
        <w:t>groupe spécial sur le plomb</w:t>
      </w:r>
      <w:r w:rsidR="001E09A7">
        <w:rPr>
          <w:rFonts w:cs="Arial"/>
          <w:sz w:val="22"/>
          <w:szCs w:val="22"/>
          <w:lang w:val="fr-FR"/>
        </w:rPr>
        <w:t xml:space="preserve"> contenu dans l’</w:t>
      </w:r>
      <w:r w:rsidR="00A21145" w:rsidRPr="001E09A7">
        <w:rPr>
          <w:rFonts w:cs="Arial"/>
          <w:sz w:val="22"/>
          <w:szCs w:val="22"/>
          <w:lang w:val="fr-FR"/>
        </w:rPr>
        <w:t>Annex</w:t>
      </w:r>
      <w:r w:rsidR="001E09A7">
        <w:rPr>
          <w:rFonts w:cs="Arial"/>
          <w:sz w:val="22"/>
          <w:szCs w:val="22"/>
          <w:lang w:val="fr-FR"/>
        </w:rPr>
        <w:t xml:space="preserve">e 3 au présent </w:t>
      </w:r>
      <w:r w:rsidR="00A21145" w:rsidRPr="001E09A7">
        <w:rPr>
          <w:rFonts w:cs="Arial"/>
          <w:sz w:val="22"/>
          <w:szCs w:val="22"/>
          <w:lang w:val="fr-FR"/>
        </w:rPr>
        <w:t>document</w:t>
      </w:r>
      <w:r w:rsidR="0019248C" w:rsidRPr="001E09A7">
        <w:rPr>
          <w:rFonts w:cs="Arial"/>
          <w:sz w:val="22"/>
          <w:szCs w:val="22"/>
          <w:lang w:val="fr-FR"/>
        </w:rPr>
        <w:t>;</w:t>
      </w:r>
    </w:p>
    <w:p w14:paraId="7CD61FD0" w14:textId="77777777" w:rsidR="007C5459" w:rsidRPr="001E09A7" w:rsidRDefault="007C5459" w:rsidP="007C5459">
      <w:pPr>
        <w:pStyle w:val="ListParagraph"/>
        <w:rPr>
          <w:rFonts w:cs="Arial"/>
          <w:sz w:val="22"/>
          <w:szCs w:val="22"/>
          <w:lang w:val="fr-FR"/>
        </w:rPr>
      </w:pPr>
    </w:p>
    <w:p w14:paraId="769FCFBB" w14:textId="4E41515F" w:rsidR="00375362" w:rsidRPr="00F43660" w:rsidRDefault="00292877" w:rsidP="00375362">
      <w:pPr>
        <w:widowControl/>
        <w:numPr>
          <w:ilvl w:val="0"/>
          <w:numId w:val="3"/>
        </w:numPr>
        <w:autoSpaceDE/>
        <w:adjustRightInd/>
        <w:contextualSpacing/>
        <w:jc w:val="both"/>
        <w:rPr>
          <w:rFonts w:cs="Arial"/>
          <w:sz w:val="22"/>
          <w:szCs w:val="22"/>
          <w:lang w:val="en-GB"/>
        </w:rPr>
      </w:pPr>
      <w:proofErr w:type="spellStart"/>
      <w:r>
        <w:rPr>
          <w:rFonts w:cs="Arial"/>
          <w:sz w:val="22"/>
          <w:szCs w:val="22"/>
          <w:lang w:val="en-GB"/>
        </w:rPr>
        <w:t>abroge</w:t>
      </w:r>
      <w:proofErr w:type="spellEnd"/>
      <w:r w:rsidR="001E09A7">
        <w:rPr>
          <w:rFonts w:cs="Arial"/>
          <w:sz w:val="22"/>
          <w:szCs w:val="22"/>
          <w:lang w:val="en-GB"/>
        </w:rPr>
        <w:t xml:space="preserve"> la </w:t>
      </w:r>
      <w:proofErr w:type="spellStart"/>
      <w:r>
        <w:rPr>
          <w:rFonts w:cs="Arial"/>
          <w:sz w:val="22"/>
          <w:szCs w:val="22"/>
          <w:lang w:val="en-GB"/>
        </w:rPr>
        <w:t>R</w:t>
      </w:r>
      <w:r w:rsidR="00ED27C6">
        <w:rPr>
          <w:rFonts w:cs="Arial"/>
          <w:sz w:val="22"/>
          <w:szCs w:val="22"/>
          <w:lang w:val="en-GB"/>
        </w:rPr>
        <w:t>ésolution</w:t>
      </w:r>
      <w:proofErr w:type="spellEnd"/>
      <w:r w:rsidR="007C5459">
        <w:rPr>
          <w:rFonts w:cs="Arial"/>
          <w:sz w:val="22"/>
          <w:szCs w:val="22"/>
          <w:lang w:val="en-GB"/>
        </w:rPr>
        <w:t xml:space="preserve"> 10.</w:t>
      </w:r>
      <w:r w:rsidR="00B25F39">
        <w:rPr>
          <w:rFonts w:cs="Arial"/>
          <w:sz w:val="22"/>
          <w:szCs w:val="22"/>
          <w:lang w:val="en-GB"/>
        </w:rPr>
        <w:t>2</w:t>
      </w:r>
      <w:r w:rsidR="00F43660">
        <w:rPr>
          <w:rFonts w:cs="Arial"/>
          <w:sz w:val="22"/>
          <w:szCs w:val="22"/>
          <w:lang w:val="en-GB"/>
        </w:rPr>
        <w:t>6.</w:t>
      </w:r>
    </w:p>
    <w:p w14:paraId="650574BC" w14:textId="77777777" w:rsidR="004742EC" w:rsidRDefault="004742EC" w:rsidP="00094BFC">
      <w:pPr>
        <w:widowControl/>
        <w:autoSpaceDE/>
        <w:adjustRightInd/>
        <w:contextualSpacing/>
        <w:jc w:val="both"/>
        <w:rPr>
          <w:rFonts w:cs="Arial"/>
          <w:sz w:val="22"/>
          <w:szCs w:val="22"/>
          <w:lang w:val="en-GB"/>
        </w:rPr>
        <w:sectPr w:rsidR="004742EC" w:rsidSect="0052082F">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595348F2" w14:textId="633877DB" w:rsidR="007910DD" w:rsidRPr="00825763" w:rsidRDefault="00372228" w:rsidP="00292877">
      <w:pPr>
        <w:widowControl/>
        <w:autoSpaceDE/>
        <w:adjustRightInd/>
        <w:jc w:val="right"/>
        <w:rPr>
          <w:rFonts w:cs="Arial"/>
          <w:b/>
          <w:bCs/>
          <w:caps/>
          <w:sz w:val="22"/>
          <w:szCs w:val="22"/>
          <w:lang w:val="fr-FR"/>
        </w:rPr>
      </w:pPr>
      <w:r w:rsidRPr="00825763">
        <w:rPr>
          <w:rFonts w:cs="Arial"/>
          <w:b/>
          <w:caps/>
          <w:sz w:val="22"/>
          <w:szCs w:val="22"/>
          <w:lang w:val="fr-FR"/>
        </w:rPr>
        <w:lastRenderedPageBreak/>
        <w:t>Annex</w:t>
      </w:r>
      <w:r w:rsidR="001E09A7" w:rsidRPr="00825763">
        <w:rPr>
          <w:rFonts w:cs="Arial"/>
          <w:b/>
          <w:caps/>
          <w:sz w:val="22"/>
          <w:szCs w:val="22"/>
          <w:lang w:val="fr-FR"/>
        </w:rPr>
        <w:t>e</w:t>
      </w:r>
      <w:r w:rsidRPr="00825763">
        <w:rPr>
          <w:rFonts w:cs="Arial"/>
          <w:b/>
          <w:caps/>
          <w:sz w:val="22"/>
          <w:szCs w:val="22"/>
          <w:lang w:val="fr-FR"/>
        </w:rPr>
        <w:t xml:space="preserve"> 1</w:t>
      </w:r>
    </w:p>
    <w:p w14:paraId="6B2262D3" w14:textId="77777777" w:rsidR="007910DD" w:rsidRPr="00825763" w:rsidRDefault="007910DD" w:rsidP="007910DD">
      <w:pPr>
        <w:rPr>
          <w:rFonts w:cs="Arial"/>
          <w:sz w:val="22"/>
          <w:szCs w:val="22"/>
          <w:lang w:val="fr-FR"/>
        </w:rPr>
      </w:pPr>
    </w:p>
    <w:p w14:paraId="21361C9C" w14:textId="73F49F0D" w:rsidR="007910DD" w:rsidRPr="00825763" w:rsidRDefault="00DB204E" w:rsidP="007910DD">
      <w:pPr>
        <w:jc w:val="center"/>
        <w:rPr>
          <w:rFonts w:cs="Arial"/>
          <w:sz w:val="22"/>
          <w:szCs w:val="22"/>
          <w:lang w:val="fr-FR"/>
        </w:rPr>
      </w:pPr>
      <w:r w:rsidRPr="00825763">
        <w:rPr>
          <w:rFonts w:cs="Arial"/>
          <w:sz w:val="22"/>
          <w:szCs w:val="22"/>
          <w:lang w:val="fr-FR"/>
        </w:rPr>
        <w:t>RÉSOLUTION</w:t>
      </w:r>
      <w:r w:rsidR="00EB5B95">
        <w:rPr>
          <w:rFonts w:cs="Arial"/>
          <w:sz w:val="22"/>
          <w:szCs w:val="22"/>
          <w:lang w:val="fr-FR"/>
        </w:rPr>
        <w:t xml:space="preserve"> 11.15 (</w:t>
      </w:r>
      <w:proofErr w:type="spellStart"/>
      <w:r w:rsidR="00EB5B95">
        <w:rPr>
          <w:rFonts w:cs="Arial"/>
          <w:sz w:val="22"/>
          <w:szCs w:val="22"/>
          <w:lang w:val="fr-FR"/>
        </w:rPr>
        <w:t>Rev</w:t>
      </w:r>
      <w:proofErr w:type="spellEnd"/>
      <w:r w:rsidR="00EB5B95">
        <w:rPr>
          <w:rFonts w:cs="Arial"/>
          <w:sz w:val="22"/>
          <w:szCs w:val="22"/>
          <w:lang w:val="fr-FR"/>
        </w:rPr>
        <w:t>. COP12)</w:t>
      </w:r>
    </w:p>
    <w:p w14:paraId="33F44C23" w14:textId="77777777" w:rsidR="007910DD" w:rsidRPr="00825763" w:rsidRDefault="007910DD" w:rsidP="007910DD">
      <w:pPr>
        <w:jc w:val="center"/>
        <w:rPr>
          <w:rFonts w:cs="Arial"/>
          <w:sz w:val="22"/>
          <w:szCs w:val="22"/>
          <w:lang w:val="fr-FR"/>
        </w:rPr>
      </w:pPr>
    </w:p>
    <w:p w14:paraId="3E19AEC9" w14:textId="6EFF6378" w:rsidR="007910DD" w:rsidRPr="00D9190E" w:rsidRDefault="009E0F24"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Pr>
          <w:rFonts w:cs="Arial"/>
          <w:b/>
          <w:caps/>
          <w:sz w:val="22"/>
          <w:szCs w:val="22"/>
          <w:lang w:val="fr-FR"/>
        </w:rPr>
        <w:t>PRÉVENir l’</w:t>
      </w:r>
      <w:r w:rsidR="00DB204E" w:rsidRPr="00D9190E">
        <w:rPr>
          <w:rFonts w:cs="Arial"/>
          <w:b/>
          <w:caps/>
          <w:sz w:val="22"/>
          <w:szCs w:val="22"/>
          <w:lang w:val="fr-FR"/>
        </w:rPr>
        <w:t>EMPOISONNEMENT</w:t>
      </w:r>
      <w:r w:rsidR="001E09A7">
        <w:rPr>
          <w:rFonts w:cs="Arial"/>
          <w:b/>
          <w:caps/>
          <w:sz w:val="22"/>
          <w:szCs w:val="22"/>
          <w:lang w:val="fr-FR"/>
        </w:rPr>
        <w:t xml:space="preserve"> DES </w:t>
      </w:r>
      <w:r w:rsidR="00DB204E" w:rsidRPr="00D9190E">
        <w:rPr>
          <w:rFonts w:cs="Arial"/>
          <w:b/>
          <w:caps/>
          <w:sz w:val="22"/>
          <w:szCs w:val="22"/>
          <w:lang w:val="fr-FR"/>
        </w:rPr>
        <w:t>OISEAUX MIGRATEURS</w:t>
      </w:r>
    </w:p>
    <w:p w14:paraId="3DB80B90" w14:textId="232BA4A1" w:rsidR="00FF57B0" w:rsidRPr="00D9190E" w:rsidRDefault="00FF57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p>
    <w:p w14:paraId="5C576C4F" w14:textId="77777777" w:rsidR="00FF57B0" w:rsidRPr="00D9190E" w:rsidRDefault="00FF57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p>
    <w:p w14:paraId="790910EE" w14:textId="6D70506D" w:rsidR="00FF57B0" w:rsidRPr="009B5A96" w:rsidRDefault="009B5A96" w:rsidP="00FF57B0">
      <w:pPr>
        <w:pBdr>
          <w:top w:val="single" w:sz="6" w:space="0" w:color="FFFFFF"/>
          <w:left w:val="single" w:sz="6" w:space="0" w:color="FFFFFF"/>
          <w:bottom w:val="single" w:sz="6" w:space="0" w:color="FFFFFF"/>
          <w:right w:val="single" w:sz="6" w:space="0" w:color="FFFFFF"/>
        </w:pBdr>
        <w:jc w:val="both"/>
        <w:outlineLvl w:val="1"/>
        <w:rPr>
          <w:rFonts w:cs="Arial"/>
          <w:b/>
          <w:caps/>
          <w:sz w:val="22"/>
          <w:szCs w:val="22"/>
          <w:lang w:val="fr-FR"/>
        </w:rPr>
      </w:pPr>
      <w:proofErr w:type="gramStart"/>
      <w:r w:rsidRPr="009B5A96">
        <w:rPr>
          <w:rFonts w:cs="Arial"/>
          <w:i/>
          <w:iCs/>
          <w:color w:val="000000"/>
          <w:sz w:val="22"/>
          <w:szCs w:val="22"/>
          <w:lang w:val="fr-FR"/>
        </w:rPr>
        <w:t>NB:</w:t>
      </w:r>
      <w:proofErr w:type="gramEnd"/>
      <w:r w:rsidRPr="009B5A96">
        <w:rPr>
          <w:rFonts w:cs="Arial"/>
          <w:i/>
          <w:iCs/>
          <w:color w:val="000000"/>
          <w:sz w:val="22"/>
          <w:szCs w:val="22"/>
          <w:lang w:val="fr-FR"/>
        </w:rPr>
        <w:t xml:space="preserve"> Le nouveau </w:t>
      </w:r>
      <w:r w:rsidR="00FF57B0" w:rsidRPr="009B5A96">
        <w:rPr>
          <w:rFonts w:cs="Arial"/>
          <w:i/>
          <w:iCs/>
          <w:color w:val="000000"/>
          <w:sz w:val="22"/>
          <w:szCs w:val="22"/>
          <w:lang w:val="fr-FR"/>
        </w:rPr>
        <w:t>text</w:t>
      </w:r>
      <w:r w:rsidR="00825763">
        <w:rPr>
          <w:rFonts w:cs="Arial"/>
          <w:i/>
          <w:iCs/>
          <w:color w:val="000000"/>
          <w:sz w:val="22"/>
          <w:szCs w:val="22"/>
          <w:lang w:val="fr-FR"/>
        </w:rPr>
        <w:t xml:space="preserve">e proposé de </w:t>
      </w:r>
      <w:r w:rsidRPr="009B5A96">
        <w:rPr>
          <w:rFonts w:cs="Arial"/>
          <w:i/>
          <w:iCs/>
          <w:color w:val="000000"/>
          <w:sz w:val="22"/>
          <w:szCs w:val="22"/>
          <w:lang w:val="fr-FR"/>
        </w:rPr>
        <w:t xml:space="preserve">la </w:t>
      </w:r>
      <w:r w:rsidR="00DB204E" w:rsidRPr="009B5A96">
        <w:rPr>
          <w:rFonts w:cs="Arial"/>
          <w:i/>
          <w:iCs/>
          <w:color w:val="000000"/>
          <w:sz w:val="22"/>
          <w:szCs w:val="22"/>
          <w:lang w:val="fr-FR"/>
        </w:rPr>
        <w:t>résolution</w:t>
      </w:r>
      <w:r w:rsidRPr="009B5A96">
        <w:rPr>
          <w:rFonts w:cs="Arial"/>
          <w:i/>
          <w:iCs/>
          <w:color w:val="000000"/>
          <w:sz w:val="22"/>
          <w:szCs w:val="22"/>
          <w:lang w:val="fr-FR"/>
        </w:rPr>
        <w:t xml:space="preserve"> </w:t>
      </w:r>
      <w:r w:rsidR="00825763">
        <w:rPr>
          <w:rFonts w:cs="Arial"/>
          <w:i/>
          <w:iCs/>
          <w:color w:val="000000"/>
          <w:sz w:val="22"/>
          <w:szCs w:val="22"/>
          <w:lang w:val="fr-FR"/>
        </w:rPr>
        <w:t xml:space="preserve">est </w:t>
      </w:r>
      <w:r>
        <w:rPr>
          <w:rFonts w:cs="Arial"/>
          <w:i/>
          <w:iCs/>
          <w:color w:val="000000"/>
          <w:sz w:val="22"/>
          <w:szCs w:val="22"/>
          <w:u w:val="single"/>
          <w:lang w:val="fr-FR"/>
        </w:rPr>
        <w:t>soulig</w:t>
      </w:r>
      <w:r w:rsidR="00FF57B0" w:rsidRPr="009B5A96">
        <w:rPr>
          <w:rFonts w:cs="Arial"/>
          <w:i/>
          <w:iCs/>
          <w:color w:val="000000"/>
          <w:sz w:val="22"/>
          <w:szCs w:val="22"/>
          <w:u w:val="single"/>
          <w:lang w:val="fr-FR"/>
        </w:rPr>
        <w:t>n</w:t>
      </w:r>
      <w:r>
        <w:rPr>
          <w:rFonts w:cs="Arial"/>
          <w:i/>
          <w:iCs/>
          <w:color w:val="000000"/>
          <w:sz w:val="22"/>
          <w:szCs w:val="22"/>
          <w:u w:val="single"/>
          <w:lang w:val="fr-FR"/>
        </w:rPr>
        <w:t>é</w:t>
      </w:r>
      <w:r w:rsidR="009E0F24">
        <w:rPr>
          <w:rFonts w:cs="Arial"/>
          <w:i/>
          <w:iCs/>
          <w:color w:val="000000"/>
          <w:sz w:val="22"/>
          <w:szCs w:val="22"/>
          <w:lang w:val="fr-FR"/>
        </w:rPr>
        <w:t xml:space="preserve"> </w:t>
      </w:r>
      <w:r w:rsidR="00825763">
        <w:rPr>
          <w:rFonts w:cs="Arial"/>
          <w:i/>
          <w:iCs/>
          <w:color w:val="000000"/>
          <w:sz w:val="22"/>
          <w:szCs w:val="22"/>
          <w:lang w:val="fr-FR"/>
        </w:rPr>
        <w:t>ci-dessous</w:t>
      </w:r>
      <w:r>
        <w:rPr>
          <w:rFonts w:cs="Arial"/>
          <w:i/>
          <w:iCs/>
          <w:color w:val="000000"/>
          <w:sz w:val="22"/>
          <w:szCs w:val="22"/>
          <w:lang w:val="fr-FR"/>
        </w:rPr>
        <w:t>, tandis que le t</w:t>
      </w:r>
      <w:r w:rsidR="00FF57B0" w:rsidRPr="009B5A96">
        <w:rPr>
          <w:rFonts w:cs="Arial"/>
          <w:i/>
          <w:iCs/>
          <w:color w:val="000000"/>
          <w:sz w:val="22"/>
          <w:szCs w:val="22"/>
          <w:lang w:val="fr-FR"/>
        </w:rPr>
        <w:t>ext</w:t>
      </w:r>
      <w:r w:rsidR="00825763">
        <w:rPr>
          <w:rFonts w:cs="Arial"/>
          <w:i/>
          <w:iCs/>
          <w:color w:val="000000"/>
          <w:sz w:val="22"/>
          <w:szCs w:val="22"/>
          <w:lang w:val="fr-FR"/>
        </w:rPr>
        <w:t>e à supprimer est</w:t>
      </w:r>
      <w:r>
        <w:rPr>
          <w:rFonts w:cs="Arial"/>
          <w:i/>
          <w:iCs/>
          <w:color w:val="000000"/>
          <w:sz w:val="22"/>
          <w:szCs w:val="22"/>
          <w:lang w:val="fr-FR"/>
        </w:rPr>
        <w:t xml:space="preserve"> </w:t>
      </w:r>
      <w:r>
        <w:rPr>
          <w:rFonts w:cs="Arial"/>
          <w:i/>
          <w:strike/>
          <w:sz w:val="22"/>
          <w:szCs w:val="22"/>
          <w:lang w:val="fr-FR"/>
        </w:rPr>
        <w:t>barré</w:t>
      </w:r>
      <w:r>
        <w:rPr>
          <w:rFonts w:cs="Arial"/>
          <w:i/>
          <w:iCs/>
          <w:color w:val="000000"/>
          <w:sz w:val="22"/>
          <w:szCs w:val="22"/>
          <w:lang w:val="fr-FR"/>
        </w:rPr>
        <w:t>.</w:t>
      </w:r>
    </w:p>
    <w:p w14:paraId="64BA70F8" w14:textId="77777777" w:rsidR="00CC4D32" w:rsidRPr="009B5A96" w:rsidRDefault="00CC4D32" w:rsidP="00372228">
      <w:pPr>
        <w:widowControl/>
        <w:autoSpaceDE/>
        <w:autoSpaceDN/>
        <w:adjustRightInd/>
        <w:ind w:right="12"/>
        <w:jc w:val="right"/>
        <w:rPr>
          <w:rFonts w:cs="Arial"/>
          <w:sz w:val="22"/>
          <w:szCs w:val="22"/>
          <w:lang w:val="fr-FR"/>
        </w:rPr>
      </w:pPr>
    </w:p>
    <w:p w14:paraId="5E6C8A92" w14:textId="77777777"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Reconnaissant</w:t>
      </w:r>
      <w:r w:rsidRPr="00D308B8">
        <w:rPr>
          <w:sz w:val="22"/>
          <w:szCs w:val="22"/>
          <w:lang w:val="fr-FR"/>
        </w:rPr>
        <w:t xml:space="preserve"> que l'Article III (4) (b) de la Convention stipule que les Parties qui sont des Etats de l'aire de répartition des espèces migratrices figurant à l'Annexe I doivent tenter «</w:t>
      </w:r>
      <w:r w:rsidRPr="00BF5C9C">
        <w:rPr>
          <w:i/>
          <w:sz w:val="22"/>
          <w:szCs w:val="22"/>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Pr="00D308B8">
        <w:rPr>
          <w:sz w:val="22"/>
          <w:szCs w:val="22"/>
          <w:lang w:val="fr-FR"/>
        </w:rPr>
        <w:t xml:space="preserve"> » ; </w:t>
      </w:r>
    </w:p>
    <w:p w14:paraId="59461820" w14:textId="77777777" w:rsidR="00BF5C9C" w:rsidRDefault="00BF5C9C" w:rsidP="00CC4D32">
      <w:pPr>
        <w:widowControl/>
        <w:tabs>
          <w:tab w:val="left" w:pos="426"/>
        </w:tabs>
        <w:autoSpaceDE/>
        <w:autoSpaceDN/>
        <w:adjustRightInd/>
        <w:jc w:val="both"/>
        <w:rPr>
          <w:sz w:val="22"/>
          <w:szCs w:val="22"/>
          <w:lang w:val="fr-FR"/>
        </w:rPr>
      </w:pPr>
    </w:p>
    <w:p w14:paraId="711866D4" w14:textId="37D4F64B"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Reconnaissant</w:t>
      </w:r>
      <w:r w:rsidRPr="00D308B8">
        <w:rPr>
          <w:sz w:val="22"/>
          <w:szCs w:val="22"/>
          <w:lang w:val="fr-FR"/>
        </w:rPr>
        <w:t xml:space="preserve"> que l'Article III (4) (c) de la Convention exige que ces Parties tentent,</w:t>
      </w:r>
      <w:proofErr w:type="gramStart"/>
      <w:r w:rsidRPr="00D308B8">
        <w:rPr>
          <w:sz w:val="22"/>
          <w:szCs w:val="22"/>
          <w:lang w:val="fr-FR"/>
        </w:rPr>
        <w:t xml:space="preserve"> «</w:t>
      </w:r>
      <w:r w:rsidRPr="00BF5C9C">
        <w:rPr>
          <w:i/>
          <w:sz w:val="22"/>
          <w:szCs w:val="22"/>
          <w:lang w:val="fr-FR"/>
        </w:rPr>
        <w:t>lorsque</w:t>
      </w:r>
      <w:proofErr w:type="gramEnd"/>
      <w:r w:rsidRPr="00BF5C9C">
        <w:rPr>
          <w:i/>
          <w:sz w:val="22"/>
          <w:szCs w:val="22"/>
          <w:lang w:val="fr-FR"/>
        </w:rPr>
        <w:t xml:space="preserve"> cela est possible et approprié, de prévenir, de réduire ou de contrôler les facteurs qui mettent en danger ou risquent de mettre en danger davantage lesdites espèces</w:t>
      </w:r>
      <w:r w:rsidRPr="00D308B8">
        <w:rPr>
          <w:sz w:val="22"/>
          <w:szCs w:val="22"/>
          <w:lang w:val="fr-FR"/>
        </w:rPr>
        <w:t xml:space="preserve"> » ;</w:t>
      </w:r>
    </w:p>
    <w:p w14:paraId="4E071024" w14:textId="77777777" w:rsidR="00BF5C9C" w:rsidRDefault="00BF5C9C" w:rsidP="00CC4D32">
      <w:pPr>
        <w:widowControl/>
        <w:tabs>
          <w:tab w:val="left" w:pos="426"/>
        </w:tabs>
        <w:autoSpaceDE/>
        <w:autoSpaceDN/>
        <w:adjustRightInd/>
        <w:jc w:val="both"/>
        <w:rPr>
          <w:sz w:val="22"/>
          <w:szCs w:val="22"/>
          <w:lang w:val="fr-FR"/>
        </w:rPr>
      </w:pPr>
    </w:p>
    <w:p w14:paraId="000310DF" w14:textId="55BCC283"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 xml:space="preserve">Préoccupée </w:t>
      </w:r>
      <w:r w:rsidRPr="00D308B8">
        <w:rPr>
          <w:sz w:val="22"/>
          <w:szCs w:val="22"/>
          <w:lang w:val="fr-FR"/>
        </w:rPr>
        <w:t>par le fait qu’un très grand nombre d’oiseaux migrateurs meurent chaque année suite à un empoisonnement, et que cette mortalité inutile peut affecter gravement l’état de conservation des espèces vulnérables, y compris de nombreuses espèces couvertes par la CMS et par s</w:t>
      </w:r>
      <w:r w:rsidR="00825763">
        <w:rPr>
          <w:sz w:val="22"/>
          <w:szCs w:val="22"/>
          <w:lang w:val="fr-FR"/>
        </w:rPr>
        <w:t>es instruments connexes, et que</w:t>
      </w:r>
      <w:r w:rsidRPr="00D308B8">
        <w:rPr>
          <w:sz w:val="22"/>
          <w:szCs w:val="22"/>
          <w:lang w:val="fr-FR"/>
        </w:rPr>
        <w:t xml:space="preserve"> pour certaines espèces</w:t>
      </w:r>
      <w:r w:rsidR="00825763">
        <w:rPr>
          <w:sz w:val="22"/>
          <w:szCs w:val="22"/>
          <w:lang w:val="fr-FR"/>
        </w:rPr>
        <w:t>,</w:t>
      </w:r>
      <w:r w:rsidRPr="00D308B8">
        <w:rPr>
          <w:sz w:val="22"/>
          <w:szCs w:val="22"/>
          <w:lang w:val="fr-FR"/>
        </w:rPr>
        <w:t xml:space="preserve"> l’empoisonnement est la principale cause de leur état de conservation défavorable ; </w:t>
      </w:r>
    </w:p>
    <w:p w14:paraId="05BA838C" w14:textId="77777777" w:rsidR="00BF5C9C" w:rsidRDefault="00BF5C9C" w:rsidP="00CC4D32">
      <w:pPr>
        <w:widowControl/>
        <w:tabs>
          <w:tab w:val="left" w:pos="426"/>
        </w:tabs>
        <w:autoSpaceDE/>
        <w:autoSpaceDN/>
        <w:adjustRightInd/>
        <w:jc w:val="both"/>
        <w:rPr>
          <w:sz w:val="22"/>
          <w:szCs w:val="22"/>
          <w:lang w:val="fr-FR"/>
        </w:rPr>
      </w:pPr>
    </w:p>
    <w:p w14:paraId="5F55514E" w14:textId="57214300"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 xml:space="preserve">Soulignant </w:t>
      </w:r>
      <w:r w:rsidRPr="00D308B8">
        <w:rPr>
          <w:sz w:val="22"/>
          <w:szCs w:val="22"/>
          <w:lang w:val="fr-FR"/>
        </w:rPr>
        <w:t>la nécessité de fournir des orientations pratiques sur la prévention, la réduction ou le contrôle de l’empoisonnement, notamment par les pesticides agricoles, les appâts empoisonnés, les traitements pharmac</w:t>
      </w:r>
      <w:r w:rsidR="00825763">
        <w:rPr>
          <w:sz w:val="22"/>
          <w:szCs w:val="22"/>
          <w:lang w:val="fr-FR"/>
        </w:rPr>
        <w:t xml:space="preserve">eutiques vétérinaires, et </w:t>
      </w:r>
      <w:r w:rsidRPr="00D308B8">
        <w:rPr>
          <w:sz w:val="22"/>
          <w:szCs w:val="22"/>
          <w:lang w:val="fr-FR"/>
        </w:rPr>
        <w:t xml:space="preserve">l’utilisation </w:t>
      </w:r>
      <w:r w:rsidR="00825763">
        <w:rPr>
          <w:sz w:val="22"/>
          <w:szCs w:val="22"/>
          <w:lang w:val="fr-FR"/>
        </w:rPr>
        <w:t>de</w:t>
      </w:r>
      <w:r w:rsidR="00E97629">
        <w:rPr>
          <w:sz w:val="22"/>
          <w:szCs w:val="22"/>
          <w:lang w:val="fr-FR"/>
        </w:rPr>
        <w:t xml:space="preserve"> plomb</w:t>
      </w:r>
      <w:r w:rsidRPr="00D308B8">
        <w:rPr>
          <w:sz w:val="22"/>
          <w:szCs w:val="22"/>
          <w:lang w:val="fr-FR"/>
        </w:rPr>
        <w:t xml:space="preserve"> pour la chasse et la pêche</w:t>
      </w:r>
      <w:r w:rsidR="00BF5C9C">
        <w:rPr>
          <w:sz w:val="22"/>
          <w:szCs w:val="22"/>
          <w:lang w:val="fr-FR"/>
        </w:rPr>
        <w:t xml:space="preserve">, </w:t>
      </w:r>
      <w:r w:rsidR="00825763">
        <w:rPr>
          <w:sz w:val="22"/>
          <w:szCs w:val="22"/>
          <w:u w:val="single"/>
          <w:lang w:val="fr-FR"/>
        </w:rPr>
        <w:t>ainsi que l</w:t>
      </w:r>
      <w:r w:rsidR="00BF5C9C" w:rsidRPr="00BF5C9C">
        <w:rPr>
          <w:sz w:val="22"/>
          <w:szCs w:val="22"/>
          <w:u w:val="single"/>
          <w:lang w:val="fr-FR"/>
        </w:rPr>
        <w:t>es e</w:t>
      </w:r>
      <w:r w:rsidR="00825763">
        <w:rPr>
          <w:sz w:val="22"/>
          <w:szCs w:val="22"/>
          <w:u w:val="single"/>
          <w:lang w:val="fr-FR"/>
        </w:rPr>
        <w:t xml:space="preserve">ffets synergiques potentiels de </w:t>
      </w:r>
      <w:r w:rsidR="00BF5C9C" w:rsidRPr="00BF5C9C">
        <w:rPr>
          <w:sz w:val="22"/>
          <w:szCs w:val="22"/>
          <w:u w:val="single"/>
          <w:lang w:val="fr-FR"/>
        </w:rPr>
        <w:t xml:space="preserve">poisons </w:t>
      </w:r>
      <w:r w:rsidR="00825763">
        <w:rPr>
          <w:sz w:val="22"/>
          <w:szCs w:val="22"/>
          <w:u w:val="single"/>
          <w:lang w:val="fr-FR"/>
        </w:rPr>
        <w:t>différents par l’</w:t>
      </w:r>
      <w:r w:rsidR="00BF5C9C" w:rsidRPr="00BF5C9C">
        <w:rPr>
          <w:sz w:val="22"/>
          <w:szCs w:val="22"/>
          <w:u w:val="single"/>
          <w:lang w:val="fr-FR"/>
        </w:rPr>
        <w:t>ing</w:t>
      </w:r>
      <w:r w:rsidR="00825763">
        <w:rPr>
          <w:sz w:val="22"/>
          <w:szCs w:val="22"/>
          <w:u w:val="single"/>
          <w:lang w:val="fr-FR"/>
        </w:rPr>
        <w:t xml:space="preserve">estion de diverses ressources alimentaires, </w:t>
      </w:r>
      <w:r w:rsidR="00BF5C9C" w:rsidRPr="00BF5C9C">
        <w:rPr>
          <w:sz w:val="22"/>
          <w:szCs w:val="22"/>
          <w:u w:val="single"/>
          <w:lang w:val="fr-FR"/>
        </w:rPr>
        <w:t>comme les espèces de proie</w:t>
      </w:r>
      <w:r w:rsidRPr="00D308B8">
        <w:rPr>
          <w:sz w:val="22"/>
          <w:szCs w:val="22"/>
          <w:lang w:val="fr-FR"/>
        </w:rPr>
        <w:t xml:space="preserve"> ; </w:t>
      </w:r>
    </w:p>
    <w:p w14:paraId="5D930F73" w14:textId="77777777" w:rsidR="00BF5C9C" w:rsidRDefault="00BF5C9C" w:rsidP="00CC4D32">
      <w:pPr>
        <w:widowControl/>
        <w:tabs>
          <w:tab w:val="left" w:pos="426"/>
        </w:tabs>
        <w:autoSpaceDE/>
        <w:autoSpaceDN/>
        <w:adjustRightInd/>
        <w:jc w:val="both"/>
        <w:rPr>
          <w:sz w:val="22"/>
          <w:szCs w:val="22"/>
          <w:lang w:val="fr-FR"/>
        </w:rPr>
      </w:pPr>
    </w:p>
    <w:p w14:paraId="7D046157" w14:textId="3049FA99"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Consciente</w:t>
      </w:r>
      <w:r w:rsidRPr="00D308B8">
        <w:rPr>
          <w:sz w:val="22"/>
          <w:szCs w:val="22"/>
          <w:lang w:val="fr-FR"/>
        </w:rPr>
        <w:t xml:space="preserve"> </w:t>
      </w:r>
      <w:r w:rsidR="00D34D9A">
        <w:rPr>
          <w:sz w:val="22"/>
          <w:szCs w:val="22"/>
          <w:lang w:val="fr-FR"/>
        </w:rPr>
        <w:t xml:space="preserve">du fait </w:t>
      </w:r>
      <w:r w:rsidRPr="00D308B8">
        <w:rPr>
          <w:sz w:val="22"/>
          <w:szCs w:val="22"/>
          <w:lang w:val="fr-FR"/>
        </w:rPr>
        <w:t xml:space="preserve">que les mesures internationales et les actions concertées pour lutter contre l’empoisonnement des oiseaux migrateurs sont requises d’urgence et doivent associer les Parties à la CMS, les États de l’aire de répartition, les organisations internationales et nationales, le secteur privé et les acteurs concernés ; </w:t>
      </w:r>
    </w:p>
    <w:p w14:paraId="157FB3E1" w14:textId="77777777" w:rsidR="00BF5C9C" w:rsidRDefault="00BF5C9C" w:rsidP="00CC4D32">
      <w:pPr>
        <w:widowControl/>
        <w:tabs>
          <w:tab w:val="left" w:pos="426"/>
        </w:tabs>
        <w:autoSpaceDE/>
        <w:autoSpaceDN/>
        <w:adjustRightInd/>
        <w:jc w:val="both"/>
        <w:rPr>
          <w:sz w:val="22"/>
          <w:szCs w:val="22"/>
          <w:lang w:val="fr-FR"/>
        </w:rPr>
      </w:pPr>
    </w:p>
    <w:p w14:paraId="071C9F6A" w14:textId="3214381C"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Consciente en outre</w:t>
      </w:r>
      <w:r w:rsidRPr="00D308B8">
        <w:rPr>
          <w:sz w:val="22"/>
          <w:szCs w:val="22"/>
          <w:lang w:val="fr-FR"/>
        </w:rPr>
        <w:t xml:space="preserve"> de l'importance du rôle des industries impliquées dans la fabrication de substances qui peuvent entraîner l'empoisonnement des oiseaux </w:t>
      </w:r>
      <w:proofErr w:type="gramStart"/>
      <w:r w:rsidRPr="00D308B8">
        <w:rPr>
          <w:sz w:val="22"/>
          <w:szCs w:val="22"/>
          <w:lang w:val="fr-FR"/>
        </w:rPr>
        <w:t>migrateurs;</w:t>
      </w:r>
      <w:proofErr w:type="gramEnd"/>
      <w:r w:rsidRPr="00D308B8">
        <w:rPr>
          <w:sz w:val="22"/>
          <w:szCs w:val="22"/>
          <w:lang w:val="fr-FR"/>
        </w:rPr>
        <w:t xml:space="preserve"> des organisations impliquées dans la vente et la distribution; et des organes représentatifs de ceux qui utilisent ces substances</w:t>
      </w:r>
      <w:r w:rsidR="00825763">
        <w:rPr>
          <w:sz w:val="22"/>
          <w:szCs w:val="22"/>
          <w:lang w:val="fr-FR"/>
        </w:rPr>
        <w:t>,</w:t>
      </w:r>
      <w:r w:rsidRPr="00D308B8">
        <w:rPr>
          <w:sz w:val="22"/>
          <w:szCs w:val="22"/>
          <w:lang w:val="fr-FR"/>
        </w:rPr>
        <w:t xml:space="preserve"> peut entraîner la mort des oiseaux migrateurs ou une morbidité ; </w:t>
      </w:r>
    </w:p>
    <w:p w14:paraId="07D6EC85" w14:textId="77777777" w:rsidR="00BF5C9C" w:rsidRDefault="00BF5C9C" w:rsidP="00CC4D32">
      <w:pPr>
        <w:widowControl/>
        <w:tabs>
          <w:tab w:val="left" w:pos="426"/>
        </w:tabs>
        <w:autoSpaceDE/>
        <w:autoSpaceDN/>
        <w:adjustRightInd/>
        <w:jc w:val="both"/>
        <w:rPr>
          <w:sz w:val="22"/>
          <w:szCs w:val="22"/>
          <w:lang w:val="fr-FR"/>
        </w:rPr>
      </w:pPr>
    </w:p>
    <w:p w14:paraId="7F9026F0" w14:textId="6DA68760"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Rappelant</w:t>
      </w:r>
      <w:r w:rsidRPr="00D308B8">
        <w:rPr>
          <w:sz w:val="22"/>
          <w:szCs w:val="22"/>
          <w:lang w:val="fr-FR"/>
        </w:rPr>
        <w:t xml:space="preserve"> la résolution 10.26 sur la réduction du risque d’empoisonnement des oiseaux migrateurs, qui a appelé le Conseil scientifique et le Secrétariat à établir un groupe de travail intersession, le Groupe de travail sur la prévention de l’empoisonnement, afin de procéder à une évaluation détaillée de la gravité et de l'ampleur de l'empoisonnement des oiseaux migrateurs; des lacunes importantes dans les connaissances; et où les connaissances sont suffisantes</w:t>
      </w:r>
      <w:r w:rsidR="00825763">
        <w:rPr>
          <w:sz w:val="22"/>
          <w:szCs w:val="22"/>
          <w:lang w:val="fr-FR"/>
        </w:rPr>
        <w:t>,</w:t>
      </w:r>
      <w:r w:rsidRPr="00D308B8">
        <w:rPr>
          <w:sz w:val="22"/>
          <w:szCs w:val="22"/>
          <w:lang w:val="fr-FR"/>
        </w:rPr>
        <w:t xml:space="preserve"> de recommander des réponses appropriées pour résoudre les problèmes, comprenant potentielle</w:t>
      </w:r>
      <w:r w:rsidR="00825763">
        <w:rPr>
          <w:sz w:val="22"/>
          <w:szCs w:val="22"/>
          <w:lang w:val="fr-FR"/>
        </w:rPr>
        <w:t>ment les domaines où une</w:t>
      </w:r>
      <w:r w:rsidRPr="00D308B8">
        <w:rPr>
          <w:sz w:val="22"/>
          <w:szCs w:val="22"/>
          <w:lang w:val="fr-FR"/>
        </w:rPr>
        <w:t xml:space="preserve"> législation renforcée peut être nécessaire, les caractéristiques des régimes de réglementation efficaces, et</w:t>
      </w:r>
      <w:r w:rsidR="00825763">
        <w:rPr>
          <w:sz w:val="22"/>
          <w:szCs w:val="22"/>
          <w:lang w:val="fr-FR"/>
        </w:rPr>
        <w:t xml:space="preserve"> la connaissance des facteurs socio-</w:t>
      </w:r>
      <w:r w:rsidRPr="00D308B8">
        <w:rPr>
          <w:sz w:val="22"/>
          <w:szCs w:val="22"/>
          <w:lang w:val="fr-FR"/>
        </w:rPr>
        <w:t xml:space="preserve">économiques de l'empoisonnement ; </w:t>
      </w:r>
    </w:p>
    <w:p w14:paraId="30E7C6C3" w14:textId="77777777" w:rsidR="00BF5C9C" w:rsidRDefault="00BF5C9C" w:rsidP="00CC4D32">
      <w:pPr>
        <w:widowControl/>
        <w:tabs>
          <w:tab w:val="left" w:pos="426"/>
        </w:tabs>
        <w:autoSpaceDE/>
        <w:autoSpaceDN/>
        <w:adjustRightInd/>
        <w:jc w:val="both"/>
        <w:rPr>
          <w:sz w:val="22"/>
          <w:szCs w:val="22"/>
          <w:lang w:val="fr-FR"/>
        </w:rPr>
      </w:pPr>
    </w:p>
    <w:p w14:paraId="46C0FFB4" w14:textId="446B061B"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t>Reconnaissant</w:t>
      </w:r>
      <w:r w:rsidRPr="00D308B8">
        <w:rPr>
          <w:sz w:val="22"/>
          <w:szCs w:val="22"/>
          <w:lang w:val="fr-FR"/>
        </w:rPr>
        <w:t xml:space="preserve"> les mesures positives prises par certaines Parties à l’Accord sur la conservation des oiseaux d’eau migrateurs d’Afrique-Eurasie (AEWA) afin d’arrêter progressivement l’utilisation de la grenaille </w:t>
      </w:r>
      <w:r w:rsidR="00E97629">
        <w:rPr>
          <w:sz w:val="22"/>
          <w:szCs w:val="22"/>
          <w:lang w:val="fr-FR"/>
        </w:rPr>
        <w:t>en plomb</w:t>
      </w:r>
      <w:r w:rsidRPr="00D308B8">
        <w:rPr>
          <w:sz w:val="22"/>
          <w:szCs w:val="22"/>
          <w:lang w:val="fr-FR"/>
        </w:rPr>
        <w:t xml:space="preserve"> pour l</w:t>
      </w:r>
      <w:r w:rsidR="00825763">
        <w:rPr>
          <w:sz w:val="22"/>
          <w:szCs w:val="22"/>
          <w:lang w:val="fr-FR"/>
        </w:rPr>
        <w:t xml:space="preserve">a chasse dans les zones </w:t>
      </w:r>
      <w:proofErr w:type="gramStart"/>
      <w:r w:rsidR="00825763">
        <w:rPr>
          <w:sz w:val="22"/>
          <w:szCs w:val="22"/>
          <w:lang w:val="fr-FR"/>
        </w:rPr>
        <w:t>humides</w:t>
      </w:r>
      <w:r w:rsidRPr="00D308B8">
        <w:rPr>
          <w:sz w:val="22"/>
          <w:szCs w:val="22"/>
          <w:lang w:val="fr-FR"/>
        </w:rPr>
        <w:t>;</w:t>
      </w:r>
      <w:proofErr w:type="gramEnd"/>
      <w:r w:rsidRPr="00D308B8">
        <w:rPr>
          <w:sz w:val="22"/>
          <w:szCs w:val="22"/>
          <w:lang w:val="fr-FR"/>
        </w:rPr>
        <w:t xml:space="preserve"> </w:t>
      </w:r>
    </w:p>
    <w:p w14:paraId="2F1D2AEA" w14:textId="77777777" w:rsidR="00BF5C9C" w:rsidRDefault="00BF5C9C" w:rsidP="00CC4D32">
      <w:pPr>
        <w:widowControl/>
        <w:tabs>
          <w:tab w:val="left" w:pos="426"/>
        </w:tabs>
        <w:autoSpaceDE/>
        <w:autoSpaceDN/>
        <w:adjustRightInd/>
        <w:jc w:val="both"/>
        <w:rPr>
          <w:sz w:val="22"/>
          <w:szCs w:val="22"/>
          <w:lang w:val="fr-FR"/>
        </w:rPr>
      </w:pPr>
    </w:p>
    <w:p w14:paraId="0D041C5E" w14:textId="77777777" w:rsidR="00BF5C9C" w:rsidRDefault="00D308B8" w:rsidP="00CC4D32">
      <w:pPr>
        <w:widowControl/>
        <w:tabs>
          <w:tab w:val="left" w:pos="426"/>
        </w:tabs>
        <w:autoSpaceDE/>
        <w:autoSpaceDN/>
        <w:adjustRightInd/>
        <w:jc w:val="both"/>
        <w:rPr>
          <w:sz w:val="22"/>
          <w:szCs w:val="22"/>
          <w:lang w:val="fr-FR"/>
        </w:rPr>
      </w:pPr>
      <w:r w:rsidRPr="00BF5C9C">
        <w:rPr>
          <w:i/>
          <w:sz w:val="22"/>
          <w:szCs w:val="22"/>
          <w:lang w:val="fr-FR"/>
        </w:rPr>
        <w:lastRenderedPageBreak/>
        <w:t>Rappelant en outre</w:t>
      </w:r>
      <w:r w:rsidRPr="00D308B8">
        <w:rPr>
          <w:sz w:val="22"/>
          <w:szCs w:val="22"/>
          <w:lang w:val="fr-FR"/>
        </w:rPr>
        <w:t xml:space="preserve"> que le Mémorandum d’Entente sur la conservation des oiseaux de proie migrateurs d’Afrique et d’Eurasie souligne le nombre important de rapaces migrateurs d’Afrique-Eurasie ayant un statut de conservation défavorable au niveau régional et/ou mondial résultant de l’empoisonnement ; </w:t>
      </w:r>
    </w:p>
    <w:p w14:paraId="460BC05F" w14:textId="77777777" w:rsidR="00BF5C9C" w:rsidRDefault="00BF5C9C" w:rsidP="00CC4D32">
      <w:pPr>
        <w:widowControl/>
        <w:tabs>
          <w:tab w:val="left" w:pos="426"/>
        </w:tabs>
        <w:autoSpaceDE/>
        <w:autoSpaceDN/>
        <w:adjustRightInd/>
        <w:jc w:val="both"/>
        <w:rPr>
          <w:sz w:val="22"/>
          <w:szCs w:val="22"/>
          <w:lang w:val="fr-FR"/>
        </w:rPr>
      </w:pPr>
    </w:p>
    <w:p w14:paraId="4BDFE7A9" w14:textId="541224A7" w:rsidR="00BF5C9C" w:rsidRPr="00593168" w:rsidRDefault="00BF5C9C" w:rsidP="00CC4D32">
      <w:pPr>
        <w:widowControl/>
        <w:tabs>
          <w:tab w:val="left" w:pos="426"/>
        </w:tabs>
        <w:autoSpaceDE/>
        <w:autoSpaceDN/>
        <w:adjustRightInd/>
        <w:jc w:val="both"/>
        <w:rPr>
          <w:sz w:val="22"/>
          <w:szCs w:val="22"/>
          <w:u w:val="single"/>
          <w:lang w:val="fr-FR"/>
        </w:rPr>
      </w:pPr>
      <w:r w:rsidRPr="00593168">
        <w:rPr>
          <w:i/>
          <w:sz w:val="22"/>
          <w:szCs w:val="22"/>
          <w:u w:val="single"/>
          <w:lang w:val="fr-FR"/>
        </w:rPr>
        <w:t>Prenant acte</w:t>
      </w:r>
      <w:r w:rsidRPr="00593168">
        <w:rPr>
          <w:sz w:val="22"/>
          <w:szCs w:val="22"/>
          <w:u w:val="single"/>
          <w:lang w:val="fr-FR"/>
        </w:rPr>
        <w:t xml:space="preserve"> des travaux du Groupe de travail sur les vautours et </w:t>
      </w:r>
      <w:r w:rsidR="00593168">
        <w:rPr>
          <w:sz w:val="22"/>
          <w:szCs w:val="22"/>
          <w:u w:val="single"/>
          <w:lang w:val="fr-FR"/>
        </w:rPr>
        <w:t xml:space="preserve">de </w:t>
      </w:r>
      <w:r w:rsidR="00D52A1A">
        <w:rPr>
          <w:sz w:val="22"/>
          <w:szCs w:val="22"/>
          <w:u w:val="single"/>
          <w:lang w:val="fr-FR"/>
        </w:rPr>
        <w:t>l’élaboration du</w:t>
      </w:r>
      <w:r w:rsidRPr="00593168">
        <w:rPr>
          <w:sz w:val="22"/>
          <w:szCs w:val="22"/>
          <w:u w:val="single"/>
          <w:lang w:val="fr-FR"/>
        </w:rPr>
        <w:t xml:space="preserve"> Plan d’action </w:t>
      </w:r>
      <w:r w:rsidR="00D52A1A">
        <w:rPr>
          <w:sz w:val="22"/>
          <w:szCs w:val="22"/>
          <w:u w:val="single"/>
          <w:lang w:val="fr-FR"/>
        </w:rPr>
        <w:t xml:space="preserve">multi-espèces de la CMS </w:t>
      </w:r>
      <w:r w:rsidR="00593168" w:rsidRPr="00593168">
        <w:rPr>
          <w:sz w:val="22"/>
          <w:szCs w:val="22"/>
          <w:u w:val="single"/>
          <w:lang w:val="fr-FR"/>
        </w:rPr>
        <w:t xml:space="preserve">pour </w:t>
      </w:r>
      <w:r w:rsidR="00D52A1A">
        <w:rPr>
          <w:sz w:val="22"/>
          <w:szCs w:val="22"/>
          <w:u w:val="single"/>
          <w:lang w:val="fr-FR"/>
        </w:rPr>
        <w:t>la conservation des</w:t>
      </w:r>
      <w:r w:rsidR="00593168" w:rsidRPr="00593168">
        <w:rPr>
          <w:sz w:val="22"/>
          <w:szCs w:val="22"/>
          <w:u w:val="single"/>
          <w:lang w:val="fr-FR"/>
        </w:rPr>
        <w:t xml:space="preserve"> vautours d’Afrique-Eurasie</w:t>
      </w:r>
      <w:r w:rsidRPr="00593168">
        <w:rPr>
          <w:sz w:val="22"/>
          <w:szCs w:val="22"/>
          <w:u w:val="single"/>
          <w:lang w:val="fr-FR"/>
        </w:rPr>
        <w:t xml:space="preserve"> </w:t>
      </w:r>
      <w:r w:rsidR="00593168" w:rsidRPr="00593168">
        <w:rPr>
          <w:sz w:val="22"/>
          <w:szCs w:val="22"/>
          <w:u w:val="single"/>
          <w:lang w:val="fr-FR"/>
        </w:rPr>
        <w:t>(</w:t>
      </w:r>
      <w:r w:rsidRPr="00593168">
        <w:rPr>
          <w:sz w:val="22"/>
          <w:szCs w:val="22"/>
          <w:u w:val="single"/>
          <w:lang w:val="fr-FR"/>
        </w:rPr>
        <w:t>P</w:t>
      </w:r>
      <w:r w:rsidR="00D52A1A">
        <w:rPr>
          <w:sz w:val="22"/>
          <w:szCs w:val="22"/>
          <w:u w:val="single"/>
          <w:lang w:val="fr-FR"/>
        </w:rPr>
        <w:t>lan d’action V</w:t>
      </w:r>
      <w:r w:rsidR="00593168" w:rsidRPr="00593168">
        <w:rPr>
          <w:sz w:val="22"/>
          <w:szCs w:val="22"/>
          <w:u w:val="single"/>
          <w:lang w:val="fr-FR"/>
        </w:rPr>
        <w:t>autours</w:t>
      </w:r>
      <w:r w:rsidRPr="00593168">
        <w:rPr>
          <w:sz w:val="22"/>
          <w:szCs w:val="22"/>
          <w:u w:val="single"/>
          <w:lang w:val="fr-FR"/>
        </w:rPr>
        <w:t xml:space="preserve">), </w:t>
      </w:r>
      <w:r w:rsidR="00D52A1A">
        <w:rPr>
          <w:sz w:val="22"/>
          <w:szCs w:val="22"/>
          <w:u w:val="single"/>
          <w:lang w:val="fr-FR"/>
        </w:rPr>
        <w:t>qui vise à fournir un p</w:t>
      </w:r>
      <w:r w:rsidR="00593168" w:rsidRPr="00593168">
        <w:rPr>
          <w:sz w:val="22"/>
          <w:szCs w:val="22"/>
          <w:u w:val="single"/>
          <w:lang w:val="fr-FR"/>
        </w:rPr>
        <w:t xml:space="preserve">lan d’action pour une conservation stratégique </w:t>
      </w:r>
      <w:r w:rsidR="00D52A1A">
        <w:rPr>
          <w:sz w:val="22"/>
          <w:szCs w:val="22"/>
          <w:u w:val="single"/>
          <w:lang w:val="fr-FR"/>
        </w:rPr>
        <w:t xml:space="preserve">exhaustive </w:t>
      </w:r>
      <w:r w:rsidR="00593168" w:rsidRPr="00593168">
        <w:rPr>
          <w:sz w:val="22"/>
          <w:szCs w:val="22"/>
          <w:u w:val="single"/>
          <w:lang w:val="fr-FR"/>
        </w:rPr>
        <w:t>couvrant l’aire de répartition géographique de l’ensemble des 15 espèces de vautour</w:t>
      </w:r>
      <w:r w:rsidR="00593168">
        <w:rPr>
          <w:sz w:val="22"/>
          <w:szCs w:val="22"/>
          <w:u w:val="single"/>
          <w:lang w:val="fr-FR"/>
        </w:rPr>
        <w:t xml:space="preserve">s </w:t>
      </w:r>
      <w:r w:rsidR="00D52A1A">
        <w:rPr>
          <w:sz w:val="22"/>
          <w:szCs w:val="22"/>
          <w:u w:val="single"/>
          <w:lang w:val="fr-FR"/>
        </w:rPr>
        <w:t>migratrices du ‘vieux monde’ et à favoriser</w:t>
      </w:r>
      <w:r w:rsidR="00593168">
        <w:rPr>
          <w:sz w:val="22"/>
          <w:szCs w:val="22"/>
          <w:u w:val="single"/>
          <w:lang w:val="fr-FR"/>
        </w:rPr>
        <w:t xml:space="preserve"> des mesures internationales concertées</w:t>
      </w:r>
      <w:r w:rsidR="00D52A1A">
        <w:rPr>
          <w:sz w:val="22"/>
          <w:szCs w:val="22"/>
          <w:u w:val="single"/>
          <w:lang w:val="fr-FR"/>
        </w:rPr>
        <w:t>, collaborati</w:t>
      </w:r>
      <w:r w:rsidRPr="00593168">
        <w:rPr>
          <w:sz w:val="22"/>
          <w:szCs w:val="22"/>
          <w:u w:val="single"/>
          <w:lang w:val="fr-FR"/>
        </w:rPr>
        <w:t>ve</w:t>
      </w:r>
      <w:r w:rsidR="00593168">
        <w:rPr>
          <w:sz w:val="22"/>
          <w:szCs w:val="22"/>
          <w:u w:val="single"/>
          <w:lang w:val="fr-FR"/>
        </w:rPr>
        <w:t>s et coordonnées</w:t>
      </w:r>
      <w:r w:rsidRPr="00593168">
        <w:rPr>
          <w:sz w:val="22"/>
          <w:szCs w:val="22"/>
          <w:u w:val="single"/>
          <w:lang w:val="fr-FR"/>
        </w:rPr>
        <w:t xml:space="preserve"> </w:t>
      </w:r>
      <w:r w:rsidR="00593168">
        <w:rPr>
          <w:sz w:val="22"/>
          <w:szCs w:val="22"/>
          <w:u w:val="single"/>
          <w:lang w:val="fr-FR"/>
        </w:rPr>
        <w:t>en vue</w:t>
      </w:r>
      <w:r w:rsidR="00D52A1A">
        <w:rPr>
          <w:sz w:val="22"/>
          <w:szCs w:val="22"/>
          <w:u w:val="single"/>
          <w:lang w:val="fr-FR"/>
        </w:rPr>
        <w:t xml:space="preserve"> du </w:t>
      </w:r>
      <w:r w:rsidR="00593168">
        <w:rPr>
          <w:sz w:val="22"/>
          <w:szCs w:val="22"/>
          <w:u w:val="single"/>
          <w:lang w:val="fr-FR"/>
        </w:rPr>
        <w:t xml:space="preserve">rétablissement de ces </w:t>
      </w:r>
      <w:r w:rsidRPr="00593168">
        <w:rPr>
          <w:sz w:val="22"/>
          <w:szCs w:val="22"/>
          <w:u w:val="single"/>
          <w:lang w:val="fr-FR"/>
        </w:rPr>
        <w:t xml:space="preserve">populations </w:t>
      </w:r>
      <w:r w:rsidR="00593168">
        <w:rPr>
          <w:sz w:val="22"/>
          <w:szCs w:val="22"/>
          <w:u w:val="single"/>
          <w:lang w:val="fr-FR"/>
        </w:rPr>
        <w:t xml:space="preserve">dans un état de conservation favorable d’ici à </w:t>
      </w:r>
      <w:r w:rsidRPr="00593168">
        <w:rPr>
          <w:sz w:val="22"/>
          <w:szCs w:val="22"/>
          <w:u w:val="single"/>
          <w:lang w:val="fr-FR"/>
        </w:rPr>
        <w:t>2029</w:t>
      </w:r>
      <w:r w:rsidR="00593168">
        <w:rPr>
          <w:sz w:val="22"/>
          <w:szCs w:val="22"/>
          <w:u w:val="single"/>
          <w:lang w:val="fr-FR"/>
        </w:rPr>
        <w:t> ;</w:t>
      </w:r>
    </w:p>
    <w:p w14:paraId="119BF84F" w14:textId="77777777" w:rsidR="00BF5C9C" w:rsidRPr="00593168" w:rsidRDefault="00BF5C9C" w:rsidP="00CC4D32">
      <w:pPr>
        <w:widowControl/>
        <w:tabs>
          <w:tab w:val="left" w:pos="426"/>
        </w:tabs>
        <w:autoSpaceDE/>
        <w:autoSpaceDN/>
        <w:adjustRightInd/>
        <w:jc w:val="both"/>
        <w:rPr>
          <w:sz w:val="22"/>
          <w:szCs w:val="22"/>
          <w:lang w:val="fr-FR"/>
        </w:rPr>
      </w:pPr>
    </w:p>
    <w:p w14:paraId="3576AFAE" w14:textId="2CFAD9B1" w:rsidR="00593168" w:rsidRDefault="00D308B8" w:rsidP="00CC4D32">
      <w:pPr>
        <w:widowControl/>
        <w:tabs>
          <w:tab w:val="left" w:pos="426"/>
        </w:tabs>
        <w:autoSpaceDE/>
        <w:autoSpaceDN/>
        <w:adjustRightInd/>
        <w:jc w:val="both"/>
        <w:rPr>
          <w:sz w:val="22"/>
          <w:szCs w:val="22"/>
          <w:lang w:val="fr-FR"/>
        </w:rPr>
      </w:pPr>
      <w:r w:rsidRPr="00BF5C9C">
        <w:rPr>
          <w:i/>
          <w:sz w:val="22"/>
          <w:szCs w:val="22"/>
          <w:lang w:val="fr-FR"/>
        </w:rPr>
        <w:t>Notant</w:t>
      </w:r>
      <w:r w:rsidRPr="00D308B8">
        <w:rPr>
          <w:sz w:val="22"/>
          <w:szCs w:val="22"/>
          <w:lang w:val="fr-FR"/>
        </w:rPr>
        <w:t xml:space="preserve"> les objectifs de la Convention de Rotterdam sur la procédure de consentement préalable en connaissance de cause applicable à certains produits chimiques </w:t>
      </w:r>
      <w:r w:rsidR="00BE6079">
        <w:rPr>
          <w:sz w:val="22"/>
          <w:szCs w:val="22"/>
          <w:lang w:val="fr-FR"/>
        </w:rPr>
        <w:t xml:space="preserve">et pesticides dangereux qui font l’objet d’un </w:t>
      </w:r>
      <w:r w:rsidRPr="00D308B8">
        <w:rPr>
          <w:sz w:val="22"/>
          <w:szCs w:val="22"/>
          <w:lang w:val="fr-FR"/>
        </w:rPr>
        <w:t xml:space="preserve">commerce international, qui promeut une utilisation écologiquement responsable des produits chimiques dangereux et la responsabilité partagée vis-à-vis de la protection de l’environnement contre tout dommage ; </w:t>
      </w:r>
    </w:p>
    <w:p w14:paraId="6AFC964C" w14:textId="77777777" w:rsidR="00593168" w:rsidRDefault="00593168" w:rsidP="00CC4D32">
      <w:pPr>
        <w:widowControl/>
        <w:tabs>
          <w:tab w:val="left" w:pos="426"/>
        </w:tabs>
        <w:autoSpaceDE/>
        <w:autoSpaceDN/>
        <w:adjustRightInd/>
        <w:jc w:val="both"/>
        <w:rPr>
          <w:sz w:val="22"/>
          <w:szCs w:val="22"/>
          <w:lang w:val="fr-FR"/>
        </w:rPr>
      </w:pPr>
    </w:p>
    <w:p w14:paraId="771EC629" w14:textId="77777777" w:rsidR="00593168" w:rsidRDefault="00D308B8" w:rsidP="00CC4D32">
      <w:pPr>
        <w:widowControl/>
        <w:tabs>
          <w:tab w:val="left" w:pos="426"/>
        </w:tabs>
        <w:autoSpaceDE/>
        <w:autoSpaceDN/>
        <w:adjustRightInd/>
        <w:jc w:val="both"/>
        <w:rPr>
          <w:sz w:val="22"/>
          <w:szCs w:val="22"/>
          <w:lang w:val="fr-FR"/>
        </w:rPr>
      </w:pPr>
      <w:r w:rsidRPr="00593168">
        <w:rPr>
          <w:i/>
          <w:sz w:val="22"/>
          <w:szCs w:val="22"/>
          <w:lang w:val="fr-FR"/>
        </w:rPr>
        <w:t>Notant avec satisfaction</w:t>
      </w:r>
      <w:r w:rsidRPr="00D308B8">
        <w:rPr>
          <w:sz w:val="22"/>
          <w:szCs w:val="22"/>
          <w:lang w:val="fr-FR"/>
        </w:rPr>
        <w:t xml:space="preserve"> la recommandation 164 (2013), adoptée par le Comité permanent de la Convention relative à la conservation de la vie sauvage et du milieu naturel de l’Europe (Convention de Berne), qui soulève le problème de l’utilisation très répandue de poisons pour détruire des espèces protégées, et appelle à une coopération renforcée pour améliorer les mesures nationales et internationales visant à éliminer cette pratique néfaste ; </w:t>
      </w:r>
    </w:p>
    <w:p w14:paraId="407BC79B" w14:textId="77777777" w:rsidR="00593168" w:rsidRDefault="00593168" w:rsidP="00CC4D32">
      <w:pPr>
        <w:widowControl/>
        <w:tabs>
          <w:tab w:val="left" w:pos="426"/>
        </w:tabs>
        <w:autoSpaceDE/>
        <w:autoSpaceDN/>
        <w:adjustRightInd/>
        <w:jc w:val="both"/>
        <w:rPr>
          <w:sz w:val="22"/>
          <w:szCs w:val="22"/>
          <w:lang w:val="fr-FR"/>
        </w:rPr>
      </w:pPr>
    </w:p>
    <w:p w14:paraId="67A569C9" w14:textId="2278C24C" w:rsidR="00593168" w:rsidRDefault="00D308B8" w:rsidP="00CC4D32">
      <w:pPr>
        <w:widowControl/>
        <w:tabs>
          <w:tab w:val="left" w:pos="426"/>
        </w:tabs>
        <w:autoSpaceDE/>
        <w:autoSpaceDN/>
        <w:adjustRightInd/>
        <w:jc w:val="both"/>
        <w:rPr>
          <w:sz w:val="22"/>
          <w:szCs w:val="22"/>
          <w:lang w:val="fr-FR"/>
        </w:rPr>
      </w:pPr>
      <w:r w:rsidRPr="00593168">
        <w:rPr>
          <w:i/>
          <w:sz w:val="22"/>
          <w:szCs w:val="22"/>
          <w:lang w:val="fr-FR"/>
        </w:rPr>
        <w:t>Rappelant</w:t>
      </w:r>
      <w:r w:rsidRPr="00D308B8">
        <w:rPr>
          <w:sz w:val="22"/>
          <w:szCs w:val="22"/>
          <w:lang w:val="fr-FR"/>
        </w:rPr>
        <w:t xml:space="preserve"> la résolution XI.12 de la Convention de </w:t>
      </w:r>
      <w:proofErr w:type="spellStart"/>
      <w:r w:rsidRPr="00D308B8">
        <w:rPr>
          <w:sz w:val="22"/>
          <w:szCs w:val="22"/>
          <w:lang w:val="fr-FR"/>
        </w:rPr>
        <w:t>Ramsar</w:t>
      </w:r>
      <w:proofErr w:type="spellEnd"/>
      <w:r w:rsidRPr="00D308B8">
        <w:rPr>
          <w:sz w:val="22"/>
          <w:szCs w:val="22"/>
          <w:lang w:val="fr-FR"/>
        </w:rPr>
        <w:t xml:space="preserve"> </w:t>
      </w:r>
      <w:r w:rsidR="00D52A1A">
        <w:rPr>
          <w:sz w:val="22"/>
          <w:szCs w:val="22"/>
          <w:lang w:val="fr-FR"/>
        </w:rPr>
        <w:t>sur</w:t>
      </w:r>
      <w:proofErr w:type="gramStart"/>
      <w:r w:rsidR="00D52A1A">
        <w:rPr>
          <w:sz w:val="22"/>
          <w:szCs w:val="22"/>
          <w:lang w:val="fr-FR"/>
        </w:rPr>
        <w:t xml:space="preserve"> </w:t>
      </w:r>
      <w:r w:rsidRPr="00D308B8">
        <w:rPr>
          <w:sz w:val="22"/>
          <w:szCs w:val="22"/>
          <w:lang w:val="fr-FR"/>
        </w:rPr>
        <w:t>«Les</w:t>
      </w:r>
      <w:proofErr w:type="gramEnd"/>
      <w:r w:rsidRPr="00D308B8">
        <w:rPr>
          <w:sz w:val="22"/>
          <w:szCs w:val="22"/>
          <w:lang w:val="fr-FR"/>
        </w:rPr>
        <w:t xml:space="preserve"> zones humides et la santé: adopter une approche par écosystème»</w:t>
      </w:r>
      <w:r w:rsidR="00D52A1A">
        <w:rPr>
          <w:sz w:val="22"/>
          <w:szCs w:val="22"/>
          <w:lang w:val="fr-FR"/>
        </w:rPr>
        <w:t>,</w:t>
      </w:r>
      <w:r w:rsidRPr="00D308B8">
        <w:rPr>
          <w:sz w:val="22"/>
          <w:szCs w:val="22"/>
          <w:lang w:val="fr-FR"/>
        </w:rPr>
        <w:t xml:space="preserve"> qui reconnaît les interactions entre les maladies - y compris l’empoisonnement - chez les espèces sauvages, l’homme et les animaux domestiques, qui souligne le besoin urgent d’assurer une meilleure intégration des réponses politi</w:t>
      </w:r>
      <w:r w:rsidR="00D52A1A">
        <w:rPr>
          <w:sz w:val="22"/>
          <w:szCs w:val="22"/>
          <w:lang w:val="fr-FR"/>
        </w:rPr>
        <w:t xml:space="preserve">ques dans </w:t>
      </w:r>
      <w:r w:rsidRPr="00D308B8">
        <w:rPr>
          <w:sz w:val="22"/>
          <w:szCs w:val="22"/>
          <w:lang w:val="fr-FR"/>
        </w:rPr>
        <w:t xml:space="preserve">une approche «One </w:t>
      </w:r>
      <w:proofErr w:type="spellStart"/>
      <w:r w:rsidRPr="00D308B8">
        <w:rPr>
          <w:sz w:val="22"/>
          <w:szCs w:val="22"/>
          <w:lang w:val="fr-FR"/>
        </w:rPr>
        <w:t>Health</w:t>
      </w:r>
      <w:proofErr w:type="spellEnd"/>
      <w:r w:rsidRPr="00D308B8">
        <w:rPr>
          <w:sz w:val="22"/>
          <w:szCs w:val="22"/>
          <w:lang w:val="fr-FR"/>
        </w:rPr>
        <w:t xml:space="preserve">» </w:t>
      </w:r>
      <w:r w:rsidR="00D52A1A">
        <w:rPr>
          <w:sz w:val="22"/>
          <w:szCs w:val="22"/>
          <w:lang w:val="fr-FR"/>
        </w:rPr>
        <w:t xml:space="preserve">pour tous ces secteurs, afin d’avoir </w:t>
      </w:r>
      <w:r w:rsidRPr="00D308B8">
        <w:rPr>
          <w:sz w:val="22"/>
          <w:szCs w:val="22"/>
          <w:lang w:val="fr-FR"/>
        </w:rPr>
        <w:t xml:space="preserve">des résultats plus efficaces ; </w:t>
      </w:r>
    </w:p>
    <w:p w14:paraId="17644423" w14:textId="77777777" w:rsidR="00593168" w:rsidRDefault="00593168" w:rsidP="00CC4D32">
      <w:pPr>
        <w:widowControl/>
        <w:tabs>
          <w:tab w:val="left" w:pos="426"/>
        </w:tabs>
        <w:autoSpaceDE/>
        <w:autoSpaceDN/>
        <w:adjustRightInd/>
        <w:jc w:val="both"/>
        <w:rPr>
          <w:sz w:val="22"/>
          <w:szCs w:val="22"/>
          <w:lang w:val="fr-FR"/>
        </w:rPr>
      </w:pPr>
    </w:p>
    <w:p w14:paraId="7C96BD1E" w14:textId="1DD20BD7" w:rsidR="00593168" w:rsidRDefault="00593168" w:rsidP="00CC4D32">
      <w:pPr>
        <w:widowControl/>
        <w:tabs>
          <w:tab w:val="left" w:pos="426"/>
        </w:tabs>
        <w:autoSpaceDE/>
        <w:autoSpaceDN/>
        <w:adjustRightInd/>
        <w:jc w:val="both"/>
        <w:rPr>
          <w:sz w:val="22"/>
          <w:szCs w:val="22"/>
          <w:u w:val="single"/>
          <w:lang w:val="fr-FR"/>
        </w:rPr>
      </w:pPr>
      <w:r w:rsidRPr="00593168">
        <w:rPr>
          <w:i/>
          <w:sz w:val="22"/>
          <w:szCs w:val="22"/>
          <w:u w:val="single"/>
          <w:lang w:val="fr-FR"/>
        </w:rPr>
        <w:t>Rappelant</w:t>
      </w:r>
      <w:r w:rsidR="00D52A1A">
        <w:rPr>
          <w:sz w:val="22"/>
          <w:szCs w:val="22"/>
          <w:u w:val="single"/>
          <w:lang w:val="fr-FR"/>
        </w:rPr>
        <w:t xml:space="preserve"> les résolutions adoptées lors du Co</w:t>
      </w:r>
      <w:r w:rsidR="00192337">
        <w:rPr>
          <w:sz w:val="22"/>
          <w:szCs w:val="22"/>
          <w:u w:val="single"/>
          <w:lang w:val="fr-FR"/>
        </w:rPr>
        <w:t>ngrès mondial de la nature</w:t>
      </w:r>
      <w:r w:rsidR="00D52A1A">
        <w:rPr>
          <w:sz w:val="22"/>
          <w:szCs w:val="22"/>
          <w:u w:val="single"/>
          <w:lang w:val="fr-FR"/>
        </w:rPr>
        <w:t xml:space="preserve"> de</w:t>
      </w:r>
      <w:r w:rsidRPr="00593168">
        <w:rPr>
          <w:sz w:val="22"/>
          <w:szCs w:val="22"/>
          <w:u w:val="single"/>
          <w:lang w:val="fr-FR"/>
        </w:rPr>
        <w:t xml:space="preserve"> l’Union internationale pour la c</w:t>
      </w:r>
      <w:r w:rsidR="00D52A1A">
        <w:rPr>
          <w:sz w:val="22"/>
          <w:szCs w:val="22"/>
          <w:u w:val="single"/>
          <w:lang w:val="fr-FR"/>
        </w:rPr>
        <w:t>onservation de la nature (UICN), à savoir :</w:t>
      </w:r>
      <w:r>
        <w:rPr>
          <w:sz w:val="22"/>
          <w:szCs w:val="22"/>
          <w:u w:val="single"/>
          <w:lang w:val="fr-FR"/>
        </w:rPr>
        <w:t xml:space="preserve"> la résolution </w:t>
      </w:r>
      <w:r w:rsidRPr="00593168">
        <w:rPr>
          <w:sz w:val="22"/>
          <w:szCs w:val="22"/>
          <w:u w:val="single"/>
          <w:lang w:val="fr-FR"/>
        </w:rPr>
        <w:t>WCC-2016-Res-014 sur la lut</w:t>
      </w:r>
      <w:r>
        <w:rPr>
          <w:sz w:val="22"/>
          <w:szCs w:val="22"/>
          <w:u w:val="single"/>
          <w:lang w:val="fr-FR"/>
        </w:rPr>
        <w:t>t</w:t>
      </w:r>
      <w:r w:rsidRPr="00593168">
        <w:rPr>
          <w:sz w:val="22"/>
          <w:szCs w:val="22"/>
          <w:u w:val="single"/>
          <w:lang w:val="fr-FR"/>
        </w:rPr>
        <w:t xml:space="preserve">e contre l’empoisonnement </w:t>
      </w:r>
      <w:r>
        <w:rPr>
          <w:sz w:val="22"/>
          <w:szCs w:val="22"/>
          <w:u w:val="single"/>
          <w:lang w:val="fr-FR"/>
        </w:rPr>
        <w:t>illé</w:t>
      </w:r>
      <w:r w:rsidRPr="00593168">
        <w:rPr>
          <w:sz w:val="22"/>
          <w:szCs w:val="22"/>
          <w:u w:val="single"/>
          <w:lang w:val="fr-FR"/>
        </w:rPr>
        <w:t>gal de la vie sauvage</w:t>
      </w:r>
      <w:r>
        <w:rPr>
          <w:sz w:val="22"/>
          <w:szCs w:val="22"/>
          <w:u w:val="single"/>
          <w:lang w:val="fr-FR"/>
        </w:rPr>
        <w:t>, la r</w:t>
      </w:r>
      <w:r w:rsidR="00D52A1A">
        <w:rPr>
          <w:sz w:val="22"/>
          <w:szCs w:val="22"/>
          <w:u w:val="single"/>
          <w:lang w:val="fr-FR"/>
        </w:rPr>
        <w:t>ésolution WCC-2016-Res-022 sur d</w:t>
      </w:r>
      <w:r>
        <w:rPr>
          <w:sz w:val="22"/>
          <w:szCs w:val="22"/>
          <w:u w:val="single"/>
          <w:lang w:val="fr-FR"/>
        </w:rPr>
        <w:t>es mesures de</w:t>
      </w:r>
      <w:r w:rsidRPr="00593168">
        <w:rPr>
          <w:sz w:val="22"/>
          <w:szCs w:val="22"/>
          <w:u w:val="single"/>
          <w:lang w:val="fr-FR"/>
        </w:rPr>
        <w:t xml:space="preserve"> conservation </w:t>
      </w:r>
      <w:r w:rsidR="00192337">
        <w:rPr>
          <w:sz w:val="22"/>
          <w:szCs w:val="22"/>
          <w:u w:val="single"/>
          <w:lang w:val="fr-FR"/>
        </w:rPr>
        <w:t xml:space="preserve">pour </w:t>
      </w:r>
      <w:r w:rsidR="00D52A1A">
        <w:rPr>
          <w:sz w:val="22"/>
          <w:szCs w:val="22"/>
          <w:u w:val="single"/>
          <w:lang w:val="fr-FR"/>
        </w:rPr>
        <w:t>l</w:t>
      </w:r>
      <w:r>
        <w:rPr>
          <w:sz w:val="22"/>
          <w:szCs w:val="22"/>
          <w:u w:val="single"/>
          <w:lang w:val="fr-FR"/>
        </w:rPr>
        <w:t>es va</w:t>
      </w:r>
      <w:r w:rsidR="00192337">
        <w:rPr>
          <w:sz w:val="22"/>
          <w:szCs w:val="22"/>
          <w:u w:val="single"/>
          <w:lang w:val="fr-FR"/>
        </w:rPr>
        <w:t>utours, y compris une interdiction d</w:t>
      </w:r>
      <w:r>
        <w:rPr>
          <w:sz w:val="22"/>
          <w:szCs w:val="22"/>
          <w:u w:val="single"/>
          <w:lang w:val="fr-FR"/>
        </w:rPr>
        <w:t>’uti</w:t>
      </w:r>
      <w:r w:rsidR="00D52A1A">
        <w:rPr>
          <w:sz w:val="22"/>
          <w:szCs w:val="22"/>
          <w:u w:val="single"/>
          <w:lang w:val="fr-FR"/>
        </w:rPr>
        <w:t>lisation du</w:t>
      </w:r>
      <w:r w:rsidR="005D22B5">
        <w:rPr>
          <w:sz w:val="22"/>
          <w:szCs w:val="22"/>
          <w:u w:val="single"/>
          <w:lang w:val="fr-FR"/>
        </w:rPr>
        <w:t xml:space="preserve"> </w:t>
      </w:r>
      <w:proofErr w:type="spellStart"/>
      <w:r w:rsidR="005D22B5">
        <w:rPr>
          <w:sz w:val="22"/>
          <w:szCs w:val="22"/>
          <w:u w:val="single"/>
          <w:lang w:val="fr-FR"/>
        </w:rPr>
        <w:t>D</w:t>
      </w:r>
      <w:r>
        <w:rPr>
          <w:sz w:val="22"/>
          <w:szCs w:val="22"/>
          <w:u w:val="single"/>
          <w:lang w:val="fr-FR"/>
        </w:rPr>
        <w:t>iclofe</w:t>
      </w:r>
      <w:r w:rsidRPr="00593168">
        <w:rPr>
          <w:sz w:val="22"/>
          <w:szCs w:val="22"/>
          <w:u w:val="single"/>
          <w:lang w:val="fr-FR"/>
        </w:rPr>
        <w:t>nac</w:t>
      </w:r>
      <w:proofErr w:type="spellEnd"/>
      <w:r>
        <w:rPr>
          <w:sz w:val="22"/>
          <w:szCs w:val="22"/>
          <w:u w:val="single"/>
          <w:lang w:val="fr-FR"/>
        </w:rPr>
        <w:t xml:space="preserve"> vétérinaire, et</w:t>
      </w:r>
      <w:r w:rsidRPr="00593168">
        <w:rPr>
          <w:sz w:val="22"/>
          <w:szCs w:val="22"/>
          <w:u w:val="single"/>
          <w:lang w:val="fr-FR"/>
        </w:rPr>
        <w:t xml:space="preserve"> </w:t>
      </w:r>
      <w:r>
        <w:rPr>
          <w:sz w:val="22"/>
          <w:szCs w:val="22"/>
          <w:u w:val="single"/>
          <w:lang w:val="fr-FR"/>
        </w:rPr>
        <w:t xml:space="preserve">la résolution </w:t>
      </w:r>
      <w:r w:rsidRPr="00593168">
        <w:rPr>
          <w:sz w:val="22"/>
          <w:szCs w:val="22"/>
          <w:u w:val="single"/>
          <w:lang w:val="fr-FR"/>
        </w:rPr>
        <w:t xml:space="preserve">WCC-2016-Res-082 </w:t>
      </w:r>
      <w:r w:rsidR="00192337">
        <w:rPr>
          <w:sz w:val="22"/>
          <w:szCs w:val="22"/>
          <w:u w:val="single"/>
          <w:lang w:val="fr-FR"/>
        </w:rPr>
        <w:t>sur la</w:t>
      </w:r>
      <w:r w:rsidR="00D52A1A">
        <w:rPr>
          <w:sz w:val="22"/>
          <w:szCs w:val="22"/>
          <w:u w:val="single"/>
          <w:lang w:val="fr-FR"/>
        </w:rPr>
        <w:t xml:space="preserve"> </w:t>
      </w:r>
      <w:r>
        <w:rPr>
          <w:sz w:val="22"/>
          <w:szCs w:val="22"/>
          <w:u w:val="single"/>
          <w:lang w:val="fr-FR"/>
        </w:rPr>
        <w:t xml:space="preserve">voie </w:t>
      </w:r>
      <w:r w:rsidR="00D52A1A">
        <w:rPr>
          <w:sz w:val="22"/>
          <w:szCs w:val="22"/>
          <w:u w:val="single"/>
          <w:lang w:val="fr-FR"/>
        </w:rPr>
        <w:t xml:space="preserve">à suivre </w:t>
      </w:r>
      <w:r>
        <w:rPr>
          <w:sz w:val="22"/>
          <w:szCs w:val="22"/>
          <w:u w:val="single"/>
          <w:lang w:val="fr-FR"/>
        </w:rPr>
        <w:t>pour répondre aux pr</w:t>
      </w:r>
      <w:r w:rsidR="00245AD3">
        <w:rPr>
          <w:sz w:val="22"/>
          <w:szCs w:val="22"/>
          <w:u w:val="single"/>
          <w:lang w:val="fr-FR"/>
        </w:rPr>
        <w:t>éoccupations concernant l’utilisation</w:t>
      </w:r>
      <w:r>
        <w:rPr>
          <w:sz w:val="22"/>
          <w:szCs w:val="22"/>
          <w:u w:val="single"/>
          <w:lang w:val="fr-FR"/>
        </w:rPr>
        <w:t xml:space="preserve"> de </w:t>
      </w:r>
      <w:r w:rsidR="00E97629">
        <w:rPr>
          <w:sz w:val="22"/>
          <w:szCs w:val="22"/>
          <w:u w:val="single"/>
          <w:lang w:val="fr-FR"/>
        </w:rPr>
        <w:t>munitions en plomb</w:t>
      </w:r>
      <w:r w:rsidR="00245AD3">
        <w:rPr>
          <w:sz w:val="22"/>
          <w:szCs w:val="22"/>
          <w:u w:val="single"/>
          <w:lang w:val="fr-FR"/>
        </w:rPr>
        <w:t xml:space="preserve"> </w:t>
      </w:r>
      <w:r w:rsidR="00192337">
        <w:rPr>
          <w:sz w:val="22"/>
          <w:szCs w:val="22"/>
          <w:u w:val="single"/>
          <w:lang w:val="fr-FR"/>
        </w:rPr>
        <w:t>dans</w:t>
      </w:r>
      <w:r w:rsidR="00245AD3">
        <w:rPr>
          <w:sz w:val="22"/>
          <w:szCs w:val="22"/>
          <w:u w:val="single"/>
          <w:lang w:val="fr-FR"/>
        </w:rPr>
        <w:t xml:space="preserve"> </w:t>
      </w:r>
      <w:r>
        <w:rPr>
          <w:sz w:val="22"/>
          <w:szCs w:val="22"/>
          <w:u w:val="single"/>
          <w:lang w:val="fr-FR"/>
        </w:rPr>
        <w:t>la chasse ;</w:t>
      </w:r>
    </w:p>
    <w:p w14:paraId="46DBF534" w14:textId="77777777" w:rsidR="00593168" w:rsidRDefault="00593168" w:rsidP="00CC4D32">
      <w:pPr>
        <w:widowControl/>
        <w:tabs>
          <w:tab w:val="left" w:pos="426"/>
        </w:tabs>
        <w:autoSpaceDE/>
        <w:autoSpaceDN/>
        <w:adjustRightInd/>
        <w:jc w:val="both"/>
        <w:rPr>
          <w:sz w:val="22"/>
          <w:szCs w:val="22"/>
          <w:u w:val="single"/>
          <w:lang w:val="fr-FR"/>
        </w:rPr>
      </w:pPr>
    </w:p>
    <w:p w14:paraId="7F5A9A1D" w14:textId="2E05113A" w:rsidR="00593168" w:rsidRPr="00593168" w:rsidRDefault="00F90D57" w:rsidP="00CC4D32">
      <w:pPr>
        <w:widowControl/>
        <w:tabs>
          <w:tab w:val="left" w:pos="426"/>
        </w:tabs>
        <w:autoSpaceDE/>
        <w:autoSpaceDN/>
        <w:adjustRightInd/>
        <w:jc w:val="both"/>
        <w:rPr>
          <w:sz w:val="22"/>
          <w:szCs w:val="22"/>
          <w:u w:val="single"/>
          <w:lang w:val="fr-FR"/>
        </w:rPr>
      </w:pPr>
      <w:r>
        <w:rPr>
          <w:i/>
          <w:sz w:val="22"/>
          <w:szCs w:val="22"/>
          <w:u w:val="single"/>
          <w:lang w:val="fr-FR"/>
        </w:rPr>
        <w:t>Sachant</w:t>
      </w:r>
      <w:r>
        <w:rPr>
          <w:sz w:val="22"/>
          <w:szCs w:val="22"/>
          <w:u w:val="single"/>
          <w:lang w:val="fr-FR"/>
        </w:rPr>
        <w:t xml:space="preserve"> </w:t>
      </w:r>
      <w:r w:rsidR="00593168">
        <w:rPr>
          <w:sz w:val="22"/>
          <w:szCs w:val="22"/>
          <w:u w:val="single"/>
          <w:lang w:val="fr-FR"/>
        </w:rPr>
        <w:t>que l’empoisonnement e</w:t>
      </w:r>
      <w:r>
        <w:rPr>
          <w:sz w:val="22"/>
          <w:szCs w:val="22"/>
          <w:u w:val="single"/>
          <w:lang w:val="fr-FR"/>
        </w:rPr>
        <w:t xml:space="preserve">st un problème qui touche également d’autres taxons </w:t>
      </w:r>
      <w:r w:rsidR="00593168">
        <w:rPr>
          <w:sz w:val="22"/>
          <w:szCs w:val="22"/>
          <w:u w:val="single"/>
          <w:lang w:val="fr-FR"/>
        </w:rPr>
        <w:t>que les oiseaux, et</w:t>
      </w:r>
      <w:r w:rsidR="00593168" w:rsidRPr="00B36579">
        <w:rPr>
          <w:i/>
          <w:sz w:val="22"/>
          <w:szCs w:val="22"/>
          <w:u w:val="single"/>
          <w:lang w:val="fr-FR"/>
        </w:rPr>
        <w:t xml:space="preserve"> soulignant</w:t>
      </w:r>
      <w:r w:rsidR="00593168">
        <w:rPr>
          <w:sz w:val="22"/>
          <w:szCs w:val="22"/>
          <w:u w:val="single"/>
          <w:lang w:val="fr-FR"/>
        </w:rPr>
        <w:t xml:space="preserve"> l’importance d’une analyse globale de l’impac</w:t>
      </w:r>
      <w:r w:rsidR="00B36579">
        <w:rPr>
          <w:sz w:val="22"/>
          <w:szCs w:val="22"/>
          <w:u w:val="single"/>
          <w:lang w:val="fr-FR"/>
        </w:rPr>
        <w:t>t de cette cause de mortalité s</w:t>
      </w:r>
      <w:r w:rsidR="00593168">
        <w:rPr>
          <w:sz w:val="22"/>
          <w:szCs w:val="22"/>
          <w:u w:val="single"/>
          <w:lang w:val="fr-FR"/>
        </w:rPr>
        <w:t>ur la vie sauvage ;</w:t>
      </w:r>
    </w:p>
    <w:p w14:paraId="34540C2F" w14:textId="77777777" w:rsidR="00593168" w:rsidRPr="00593168" w:rsidRDefault="00593168" w:rsidP="00CC4D32">
      <w:pPr>
        <w:widowControl/>
        <w:tabs>
          <w:tab w:val="left" w:pos="426"/>
        </w:tabs>
        <w:autoSpaceDE/>
        <w:autoSpaceDN/>
        <w:adjustRightInd/>
        <w:jc w:val="both"/>
        <w:rPr>
          <w:sz w:val="22"/>
          <w:szCs w:val="22"/>
          <w:lang w:val="fr-FR"/>
        </w:rPr>
      </w:pPr>
    </w:p>
    <w:p w14:paraId="76A71248" w14:textId="5AAF2DBD" w:rsidR="00B36579" w:rsidRDefault="00D308B8" w:rsidP="00CC4D32">
      <w:pPr>
        <w:widowControl/>
        <w:tabs>
          <w:tab w:val="left" w:pos="426"/>
        </w:tabs>
        <w:autoSpaceDE/>
        <w:autoSpaceDN/>
        <w:adjustRightInd/>
        <w:jc w:val="both"/>
        <w:rPr>
          <w:sz w:val="22"/>
          <w:szCs w:val="22"/>
          <w:lang w:val="fr-FR"/>
        </w:rPr>
      </w:pPr>
      <w:r w:rsidRPr="00B36579">
        <w:rPr>
          <w:i/>
          <w:sz w:val="22"/>
          <w:szCs w:val="22"/>
          <w:lang w:val="fr-FR"/>
        </w:rPr>
        <w:t xml:space="preserve">Reconnaissant </w:t>
      </w:r>
      <w:r w:rsidR="00F90D57">
        <w:rPr>
          <w:sz w:val="22"/>
          <w:szCs w:val="22"/>
          <w:lang w:val="fr-FR"/>
        </w:rPr>
        <w:t>que malgré l’importance</w:t>
      </w:r>
      <w:r w:rsidRPr="00D308B8">
        <w:rPr>
          <w:sz w:val="22"/>
          <w:szCs w:val="22"/>
          <w:lang w:val="fr-FR"/>
        </w:rPr>
        <w:t xml:space="preserve"> sociale et/ou économiqu</w:t>
      </w:r>
      <w:r w:rsidR="00F90D57">
        <w:rPr>
          <w:sz w:val="22"/>
          <w:szCs w:val="22"/>
          <w:lang w:val="fr-FR"/>
        </w:rPr>
        <w:t xml:space="preserve">e des </w:t>
      </w:r>
      <w:r w:rsidRPr="00D308B8">
        <w:rPr>
          <w:sz w:val="22"/>
          <w:szCs w:val="22"/>
          <w:lang w:val="fr-FR"/>
        </w:rPr>
        <w:t>activités associées à certaines substances toxiques pour les oiseaux, telle</w:t>
      </w:r>
      <w:r w:rsidR="00F90D57">
        <w:rPr>
          <w:sz w:val="22"/>
          <w:szCs w:val="22"/>
          <w:lang w:val="fr-FR"/>
        </w:rPr>
        <w:t>s</w:t>
      </w:r>
      <w:r w:rsidRPr="00D308B8">
        <w:rPr>
          <w:sz w:val="22"/>
          <w:szCs w:val="22"/>
          <w:lang w:val="fr-FR"/>
        </w:rPr>
        <w:t xml:space="preserve"> que la protection des cultures agricoles contre les ravageurs, l’expérience montre que des stratégies visant à réduire et prévenir les risques d’empoisonnement des oiseaux peuv</w:t>
      </w:r>
      <w:r w:rsidR="00F90D57">
        <w:rPr>
          <w:sz w:val="22"/>
          <w:szCs w:val="22"/>
          <w:lang w:val="fr-FR"/>
        </w:rPr>
        <w:t xml:space="preserve">ent </w:t>
      </w:r>
      <w:r w:rsidRPr="00D308B8">
        <w:rPr>
          <w:sz w:val="22"/>
          <w:szCs w:val="22"/>
          <w:lang w:val="fr-FR"/>
        </w:rPr>
        <w:t xml:space="preserve">être </w:t>
      </w:r>
      <w:r w:rsidR="00F90D57">
        <w:rPr>
          <w:sz w:val="22"/>
          <w:szCs w:val="22"/>
          <w:lang w:val="fr-FR"/>
        </w:rPr>
        <w:t xml:space="preserve">néanmoins </w:t>
      </w:r>
      <w:r w:rsidRPr="00D308B8">
        <w:rPr>
          <w:sz w:val="22"/>
          <w:szCs w:val="22"/>
          <w:lang w:val="fr-FR"/>
        </w:rPr>
        <w:t xml:space="preserve">mises en œuvre de manière </w:t>
      </w:r>
      <w:r w:rsidR="00F90D57">
        <w:rPr>
          <w:sz w:val="22"/>
          <w:szCs w:val="22"/>
          <w:lang w:val="fr-FR"/>
        </w:rPr>
        <w:t xml:space="preserve">durable et contribuer ainsi à des </w:t>
      </w:r>
      <w:r w:rsidRPr="00D308B8">
        <w:rPr>
          <w:sz w:val="22"/>
          <w:szCs w:val="22"/>
          <w:lang w:val="fr-FR"/>
        </w:rPr>
        <w:t xml:space="preserve">services écosystémiques plus larges ; </w:t>
      </w:r>
    </w:p>
    <w:p w14:paraId="1EB6ABCD" w14:textId="77777777" w:rsidR="00B36579" w:rsidRDefault="00B36579" w:rsidP="00CC4D32">
      <w:pPr>
        <w:widowControl/>
        <w:tabs>
          <w:tab w:val="left" w:pos="426"/>
        </w:tabs>
        <w:autoSpaceDE/>
        <w:autoSpaceDN/>
        <w:adjustRightInd/>
        <w:jc w:val="both"/>
        <w:rPr>
          <w:sz w:val="22"/>
          <w:szCs w:val="22"/>
          <w:lang w:val="fr-FR"/>
        </w:rPr>
      </w:pPr>
    </w:p>
    <w:p w14:paraId="60E9AD0A" w14:textId="08FFD8DB" w:rsidR="00B36579" w:rsidRPr="00865A4B" w:rsidRDefault="00B36579" w:rsidP="00CC4D32">
      <w:pPr>
        <w:widowControl/>
        <w:tabs>
          <w:tab w:val="left" w:pos="426"/>
        </w:tabs>
        <w:autoSpaceDE/>
        <w:autoSpaceDN/>
        <w:adjustRightInd/>
        <w:jc w:val="both"/>
        <w:rPr>
          <w:sz w:val="22"/>
          <w:szCs w:val="22"/>
          <w:u w:val="single"/>
          <w:lang w:val="fr-FR"/>
        </w:rPr>
      </w:pPr>
      <w:r w:rsidRPr="00865A4B">
        <w:rPr>
          <w:i/>
          <w:sz w:val="22"/>
          <w:szCs w:val="22"/>
          <w:u w:val="single"/>
          <w:lang w:val="fr-FR"/>
        </w:rPr>
        <w:t>Prenant note</w:t>
      </w:r>
      <w:r w:rsidRPr="00865A4B">
        <w:rPr>
          <w:sz w:val="22"/>
          <w:szCs w:val="22"/>
          <w:u w:val="single"/>
          <w:lang w:val="fr-FR"/>
        </w:rPr>
        <w:t xml:space="preserve"> du rapport du Rapporteur </w:t>
      </w:r>
      <w:r w:rsidR="00865A4B" w:rsidRPr="00865A4B">
        <w:rPr>
          <w:sz w:val="22"/>
          <w:szCs w:val="22"/>
          <w:u w:val="single"/>
          <w:lang w:val="fr-FR"/>
        </w:rPr>
        <w:t>spé</w:t>
      </w:r>
      <w:r w:rsidRPr="00865A4B">
        <w:rPr>
          <w:sz w:val="22"/>
          <w:szCs w:val="22"/>
          <w:u w:val="single"/>
          <w:lang w:val="fr-FR"/>
        </w:rPr>
        <w:t xml:space="preserve">cial sur le droit </w:t>
      </w:r>
      <w:r w:rsidR="00873F04">
        <w:rPr>
          <w:sz w:val="22"/>
          <w:szCs w:val="22"/>
          <w:u w:val="single"/>
          <w:lang w:val="fr-FR"/>
        </w:rPr>
        <w:t>à l’alimentation, trans</w:t>
      </w:r>
      <w:r w:rsidR="00865A4B" w:rsidRPr="00865A4B">
        <w:rPr>
          <w:sz w:val="22"/>
          <w:szCs w:val="22"/>
          <w:u w:val="single"/>
          <w:lang w:val="fr-FR"/>
        </w:rPr>
        <w:t>mis au Co</w:t>
      </w:r>
      <w:r w:rsidR="00873F04">
        <w:rPr>
          <w:sz w:val="22"/>
          <w:szCs w:val="22"/>
          <w:u w:val="single"/>
          <w:lang w:val="fr-FR"/>
        </w:rPr>
        <w:t>nseil d</w:t>
      </w:r>
      <w:r w:rsidR="0040038F">
        <w:rPr>
          <w:sz w:val="22"/>
          <w:szCs w:val="22"/>
          <w:u w:val="single"/>
          <w:lang w:val="fr-FR"/>
        </w:rPr>
        <w:t xml:space="preserve">es droits de l’homme </w:t>
      </w:r>
      <w:r w:rsidR="00865A4B" w:rsidRPr="00865A4B">
        <w:rPr>
          <w:sz w:val="22"/>
          <w:szCs w:val="22"/>
          <w:u w:val="single"/>
          <w:lang w:val="fr-FR"/>
        </w:rPr>
        <w:t xml:space="preserve">de l’Assemblée générale des Nations Unies </w:t>
      </w:r>
      <w:r w:rsidRPr="00865A4B">
        <w:rPr>
          <w:sz w:val="22"/>
          <w:szCs w:val="22"/>
          <w:u w:val="single"/>
          <w:lang w:val="fr-FR"/>
        </w:rPr>
        <w:t xml:space="preserve">(A/HRC/34/48), </w:t>
      </w:r>
      <w:r w:rsidR="00865A4B" w:rsidRPr="00865A4B">
        <w:rPr>
          <w:sz w:val="22"/>
          <w:szCs w:val="22"/>
          <w:u w:val="single"/>
          <w:lang w:val="fr-FR"/>
        </w:rPr>
        <w:t>qui met en exergue les effets néfastes des pesticides utilis</w:t>
      </w:r>
      <w:r w:rsidR="00865A4B">
        <w:rPr>
          <w:sz w:val="22"/>
          <w:szCs w:val="22"/>
          <w:u w:val="single"/>
          <w:lang w:val="fr-FR"/>
        </w:rPr>
        <w:t>é</w:t>
      </w:r>
      <w:r w:rsidR="00865A4B" w:rsidRPr="00865A4B">
        <w:rPr>
          <w:sz w:val="22"/>
          <w:szCs w:val="22"/>
          <w:u w:val="single"/>
          <w:lang w:val="fr-FR"/>
        </w:rPr>
        <w:t>s dans l’</w:t>
      </w:r>
      <w:r w:rsidRPr="00865A4B">
        <w:rPr>
          <w:sz w:val="22"/>
          <w:szCs w:val="22"/>
          <w:u w:val="single"/>
          <w:lang w:val="fr-FR"/>
        </w:rPr>
        <w:t xml:space="preserve">agriculture </w:t>
      </w:r>
      <w:r w:rsidR="00881724">
        <w:rPr>
          <w:sz w:val="22"/>
          <w:szCs w:val="22"/>
          <w:u w:val="single"/>
          <w:lang w:val="fr-FR"/>
        </w:rPr>
        <w:t>sur les droits humains</w:t>
      </w:r>
      <w:r w:rsidR="00865A4B">
        <w:rPr>
          <w:sz w:val="22"/>
          <w:szCs w:val="22"/>
          <w:u w:val="single"/>
          <w:lang w:val="fr-FR"/>
        </w:rPr>
        <w:t xml:space="preserve"> </w:t>
      </w:r>
      <w:r w:rsidR="00881724">
        <w:rPr>
          <w:sz w:val="22"/>
          <w:szCs w:val="22"/>
          <w:u w:val="single"/>
          <w:lang w:val="fr-FR"/>
        </w:rPr>
        <w:t xml:space="preserve">et </w:t>
      </w:r>
      <w:r w:rsidR="00865A4B">
        <w:rPr>
          <w:sz w:val="22"/>
          <w:szCs w:val="22"/>
          <w:u w:val="single"/>
          <w:lang w:val="fr-FR"/>
        </w:rPr>
        <w:t>les consé</w:t>
      </w:r>
      <w:r w:rsidRPr="00865A4B">
        <w:rPr>
          <w:sz w:val="22"/>
          <w:szCs w:val="22"/>
          <w:u w:val="single"/>
          <w:lang w:val="fr-FR"/>
        </w:rPr>
        <w:t xml:space="preserve">quences </w:t>
      </w:r>
      <w:r w:rsidR="0040038F">
        <w:rPr>
          <w:sz w:val="22"/>
          <w:szCs w:val="22"/>
          <w:u w:val="single"/>
          <w:lang w:val="fr-FR"/>
        </w:rPr>
        <w:t>défavorables des pratiques associé</w:t>
      </w:r>
      <w:r w:rsidR="00865A4B">
        <w:rPr>
          <w:sz w:val="22"/>
          <w:szCs w:val="22"/>
          <w:u w:val="single"/>
          <w:lang w:val="fr-FR"/>
        </w:rPr>
        <w:t>es aux</w:t>
      </w:r>
      <w:r w:rsidRPr="00865A4B">
        <w:rPr>
          <w:sz w:val="22"/>
          <w:szCs w:val="22"/>
          <w:u w:val="single"/>
          <w:lang w:val="fr-FR"/>
        </w:rPr>
        <w:t xml:space="preserve"> pesticide</w:t>
      </w:r>
      <w:r w:rsidR="00865A4B">
        <w:rPr>
          <w:sz w:val="22"/>
          <w:szCs w:val="22"/>
          <w:u w:val="single"/>
          <w:lang w:val="fr-FR"/>
        </w:rPr>
        <w:t>s pour la santé humaine, l’</w:t>
      </w:r>
      <w:r w:rsidRPr="00865A4B">
        <w:rPr>
          <w:sz w:val="22"/>
          <w:szCs w:val="22"/>
          <w:u w:val="single"/>
          <w:lang w:val="fr-FR"/>
        </w:rPr>
        <w:t>environ</w:t>
      </w:r>
      <w:r w:rsidR="0040038F">
        <w:rPr>
          <w:sz w:val="22"/>
          <w:szCs w:val="22"/>
          <w:u w:val="single"/>
          <w:lang w:val="fr-FR"/>
        </w:rPr>
        <w:t xml:space="preserve">nement et </w:t>
      </w:r>
      <w:r w:rsidR="00865A4B">
        <w:rPr>
          <w:sz w:val="22"/>
          <w:szCs w:val="22"/>
          <w:u w:val="single"/>
          <w:lang w:val="fr-FR"/>
        </w:rPr>
        <w:t>la société</w:t>
      </w:r>
      <w:r w:rsidRPr="00865A4B">
        <w:rPr>
          <w:sz w:val="22"/>
          <w:szCs w:val="22"/>
          <w:u w:val="single"/>
          <w:lang w:val="fr-FR"/>
        </w:rPr>
        <w:t xml:space="preserve">, </w:t>
      </w:r>
      <w:r w:rsidR="00865A4B">
        <w:rPr>
          <w:sz w:val="22"/>
          <w:szCs w:val="22"/>
          <w:u w:val="single"/>
          <w:lang w:val="fr-FR"/>
        </w:rPr>
        <w:t>qui n’o</w:t>
      </w:r>
      <w:r w:rsidR="00881724">
        <w:rPr>
          <w:sz w:val="22"/>
          <w:szCs w:val="22"/>
          <w:u w:val="single"/>
          <w:lang w:val="fr-FR"/>
        </w:rPr>
        <w:t>nt pas été suffisamment signalés et surveillés en raison d’</w:t>
      </w:r>
      <w:r w:rsidR="00865A4B">
        <w:rPr>
          <w:sz w:val="22"/>
          <w:szCs w:val="22"/>
          <w:u w:val="single"/>
          <w:lang w:val="fr-FR"/>
        </w:rPr>
        <w:t>une politique dominante et restrictive axé</w:t>
      </w:r>
      <w:r w:rsidR="00881724">
        <w:rPr>
          <w:sz w:val="22"/>
          <w:szCs w:val="22"/>
          <w:u w:val="single"/>
          <w:lang w:val="fr-FR"/>
        </w:rPr>
        <w:t>e</w:t>
      </w:r>
      <w:r w:rsidR="00865A4B">
        <w:rPr>
          <w:sz w:val="22"/>
          <w:szCs w:val="22"/>
          <w:u w:val="single"/>
          <w:lang w:val="fr-FR"/>
        </w:rPr>
        <w:t xml:space="preserve"> sur la « sécurité alimentaire »</w:t>
      </w:r>
      <w:r w:rsidRPr="00865A4B">
        <w:rPr>
          <w:sz w:val="22"/>
          <w:szCs w:val="22"/>
          <w:u w:val="single"/>
          <w:lang w:val="fr-FR"/>
        </w:rPr>
        <w:t xml:space="preserve">; </w:t>
      </w:r>
      <w:r w:rsidR="00865A4B">
        <w:rPr>
          <w:sz w:val="22"/>
          <w:szCs w:val="22"/>
          <w:u w:val="single"/>
          <w:lang w:val="fr-FR"/>
        </w:rPr>
        <w:t>et ses recommandations sur la réglementation des</w:t>
      </w:r>
      <w:r w:rsidRPr="00865A4B">
        <w:rPr>
          <w:sz w:val="22"/>
          <w:szCs w:val="22"/>
          <w:u w:val="single"/>
          <w:lang w:val="fr-FR"/>
        </w:rPr>
        <w:t xml:space="preserve"> pesticides </w:t>
      </w:r>
      <w:r w:rsidR="00881724">
        <w:rPr>
          <w:sz w:val="22"/>
          <w:szCs w:val="22"/>
          <w:u w:val="single"/>
          <w:lang w:val="fr-FR"/>
        </w:rPr>
        <w:t xml:space="preserve">dangereux et la mise en valeur </w:t>
      </w:r>
      <w:r w:rsidR="00865A4B">
        <w:rPr>
          <w:sz w:val="22"/>
          <w:szCs w:val="22"/>
          <w:u w:val="single"/>
          <w:lang w:val="fr-FR"/>
        </w:rPr>
        <w:t>de l’</w:t>
      </w:r>
      <w:proofErr w:type="spellStart"/>
      <w:r w:rsidR="00865A4B">
        <w:rPr>
          <w:sz w:val="22"/>
          <w:szCs w:val="22"/>
          <w:u w:val="single"/>
          <w:lang w:val="fr-FR"/>
        </w:rPr>
        <w:t>agro-écologie</w:t>
      </w:r>
      <w:proofErr w:type="spellEnd"/>
      <w:r w:rsidRPr="00865A4B">
        <w:rPr>
          <w:sz w:val="22"/>
          <w:szCs w:val="22"/>
          <w:u w:val="single"/>
          <w:lang w:val="fr-FR"/>
        </w:rPr>
        <w:t xml:space="preserve"> </w:t>
      </w:r>
      <w:r w:rsidR="00865A4B">
        <w:rPr>
          <w:sz w:val="22"/>
          <w:szCs w:val="22"/>
          <w:u w:val="single"/>
          <w:lang w:val="fr-FR"/>
        </w:rPr>
        <w:t xml:space="preserve">comme </w:t>
      </w:r>
      <w:r w:rsidR="00881724">
        <w:rPr>
          <w:sz w:val="22"/>
          <w:szCs w:val="22"/>
          <w:u w:val="single"/>
          <w:lang w:val="fr-FR"/>
        </w:rPr>
        <w:t>solution de remplacement de l’</w:t>
      </w:r>
      <w:r w:rsidR="00865A4B">
        <w:rPr>
          <w:sz w:val="22"/>
          <w:szCs w:val="22"/>
          <w:u w:val="single"/>
          <w:lang w:val="fr-FR"/>
        </w:rPr>
        <w:t xml:space="preserve">utilisation généralisée des </w:t>
      </w:r>
      <w:r w:rsidRPr="00865A4B">
        <w:rPr>
          <w:sz w:val="22"/>
          <w:szCs w:val="22"/>
          <w:u w:val="single"/>
          <w:lang w:val="fr-FR"/>
        </w:rPr>
        <w:t>pesticides ;</w:t>
      </w:r>
    </w:p>
    <w:p w14:paraId="6677CA1A" w14:textId="77777777" w:rsidR="00B36579" w:rsidRPr="00865A4B" w:rsidRDefault="00B36579" w:rsidP="00CC4D32">
      <w:pPr>
        <w:widowControl/>
        <w:tabs>
          <w:tab w:val="left" w:pos="426"/>
        </w:tabs>
        <w:autoSpaceDE/>
        <w:autoSpaceDN/>
        <w:adjustRightInd/>
        <w:jc w:val="both"/>
        <w:rPr>
          <w:sz w:val="22"/>
          <w:szCs w:val="22"/>
          <w:lang w:val="fr-FR"/>
        </w:rPr>
      </w:pPr>
    </w:p>
    <w:p w14:paraId="76B9F77F" w14:textId="5A2F04D3" w:rsidR="00865A4B" w:rsidRDefault="00D308B8" w:rsidP="00CC4D32">
      <w:pPr>
        <w:widowControl/>
        <w:tabs>
          <w:tab w:val="left" w:pos="426"/>
        </w:tabs>
        <w:autoSpaceDE/>
        <w:autoSpaceDN/>
        <w:adjustRightInd/>
        <w:jc w:val="both"/>
        <w:rPr>
          <w:sz w:val="22"/>
          <w:szCs w:val="22"/>
          <w:lang w:val="fr-FR"/>
        </w:rPr>
      </w:pPr>
      <w:r w:rsidRPr="00F90D57">
        <w:rPr>
          <w:i/>
          <w:sz w:val="22"/>
          <w:szCs w:val="22"/>
          <w:lang w:val="fr-FR"/>
        </w:rPr>
        <w:t xml:space="preserve">Reconnaissant </w:t>
      </w:r>
      <w:r w:rsidRPr="00D308B8">
        <w:rPr>
          <w:sz w:val="22"/>
          <w:szCs w:val="22"/>
          <w:lang w:val="fr-FR"/>
        </w:rPr>
        <w:t>que dans des conditions strictement contrôlées et de manière sélective, l'utilisation légale et réglementée d'appâts empoisonnés peut avoir des avantages importants pour la conservation</w:t>
      </w:r>
      <w:r w:rsidR="00881724">
        <w:rPr>
          <w:sz w:val="22"/>
          <w:szCs w:val="22"/>
          <w:lang w:val="fr-FR"/>
        </w:rPr>
        <w:t>,</w:t>
      </w:r>
      <w:r w:rsidRPr="00D308B8">
        <w:rPr>
          <w:sz w:val="22"/>
          <w:szCs w:val="22"/>
          <w:lang w:val="fr-FR"/>
        </w:rPr>
        <w:t xml:space="preserve"> par le contrôle des espèces exotiques envahissantes ; </w:t>
      </w:r>
    </w:p>
    <w:p w14:paraId="009BB131" w14:textId="77777777" w:rsidR="00865A4B" w:rsidRDefault="00865A4B" w:rsidP="00CC4D32">
      <w:pPr>
        <w:widowControl/>
        <w:tabs>
          <w:tab w:val="left" w:pos="426"/>
        </w:tabs>
        <w:autoSpaceDE/>
        <w:autoSpaceDN/>
        <w:adjustRightInd/>
        <w:jc w:val="both"/>
        <w:rPr>
          <w:sz w:val="22"/>
          <w:szCs w:val="22"/>
          <w:lang w:val="fr-FR"/>
        </w:rPr>
      </w:pPr>
    </w:p>
    <w:p w14:paraId="6FE94B50" w14:textId="0EB83740" w:rsidR="00865A4B" w:rsidRDefault="00D308B8" w:rsidP="00CC4D32">
      <w:pPr>
        <w:widowControl/>
        <w:tabs>
          <w:tab w:val="left" w:pos="426"/>
        </w:tabs>
        <w:autoSpaceDE/>
        <w:autoSpaceDN/>
        <w:adjustRightInd/>
        <w:jc w:val="both"/>
        <w:rPr>
          <w:sz w:val="22"/>
          <w:szCs w:val="22"/>
          <w:lang w:val="fr-FR"/>
        </w:rPr>
      </w:pPr>
      <w:r w:rsidRPr="00865A4B">
        <w:rPr>
          <w:i/>
          <w:sz w:val="22"/>
          <w:szCs w:val="22"/>
          <w:lang w:val="fr-FR"/>
        </w:rPr>
        <w:t xml:space="preserve">Préoccupée </w:t>
      </w:r>
      <w:r w:rsidRPr="00D308B8">
        <w:rPr>
          <w:sz w:val="22"/>
          <w:szCs w:val="22"/>
          <w:lang w:val="fr-FR"/>
        </w:rPr>
        <w:t xml:space="preserve">par le fait qu’il existe un biais géographique important dans la recherche et les connaissances sur ce sujet, et </w:t>
      </w:r>
      <w:r w:rsidRPr="00865A4B">
        <w:rPr>
          <w:i/>
          <w:sz w:val="22"/>
          <w:szCs w:val="22"/>
          <w:lang w:val="fr-FR"/>
        </w:rPr>
        <w:t xml:space="preserve">soulignant </w:t>
      </w:r>
      <w:r w:rsidRPr="00D308B8">
        <w:rPr>
          <w:sz w:val="22"/>
          <w:szCs w:val="22"/>
          <w:lang w:val="fr-FR"/>
        </w:rPr>
        <w:t>que dava</w:t>
      </w:r>
      <w:r w:rsidR="00881724">
        <w:rPr>
          <w:sz w:val="22"/>
          <w:szCs w:val="22"/>
          <w:lang w:val="fr-FR"/>
        </w:rPr>
        <w:t xml:space="preserve">ntage de recherches et de suivi concernant </w:t>
      </w:r>
      <w:r w:rsidRPr="00D308B8">
        <w:rPr>
          <w:sz w:val="22"/>
          <w:szCs w:val="22"/>
          <w:lang w:val="fr-FR"/>
        </w:rPr>
        <w:t xml:space="preserve">les oiseaux migrateurs et les sources d’empoisonnement sont requis d’urgence en ce qui concerne certaines causes d’empoisonnement, et que les études devraient être conçues de manière à mieux contribuer à la formulation et au suivi des politiques </w:t>
      </w:r>
      <w:r w:rsidR="00881724">
        <w:rPr>
          <w:sz w:val="22"/>
          <w:szCs w:val="22"/>
          <w:lang w:val="fr-FR"/>
        </w:rPr>
        <w:t xml:space="preserve">publiques </w:t>
      </w:r>
      <w:r w:rsidRPr="00D308B8">
        <w:rPr>
          <w:sz w:val="22"/>
          <w:szCs w:val="22"/>
          <w:lang w:val="fr-FR"/>
        </w:rPr>
        <w:t xml:space="preserve">; </w:t>
      </w:r>
    </w:p>
    <w:p w14:paraId="349AC400" w14:textId="77777777" w:rsidR="00865A4B" w:rsidRDefault="00865A4B" w:rsidP="00CC4D32">
      <w:pPr>
        <w:widowControl/>
        <w:tabs>
          <w:tab w:val="left" w:pos="426"/>
        </w:tabs>
        <w:autoSpaceDE/>
        <w:autoSpaceDN/>
        <w:adjustRightInd/>
        <w:jc w:val="both"/>
        <w:rPr>
          <w:sz w:val="22"/>
          <w:szCs w:val="22"/>
          <w:lang w:val="fr-FR"/>
        </w:rPr>
      </w:pPr>
    </w:p>
    <w:p w14:paraId="221DB01A" w14:textId="77777777" w:rsidR="00865A4B" w:rsidRDefault="00D308B8" w:rsidP="00CC4D32">
      <w:pPr>
        <w:widowControl/>
        <w:tabs>
          <w:tab w:val="left" w:pos="426"/>
        </w:tabs>
        <w:autoSpaceDE/>
        <w:autoSpaceDN/>
        <w:adjustRightInd/>
        <w:jc w:val="both"/>
        <w:rPr>
          <w:sz w:val="22"/>
          <w:szCs w:val="22"/>
          <w:lang w:val="fr-FR"/>
        </w:rPr>
      </w:pPr>
      <w:r w:rsidRPr="00865A4B">
        <w:rPr>
          <w:i/>
          <w:sz w:val="22"/>
          <w:szCs w:val="22"/>
          <w:lang w:val="fr-FR"/>
        </w:rPr>
        <w:t xml:space="preserve">Reconnaissant </w:t>
      </w:r>
      <w:r w:rsidRPr="00D308B8">
        <w:rPr>
          <w:sz w:val="22"/>
          <w:szCs w:val="22"/>
          <w:lang w:val="fr-FR"/>
        </w:rPr>
        <w:t xml:space="preserve">qu’un certain nombre de Parties appliquent déjà des politiques pertinentes, telles que la retrait du marché de certains insecticides agricoles toxiques, la mise en œuvre d’une gestion intégrée des ravageurs, et la promotion de l’utilisation de munitions non toxiques pour la chasse, et </w:t>
      </w:r>
      <w:r w:rsidRPr="00865A4B">
        <w:rPr>
          <w:i/>
          <w:sz w:val="22"/>
          <w:szCs w:val="22"/>
          <w:lang w:val="fr-FR"/>
        </w:rPr>
        <w:t xml:space="preserve">félicitant </w:t>
      </w:r>
      <w:r w:rsidRPr="00D308B8">
        <w:rPr>
          <w:sz w:val="22"/>
          <w:szCs w:val="22"/>
          <w:lang w:val="fr-FR"/>
        </w:rPr>
        <w:t xml:space="preserve">ces Parties pour de telles actions ; </w:t>
      </w:r>
    </w:p>
    <w:p w14:paraId="6B5433E9" w14:textId="77777777" w:rsidR="00865A4B" w:rsidRDefault="00865A4B" w:rsidP="00CC4D32">
      <w:pPr>
        <w:widowControl/>
        <w:tabs>
          <w:tab w:val="left" w:pos="426"/>
        </w:tabs>
        <w:autoSpaceDE/>
        <w:autoSpaceDN/>
        <w:adjustRightInd/>
        <w:jc w:val="both"/>
        <w:rPr>
          <w:sz w:val="22"/>
          <w:szCs w:val="22"/>
          <w:lang w:val="fr-FR"/>
        </w:rPr>
      </w:pPr>
    </w:p>
    <w:p w14:paraId="417D84FC" w14:textId="4B19009A" w:rsidR="007C761C" w:rsidRDefault="00D34D9A" w:rsidP="00CC4D32">
      <w:pPr>
        <w:widowControl/>
        <w:tabs>
          <w:tab w:val="left" w:pos="426"/>
        </w:tabs>
        <w:autoSpaceDE/>
        <w:autoSpaceDN/>
        <w:adjustRightInd/>
        <w:jc w:val="both"/>
        <w:rPr>
          <w:sz w:val="22"/>
          <w:szCs w:val="22"/>
          <w:lang w:val="fr-FR"/>
        </w:rPr>
      </w:pPr>
      <w:r>
        <w:rPr>
          <w:i/>
          <w:sz w:val="22"/>
          <w:szCs w:val="22"/>
          <w:lang w:val="fr-FR"/>
        </w:rPr>
        <w:t>Prenant n</w:t>
      </w:r>
      <w:r w:rsidR="00D308B8" w:rsidRPr="00865A4B">
        <w:rPr>
          <w:i/>
          <w:sz w:val="22"/>
          <w:szCs w:val="22"/>
          <w:lang w:val="fr-FR"/>
        </w:rPr>
        <w:t>ot</w:t>
      </w:r>
      <w:r>
        <w:rPr>
          <w:i/>
          <w:sz w:val="22"/>
          <w:szCs w:val="22"/>
          <w:lang w:val="fr-FR"/>
        </w:rPr>
        <w:t xml:space="preserve">e </w:t>
      </w:r>
      <w:r>
        <w:rPr>
          <w:sz w:val="22"/>
          <w:szCs w:val="22"/>
          <w:lang w:val="fr-FR"/>
        </w:rPr>
        <w:t>du</w:t>
      </w:r>
      <w:r w:rsidR="00D308B8" w:rsidRPr="00D308B8">
        <w:rPr>
          <w:sz w:val="22"/>
          <w:szCs w:val="22"/>
          <w:lang w:val="fr-FR"/>
        </w:rPr>
        <w:t xml:space="preserve"> projet </w:t>
      </w:r>
      <w:r w:rsidR="00881724">
        <w:rPr>
          <w:sz w:val="22"/>
          <w:szCs w:val="22"/>
          <w:lang w:val="fr-FR"/>
        </w:rPr>
        <w:t xml:space="preserve">du </w:t>
      </w:r>
      <w:r w:rsidR="00D308B8" w:rsidRPr="00D308B8">
        <w:rPr>
          <w:sz w:val="22"/>
          <w:szCs w:val="22"/>
          <w:lang w:val="fr-FR"/>
        </w:rPr>
        <w:t>PNUD/FEM sur les oiseaux planeurs migrateurs ('</w:t>
      </w:r>
      <w:proofErr w:type="spellStart"/>
      <w:r w:rsidR="00D308B8" w:rsidRPr="00D308B8">
        <w:rPr>
          <w:sz w:val="22"/>
          <w:szCs w:val="22"/>
          <w:lang w:val="fr-FR"/>
        </w:rPr>
        <w:t>Migratory</w:t>
      </w:r>
      <w:proofErr w:type="spellEnd"/>
      <w:r w:rsidR="00D308B8" w:rsidRPr="00D308B8">
        <w:rPr>
          <w:sz w:val="22"/>
          <w:szCs w:val="22"/>
          <w:lang w:val="fr-FR"/>
        </w:rPr>
        <w:t xml:space="preserve"> </w:t>
      </w:r>
      <w:proofErr w:type="spellStart"/>
      <w:r w:rsidR="00D308B8" w:rsidRPr="00D308B8">
        <w:rPr>
          <w:sz w:val="22"/>
          <w:szCs w:val="22"/>
          <w:lang w:val="fr-FR"/>
        </w:rPr>
        <w:t>Soaring</w:t>
      </w:r>
      <w:proofErr w:type="spellEnd"/>
      <w:r w:rsidR="00D308B8" w:rsidRPr="00D308B8">
        <w:rPr>
          <w:sz w:val="22"/>
          <w:szCs w:val="22"/>
          <w:lang w:val="fr-FR"/>
        </w:rPr>
        <w:t xml:space="preserve"> </w:t>
      </w:r>
      <w:proofErr w:type="spellStart"/>
      <w:r w:rsidR="00D308B8" w:rsidRPr="00D308B8">
        <w:rPr>
          <w:sz w:val="22"/>
          <w:szCs w:val="22"/>
          <w:lang w:val="fr-FR"/>
        </w:rPr>
        <w:t>Birds</w:t>
      </w:r>
      <w:proofErr w:type="spellEnd"/>
      <w:r w:rsidR="00D308B8" w:rsidRPr="00D308B8">
        <w:rPr>
          <w:sz w:val="22"/>
          <w:szCs w:val="22"/>
          <w:lang w:val="fr-FR"/>
        </w:rPr>
        <w:t xml:space="preserve"> Project') mis en œuvre par </w:t>
      </w:r>
      <w:proofErr w:type="spellStart"/>
      <w:r w:rsidR="00D308B8" w:rsidRPr="00D308B8">
        <w:rPr>
          <w:sz w:val="22"/>
          <w:szCs w:val="22"/>
          <w:lang w:val="fr-FR"/>
        </w:rPr>
        <w:t>BirdLife</w:t>
      </w:r>
      <w:proofErr w:type="spellEnd"/>
      <w:r w:rsidR="00D308B8" w:rsidRPr="00D308B8">
        <w:rPr>
          <w:sz w:val="22"/>
          <w:szCs w:val="22"/>
          <w:lang w:val="fr-FR"/>
        </w:rPr>
        <w:t xml:space="preserve"> International, </w:t>
      </w:r>
      <w:r w:rsidR="00865A4B" w:rsidRPr="007C761C">
        <w:rPr>
          <w:sz w:val="22"/>
          <w:szCs w:val="22"/>
          <w:u w:val="single"/>
          <w:lang w:val="fr-FR"/>
        </w:rPr>
        <w:t>et son document « Prévenir le</w:t>
      </w:r>
      <w:r w:rsidR="00881724">
        <w:rPr>
          <w:sz w:val="22"/>
          <w:szCs w:val="22"/>
          <w:u w:val="single"/>
          <w:lang w:val="fr-FR"/>
        </w:rPr>
        <w:t>s risques liés à un empoisonnement d</w:t>
      </w:r>
      <w:r w:rsidR="00865A4B" w:rsidRPr="007C761C">
        <w:rPr>
          <w:sz w:val="22"/>
          <w:szCs w:val="22"/>
          <w:u w:val="single"/>
          <w:lang w:val="fr-FR"/>
        </w:rPr>
        <w:t xml:space="preserve">es oiseaux migrateurs </w:t>
      </w:r>
      <w:r w:rsidR="00881724">
        <w:rPr>
          <w:sz w:val="22"/>
          <w:szCs w:val="22"/>
          <w:u w:val="single"/>
          <w:lang w:val="fr-FR"/>
        </w:rPr>
        <w:t xml:space="preserve">par des </w:t>
      </w:r>
      <w:r w:rsidR="007C761C" w:rsidRPr="007C761C">
        <w:rPr>
          <w:sz w:val="22"/>
          <w:szCs w:val="22"/>
          <w:u w:val="single"/>
          <w:lang w:val="fr-FR"/>
        </w:rPr>
        <w:t>produits chimiques agricoles</w:t>
      </w:r>
      <w:r w:rsidR="00881724">
        <w:rPr>
          <w:sz w:val="22"/>
          <w:szCs w:val="22"/>
          <w:u w:val="single"/>
          <w:lang w:val="fr-FR"/>
        </w:rPr>
        <w:t> : o</w:t>
      </w:r>
      <w:r w:rsidR="007C761C">
        <w:rPr>
          <w:sz w:val="22"/>
          <w:szCs w:val="22"/>
          <w:u w:val="single"/>
          <w:lang w:val="fr-FR"/>
        </w:rPr>
        <w:t>rientations pour les pays situés le long de la voie de migration Mer Rouge/Vallée du Rift »</w:t>
      </w:r>
      <w:r w:rsidR="007C761C" w:rsidRPr="007C761C">
        <w:rPr>
          <w:sz w:val="22"/>
          <w:szCs w:val="22"/>
          <w:u w:val="single"/>
          <w:lang w:val="fr-FR"/>
        </w:rPr>
        <w:t>,</w:t>
      </w:r>
      <w:r w:rsidR="007C761C">
        <w:rPr>
          <w:sz w:val="22"/>
          <w:szCs w:val="22"/>
          <w:lang w:val="fr-FR"/>
        </w:rPr>
        <w:t xml:space="preserve"> </w:t>
      </w:r>
      <w:r w:rsidR="00D308B8" w:rsidRPr="00D308B8">
        <w:rPr>
          <w:sz w:val="22"/>
          <w:szCs w:val="22"/>
          <w:lang w:val="fr-FR"/>
        </w:rPr>
        <w:t>qui vise</w:t>
      </w:r>
      <w:r w:rsidR="00881724">
        <w:rPr>
          <w:sz w:val="22"/>
          <w:szCs w:val="22"/>
          <w:lang w:val="fr-FR"/>
        </w:rPr>
        <w:t xml:space="preserve"> à faire en sorte</w:t>
      </w:r>
      <w:r w:rsidR="00D308B8" w:rsidRPr="00D308B8">
        <w:rPr>
          <w:sz w:val="22"/>
          <w:szCs w:val="22"/>
          <w:lang w:val="fr-FR"/>
        </w:rPr>
        <w:t xml:space="preserve"> que les besoins de conservation des oiseaux planeurs migrateurs so</w:t>
      </w:r>
      <w:r w:rsidR="00881724">
        <w:rPr>
          <w:sz w:val="22"/>
          <w:szCs w:val="22"/>
          <w:lang w:val="fr-FR"/>
        </w:rPr>
        <w:t>ient pris en compte dans</w:t>
      </w:r>
      <w:r w:rsidR="00D308B8" w:rsidRPr="00D308B8">
        <w:rPr>
          <w:sz w:val="22"/>
          <w:szCs w:val="22"/>
          <w:lang w:val="fr-FR"/>
        </w:rPr>
        <w:t xml:space="preserve"> les différents secteurs d’activités, y compris l’agriculture, le long de la voie de migration Mer Rouge/Vallée du Rift, et </w:t>
      </w:r>
      <w:r w:rsidR="00D308B8" w:rsidRPr="00865A4B">
        <w:rPr>
          <w:i/>
          <w:sz w:val="22"/>
          <w:szCs w:val="22"/>
          <w:lang w:val="fr-FR"/>
        </w:rPr>
        <w:t xml:space="preserve">reconnaissant </w:t>
      </w:r>
      <w:r w:rsidR="00881724">
        <w:rPr>
          <w:sz w:val="22"/>
          <w:szCs w:val="22"/>
          <w:lang w:val="fr-FR"/>
        </w:rPr>
        <w:t>le potentiel de ce projet pour</w:t>
      </w:r>
      <w:r w:rsidR="00D308B8" w:rsidRPr="00D308B8">
        <w:rPr>
          <w:sz w:val="22"/>
          <w:szCs w:val="22"/>
          <w:lang w:val="fr-FR"/>
        </w:rPr>
        <w:t xml:space="preserve"> promouvoir la mise en œuvre de la présente résolution et</w:t>
      </w:r>
      <w:r w:rsidR="00881724">
        <w:rPr>
          <w:sz w:val="22"/>
          <w:szCs w:val="22"/>
          <w:lang w:val="fr-FR"/>
        </w:rPr>
        <w:t xml:space="preserve"> des lignes directrices connexe</w:t>
      </w:r>
      <w:r w:rsidR="00D308B8" w:rsidRPr="00D308B8">
        <w:rPr>
          <w:sz w:val="22"/>
          <w:szCs w:val="22"/>
          <w:lang w:val="fr-FR"/>
        </w:rPr>
        <w:t xml:space="preserve">s aux niveaux national et local ; </w:t>
      </w:r>
    </w:p>
    <w:p w14:paraId="0E9CF95E" w14:textId="77777777" w:rsidR="007C761C" w:rsidRDefault="007C761C" w:rsidP="00CC4D32">
      <w:pPr>
        <w:widowControl/>
        <w:tabs>
          <w:tab w:val="left" w:pos="426"/>
        </w:tabs>
        <w:autoSpaceDE/>
        <w:autoSpaceDN/>
        <w:adjustRightInd/>
        <w:jc w:val="both"/>
        <w:rPr>
          <w:sz w:val="22"/>
          <w:szCs w:val="22"/>
          <w:lang w:val="fr-FR"/>
        </w:rPr>
      </w:pPr>
    </w:p>
    <w:p w14:paraId="7614D170" w14:textId="463926A9" w:rsidR="007C761C" w:rsidRPr="007C761C" w:rsidRDefault="00881724" w:rsidP="00CC4D32">
      <w:pPr>
        <w:widowControl/>
        <w:tabs>
          <w:tab w:val="left" w:pos="426"/>
        </w:tabs>
        <w:autoSpaceDE/>
        <w:autoSpaceDN/>
        <w:adjustRightInd/>
        <w:jc w:val="both"/>
        <w:rPr>
          <w:sz w:val="22"/>
          <w:szCs w:val="22"/>
          <w:u w:val="single"/>
          <w:lang w:val="fr-FR"/>
        </w:rPr>
      </w:pPr>
      <w:r>
        <w:rPr>
          <w:i/>
          <w:sz w:val="22"/>
          <w:szCs w:val="22"/>
          <w:u w:val="single"/>
          <w:lang w:val="fr-FR"/>
        </w:rPr>
        <w:t>Prenant n</w:t>
      </w:r>
      <w:r w:rsidR="007C761C" w:rsidRPr="007C761C">
        <w:rPr>
          <w:i/>
          <w:sz w:val="22"/>
          <w:szCs w:val="22"/>
          <w:u w:val="single"/>
          <w:lang w:val="fr-FR"/>
        </w:rPr>
        <w:t>ot</w:t>
      </w:r>
      <w:r>
        <w:rPr>
          <w:i/>
          <w:sz w:val="22"/>
          <w:szCs w:val="22"/>
          <w:u w:val="single"/>
          <w:lang w:val="fr-FR"/>
        </w:rPr>
        <w:t>e également</w:t>
      </w:r>
      <w:r>
        <w:rPr>
          <w:sz w:val="22"/>
          <w:szCs w:val="22"/>
          <w:u w:val="single"/>
          <w:lang w:val="fr-FR"/>
        </w:rPr>
        <w:t xml:space="preserve"> du</w:t>
      </w:r>
      <w:r w:rsidR="007C761C" w:rsidRPr="007C761C">
        <w:rPr>
          <w:sz w:val="22"/>
          <w:szCs w:val="22"/>
          <w:u w:val="single"/>
          <w:lang w:val="fr-FR"/>
        </w:rPr>
        <w:t xml:space="preserve"> Plan d’action européen pour pr</w:t>
      </w:r>
      <w:r w:rsidR="000F0687">
        <w:rPr>
          <w:sz w:val="22"/>
          <w:szCs w:val="22"/>
          <w:u w:val="single"/>
          <w:lang w:val="fr-FR"/>
        </w:rPr>
        <w:t xml:space="preserve">évenir les risques </w:t>
      </w:r>
      <w:r w:rsidR="00115880">
        <w:rPr>
          <w:sz w:val="22"/>
          <w:szCs w:val="22"/>
          <w:u w:val="single"/>
          <w:lang w:val="fr-FR"/>
        </w:rPr>
        <w:t>associés</w:t>
      </w:r>
      <w:r w:rsidR="000F0687">
        <w:rPr>
          <w:sz w:val="22"/>
          <w:szCs w:val="22"/>
          <w:u w:val="single"/>
          <w:lang w:val="fr-FR"/>
        </w:rPr>
        <w:t xml:space="preserve"> aux </w:t>
      </w:r>
      <w:r w:rsidR="007C761C" w:rsidRPr="007C761C">
        <w:rPr>
          <w:sz w:val="22"/>
          <w:szCs w:val="22"/>
          <w:u w:val="single"/>
          <w:lang w:val="fr-FR"/>
        </w:rPr>
        <w:t>app</w:t>
      </w:r>
      <w:r w:rsidR="00115880">
        <w:rPr>
          <w:sz w:val="22"/>
          <w:szCs w:val="22"/>
          <w:u w:val="single"/>
          <w:lang w:val="fr-FR"/>
        </w:rPr>
        <w:t>âts empoisonnés au titre du Réseau européen de lutte contre le crime environnemental</w:t>
      </w:r>
      <w:r w:rsidR="007C761C" w:rsidRPr="007C761C">
        <w:rPr>
          <w:sz w:val="22"/>
          <w:szCs w:val="22"/>
          <w:u w:val="single"/>
          <w:lang w:val="fr-FR"/>
        </w:rPr>
        <w:t xml:space="preserve">, financé </w:t>
      </w:r>
      <w:r w:rsidR="00115880">
        <w:rPr>
          <w:sz w:val="22"/>
          <w:szCs w:val="22"/>
          <w:u w:val="single"/>
          <w:lang w:val="fr-FR"/>
        </w:rPr>
        <w:t>par le Programme de soutien</w:t>
      </w:r>
      <w:r w:rsidR="007C761C" w:rsidRPr="007C761C">
        <w:rPr>
          <w:sz w:val="22"/>
          <w:szCs w:val="22"/>
          <w:u w:val="single"/>
          <w:lang w:val="fr-FR"/>
        </w:rPr>
        <w:t xml:space="preserve"> à la justice pénale de l’Union européenne</w:t>
      </w:r>
      <w:r w:rsidR="00CF4BA2">
        <w:rPr>
          <w:sz w:val="22"/>
          <w:szCs w:val="22"/>
          <w:u w:val="single"/>
          <w:lang w:val="fr-FR"/>
        </w:rPr>
        <w:t xml:space="preserve"> afin d’</w:t>
      </w:r>
      <w:r w:rsidR="007C761C" w:rsidRPr="007C761C">
        <w:rPr>
          <w:sz w:val="22"/>
          <w:szCs w:val="22"/>
          <w:u w:val="single"/>
          <w:lang w:val="fr-FR"/>
        </w:rPr>
        <w:t>améliorer la mise en œuvre et l’application de la Directive 2008/99/EC sur la protectio</w:t>
      </w:r>
      <w:r w:rsidR="00CF4BA2">
        <w:rPr>
          <w:sz w:val="22"/>
          <w:szCs w:val="22"/>
          <w:u w:val="single"/>
          <w:lang w:val="fr-FR"/>
        </w:rPr>
        <w:t>n de l’environnement par le</w:t>
      </w:r>
      <w:r w:rsidR="007C761C" w:rsidRPr="007C761C">
        <w:rPr>
          <w:sz w:val="22"/>
          <w:szCs w:val="22"/>
          <w:u w:val="single"/>
          <w:lang w:val="fr-FR"/>
        </w:rPr>
        <w:t xml:space="preserve"> droit </w:t>
      </w:r>
      <w:proofErr w:type="gramStart"/>
      <w:r w:rsidR="007C761C" w:rsidRPr="007C761C">
        <w:rPr>
          <w:sz w:val="22"/>
          <w:szCs w:val="22"/>
          <w:u w:val="single"/>
          <w:lang w:val="fr-FR"/>
        </w:rPr>
        <w:t>pénal;</w:t>
      </w:r>
      <w:proofErr w:type="gramEnd"/>
      <w:r w:rsidR="007C761C" w:rsidRPr="007C761C">
        <w:rPr>
          <w:sz w:val="22"/>
          <w:szCs w:val="22"/>
          <w:u w:val="single"/>
          <w:lang w:val="fr-FR"/>
        </w:rPr>
        <w:t xml:space="preserve"> </w:t>
      </w:r>
    </w:p>
    <w:p w14:paraId="17B3ACFA" w14:textId="77777777" w:rsidR="007C761C" w:rsidRPr="007C761C" w:rsidRDefault="007C761C" w:rsidP="00CC4D32">
      <w:pPr>
        <w:widowControl/>
        <w:tabs>
          <w:tab w:val="left" w:pos="426"/>
        </w:tabs>
        <w:autoSpaceDE/>
        <w:autoSpaceDN/>
        <w:adjustRightInd/>
        <w:jc w:val="both"/>
        <w:rPr>
          <w:sz w:val="22"/>
          <w:szCs w:val="22"/>
          <w:lang w:val="fr-FR"/>
        </w:rPr>
      </w:pPr>
    </w:p>
    <w:p w14:paraId="371751A8" w14:textId="05917701" w:rsidR="007C761C" w:rsidRDefault="00D308B8" w:rsidP="00CC4D32">
      <w:pPr>
        <w:widowControl/>
        <w:tabs>
          <w:tab w:val="left" w:pos="426"/>
        </w:tabs>
        <w:autoSpaceDE/>
        <w:autoSpaceDN/>
        <w:adjustRightInd/>
        <w:jc w:val="both"/>
        <w:rPr>
          <w:sz w:val="22"/>
          <w:szCs w:val="22"/>
          <w:lang w:val="fr-FR"/>
        </w:rPr>
      </w:pPr>
      <w:r w:rsidRPr="007C761C">
        <w:rPr>
          <w:i/>
          <w:sz w:val="22"/>
          <w:szCs w:val="22"/>
          <w:lang w:val="fr-FR"/>
        </w:rPr>
        <w:t xml:space="preserve">Soulignant </w:t>
      </w:r>
      <w:r w:rsidRPr="00D308B8">
        <w:rPr>
          <w:sz w:val="22"/>
          <w:szCs w:val="22"/>
          <w:lang w:val="fr-FR"/>
        </w:rPr>
        <w:t>l’importance fondamentale du renforcement des capacités aux nivea</w:t>
      </w:r>
      <w:r w:rsidR="00A723A6">
        <w:rPr>
          <w:sz w:val="22"/>
          <w:szCs w:val="22"/>
          <w:lang w:val="fr-FR"/>
        </w:rPr>
        <w:t xml:space="preserve">ux national et régional pour une </w:t>
      </w:r>
      <w:r w:rsidRPr="00D308B8">
        <w:rPr>
          <w:sz w:val="22"/>
          <w:szCs w:val="22"/>
          <w:lang w:val="fr-FR"/>
        </w:rPr>
        <w:t xml:space="preserve">mise en œuvre effective de la présente résolution ; </w:t>
      </w:r>
    </w:p>
    <w:p w14:paraId="038DE8BB" w14:textId="77777777" w:rsidR="007C761C" w:rsidRDefault="007C761C" w:rsidP="00CC4D32">
      <w:pPr>
        <w:widowControl/>
        <w:tabs>
          <w:tab w:val="left" w:pos="426"/>
        </w:tabs>
        <w:autoSpaceDE/>
        <w:autoSpaceDN/>
        <w:adjustRightInd/>
        <w:jc w:val="both"/>
        <w:rPr>
          <w:sz w:val="22"/>
          <w:szCs w:val="22"/>
          <w:lang w:val="fr-FR"/>
        </w:rPr>
      </w:pPr>
    </w:p>
    <w:p w14:paraId="2D3A00AE" w14:textId="77777777" w:rsidR="007C761C" w:rsidRDefault="00D308B8" w:rsidP="00CC4D32">
      <w:pPr>
        <w:widowControl/>
        <w:tabs>
          <w:tab w:val="left" w:pos="426"/>
        </w:tabs>
        <w:autoSpaceDE/>
        <w:autoSpaceDN/>
        <w:adjustRightInd/>
        <w:jc w:val="both"/>
        <w:rPr>
          <w:sz w:val="22"/>
          <w:szCs w:val="22"/>
          <w:lang w:val="fr-FR"/>
        </w:rPr>
      </w:pPr>
      <w:r w:rsidRPr="007C761C">
        <w:rPr>
          <w:i/>
          <w:strike/>
          <w:sz w:val="22"/>
          <w:szCs w:val="22"/>
          <w:lang w:val="fr-FR"/>
        </w:rPr>
        <w:t xml:space="preserve">Remerciant </w:t>
      </w:r>
      <w:r w:rsidRPr="007C761C">
        <w:rPr>
          <w:strike/>
          <w:sz w:val="22"/>
          <w:szCs w:val="22"/>
          <w:lang w:val="fr-FR"/>
        </w:rPr>
        <w:t xml:space="preserve">le Gouvernement de la Tunisie pour avoir accueilli l’atelier qui s’est tenu à Tunis du 27 </w:t>
      </w:r>
      <w:proofErr w:type="gramStart"/>
      <w:r w:rsidRPr="007C761C">
        <w:rPr>
          <w:strike/>
          <w:sz w:val="22"/>
          <w:szCs w:val="22"/>
          <w:lang w:val="fr-FR"/>
        </w:rPr>
        <w:t>au 31 mai 2013 afin</w:t>
      </w:r>
      <w:proofErr w:type="gramEnd"/>
      <w:r w:rsidRPr="007C761C">
        <w:rPr>
          <w:strike/>
          <w:sz w:val="22"/>
          <w:szCs w:val="22"/>
          <w:lang w:val="fr-FR"/>
        </w:rPr>
        <w:t xml:space="preserve"> d’évaluer la gravité du problème de l’empoisonnement et de discuter des lignes directrices, ainsi que le Gouvernement suisse et la Fondation européenne de la science pour leur généreux soutien financier à l’organisation de cet atelier</w:t>
      </w:r>
      <w:r w:rsidRPr="00D308B8">
        <w:rPr>
          <w:sz w:val="22"/>
          <w:szCs w:val="22"/>
          <w:lang w:val="fr-FR"/>
        </w:rPr>
        <w:t xml:space="preserve"> ; </w:t>
      </w:r>
    </w:p>
    <w:p w14:paraId="131BE6B6" w14:textId="77777777" w:rsidR="007C761C" w:rsidRDefault="007C761C" w:rsidP="00CC4D32">
      <w:pPr>
        <w:widowControl/>
        <w:tabs>
          <w:tab w:val="left" w:pos="426"/>
        </w:tabs>
        <w:autoSpaceDE/>
        <w:autoSpaceDN/>
        <w:adjustRightInd/>
        <w:jc w:val="both"/>
        <w:rPr>
          <w:sz w:val="22"/>
          <w:szCs w:val="22"/>
          <w:lang w:val="fr-FR"/>
        </w:rPr>
      </w:pPr>
    </w:p>
    <w:p w14:paraId="306E7CF4" w14:textId="77777777" w:rsidR="007C761C" w:rsidRPr="007C761C" w:rsidRDefault="00D308B8" w:rsidP="00A723A6">
      <w:pPr>
        <w:widowControl/>
        <w:tabs>
          <w:tab w:val="left" w:pos="426"/>
        </w:tabs>
        <w:autoSpaceDE/>
        <w:autoSpaceDN/>
        <w:adjustRightInd/>
        <w:spacing w:after="120"/>
        <w:jc w:val="both"/>
        <w:rPr>
          <w:strike/>
          <w:sz w:val="22"/>
          <w:szCs w:val="22"/>
          <w:lang w:val="fr-FR"/>
        </w:rPr>
      </w:pPr>
      <w:r w:rsidRPr="007C761C">
        <w:rPr>
          <w:i/>
          <w:strike/>
          <w:sz w:val="22"/>
          <w:szCs w:val="22"/>
          <w:lang w:val="fr-FR"/>
        </w:rPr>
        <w:t>Prenant note</w:t>
      </w:r>
      <w:r w:rsidRPr="007C761C">
        <w:rPr>
          <w:strike/>
          <w:sz w:val="22"/>
          <w:szCs w:val="22"/>
          <w:lang w:val="fr-FR"/>
        </w:rPr>
        <w:t xml:space="preserve"> de l</w:t>
      </w:r>
      <w:proofErr w:type="gramStart"/>
      <w:r w:rsidRPr="007C761C">
        <w:rPr>
          <w:strike/>
          <w:sz w:val="22"/>
          <w:szCs w:val="22"/>
          <w:lang w:val="fr-FR"/>
        </w:rPr>
        <w:t>’«Examen</w:t>
      </w:r>
      <w:proofErr w:type="gramEnd"/>
      <w:r w:rsidRPr="007C761C">
        <w:rPr>
          <w:strike/>
          <w:sz w:val="22"/>
          <w:szCs w:val="22"/>
          <w:lang w:val="fr-FR"/>
        </w:rPr>
        <w:t xml:space="preserve"> des impacts écologiques de l’empoisonnement sur les oiseaux migrateurs» (UNEP/CMS/COP11/Inf.34) et remerciant les membres du Groupe de travail sur la prévention de l’empoisonnement, la coordonnatrice et le Secrétariat de la CMS pour leur contribution à la production de ce document ; </w:t>
      </w:r>
    </w:p>
    <w:p w14:paraId="6E117EBE" w14:textId="77777777" w:rsidR="007C761C" w:rsidRDefault="007C761C" w:rsidP="00CC4D32">
      <w:pPr>
        <w:widowControl/>
        <w:tabs>
          <w:tab w:val="left" w:pos="426"/>
        </w:tabs>
        <w:autoSpaceDE/>
        <w:autoSpaceDN/>
        <w:adjustRightInd/>
        <w:jc w:val="both"/>
        <w:rPr>
          <w:sz w:val="22"/>
          <w:szCs w:val="22"/>
          <w:lang w:val="fr-FR"/>
        </w:rPr>
      </w:pPr>
    </w:p>
    <w:p w14:paraId="702749DE" w14:textId="77777777" w:rsidR="007C761C" w:rsidRDefault="00D308B8" w:rsidP="007C761C">
      <w:pPr>
        <w:widowControl/>
        <w:tabs>
          <w:tab w:val="left" w:pos="426"/>
        </w:tabs>
        <w:autoSpaceDE/>
        <w:autoSpaceDN/>
        <w:adjustRightInd/>
        <w:jc w:val="center"/>
        <w:rPr>
          <w:i/>
          <w:sz w:val="22"/>
          <w:szCs w:val="22"/>
          <w:lang w:val="fr-FR"/>
        </w:rPr>
      </w:pPr>
      <w:r w:rsidRPr="007C761C">
        <w:rPr>
          <w:i/>
          <w:sz w:val="22"/>
          <w:szCs w:val="22"/>
          <w:lang w:val="fr-FR"/>
        </w:rPr>
        <w:t xml:space="preserve">La Conférence des Parties à la </w:t>
      </w:r>
    </w:p>
    <w:p w14:paraId="303824C7" w14:textId="2E49B39A" w:rsidR="007C761C" w:rsidRPr="007C761C" w:rsidRDefault="00D308B8" w:rsidP="007C761C">
      <w:pPr>
        <w:widowControl/>
        <w:tabs>
          <w:tab w:val="left" w:pos="426"/>
        </w:tabs>
        <w:autoSpaceDE/>
        <w:autoSpaceDN/>
        <w:adjustRightInd/>
        <w:jc w:val="center"/>
        <w:rPr>
          <w:i/>
          <w:sz w:val="22"/>
          <w:szCs w:val="22"/>
          <w:lang w:val="fr-FR"/>
        </w:rPr>
      </w:pPr>
      <w:r w:rsidRPr="007C761C">
        <w:rPr>
          <w:i/>
          <w:sz w:val="22"/>
          <w:szCs w:val="22"/>
          <w:lang w:val="fr-FR"/>
        </w:rPr>
        <w:t>Convention sur la conservation des espèces migratrices appartenant à la faune sauvage</w:t>
      </w:r>
    </w:p>
    <w:p w14:paraId="77DA0001" w14:textId="77777777" w:rsidR="007C761C" w:rsidRDefault="007C761C" w:rsidP="00CC4D32">
      <w:pPr>
        <w:widowControl/>
        <w:tabs>
          <w:tab w:val="left" w:pos="426"/>
        </w:tabs>
        <w:autoSpaceDE/>
        <w:autoSpaceDN/>
        <w:adjustRightInd/>
        <w:jc w:val="both"/>
        <w:rPr>
          <w:sz w:val="22"/>
          <w:szCs w:val="22"/>
          <w:lang w:val="fr-FR"/>
        </w:rPr>
      </w:pPr>
    </w:p>
    <w:p w14:paraId="1579CD99" w14:textId="3956D1A1" w:rsidR="007C761C"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1. </w:t>
      </w:r>
      <w:r w:rsidR="007C761C">
        <w:rPr>
          <w:sz w:val="22"/>
          <w:szCs w:val="22"/>
          <w:lang w:val="fr-FR"/>
        </w:rPr>
        <w:tab/>
      </w:r>
      <w:r w:rsidRPr="00A723A6">
        <w:rPr>
          <w:i/>
          <w:sz w:val="22"/>
          <w:szCs w:val="22"/>
          <w:lang w:val="fr-FR"/>
        </w:rPr>
        <w:t>Adopte</w:t>
      </w:r>
      <w:r w:rsidRPr="00D308B8">
        <w:rPr>
          <w:sz w:val="22"/>
          <w:szCs w:val="22"/>
          <w:lang w:val="fr-FR"/>
        </w:rPr>
        <w:t xml:space="preserve"> les « Lignes directrices pour prévenir l</w:t>
      </w:r>
      <w:r w:rsidR="00A723A6">
        <w:rPr>
          <w:sz w:val="22"/>
          <w:szCs w:val="22"/>
          <w:lang w:val="fr-FR"/>
        </w:rPr>
        <w:t>es risques d’empoisonnement des oiseaux migrateurs » (ci-après</w:t>
      </w:r>
      <w:r w:rsidRPr="00D308B8">
        <w:rPr>
          <w:sz w:val="22"/>
          <w:szCs w:val="22"/>
          <w:lang w:val="fr-FR"/>
        </w:rPr>
        <w:t xml:space="preserve"> </w:t>
      </w:r>
      <w:r w:rsidR="00A723A6">
        <w:rPr>
          <w:sz w:val="22"/>
          <w:szCs w:val="22"/>
          <w:lang w:val="fr-FR"/>
        </w:rPr>
        <w:t xml:space="preserve">« les </w:t>
      </w:r>
      <w:r w:rsidRPr="00D308B8">
        <w:rPr>
          <w:sz w:val="22"/>
          <w:szCs w:val="22"/>
          <w:lang w:val="fr-FR"/>
        </w:rPr>
        <w:t>Lignes directrices</w:t>
      </w:r>
      <w:r w:rsidR="00A723A6">
        <w:rPr>
          <w:sz w:val="22"/>
          <w:szCs w:val="22"/>
          <w:lang w:val="fr-FR"/>
        </w:rPr>
        <w:t> »</w:t>
      </w:r>
      <w:r w:rsidRPr="00D308B8">
        <w:rPr>
          <w:sz w:val="22"/>
          <w:szCs w:val="22"/>
          <w:lang w:val="fr-FR"/>
        </w:rPr>
        <w:t>)</w:t>
      </w:r>
      <w:r w:rsidR="000F4030">
        <w:rPr>
          <w:sz w:val="22"/>
          <w:szCs w:val="22"/>
          <w:lang w:val="fr-FR"/>
        </w:rPr>
        <w:t>, figurant dans l’Annexe 2 d</w:t>
      </w:r>
      <w:r w:rsidRPr="00D308B8">
        <w:rPr>
          <w:sz w:val="22"/>
          <w:szCs w:val="22"/>
          <w:lang w:val="fr-FR"/>
        </w:rPr>
        <w:t xml:space="preserve">u document </w:t>
      </w:r>
      <w:r w:rsidR="000F4030">
        <w:rPr>
          <w:sz w:val="22"/>
          <w:szCs w:val="22"/>
          <w:lang w:val="fr-FR"/>
        </w:rPr>
        <w:t>UNEP</w:t>
      </w:r>
      <w:r w:rsidRPr="00D308B8">
        <w:rPr>
          <w:sz w:val="22"/>
          <w:szCs w:val="22"/>
          <w:lang w:val="fr-FR"/>
        </w:rPr>
        <w:t xml:space="preserve">/CMS/COP11/Doc.23.1.2, </w:t>
      </w:r>
      <w:r w:rsidR="00A723A6">
        <w:rPr>
          <w:sz w:val="22"/>
          <w:szCs w:val="22"/>
          <w:lang w:val="fr-FR"/>
        </w:rPr>
        <w:t xml:space="preserve">en </w:t>
      </w:r>
      <w:r w:rsidRPr="00D308B8">
        <w:rPr>
          <w:sz w:val="22"/>
          <w:szCs w:val="22"/>
          <w:lang w:val="fr-FR"/>
        </w:rPr>
        <w:t xml:space="preserve">reconnaissant qu'il appartient à chaque Partie de déterminer si ou comment mettre en œuvre les actions recommandées, compte tenu de l'étendue et du type de risque d'empoisonnement, tout en tenant compte de leurs obligations et engagements internationaux, y compris ceux envers la Convention ; </w:t>
      </w:r>
    </w:p>
    <w:p w14:paraId="364A5E3C" w14:textId="77777777" w:rsidR="007C761C" w:rsidRDefault="007C761C" w:rsidP="007C761C">
      <w:pPr>
        <w:widowControl/>
        <w:tabs>
          <w:tab w:val="left" w:pos="426"/>
        </w:tabs>
        <w:autoSpaceDE/>
        <w:autoSpaceDN/>
        <w:adjustRightInd/>
        <w:ind w:left="426" w:hanging="426"/>
        <w:jc w:val="both"/>
        <w:rPr>
          <w:sz w:val="22"/>
          <w:szCs w:val="22"/>
          <w:lang w:val="fr-FR"/>
        </w:rPr>
      </w:pPr>
    </w:p>
    <w:p w14:paraId="5E0DF086" w14:textId="5A7B50A3" w:rsidR="007C761C" w:rsidRPr="007C761C" w:rsidRDefault="007C761C" w:rsidP="007C761C">
      <w:pPr>
        <w:widowControl/>
        <w:tabs>
          <w:tab w:val="left" w:pos="426"/>
        </w:tabs>
        <w:autoSpaceDE/>
        <w:autoSpaceDN/>
        <w:adjustRightInd/>
        <w:ind w:left="426" w:hanging="426"/>
        <w:jc w:val="both"/>
        <w:rPr>
          <w:sz w:val="22"/>
          <w:szCs w:val="22"/>
          <w:u w:val="single"/>
          <w:lang w:val="fr-FR"/>
        </w:rPr>
      </w:pPr>
      <w:r w:rsidRPr="007C761C">
        <w:rPr>
          <w:sz w:val="22"/>
          <w:szCs w:val="22"/>
          <w:u w:val="single"/>
          <w:lang w:val="fr-FR"/>
        </w:rPr>
        <w:t>1.</w:t>
      </w:r>
      <w:r w:rsidR="00B476E8">
        <w:rPr>
          <w:sz w:val="22"/>
          <w:szCs w:val="22"/>
          <w:u w:val="single"/>
          <w:lang w:val="fr-FR"/>
        </w:rPr>
        <w:t xml:space="preserve"> </w:t>
      </w:r>
      <w:r w:rsidRPr="007C761C">
        <w:rPr>
          <w:sz w:val="22"/>
          <w:szCs w:val="22"/>
          <w:u w:val="single"/>
          <w:lang w:val="fr-FR"/>
        </w:rPr>
        <w:t xml:space="preserve">bis </w:t>
      </w:r>
      <w:r w:rsidRPr="007C761C">
        <w:rPr>
          <w:i/>
          <w:sz w:val="22"/>
          <w:szCs w:val="22"/>
          <w:u w:val="single"/>
          <w:lang w:val="fr-FR"/>
        </w:rPr>
        <w:t>Adopte</w:t>
      </w:r>
      <w:r w:rsidRPr="007C761C">
        <w:rPr>
          <w:sz w:val="22"/>
          <w:szCs w:val="22"/>
          <w:u w:val="single"/>
          <w:lang w:val="fr-FR"/>
        </w:rPr>
        <w:t xml:space="preserve"> </w:t>
      </w:r>
      <w:r w:rsidR="00A723A6">
        <w:rPr>
          <w:sz w:val="22"/>
          <w:szCs w:val="22"/>
          <w:u w:val="single"/>
          <w:lang w:val="fr-FR"/>
        </w:rPr>
        <w:t xml:space="preserve">le mandat du </w:t>
      </w:r>
      <w:r w:rsidR="00292877">
        <w:rPr>
          <w:sz w:val="22"/>
          <w:szCs w:val="22"/>
          <w:u w:val="single"/>
          <w:lang w:val="fr-FR"/>
        </w:rPr>
        <w:t>groupe spécial sur le plomb</w:t>
      </w:r>
      <w:r w:rsidR="00A723A6">
        <w:rPr>
          <w:sz w:val="22"/>
          <w:szCs w:val="22"/>
          <w:u w:val="single"/>
          <w:lang w:val="fr-FR"/>
        </w:rPr>
        <w:t xml:space="preserve">, figurant </w:t>
      </w:r>
      <w:r w:rsidRPr="007C761C">
        <w:rPr>
          <w:sz w:val="22"/>
          <w:szCs w:val="22"/>
          <w:u w:val="single"/>
          <w:lang w:val="fr-FR"/>
        </w:rPr>
        <w:t xml:space="preserve">dans l’Annexe 3 à la présente résolution, et </w:t>
      </w:r>
      <w:r w:rsidRPr="007C761C">
        <w:rPr>
          <w:i/>
          <w:sz w:val="22"/>
          <w:szCs w:val="22"/>
          <w:u w:val="single"/>
          <w:lang w:val="fr-FR"/>
        </w:rPr>
        <w:t>prend note</w:t>
      </w:r>
      <w:r w:rsidR="00A723A6">
        <w:rPr>
          <w:sz w:val="22"/>
          <w:szCs w:val="22"/>
          <w:u w:val="single"/>
          <w:lang w:val="fr-FR"/>
        </w:rPr>
        <w:t xml:space="preserve"> du rapport de </w:t>
      </w:r>
      <w:r w:rsidRPr="007C761C">
        <w:rPr>
          <w:sz w:val="22"/>
          <w:szCs w:val="22"/>
          <w:u w:val="single"/>
          <w:lang w:val="fr-FR"/>
        </w:rPr>
        <w:t xml:space="preserve">la </w:t>
      </w:r>
      <w:r>
        <w:rPr>
          <w:sz w:val="22"/>
          <w:szCs w:val="22"/>
          <w:u w:val="single"/>
          <w:lang w:val="fr-FR"/>
        </w:rPr>
        <w:t>2</w:t>
      </w:r>
      <w:r w:rsidRPr="007C761C">
        <w:rPr>
          <w:sz w:val="22"/>
          <w:szCs w:val="22"/>
          <w:u w:val="single"/>
          <w:vertAlign w:val="superscript"/>
          <w:lang w:val="fr-FR"/>
        </w:rPr>
        <w:t>e</w:t>
      </w:r>
      <w:r>
        <w:rPr>
          <w:sz w:val="22"/>
          <w:szCs w:val="22"/>
          <w:u w:val="single"/>
          <w:lang w:val="fr-FR"/>
        </w:rPr>
        <w:t xml:space="preserve"> réunion du Groupe de travail sur la prévention </w:t>
      </w:r>
      <w:r>
        <w:rPr>
          <w:sz w:val="22"/>
          <w:szCs w:val="22"/>
          <w:u w:val="single"/>
          <w:lang w:val="fr-FR"/>
        </w:rPr>
        <w:lastRenderedPageBreak/>
        <w:t>de l’empoisonnement (U</w:t>
      </w:r>
      <w:r w:rsidR="00A723A6">
        <w:rPr>
          <w:sz w:val="22"/>
          <w:szCs w:val="22"/>
          <w:u w:val="single"/>
          <w:lang w:val="fr-FR"/>
        </w:rPr>
        <w:t>NEP/CMS/COP12/Inf.8) et de son p</w:t>
      </w:r>
      <w:r>
        <w:rPr>
          <w:sz w:val="22"/>
          <w:szCs w:val="22"/>
          <w:u w:val="single"/>
          <w:lang w:val="fr-FR"/>
        </w:rPr>
        <w:t>rogramme de travail (</w:t>
      </w:r>
      <w:r w:rsidRPr="007C761C">
        <w:rPr>
          <w:sz w:val="22"/>
          <w:szCs w:val="22"/>
          <w:u w:val="single"/>
          <w:lang w:val="fr-FR"/>
        </w:rPr>
        <w:t>UNEP/CMS/COP12/Inf.9</w:t>
      </w:r>
      <w:proofErr w:type="gramStart"/>
      <w:r w:rsidRPr="007C761C">
        <w:rPr>
          <w:sz w:val="22"/>
          <w:szCs w:val="22"/>
          <w:u w:val="single"/>
          <w:lang w:val="fr-FR"/>
        </w:rPr>
        <w:t>);</w:t>
      </w:r>
      <w:proofErr w:type="gramEnd"/>
    </w:p>
    <w:p w14:paraId="7E57324E" w14:textId="7C074079" w:rsidR="007C761C" w:rsidRPr="007C761C" w:rsidRDefault="007C761C" w:rsidP="001E47F6">
      <w:pPr>
        <w:widowControl/>
        <w:tabs>
          <w:tab w:val="left" w:pos="426"/>
        </w:tabs>
        <w:autoSpaceDE/>
        <w:autoSpaceDN/>
        <w:adjustRightInd/>
        <w:jc w:val="both"/>
        <w:rPr>
          <w:sz w:val="22"/>
          <w:szCs w:val="22"/>
          <w:lang w:val="fr-FR"/>
        </w:rPr>
      </w:pPr>
    </w:p>
    <w:p w14:paraId="7DBC3053" w14:textId="1B09349A" w:rsidR="007C761C"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2. </w:t>
      </w:r>
      <w:r w:rsidR="007C761C">
        <w:rPr>
          <w:sz w:val="22"/>
          <w:szCs w:val="22"/>
          <w:lang w:val="fr-FR"/>
        </w:rPr>
        <w:tab/>
      </w:r>
      <w:r w:rsidRPr="007C761C">
        <w:rPr>
          <w:i/>
          <w:sz w:val="22"/>
          <w:szCs w:val="22"/>
          <w:lang w:val="fr-FR"/>
        </w:rPr>
        <w:t>Prie instamment</w:t>
      </w:r>
      <w:r w:rsidRPr="00D308B8">
        <w:rPr>
          <w:sz w:val="22"/>
          <w:szCs w:val="22"/>
          <w:lang w:val="fr-FR"/>
        </w:rPr>
        <w:t xml:space="preserve"> les Parties et </w:t>
      </w:r>
      <w:r w:rsidRPr="000F4030">
        <w:rPr>
          <w:i/>
          <w:sz w:val="22"/>
          <w:szCs w:val="22"/>
          <w:lang w:val="fr-FR"/>
        </w:rPr>
        <w:t>encourage</w:t>
      </w:r>
      <w:r w:rsidRPr="00D308B8">
        <w:rPr>
          <w:sz w:val="22"/>
          <w:szCs w:val="22"/>
          <w:lang w:val="fr-FR"/>
        </w:rPr>
        <w:t xml:space="preserve"> les non-Parties à diffuser et à mettre en œuvre ces Lignes directrices, le cas échéant</w:t>
      </w:r>
      <w:r w:rsidR="00A723A6">
        <w:rPr>
          <w:sz w:val="22"/>
          <w:szCs w:val="22"/>
          <w:lang w:val="fr-FR"/>
        </w:rPr>
        <w:t>,</w:t>
      </w:r>
      <w:r w:rsidRPr="00D308B8">
        <w:rPr>
          <w:sz w:val="22"/>
          <w:szCs w:val="22"/>
          <w:lang w:val="fr-FR"/>
        </w:rPr>
        <w:t xml:space="preserve"> dans toutes les voies de migrati</w:t>
      </w:r>
      <w:r w:rsidR="00A723A6">
        <w:rPr>
          <w:sz w:val="22"/>
          <w:szCs w:val="22"/>
          <w:lang w:val="fr-FR"/>
        </w:rPr>
        <w:t>on, et à traduire si besoin les Lignes directrices dans</w:t>
      </w:r>
      <w:r w:rsidRPr="00D308B8">
        <w:rPr>
          <w:sz w:val="22"/>
          <w:szCs w:val="22"/>
          <w:lang w:val="fr-FR"/>
        </w:rPr>
        <w:t xml:space="preserve"> différentes langues pour élargir leur diffusion et leur utilisation ; </w:t>
      </w:r>
    </w:p>
    <w:p w14:paraId="317D5C91" w14:textId="77777777" w:rsidR="007C761C" w:rsidRDefault="007C761C" w:rsidP="007C761C">
      <w:pPr>
        <w:widowControl/>
        <w:tabs>
          <w:tab w:val="left" w:pos="426"/>
        </w:tabs>
        <w:autoSpaceDE/>
        <w:autoSpaceDN/>
        <w:adjustRightInd/>
        <w:ind w:left="426" w:hanging="426"/>
        <w:jc w:val="both"/>
        <w:rPr>
          <w:sz w:val="22"/>
          <w:szCs w:val="22"/>
          <w:lang w:val="fr-FR"/>
        </w:rPr>
      </w:pPr>
    </w:p>
    <w:p w14:paraId="0D138948" w14:textId="78CA04D0" w:rsidR="00B476E8" w:rsidRDefault="007C761C" w:rsidP="007C761C">
      <w:pPr>
        <w:widowControl/>
        <w:tabs>
          <w:tab w:val="left" w:pos="426"/>
        </w:tabs>
        <w:autoSpaceDE/>
        <w:autoSpaceDN/>
        <w:adjustRightInd/>
        <w:ind w:left="426" w:hanging="426"/>
        <w:jc w:val="both"/>
        <w:rPr>
          <w:sz w:val="22"/>
          <w:szCs w:val="22"/>
          <w:lang w:val="fr-FR"/>
        </w:rPr>
      </w:pPr>
      <w:r>
        <w:rPr>
          <w:sz w:val="22"/>
          <w:szCs w:val="22"/>
          <w:lang w:val="fr-FR"/>
        </w:rPr>
        <w:t>3.</w:t>
      </w:r>
      <w:r>
        <w:rPr>
          <w:sz w:val="22"/>
          <w:szCs w:val="22"/>
          <w:lang w:val="fr-FR"/>
        </w:rPr>
        <w:tab/>
      </w:r>
      <w:r w:rsidR="00D308B8" w:rsidRPr="007C761C">
        <w:rPr>
          <w:i/>
          <w:sz w:val="22"/>
          <w:szCs w:val="22"/>
          <w:lang w:val="fr-FR"/>
        </w:rPr>
        <w:t>Encourage</w:t>
      </w:r>
      <w:r w:rsidR="00D308B8" w:rsidRPr="00D308B8">
        <w:rPr>
          <w:sz w:val="22"/>
          <w:szCs w:val="22"/>
          <w:lang w:val="fr-FR"/>
        </w:rPr>
        <w:t xml:space="preserve"> les Parties à la CMS, et </w:t>
      </w:r>
      <w:r w:rsidR="00D308B8" w:rsidRPr="00A723A6">
        <w:rPr>
          <w:i/>
          <w:sz w:val="22"/>
          <w:szCs w:val="22"/>
          <w:lang w:val="fr-FR"/>
        </w:rPr>
        <w:t xml:space="preserve">invite </w:t>
      </w:r>
      <w:r w:rsidR="00D308B8" w:rsidRPr="00D308B8">
        <w:rPr>
          <w:sz w:val="22"/>
          <w:szCs w:val="22"/>
          <w:lang w:val="fr-FR"/>
        </w:rPr>
        <w:t>les Parties et les Signataires des instruments de la Famille CMS à identifier au sein des voies de migration les zones géographiques où l’empoisonnement est à l’origine d’une importante mortalité ou morbidit</w:t>
      </w:r>
      <w:r w:rsidR="00A723A6">
        <w:rPr>
          <w:sz w:val="22"/>
          <w:szCs w:val="22"/>
          <w:lang w:val="fr-FR"/>
        </w:rPr>
        <w:t xml:space="preserve">é des oiseaux migrateurs, et à </w:t>
      </w:r>
      <w:r w:rsidR="00D308B8" w:rsidRPr="00D308B8">
        <w:rPr>
          <w:sz w:val="22"/>
          <w:szCs w:val="22"/>
          <w:lang w:val="fr-FR"/>
        </w:rPr>
        <w:t xml:space="preserve">se préoccuper </w:t>
      </w:r>
      <w:r w:rsidR="00A723A6">
        <w:rPr>
          <w:sz w:val="22"/>
          <w:szCs w:val="22"/>
          <w:lang w:val="fr-FR"/>
        </w:rPr>
        <w:t>prioritairement</w:t>
      </w:r>
      <w:r w:rsidR="00D308B8" w:rsidRPr="00D308B8">
        <w:rPr>
          <w:sz w:val="22"/>
          <w:szCs w:val="22"/>
          <w:lang w:val="fr-FR"/>
        </w:rPr>
        <w:t xml:space="preserve"> de ces z</w:t>
      </w:r>
      <w:r w:rsidR="00B476E8">
        <w:rPr>
          <w:sz w:val="22"/>
          <w:szCs w:val="22"/>
          <w:lang w:val="fr-FR"/>
        </w:rPr>
        <w:t xml:space="preserve">ones en y appliquant les Lignes </w:t>
      </w:r>
      <w:r w:rsidR="00A723A6">
        <w:rPr>
          <w:sz w:val="22"/>
          <w:szCs w:val="22"/>
          <w:lang w:val="fr-FR"/>
        </w:rPr>
        <w:t>directrices, selon qu’il convient</w:t>
      </w:r>
      <w:r w:rsidR="00D308B8" w:rsidRPr="00D308B8">
        <w:rPr>
          <w:sz w:val="22"/>
          <w:szCs w:val="22"/>
          <w:lang w:val="fr-FR"/>
        </w:rPr>
        <w:t xml:space="preserve"> ; </w:t>
      </w:r>
    </w:p>
    <w:p w14:paraId="59A270E6" w14:textId="77777777" w:rsidR="00B476E8" w:rsidRDefault="00B476E8" w:rsidP="007C761C">
      <w:pPr>
        <w:widowControl/>
        <w:tabs>
          <w:tab w:val="left" w:pos="426"/>
        </w:tabs>
        <w:autoSpaceDE/>
        <w:autoSpaceDN/>
        <w:adjustRightInd/>
        <w:ind w:left="426" w:hanging="426"/>
        <w:jc w:val="both"/>
        <w:rPr>
          <w:sz w:val="22"/>
          <w:szCs w:val="22"/>
          <w:lang w:val="fr-FR"/>
        </w:rPr>
      </w:pPr>
    </w:p>
    <w:p w14:paraId="0D8F147D" w14:textId="357DD33A" w:rsidR="00B476E8"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4. </w:t>
      </w:r>
      <w:r w:rsidR="00B476E8">
        <w:rPr>
          <w:sz w:val="22"/>
          <w:szCs w:val="22"/>
          <w:lang w:val="fr-FR"/>
        </w:rPr>
        <w:tab/>
      </w:r>
      <w:r w:rsidRPr="00B476E8">
        <w:rPr>
          <w:i/>
          <w:sz w:val="22"/>
          <w:szCs w:val="22"/>
          <w:lang w:val="fr-FR"/>
        </w:rPr>
        <w:t>Prie instamment</w:t>
      </w:r>
      <w:r w:rsidRPr="00D308B8">
        <w:rPr>
          <w:sz w:val="22"/>
          <w:szCs w:val="22"/>
          <w:lang w:val="fr-FR"/>
        </w:rPr>
        <w:t xml:space="preserve"> le Secrétariat de consulter régulièrement les </w:t>
      </w:r>
      <w:r w:rsidR="00A723A6">
        <w:rPr>
          <w:sz w:val="22"/>
          <w:szCs w:val="22"/>
          <w:lang w:val="fr-FR"/>
        </w:rPr>
        <w:t>parties prenantes concernées, y compris</w:t>
      </w:r>
      <w:r w:rsidRPr="00D308B8">
        <w:rPr>
          <w:sz w:val="22"/>
          <w:szCs w:val="22"/>
          <w:lang w:val="fr-FR"/>
        </w:rPr>
        <w:t xml:space="preserve"> les organisme</w:t>
      </w:r>
      <w:r w:rsidR="00A723A6">
        <w:rPr>
          <w:sz w:val="22"/>
          <w:szCs w:val="22"/>
          <w:lang w:val="fr-FR"/>
        </w:rPr>
        <w:t>s gouvernementaux, les établissement</w:t>
      </w:r>
      <w:r w:rsidRPr="00D308B8">
        <w:rPr>
          <w:sz w:val="22"/>
          <w:szCs w:val="22"/>
          <w:lang w:val="fr-FR"/>
        </w:rPr>
        <w:t>s scientifiques, les organisations non gouvernementales et les secteurs de l’agriculture, de l’industrie pharmaceutique, de la chasse et de la p</w:t>
      </w:r>
      <w:r w:rsidR="00A723A6">
        <w:rPr>
          <w:sz w:val="22"/>
          <w:szCs w:val="22"/>
          <w:lang w:val="fr-FR"/>
        </w:rPr>
        <w:t>êche, afin de surveiller l’impact</w:t>
      </w:r>
      <w:r w:rsidRPr="00D308B8">
        <w:rPr>
          <w:sz w:val="22"/>
          <w:szCs w:val="22"/>
          <w:lang w:val="fr-FR"/>
        </w:rPr>
        <w:t xml:space="preserve"> de l’empoisonnement sur les oiseaux migrateurs et d’appuyer l’élaboration de stratégies nationales et de pl</w:t>
      </w:r>
      <w:r w:rsidR="00A723A6">
        <w:rPr>
          <w:sz w:val="22"/>
          <w:szCs w:val="22"/>
          <w:lang w:val="fr-FR"/>
        </w:rPr>
        <w:t>ans de mise en œuvre sectoriels, selon que de besoin</w:t>
      </w:r>
      <w:r w:rsidR="00B476E8">
        <w:rPr>
          <w:sz w:val="22"/>
          <w:szCs w:val="22"/>
          <w:lang w:val="fr-FR"/>
        </w:rPr>
        <w:t xml:space="preserve"> ;</w:t>
      </w:r>
      <w:r w:rsidRPr="00D308B8">
        <w:rPr>
          <w:sz w:val="22"/>
          <w:szCs w:val="22"/>
          <w:lang w:val="fr-FR"/>
        </w:rPr>
        <w:t xml:space="preserve"> </w:t>
      </w:r>
    </w:p>
    <w:p w14:paraId="5569E4B8" w14:textId="77777777" w:rsidR="00B476E8" w:rsidRDefault="00B476E8" w:rsidP="007C761C">
      <w:pPr>
        <w:widowControl/>
        <w:tabs>
          <w:tab w:val="left" w:pos="426"/>
        </w:tabs>
        <w:autoSpaceDE/>
        <w:autoSpaceDN/>
        <w:adjustRightInd/>
        <w:ind w:left="426" w:hanging="426"/>
        <w:jc w:val="both"/>
        <w:rPr>
          <w:sz w:val="22"/>
          <w:szCs w:val="22"/>
          <w:lang w:val="fr-FR"/>
        </w:rPr>
      </w:pPr>
    </w:p>
    <w:p w14:paraId="35D30940" w14:textId="6C719B37" w:rsidR="00B476E8"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5. </w:t>
      </w:r>
      <w:r w:rsidR="00B476E8">
        <w:rPr>
          <w:sz w:val="22"/>
          <w:szCs w:val="22"/>
          <w:lang w:val="fr-FR"/>
        </w:rPr>
        <w:tab/>
      </w:r>
      <w:r w:rsidRPr="00B476E8">
        <w:rPr>
          <w:i/>
          <w:sz w:val="22"/>
          <w:szCs w:val="22"/>
          <w:lang w:val="fr-FR"/>
        </w:rPr>
        <w:t>Encourage</w:t>
      </w:r>
      <w:r w:rsidRPr="00D308B8">
        <w:rPr>
          <w:sz w:val="22"/>
          <w:szCs w:val="22"/>
          <w:lang w:val="fr-FR"/>
        </w:rPr>
        <w:t xml:space="preserve"> les Parties à la CMS à suivre et à</w:t>
      </w:r>
      <w:r w:rsidR="00B476E8">
        <w:rPr>
          <w:sz w:val="22"/>
          <w:szCs w:val="22"/>
          <w:lang w:val="fr-FR"/>
        </w:rPr>
        <w:t xml:space="preserve"> </w:t>
      </w:r>
      <w:r w:rsidRPr="00D308B8">
        <w:rPr>
          <w:sz w:val="22"/>
          <w:szCs w:val="22"/>
          <w:lang w:val="fr-FR"/>
        </w:rPr>
        <w:t>évaluer régulièrement l’impact de l’empoisonnement sur les espèces d’oiseaux migrateurs au niveau national, ainsi que l’effic</w:t>
      </w:r>
      <w:r w:rsidR="00A723A6">
        <w:rPr>
          <w:sz w:val="22"/>
          <w:szCs w:val="22"/>
          <w:lang w:val="fr-FR"/>
        </w:rPr>
        <w:t>acité des mesures prises</w:t>
      </w:r>
      <w:r w:rsidRPr="00D308B8">
        <w:rPr>
          <w:sz w:val="22"/>
          <w:szCs w:val="22"/>
          <w:lang w:val="fr-FR"/>
        </w:rPr>
        <w:t xml:space="preserve"> pour empêcher, minimiser, réd</w:t>
      </w:r>
      <w:r w:rsidR="00A723A6">
        <w:rPr>
          <w:sz w:val="22"/>
          <w:szCs w:val="22"/>
          <w:lang w:val="fr-FR"/>
        </w:rPr>
        <w:t>uire ou contrôler les effet</w:t>
      </w:r>
      <w:r w:rsidRPr="00D308B8">
        <w:rPr>
          <w:sz w:val="22"/>
          <w:szCs w:val="22"/>
          <w:lang w:val="fr-FR"/>
        </w:rPr>
        <w:t xml:space="preserve">s de </w:t>
      </w:r>
      <w:r w:rsidR="00A723A6">
        <w:rPr>
          <w:sz w:val="22"/>
          <w:szCs w:val="22"/>
          <w:lang w:val="fr-FR"/>
        </w:rPr>
        <w:t>l’empoisonnement, selon qu’il convient</w:t>
      </w:r>
      <w:r w:rsidRPr="00D308B8">
        <w:rPr>
          <w:sz w:val="22"/>
          <w:szCs w:val="22"/>
          <w:lang w:val="fr-FR"/>
        </w:rPr>
        <w:t xml:space="preserve"> ; </w:t>
      </w:r>
    </w:p>
    <w:p w14:paraId="0D041129" w14:textId="77777777" w:rsidR="00B476E8" w:rsidRDefault="00B476E8" w:rsidP="007C761C">
      <w:pPr>
        <w:widowControl/>
        <w:tabs>
          <w:tab w:val="left" w:pos="426"/>
        </w:tabs>
        <w:autoSpaceDE/>
        <w:autoSpaceDN/>
        <w:adjustRightInd/>
        <w:ind w:left="426" w:hanging="426"/>
        <w:jc w:val="both"/>
        <w:rPr>
          <w:sz w:val="22"/>
          <w:szCs w:val="22"/>
          <w:lang w:val="fr-FR"/>
        </w:rPr>
      </w:pPr>
    </w:p>
    <w:p w14:paraId="27F7FA33" w14:textId="69C7F075" w:rsidR="00B476E8"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6. </w:t>
      </w:r>
      <w:r w:rsidR="00B476E8">
        <w:rPr>
          <w:sz w:val="22"/>
          <w:szCs w:val="22"/>
          <w:lang w:val="fr-FR"/>
        </w:rPr>
        <w:tab/>
      </w:r>
      <w:r w:rsidRPr="00B476E8">
        <w:rPr>
          <w:i/>
          <w:sz w:val="22"/>
          <w:szCs w:val="22"/>
          <w:lang w:val="fr-FR"/>
        </w:rPr>
        <w:t xml:space="preserve">Invite </w:t>
      </w:r>
      <w:r w:rsidRPr="00D308B8">
        <w:rPr>
          <w:sz w:val="22"/>
          <w:szCs w:val="22"/>
          <w:lang w:val="fr-FR"/>
        </w:rPr>
        <w:t xml:space="preserve">les Parties et non-Parties, y </w:t>
      </w:r>
      <w:r w:rsidR="00A723A6">
        <w:rPr>
          <w:sz w:val="22"/>
          <w:szCs w:val="22"/>
          <w:lang w:val="fr-FR"/>
        </w:rPr>
        <w:t>compris les organisations inter</w:t>
      </w:r>
      <w:r w:rsidRPr="00D308B8">
        <w:rPr>
          <w:sz w:val="22"/>
          <w:szCs w:val="22"/>
          <w:lang w:val="fr-FR"/>
        </w:rPr>
        <w:t>gouvernementales et les autres institutio</w:t>
      </w:r>
      <w:r w:rsidR="00A723A6">
        <w:rPr>
          <w:sz w:val="22"/>
          <w:szCs w:val="22"/>
          <w:lang w:val="fr-FR"/>
        </w:rPr>
        <w:t xml:space="preserve">ns compétentes, </w:t>
      </w:r>
      <w:r w:rsidRPr="00D308B8">
        <w:rPr>
          <w:sz w:val="22"/>
          <w:szCs w:val="22"/>
          <w:lang w:val="fr-FR"/>
        </w:rPr>
        <w:t>à élaborer des stratégies de lutte contre l’empoisonnement ou à inclure des mesures contenues dans la présente résolution et dans les</w:t>
      </w:r>
      <w:r w:rsidR="00A723A6">
        <w:rPr>
          <w:sz w:val="22"/>
          <w:szCs w:val="22"/>
          <w:lang w:val="fr-FR"/>
        </w:rPr>
        <w:t xml:space="preserve"> Lignes directrices dans leurs s</w:t>
      </w:r>
      <w:r w:rsidRPr="00D308B8">
        <w:rPr>
          <w:sz w:val="22"/>
          <w:szCs w:val="22"/>
          <w:lang w:val="fr-FR"/>
        </w:rPr>
        <w:t>tratégies et plans d'action nationaux pour la biodiversité (SPANB) ou da</w:t>
      </w:r>
      <w:r w:rsidR="00A723A6">
        <w:rPr>
          <w:sz w:val="22"/>
          <w:szCs w:val="22"/>
          <w:lang w:val="fr-FR"/>
        </w:rPr>
        <w:t xml:space="preserve">ns la législation pertinente, selon qu’il convient, afin de prévenir, minimiser, réduire ou </w:t>
      </w:r>
      <w:r w:rsidRPr="00D308B8">
        <w:rPr>
          <w:sz w:val="22"/>
          <w:szCs w:val="22"/>
          <w:lang w:val="fr-FR"/>
        </w:rPr>
        <w:t>contrôle</w:t>
      </w:r>
      <w:r w:rsidR="00A723A6">
        <w:rPr>
          <w:sz w:val="22"/>
          <w:szCs w:val="22"/>
          <w:lang w:val="fr-FR"/>
        </w:rPr>
        <w:t xml:space="preserve">r </w:t>
      </w:r>
      <w:r w:rsidRPr="00D308B8">
        <w:rPr>
          <w:sz w:val="22"/>
          <w:szCs w:val="22"/>
          <w:lang w:val="fr-FR"/>
        </w:rPr>
        <w:t xml:space="preserve">l’impact de l’empoisonnement sur les espèces d’oiseaux migrateurs ; </w:t>
      </w:r>
    </w:p>
    <w:p w14:paraId="734D2872" w14:textId="77777777" w:rsidR="00B476E8" w:rsidRDefault="00B476E8" w:rsidP="007C761C">
      <w:pPr>
        <w:widowControl/>
        <w:tabs>
          <w:tab w:val="left" w:pos="426"/>
        </w:tabs>
        <w:autoSpaceDE/>
        <w:autoSpaceDN/>
        <w:adjustRightInd/>
        <w:ind w:left="426" w:hanging="426"/>
        <w:jc w:val="both"/>
        <w:rPr>
          <w:sz w:val="22"/>
          <w:szCs w:val="22"/>
          <w:lang w:val="fr-FR"/>
        </w:rPr>
      </w:pPr>
    </w:p>
    <w:p w14:paraId="3EBA7145" w14:textId="44E518D1" w:rsidR="00B476E8"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7. </w:t>
      </w:r>
      <w:r w:rsidR="00B476E8">
        <w:rPr>
          <w:sz w:val="22"/>
          <w:szCs w:val="22"/>
          <w:lang w:val="fr-FR"/>
        </w:rPr>
        <w:tab/>
      </w:r>
      <w:r w:rsidRPr="00B476E8">
        <w:rPr>
          <w:i/>
          <w:sz w:val="22"/>
          <w:szCs w:val="22"/>
          <w:lang w:val="fr-FR"/>
        </w:rPr>
        <w:t>Charge</w:t>
      </w:r>
      <w:r w:rsidRPr="00D308B8">
        <w:rPr>
          <w:sz w:val="22"/>
          <w:szCs w:val="22"/>
          <w:lang w:val="fr-FR"/>
        </w:rPr>
        <w:t xml:space="preserve"> le Secrétariat, en coopération étroite avec les instruments pertinents de la CMS, d’assurer la liaison avec le Secrétariat de la Convention de Berne et d’autres organisations internationales compétentes, afin d’actualiser les Ligne</w:t>
      </w:r>
      <w:r w:rsidR="00A723A6">
        <w:rPr>
          <w:sz w:val="22"/>
          <w:szCs w:val="22"/>
          <w:lang w:val="fr-FR"/>
        </w:rPr>
        <w:t>s directrices, selon que de besoin</w:t>
      </w:r>
      <w:r w:rsidRPr="00D308B8">
        <w:rPr>
          <w:sz w:val="22"/>
          <w:szCs w:val="22"/>
          <w:lang w:val="fr-FR"/>
        </w:rPr>
        <w:t xml:space="preserve">, et </w:t>
      </w:r>
      <w:r w:rsidRPr="00A723A6">
        <w:rPr>
          <w:i/>
          <w:sz w:val="22"/>
          <w:szCs w:val="22"/>
          <w:lang w:val="fr-FR"/>
        </w:rPr>
        <w:t>invite</w:t>
      </w:r>
      <w:r w:rsidRPr="00D308B8">
        <w:rPr>
          <w:sz w:val="22"/>
          <w:szCs w:val="22"/>
          <w:lang w:val="fr-FR"/>
        </w:rPr>
        <w:t xml:space="preserve"> les Parties à contribuer à la diffusion et à l’actualisation des Lignes directrices ; </w:t>
      </w:r>
    </w:p>
    <w:p w14:paraId="3568F39A" w14:textId="77777777" w:rsidR="00B476E8" w:rsidRDefault="00B476E8" w:rsidP="007C761C">
      <w:pPr>
        <w:widowControl/>
        <w:tabs>
          <w:tab w:val="left" w:pos="426"/>
        </w:tabs>
        <w:autoSpaceDE/>
        <w:autoSpaceDN/>
        <w:adjustRightInd/>
        <w:ind w:left="426" w:hanging="426"/>
        <w:jc w:val="both"/>
        <w:rPr>
          <w:sz w:val="22"/>
          <w:szCs w:val="22"/>
          <w:lang w:val="fr-FR"/>
        </w:rPr>
      </w:pPr>
    </w:p>
    <w:p w14:paraId="165635D6" w14:textId="75C1F55E" w:rsidR="00B476E8" w:rsidRPr="00B476E8" w:rsidRDefault="00B476E8" w:rsidP="007C761C">
      <w:pPr>
        <w:widowControl/>
        <w:tabs>
          <w:tab w:val="left" w:pos="426"/>
        </w:tabs>
        <w:autoSpaceDE/>
        <w:autoSpaceDN/>
        <w:adjustRightInd/>
        <w:ind w:left="426" w:hanging="426"/>
        <w:jc w:val="both"/>
        <w:rPr>
          <w:sz w:val="22"/>
          <w:szCs w:val="22"/>
          <w:u w:val="single"/>
          <w:lang w:val="fr-FR"/>
        </w:rPr>
      </w:pPr>
      <w:r w:rsidRPr="00B476E8">
        <w:rPr>
          <w:sz w:val="22"/>
          <w:szCs w:val="22"/>
          <w:u w:val="single"/>
          <w:lang w:val="fr-FR"/>
        </w:rPr>
        <w:t xml:space="preserve">7. bis </w:t>
      </w:r>
      <w:r w:rsidRPr="00B476E8">
        <w:rPr>
          <w:i/>
          <w:sz w:val="22"/>
          <w:szCs w:val="22"/>
          <w:u w:val="single"/>
          <w:lang w:val="fr-FR"/>
        </w:rPr>
        <w:t xml:space="preserve">Invite </w:t>
      </w:r>
      <w:r w:rsidR="00A723A6">
        <w:rPr>
          <w:sz w:val="22"/>
          <w:szCs w:val="22"/>
          <w:u w:val="single"/>
          <w:lang w:val="fr-FR"/>
        </w:rPr>
        <w:t>l’UICN et sa Commission po</w:t>
      </w:r>
      <w:r w:rsidR="000C5DB1">
        <w:rPr>
          <w:sz w:val="22"/>
          <w:szCs w:val="22"/>
          <w:u w:val="single"/>
          <w:lang w:val="fr-FR"/>
        </w:rPr>
        <w:t xml:space="preserve">ur la survie des espèces </w:t>
      </w:r>
      <w:r w:rsidRPr="00B476E8">
        <w:rPr>
          <w:sz w:val="22"/>
          <w:szCs w:val="22"/>
          <w:u w:val="single"/>
          <w:lang w:val="fr-FR"/>
        </w:rPr>
        <w:t>à coopérer active</w:t>
      </w:r>
      <w:r>
        <w:rPr>
          <w:sz w:val="22"/>
          <w:szCs w:val="22"/>
          <w:u w:val="single"/>
          <w:lang w:val="fr-FR"/>
        </w:rPr>
        <w:t>ment</w:t>
      </w:r>
      <w:r w:rsidRPr="00B476E8">
        <w:rPr>
          <w:sz w:val="22"/>
          <w:szCs w:val="22"/>
          <w:u w:val="single"/>
          <w:lang w:val="fr-FR"/>
        </w:rPr>
        <w:t xml:space="preserve"> </w:t>
      </w:r>
      <w:r>
        <w:rPr>
          <w:sz w:val="22"/>
          <w:szCs w:val="22"/>
          <w:u w:val="single"/>
          <w:lang w:val="fr-FR"/>
        </w:rPr>
        <w:t>a</w:t>
      </w:r>
      <w:r w:rsidRPr="00B476E8">
        <w:rPr>
          <w:sz w:val="22"/>
          <w:szCs w:val="22"/>
          <w:u w:val="single"/>
          <w:lang w:val="fr-FR"/>
        </w:rPr>
        <w:t>vec la</w:t>
      </w:r>
      <w:r>
        <w:rPr>
          <w:sz w:val="22"/>
          <w:szCs w:val="22"/>
          <w:u w:val="single"/>
          <w:lang w:val="fr-FR"/>
        </w:rPr>
        <w:t xml:space="preserve"> CMS et le </w:t>
      </w:r>
      <w:r w:rsidR="00302B8C">
        <w:rPr>
          <w:sz w:val="22"/>
          <w:szCs w:val="22"/>
          <w:u w:val="single"/>
          <w:lang w:val="fr-FR"/>
        </w:rPr>
        <w:t>GTPE</w:t>
      </w:r>
      <w:r w:rsidRPr="00B476E8">
        <w:rPr>
          <w:sz w:val="22"/>
          <w:szCs w:val="22"/>
          <w:u w:val="single"/>
          <w:lang w:val="fr-FR"/>
        </w:rPr>
        <w:t xml:space="preserve"> </w:t>
      </w:r>
      <w:r w:rsidR="000C5DB1">
        <w:rPr>
          <w:sz w:val="22"/>
          <w:szCs w:val="22"/>
          <w:u w:val="single"/>
          <w:lang w:val="fr-FR"/>
        </w:rPr>
        <w:t>dans le cadre d’</w:t>
      </w:r>
      <w:r>
        <w:rPr>
          <w:sz w:val="22"/>
          <w:szCs w:val="22"/>
          <w:u w:val="single"/>
          <w:lang w:val="fr-FR"/>
        </w:rPr>
        <w:t xml:space="preserve">une analyse </w:t>
      </w:r>
      <w:r w:rsidRPr="00B476E8">
        <w:rPr>
          <w:sz w:val="22"/>
          <w:szCs w:val="22"/>
          <w:u w:val="single"/>
          <w:lang w:val="fr-FR"/>
        </w:rPr>
        <w:t>global</w:t>
      </w:r>
      <w:r>
        <w:rPr>
          <w:sz w:val="22"/>
          <w:szCs w:val="22"/>
          <w:u w:val="single"/>
          <w:lang w:val="fr-FR"/>
        </w:rPr>
        <w:t xml:space="preserve">e de l’impact de l’empoisonnement sur la vie sauvage, dans la limite des ressources </w:t>
      </w:r>
      <w:proofErr w:type="gramStart"/>
      <w:r>
        <w:rPr>
          <w:sz w:val="22"/>
          <w:szCs w:val="22"/>
          <w:u w:val="single"/>
          <w:lang w:val="fr-FR"/>
        </w:rPr>
        <w:t>disponibles</w:t>
      </w:r>
      <w:r w:rsidRPr="00B476E8">
        <w:rPr>
          <w:sz w:val="22"/>
          <w:szCs w:val="22"/>
          <w:u w:val="single"/>
          <w:lang w:val="fr-FR"/>
        </w:rPr>
        <w:t>;</w:t>
      </w:r>
      <w:proofErr w:type="gramEnd"/>
    </w:p>
    <w:p w14:paraId="1A7468F8" w14:textId="77777777" w:rsidR="00B476E8" w:rsidRPr="00B476E8" w:rsidRDefault="00B476E8" w:rsidP="007C761C">
      <w:pPr>
        <w:widowControl/>
        <w:tabs>
          <w:tab w:val="left" w:pos="426"/>
        </w:tabs>
        <w:autoSpaceDE/>
        <w:autoSpaceDN/>
        <w:adjustRightInd/>
        <w:ind w:left="426" w:hanging="426"/>
        <w:jc w:val="both"/>
        <w:rPr>
          <w:sz w:val="22"/>
          <w:szCs w:val="22"/>
          <w:lang w:val="fr-FR"/>
        </w:rPr>
      </w:pPr>
    </w:p>
    <w:p w14:paraId="3E9A5DEA" w14:textId="4E387841" w:rsidR="00B476E8"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8. </w:t>
      </w:r>
      <w:r w:rsidR="00B476E8">
        <w:rPr>
          <w:sz w:val="22"/>
          <w:szCs w:val="22"/>
          <w:lang w:val="fr-FR"/>
        </w:rPr>
        <w:tab/>
      </w:r>
      <w:r w:rsidRPr="00B476E8">
        <w:rPr>
          <w:i/>
          <w:sz w:val="22"/>
          <w:szCs w:val="22"/>
          <w:lang w:val="fr-FR"/>
        </w:rPr>
        <w:t>Invite</w:t>
      </w:r>
      <w:r w:rsidRPr="00D308B8">
        <w:rPr>
          <w:sz w:val="22"/>
          <w:szCs w:val="22"/>
          <w:lang w:val="fr-FR"/>
        </w:rPr>
        <w:t xml:space="preserve"> la Convention de Rotterdam sur la procédure de consentement préalable </w:t>
      </w:r>
      <w:r w:rsidR="00BE6079">
        <w:rPr>
          <w:sz w:val="22"/>
          <w:szCs w:val="22"/>
          <w:lang w:val="fr-FR"/>
        </w:rPr>
        <w:t xml:space="preserve">en connaissance de cause </w:t>
      </w:r>
      <w:r w:rsidRPr="00D308B8">
        <w:rPr>
          <w:sz w:val="22"/>
          <w:szCs w:val="22"/>
          <w:lang w:val="fr-FR"/>
        </w:rPr>
        <w:t>applicable à certains produits chimiques</w:t>
      </w:r>
      <w:r w:rsidR="00B04D88">
        <w:rPr>
          <w:sz w:val="22"/>
          <w:szCs w:val="22"/>
          <w:lang w:val="fr-FR"/>
        </w:rPr>
        <w:t xml:space="preserve"> et pesticides dangereux qui font l’objet d’un</w:t>
      </w:r>
      <w:r w:rsidRPr="00D308B8">
        <w:rPr>
          <w:sz w:val="22"/>
          <w:szCs w:val="22"/>
          <w:lang w:val="fr-FR"/>
        </w:rPr>
        <w:t xml:space="preserve"> commerce international à coopérer activement a</w:t>
      </w:r>
      <w:r w:rsidR="00BE6079">
        <w:rPr>
          <w:sz w:val="22"/>
          <w:szCs w:val="22"/>
          <w:lang w:val="fr-FR"/>
        </w:rPr>
        <w:t>vec la CMS sur les questions relativ</w:t>
      </w:r>
      <w:r w:rsidRPr="00D308B8">
        <w:rPr>
          <w:sz w:val="22"/>
          <w:szCs w:val="22"/>
          <w:lang w:val="fr-FR"/>
        </w:rPr>
        <w:t xml:space="preserve">es à l’empoisonnement </w:t>
      </w:r>
      <w:r w:rsidR="00BE6079">
        <w:rPr>
          <w:sz w:val="22"/>
          <w:szCs w:val="22"/>
          <w:lang w:val="fr-FR"/>
        </w:rPr>
        <w:t xml:space="preserve">des oiseaux migrateurs, </w:t>
      </w:r>
      <w:r w:rsidRPr="00D308B8">
        <w:rPr>
          <w:sz w:val="22"/>
          <w:szCs w:val="22"/>
          <w:lang w:val="fr-FR"/>
        </w:rPr>
        <w:t>en p</w:t>
      </w:r>
      <w:r w:rsidR="00BE6079">
        <w:rPr>
          <w:sz w:val="22"/>
          <w:szCs w:val="22"/>
          <w:lang w:val="fr-FR"/>
        </w:rPr>
        <w:t>articulier sur la question d’une</w:t>
      </w:r>
      <w:r w:rsidRPr="00D308B8">
        <w:rPr>
          <w:sz w:val="22"/>
          <w:szCs w:val="22"/>
          <w:lang w:val="fr-FR"/>
        </w:rPr>
        <w:t xml:space="preserve"> clarification des lignes directrices existantes utilisées dans les proc</w:t>
      </w:r>
      <w:r w:rsidR="00BE6079">
        <w:rPr>
          <w:sz w:val="22"/>
          <w:szCs w:val="22"/>
          <w:lang w:val="fr-FR"/>
        </w:rPr>
        <w:t xml:space="preserve">essus de prise de décision au titre de </w:t>
      </w:r>
      <w:r w:rsidRPr="00D308B8">
        <w:rPr>
          <w:sz w:val="22"/>
          <w:szCs w:val="22"/>
          <w:lang w:val="fr-FR"/>
        </w:rPr>
        <w:t>c</w:t>
      </w:r>
      <w:r w:rsidR="00BE6079">
        <w:rPr>
          <w:sz w:val="22"/>
          <w:szCs w:val="22"/>
          <w:lang w:val="fr-FR"/>
        </w:rPr>
        <w:t xml:space="preserve">ette Convention, selon qu’il convient </w:t>
      </w:r>
      <w:r w:rsidRPr="00D308B8">
        <w:rPr>
          <w:sz w:val="22"/>
          <w:szCs w:val="22"/>
          <w:lang w:val="fr-FR"/>
        </w:rPr>
        <w:t xml:space="preserve">; </w:t>
      </w:r>
    </w:p>
    <w:p w14:paraId="177B5109" w14:textId="77777777" w:rsidR="00B476E8" w:rsidRDefault="00B476E8" w:rsidP="007C761C">
      <w:pPr>
        <w:widowControl/>
        <w:tabs>
          <w:tab w:val="left" w:pos="426"/>
        </w:tabs>
        <w:autoSpaceDE/>
        <w:autoSpaceDN/>
        <w:adjustRightInd/>
        <w:ind w:left="426" w:hanging="426"/>
        <w:jc w:val="both"/>
        <w:rPr>
          <w:sz w:val="22"/>
          <w:szCs w:val="22"/>
          <w:lang w:val="fr-FR"/>
        </w:rPr>
      </w:pPr>
    </w:p>
    <w:p w14:paraId="25CF0C9F" w14:textId="7AC72D45" w:rsidR="00AD2410"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9. </w:t>
      </w:r>
      <w:r w:rsidR="00B476E8">
        <w:rPr>
          <w:sz w:val="22"/>
          <w:szCs w:val="22"/>
          <w:lang w:val="fr-FR"/>
        </w:rPr>
        <w:tab/>
      </w:r>
      <w:r w:rsidRPr="00B476E8">
        <w:rPr>
          <w:i/>
          <w:sz w:val="22"/>
          <w:szCs w:val="22"/>
          <w:lang w:val="fr-FR"/>
        </w:rPr>
        <w:t>Invite</w:t>
      </w:r>
      <w:r w:rsidRPr="00D308B8">
        <w:rPr>
          <w:sz w:val="22"/>
          <w:szCs w:val="22"/>
          <w:lang w:val="fr-FR"/>
        </w:rPr>
        <w:t xml:space="preserve"> la Coopération internationale sur l’harmonisation des exigences techniques pour l’enregistrement des médicaments vétérinaires (VICH) et l’Organisation de coopération et de développement économique</w:t>
      </w:r>
      <w:r w:rsidR="00BE6079">
        <w:rPr>
          <w:sz w:val="22"/>
          <w:szCs w:val="22"/>
          <w:lang w:val="fr-FR"/>
        </w:rPr>
        <w:t>s (OCDE) à envisager d’entreprendre une évaluation des risques présentés par</w:t>
      </w:r>
      <w:r w:rsidRPr="00D308B8">
        <w:rPr>
          <w:sz w:val="22"/>
          <w:szCs w:val="22"/>
          <w:lang w:val="fr-FR"/>
        </w:rPr>
        <w:t xml:space="preserve"> les m</w:t>
      </w:r>
      <w:r w:rsidR="00BE6079">
        <w:rPr>
          <w:sz w:val="22"/>
          <w:szCs w:val="22"/>
          <w:lang w:val="fr-FR"/>
        </w:rPr>
        <w:t>édicaments vétérinaires pour les</w:t>
      </w:r>
      <w:r w:rsidRPr="00D308B8">
        <w:rPr>
          <w:sz w:val="22"/>
          <w:szCs w:val="22"/>
          <w:lang w:val="fr-FR"/>
        </w:rPr>
        <w:t xml:space="preserve"> espèces d’oiseaux</w:t>
      </w:r>
      <w:r w:rsidR="00BE6079">
        <w:rPr>
          <w:sz w:val="22"/>
          <w:szCs w:val="22"/>
          <w:lang w:val="fr-FR"/>
        </w:rPr>
        <w:t xml:space="preserve"> </w:t>
      </w:r>
      <w:r w:rsidRPr="00D308B8">
        <w:rPr>
          <w:sz w:val="22"/>
          <w:szCs w:val="22"/>
          <w:lang w:val="fr-FR"/>
        </w:rPr>
        <w:t xml:space="preserve">nécrophages, </w:t>
      </w:r>
      <w:r w:rsidR="00BE6079">
        <w:rPr>
          <w:sz w:val="22"/>
          <w:szCs w:val="22"/>
          <w:lang w:val="fr-FR"/>
        </w:rPr>
        <w:t xml:space="preserve">par leurs impacts létaux ou </w:t>
      </w:r>
      <w:proofErr w:type="spellStart"/>
      <w:r w:rsidR="00BE6079">
        <w:rPr>
          <w:sz w:val="22"/>
          <w:szCs w:val="22"/>
          <w:lang w:val="fr-FR"/>
        </w:rPr>
        <w:t>sub</w:t>
      </w:r>
      <w:proofErr w:type="spellEnd"/>
      <w:r w:rsidR="00BE6079">
        <w:rPr>
          <w:sz w:val="22"/>
          <w:szCs w:val="22"/>
          <w:lang w:val="fr-FR"/>
        </w:rPr>
        <w:t>-</w:t>
      </w:r>
      <w:r w:rsidRPr="00D308B8">
        <w:rPr>
          <w:sz w:val="22"/>
          <w:szCs w:val="22"/>
          <w:lang w:val="fr-FR"/>
        </w:rPr>
        <w:t xml:space="preserve">létaux, et à utiliser ces résultats pour fournir des orientations au secteur vétérinaire ; </w:t>
      </w:r>
    </w:p>
    <w:p w14:paraId="6567FF05" w14:textId="77777777" w:rsidR="00AD2410" w:rsidRDefault="00AD2410" w:rsidP="007C761C">
      <w:pPr>
        <w:widowControl/>
        <w:tabs>
          <w:tab w:val="left" w:pos="426"/>
        </w:tabs>
        <w:autoSpaceDE/>
        <w:autoSpaceDN/>
        <w:adjustRightInd/>
        <w:ind w:left="426" w:hanging="426"/>
        <w:jc w:val="both"/>
        <w:rPr>
          <w:sz w:val="22"/>
          <w:szCs w:val="22"/>
          <w:lang w:val="fr-FR"/>
        </w:rPr>
      </w:pPr>
    </w:p>
    <w:p w14:paraId="3B6F42DF" w14:textId="6E847F55" w:rsidR="00AD2410"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lastRenderedPageBreak/>
        <w:t xml:space="preserve">10. </w:t>
      </w:r>
      <w:r w:rsidR="00AD2410">
        <w:rPr>
          <w:sz w:val="22"/>
          <w:szCs w:val="22"/>
          <w:lang w:val="fr-FR"/>
        </w:rPr>
        <w:tab/>
      </w:r>
      <w:r w:rsidRPr="00AD2410">
        <w:rPr>
          <w:i/>
          <w:sz w:val="22"/>
          <w:szCs w:val="22"/>
          <w:lang w:val="fr-FR"/>
        </w:rPr>
        <w:t>Encourage</w:t>
      </w:r>
      <w:r w:rsidRPr="00D308B8">
        <w:rPr>
          <w:sz w:val="22"/>
          <w:szCs w:val="22"/>
          <w:lang w:val="fr-FR"/>
        </w:rPr>
        <w:t xml:space="preserve"> tous ceux qui sont concernés par la prévention de l’empoisonnement des oiseaux migrateurs à dialoguer avec ces groupes et à créer des partenariats </w:t>
      </w:r>
      <w:r w:rsidR="00BE6079">
        <w:rPr>
          <w:sz w:val="22"/>
          <w:szCs w:val="22"/>
          <w:lang w:val="fr-FR"/>
        </w:rPr>
        <w:t>pro</w:t>
      </w:r>
      <w:r w:rsidRPr="00D308B8">
        <w:rPr>
          <w:sz w:val="22"/>
          <w:szCs w:val="22"/>
          <w:lang w:val="fr-FR"/>
        </w:rPr>
        <w:t>actifs - à des échelles appropriées –</w:t>
      </w:r>
      <w:r w:rsidR="00BE6079">
        <w:rPr>
          <w:sz w:val="22"/>
          <w:szCs w:val="22"/>
          <w:lang w:val="fr-FR"/>
        </w:rPr>
        <w:t>,</w:t>
      </w:r>
      <w:r w:rsidRPr="00D308B8">
        <w:rPr>
          <w:sz w:val="22"/>
          <w:szCs w:val="22"/>
          <w:lang w:val="fr-FR"/>
        </w:rPr>
        <w:t xml:space="preserve"> comme priorité dans la mise </w:t>
      </w:r>
      <w:r w:rsidR="00AD2410">
        <w:rPr>
          <w:sz w:val="22"/>
          <w:szCs w:val="22"/>
          <w:lang w:val="fr-FR"/>
        </w:rPr>
        <w:t xml:space="preserve">en œuvre des lignes </w:t>
      </w:r>
      <w:proofErr w:type="gramStart"/>
      <w:r w:rsidR="00AD2410">
        <w:rPr>
          <w:sz w:val="22"/>
          <w:szCs w:val="22"/>
          <w:lang w:val="fr-FR"/>
        </w:rPr>
        <w:t>directrices</w:t>
      </w:r>
      <w:r w:rsidRPr="00D308B8">
        <w:rPr>
          <w:sz w:val="22"/>
          <w:szCs w:val="22"/>
          <w:lang w:val="fr-FR"/>
        </w:rPr>
        <w:t>;</w:t>
      </w:r>
      <w:proofErr w:type="gramEnd"/>
    </w:p>
    <w:p w14:paraId="1EE58A92" w14:textId="36652FB7" w:rsidR="00AD2410"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 </w:t>
      </w:r>
    </w:p>
    <w:p w14:paraId="62E45CFD" w14:textId="222F7380" w:rsidR="00AD2410"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11. </w:t>
      </w:r>
      <w:r w:rsidRPr="00AD2410">
        <w:rPr>
          <w:i/>
          <w:sz w:val="22"/>
          <w:szCs w:val="22"/>
          <w:lang w:val="fr-FR"/>
        </w:rPr>
        <w:t>Invite</w:t>
      </w:r>
      <w:r w:rsidR="00BE6079">
        <w:rPr>
          <w:sz w:val="22"/>
          <w:szCs w:val="22"/>
          <w:lang w:val="fr-FR"/>
        </w:rPr>
        <w:t xml:space="preserve"> les Parties à prendre note du fait</w:t>
      </w:r>
      <w:r w:rsidRPr="00D308B8">
        <w:rPr>
          <w:sz w:val="22"/>
          <w:szCs w:val="22"/>
          <w:lang w:val="fr-FR"/>
        </w:rPr>
        <w:t xml:space="preserve"> que les insecticides</w:t>
      </w:r>
      <w:r w:rsidR="00BE6079">
        <w:rPr>
          <w:sz w:val="22"/>
          <w:szCs w:val="22"/>
          <w:lang w:val="fr-FR"/>
        </w:rPr>
        <w:t xml:space="preserve"> </w:t>
      </w:r>
      <w:proofErr w:type="spellStart"/>
      <w:r w:rsidR="00BE6079">
        <w:rPr>
          <w:sz w:val="22"/>
          <w:szCs w:val="22"/>
          <w:lang w:val="fr-FR"/>
        </w:rPr>
        <w:t>néonicotinoïdes</w:t>
      </w:r>
      <w:proofErr w:type="spellEnd"/>
      <w:r w:rsidR="00BE6079">
        <w:rPr>
          <w:sz w:val="22"/>
          <w:szCs w:val="22"/>
          <w:lang w:val="fr-FR"/>
        </w:rPr>
        <w:t xml:space="preserve"> sont devenus la principale solution de</w:t>
      </w:r>
      <w:r w:rsidRPr="00D308B8">
        <w:rPr>
          <w:sz w:val="22"/>
          <w:szCs w:val="22"/>
          <w:lang w:val="fr-FR"/>
        </w:rPr>
        <w:t xml:space="preserve"> r</w:t>
      </w:r>
      <w:r w:rsidR="00BE6079">
        <w:rPr>
          <w:sz w:val="22"/>
          <w:szCs w:val="22"/>
          <w:lang w:val="fr-FR"/>
        </w:rPr>
        <w:t xml:space="preserve">emplacement des organophosphorés et des </w:t>
      </w:r>
      <w:r w:rsidRPr="00D308B8">
        <w:rPr>
          <w:sz w:val="22"/>
          <w:szCs w:val="22"/>
          <w:lang w:val="fr-FR"/>
        </w:rPr>
        <w:t>carbamates examin</w:t>
      </w:r>
      <w:r w:rsidR="00BE6079">
        <w:rPr>
          <w:sz w:val="22"/>
          <w:szCs w:val="22"/>
          <w:lang w:val="fr-FR"/>
        </w:rPr>
        <w:t>és, et à envisager d’effectuer</w:t>
      </w:r>
      <w:r w:rsidRPr="00D308B8">
        <w:rPr>
          <w:sz w:val="22"/>
          <w:szCs w:val="22"/>
          <w:lang w:val="fr-FR"/>
        </w:rPr>
        <w:t xml:space="preserve"> de nouvelles recherches sur le suivi des incidents de mortalité d'oiseaux migrateurs associés à l'utilisation de ces insecticides et d'autres insecticides ; </w:t>
      </w:r>
    </w:p>
    <w:p w14:paraId="6AB87CE6" w14:textId="77777777" w:rsidR="00AD2410" w:rsidRDefault="00AD2410" w:rsidP="007C761C">
      <w:pPr>
        <w:widowControl/>
        <w:tabs>
          <w:tab w:val="left" w:pos="426"/>
        </w:tabs>
        <w:autoSpaceDE/>
        <w:autoSpaceDN/>
        <w:adjustRightInd/>
        <w:ind w:left="426" w:hanging="426"/>
        <w:jc w:val="both"/>
        <w:rPr>
          <w:sz w:val="22"/>
          <w:szCs w:val="22"/>
          <w:lang w:val="fr-FR"/>
        </w:rPr>
      </w:pPr>
    </w:p>
    <w:p w14:paraId="429C6423" w14:textId="77777777" w:rsidR="00AD2410" w:rsidRPr="00F61732" w:rsidRDefault="00D308B8" w:rsidP="007C761C">
      <w:pPr>
        <w:widowControl/>
        <w:tabs>
          <w:tab w:val="left" w:pos="426"/>
        </w:tabs>
        <w:autoSpaceDE/>
        <w:autoSpaceDN/>
        <w:adjustRightInd/>
        <w:ind w:left="426" w:hanging="426"/>
        <w:jc w:val="both"/>
        <w:rPr>
          <w:strike/>
          <w:sz w:val="22"/>
          <w:szCs w:val="22"/>
          <w:lang w:val="fr-FR"/>
        </w:rPr>
      </w:pPr>
      <w:r w:rsidRPr="00F61732">
        <w:rPr>
          <w:strike/>
          <w:sz w:val="22"/>
          <w:szCs w:val="22"/>
          <w:lang w:val="fr-FR"/>
        </w:rPr>
        <w:t xml:space="preserve">12. </w:t>
      </w:r>
      <w:r w:rsidRPr="00F61732">
        <w:rPr>
          <w:i/>
          <w:strike/>
          <w:sz w:val="22"/>
          <w:szCs w:val="22"/>
          <w:lang w:val="fr-FR"/>
        </w:rPr>
        <w:t>Charge</w:t>
      </w:r>
      <w:r w:rsidRPr="00F61732">
        <w:rPr>
          <w:strike/>
          <w:sz w:val="22"/>
          <w:szCs w:val="22"/>
          <w:lang w:val="fr-FR"/>
        </w:rPr>
        <w:t xml:space="preserve"> le Secrétariat, en collaboration avec les Parties et les organisations internationales compétentes, sous réserve de la disponibilité de financements, d’organiser des ateliers régionaux dans les régions / voies de migration où les risques sont les plus forts, afin de promouvoir la mise en œuvre des Lignes directrices et de partager les meilleures pratiques et les leçons apprises ; </w:t>
      </w:r>
    </w:p>
    <w:p w14:paraId="7FA9AC55" w14:textId="77777777" w:rsidR="00AD2410" w:rsidRDefault="00AD2410" w:rsidP="007C761C">
      <w:pPr>
        <w:widowControl/>
        <w:tabs>
          <w:tab w:val="left" w:pos="426"/>
        </w:tabs>
        <w:autoSpaceDE/>
        <w:autoSpaceDN/>
        <w:adjustRightInd/>
        <w:ind w:left="426" w:hanging="426"/>
        <w:jc w:val="both"/>
        <w:rPr>
          <w:sz w:val="22"/>
          <w:szCs w:val="22"/>
          <w:lang w:val="fr-FR"/>
        </w:rPr>
      </w:pPr>
    </w:p>
    <w:p w14:paraId="05317557" w14:textId="5E4673FF" w:rsidR="00F61732"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13. </w:t>
      </w:r>
      <w:r w:rsidR="00AD2410" w:rsidRPr="00AD2410">
        <w:rPr>
          <w:i/>
          <w:sz w:val="22"/>
          <w:szCs w:val="22"/>
          <w:lang w:val="fr-FR"/>
        </w:rPr>
        <w:tab/>
      </w:r>
      <w:r w:rsidRPr="00AD2410">
        <w:rPr>
          <w:i/>
          <w:sz w:val="22"/>
          <w:szCs w:val="22"/>
          <w:lang w:val="fr-FR"/>
        </w:rPr>
        <w:t>Invite</w:t>
      </w:r>
      <w:r w:rsidRPr="00D308B8">
        <w:rPr>
          <w:sz w:val="22"/>
          <w:szCs w:val="22"/>
          <w:lang w:val="fr-FR"/>
        </w:rPr>
        <w:t xml:space="preserve"> les Parties et </w:t>
      </w:r>
      <w:r w:rsidRPr="00AD2410">
        <w:rPr>
          <w:i/>
          <w:sz w:val="22"/>
          <w:szCs w:val="22"/>
          <w:lang w:val="fr-FR"/>
        </w:rPr>
        <w:t>invite</w:t>
      </w:r>
      <w:r w:rsidRPr="00D308B8">
        <w:rPr>
          <w:sz w:val="22"/>
          <w:szCs w:val="22"/>
          <w:lang w:val="fr-FR"/>
        </w:rPr>
        <w:t xml:space="preserve"> les non-Parties ainsi que les acteurs concernés, avec l’appui du Secrétariat, à renforcer les capacités nationales et locales de mise en œuvre de la présente résolution,</w:t>
      </w:r>
      <w:r w:rsidR="00BE6079">
        <w:rPr>
          <w:sz w:val="22"/>
          <w:szCs w:val="22"/>
          <w:lang w:val="fr-FR"/>
        </w:rPr>
        <w:t xml:space="preserve"> notamment par l’organisation d’</w:t>
      </w:r>
      <w:r w:rsidRPr="00D308B8">
        <w:rPr>
          <w:sz w:val="22"/>
          <w:szCs w:val="22"/>
          <w:lang w:val="fr-FR"/>
        </w:rPr>
        <w:t xml:space="preserve">ateliers de formation, la traduction et la diffusion d’exemples de bonnes pratiques, le partage de protocoles et règlements, le transfert de technologie, et </w:t>
      </w:r>
      <w:r w:rsidR="00BE6079">
        <w:rPr>
          <w:sz w:val="22"/>
          <w:szCs w:val="22"/>
          <w:lang w:val="fr-FR"/>
        </w:rPr>
        <w:t xml:space="preserve">la promotion de l’utilisation des </w:t>
      </w:r>
      <w:r w:rsidRPr="00D308B8">
        <w:rPr>
          <w:sz w:val="22"/>
          <w:szCs w:val="22"/>
          <w:lang w:val="fr-FR"/>
        </w:rPr>
        <w:t>outils en ligne traitant de questions spécifiques pertinentes pour pré</w:t>
      </w:r>
      <w:r w:rsidR="00BE6079">
        <w:rPr>
          <w:sz w:val="22"/>
          <w:szCs w:val="22"/>
          <w:lang w:val="fr-FR"/>
        </w:rPr>
        <w:t>venir, réduire ou contrôler l’empoisonnement</w:t>
      </w:r>
      <w:r w:rsidRPr="00D308B8">
        <w:rPr>
          <w:sz w:val="22"/>
          <w:szCs w:val="22"/>
          <w:lang w:val="fr-FR"/>
        </w:rPr>
        <w:t xml:space="preserve"> des oiseaux migrateurs protégés par la Convention ; </w:t>
      </w:r>
    </w:p>
    <w:p w14:paraId="2790BE99" w14:textId="77777777" w:rsidR="00F61732" w:rsidRDefault="00F61732" w:rsidP="007C761C">
      <w:pPr>
        <w:widowControl/>
        <w:tabs>
          <w:tab w:val="left" w:pos="426"/>
        </w:tabs>
        <w:autoSpaceDE/>
        <w:autoSpaceDN/>
        <w:adjustRightInd/>
        <w:ind w:left="426" w:hanging="426"/>
        <w:jc w:val="both"/>
        <w:rPr>
          <w:sz w:val="22"/>
          <w:szCs w:val="22"/>
          <w:lang w:val="fr-FR"/>
        </w:rPr>
      </w:pPr>
    </w:p>
    <w:p w14:paraId="76ECA974" w14:textId="218C7137" w:rsidR="00F61732"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14. </w:t>
      </w:r>
      <w:r w:rsidRPr="00F61732">
        <w:rPr>
          <w:i/>
          <w:sz w:val="22"/>
          <w:szCs w:val="22"/>
          <w:lang w:val="fr-FR"/>
        </w:rPr>
        <w:t>Prie instamment</w:t>
      </w:r>
      <w:r w:rsidRPr="00D308B8">
        <w:rPr>
          <w:sz w:val="22"/>
          <w:szCs w:val="22"/>
          <w:lang w:val="fr-FR"/>
        </w:rPr>
        <w:t xml:space="preserve"> les Parties, </w:t>
      </w:r>
      <w:r w:rsidRPr="00F61732">
        <w:rPr>
          <w:strike/>
          <w:sz w:val="22"/>
          <w:szCs w:val="22"/>
          <w:lang w:val="fr-FR"/>
        </w:rPr>
        <w:t>le PNUE</w:t>
      </w:r>
      <w:r w:rsidRPr="00D308B8">
        <w:rPr>
          <w:sz w:val="22"/>
          <w:szCs w:val="22"/>
          <w:lang w:val="fr-FR"/>
        </w:rPr>
        <w:t xml:space="preserve"> </w:t>
      </w:r>
      <w:r w:rsidR="00F61732" w:rsidRPr="00F61732">
        <w:rPr>
          <w:sz w:val="22"/>
          <w:szCs w:val="22"/>
          <w:u w:val="single"/>
          <w:lang w:val="fr-FR"/>
        </w:rPr>
        <w:t>l’ONU Environnement</w:t>
      </w:r>
      <w:r w:rsidR="00F61732">
        <w:rPr>
          <w:sz w:val="22"/>
          <w:szCs w:val="22"/>
          <w:lang w:val="fr-FR"/>
        </w:rPr>
        <w:t xml:space="preserve"> </w:t>
      </w:r>
      <w:r w:rsidRPr="00D308B8">
        <w:rPr>
          <w:sz w:val="22"/>
          <w:szCs w:val="22"/>
          <w:lang w:val="fr-FR"/>
        </w:rPr>
        <w:t>et les autres organisations internationales compétentes, ainsi que le</w:t>
      </w:r>
      <w:r w:rsidR="00271548">
        <w:rPr>
          <w:sz w:val="22"/>
          <w:szCs w:val="22"/>
          <w:lang w:val="fr-FR"/>
        </w:rPr>
        <w:t>s secteurs d’industrie</w:t>
      </w:r>
      <w:r w:rsidRPr="00D308B8">
        <w:rPr>
          <w:sz w:val="22"/>
          <w:szCs w:val="22"/>
          <w:lang w:val="fr-FR"/>
        </w:rPr>
        <w:t>, les bailleurs de fonds bilatéraux et multilatéraux et d’autres acteurs concernés, d’envisager de soutenir financièrement la mise en œuvre de la présente résolution et des Lignes dire</w:t>
      </w:r>
      <w:r w:rsidR="00271548">
        <w:rPr>
          <w:sz w:val="22"/>
          <w:szCs w:val="22"/>
          <w:lang w:val="fr-FR"/>
        </w:rPr>
        <w:t xml:space="preserve">ctrices, notamment par une </w:t>
      </w:r>
      <w:r w:rsidRPr="00D308B8">
        <w:rPr>
          <w:sz w:val="22"/>
          <w:szCs w:val="22"/>
          <w:lang w:val="fr-FR"/>
        </w:rPr>
        <w:t>coordination fournie par le Groupe de travail sur la réduction</w:t>
      </w:r>
      <w:r w:rsidR="00271548">
        <w:rPr>
          <w:sz w:val="22"/>
          <w:szCs w:val="22"/>
          <w:lang w:val="fr-FR"/>
        </w:rPr>
        <w:t xml:space="preserve"> de l’empoisonnement, un soutien apporté aux ateliers régionaux, et un </w:t>
      </w:r>
      <w:r w:rsidRPr="00D308B8">
        <w:rPr>
          <w:sz w:val="22"/>
          <w:szCs w:val="22"/>
          <w:lang w:val="fr-FR"/>
        </w:rPr>
        <w:t xml:space="preserve">appui financier </w:t>
      </w:r>
      <w:r w:rsidR="00271548">
        <w:rPr>
          <w:sz w:val="22"/>
          <w:szCs w:val="22"/>
          <w:lang w:val="fr-FR"/>
        </w:rPr>
        <w:t xml:space="preserve">fourni </w:t>
      </w:r>
      <w:r w:rsidRPr="00D308B8">
        <w:rPr>
          <w:sz w:val="22"/>
          <w:szCs w:val="22"/>
          <w:lang w:val="fr-FR"/>
        </w:rPr>
        <w:t xml:space="preserve">aux pays en développement pour le renforcement des capacités en la matière ; </w:t>
      </w:r>
    </w:p>
    <w:p w14:paraId="24F80728" w14:textId="77777777" w:rsidR="00F61732" w:rsidRDefault="00F61732" w:rsidP="007C761C">
      <w:pPr>
        <w:widowControl/>
        <w:tabs>
          <w:tab w:val="left" w:pos="426"/>
        </w:tabs>
        <w:autoSpaceDE/>
        <w:autoSpaceDN/>
        <w:adjustRightInd/>
        <w:ind w:left="426" w:hanging="426"/>
        <w:jc w:val="both"/>
        <w:rPr>
          <w:sz w:val="22"/>
          <w:szCs w:val="22"/>
          <w:lang w:val="fr-FR"/>
        </w:rPr>
      </w:pPr>
    </w:p>
    <w:p w14:paraId="61A9DA1B" w14:textId="730EC925" w:rsidR="00F61732"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15. </w:t>
      </w:r>
      <w:r w:rsidR="00F61732">
        <w:rPr>
          <w:sz w:val="22"/>
          <w:szCs w:val="22"/>
          <w:lang w:val="fr-FR"/>
        </w:rPr>
        <w:tab/>
      </w:r>
      <w:r w:rsidRPr="00F61732">
        <w:rPr>
          <w:i/>
          <w:sz w:val="22"/>
          <w:szCs w:val="22"/>
          <w:lang w:val="fr-FR"/>
        </w:rPr>
        <w:t>Propose</w:t>
      </w:r>
      <w:r w:rsidR="00271548">
        <w:rPr>
          <w:sz w:val="22"/>
          <w:szCs w:val="22"/>
          <w:lang w:val="fr-FR"/>
        </w:rPr>
        <w:t xml:space="preserve"> de prolonger le</w:t>
      </w:r>
      <w:r w:rsidRPr="00D308B8">
        <w:rPr>
          <w:sz w:val="22"/>
          <w:szCs w:val="22"/>
          <w:lang w:val="fr-FR"/>
        </w:rPr>
        <w:t xml:space="preserve"> Groupe de travail sur la réduction du risque d’empoisonnement jusqu’à la COP1</w:t>
      </w:r>
      <w:r w:rsidR="00F61732" w:rsidRPr="00F61732">
        <w:rPr>
          <w:sz w:val="22"/>
          <w:szCs w:val="22"/>
          <w:u w:val="single"/>
          <w:lang w:val="fr-FR"/>
        </w:rPr>
        <w:t>3</w:t>
      </w:r>
      <w:r w:rsidRPr="00F61732">
        <w:rPr>
          <w:strike/>
          <w:sz w:val="22"/>
          <w:szCs w:val="22"/>
          <w:lang w:val="fr-FR"/>
        </w:rPr>
        <w:t>2</w:t>
      </w:r>
      <w:r w:rsidR="00271548">
        <w:rPr>
          <w:sz w:val="22"/>
          <w:szCs w:val="22"/>
          <w:lang w:val="fr-FR"/>
        </w:rPr>
        <w:t xml:space="preserve">, en vertu du mandat énoncé dans l’annexe à la présente </w:t>
      </w:r>
      <w:r w:rsidR="00ED27C6">
        <w:rPr>
          <w:sz w:val="22"/>
          <w:szCs w:val="22"/>
          <w:lang w:val="fr-FR"/>
        </w:rPr>
        <w:t>résolution</w:t>
      </w:r>
      <w:r w:rsidR="00271548">
        <w:rPr>
          <w:sz w:val="22"/>
          <w:szCs w:val="22"/>
          <w:lang w:val="fr-FR"/>
        </w:rPr>
        <w:t xml:space="preserve">, en renouvelant </w:t>
      </w:r>
      <w:r w:rsidRPr="00D308B8">
        <w:rPr>
          <w:sz w:val="22"/>
          <w:szCs w:val="22"/>
          <w:lang w:val="fr-FR"/>
        </w:rPr>
        <w:t>ses membres pour intégrer l’expertise de régions géographiques actuellement absentes</w:t>
      </w:r>
      <w:r w:rsidR="00271548">
        <w:rPr>
          <w:sz w:val="22"/>
          <w:szCs w:val="22"/>
          <w:lang w:val="fr-FR"/>
        </w:rPr>
        <w:t xml:space="preserve">, ainsi que des représentants de secteurs d’industrie et de gouvernements, pour aborder l’impact des </w:t>
      </w:r>
      <w:r w:rsidRPr="00D308B8">
        <w:rPr>
          <w:sz w:val="22"/>
          <w:szCs w:val="22"/>
          <w:lang w:val="fr-FR"/>
        </w:rPr>
        <w:t>autres sources d’empoisonnement, combler les lacunes géographiques</w:t>
      </w:r>
      <w:r w:rsidR="00271548">
        <w:rPr>
          <w:sz w:val="22"/>
          <w:szCs w:val="22"/>
          <w:lang w:val="fr-FR"/>
        </w:rPr>
        <w:t>,</w:t>
      </w:r>
      <w:r w:rsidRPr="00D308B8">
        <w:rPr>
          <w:sz w:val="22"/>
          <w:szCs w:val="22"/>
          <w:lang w:val="fr-FR"/>
        </w:rPr>
        <w:t xml:space="preserve"> et </w:t>
      </w:r>
      <w:r w:rsidR="00271548">
        <w:rPr>
          <w:sz w:val="22"/>
          <w:szCs w:val="22"/>
          <w:lang w:val="fr-FR"/>
        </w:rPr>
        <w:t xml:space="preserve">assurer un suivi de </w:t>
      </w:r>
      <w:r w:rsidRPr="00D308B8">
        <w:rPr>
          <w:sz w:val="22"/>
          <w:szCs w:val="22"/>
          <w:lang w:val="fr-FR"/>
        </w:rPr>
        <w:t>la mise en œu</w:t>
      </w:r>
      <w:r w:rsidR="000F4030">
        <w:rPr>
          <w:sz w:val="22"/>
          <w:szCs w:val="22"/>
          <w:lang w:val="fr-FR"/>
        </w:rPr>
        <w:t>vre des Lignes directrices ;</w:t>
      </w:r>
    </w:p>
    <w:p w14:paraId="310D1982" w14:textId="77777777" w:rsidR="00F61732" w:rsidRDefault="00F61732" w:rsidP="007C761C">
      <w:pPr>
        <w:widowControl/>
        <w:tabs>
          <w:tab w:val="left" w:pos="426"/>
        </w:tabs>
        <w:autoSpaceDE/>
        <w:autoSpaceDN/>
        <w:adjustRightInd/>
        <w:ind w:left="426" w:hanging="426"/>
        <w:jc w:val="both"/>
        <w:rPr>
          <w:sz w:val="22"/>
          <w:szCs w:val="22"/>
          <w:lang w:val="fr-FR"/>
        </w:rPr>
      </w:pPr>
    </w:p>
    <w:p w14:paraId="6011D3DB" w14:textId="04D20BB5" w:rsidR="00F61732" w:rsidRDefault="00D308B8" w:rsidP="007C761C">
      <w:pPr>
        <w:widowControl/>
        <w:tabs>
          <w:tab w:val="left" w:pos="426"/>
        </w:tabs>
        <w:autoSpaceDE/>
        <w:autoSpaceDN/>
        <w:adjustRightInd/>
        <w:ind w:left="426" w:hanging="426"/>
        <w:jc w:val="both"/>
        <w:rPr>
          <w:sz w:val="22"/>
          <w:szCs w:val="22"/>
          <w:lang w:val="fr-FR"/>
        </w:rPr>
      </w:pPr>
      <w:r w:rsidRPr="00D308B8">
        <w:rPr>
          <w:sz w:val="22"/>
          <w:szCs w:val="22"/>
          <w:lang w:val="fr-FR"/>
        </w:rPr>
        <w:t xml:space="preserve">16. </w:t>
      </w:r>
      <w:r w:rsidRPr="00F61732">
        <w:rPr>
          <w:i/>
          <w:sz w:val="22"/>
          <w:szCs w:val="22"/>
          <w:lang w:val="fr-FR"/>
        </w:rPr>
        <w:t>Demande</w:t>
      </w:r>
      <w:r w:rsidR="00271548">
        <w:rPr>
          <w:sz w:val="22"/>
          <w:szCs w:val="22"/>
          <w:lang w:val="fr-FR"/>
        </w:rPr>
        <w:t xml:space="preserve"> aux Parties de rendre compte, </w:t>
      </w:r>
      <w:r w:rsidRPr="00D308B8">
        <w:rPr>
          <w:sz w:val="22"/>
          <w:szCs w:val="22"/>
          <w:lang w:val="fr-FR"/>
        </w:rPr>
        <w:t>a</w:t>
      </w:r>
      <w:r w:rsidR="00271548">
        <w:rPr>
          <w:sz w:val="22"/>
          <w:szCs w:val="22"/>
          <w:lang w:val="fr-FR"/>
        </w:rPr>
        <w:t>ux prochaines réunions de la Conférence des Parties, des progrès accomplis dans la mise en œuvre des mesures prises au titre de la présente résolution et d</w:t>
      </w:r>
      <w:r w:rsidRPr="00D308B8">
        <w:rPr>
          <w:sz w:val="22"/>
          <w:szCs w:val="22"/>
          <w:lang w:val="fr-FR"/>
        </w:rPr>
        <w:t>es résultats obtenus</w:t>
      </w:r>
      <w:r w:rsidR="00271548">
        <w:rPr>
          <w:sz w:val="22"/>
          <w:szCs w:val="22"/>
          <w:lang w:val="fr-FR"/>
        </w:rPr>
        <w:t>, dans le cadre de leurs rapports nationaux</w:t>
      </w:r>
      <w:r w:rsidRPr="00D308B8">
        <w:rPr>
          <w:sz w:val="22"/>
          <w:szCs w:val="22"/>
          <w:lang w:val="fr-FR"/>
        </w:rPr>
        <w:t xml:space="preserve">. </w:t>
      </w:r>
    </w:p>
    <w:p w14:paraId="45ACE6CC" w14:textId="77777777" w:rsidR="00F61732" w:rsidRDefault="00F61732" w:rsidP="007C761C">
      <w:pPr>
        <w:widowControl/>
        <w:tabs>
          <w:tab w:val="left" w:pos="426"/>
        </w:tabs>
        <w:autoSpaceDE/>
        <w:autoSpaceDN/>
        <w:adjustRightInd/>
        <w:ind w:left="426" w:hanging="426"/>
        <w:jc w:val="both"/>
        <w:rPr>
          <w:sz w:val="22"/>
          <w:szCs w:val="22"/>
          <w:lang w:val="fr-FR"/>
        </w:rPr>
      </w:pPr>
    </w:p>
    <w:p w14:paraId="151EEEB6" w14:textId="77777777" w:rsidR="00F61732" w:rsidRDefault="00F61732" w:rsidP="007C761C">
      <w:pPr>
        <w:widowControl/>
        <w:tabs>
          <w:tab w:val="left" w:pos="426"/>
        </w:tabs>
        <w:autoSpaceDE/>
        <w:autoSpaceDN/>
        <w:adjustRightInd/>
        <w:ind w:left="426" w:hanging="426"/>
        <w:jc w:val="both"/>
        <w:rPr>
          <w:sz w:val="22"/>
          <w:szCs w:val="22"/>
          <w:lang w:val="fr-FR"/>
        </w:rPr>
      </w:pPr>
    </w:p>
    <w:p w14:paraId="67BA2811" w14:textId="77777777" w:rsidR="00F61732" w:rsidRDefault="00F61732">
      <w:pPr>
        <w:widowControl/>
        <w:autoSpaceDE/>
        <w:autoSpaceDN/>
        <w:adjustRightInd/>
        <w:rPr>
          <w:sz w:val="22"/>
          <w:szCs w:val="22"/>
          <w:lang w:val="fr-FR"/>
        </w:rPr>
      </w:pPr>
      <w:r>
        <w:rPr>
          <w:sz w:val="22"/>
          <w:szCs w:val="22"/>
          <w:lang w:val="fr-FR"/>
        </w:rPr>
        <w:br w:type="page"/>
      </w:r>
    </w:p>
    <w:p w14:paraId="2BE6C583" w14:textId="75D036C7" w:rsidR="00F61732" w:rsidRPr="00F61732" w:rsidRDefault="00D308B8" w:rsidP="00F61732">
      <w:pPr>
        <w:widowControl/>
        <w:tabs>
          <w:tab w:val="left" w:pos="426"/>
        </w:tabs>
        <w:autoSpaceDE/>
        <w:autoSpaceDN/>
        <w:adjustRightInd/>
        <w:ind w:left="426" w:hanging="426"/>
        <w:jc w:val="right"/>
        <w:rPr>
          <w:b/>
          <w:sz w:val="22"/>
          <w:szCs w:val="22"/>
          <w:lang w:val="fr-FR"/>
        </w:rPr>
      </w:pPr>
      <w:r w:rsidRPr="00F61732">
        <w:rPr>
          <w:b/>
          <w:sz w:val="22"/>
          <w:szCs w:val="22"/>
          <w:lang w:val="fr-FR"/>
        </w:rPr>
        <w:lastRenderedPageBreak/>
        <w:t xml:space="preserve">Annexe à la </w:t>
      </w:r>
      <w:r w:rsidR="006577EA">
        <w:rPr>
          <w:b/>
          <w:sz w:val="22"/>
          <w:szCs w:val="22"/>
          <w:lang w:val="fr-FR"/>
        </w:rPr>
        <w:t>R</w:t>
      </w:r>
      <w:r w:rsidR="00ED27C6">
        <w:rPr>
          <w:b/>
          <w:sz w:val="22"/>
          <w:szCs w:val="22"/>
          <w:lang w:val="fr-FR"/>
        </w:rPr>
        <w:t>ésolution</w:t>
      </w:r>
      <w:r w:rsidRPr="00F61732">
        <w:rPr>
          <w:b/>
          <w:sz w:val="22"/>
          <w:szCs w:val="22"/>
          <w:lang w:val="fr-FR"/>
        </w:rPr>
        <w:t xml:space="preserve"> 11.15 </w:t>
      </w:r>
    </w:p>
    <w:p w14:paraId="18246849" w14:textId="77777777" w:rsidR="00F61732" w:rsidRDefault="00F61732" w:rsidP="007C761C">
      <w:pPr>
        <w:widowControl/>
        <w:tabs>
          <w:tab w:val="left" w:pos="426"/>
        </w:tabs>
        <w:autoSpaceDE/>
        <w:autoSpaceDN/>
        <w:adjustRightInd/>
        <w:ind w:left="426" w:hanging="426"/>
        <w:jc w:val="both"/>
        <w:rPr>
          <w:sz w:val="22"/>
          <w:szCs w:val="22"/>
          <w:lang w:val="fr-FR"/>
        </w:rPr>
      </w:pPr>
    </w:p>
    <w:p w14:paraId="2E332580" w14:textId="77777777" w:rsidR="00F61732" w:rsidRDefault="00F61732" w:rsidP="00F61732">
      <w:pPr>
        <w:widowControl/>
        <w:tabs>
          <w:tab w:val="left" w:pos="426"/>
        </w:tabs>
        <w:autoSpaceDE/>
        <w:autoSpaceDN/>
        <w:adjustRightInd/>
        <w:ind w:left="426" w:hanging="426"/>
        <w:jc w:val="center"/>
        <w:rPr>
          <w:b/>
          <w:sz w:val="22"/>
          <w:szCs w:val="22"/>
          <w:lang w:val="fr-FR"/>
        </w:rPr>
      </w:pPr>
    </w:p>
    <w:p w14:paraId="341918F6" w14:textId="7B274FF3" w:rsidR="00F61732" w:rsidRDefault="00F61732" w:rsidP="00F61732">
      <w:pPr>
        <w:widowControl/>
        <w:tabs>
          <w:tab w:val="left" w:pos="426"/>
        </w:tabs>
        <w:autoSpaceDE/>
        <w:autoSpaceDN/>
        <w:adjustRightInd/>
        <w:ind w:left="426" w:hanging="426"/>
        <w:jc w:val="center"/>
        <w:rPr>
          <w:sz w:val="22"/>
          <w:szCs w:val="22"/>
          <w:lang w:val="fr-FR"/>
        </w:rPr>
      </w:pPr>
      <w:r w:rsidRPr="00F61732">
        <w:rPr>
          <w:b/>
          <w:sz w:val="22"/>
          <w:szCs w:val="22"/>
          <w:lang w:val="fr-FR"/>
        </w:rPr>
        <w:t>MANDAT DU</w:t>
      </w:r>
      <w:r w:rsidR="00D308B8" w:rsidRPr="00F61732">
        <w:rPr>
          <w:b/>
          <w:sz w:val="22"/>
          <w:szCs w:val="22"/>
          <w:lang w:val="fr-FR"/>
        </w:rPr>
        <w:t xml:space="preserve"> GROUPE DE TRAVAIL SUR LA PRÉVENTION DE L’EMPOISONNEMENT</w:t>
      </w:r>
      <w:r w:rsidR="00D308B8" w:rsidRPr="00D308B8">
        <w:rPr>
          <w:sz w:val="22"/>
          <w:szCs w:val="22"/>
          <w:lang w:val="fr-FR"/>
        </w:rPr>
        <w:t xml:space="preserve"> </w:t>
      </w:r>
      <w:r w:rsidR="00D308B8" w:rsidRPr="00F61732">
        <w:rPr>
          <w:strike/>
          <w:sz w:val="22"/>
          <w:szCs w:val="22"/>
          <w:lang w:val="fr-FR"/>
        </w:rPr>
        <w:t>(pour la période intersession jusqu’à la COP12)</w:t>
      </w:r>
    </w:p>
    <w:p w14:paraId="332A5C65" w14:textId="77777777" w:rsidR="00F61732" w:rsidRDefault="00F61732" w:rsidP="007C761C">
      <w:pPr>
        <w:widowControl/>
        <w:tabs>
          <w:tab w:val="left" w:pos="426"/>
        </w:tabs>
        <w:autoSpaceDE/>
        <w:autoSpaceDN/>
        <w:adjustRightInd/>
        <w:ind w:left="426" w:hanging="426"/>
        <w:jc w:val="both"/>
        <w:rPr>
          <w:sz w:val="22"/>
          <w:szCs w:val="22"/>
          <w:lang w:val="fr-FR"/>
        </w:rPr>
      </w:pPr>
    </w:p>
    <w:p w14:paraId="7B325B84" w14:textId="77777777" w:rsidR="00F61732" w:rsidRDefault="00F61732" w:rsidP="007C761C">
      <w:pPr>
        <w:widowControl/>
        <w:tabs>
          <w:tab w:val="left" w:pos="426"/>
        </w:tabs>
        <w:autoSpaceDE/>
        <w:autoSpaceDN/>
        <w:adjustRightInd/>
        <w:ind w:left="426" w:hanging="426"/>
        <w:jc w:val="both"/>
        <w:rPr>
          <w:sz w:val="22"/>
          <w:szCs w:val="22"/>
          <w:lang w:val="fr-FR"/>
        </w:rPr>
      </w:pPr>
    </w:p>
    <w:p w14:paraId="55EDC3BF" w14:textId="66DA288B" w:rsidR="00F61732" w:rsidRPr="00F61732" w:rsidRDefault="00D308B8" w:rsidP="007C761C">
      <w:pPr>
        <w:widowControl/>
        <w:tabs>
          <w:tab w:val="left" w:pos="426"/>
        </w:tabs>
        <w:autoSpaceDE/>
        <w:autoSpaceDN/>
        <w:adjustRightInd/>
        <w:ind w:left="426" w:hanging="426"/>
        <w:jc w:val="both"/>
        <w:rPr>
          <w:b/>
          <w:sz w:val="22"/>
          <w:szCs w:val="22"/>
          <w:lang w:val="fr-FR"/>
        </w:rPr>
      </w:pPr>
      <w:r w:rsidRPr="00F61732">
        <w:rPr>
          <w:b/>
          <w:sz w:val="22"/>
          <w:szCs w:val="22"/>
          <w:lang w:val="fr-FR"/>
        </w:rPr>
        <w:t xml:space="preserve">1. </w:t>
      </w:r>
      <w:r w:rsidR="00F61732">
        <w:rPr>
          <w:b/>
          <w:sz w:val="22"/>
          <w:szCs w:val="22"/>
          <w:lang w:val="fr-FR"/>
        </w:rPr>
        <w:tab/>
      </w:r>
      <w:r w:rsidRPr="00F61732">
        <w:rPr>
          <w:b/>
          <w:sz w:val="22"/>
          <w:szCs w:val="22"/>
          <w:lang w:val="fr-FR"/>
        </w:rPr>
        <w:t xml:space="preserve">Contexte et objectif </w:t>
      </w:r>
    </w:p>
    <w:p w14:paraId="5A523A01" w14:textId="0766505C" w:rsidR="00F61732" w:rsidRDefault="00D308B8" w:rsidP="00F61732">
      <w:pPr>
        <w:widowControl/>
        <w:tabs>
          <w:tab w:val="left" w:pos="0"/>
        </w:tabs>
        <w:autoSpaceDE/>
        <w:autoSpaceDN/>
        <w:adjustRightInd/>
        <w:jc w:val="both"/>
        <w:rPr>
          <w:sz w:val="22"/>
          <w:szCs w:val="22"/>
          <w:lang w:val="fr-FR"/>
        </w:rPr>
      </w:pPr>
      <w:r w:rsidRPr="00D308B8">
        <w:rPr>
          <w:sz w:val="22"/>
          <w:szCs w:val="22"/>
          <w:lang w:val="fr-FR"/>
        </w:rPr>
        <w:t xml:space="preserve">Ce groupe de travail a été créé par la </w:t>
      </w:r>
      <w:r w:rsidR="00ED27C6">
        <w:rPr>
          <w:sz w:val="22"/>
          <w:szCs w:val="22"/>
          <w:lang w:val="fr-FR"/>
        </w:rPr>
        <w:t>résolution</w:t>
      </w:r>
      <w:r w:rsidR="00271548">
        <w:rPr>
          <w:sz w:val="22"/>
          <w:szCs w:val="22"/>
          <w:lang w:val="fr-FR"/>
        </w:rPr>
        <w:t xml:space="preserve"> 10.26</w:t>
      </w:r>
      <w:r w:rsidR="00271548" w:rsidRPr="00271548">
        <w:rPr>
          <w:rStyle w:val="FootnoteReference"/>
          <w:sz w:val="22"/>
          <w:szCs w:val="22"/>
          <w:vertAlign w:val="superscript"/>
          <w:lang w:val="fr-FR"/>
        </w:rPr>
        <w:footnoteReference w:id="1"/>
      </w:r>
      <w:r w:rsidR="00271548">
        <w:rPr>
          <w:sz w:val="22"/>
          <w:szCs w:val="22"/>
          <w:lang w:val="fr-FR"/>
        </w:rPr>
        <w:t>, afin d’</w:t>
      </w:r>
      <w:r w:rsidRPr="00D308B8">
        <w:rPr>
          <w:sz w:val="22"/>
          <w:szCs w:val="22"/>
          <w:lang w:val="fr-FR"/>
        </w:rPr>
        <w:t xml:space="preserve">aider les Parties à la Convention sur les </w:t>
      </w:r>
      <w:r w:rsidR="00271548">
        <w:rPr>
          <w:sz w:val="22"/>
          <w:szCs w:val="22"/>
          <w:lang w:val="fr-FR"/>
        </w:rPr>
        <w:t xml:space="preserve">espèces migratrices (CMS) et </w:t>
      </w:r>
      <w:r w:rsidRPr="00D308B8">
        <w:rPr>
          <w:sz w:val="22"/>
          <w:szCs w:val="22"/>
          <w:lang w:val="fr-FR"/>
        </w:rPr>
        <w:t>s</w:t>
      </w:r>
      <w:r w:rsidR="00271548">
        <w:rPr>
          <w:sz w:val="22"/>
          <w:szCs w:val="22"/>
          <w:lang w:val="fr-FR"/>
        </w:rPr>
        <w:t>es instruments connexes, et les accords multilatéraux sur l’environnement et conventions concerné</w:t>
      </w:r>
      <w:r w:rsidRPr="00D308B8">
        <w:rPr>
          <w:sz w:val="22"/>
          <w:szCs w:val="22"/>
          <w:lang w:val="fr-FR"/>
        </w:rPr>
        <w:t>s, à examiner les causes et les conséquences de l'empoisonnement des oiseaux migrateurs, et à recommander des répons</w:t>
      </w:r>
      <w:r w:rsidR="00271548">
        <w:rPr>
          <w:sz w:val="22"/>
          <w:szCs w:val="22"/>
          <w:lang w:val="fr-FR"/>
        </w:rPr>
        <w:t>es appropriées pour résoudre les</w:t>
      </w:r>
      <w:r w:rsidRPr="00D308B8">
        <w:rPr>
          <w:sz w:val="22"/>
          <w:szCs w:val="22"/>
          <w:lang w:val="fr-FR"/>
        </w:rPr>
        <w:t xml:space="preserve"> problèmes. </w:t>
      </w:r>
    </w:p>
    <w:p w14:paraId="4622F90A" w14:textId="77777777" w:rsidR="00F61732" w:rsidRDefault="00F61732" w:rsidP="00F61732">
      <w:pPr>
        <w:widowControl/>
        <w:tabs>
          <w:tab w:val="left" w:pos="0"/>
        </w:tabs>
        <w:autoSpaceDE/>
        <w:autoSpaceDN/>
        <w:adjustRightInd/>
        <w:jc w:val="both"/>
        <w:rPr>
          <w:sz w:val="22"/>
          <w:szCs w:val="22"/>
          <w:lang w:val="fr-FR"/>
        </w:rPr>
      </w:pPr>
    </w:p>
    <w:p w14:paraId="1BA6FE37" w14:textId="77777777" w:rsidR="00F61732" w:rsidRPr="00F61732" w:rsidRDefault="00D308B8" w:rsidP="00F61732">
      <w:pPr>
        <w:widowControl/>
        <w:tabs>
          <w:tab w:val="left" w:pos="0"/>
        </w:tabs>
        <w:autoSpaceDE/>
        <w:autoSpaceDN/>
        <w:adjustRightInd/>
        <w:jc w:val="both"/>
        <w:rPr>
          <w:b/>
          <w:sz w:val="22"/>
          <w:szCs w:val="22"/>
          <w:lang w:val="fr-FR"/>
        </w:rPr>
      </w:pPr>
      <w:r w:rsidRPr="00F61732">
        <w:rPr>
          <w:b/>
          <w:sz w:val="22"/>
          <w:szCs w:val="22"/>
          <w:lang w:val="fr-FR"/>
        </w:rPr>
        <w:t xml:space="preserve">2. Rôle et portée </w:t>
      </w:r>
    </w:p>
    <w:p w14:paraId="46B8D537" w14:textId="711004B2" w:rsidR="00F61732" w:rsidRDefault="00D308B8" w:rsidP="00F61732">
      <w:pPr>
        <w:widowControl/>
        <w:tabs>
          <w:tab w:val="left" w:pos="0"/>
        </w:tabs>
        <w:autoSpaceDE/>
        <w:autoSpaceDN/>
        <w:adjustRightInd/>
        <w:jc w:val="both"/>
        <w:rPr>
          <w:sz w:val="22"/>
          <w:szCs w:val="22"/>
          <w:lang w:val="fr-FR"/>
        </w:rPr>
      </w:pPr>
      <w:r w:rsidRPr="00D308B8">
        <w:rPr>
          <w:sz w:val="22"/>
          <w:szCs w:val="22"/>
          <w:lang w:val="fr-FR"/>
        </w:rPr>
        <w:t>Le rôle du Groupe de travail est de</w:t>
      </w:r>
      <w:r w:rsidR="00B71136">
        <w:rPr>
          <w:sz w:val="22"/>
          <w:szCs w:val="22"/>
          <w:lang w:val="fr-FR"/>
        </w:rPr>
        <w:t xml:space="preserve"> faciliter des initiatives, des actions et d</w:t>
      </w:r>
      <w:r w:rsidRPr="00D308B8">
        <w:rPr>
          <w:sz w:val="22"/>
          <w:szCs w:val="22"/>
          <w:lang w:val="fr-FR"/>
        </w:rPr>
        <w:t>es procédures</w:t>
      </w:r>
      <w:r w:rsidR="00B71136">
        <w:rPr>
          <w:sz w:val="22"/>
          <w:szCs w:val="22"/>
          <w:lang w:val="fr-FR"/>
        </w:rPr>
        <w:t xml:space="preserve"> concertées pour prévenir</w:t>
      </w:r>
      <w:r w:rsidRPr="00D308B8">
        <w:rPr>
          <w:sz w:val="22"/>
          <w:szCs w:val="22"/>
          <w:lang w:val="fr-FR"/>
        </w:rPr>
        <w:t xml:space="preserve"> l'empoisonnement des oiseaux migrateurs. Son champ d'application géographique est mondial. </w:t>
      </w:r>
      <w:r w:rsidR="00B71136">
        <w:rPr>
          <w:sz w:val="22"/>
          <w:szCs w:val="22"/>
          <w:lang w:val="fr-FR"/>
        </w:rPr>
        <w:t>Le groupe de travail examinera</w:t>
      </w:r>
      <w:r w:rsidRPr="00D308B8">
        <w:rPr>
          <w:sz w:val="22"/>
          <w:szCs w:val="22"/>
          <w:lang w:val="fr-FR"/>
        </w:rPr>
        <w:t xml:space="preserve"> tous les taxons d'oise</w:t>
      </w:r>
      <w:r w:rsidR="00B71136">
        <w:rPr>
          <w:sz w:val="22"/>
          <w:szCs w:val="22"/>
          <w:lang w:val="fr-FR"/>
        </w:rPr>
        <w:t xml:space="preserve">aux migrateurs identifiés </w:t>
      </w:r>
      <w:r w:rsidRPr="00D308B8">
        <w:rPr>
          <w:sz w:val="22"/>
          <w:szCs w:val="22"/>
          <w:lang w:val="fr-FR"/>
        </w:rPr>
        <w:t>par la</w:t>
      </w:r>
      <w:r w:rsidR="00B71136">
        <w:rPr>
          <w:sz w:val="22"/>
          <w:szCs w:val="22"/>
          <w:lang w:val="fr-FR"/>
        </w:rPr>
        <w:t xml:space="preserve"> CMS et ses instruments connexes</w:t>
      </w:r>
      <w:r w:rsidRPr="00D308B8">
        <w:rPr>
          <w:sz w:val="22"/>
          <w:szCs w:val="22"/>
          <w:lang w:val="fr-FR"/>
        </w:rPr>
        <w:t xml:space="preserve"> concernés. </w:t>
      </w:r>
    </w:p>
    <w:p w14:paraId="7B663909" w14:textId="77777777" w:rsidR="00F61732" w:rsidRDefault="00F61732" w:rsidP="00F61732">
      <w:pPr>
        <w:widowControl/>
        <w:tabs>
          <w:tab w:val="left" w:pos="0"/>
        </w:tabs>
        <w:autoSpaceDE/>
        <w:autoSpaceDN/>
        <w:adjustRightInd/>
        <w:jc w:val="both"/>
        <w:rPr>
          <w:sz w:val="22"/>
          <w:szCs w:val="22"/>
          <w:lang w:val="fr-FR"/>
        </w:rPr>
      </w:pPr>
    </w:p>
    <w:p w14:paraId="11457C9B" w14:textId="77777777" w:rsidR="00F61732" w:rsidRPr="00F61732" w:rsidRDefault="00D308B8" w:rsidP="00F61732">
      <w:pPr>
        <w:widowControl/>
        <w:tabs>
          <w:tab w:val="left" w:pos="0"/>
        </w:tabs>
        <w:autoSpaceDE/>
        <w:autoSpaceDN/>
        <w:adjustRightInd/>
        <w:jc w:val="both"/>
        <w:rPr>
          <w:b/>
          <w:sz w:val="22"/>
          <w:szCs w:val="22"/>
          <w:lang w:val="fr-FR"/>
        </w:rPr>
      </w:pPr>
      <w:r w:rsidRPr="00F61732">
        <w:rPr>
          <w:b/>
          <w:sz w:val="22"/>
          <w:szCs w:val="22"/>
          <w:lang w:val="fr-FR"/>
        </w:rPr>
        <w:t xml:space="preserve">3. Attributions </w:t>
      </w:r>
    </w:p>
    <w:p w14:paraId="24F3747C" w14:textId="154A2AD8" w:rsidR="004B719B" w:rsidRDefault="00B71136" w:rsidP="00F61732">
      <w:pPr>
        <w:widowControl/>
        <w:tabs>
          <w:tab w:val="left" w:pos="0"/>
        </w:tabs>
        <w:autoSpaceDE/>
        <w:autoSpaceDN/>
        <w:adjustRightInd/>
        <w:jc w:val="both"/>
        <w:rPr>
          <w:sz w:val="22"/>
          <w:szCs w:val="22"/>
          <w:lang w:val="fr-FR"/>
        </w:rPr>
      </w:pPr>
      <w:r>
        <w:rPr>
          <w:sz w:val="22"/>
          <w:szCs w:val="22"/>
          <w:lang w:val="fr-FR"/>
        </w:rPr>
        <w:t>Le groupe de travail a pour fonctions de</w:t>
      </w:r>
      <w:r w:rsidR="00D308B8" w:rsidRPr="00D308B8">
        <w:rPr>
          <w:sz w:val="22"/>
          <w:szCs w:val="22"/>
          <w:lang w:val="fr-FR"/>
        </w:rPr>
        <w:t xml:space="preserve"> : </w:t>
      </w:r>
    </w:p>
    <w:p w14:paraId="6A4230F2" w14:textId="77777777" w:rsidR="004B719B" w:rsidRDefault="004B719B" w:rsidP="00F61732">
      <w:pPr>
        <w:widowControl/>
        <w:tabs>
          <w:tab w:val="left" w:pos="0"/>
        </w:tabs>
        <w:autoSpaceDE/>
        <w:autoSpaceDN/>
        <w:adjustRightInd/>
        <w:jc w:val="both"/>
        <w:rPr>
          <w:sz w:val="22"/>
          <w:szCs w:val="22"/>
          <w:lang w:val="fr-FR"/>
        </w:rPr>
      </w:pPr>
    </w:p>
    <w:p w14:paraId="085CB252" w14:textId="6B0971EB" w:rsidR="004B719B" w:rsidRPr="004B719B" w:rsidRDefault="00B71136" w:rsidP="004B719B">
      <w:pPr>
        <w:widowControl/>
        <w:tabs>
          <w:tab w:val="left" w:pos="0"/>
        </w:tabs>
        <w:autoSpaceDE/>
        <w:autoSpaceDN/>
        <w:adjustRightInd/>
        <w:rPr>
          <w:b/>
          <w:sz w:val="22"/>
          <w:szCs w:val="22"/>
          <w:lang w:val="fr-FR"/>
        </w:rPr>
      </w:pPr>
      <w:r>
        <w:rPr>
          <w:b/>
          <w:sz w:val="22"/>
          <w:szCs w:val="22"/>
          <w:lang w:val="fr-FR"/>
        </w:rPr>
        <w:t>Appuyer la mise en œuvre des L</w:t>
      </w:r>
      <w:r w:rsidR="00D308B8" w:rsidRPr="004B719B">
        <w:rPr>
          <w:b/>
          <w:sz w:val="22"/>
          <w:szCs w:val="22"/>
          <w:lang w:val="fr-FR"/>
        </w:rPr>
        <w:t xml:space="preserve">ignes directrices sur la prévention de l’empoisonnement </w:t>
      </w:r>
    </w:p>
    <w:p w14:paraId="7960310D" w14:textId="77777777" w:rsidR="004B719B" w:rsidRDefault="004B719B" w:rsidP="00F61732">
      <w:pPr>
        <w:widowControl/>
        <w:tabs>
          <w:tab w:val="left" w:pos="0"/>
        </w:tabs>
        <w:autoSpaceDE/>
        <w:autoSpaceDN/>
        <w:adjustRightInd/>
        <w:jc w:val="both"/>
        <w:rPr>
          <w:sz w:val="22"/>
          <w:szCs w:val="22"/>
          <w:lang w:val="fr-FR"/>
        </w:rPr>
      </w:pPr>
    </w:p>
    <w:p w14:paraId="04273C57" w14:textId="3B0BB483"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a. </w:t>
      </w:r>
      <w:r w:rsidR="004B719B">
        <w:rPr>
          <w:sz w:val="22"/>
          <w:szCs w:val="22"/>
          <w:lang w:val="fr-FR"/>
        </w:rPr>
        <w:tab/>
      </w:r>
      <w:r w:rsidRPr="00D308B8">
        <w:rPr>
          <w:sz w:val="22"/>
          <w:szCs w:val="22"/>
          <w:lang w:val="fr-FR"/>
        </w:rPr>
        <w:t>Faciliter l</w:t>
      </w:r>
      <w:r w:rsidR="00B71136">
        <w:rPr>
          <w:sz w:val="22"/>
          <w:szCs w:val="22"/>
          <w:lang w:val="fr-FR"/>
        </w:rPr>
        <w:t>a mise en œuvre des L</w:t>
      </w:r>
      <w:r w:rsidRPr="00D308B8">
        <w:rPr>
          <w:sz w:val="22"/>
          <w:szCs w:val="22"/>
          <w:lang w:val="fr-FR"/>
        </w:rPr>
        <w:t xml:space="preserve">ignes directrices sur la prévention de l’empoisonnement et d'autres résolutions pertinentes adoptées par la COP 11, ainsi que d'autres cadres pertinents pour </w:t>
      </w:r>
      <w:r w:rsidR="00B71136">
        <w:rPr>
          <w:sz w:val="22"/>
          <w:szCs w:val="22"/>
          <w:lang w:val="fr-FR"/>
        </w:rPr>
        <w:t xml:space="preserve">des </w:t>
      </w:r>
      <w:proofErr w:type="gramStart"/>
      <w:r w:rsidRPr="00D308B8">
        <w:rPr>
          <w:sz w:val="22"/>
          <w:szCs w:val="22"/>
          <w:lang w:val="fr-FR"/>
        </w:rPr>
        <w:t>action</w:t>
      </w:r>
      <w:r w:rsidR="00B71136">
        <w:rPr>
          <w:sz w:val="22"/>
          <w:szCs w:val="22"/>
          <w:lang w:val="fr-FR"/>
        </w:rPr>
        <w:t>s</w:t>
      </w:r>
      <w:r w:rsidRPr="00D308B8">
        <w:rPr>
          <w:sz w:val="22"/>
          <w:szCs w:val="22"/>
          <w:lang w:val="fr-FR"/>
        </w:rPr>
        <w:t>;</w:t>
      </w:r>
      <w:proofErr w:type="gramEnd"/>
      <w:r w:rsidRPr="00D308B8">
        <w:rPr>
          <w:sz w:val="22"/>
          <w:szCs w:val="22"/>
          <w:lang w:val="fr-FR"/>
        </w:rPr>
        <w:t xml:space="preserve"> </w:t>
      </w:r>
    </w:p>
    <w:p w14:paraId="40DFDB57" w14:textId="77777777" w:rsidR="004B719B" w:rsidRDefault="004B719B" w:rsidP="004B719B">
      <w:pPr>
        <w:widowControl/>
        <w:tabs>
          <w:tab w:val="left" w:pos="709"/>
        </w:tabs>
        <w:autoSpaceDE/>
        <w:autoSpaceDN/>
        <w:adjustRightInd/>
        <w:ind w:left="709" w:hanging="709"/>
        <w:jc w:val="both"/>
        <w:rPr>
          <w:sz w:val="22"/>
          <w:szCs w:val="22"/>
          <w:lang w:val="fr-FR"/>
        </w:rPr>
      </w:pPr>
    </w:p>
    <w:p w14:paraId="63562058" w14:textId="3631A279"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b. </w:t>
      </w:r>
      <w:r w:rsidR="004B719B">
        <w:rPr>
          <w:sz w:val="22"/>
          <w:szCs w:val="22"/>
          <w:lang w:val="fr-FR"/>
        </w:rPr>
        <w:tab/>
      </w:r>
      <w:r w:rsidR="00B71136">
        <w:rPr>
          <w:sz w:val="22"/>
          <w:szCs w:val="22"/>
          <w:lang w:val="fr-FR"/>
        </w:rPr>
        <w:t xml:space="preserve">Définir et mettre en œuvre des priorités pour ses </w:t>
      </w:r>
      <w:proofErr w:type="gramStart"/>
      <w:r w:rsidR="00B71136">
        <w:rPr>
          <w:sz w:val="22"/>
          <w:szCs w:val="22"/>
          <w:lang w:val="fr-FR"/>
        </w:rPr>
        <w:t>travaux</w:t>
      </w:r>
      <w:r w:rsidRPr="00D308B8">
        <w:rPr>
          <w:sz w:val="22"/>
          <w:szCs w:val="22"/>
          <w:lang w:val="fr-FR"/>
        </w:rPr>
        <w:t>;</w:t>
      </w:r>
      <w:proofErr w:type="gramEnd"/>
      <w:r w:rsidRPr="00D308B8">
        <w:rPr>
          <w:sz w:val="22"/>
          <w:szCs w:val="22"/>
          <w:lang w:val="fr-FR"/>
        </w:rPr>
        <w:t xml:space="preserve"> </w:t>
      </w:r>
    </w:p>
    <w:p w14:paraId="49078FE6" w14:textId="77777777" w:rsidR="004B719B" w:rsidRDefault="004B719B" w:rsidP="004B719B">
      <w:pPr>
        <w:widowControl/>
        <w:tabs>
          <w:tab w:val="left" w:pos="709"/>
        </w:tabs>
        <w:autoSpaceDE/>
        <w:autoSpaceDN/>
        <w:adjustRightInd/>
        <w:ind w:left="709" w:hanging="709"/>
        <w:jc w:val="both"/>
        <w:rPr>
          <w:sz w:val="22"/>
          <w:szCs w:val="22"/>
          <w:lang w:val="fr-FR"/>
        </w:rPr>
      </w:pPr>
    </w:p>
    <w:p w14:paraId="429709D5" w14:textId="3C683874"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c. </w:t>
      </w:r>
      <w:r w:rsidR="004B719B">
        <w:rPr>
          <w:sz w:val="22"/>
          <w:szCs w:val="22"/>
          <w:lang w:val="fr-FR"/>
        </w:rPr>
        <w:tab/>
      </w:r>
      <w:r w:rsidR="00B71136">
        <w:rPr>
          <w:sz w:val="22"/>
          <w:szCs w:val="22"/>
          <w:lang w:val="fr-FR"/>
        </w:rPr>
        <w:t>Réviser périodiquement l</w:t>
      </w:r>
      <w:r w:rsidRPr="00D308B8">
        <w:rPr>
          <w:sz w:val="22"/>
          <w:szCs w:val="22"/>
          <w:lang w:val="fr-FR"/>
        </w:rPr>
        <w:t xml:space="preserve">es lignes directrices à la lumière des </w:t>
      </w:r>
      <w:r w:rsidR="00B71136">
        <w:rPr>
          <w:sz w:val="22"/>
          <w:szCs w:val="22"/>
          <w:lang w:val="fr-FR"/>
        </w:rPr>
        <w:t xml:space="preserve">résultats des nouvelles </w:t>
      </w:r>
      <w:r w:rsidRPr="00D308B8">
        <w:rPr>
          <w:sz w:val="22"/>
          <w:szCs w:val="22"/>
          <w:lang w:val="fr-FR"/>
        </w:rPr>
        <w:t>recherche</w:t>
      </w:r>
      <w:r w:rsidR="00B71136">
        <w:rPr>
          <w:sz w:val="22"/>
          <w:szCs w:val="22"/>
          <w:lang w:val="fr-FR"/>
        </w:rPr>
        <w:t>s</w:t>
      </w:r>
      <w:r w:rsidRPr="00D308B8">
        <w:rPr>
          <w:sz w:val="22"/>
          <w:szCs w:val="22"/>
          <w:lang w:val="fr-FR"/>
        </w:rPr>
        <w:t xml:space="preserve"> et d'autres informations pertinentes</w:t>
      </w:r>
      <w:r w:rsidR="00B71136">
        <w:rPr>
          <w:sz w:val="22"/>
          <w:szCs w:val="22"/>
          <w:lang w:val="fr-FR"/>
        </w:rPr>
        <w:t xml:space="preserve">, et </w:t>
      </w:r>
      <w:r w:rsidRPr="00D308B8">
        <w:rPr>
          <w:sz w:val="22"/>
          <w:szCs w:val="22"/>
          <w:lang w:val="fr-FR"/>
        </w:rPr>
        <w:t xml:space="preserve">rendre compte des développements pertinents au Conseil </w:t>
      </w:r>
      <w:proofErr w:type="gramStart"/>
      <w:r w:rsidRPr="00D308B8">
        <w:rPr>
          <w:sz w:val="22"/>
          <w:szCs w:val="22"/>
          <w:lang w:val="fr-FR"/>
        </w:rPr>
        <w:t>scientifique;</w:t>
      </w:r>
      <w:proofErr w:type="gramEnd"/>
      <w:r w:rsidRPr="00D308B8">
        <w:rPr>
          <w:sz w:val="22"/>
          <w:szCs w:val="22"/>
          <w:lang w:val="fr-FR"/>
        </w:rPr>
        <w:t xml:space="preserve"> </w:t>
      </w:r>
    </w:p>
    <w:p w14:paraId="1F95A63E" w14:textId="77777777" w:rsidR="004B719B" w:rsidRDefault="004B719B" w:rsidP="004B719B">
      <w:pPr>
        <w:widowControl/>
        <w:tabs>
          <w:tab w:val="left" w:pos="709"/>
        </w:tabs>
        <w:autoSpaceDE/>
        <w:autoSpaceDN/>
        <w:adjustRightInd/>
        <w:ind w:left="709" w:hanging="709"/>
        <w:jc w:val="both"/>
        <w:rPr>
          <w:sz w:val="22"/>
          <w:szCs w:val="22"/>
          <w:lang w:val="fr-FR"/>
        </w:rPr>
      </w:pPr>
    </w:p>
    <w:p w14:paraId="5C6BB863" w14:textId="610B7A74"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d. </w:t>
      </w:r>
      <w:r w:rsidR="004B719B">
        <w:rPr>
          <w:sz w:val="22"/>
          <w:szCs w:val="22"/>
          <w:lang w:val="fr-FR"/>
        </w:rPr>
        <w:tab/>
      </w:r>
      <w:r w:rsidR="00B71136">
        <w:rPr>
          <w:sz w:val="22"/>
          <w:szCs w:val="22"/>
          <w:lang w:val="fr-FR"/>
        </w:rPr>
        <w:t>Faciliter</w:t>
      </w:r>
      <w:r w:rsidRPr="00D308B8">
        <w:rPr>
          <w:sz w:val="22"/>
          <w:szCs w:val="22"/>
          <w:lang w:val="fr-FR"/>
        </w:rPr>
        <w:t xml:space="preserve"> la mobilisation de ressources pour des actions </w:t>
      </w:r>
      <w:proofErr w:type="gramStart"/>
      <w:r w:rsidRPr="00D308B8">
        <w:rPr>
          <w:sz w:val="22"/>
          <w:szCs w:val="22"/>
          <w:lang w:val="fr-FR"/>
        </w:rPr>
        <w:t>prioritaires;</w:t>
      </w:r>
      <w:proofErr w:type="gramEnd"/>
      <w:r w:rsidRPr="00D308B8">
        <w:rPr>
          <w:sz w:val="22"/>
          <w:szCs w:val="22"/>
          <w:lang w:val="fr-FR"/>
        </w:rPr>
        <w:t xml:space="preserve"> </w:t>
      </w:r>
    </w:p>
    <w:p w14:paraId="73D2CB23" w14:textId="77777777" w:rsidR="004B719B" w:rsidRDefault="004B719B" w:rsidP="004B719B">
      <w:pPr>
        <w:widowControl/>
        <w:tabs>
          <w:tab w:val="left" w:pos="709"/>
        </w:tabs>
        <w:autoSpaceDE/>
        <w:autoSpaceDN/>
        <w:adjustRightInd/>
        <w:ind w:left="709" w:hanging="709"/>
        <w:jc w:val="both"/>
        <w:rPr>
          <w:sz w:val="22"/>
          <w:szCs w:val="22"/>
          <w:lang w:val="fr-FR"/>
        </w:rPr>
      </w:pPr>
    </w:p>
    <w:p w14:paraId="2A50FE89" w14:textId="0AFB480B"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e. </w:t>
      </w:r>
      <w:r w:rsidR="004B719B">
        <w:rPr>
          <w:sz w:val="22"/>
          <w:szCs w:val="22"/>
          <w:lang w:val="fr-FR"/>
        </w:rPr>
        <w:tab/>
      </w:r>
      <w:r w:rsidRPr="00D308B8">
        <w:rPr>
          <w:sz w:val="22"/>
          <w:szCs w:val="22"/>
          <w:lang w:val="fr-FR"/>
        </w:rPr>
        <w:t>Chercher acti</w:t>
      </w:r>
      <w:r w:rsidR="00B71136">
        <w:rPr>
          <w:sz w:val="22"/>
          <w:szCs w:val="22"/>
          <w:lang w:val="fr-FR"/>
        </w:rPr>
        <w:t xml:space="preserve">vement l'engagement et la consultation des industries </w:t>
      </w:r>
      <w:r w:rsidRPr="00D308B8">
        <w:rPr>
          <w:sz w:val="22"/>
          <w:szCs w:val="22"/>
          <w:lang w:val="fr-FR"/>
        </w:rPr>
        <w:t>de l'agrochimie et de la pharmacie vétérinaire</w:t>
      </w:r>
      <w:r w:rsidR="00B71136">
        <w:rPr>
          <w:sz w:val="22"/>
          <w:szCs w:val="22"/>
          <w:lang w:val="fr-FR"/>
        </w:rPr>
        <w:t xml:space="preserve"> concernées</w:t>
      </w:r>
      <w:r w:rsidRPr="00D308B8">
        <w:rPr>
          <w:sz w:val="22"/>
          <w:szCs w:val="22"/>
          <w:lang w:val="fr-FR"/>
        </w:rPr>
        <w:t xml:space="preserve">, </w:t>
      </w:r>
      <w:r w:rsidR="00B71136">
        <w:rPr>
          <w:sz w:val="22"/>
          <w:szCs w:val="22"/>
          <w:lang w:val="fr-FR"/>
        </w:rPr>
        <w:t>ainsi que d</w:t>
      </w:r>
      <w:r w:rsidRPr="00D308B8">
        <w:rPr>
          <w:sz w:val="22"/>
          <w:szCs w:val="22"/>
          <w:lang w:val="fr-FR"/>
        </w:rPr>
        <w:t xml:space="preserve">es entreprises fabriquant des munitions ou des poids de pêche en </w:t>
      </w:r>
      <w:proofErr w:type="gramStart"/>
      <w:r w:rsidRPr="00D308B8">
        <w:rPr>
          <w:sz w:val="22"/>
          <w:szCs w:val="22"/>
          <w:lang w:val="fr-FR"/>
        </w:rPr>
        <w:t>plomb;</w:t>
      </w:r>
      <w:proofErr w:type="gramEnd"/>
      <w:r w:rsidRPr="00D308B8">
        <w:rPr>
          <w:sz w:val="22"/>
          <w:szCs w:val="22"/>
          <w:lang w:val="fr-FR"/>
        </w:rPr>
        <w:t xml:space="preserve"> </w:t>
      </w:r>
    </w:p>
    <w:p w14:paraId="6ED0FF7C" w14:textId="77777777" w:rsidR="004B719B" w:rsidRDefault="004B719B" w:rsidP="004B719B">
      <w:pPr>
        <w:widowControl/>
        <w:tabs>
          <w:tab w:val="left" w:pos="709"/>
        </w:tabs>
        <w:autoSpaceDE/>
        <w:autoSpaceDN/>
        <w:adjustRightInd/>
        <w:ind w:left="709" w:hanging="709"/>
        <w:jc w:val="both"/>
        <w:rPr>
          <w:sz w:val="22"/>
          <w:szCs w:val="22"/>
          <w:lang w:val="fr-FR"/>
        </w:rPr>
      </w:pPr>
    </w:p>
    <w:p w14:paraId="3148BA6E" w14:textId="4DC4F29D"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f. </w:t>
      </w:r>
      <w:r w:rsidR="004B719B">
        <w:rPr>
          <w:sz w:val="22"/>
          <w:szCs w:val="22"/>
          <w:lang w:val="fr-FR"/>
        </w:rPr>
        <w:tab/>
      </w:r>
      <w:r w:rsidRPr="00D308B8">
        <w:rPr>
          <w:sz w:val="22"/>
          <w:szCs w:val="22"/>
          <w:lang w:val="fr-FR"/>
        </w:rPr>
        <w:t>Examiner</w:t>
      </w:r>
      <w:r w:rsidR="00B71136">
        <w:rPr>
          <w:sz w:val="22"/>
          <w:szCs w:val="22"/>
          <w:lang w:val="fr-FR"/>
        </w:rPr>
        <w:t>, prendre en compte et diffus</w:t>
      </w:r>
      <w:r w:rsidRPr="00D308B8">
        <w:rPr>
          <w:sz w:val="22"/>
          <w:szCs w:val="22"/>
          <w:lang w:val="fr-FR"/>
        </w:rPr>
        <w:t xml:space="preserve">er les bonnes pratiques lorsque des poisons sont utilisés comme outils de gestion dans la protection des oiseaux migrateurs et d'autres </w:t>
      </w:r>
      <w:r w:rsidR="00B71136">
        <w:rPr>
          <w:sz w:val="22"/>
          <w:szCs w:val="22"/>
          <w:lang w:val="fr-FR"/>
        </w:rPr>
        <w:t xml:space="preserve">éléments de la </w:t>
      </w:r>
      <w:proofErr w:type="gramStart"/>
      <w:r w:rsidR="00B71136">
        <w:rPr>
          <w:sz w:val="22"/>
          <w:szCs w:val="22"/>
          <w:lang w:val="fr-FR"/>
        </w:rPr>
        <w:t>biodiversité</w:t>
      </w:r>
      <w:r w:rsidRPr="00D308B8">
        <w:rPr>
          <w:sz w:val="22"/>
          <w:szCs w:val="22"/>
          <w:lang w:val="fr-FR"/>
        </w:rPr>
        <w:t>;</w:t>
      </w:r>
      <w:proofErr w:type="gramEnd"/>
      <w:r w:rsidRPr="00D308B8">
        <w:rPr>
          <w:sz w:val="22"/>
          <w:szCs w:val="22"/>
          <w:lang w:val="fr-FR"/>
        </w:rPr>
        <w:t xml:space="preserve"> </w:t>
      </w:r>
    </w:p>
    <w:p w14:paraId="7656B23D" w14:textId="77777777" w:rsidR="004B719B" w:rsidRDefault="004B719B" w:rsidP="004B719B">
      <w:pPr>
        <w:widowControl/>
        <w:tabs>
          <w:tab w:val="left" w:pos="709"/>
        </w:tabs>
        <w:autoSpaceDE/>
        <w:autoSpaceDN/>
        <w:adjustRightInd/>
        <w:ind w:left="709" w:hanging="709"/>
        <w:jc w:val="both"/>
        <w:rPr>
          <w:sz w:val="22"/>
          <w:szCs w:val="22"/>
          <w:lang w:val="fr-FR"/>
        </w:rPr>
      </w:pPr>
    </w:p>
    <w:p w14:paraId="75E26CFB" w14:textId="47708827"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g. </w:t>
      </w:r>
      <w:r w:rsidR="004B719B">
        <w:rPr>
          <w:sz w:val="22"/>
          <w:szCs w:val="22"/>
          <w:lang w:val="fr-FR"/>
        </w:rPr>
        <w:tab/>
      </w:r>
      <w:r w:rsidRPr="00D308B8">
        <w:rPr>
          <w:sz w:val="22"/>
          <w:szCs w:val="22"/>
          <w:lang w:val="fr-FR"/>
        </w:rPr>
        <w:t>Encourager une large traduction et diffusion des lignes directrices</w:t>
      </w:r>
      <w:r w:rsidR="00B71136">
        <w:rPr>
          <w:sz w:val="22"/>
          <w:szCs w:val="22"/>
          <w:lang w:val="fr-FR"/>
        </w:rPr>
        <w:t xml:space="preserve"> au sein</w:t>
      </w:r>
      <w:r w:rsidRPr="00D308B8">
        <w:rPr>
          <w:sz w:val="22"/>
          <w:szCs w:val="22"/>
          <w:lang w:val="fr-FR"/>
        </w:rPr>
        <w:t xml:space="preserve"> des </w:t>
      </w:r>
      <w:r w:rsidR="00B71136">
        <w:rPr>
          <w:sz w:val="22"/>
          <w:szCs w:val="22"/>
          <w:lang w:val="fr-FR"/>
        </w:rPr>
        <w:t xml:space="preserve">réseaux concernés, ainsi que pour les </w:t>
      </w:r>
      <w:r w:rsidRPr="00D308B8">
        <w:rPr>
          <w:sz w:val="22"/>
          <w:szCs w:val="22"/>
          <w:lang w:val="fr-FR"/>
        </w:rPr>
        <w:t xml:space="preserve">utilisateurs finaux et </w:t>
      </w:r>
      <w:proofErr w:type="gramStart"/>
      <w:r w:rsidRPr="00D308B8">
        <w:rPr>
          <w:sz w:val="22"/>
          <w:szCs w:val="22"/>
          <w:lang w:val="fr-FR"/>
        </w:rPr>
        <w:t>autres;</w:t>
      </w:r>
      <w:proofErr w:type="gramEnd"/>
      <w:r w:rsidRPr="00D308B8">
        <w:rPr>
          <w:sz w:val="22"/>
          <w:szCs w:val="22"/>
          <w:lang w:val="fr-FR"/>
        </w:rPr>
        <w:t xml:space="preserve"> </w:t>
      </w:r>
    </w:p>
    <w:p w14:paraId="48392BC9" w14:textId="77777777" w:rsidR="004B719B" w:rsidRDefault="004B719B" w:rsidP="004B719B">
      <w:pPr>
        <w:widowControl/>
        <w:tabs>
          <w:tab w:val="left" w:pos="709"/>
        </w:tabs>
        <w:autoSpaceDE/>
        <w:autoSpaceDN/>
        <w:adjustRightInd/>
        <w:ind w:left="709" w:hanging="709"/>
        <w:jc w:val="both"/>
        <w:rPr>
          <w:sz w:val="22"/>
          <w:szCs w:val="22"/>
          <w:lang w:val="fr-FR"/>
        </w:rPr>
      </w:pPr>
    </w:p>
    <w:p w14:paraId="6AC53BA3" w14:textId="36EF424A" w:rsidR="00EE212D"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h. </w:t>
      </w:r>
      <w:r w:rsidR="004B719B">
        <w:rPr>
          <w:sz w:val="22"/>
          <w:szCs w:val="22"/>
          <w:lang w:val="fr-FR"/>
        </w:rPr>
        <w:tab/>
      </w:r>
      <w:r w:rsidRPr="00D308B8">
        <w:rPr>
          <w:sz w:val="22"/>
          <w:szCs w:val="22"/>
          <w:lang w:val="fr-FR"/>
        </w:rPr>
        <w:t>Surveiller la mise en œuvre des décisions et des plans pertinents et leur efficacité</w:t>
      </w:r>
      <w:r w:rsidR="00B71136">
        <w:rPr>
          <w:sz w:val="22"/>
          <w:szCs w:val="22"/>
          <w:lang w:val="fr-FR"/>
        </w:rPr>
        <w:t>,</w:t>
      </w:r>
      <w:r w:rsidRPr="00D308B8">
        <w:rPr>
          <w:sz w:val="22"/>
          <w:szCs w:val="22"/>
          <w:lang w:val="fr-FR"/>
        </w:rPr>
        <w:t xml:space="preserve"> et pr</w:t>
      </w:r>
      <w:r w:rsidR="00B71136">
        <w:rPr>
          <w:sz w:val="22"/>
          <w:szCs w:val="22"/>
          <w:lang w:val="fr-FR"/>
        </w:rPr>
        <w:t xml:space="preserve">ésenter des rapports d’activité aux organes directeurs des accords multilatéraux sur l’environnement </w:t>
      </w:r>
      <w:proofErr w:type="gramStart"/>
      <w:r w:rsidR="00B71136">
        <w:rPr>
          <w:sz w:val="22"/>
          <w:szCs w:val="22"/>
          <w:lang w:val="fr-FR"/>
        </w:rPr>
        <w:t>participant</w:t>
      </w:r>
      <w:r w:rsidRPr="00D308B8">
        <w:rPr>
          <w:sz w:val="22"/>
          <w:szCs w:val="22"/>
          <w:lang w:val="fr-FR"/>
        </w:rPr>
        <w:t>s;</w:t>
      </w:r>
      <w:proofErr w:type="gramEnd"/>
      <w:r w:rsidRPr="00D308B8">
        <w:rPr>
          <w:sz w:val="22"/>
          <w:szCs w:val="22"/>
          <w:lang w:val="fr-FR"/>
        </w:rPr>
        <w:t xml:space="preserve"> </w:t>
      </w:r>
    </w:p>
    <w:p w14:paraId="78571431" w14:textId="77777777" w:rsidR="00EE212D" w:rsidRDefault="00EE212D" w:rsidP="004B719B">
      <w:pPr>
        <w:widowControl/>
        <w:tabs>
          <w:tab w:val="left" w:pos="709"/>
        </w:tabs>
        <w:autoSpaceDE/>
        <w:autoSpaceDN/>
        <w:adjustRightInd/>
        <w:ind w:left="709" w:hanging="709"/>
        <w:jc w:val="both"/>
        <w:rPr>
          <w:sz w:val="22"/>
          <w:szCs w:val="22"/>
          <w:lang w:val="fr-FR"/>
        </w:rPr>
      </w:pPr>
    </w:p>
    <w:p w14:paraId="5ACB329E" w14:textId="1826786D"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i. </w:t>
      </w:r>
      <w:r w:rsidR="00EE212D">
        <w:rPr>
          <w:sz w:val="22"/>
          <w:szCs w:val="22"/>
          <w:lang w:val="fr-FR"/>
        </w:rPr>
        <w:tab/>
      </w:r>
      <w:r w:rsidR="00B71136">
        <w:rPr>
          <w:sz w:val="22"/>
          <w:szCs w:val="22"/>
          <w:lang w:val="fr-FR"/>
        </w:rPr>
        <w:t>Stimuler une</w:t>
      </w:r>
      <w:r w:rsidRPr="00D308B8">
        <w:rPr>
          <w:sz w:val="22"/>
          <w:szCs w:val="22"/>
          <w:lang w:val="fr-FR"/>
        </w:rPr>
        <w:t xml:space="preserve"> communication</w:t>
      </w:r>
      <w:r w:rsidR="00B71136">
        <w:rPr>
          <w:sz w:val="22"/>
          <w:szCs w:val="22"/>
          <w:lang w:val="fr-FR"/>
        </w:rPr>
        <w:t xml:space="preserve"> interne et externe et le partage</w:t>
      </w:r>
      <w:r w:rsidRPr="00D308B8">
        <w:rPr>
          <w:sz w:val="22"/>
          <w:szCs w:val="22"/>
          <w:lang w:val="fr-FR"/>
        </w:rPr>
        <w:t xml:space="preserve"> d'informations, d'expériences, de bonnes pratiques et de savoir-</w:t>
      </w:r>
      <w:proofErr w:type="gramStart"/>
      <w:r w:rsidRPr="00D308B8">
        <w:rPr>
          <w:sz w:val="22"/>
          <w:szCs w:val="22"/>
          <w:lang w:val="fr-FR"/>
        </w:rPr>
        <w:t>faire;</w:t>
      </w:r>
      <w:proofErr w:type="gramEnd"/>
      <w:r w:rsidRPr="00D308B8">
        <w:rPr>
          <w:sz w:val="22"/>
          <w:szCs w:val="22"/>
          <w:lang w:val="fr-FR"/>
        </w:rPr>
        <w:t xml:space="preserve"> </w:t>
      </w:r>
    </w:p>
    <w:p w14:paraId="7F2C9F14" w14:textId="77777777" w:rsidR="004B719B" w:rsidRDefault="004B719B" w:rsidP="004B719B">
      <w:pPr>
        <w:widowControl/>
        <w:tabs>
          <w:tab w:val="left" w:pos="709"/>
        </w:tabs>
        <w:autoSpaceDE/>
        <w:autoSpaceDN/>
        <w:adjustRightInd/>
        <w:ind w:left="709" w:hanging="709"/>
        <w:jc w:val="both"/>
        <w:rPr>
          <w:sz w:val="22"/>
          <w:szCs w:val="22"/>
          <w:lang w:val="fr-FR"/>
        </w:rPr>
      </w:pPr>
    </w:p>
    <w:p w14:paraId="3B796FAC" w14:textId="4A6F65D9"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lastRenderedPageBreak/>
        <w:t xml:space="preserve">j. </w:t>
      </w:r>
      <w:r w:rsidR="004B719B">
        <w:rPr>
          <w:sz w:val="22"/>
          <w:szCs w:val="22"/>
          <w:lang w:val="fr-FR"/>
        </w:rPr>
        <w:tab/>
      </w:r>
      <w:r w:rsidRPr="00D308B8">
        <w:rPr>
          <w:sz w:val="22"/>
          <w:szCs w:val="22"/>
          <w:lang w:val="fr-FR"/>
        </w:rPr>
        <w:t xml:space="preserve">Renforcer les réseaux régionaux et </w:t>
      </w:r>
      <w:r w:rsidR="00B71136">
        <w:rPr>
          <w:sz w:val="22"/>
          <w:szCs w:val="22"/>
          <w:lang w:val="fr-FR"/>
        </w:rPr>
        <w:t>internationaux pertinents ; et é</w:t>
      </w:r>
      <w:r w:rsidRPr="00D308B8">
        <w:rPr>
          <w:sz w:val="22"/>
          <w:szCs w:val="22"/>
          <w:lang w:val="fr-FR"/>
        </w:rPr>
        <w:t xml:space="preserve">valuer les autres causes d'empoisonnement des oiseaux migrateurs </w:t>
      </w:r>
    </w:p>
    <w:p w14:paraId="5E044AA2" w14:textId="77777777" w:rsidR="004B719B" w:rsidRDefault="004B719B" w:rsidP="004B719B">
      <w:pPr>
        <w:widowControl/>
        <w:tabs>
          <w:tab w:val="left" w:pos="709"/>
        </w:tabs>
        <w:autoSpaceDE/>
        <w:autoSpaceDN/>
        <w:adjustRightInd/>
        <w:ind w:left="709" w:hanging="709"/>
        <w:jc w:val="both"/>
        <w:rPr>
          <w:sz w:val="22"/>
          <w:szCs w:val="22"/>
          <w:lang w:val="fr-FR"/>
        </w:rPr>
      </w:pPr>
    </w:p>
    <w:p w14:paraId="2F387162" w14:textId="1BFDBF76" w:rsidR="004B719B" w:rsidRDefault="00D308B8" w:rsidP="004B719B">
      <w:pPr>
        <w:widowControl/>
        <w:tabs>
          <w:tab w:val="left" w:pos="709"/>
        </w:tabs>
        <w:autoSpaceDE/>
        <w:autoSpaceDN/>
        <w:adjustRightInd/>
        <w:ind w:left="709" w:hanging="709"/>
        <w:jc w:val="both"/>
        <w:rPr>
          <w:sz w:val="22"/>
          <w:szCs w:val="22"/>
          <w:lang w:val="fr-FR"/>
        </w:rPr>
      </w:pPr>
      <w:r w:rsidRPr="00D308B8">
        <w:rPr>
          <w:sz w:val="22"/>
          <w:szCs w:val="22"/>
          <w:lang w:val="fr-FR"/>
        </w:rPr>
        <w:t xml:space="preserve">k. </w:t>
      </w:r>
      <w:r w:rsidR="004B719B">
        <w:rPr>
          <w:sz w:val="22"/>
          <w:szCs w:val="22"/>
          <w:lang w:val="fr-FR"/>
        </w:rPr>
        <w:tab/>
      </w:r>
      <w:r w:rsidR="00B71136">
        <w:rPr>
          <w:sz w:val="22"/>
          <w:szCs w:val="22"/>
          <w:lang w:val="fr-FR"/>
        </w:rPr>
        <w:t>Dans la limite des ressources disponibles, examin</w:t>
      </w:r>
      <w:r w:rsidRPr="00D308B8">
        <w:rPr>
          <w:sz w:val="22"/>
          <w:szCs w:val="22"/>
          <w:lang w:val="fr-FR"/>
        </w:rPr>
        <w:t xml:space="preserve">er le besoin de directives supplémentaires pour lutter contre les </w:t>
      </w:r>
      <w:r w:rsidR="00B71136">
        <w:rPr>
          <w:sz w:val="22"/>
          <w:szCs w:val="22"/>
          <w:lang w:val="fr-FR"/>
        </w:rPr>
        <w:t>effets d'autres types de poison</w:t>
      </w:r>
      <w:r w:rsidRPr="00D308B8">
        <w:rPr>
          <w:sz w:val="22"/>
          <w:szCs w:val="22"/>
          <w:lang w:val="fr-FR"/>
        </w:rPr>
        <w:t xml:space="preserve"> (par exemple les substances de type phéromone)</w:t>
      </w:r>
      <w:r w:rsidR="00B71136">
        <w:rPr>
          <w:sz w:val="22"/>
          <w:szCs w:val="22"/>
          <w:lang w:val="fr-FR"/>
        </w:rPr>
        <w:t xml:space="preserve"> </w:t>
      </w:r>
      <w:r w:rsidRPr="00D308B8">
        <w:rPr>
          <w:sz w:val="22"/>
          <w:szCs w:val="22"/>
          <w:lang w:val="fr-FR"/>
        </w:rPr>
        <w:t>sur les oiseaux migrateurs et les lacunes géographiq</w:t>
      </w:r>
      <w:r w:rsidR="00B10D13">
        <w:rPr>
          <w:sz w:val="22"/>
          <w:szCs w:val="22"/>
          <w:lang w:val="fr-FR"/>
        </w:rPr>
        <w:t>ues, et comment de telles lignes directrices pourraient être élaborée</w:t>
      </w:r>
      <w:r w:rsidR="004B719B">
        <w:rPr>
          <w:sz w:val="22"/>
          <w:szCs w:val="22"/>
          <w:lang w:val="fr-FR"/>
        </w:rPr>
        <w:t>s.</w:t>
      </w:r>
      <w:r w:rsidRPr="00D308B8">
        <w:rPr>
          <w:sz w:val="22"/>
          <w:szCs w:val="22"/>
          <w:lang w:val="fr-FR"/>
        </w:rPr>
        <w:t xml:space="preserve"> </w:t>
      </w:r>
    </w:p>
    <w:p w14:paraId="17B98428" w14:textId="77777777" w:rsidR="004B719B" w:rsidRDefault="004B719B" w:rsidP="004B719B">
      <w:pPr>
        <w:widowControl/>
        <w:tabs>
          <w:tab w:val="left" w:pos="709"/>
        </w:tabs>
        <w:autoSpaceDE/>
        <w:autoSpaceDN/>
        <w:adjustRightInd/>
        <w:ind w:left="709" w:hanging="709"/>
        <w:jc w:val="both"/>
        <w:rPr>
          <w:sz w:val="22"/>
          <w:szCs w:val="22"/>
          <w:lang w:val="fr-FR"/>
        </w:rPr>
      </w:pPr>
    </w:p>
    <w:p w14:paraId="524B7319" w14:textId="2068B98A" w:rsidR="00F61732" w:rsidRDefault="00B10D13" w:rsidP="004B719B">
      <w:pPr>
        <w:widowControl/>
        <w:tabs>
          <w:tab w:val="left" w:pos="0"/>
        </w:tabs>
        <w:autoSpaceDE/>
        <w:autoSpaceDN/>
        <w:adjustRightInd/>
        <w:jc w:val="both"/>
        <w:rPr>
          <w:sz w:val="22"/>
          <w:szCs w:val="22"/>
          <w:lang w:val="fr-FR"/>
        </w:rPr>
      </w:pPr>
      <w:r>
        <w:rPr>
          <w:sz w:val="22"/>
          <w:szCs w:val="22"/>
          <w:lang w:val="fr-FR"/>
        </w:rPr>
        <w:t>Pour mener un travail</w:t>
      </w:r>
      <w:r w:rsidR="00D308B8" w:rsidRPr="00D308B8">
        <w:rPr>
          <w:sz w:val="22"/>
          <w:szCs w:val="22"/>
          <w:lang w:val="fr-FR"/>
        </w:rPr>
        <w:t xml:space="preserve"> efficace</w:t>
      </w:r>
      <w:r>
        <w:rPr>
          <w:sz w:val="22"/>
          <w:szCs w:val="22"/>
          <w:lang w:val="fr-FR"/>
        </w:rPr>
        <w:t>, le g</w:t>
      </w:r>
      <w:r w:rsidR="00D308B8" w:rsidRPr="00D308B8">
        <w:rPr>
          <w:sz w:val="22"/>
          <w:szCs w:val="22"/>
          <w:lang w:val="fr-FR"/>
        </w:rPr>
        <w:t>roupe de travail</w:t>
      </w:r>
      <w:r>
        <w:rPr>
          <w:sz w:val="22"/>
          <w:szCs w:val="22"/>
          <w:lang w:val="fr-FR"/>
        </w:rPr>
        <w:t xml:space="preserve"> mettra en place des groupes </w:t>
      </w:r>
      <w:r w:rsidR="000F4030">
        <w:rPr>
          <w:sz w:val="22"/>
          <w:szCs w:val="22"/>
          <w:lang w:val="fr-FR"/>
        </w:rPr>
        <w:t xml:space="preserve">spéciaux </w:t>
      </w:r>
      <w:r>
        <w:rPr>
          <w:sz w:val="22"/>
          <w:szCs w:val="22"/>
          <w:lang w:val="fr-FR"/>
        </w:rPr>
        <w:t>chargés d’examiner</w:t>
      </w:r>
      <w:r w:rsidR="00D308B8" w:rsidRPr="00D308B8">
        <w:rPr>
          <w:sz w:val="22"/>
          <w:szCs w:val="22"/>
          <w:lang w:val="fr-FR"/>
        </w:rPr>
        <w:t xml:space="preserve"> des questio</w:t>
      </w:r>
      <w:r>
        <w:rPr>
          <w:sz w:val="22"/>
          <w:szCs w:val="22"/>
          <w:lang w:val="fr-FR"/>
        </w:rPr>
        <w:t>ns thématiques (par exemple, différents types de poisons) et/</w:t>
      </w:r>
      <w:r w:rsidR="00D308B8" w:rsidRPr="00D308B8">
        <w:rPr>
          <w:sz w:val="22"/>
          <w:szCs w:val="22"/>
          <w:lang w:val="fr-FR"/>
        </w:rPr>
        <w:t>ou des régions géographique</w:t>
      </w:r>
      <w:r>
        <w:rPr>
          <w:sz w:val="22"/>
          <w:szCs w:val="22"/>
          <w:lang w:val="fr-FR"/>
        </w:rPr>
        <w:t xml:space="preserve">s pour avancer dans </w:t>
      </w:r>
      <w:r w:rsidR="00D308B8" w:rsidRPr="00D308B8">
        <w:rPr>
          <w:sz w:val="22"/>
          <w:szCs w:val="22"/>
          <w:lang w:val="fr-FR"/>
        </w:rPr>
        <w:t xml:space="preserve">ses travaux. </w:t>
      </w:r>
    </w:p>
    <w:p w14:paraId="05BAA919" w14:textId="77777777" w:rsidR="00F61732" w:rsidRDefault="00F61732" w:rsidP="00F61732">
      <w:pPr>
        <w:widowControl/>
        <w:tabs>
          <w:tab w:val="left" w:pos="0"/>
        </w:tabs>
        <w:autoSpaceDE/>
        <w:autoSpaceDN/>
        <w:adjustRightInd/>
        <w:jc w:val="both"/>
        <w:rPr>
          <w:sz w:val="22"/>
          <w:szCs w:val="22"/>
          <w:lang w:val="fr-FR"/>
        </w:rPr>
      </w:pPr>
    </w:p>
    <w:p w14:paraId="64F5E14C" w14:textId="2ADB7E84" w:rsidR="00F61732" w:rsidRPr="00F61732" w:rsidRDefault="00FE67E4" w:rsidP="00F61732">
      <w:pPr>
        <w:widowControl/>
        <w:tabs>
          <w:tab w:val="left" w:pos="0"/>
        </w:tabs>
        <w:autoSpaceDE/>
        <w:autoSpaceDN/>
        <w:adjustRightInd/>
        <w:jc w:val="both"/>
        <w:rPr>
          <w:b/>
          <w:sz w:val="22"/>
          <w:szCs w:val="22"/>
          <w:lang w:val="fr-FR"/>
        </w:rPr>
      </w:pPr>
      <w:r>
        <w:rPr>
          <w:b/>
          <w:sz w:val="22"/>
          <w:szCs w:val="22"/>
          <w:lang w:val="fr-FR"/>
        </w:rPr>
        <w:t>4. Statut de membre</w:t>
      </w:r>
      <w:r w:rsidR="00D308B8" w:rsidRPr="00F61732">
        <w:rPr>
          <w:b/>
          <w:sz w:val="22"/>
          <w:szCs w:val="22"/>
          <w:lang w:val="fr-FR"/>
        </w:rPr>
        <w:t xml:space="preserve"> </w:t>
      </w:r>
    </w:p>
    <w:p w14:paraId="419165FE" w14:textId="498BF2D1" w:rsidR="00FE67E4" w:rsidRDefault="00B10D13" w:rsidP="00F61732">
      <w:pPr>
        <w:widowControl/>
        <w:tabs>
          <w:tab w:val="left" w:pos="0"/>
        </w:tabs>
        <w:autoSpaceDE/>
        <w:autoSpaceDN/>
        <w:adjustRightInd/>
        <w:jc w:val="both"/>
        <w:rPr>
          <w:sz w:val="22"/>
          <w:szCs w:val="22"/>
          <w:lang w:val="fr-FR"/>
        </w:rPr>
      </w:pPr>
      <w:r>
        <w:rPr>
          <w:sz w:val="22"/>
          <w:szCs w:val="22"/>
          <w:lang w:val="fr-FR"/>
        </w:rPr>
        <w:t>Le groupe de travail comprendra des représentants des secrétariats des accords multilatéraux sur l’environnement participants, ainsi que d</w:t>
      </w:r>
      <w:r w:rsidR="00D308B8" w:rsidRPr="00D308B8">
        <w:rPr>
          <w:sz w:val="22"/>
          <w:szCs w:val="22"/>
          <w:lang w:val="fr-FR"/>
        </w:rPr>
        <w:t xml:space="preserve">es </w:t>
      </w:r>
      <w:r>
        <w:rPr>
          <w:sz w:val="22"/>
          <w:szCs w:val="22"/>
          <w:lang w:val="fr-FR"/>
        </w:rPr>
        <w:t>établissements universitaires, d</w:t>
      </w:r>
      <w:r w:rsidR="00D308B8" w:rsidRPr="00D308B8">
        <w:rPr>
          <w:sz w:val="22"/>
          <w:szCs w:val="22"/>
          <w:lang w:val="fr-FR"/>
        </w:rPr>
        <w:t xml:space="preserve">es ONG et </w:t>
      </w:r>
      <w:r>
        <w:rPr>
          <w:sz w:val="22"/>
          <w:szCs w:val="22"/>
          <w:lang w:val="fr-FR"/>
        </w:rPr>
        <w:t>d’</w:t>
      </w:r>
      <w:r w:rsidR="00D308B8" w:rsidRPr="00D308B8">
        <w:rPr>
          <w:sz w:val="22"/>
          <w:szCs w:val="22"/>
          <w:lang w:val="fr-FR"/>
        </w:rPr>
        <w:t xml:space="preserve">autres </w:t>
      </w:r>
      <w:r w:rsidR="00BF5C9C">
        <w:rPr>
          <w:sz w:val="22"/>
          <w:szCs w:val="22"/>
          <w:lang w:val="fr-FR"/>
        </w:rPr>
        <w:t>acteurs</w:t>
      </w:r>
      <w:r>
        <w:rPr>
          <w:sz w:val="22"/>
          <w:szCs w:val="22"/>
          <w:lang w:val="fr-FR"/>
        </w:rPr>
        <w:t>, selon qu’il convient</w:t>
      </w:r>
      <w:r w:rsidR="00D308B8" w:rsidRPr="00D308B8">
        <w:rPr>
          <w:sz w:val="22"/>
          <w:szCs w:val="22"/>
          <w:lang w:val="fr-FR"/>
        </w:rPr>
        <w:t xml:space="preserve">. </w:t>
      </w:r>
    </w:p>
    <w:p w14:paraId="3B7AFCE3" w14:textId="77777777" w:rsidR="00FE67E4" w:rsidRDefault="00FE67E4" w:rsidP="00F61732">
      <w:pPr>
        <w:widowControl/>
        <w:tabs>
          <w:tab w:val="left" w:pos="0"/>
        </w:tabs>
        <w:autoSpaceDE/>
        <w:autoSpaceDN/>
        <w:adjustRightInd/>
        <w:jc w:val="both"/>
        <w:rPr>
          <w:sz w:val="22"/>
          <w:szCs w:val="22"/>
          <w:lang w:val="fr-FR"/>
        </w:rPr>
      </w:pPr>
    </w:p>
    <w:p w14:paraId="784455B3" w14:textId="6E07A5B7" w:rsidR="00FE67E4" w:rsidRDefault="00D308B8" w:rsidP="00F61732">
      <w:pPr>
        <w:widowControl/>
        <w:tabs>
          <w:tab w:val="left" w:pos="0"/>
        </w:tabs>
        <w:autoSpaceDE/>
        <w:autoSpaceDN/>
        <w:adjustRightInd/>
        <w:jc w:val="both"/>
        <w:rPr>
          <w:sz w:val="22"/>
          <w:szCs w:val="22"/>
          <w:lang w:val="fr-FR"/>
        </w:rPr>
      </w:pPr>
      <w:r w:rsidRPr="00D308B8">
        <w:rPr>
          <w:sz w:val="22"/>
          <w:szCs w:val="22"/>
          <w:lang w:val="fr-FR"/>
        </w:rPr>
        <w:t>Les représentants suivants seront éga</w:t>
      </w:r>
      <w:r w:rsidR="00B10D13">
        <w:rPr>
          <w:sz w:val="22"/>
          <w:szCs w:val="22"/>
          <w:lang w:val="fr-FR"/>
        </w:rPr>
        <w:t>lement invités à contribuer au g</w:t>
      </w:r>
      <w:r w:rsidRPr="00D308B8">
        <w:rPr>
          <w:sz w:val="22"/>
          <w:szCs w:val="22"/>
          <w:lang w:val="fr-FR"/>
        </w:rPr>
        <w:t xml:space="preserve">roupe de </w:t>
      </w:r>
      <w:proofErr w:type="gramStart"/>
      <w:r w:rsidRPr="00D308B8">
        <w:rPr>
          <w:sz w:val="22"/>
          <w:szCs w:val="22"/>
          <w:lang w:val="fr-FR"/>
        </w:rPr>
        <w:t>travail:</w:t>
      </w:r>
      <w:proofErr w:type="gramEnd"/>
    </w:p>
    <w:p w14:paraId="1C5113E0" w14:textId="77777777" w:rsidR="00FE67E4" w:rsidRDefault="00FE67E4" w:rsidP="00F61732">
      <w:pPr>
        <w:widowControl/>
        <w:tabs>
          <w:tab w:val="left" w:pos="0"/>
        </w:tabs>
        <w:autoSpaceDE/>
        <w:autoSpaceDN/>
        <w:adjustRightInd/>
        <w:jc w:val="both"/>
        <w:rPr>
          <w:sz w:val="22"/>
          <w:szCs w:val="22"/>
          <w:lang w:val="fr-FR"/>
        </w:rPr>
      </w:pPr>
    </w:p>
    <w:p w14:paraId="517555E7" w14:textId="77777777" w:rsidR="00D34748" w:rsidRDefault="00D308B8" w:rsidP="00FE67E4">
      <w:pPr>
        <w:widowControl/>
        <w:tabs>
          <w:tab w:val="left" w:pos="851"/>
        </w:tabs>
        <w:autoSpaceDE/>
        <w:autoSpaceDN/>
        <w:adjustRightInd/>
        <w:ind w:left="567" w:hanging="567"/>
        <w:jc w:val="both"/>
        <w:rPr>
          <w:sz w:val="22"/>
          <w:szCs w:val="22"/>
          <w:lang w:val="fr-FR"/>
        </w:rPr>
      </w:pPr>
      <w:r w:rsidRPr="00D308B8">
        <w:rPr>
          <w:sz w:val="22"/>
          <w:szCs w:val="22"/>
          <w:lang w:val="fr-FR"/>
        </w:rPr>
        <w:t xml:space="preserve">• </w:t>
      </w:r>
      <w:r w:rsidR="00FE67E4">
        <w:rPr>
          <w:sz w:val="22"/>
          <w:szCs w:val="22"/>
          <w:lang w:val="fr-FR"/>
        </w:rPr>
        <w:tab/>
      </w:r>
      <w:r w:rsidRPr="00D308B8">
        <w:rPr>
          <w:sz w:val="22"/>
          <w:szCs w:val="22"/>
          <w:lang w:val="fr-FR"/>
        </w:rPr>
        <w:t xml:space="preserve">Les représentants des Parties à la </w:t>
      </w:r>
      <w:proofErr w:type="gramStart"/>
      <w:r w:rsidRPr="00D308B8">
        <w:rPr>
          <w:sz w:val="22"/>
          <w:szCs w:val="22"/>
          <w:lang w:val="fr-FR"/>
        </w:rPr>
        <w:t>CMS;</w:t>
      </w:r>
      <w:proofErr w:type="gramEnd"/>
      <w:r w:rsidRPr="00D308B8">
        <w:rPr>
          <w:sz w:val="22"/>
          <w:szCs w:val="22"/>
          <w:lang w:val="fr-FR"/>
        </w:rPr>
        <w:t xml:space="preserve"> </w:t>
      </w:r>
    </w:p>
    <w:p w14:paraId="0585CC94" w14:textId="77777777" w:rsidR="00D34748" w:rsidRDefault="00D34748" w:rsidP="00FE67E4">
      <w:pPr>
        <w:widowControl/>
        <w:tabs>
          <w:tab w:val="left" w:pos="851"/>
        </w:tabs>
        <w:autoSpaceDE/>
        <w:autoSpaceDN/>
        <w:adjustRightInd/>
        <w:ind w:left="567" w:hanging="567"/>
        <w:jc w:val="both"/>
        <w:rPr>
          <w:sz w:val="22"/>
          <w:szCs w:val="22"/>
          <w:lang w:val="fr-FR"/>
        </w:rPr>
      </w:pPr>
    </w:p>
    <w:p w14:paraId="5441DD19" w14:textId="4FD4C0D7" w:rsidR="00D34748" w:rsidRDefault="00D308B8" w:rsidP="00D34748">
      <w:pPr>
        <w:pStyle w:val="ListParagraph"/>
        <w:widowControl/>
        <w:numPr>
          <w:ilvl w:val="0"/>
          <w:numId w:val="22"/>
        </w:numPr>
        <w:tabs>
          <w:tab w:val="left" w:pos="851"/>
        </w:tabs>
        <w:autoSpaceDE/>
        <w:autoSpaceDN/>
        <w:adjustRightInd/>
        <w:ind w:left="567" w:hanging="567"/>
        <w:jc w:val="both"/>
        <w:rPr>
          <w:sz w:val="22"/>
          <w:szCs w:val="22"/>
          <w:lang w:val="fr-FR"/>
        </w:rPr>
      </w:pPr>
      <w:r w:rsidRPr="00D34748">
        <w:rPr>
          <w:sz w:val="22"/>
          <w:szCs w:val="22"/>
          <w:lang w:val="fr-FR"/>
        </w:rPr>
        <w:t>Les représentants du Conseil scientifique de la CMS, du Comité technique de l'AEWA, du Groupe consultatif technique sur les rapaces, du groupe d’exp</w:t>
      </w:r>
      <w:r w:rsidR="00B10D13">
        <w:rPr>
          <w:sz w:val="22"/>
          <w:szCs w:val="22"/>
          <w:lang w:val="fr-FR"/>
        </w:rPr>
        <w:t>erts des</w:t>
      </w:r>
      <w:r w:rsidRPr="00D34748">
        <w:rPr>
          <w:sz w:val="22"/>
          <w:szCs w:val="22"/>
          <w:lang w:val="fr-FR"/>
        </w:rPr>
        <w:t xml:space="preserve"> oiseaux de la Convention de Berne ; </w:t>
      </w:r>
    </w:p>
    <w:p w14:paraId="10F4B46D" w14:textId="77777777" w:rsidR="00D34748" w:rsidRDefault="00D34748" w:rsidP="00D34748">
      <w:pPr>
        <w:pStyle w:val="ListParagraph"/>
        <w:widowControl/>
        <w:tabs>
          <w:tab w:val="left" w:pos="851"/>
        </w:tabs>
        <w:autoSpaceDE/>
        <w:autoSpaceDN/>
        <w:adjustRightInd/>
        <w:ind w:left="567"/>
        <w:jc w:val="both"/>
        <w:rPr>
          <w:sz w:val="22"/>
          <w:szCs w:val="22"/>
          <w:lang w:val="fr-FR"/>
        </w:rPr>
      </w:pPr>
    </w:p>
    <w:p w14:paraId="1BE8C194" w14:textId="6B646A19" w:rsidR="00D34748" w:rsidRDefault="00D308B8" w:rsidP="00D34748">
      <w:pPr>
        <w:pStyle w:val="ListParagraph"/>
        <w:widowControl/>
        <w:numPr>
          <w:ilvl w:val="0"/>
          <w:numId w:val="22"/>
        </w:numPr>
        <w:tabs>
          <w:tab w:val="left" w:pos="851"/>
        </w:tabs>
        <w:autoSpaceDE/>
        <w:autoSpaceDN/>
        <w:adjustRightInd/>
        <w:ind w:left="567" w:hanging="567"/>
        <w:jc w:val="both"/>
        <w:rPr>
          <w:sz w:val="22"/>
          <w:szCs w:val="22"/>
          <w:lang w:val="fr-FR"/>
        </w:rPr>
      </w:pPr>
      <w:r w:rsidRPr="00D34748">
        <w:rPr>
          <w:sz w:val="22"/>
          <w:szCs w:val="22"/>
          <w:lang w:val="fr-FR"/>
        </w:rPr>
        <w:t>Les représentan</w:t>
      </w:r>
      <w:r w:rsidR="00B10D13">
        <w:rPr>
          <w:sz w:val="22"/>
          <w:szCs w:val="22"/>
          <w:lang w:val="fr-FR"/>
        </w:rPr>
        <w:t>ts du Groupe de travail de la CMS sur l'abattage, le prélèvement</w:t>
      </w:r>
      <w:r w:rsidRPr="00D34748">
        <w:rPr>
          <w:sz w:val="22"/>
          <w:szCs w:val="22"/>
          <w:lang w:val="fr-FR"/>
        </w:rPr>
        <w:t xml:space="preserve"> et le commerce</w:t>
      </w:r>
      <w:r w:rsidR="00B10D13">
        <w:rPr>
          <w:sz w:val="22"/>
          <w:szCs w:val="22"/>
          <w:lang w:val="fr-FR"/>
        </w:rPr>
        <w:t xml:space="preserve"> illégaux dans la région méditerranéenne, du Groupe de travail sur l</w:t>
      </w:r>
      <w:r w:rsidRPr="00D34748">
        <w:rPr>
          <w:sz w:val="22"/>
          <w:szCs w:val="22"/>
          <w:lang w:val="fr-FR"/>
        </w:rPr>
        <w:t>es oiseaux terrestres migrateurs d'Afrique</w:t>
      </w:r>
      <w:r w:rsidR="00D34748">
        <w:rPr>
          <w:sz w:val="22"/>
          <w:szCs w:val="22"/>
          <w:lang w:val="fr-FR"/>
        </w:rPr>
        <w:t>-</w:t>
      </w:r>
      <w:r w:rsidR="00B10D13">
        <w:rPr>
          <w:sz w:val="22"/>
          <w:szCs w:val="22"/>
          <w:lang w:val="fr-FR"/>
        </w:rPr>
        <w:t>Eurasie et du G</w:t>
      </w:r>
      <w:r w:rsidRPr="00D34748">
        <w:rPr>
          <w:sz w:val="22"/>
          <w:szCs w:val="22"/>
          <w:lang w:val="fr-FR"/>
        </w:rPr>
        <w:t>roupe de travail</w:t>
      </w:r>
      <w:r w:rsidR="00D34748">
        <w:rPr>
          <w:sz w:val="22"/>
          <w:szCs w:val="22"/>
          <w:lang w:val="fr-FR"/>
        </w:rPr>
        <w:t xml:space="preserve"> sur les voies de </w:t>
      </w:r>
      <w:proofErr w:type="gramStart"/>
      <w:r w:rsidR="00D34748">
        <w:rPr>
          <w:sz w:val="22"/>
          <w:szCs w:val="22"/>
          <w:lang w:val="fr-FR"/>
        </w:rPr>
        <w:t>migration;</w:t>
      </w:r>
      <w:proofErr w:type="gramEnd"/>
      <w:r w:rsidR="00D34748">
        <w:rPr>
          <w:sz w:val="22"/>
          <w:szCs w:val="22"/>
          <w:lang w:val="fr-FR"/>
        </w:rPr>
        <w:t xml:space="preserve"> </w:t>
      </w:r>
    </w:p>
    <w:p w14:paraId="647E1585" w14:textId="77777777" w:rsidR="00D34748" w:rsidRPr="00D34748" w:rsidRDefault="00D34748" w:rsidP="00D34748">
      <w:pPr>
        <w:pStyle w:val="ListParagraph"/>
        <w:rPr>
          <w:sz w:val="22"/>
          <w:szCs w:val="22"/>
          <w:lang w:val="fr-FR"/>
        </w:rPr>
      </w:pPr>
    </w:p>
    <w:p w14:paraId="397224F0" w14:textId="15856EE8" w:rsidR="00F61732" w:rsidRDefault="00D308B8" w:rsidP="00D34748">
      <w:pPr>
        <w:pStyle w:val="ListParagraph"/>
        <w:widowControl/>
        <w:numPr>
          <w:ilvl w:val="0"/>
          <w:numId w:val="22"/>
        </w:numPr>
        <w:tabs>
          <w:tab w:val="left" w:pos="851"/>
        </w:tabs>
        <w:autoSpaceDE/>
        <w:autoSpaceDN/>
        <w:adjustRightInd/>
        <w:ind w:left="567" w:hanging="567"/>
        <w:jc w:val="both"/>
        <w:rPr>
          <w:sz w:val="22"/>
          <w:szCs w:val="22"/>
          <w:lang w:val="fr-FR"/>
        </w:rPr>
      </w:pPr>
      <w:r w:rsidRPr="00D34748">
        <w:rPr>
          <w:sz w:val="22"/>
          <w:szCs w:val="22"/>
          <w:lang w:val="fr-FR"/>
        </w:rPr>
        <w:t>Des expe</w:t>
      </w:r>
      <w:r w:rsidR="00B10D13">
        <w:rPr>
          <w:sz w:val="22"/>
          <w:szCs w:val="22"/>
          <w:lang w:val="fr-FR"/>
        </w:rPr>
        <w:t>rts indépendants nommés de façon ponctuelle, selon que de besoin et selon qu’il convient</w:t>
      </w:r>
      <w:r w:rsidR="00D34748">
        <w:rPr>
          <w:sz w:val="22"/>
          <w:szCs w:val="22"/>
          <w:lang w:val="fr-FR"/>
        </w:rPr>
        <w:t>.</w:t>
      </w:r>
      <w:r w:rsidRPr="00D34748">
        <w:rPr>
          <w:sz w:val="22"/>
          <w:szCs w:val="22"/>
          <w:lang w:val="fr-FR"/>
        </w:rPr>
        <w:t xml:space="preserve"> </w:t>
      </w:r>
    </w:p>
    <w:p w14:paraId="75D13169" w14:textId="5A672612" w:rsidR="00F61732" w:rsidRDefault="00F61732" w:rsidP="00F61732">
      <w:pPr>
        <w:widowControl/>
        <w:tabs>
          <w:tab w:val="left" w:pos="0"/>
        </w:tabs>
        <w:autoSpaceDE/>
        <w:autoSpaceDN/>
        <w:adjustRightInd/>
        <w:jc w:val="both"/>
        <w:rPr>
          <w:sz w:val="22"/>
          <w:szCs w:val="22"/>
          <w:lang w:val="fr-FR"/>
        </w:rPr>
      </w:pPr>
    </w:p>
    <w:p w14:paraId="7561824D" w14:textId="77777777" w:rsidR="00F61732" w:rsidRPr="00F61732" w:rsidRDefault="00D308B8" w:rsidP="00F61732">
      <w:pPr>
        <w:widowControl/>
        <w:tabs>
          <w:tab w:val="left" w:pos="0"/>
        </w:tabs>
        <w:autoSpaceDE/>
        <w:autoSpaceDN/>
        <w:adjustRightInd/>
        <w:jc w:val="both"/>
        <w:rPr>
          <w:b/>
          <w:sz w:val="22"/>
          <w:szCs w:val="22"/>
          <w:lang w:val="fr-FR"/>
        </w:rPr>
      </w:pPr>
      <w:r w:rsidRPr="00F61732">
        <w:rPr>
          <w:b/>
          <w:sz w:val="22"/>
          <w:szCs w:val="22"/>
          <w:lang w:val="fr-FR"/>
        </w:rPr>
        <w:t xml:space="preserve">5. Gouvernance </w:t>
      </w:r>
    </w:p>
    <w:p w14:paraId="3A5F16FA" w14:textId="1B739964" w:rsidR="00F61732" w:rsidRDefault="00B10D13" w:rsidP="00F61732">
      <w:pPr>
        <w:widowControl/>
        <w:tabs>
          <w:tab w:val="left" w:pos="0"/>
        </w:tabs>
        <w:autoSpaceDE/>
        <w:autoSpaceDN/>
        <w:adjustRightInd/>
        <w:jc w:val="both"/>
        <w:rPr>
          <w:sz w:val="22"/>
          <w:szCs w:val="22"/>
          <w:lang w:val="fr-FR"/>
        </w:rPr>
      </w:pPr>
      <w:r>
        <w:rPr>
          <w:sz w:val="22"/>
          <w:szCs w:val="22"/>
          <w:lang w:val="fr-FR"/>
        </w:rPr>
        <w:t>Le g</w:t>
      </w:r>
      <w:r w:rsidR="00D308B8" w:rsidRPr="00D308B8">
        <w:rPr>
          <w:sz w:val="22"/>
          <w:szCs w:val="22"/>
          <w:lang w:val="fr-FR"/>
        </w:rPr>
        <w:t>roupe de travail élira un président et un vice-président parmi ses membres et fonctionnera en reche</w:t>
      </w:r>
      <w:r>
        <w:rPr>
          <w:sz w:val="22"/>
          <w:szCs w:val="22"/>
          <w:lang w:val="fr-FR"/>
        </w:rPr>
        <w:t>rchant un consensus au sein du g</w:t>
      </w:r>
      <w:r w:rsidR="00D308B8" w:rsidRPr="00D308B8">
        <w:rPr>
          <w:sz w:val="22"/>
          <w:szCs w:val="22"/>
          <w:lang w:val="fr-FR"/>
        </w:rPr>
        <w:t>roupe. Le groupe de travail fera un ra</w:t>
      </w:r>
      <w:r>
        <w:rPr>
          <w:sz w:val="22"/>
          <w:szCs w:val="22"/>
          <w:lang w:val="fr-FR"/>
        </w:rPr>
        <w:t>pport au Conseil scientifique sur ses actions, ses membres</w:t>
      </w:r>
      <w:r w:rsidR="00D308B8" w:rsidRPr="00D308B8">
        <w:rPr>
          <w:sz w:val="22"/>
          <w:szCs w:val="22"/>
          <w:lang w:val="fr-FR"/>
        </w:rPr>
        <w:t xml:space="preserve"> et d’autres questions connexes. </w:t>
      </w:r>
    </w:p>
    <w:p w14:paraId="655BE4C4" w14:textId="77777777" w:rsidR="00F61732" w:rsidRDefault="00F61732" w:rsidP="00F61732">
      <w:pPr>
        <w:widowControl/>
        <w:tabs>
          <w:tab w:val="left" w:pos="0"/>
        </w:tabs>
        <w:autoSpaceDE/>
        <w:autoSpaceDN/>
        <w:adjustRightInd/>
        <w:jc w:val="both"/>
        <w:rPr>
          <w:sz w:val="22"/>
          <w:szCs w:val="22"/>
          <w:lang w:val="fr-FR"/>
        </w:rPr>
      </w:pPr>
    </w:p>
    <w:p w14:paraId="11640ED8" w14:textId="77777777" w:rsidR="00F61732" w:rsidRPr="00F61732" w:rsidRDefault="00D308B8" w:rsidP="00F61732">
      <w:pPr>
        <w:widowControl/>
        <w:tabs>
          <w:tab w:val="left" w:pos="0"/>
        </w:tabs>
        <w:autoSpaceDE/>
        <w:autoSpaceDN/>
        <w:adjustRightInd/>
        <w:jc w:val="both"/>
        <w:rPr>
          <w:b/>
          <w:sz w:val="22"/>
          <w:szCs w:val="22"/>
          <w:lang w:val="fr-FR"/>
        </w:rPr>
      </w:pPr>
      <w:r w:rsidRPr="00F61732">
        <w:rPr>
          <w:b/>
          <w:sz w:val="22"/>
          <w:szCs w:val="22"/>
          <w:lang w:val="fr-FR"/>
        </w:rPr>
        <w:t xml:space="preserve">6. Fonctionnement </w:t>
      </w:r>
    </w:p>
    <w:p w14:paraId="3B4768D4" w14:textId="3DAF55C3" w:rsidR="00D34748" w:rsidRDefault="00B10D13" w:rsidP="00F61732">
      <w:pPr>
        <w:widowControl/>
        <w:tabs>
          <w:tab w:val="left" w:pos="0"/>
        </w:tabs>
        <w:autoSpaceDE/>
        <w:autoSpaceDN/>
        <w:adjustRightInd/>
        <w:jc w:val="both"/>
        <w:rPr>
          <w:sz w:val="22"/>
          <w:szCs w:val="22"/>
          <w:lang w:val="fr-FR"/>
        </w:rPr>
      </w:pPr>
      <w:r>
        <w:rPr>
          <w:sz w:val="22"/>
          <w:szCs w:val="22"/>
          <w:lang w:val="fr-FR"/>
        </w:rPr>
        <w:t>Dans la mesure où un financement est disponible</w:t>
      </w:r>
      <w:r w:rsidR="00D308B8" w:rsidRPr="00D308B8">
        <w:rPr>
          <w:sz w:val="22"/>
          <w:szCs w:val="22"/>
          <w:lang w:val="fr-FR"/>
        </w:rPr>
        <w:t xml:space="preserve">, un coordonnateur sera nommé </w:t>
      </w:r>
      <w:r>
        <w:rPr>
          <w:sz w:val="22"/>
          <w:szCs w:val="22"/>
          <w:lang w:val="fr-FR"/>
        </w:rPr>
        <w:t>pour remplir les</w:t>
      </w:r>
      <w:r w:rsidR="00D308B8" w:rsidRPr="00D308B8">
        <w:rPr>
          <w:sz w:val="22"/>
          <w:szCs w:val="22"/>
          <w:lang w:val="fr-FR"/>
        </w:rPr>
        <w:t xml:space="preserve"> fonctions </w:t>
      </w:r>
      <w:proofErr w:type="gramStart"/>
      <w:r w:rsidR="00D308B8" w:rsidRPr="00D308B8">
        <w:rPr>
          <w:sz w:val="22"/>
          <w:szCs w:val="22"/>
          <w:lang w:val="fr-FR"/>
        </w:rPr>
        <w:t>suivantes:</w:t>
      </w:r>
      <w:proofErr w:type="gramEnd"/>
      <w:r w:rsidR="00D308B8" w:rsidRPr="00D308B8">
        <w:rPr>
          <w:sz w:val="22"/>
          <w:szCs w:val="22"/>
          <w:lang w:val="fr-FR"/>
        </w:rPr>
        <w:t xml:space="preserve"> </w:t>
      </w:r>
    </w:p>
    <w:p w14:paraId="7675DCCB" w14:textId="77777777" w:rsidR="00D34748" w:rsidRDefault="00D34748" w:rsidP="00F61732">
      <w:pPr>
        <w:widowControl/>
        <w:tabs>
          <w:tab w:val="left" w:pos="0"/>
        </w:tabs>
        <w:autoSpaceDE/>
        <w:autoSpaceDN/>
        <w:adjustRightInd/>
        <w:jc w:val="both"/>
        <w:rPr>
          <w:sz w:val="22"/>
          <w:szCs w:val="22"/>
          <w:lang w:val="fr-FR"/>
        </w:rPr>
      </w:pPr>
    </w:p>
    <w:p w14:paraId="0BA0531F" w14:textId="0AD157B8" w:rsidR="00D34748" w:rsidRDefault="00D308B8" w:rsidP="00D34748">
      <w:pPr>
        <w:widowControl/>
        <w:tabs>
          <w:tab w:val="left" w:pos="709"/>
        </w:tabs>
        <w:autoSpaceDE/>
        <w:autoSpaceDN/>
        <w:adjustRightInd/>
        <w:ind w:left="709" w:hanging="709"/>
        <w:jc w:val="both"/>
        <w:rPr>
          <w:sz w:val="22"/>
          <w:szCs w:val="22"/>
          <w:lang w:val="fr-FR"/>
        </w:rPr>
      </w:pPr>
      <w:r w:rsidRPr="00D308B8">
        <w:rPr>
          <w:sz w:val="22"/>
          <w:szCs w:val="22"/>
          <w:lang w:val="fr-FR"/>
        </w:rPr>
        <w:t xml:space="preserve">- </w:t>
      </w:r>
      <w:r w:rsidR="00D34748">
        <w:rPr>
          <w:sz w:val="22"/>
          <w:szCs w:val="22"/>
          <w:lang w:val="fr-FR"/>
        </w:rPr>
        <w:tab/>
      </w:r>
      <w:r w:rsidRPr="00D308B8">
        <w:rPr>
          <w:sz w:val="22"/>
          <w:szCs w:val="22"/>
          <w:lang w:val="fr-FR"/>
        </w:rPr>
        <w:t>Organiser les réuni</w:t>
      </w:r>
      <w:r w:rsidR="00B10D13">
        <w:rPr>
          <w:sz w:val="22"/>
          <w:szCs w:val="22"/>
          <w:lang w:val="fr-FR"/>
        </w:rPr>
        <w:t>ons du g</w:t>
      </w:r>
      <w:r w:rsidRPr="00D308B8">
        <w:rPr>
          <w:sz w:val="22"/>
          <w:szCs w:val="22"/>
          <w:lang w:val="fr-FR"/>
        </w:rPr>
        <w:t xml:space="preserve">roupe de travail et préparer les documents </w:t>
      </w:r>
      <w:proofErr w:type="gramStart"/>
      <w:r w:rsidRPr="00D308B8">
        <w:rPr>
          <w:sz w:val="22"/>
          <w:szCs w:val="22"/>
          <w:lang w:val="fr-FR"/>
        </w:rPr>
        <w:t>d'information;</w:t>
      </w:r>
      <w:proofErr w:type="gramEnd"/>
      <w:r w:rsidRPr="00D308B8">
        <w:rPr>
          <w:sz w:val="22"/>
          <w:szCs w:val="22"/>
          <w:lang w:val="fr-FR"/>
        </w:rPr>
        <w:t xml:space="preserve"> </w:t>
      </w:r>
    </w:p>
    <w:p w14:paraId="72182004" w14:textId="77777777" w:rsidR="00D34748" w:rsidRDefault="00D34748" w:rsidP="00D34748">
      <w:pPr>
        <w:widowControl/>
        <w:tabs>
          <w:tab w:val="left" w:pos="709"/>
        </w:tabs>
        <w:autoSpaceDE/>
        <w:autoSpaceDN/>
        <w:adjustRightInd/>
        <w:ind w:left="709" w:hanging="709"/>
        <w:jc w:val="both"/>
        <w:rPr>
          <w:sz w:val="22"/>
          <w:szCs w:val="22"/>
          <w:lang w:val="fr-FR"/>
        </w:rPr>
      </w:pPr>
    </w:p>
    <w:p w14:paraId="2BB5430C" w14:textId="03BC7D8A" w:rsidR="00D34748" w:rsidRDefault="00D308B8" w:rsidP="00D34748">
      <w:pPr>
        <w:widowControl/>
        <w:tabs>
          <w:tab w:val="left" w:pos="709"/>
        </w:tabs>
        <w:autoSpaceDE/>
        <w:autoSpaceDN/>
        <w:adjustRightInd/>
        <w:ind w:left="709" w:hanging="709"/>
        <w:jc w:val="both"/>
        <w:rPr>
          <w:sz w:val="22"/>
          <w:szCs w:val="22"/>
          <w:lang w:val="fr-FR"/>
        </w:rPr>
      </w:pPr>
      <w:r w:rsidRPr="00D308B8">
        <w:rPr>
          <w:sz w:val="22"/>
          <w:szCs w:val="22"/>
          <w:lang w:val="fr-FR"/>
        </w:rPr>
        <w:t xml:space="preserve">- </w:t>
      </w:r>
      <w:r w:rsidR="00D34748">
        <w:rPr>
          <w:sz w:val="22"/>
          <w:szCs w:val="22"/>
          <w:lang w:val="fr-FR"/>
        </w:rPr>
        <w:tab/>
      </w:r>
      <w:r w:rsidRPr="00D308B8">
        <w:rPr>
          <w:sz w:val="22"/>
          <w:szCs w:val="22"/>
          <w:lang w:val="fr-FR"/>
        </w:rPr>
        <w:t>Maintenir et</w:t>
      </w:r>
      <w:r w:rsidR="00B10D13">
        <w:rPr>
          <w:sz w:val="22"/>
          <w:szCs w:val="22"/>
          <w:lang w:val="fr-FR"/>
        </w:rPr>
        <w:t xml:space="preserve"> modérer les communications du g</w:t>
      </w:r>
      <w:r w:rsidRPr="00D308B8">
        <w:rPr>
          <w:sz w:val="22"/>
          <w:szCs w:val="22"/>
          <w:lang w:val="fr-FR"/>
        </w:rPr>
        <w:t xml:space="preserve">roupe de </w:t>
      </w:r>
      <w:proofErr w:type="gramStart"/>
      <w:r w:rsidRPr="00D308B8">
        <w:rPr>
          <w:sz w:val="22"/>
          <w:szCs w:val="22"/>
          <w:lang w:val="fr-FR"/>
        </w:rPr>
        <w:t>travail;</w:t>
      </w:r>
      <w:proofErr w:type="gramEnd"/>
      <w:r w:rsidRPr="00D308B8">
        <w:rPr>
          <w:sz w:val="22"/>
          <w:szCs w:val="22"/>
          <w:lang w:val="fr-FR"/>
        </w:rPr>
        <w:t xml:space="preserve"> </w:t>
      </w:r>
    </w:p>
    <w:p w14:paraId="388390DC" w14:textId="77777777" w:rsidR="00D34748" w:rsidRDefault="00D34748" w:rsidP="00D34748">
      <w:pPr>
        <w:widowControl/>
        <w:tabs>
          <w:tab w:val="left" w:pos="709"/>
        </w:tabs>
        <w:autoSpaceDE/>
        <w:autoSpaceDN/>
        <w:adjustRightInd/>
        <w:ind w:left="709" w:hanging="709"/>
        <w:jc w:val="both"/>
        <w:rPr>
          <w:sz w:val="22"/>
          <w:szCs w:val="22"/>
          <w:lang w:val="fr-FR"/>
        </w:rPr>
      </w:pPr>
    </w:p>
    <w:p w14:paraId="7D5674C7" w14:textId="77777777" w:rsidR="00D34748" w:rsidRDefault="00D308B8" w:rsidP="00D34748">
      <w:pPr>
        <w:widowControl/>
        <w:tabs>
          <w:tab w:val="left" w:pos="709"/>
        </w:tabs>
        <w:autoSpaceDE/>
        <w:autoSpaceDN/>
        <w:adjustRightInd/>
        <w:ind w:left="709" w:hanging="709"/>
        <w:jc w:val="both"/>
        <w:rPr>
          <w:sz w:val="22"/>
          <w:szCs w:val="22"/>
          <w:lang w:val="fr-FR"/>
        </w:rPr>
      </w:pPr>
      <w:r w:rsidRPr="00D308B8">
        <w:rPr>
          <w:sz w:val="22"/>
          <w:szCs w:val="22"/>
          <w:lang w:val="fr-FR"/>
        </w:rPr>
        <w:t xml:space="preserve">- </w:t>
      </w:r>
      <w:r w:rsidR="00D34748">
        <w:rPr>
          <w:sz w:val="22"/>
          <w:szCs w:val="22"/>
          <w:lang w:val="fr-FR"/>
        </w:rPr>
        <w:tab/>
      </w:r>
      <w:r w:rsidRPr="00D308B8">
        <w:rPr>
          <w:sz w:val="22"/>
          <w:szCs w:val="22"/>
          <w:lang w:val="fr-FR"/>
        </w:rPr>
        <w:t xml:space="preserve">Faciliter la collecte de fonds et la </w:t>
      </w:r>
      <w:r w:rsidR="00D34748">
        <w:rPr>
          <w:sz w:val="22"/>
          <w:szCs w:val="22"/>
          <w:lang w:val="fr-FR"/>
        </w:rPr>
        <w:t xml:space="preserve">mobilisation des </w:t>
      </w:r>
      <w:proofErr w:type="gramStart"/>
      <w:r w:rsidR="00D34748">
        <w:rPr>
          <w:sz w:val="22"/>
          <w:szCs w:val="22"/>
          <w:lang w:val="fr-FR"/>
        </w:rPr>
        <w:t>ressources;</w:t>
      </w:r>
      <w:proofErr w:type="gramEnd"/>
      <w:r w:rsidR="00D34748">
        <w:rPr>
          <w:sz w:val="22"/>
          <w:szCs w:val="22"/>
          <w:lang w:val="fr-FR"/>
        </w:rPr>
        <w:t xml:space="preserve"> </w:t>
      </w:r>
    </w:p>
    <w:p w14:paraId="1D90159D" w14:textId="77777777" w:rsidR="00D34748" w:rsidRDefault="00D34748" w:rsidP="00D34748">
      <w:pPr>
        <w:widowControl/>
        <w:tabs>
          <w:tab w:val="left" w:pos="709"/>
        </w:tabs>
        <w:autoSpaceDE/>
        <w:autoSpaceDN/>
        <w:adjustRightInd/>
        <w:ind w:left="709" w:hanging="709"/>
        <w:jc w:val="both"/>
        <w:rPr>
          <w:sz w:val="22"/>
          <w:szCs w:val="22"/>
          <w:lang w:val="fr-FR"/>
        </w:rPr>
      </w:pPr>
    </w:p>
    <w:p w14:paraId="62369288" w14:textId="6E1C3F0C" w:rsidR="00F61732" w:rsidRDefault="00D308B8" w:rsidP="00D34748">
      <w:pPr>
        <w:widowControl/>
        <w:tabs>
          <w:tab w:val="left" w:pos="709"/>
        </w:tabs>
        <w:autoSpaceDE/>
        <w:autoSpaceDN/>
        <w:adjustRightInd/>
        <w:ind w:left="709" w:hanging="709"/>
        <w:jc w:val="both"/>
        <w:rPr>
          <w:sz w:val="22"/>
          <w:szCs w:val="22"/>
          <w:lang w:val="fr-FR"/>
        </w:rPr>
      </w:pPr>
      <w:r w:rsidRPr="00D308B8">
        <w:rPr>
          <w:sz w:val="22"/>
          <w:szCs w:val="22"/>
          <w:lang w:val="fr-FR"/>
        </w:rPr>
        <w:t xml:space="preserve">- </w:t>
      </w:r>
      <w:r w:rsidR="00D34748">
        <w:rPr>
          <w:sz w:val="22"/>
          <w:szCs w:val="22"/>
          <w:lang w:val="fr-FR"/>
        </w:rPr>
        <w:tab/>
      </w:r>
      <w:r w:rsidR="00B10D13">
        <w:rPr>
          <w:sz w:val="22"/>
          <w:szCs w:val="22"/>
          <w:lang w:val="fr-FR"/>
        </w:rPr>
        <w:t>Faciliter l'engagement des parties prenantes</w:t>
      </w:r>
      <w:r w:rsidRPr="00D308B8">
        <w:rPr>
          <w:sz w:val="22"/>
          <w:szCs w:val="22"/>
          <w:lang w:val="fr-FR"/>
        </w:rPr>
        <w:t xml:space="preserve"> au sein </w:t>
      </w:r>
      <w:r w:rsidR="00D34748">
        <w:rPr>
          <w:sz w:val="22"/>
          <w:szCs w:val="22"/>
          <w:lang w:val="fr-FR"/>
        </w:rPr>
        <w:t>et au-delà du groupe de travail.</w:t>
      </w:r>
      <w:r w:rsidRPr="00D308B8">
        <w:rPr>
          <w:sz w:val="22"/>
          <w:szCs w:val="22"/>
          <w:lang w:val="fr-FR"/>
        </w:rPr>
        <w:t xml:space="preserve"> </w:t>
      </w:r>
    </w:p>
    <w:p w14:paraId="3DDA4207" w14:textId="77777777" w:rsidR="00F61732" w:rsidRDefault="00F61732" w:rsidP="00F61732">
      <w:pPr>
        <w:widowControl/>
        <w:tabs>
          <w:tab w:val="left" w:pos="0"/>
        </w:tabs>
        <w:autoSpaceDE/>
        <w:autoSpaceDN/>
        <w:adjustRightInd/>
        <w:jc w:val="both"/>
        <w:rPr>
          <w:sz w:val="22"/>
          <w:szCs w:val="22"/>
          <w:lang w:val="fr-FR"/>
        </w:rPr>
      </w:pPr>
    </w:p>
    <w:p w14:paraId="7923DA76" w14:textId="48E35BDB" w:rsidR="00F61732" w:rsidRDefault="00D308B8" w:rsidP="00F61732">
      <w:pPr>
        <w:widowControl/>
        <w:tabs>
          <w:tab w:val="left" w:pos="0"/>
        </w:tabs>
        <w:autoSpaceDE/>
        <w:autoSpaceDN/>
        <w:adjustRightInd/>
        <w:jc w:val="both"/>
        <w:rPr>
          <w:sz w:val="22"/>
          <w:szCs w:val="22"/>
          <w:lang w:val="fr-FR"/>
        </w:rPr>
      </w:pPr>
      <w:r w:rsidRPr="00D308B8">
        <w:rPr>
          <w:sz w:val="22"/>
          <w:szCs w:val="22"/>
          <w:lang w:val="fr-FR"/>
        </w:rPr>
        <w:t>Les réunions du groupe de travail seront convoquées à des intervalles appropriés, en fonction des nécessités et du financement. Entre les réunions, le travail sera effectué par voie électronique</w:t>
      </w:r>
      <w:r w:rsidR="00B10D13">
        <w:rPr>
          <w:sz w:val="22"/>
          <w:szCs w:val="22"/>
          <w:lang w:val="fr-FR"/>
        </w:rPr>
        <w:t>,</w:t>
      </w:r>
      <w:r w:rsidRPr="00D308B8">
        <w:rPr>
          <w:sz w:val="22"/>
          <w:szCs w:val="22"/>
          <w:lang w:val="fr-FR"/>
        </w:rPr>
        <w:t xml:space="preserve"> qui sera le principal mode de communication. </w:t>
      </w:r>
    </w:p>
    <w:p w14:paraId="3B0B6688" w14:textId="77777777" w:rsidR="00F61732" w:rsidRDefault="00F61732" w:rsidP="00F61732">
      <w:pPr>
        <w:widowControl/>
        <w:tabs>
          <w:tab w:val="left" w:pos="0"/>
        </w:tabs>
        <w:autoSpaceDE/>
        <w:autoSpaceDN/>
        <w:adjustRightInd/>
        <w:jc w:val="both"/>
        <w:rPr>
          <w:sz w:val="22"/>
          <w:szCs w:val="22"/>
          <w:lang w:val="fr-FR"/>
        </w:rPr>
      </w:pPr>
    </w:p>
    <w:p w14:paraId="75A6BBA5" w14:textId="200C10E3" w:rsidR="00D51861" w:rsidRPr="00F61732" w:rsidRDefault="00B10D13" w:rsidP="00927F00">
      <w:pPr>
        <w:widowControl/>
        <w:tabs>
          <w:tab w:val="left" w:pos="0"/>
        </w:tabs>
        <w:autoSpaceDE/>
        <w:autoSpaceDN/>
        <w:adjustRightInd/>
        <w:jc w:val="both"/>
        <w:rPr>
          <w:sz w:val="22"/>
          <w:szCs w:val="22"/>
          <w:lang w:val="fr-FR"/>
        </w:rPr>
      </w:pPr>
      <w:r>
        <w:rPr>
          <w:sz w:val="22"/>
          <w:szCs w:val="22"/>
          <w:lang w:val="fr-FR"/>
        </w:rPr>
        <w:t>Le g</w:t>
      </w:r>
      <w:r w:rsidR="00D308B8" w:rsidRPr="00D308B8">
        <w:rPr>
          <w:sz w:val="22"/>
          <w:szCs w:val="22"/>
          <w:lang w:val="fr-FR"/>
        </w:rPr>
        <w:t>roupe de travail, en collaboration avec les Parties et le</w:t>
      </w:r>
      <w:r w:rsidR="00F61732">
        <w:rPr>
          <w:sz w:val="22"/>
          <w:szCs w:val="22"/>
          <w:lang w:val="fr-FR"/>
        </w:rPr>
        <w:t xml:space="preserve">s organisations internationales </w:t>
      </w:r>
      <w:r w:rsidR="00D308B8" w:rsidRPr="00D308B8">
        <w:rPr>
          <w:sz w:val="22"/>
          <w:szCs w:val="22"/>
          <w:lang w:val="fr-FR"/>
        </w:rPr>
        <w:t>co</w:t>
      </w:r>
      <w:r>
        <w:rPr>
          <w:sz w:val="22"/>
          <w:szCs w:val="22"/>
          <w:lang w:val="fr-FR"/>
        </w:rPr>
        <w:t>mpétentes, organisera, dans la limite des ressources disponibles</w:t>
      </w:r>
      <w:r w:rsidR="00D308B8" w:rsidRPr="00D308B8">
        <w:rPr>
          <w:sz w:val="22"/>
          <w:szCs w:val="22"/>
          <w:lang w:val="fr-FR"/>
        </w:rPr>
        <w:t>, des ateliers régionaux dans les</w:t>
      </w:r>
      <w:r>
        <w:rPr>
          <w:sz w:val="22"/>
          <w:szCs w:val="22"/>
          <w:lang w:val="fr-FR"/>
        </w:rPr>
        <w:t xml:space="preserve"> zones à problèmes pour contribuer au développement </w:t>
      </w:r>
      <w:r w:rsidR="00D308B8" w:rsidRPr="00D308B8">
        <w:rPr>
          <w:sz w:val="22"/>
          <w:szCs w:val="22"/>
          <w:lang w:val="fr-FR"/>
        </w:rPr>
        <w:t>de solutions locales ou régionales appropriées pour prévenir l'empoisonnement des oiseaux migrateurs.</w:t>
      </w:r>
    </w:p>
    <w:p w14:paraId="349B0C1A" w14:textId="77777777" w:rsidR="00D308B8" w:rsidRPr="00D308B8" w:rsidRDefault="00D308B8" w:rsidP="00CC4D32">
      <w:pPr>
        <w:widowControl/>
        <w:tabs>
          <w:tab w:val="left" w:pos="426"/>
        </w:tabs>
        <w:autoSpaceDE/>
        <w:autoSpaceDN/>
        <w:adjustRightInd/>
        <w:jc w:val="both"/>
        <w:rPr>
          <w:rFonts w:cs="Arial"/>
          <w:i/>
          <w:color w:val="000000"/>
          <w:sz w:val="22"/>
          <w:szCs w:val="22"/>
          <w:lang w:val="fr-FR"/>
        </w:rPr>
      </w:pPr>
    </w:p>
    <w:p w14:paraId="0B8DAC96" w14:textId="77777777" w:rsidR="009E0F24" w:rsidRDefault="009E0F24">
      <w:pPr>
        <w:widowControl/>
        <w:autoSpaceDE/>
        <w:autoSpaceDN/>
        <w:adjustRightInd/>
        <w:rPr>
          <w:rFonts w:cs="Arial"/>
          <w:b/>
          <w:caps/>
          <w:sz w:val="22"/>
          <w:szCs w:val="22"/>
          <w:lang w:val="fr-FR"/>
        </w:rPr>
        <w:sectPr w:rsidR="009E0F24" w:rsidSect="0052082F">
          <w:headerReference w:type="even" r:id="rId19"/>
          <w:headerReference w:type="default" r:id="rId20"/>
          <w:headerReference w:type="first" r:id="rId21"/>
          <w:endnotePr>
            <w:numFmt w:val="decimal"/>
          </w:endnotePr>
          <w:pgSz w:w="11905" w:h="16837" w:code="9"/>
          <w:pgMar w:top="1008" w:right="1411" w:bottom="1152" w:left="1411" w:header="432" w:footer="432" w:gutter="0"/>
          <w:cols w:space="720"/>
          <w:noEndnote/>
          <w:titlePg/>
          <w:docGrid w:linePitch="272"/>
        </w:sectPr>
      </w:pPr>
    </w:p>
    <w:p w14:paraId="63F07B4B" w14:textId="44306765" w:rsidR="007910DD" w:rsidRPr="001E09A7" w:rsidRDefault="00F803B0" w:rsidP="007910DD">
      <w:pPr>
        <w:widowControl/>
        <w:autoSpaceDE/>
        <w:adjustRightInd/>
        <w:jc w:val="right"/>
        <w:rPr>
          <w:rFonts w:cs="Arial"/>
          <w:b/>
          <w:bCs/>
          <w:caps/>
          <w:sz w:val="22"/>
          <w:szCs w:val="22"/>
          <w:lang w:val="fr-FR"/>
        </w:rPr>
      </w:pPr>
      <w:r w:rsidRPr="001E09A7">
        <w:rPr>
          <w:rFonts w:cs="Arial"/>
          <w:b/>
          <w:caps/>
          <w:sz w:val="22"/>
          <w:szCs w:val="22"/>
          <w:lang w:val="fr-FR"/>
        </w:rPr>
        <w:lastRenderedPageBreak/>
        <w:t>Annex</w:t>
      </w:r>
      <w:r w:rsidR="001E09A7" w:rsidRPr="001E09A7">
        <w:rPr>
          <w:rFonts w:cs="Arial"/>
          <w:b/>
          <w:caps/>
          <w:sz w:val="22"/>
          <w:szCs w:val="22"/>
          <w:lang w:val="fr-FR"/>
        </w:rPr>
        <w:t>E</w:t>
      </w:r>
      <w:r w:rsidRPr="001E09A7">
        <w:rPr>
          <w:rFonts w:cs="Arial"/>
          <w:b/>
          <w:caps/>
          <w:sz w:val="22"/>
          <w:szCs w:val="22"/>
          <w:lang w:val="fr-FR"/>
        </w:rPr>
        <w:t xml:space="preserve"> 2</w:t>
      </w:r>
    </w:p>
    <w:p w14:paraId="1BB6C616" w14:textId="77777777" w:rsidR="007910DD" w:rsidRPr="001E09A7" w:rsidRDefault="007910DD" w:rsidP="007910DD">
      <w:pPr>
        <w:rPr>
          <w:rFonts w:cs="Arial"/>
          <w:sz w:val="22"/>
          <w:szCs w:val="22"/>
          <w:lang w:val="fr-FR"/>
        </w:rPr>
      </w:pPr>
    </w:p>
    <w:p w14:paraId="4DDA0BAA" w14:textId="6AB4A356" w:rsidR="007910DD" w:rsidRPr="001E09A7" w:rsidRDefault="001E09A7" w:rsidP="007910DD">
      <w:pPr>
        <w:jc w:val="center"/>
        <w:rPr>
          <w:rFonts w:cs="Arial"/>
          <w:sz w:val="22"/>
          <w:szCs w:val="22"/>
          <w:lang w:val="fr-FR"/>
        </w:rPr>
      </w:pPr>
      <w:r w:rsidRPr="001E09A7">
        <w:rPr>
          <w:rFonts w:cs="Arial"/>
          <w:sz w:val="22"/>
          <w:szCs w:val="22"/>
          <w:lang w:val="fr-FR"/>
        </w:rPr>
        <w:t xml:space="preserve">PROJET DE </w:t>
      </w:r>
      <w:r w:rsidR="00B10D13">
        <w:rPr>
          <w:rFonts w:cs="Arial"/>
          <w:sz w:val="22"/>
          <w:szCs w:val="22"/>
          <w:lang w:val="fr-FR"/>
        </w:rPr>
        <w:t>DÉ</w:t>
      </w:r>
      <w:r w:rsidR="002F364A" w:rsidRPr="001E09A7">
        <w:rPr>
          <w:rFonts w:cs="Arial"/>
          <w:sz w:val="22"/>
          <w:szCs w:val="22"/>
          <w:lang w:val="fr-FR"/>
        </w:rPr>
        <w:t>CISIONS</w:t>
      </w:r>
    </w:p>
    <w:p w14:paraId="40FE5226" w14:textId="77777777" w:rsidR="007910DD" w:rsidRPr="001E09A7" w:rsidRDefault="007910DD" w:rsidP="007910DD">
      <w:pPr>
        <w:jc w:val="center"/>
        <w:rPr>
          <w:rFonts w:cs="Arial"/>
          <w:sz w:val="22"/>
          <w:szCs w:val="22"/>
          <w:lang w:val="fr-FR"/>
        </w:rPr>
      </w:pPr>
    </w:p>
    <w:p w14:paraId="77A24A07" w14:textId="0815A450" w:rsidR="007910DD" w:rsidRPr="00DB204E" w:rsidRDefault="00B10D13"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fr-FR"/>
        </w:rPr>
      </w:pPr>
      <w:r>
        <w:rPr>
          <w:rFonts w:cs="Arial"/>
          <w:b/>
          <w:caps/>
          <w:sz w:val="22"/>
          <w:szCs w:val="22"/>
          <w:lang w:val="fr-FR"/>
        </w:rPr>
        <w:t>PRÉVENir l’</w:t>
      </w:r>
      <w:r w:rsidR="00DB204E" w:rsidRPr="00DB204E">
        <w:rPr>
          <w:rFonts w:cs="Arial"/>
          <w:b/>
          <w:caps/>
          <w:sz w:val="22"/>
          <w:szCs w:val="22"/>
          <w:lang w:val="fr-FR"/>
        </w:rPr>
        <w:t>EMPOISONNEMENT</w:t>
      </w:r>
      <w:r w:rsidR="001E09A7">
        <w:rPr>
          <w:rFonts w:cs="Arial"/>
          <w:b/>
          <w:caps/>
          <w:sz w:val="22"/>
          <w:szCs w:val="22"/>
          <w:lang w:val="fr-FR"/>
        </w:rPr>
        <w:t xml:space="preserve"> DES </w:t>
      </w:r>
      <w:r w:rsidR="00DB204E" w:rsidRPr="00DB204E">
        <w:rPr>
          <w:rFonts w:cs="Arial"/>
          <w:b/>
          <w:caps/>
          <w:sz w:val="22"/>
          <w:szCs w:val="22"/>
          <w:lang w:val="fr-FR"/>
        </w:rPr>
        <w:t>OISEAUX MIGRATEURS</w:t>
      </w:r>
    </w:p>
    <w:p w14:paraId="6953F1F5" w14:textId="3E5E2C02" w:rsidR="007910DD" w:rsidRDefault="007910DD" w:rsidP="007910DD">
      <w:pPr>
        <w:jc w:val="both"/>
        <w:rPr>
          <w:rFonts w:cs="Arial"/>
          <w:sz w:val="22"/>
          <w:szCs w:val="22"/>
          <w:lang w:val="fr-FR"/>
        </w:rPr>
      </w:pPr>
    </w:p>
    <w:p w14:paraId="3DCB1694" w14:textId="77777777" w:rsidR="000F4030" w:rsidRPr="00DB204E" w:rsidRDefault="000F4030" w:rsidP="007910DD">
      <w:pPr>
        <w:jc w:val="both"/>
        <w:rPr>
          <w:rFonts w:cs="Arial"/>
          <w:sz w:val="22"/>
          <w:szCs w:val="22"/>
          <w:lang w:val="fr-FR"/>
        </w:rPr>
      </w:pPr>
    </w:p>
    <w:p w14:paraId="54762124" w14:textId="3C2F22E4" w:rsidR="007910DD" w:rsidRPr="00D928F5" w:rsidRDefault="000F4030" w:rsidP="007910DD">
      <w:pPr>
        <w:jc w:val="both"/>
        <w:rPr>
          <w:rFonts w:cs="Arial"/>
          <w:b/>
          <w:i/>
          <w:sz w:val="22"/>
          <w:szCs w:val="22"/>
          <w:lang w:val="fr-FR"/>
        </w:rPr>
      </w:pPr>
      <w:r>
        <w:rPr>
          <w:rFonts w:cs="Arial"/>
          <w:b/>
          <w:i/>
          <w:sz w:val="22"/>
          <w:szCs w:val="22"/>
          <w:lang w:val="fr-FR"/>
        </w:rPr>
        <w:t>A l’adresse</w:t>
      </w:r>
      <w:r w:rsidR="001E09A7">
        <w:rPr>
          <w:rFonts w:cs="Arial"/>
          <w:b/>
          <w:i/>
          <w:sz w:val="22"/>
          <w:szCs w:val="22"/>
          <w:lang w:val="fr-FR"/>
        </w:rPr>
        <w:t xml:space="preserve"> des </w:t>
      </w:r>
      <w:r w:rsidR="007910DD" w:rsidRPr="00D928F5">
        <w:rPr>
          <w:rFonts w:cs="Arial"/>
          <w:b/>
          <w:i/>
          <w:sz w:val="22"/>
          <w:szCs w:val="22"/>
          <w:lang w:val="fr-FR"/>
        </w:rPr>
        <w:t xml:space="preserve">Parties, </w:t>
      </w:r>
      <w:r w:rsidR="001E09A7">
        <w:rPr>
          <w:rFonts w:cs="Arial"/>
          <w:b/>
          <w:i/>
          <w:sz w:val="22"/>
          <w:szCs w:val="22"/>
          <w:lang w:val="fr-FR"/>
        </w:rPr>
        <w:t xml:space="preserve">des organisations </w:t>
      </w:r>
      <w:r w:rsidR="007910DD" w:rsidRPr="00D928F5">
        <w:rPr>
          <w:rFonts w:cs="Arial"/>
          <w:b/>
          <w:i/>
          <w:sz w:val="22"/>
          <w:szCs w:val="22"/>
          <w:lang w:val="fr-FR"/>
        </w:rPr>
        <w:t>inter</w:t>
      </w:r>
      <w:r w:rsidR="001E09A7">
        <w:rPr>
          <w:rFonts w:cs="Arial"/>
          <w:b/>
          <w:i/>
          <w:sz w:val="22"/>
          <w:szCs w:val="22"/>
          <w:lang w:val="fr-FR"/>
        </w:rPr>
        <w:t>g</w:t>
      </w:r>
      <w:r w:rsidR="00D928F5" w:rsidRPr="00D928F5">
        <w:rPr>
          <w:rFonts w:cs="Arial"/>
          <w:b/>
          <w:i/>
          <w:sz w:val="22"/>
          <w:szCs w:val="22"/>
          <w:lang w:val="fr-FR"/>
        </w:rPr>
        <w:t>ouvernement</w:t>
      </w:r>
      <w:r w:rsidR="00973BFB" w:rsidRPr="00D928F5">
        <w:rPr>
          <w:rFonts w:cs="Arial"/>
          <w:b/>
          <w:i/>
          <w:sz w:val="22"/>
          <w:szCs w:val="22"/>
          <w:lang w:val="fr-FR"/>
        </w:rPr>
        <w:t>al</w:t>
      </w:r>
      <w:r w:rsidR="001E09A7">
        <w:rPr>
          <w:rFonts w:cs="Arial"/>
          <w:b/>
          <w:i/>
          <w:sz w:val="22"/>
          <w:szCs w:val="22"/>
          <w:lang w:val="fr-FR"/>
        </w:rPr>
        <w:t>es et</w:t>
      </w:r>
      <w:r w:rsidR="00973BFB" w:rsidRPr="00D928F5">
        <w:rPr>
          <w:rFonts w:cs="Arial"/>
          <w:b/>
          <w:i/>
          <w:sz w:val="22"/>
          <w:szCs w:val="22"/>
          <w:lang w:val="fr-FR"/>
        </w:rPr>
        <w:t xml:space="preserve"> non-</w:t>
      </w:r>
      <w:r w:rsidR="001E09A7">
        <w:rPr>
          <w:rFonts w:cs="Arial"/>
          <w:b/>
          <w:i/>
          <w:sz w:val="22"/>
          <w:szCs w:val="22"/>
          <w:lang w:val="fr-FR"/>
        </w:rPr>
        <w:t>g</w:t>
      </w:r>
      <w:r w:rsidR="00D928F5" w:rsidRPr="00D928F5">
        <w:rPr>
          <w:rFonts w:cs="Arial"/>
          <w:b/>
          <w:i/>
          <w:sz w:val="22"/>
          <w:szCs w:val="22"/>
          <w:lang w:val="fr-FR"/>
        </w:rPr>
        <w:t>ouvernement</w:t>
      </w:r>
      <w:r w:rsidR="001E09A7">
        <w:rPr>
          <w:rFonts w:cs="Arial"/>
          <w:b/>
          <w:i/>
          <w:sz w:val="22"/>
          <w:szCs w:val="22"/>
          <w:lang w:val="fr-FR"/>
        </w:rPr>
        <w:t>ale</w:t>
      </w:r>
      <w:r w:rsidR="007910DD" w:rsidRPr="00D928F5">
        <w:rPr>
          <w:rFonts w:cs="Arial"/>
          <w:b/>
          <w:i/>
          <w:sz w:val="22"/>
          <w:szCs w:val="22"/>
          <w:lang w:val="fr-FR"/>
        </w:rPr>
        <w:t>s</w:t>
      </w:r>
      <w:r w:rsidR="00B10D13">
        <w:rPr>
          <w:rFonts w:cs="Arial"/>
          <w:b/>
          <w:i/>
          <w:sz w:val="22"/>
          <w:szCs w:val="22"/>
          <w:lang w:val="fr-FR"/>
        </w:rPr>
        <w:t xml:space="preserve"> et des </w:t>
      </w:r>
      <w:r>
        <w:rPr>
          <w:rFonts w:cs="Arial"/>
          <w:b/>
          <w:i/>
          <w:sz w:val="22"/>
          <w:szCs w:val="22"/>
          <w:lang w:val="fr-FR"/>
        </w:rPr>
        <w:t>donateurs</w:t>
      </w:r>
    </w:p>
    <w:p w14:paraId="52E23373" w14:textId="77777777" w:rsidR="007910DD" w:rsidRPr="00D928F5" w:rsidRDefault="007910DD" w:rsidP="007910DD">
      <w:pPr>
        <w:jc w:val="both"/>
        <w:rPr>
          <w:rFonts w:cs="Arial"/>
          <w:sz w:val="22"/>
          <w:szCs w:val="22"/>
          <w:lang w:val="fr-FR"/>
        </w:rPr>
      </w:pPr>
    </w:p>
    <w:p w14:paraId="4ADCA6A8" w14:textId="0012315B" w:rsidR="007910DD" w:rsidRPr="00D928F5" w:rsidRDefault="00C82347" w:rsidP="00100410">
      <w:pPr>
        <w:jc w:val="both"/>
        <w:rPr>
          <w:rFonts w:cs="Arial"/>
          <w:sz w:val="22"/>
          <w:szCs w:val="22"/>
          <w:lang w:val="fr-FR"/>
        </w:rPr>
      </w:pPr>
      <w:r w:rsidRPr="00D928F5">
        <w:rPr>
          <w:rFonts w:cs="Arial"/>
          <w:sz w:val="22"/>
          <w:szCs w:val="22"/>
          <w:lang w:val="fr-FR"/>
        </w:rPr>
        <w:t>1</w:t>
      </w:r>
      <w:r w:rsidR="00100410" w:rsidRPr="00D928F5">
        <w:rPr>
          <w:rFonts w:cs="Arial"/>
          <w:sz w:val="22"/>
          <w:szCs w:val="22"/>
          <w:lang w:val="fr-FR"/>
        </w:rPr>
        <w:t>2</w:t>
      </w:r>
      <w:r w:rsidR="002B2835" w:rsidRPr="00D928F5">
        <w:rPr>
          <w:rFonts w:cs="Arial"/>
          <w:sz w:val="22"/>
          <w:szCs w:val="22"/>
          <w:lang w:val="fr-FR"/>
        </w:rPr>
        <w:t>.AA</w:t>
      </w:r>
      <w:r w:rsidR="007910DD" w:rsidRPr="00D928F5">
        <w:rPr>
          <w:rFonts w:cs="Arial"/>
          <w:sz w:val="22"/>
          <w:szCs w:val="22"/>
          <w:lang w:val="fr-FR"/>
        </w:rPr>
        <w:tab/>
      </w:r>
      <w:r w:rsidR="00CD24E0">
        <w:rPr>
          <w:rFonts w:cs="Arial"/>
          <w:sz w:val="22"/>
          <w:szCs w:val="22"/>
          <w:lang w:val="fr-FR"/>
        </w:rPr>
        <w:t xml:space="preserve">Les </w:t>
      </w:r>
      <w:r w:rsidR="007910DD" w:rsidRPr="00D928F5">
        <w:rPr>
          <w:rFonts w:cs="Arial"/>
          <w:sz w:val="22"/>
          <w:szCs w:val="22"/>
          <w:lang w:val="fr-FR"/>
        </w:rPr>
        <w:t xml:space="preserve">Parties, </w:t>
      </w:r>
      <w:r w:rsidR="00CD24E0">
        <w:rPr>
          <w:rFonts w:cs="Arial"/>
          <w:sz w:val="22"/>
          <w:szCs w:val="22"/>
          <w:lang w:val="fr-FR"/>
        </w:rPr>
        <w:t xml:space="preserve">les organisations </w:t>
      </w:r>
      <w:r w:rsidR="007910DD" w:rsidRPr="00D928F5">
        <w:rPr>
          <w:rFonts w:cs="Arial"/>
          <w:sz w:val="22"/>
          <w:szCs w:val="22"/>
          <w:lang w:val="fr-FR"/>
        </w:rPr>
        <w:t>inter</w:t>
      </w:r>
      <w:r w:rsidR="00CD24E0">
        <w:rPr>
          <w:rFonts w:cs="Arial"/>
          <w:sz w:val="22"/>
          <w:szCs w:val="22"/>
          <w:lang w:val="fr-FR"/>
        </w:rPr>
        <w:t>g</w:t>
      </w:r>
      <w:r w:rsidR="00D928F5" w:rsidRPr="00D928F5">
        <w:rPr>
          <w:rFonts w:cs="Arial"/>
          <w:sz w:val="22"/>
          <w:szCs w:val="22"/>
          <w:lang w:val="fr-FR"/>
        </w:rPr>
        <w:t>ouvernement</w:t>
      </w:r>
      <w:r w:rsidR="00973BFB" w:rsidRPr="00D928F5">
        <w:rPr>
          <w:rFonts w:cs="Arial"/>
          <w:sz w:val="22"/>
          <w:szCs w:val="22"/>
          <w:lang w:val="fr-FR"/>
        </w:rPr>
        <w:t>al</w:t>
      </w:r>
      <w:r w:rsidR="00CD24E0">
        <w:rPr>
          <w:rFonts w:cs="Arial"/>
          <w:sz w:val="22"/>
          <w:szCs w:val="22"/>
          <w:lang w:val="fr-FR"/>
        </w:rPr>
        <w:t>es et</w:t>
      </w:r>
      <w:r w:rsidR="00973BFB" w:rsidRPr="00D928F5">
        <w:rPr>
          <w:rFonts w:cs="Arial"/>
          <w:sz w:val="22"/>
          <w:szCs w:val="22"/>
          <w:lang w:val="fr-FR"/>
        </w:rPr>
        <w:t xml:space="preserve"> non-</w:t>
      </w:r>
      <w:r w:rsidR="00CD24E0">
        <w:rPr>
          <w:rFonts w:cs="Arial"/>
          <w:sz w:val="22"/>
          <w:szCs w:val="22"/>
          <w:lang w:val="fr-FR"/>
        </w:rPr>
        <w:t>g</w:t>
      </w:r>
      <w:r w:rsidR="00D928F5" w:rsidRPr="00D928F5">
        <w:rPr>
          <w:rFonts w:cs="Arial"/>
          <w:sz w:val="22"/>
          <w:szCs w:val="22"/>
          <w:lang w:val="fr-FR"/>
        </w:rPr>
        <w:t>ouvernement</w:t>
      </w:r>
      <w:r w:rsidR="00973BFB" w:rsidRPr="00D928F5">
        <w:rPr>
          <w:rFonts w:cs="Arial"/>
          <w:sz w:val="22"/>
          <w:szCs w:val="22"/>
          <w:lang w:val="fr-FR"/>
        </w:rPr>
        <w:t>al</w:t>
      </w:r>
      <w:r w:rsidR="00CD24E0">
        <w:rPr>
          <w:rFonts w:cs="Arial"/>
          <w:sz w:val="22"/>
          <w:szCs w:val="22"/>
          <w:lang w:val="fr-FR"/>
        </w:rPr>
        <w:t xml:space="preserve">es et les </w:t>
      </w:r>
      <w:proofErr w:type="spellStart"/>
      <w:r w:rsidR="000F4030">
        <w:rPr>
          <w:rFonts w:cs="Arial"/>
          <w:sz w:val="22"/>
          <w:szCs w:val="22"/>
          <w:lang w:val="fr-FR"/>
        </w:rPr>
        <w:t>donatuers</w:t>
      </w:r>
      <w:proofErr w:type="spellEnd"/>
      <w:r w:rsidR="00A23F42" w:rsidRPr="00D928F5">
        <w:rPr>
          <w:rFonts w:cs="Arial"/>
          <w:sz w:val="22"/>
          <w:szCs w:val="22"/>
          <w:lang w:val="fr-FR"/>
        </w:rPr>
        <w:t xml:space="preserve"> </w:t>
      </w:r>
      <w:r w:rsidR="00CD24E0">
        <w:rPr>
          <w:rFonts w:cs="Arial"/>
          <w:sz w:val="22"/>
          <w:szCs w:val="22"/>
          <w:lang w:val="fr-FR"/>
        </w:rPr>
        <w:t>sont encouragés à :</w:t>
      </w:r>
    </w:p>
    <w:p w14:paraId="0DF259BE" w14:textId="77777777" w:rsidR="007910DD" w:rsidRPr="00D928F5" w:rsidRDefault="007910DD" w:rsidP="007910DD">
      <w:pPr>
        <w:jc w:val="both"/>
        <w:rPr>
          <w:rFonts w:cs="Arial"/>
          <w:sz w:val="22"/>
          <w:szCs w:val="22"/>
          <w:lang w:val="fr-FR"/>
        </w:rPr>
      </w:pPr>
    </w:p>
    <w:p w14:paraId="25699848" w14:textId="23DAA915" w:rsidR="007910DD" w:rsidRPr="00CD24E0" w:rsidRDefault="00CD24E0" w:rsidP="00200759">
      <w:pPr>
        <w:numPr>
          <w:ilvl w:val="0"/>
          <w:numId w:val="6"/>
        </w:numPr>
        <w:jc w:val="both"/>
        <w:rPr>
          <w:rFonts w:cs="Arial"/>
          <w:sz w:val="22"/>
          <w:szCs w:val="22"/>
          <w:lang w:val="fr-FR"/>
        </w:rPr>
      </w:pPr>
      <w:r>
        <w:rPr>
          <w:rFonts w:cs="Arial"/>
          <w:sz w:val="22"/>
          <w:szCs w:val="22"/>
          <w:lang w:val="fr-FR"/>
        </w:rPr>
        <w:t>Fournir un appui</w:t>
      </w:r>
      <w:r w:rsidR="007910DD" w:rsidRPr="00CD24E0">
        <w:rPr>
          <w:rFonts w:cs="Arial"/>
          <w:sz w:val="22"/>
          <w:szCs w:val="22"/>
          <w:lang w:val="fr-FR"/>
        </w:rPr>
        <w:t xml:space="preserve"> fin</w:t>
      </w:r>
      <w:r w:rsidRPr="00CD24E0">
        <w:rPr>
          <w:rFonts w:cs="Arial"/>
          <w:sz w:val="22"/>
          <w:szCs w:val="22"/>
          <w:lang w:val="fr-FR"/>
        </w:rPr>
        <w:t xml:space="preserve">ancier et technique au </w:t>
      </w:r>
      <w:r w:rsidR="00DB204E" w:rsidRPr="00CD24E0">
        <w:rPr>
          <w:rFonts w:cs="Arial"/>
          <w:sz w:val="22"/>
          <w:szCs w:val="22"/>
          <w:lang w:val="fr-FR"/>
        </w:rPr>
        <w:t>Secrétariat</w:t>
      </w:r>
      <w:r w:rsidR="004F7D1F" w:rsidRPr="00CD24E0">
        <w:rPr>
          <w:rFonts w:cs="Arial"/>
          <w:sz w:val="22"/>
          <w:szCs w:val="22"/>
          <w:lang w:val="fr-FR"/>
        </w:rPr>
        <w:t xml:space="preserve"> </w:t>
      </w:r>
      <w:r w:rsidR="0080198F">
        <w:rPr>
          <w:rFonts w:cs="Arial"/>
          <w:sz w:val="22"/>
          <w:szCs w:val="22"/>
          <w:lang w:val="fr-FR"/>
        </w:rPr>
        <w:t xml:space="preserve">afin de </w:t>
      </w:r>
      <w:r>
        <w:rPr>
          <w:rFonts w:cs="Arial"/>
          <w:sz w:val="22"/>
          <w:szCs w:val="22"/>
          <w:lang w:val="fr-FR"/>
        </w:rPr>
        <w:t xml:space="preserve">désigner un </w:t>
      </w:r>
      <w:r w:rsidR="00F10F82" w:rsidRPr="00CD24E0">
        <w:rPr>
          <w:rFonts w:cs="Arial"/>
          <w:sz w:val="22"/>
          <w:szCs w:val="22"/>
          <w:lang w:val="fr-FR"/>
        </w:rPr>
        <w:t>coordinateur</w:t>
      </w:r>
      <w:r>
        <w:rPr>
          <w:rFonts w:cs="Arial"/>
          <w:sz w:val="22"/>
          <w:szCs w:val="22"/>
          <w:lang w:val="fr-FR"/>
        </w:rPr>
        <w:t xml:space="preserve"> du</w:t>
      </w:r>
      <w:r w:rsidR="00971318" w:rsidRPr="00CD24E0">
        <w:rPr>
          <w:rFonts w:cs="Arial"/>
          <w:sz w:val="22"/>
          <w:szCs w:val="22"/>
          <w:lang w:val="fr-FR"/>
        </w:rPr>
        <w:t xml:space="preserve"> groupe de travail</w:t>
      </w:r>
      <w:r>
        <w:rPr>
          <w:rFonts w:cs="Arial"/>
          <w:sz w:val="22"/>
          <w:szCs w:val="22"/>
          <w:lang w:val="fr-FR"/>
        </w:rPr>
        <w:t xml:space="preserve"> pour la période triennale </w:t>
      </w:r>
      <w:r w:rsidR="007A2370" w:rsidRPr="00CD24E0">
        <w:rPr>
          <w:rFonts w:cs="Arial"/>
          <w:sz w:val="22"/>
          <w:szCs w:val="22"/>
          <w:lang w:val="fr-FR"/>
        </w:rPr>
        <w:t xml:space="preserve">2017-2020 </w:t>
      </w:r>
      <w:r>
        <w:rPr>
          <w:rFonts w:cs="Arial"/>
          <w:sz w:val="22"/>
          <w:szCs w:val="22"/>
          <w:lang w:val="fr-FR"/>
        </w:rPr>
        <w:t>et</w:t>
      </w:r>
      <w:r w:rsidR="0080198F">
        <w:rPr>
          <w:rFonts w:cs="Arial"/>
          <w:sz w:val="22"/>
          <w:szCs w:val="22"/>
          <w:lang w:val="fr-FR"/>
        </w:rPr>
        <w:t>,</w:t>
      </w:r>
      <w:r>
        <w:rPr>
          <w:rFonts w:cs="Arial"/>
          <w:sz w:val="22"/>
          <w:szCs w:val="22"/>
          <w:lang w:val="fr-FR"/>
        </w:rPr>
        <w:t xml:space="preserve"> si possible</w:t>
      </w:r>
      <w:r w:rsidR="0080198F">
        <w:rPr>
          <w:rFonts w:cs="Arial"/>
          <w:sz w:val="22"/>
          <w:szCs w:val="22"/>
          <w:lang w:val="fr-FR"/>
        </w:rPr>
        <w:t>,</w:t>
      </w:r>
      <w:r>
        <w:rPr>
          <w:rFonts w:cs="Arial"/>
          <w:sz w:val="22"/>
          <w:szCs w:val="22"/>
          <w:lang w:val="fr-FR"/>
        </w:rPr>
        <w:t xml:space="preserve"> au-delà de cette </w:t>
      </w:r>
      <w:proofErr w:type="gramStart"/>
      <w:r>
        <w:rPr>
          <w:rFonts w:cs="Arial"/>
          <w:sz w:val="22"/>
          <w:szCs w:val="22"/>
          <w:lang w:val="fr-FR"/>
        </w:rPr>
        <w:t>période</w:t>
      </w:r>
      <w:r w:rsidR="007A2370" w:rsidRPr="00CD24E0">
        <w:rPr>
          <w:rFonts w:cs="Arial"/>
          <w:sz w:val="22"/>
          <w:szCs w:val="22"/>
          <w:lang w:val="fr-FR"/>
        </w:rPr>
        <w:t>;</w:t>
      </w:r>
      <w:proofErr w:type="gramEnd"/>
    </w:p>
    <w:p w14:paraId="5F03B5DB" w14:textId="77777777" w:rsidR="007910DD" w:rsidRPr="00CD24E0" w:rsidRDefault="007910DD" w:rsidP="007910DD">
      <w:pPr>
        <w:ind w:left="720"/>
        <w:jc w:val="both"/>
        <w:rPr>
          <w:rFonts w:cs="Arial"/>
          <w:sz w:val="22"/>
          <w:szCs w:val="22"/>
          <w:lang w:val="fr-FR"/>
        </w:rPr>
      </w:pPr>
    </w:p>
    <w:p w14:paraId="2C647923" w14:textId="68FB9424" w:rsidR="007910DD" w:rsidRPr="00CD24E0" w:rsidRDefault="00CD24E0" w:rsidP="00CD24E0">
      <w:pPr>
        <w:numPr>
          <w:ilvl w:val="0"/>
          <w:numId w:val="6"/>
        </w:numPr>
        <w:jc w:val="both"/>
        <w:rPr>
          <w:rFonts w:cs="Arial"/>
          <w:sz w:val="22"/>
          <w:szCs w:val="22"/>
          <w:lang w:val="fr-FR"/>
        </w:rPr>
      </w:pPr>
      <w:r w:rsidRPr="00CD24E0">
        <w:rPr>
          <w:rFonts w:cs="Arial"/>
          <w:sz w:val="22"/>
          <w:szCs w:val="22"/>
          <w:lang w:val="fr-FR"/>
        </w:rPr>
        <w:t>Fournir un appui financier et technique au</w:t>
      </w:r>
      <w:r w:rsidR="002B2835" w:rsidRPr="00CD24E0">
        <w:rPr>
          <w:rFonts w:cs="Arial"/>
          <w:sz w:val="22"/>
          <w:szCs w:val="22"/>
          <w:lang w:val="fr-FR"/>
        </w:rPr>
        <w:t xml:space="preserve"> </w:t>
      </w:r>
      <w:r w:rsidR="00DB204E" w:rsidRPr="00CD24E0">
        <w:rPr>
          <w:rFonts w:cs="Arial"/>
          <w:sz w:val="22"/>
          <w:szCs w:val="22"/>
          <w:lang w:val="fr-FR"/>
        </w:rPr>
        <w:t>Secrétariat</w:t>
      </w:r>
      <w:r w:rsidR="0080198F">
        <w:rPr>
          <w:rFonts w:cs="Arial"/>
          <w:sz w:val="22"/>
          <w:szCs w:val="22"/>
          <w:lang w:val="fr-FR"/>
        </w:rPr>
        <w:t xml:space="preserve"> afin de </w:t>
      </w:r>
      <w:r>
        <w:rPr>
          <w:rFonts w:cs="Arial"/>
          <w:sz w:val="22"/>
          <w:szCs w:val="22"/>
          <w:lang w:val="fr-FR"/>
        </w:rPr>
        <w:t>mettre en œuvre le</w:t>
      </w:r>
      <w:r w:rsidR="0080198F">
        <w:rPr>
          <w:rFonts w:cs="Arial"/>
          <w:sz w:val="22"/>
          <w:szCs w:val="22"/>
          <w:lang w:val="fr-FR"/>
        </w:rPr>
        <w:t xml:space="preserve"> p</w:t>
      </w:r>
      <w:r w:rsidR="0053799F" w:rsidRPr="00CD24E0">
        <w:rPr>
          <w:rFonts w:cs="Arial"/>
          <w:sz w:val="22"/>
          <w:szCs w:val="22"/>
          <w:lang w:val="fr-FR"/>
        </w:rPr>
        <w:t xml:space="preserve">rogramme </w:t>
      </w:r>
      <w:r>
        <w:rPr>
          <w:rFonts w:cs="Arial"/>
          <w:sz w:val="22"/>
          <w:szCs w:val="22"/>
          <w:lang w:val="fr-FR"/>
        </w:rPr>
        <w:t>de travail du G</w:t>
      </w:r>
      <w:r w:rsidR="00971318" w:rsidRPr="00CD24E0">
        <w:rPr>
          <w:rFonts w:cs="Arial"/>
          <w:sz w:val="22"/>
          <w:szCs w:val="22"/>
          <w:lang w:val="fr-FR"/>
        </w:rPr>
        <w:t>roupe de travail sur la prévention de l’empoisonnement</w:t>
      </w:r>
      <w:r w:rsidR="0080198F">
        <w:rPr>
          <w:rFonts w:cs="Arial"/>
          <w:sz w:val="22"/>
          <w:szCs w:val="22"/>
          <w:lang w:val="fr-FR"/>
        </w:rPr>
        <w:t xml:space="preserve"> et, en particulier, pour organiser des </w:t>
      </w:r>
      <w:r w:rsidR="00971318" w:rsidRPr="00CD24E0">
        <w:rPr>
          <w:rFonts w:cs="Arial"/>
          <w:sz w:val="22"/>
          <w:szCs w:val="22"/>
          <w:lang w:val="fr-FR"/>
        </w:rPr>
        <w:t>atelier</w:t>
      </w:r>
      <w:r w:rsidR="002B2835" w:rsidRPr="00CD24E0">
        <w:rPr>
          <w:rFonts w:cs="Arial"/>
          <w:sz w:val="22"/>
          <w:szCs w:val="22"/>
          <w:lang w:val="fr-FR"/>
        </w:rPr>
        <w:t>s</w:t>
      </w:r>
      <w:r>
        <w:rPr>
          <w:rFonts w:cs="Arial"/>
          <w:sz w:val="22"/>
          <w:szCs w:val="22"/>
          <w:lang w:val="fr-FR"/>
        </w:rPr>
        <w:t xml:space="preserve"> régionaux dans des zones ou </w:t>
      </w:r>
      <w:r w:rsidR="005D6611">
        <w:rPr>
          <w:rFonts w:cs="Arial"/>
          <w:sz w:val="22"/>
          <w:szCs w:val="22"/>
          <w:lang w:val="fr-FR"/>
        </w:rPr>
        <w:t>voies</w:t>
      </w:r>
      <w:r w:rsidR="0080198F">
        <w:rPr>
          <w:rFonts w:cs="Arial"/>
          <w:sz w:val="22"/>
          <w:szCs w:val="22"/>
          <w:lang w:val="fr-FR"/>
        </w:rPr>
        <w:t xml:space="preserve"> de migration à haut risque</w:t>
      </w:r>
      <w:r>
        <w:rPr>
          <w:rFonts w:cs="Arial"/>
          <w:sz w:val="22"/>
          <w:szCs w:val="22"/>
          <w:lang w:val="fr-FR"/>
        </w:rPr>
        <w:t xml:space="preserve"> durant la </w:t>
      </w:r>
      <w:r w:rsidRPr="00CD24E0">
        <w:rPr>
          <w:rFonts w:cs="Arial"/>
          <w:sz w:val="22"/>
          <w:szCs w:val="22"/>
          <w:lang w:val="fr-FR"/>
        </w:rPr>
        <w:t>période triennale</w:t>
      </w:r>
      <w:r w:rsidR="002B2835" w:rsidRPr="00CD24E0">
        <w:rPr>
          <w:rFonts w:cs="Arial"/>
          <w:sz w:val="22"/>
          <w:szCs w:val="22"/>
          <w:lang w:val="fr-FR"/>
        </w:rPr>
        <w:t xml:space="preserve"> 2017-</w:t>
      </w:r>
      <w:proofErr w:type="gramStart"/>
      <w:r w:rsidR="002B2835" w:rsidRPr="00CD24E0">
        <w:rPr>
          <w:rFonts w:cs="Arial"/>
          <w:sz w:val="22"/>
          <w:szCs w:val="22"/>
          <w:lang w:val="fr-FR"/>
        </w:rPr>
        <w:t>2020;</w:t>
      </w:r>
      <w:proofErr w:type="gramEnd"/>
    </w:p>
    <w:p w14:paraId="258800BE" w14:textId="77777777" w:rsidR="007910DD" w:rsidRPr="00CD24E0" w:rsidRDefault="007910DD" w:rsidP="007910DD">
      <w:pPr>
        <w:jc w:val="both"/>
        <w:rPr>
          <w:rFonts w:cs="Arial"/>
          <w:sz w:val="22"/>
          <w:szCs w:val="22"/>
          <w:lang w:val="fr-FR"/>
        </w:rPr>
      </w:pPr>
    </w:p>
    <w:p w14:paraId="65C983F3" w14:textId="77777777" w:rsidR="002B2835" w:rsidRPr="00CD24E0" w:rsidRDefault="002B2835" w:rsidP="007910DD">
      <w:pPr>
        <w:jc w:val="both"/>
        <w:rPr>
          <w:rFonts w:cs="Arial"/>
          <w:sz w:val="22"/>
          <w:szCs w:val="22"/>
          <w:lang w:val="fr-FR"/>
        </w:rPr>
      </w:pPr>
    </w:p>
    <w:p w14:paraId="440A79C8" w14:textId="2979B6C0" w:rsidR="007910DD" w:rsidRPr="0080198F" w:rsidRDefault="000F4030" w:rsidP="007910DD">
      <w:pPr>
        <w:jc w:val="both"/>
        <w:rPr>
          <w:rFonts w:cs="Arial"/>
          <w:b/>
          <w:i/>
          <w:sz w:val="22"/>
          <w:szCs w:val="22"/>
          <w:lang w:val="fr-FR"/>
        </w:rPr>
      </w:pPr>
      <w:r>
        <w:rPr>
          <w:rFonts w:cs="Arial"/>
          <w:b/>
          <w:i/>
          <w:sz w:val="22"/>
          <w:szCs w:val="22"/>
          <w:lang w:val="fr-FR"/>
        </w:rPr>
        <w:t>A l’adresse</w:t>
      </w:r>
      <w:r w:rsidR="00394594" w:rsidRPr="0080198F">
        <w:rPr>
          <w:rFonts w:cs="Arial"/>
          <w:b/>
          <w:i/>
          <w:sz w:val="22"/>
          <w:szCs w:val="22"/>
          <w:lang w:val="fr-FR"/>
        </w:rPr>
        <w:t xml:space="preserve"> du </w:t>
      </w:r>
      <w:r w:rsidR="00DB204E" w:rsidRPr="0080198F">
        <w:rPr>
          <w:rFonts w:cs="Arial"/>
          <w:b/>
          <w:i/>
          <w:sz w:val="22"/>
          <w:szCs w:val="22"/>
          <w:lang w:val="fr-FR"/>
        </w:rPr>
        <w:t>Secrétariat</w:t>
      </w:r>
    </w:p>
    <w:p w14:paraId="60EEBCB4" w14:textId="77777777" w:rsidR="007910DD" w:rsidRPr="0080198F" w:rsidRDefault="007910DD" w:rsidP="007910DD">
      <w:pPr>
        <w:jc w:val="both"/>
        <w:rPr>
          <w:rFonts w:cs="Arial"/>
          <w:sz w:val="22"/>
          <w:szCs w:val="22"/>
          <w:lang w:val="fr-FR"/>
        </w:rPr>
      </w:pPr>
    </w:p>
    <w:p w14:paraId="41CA376F" w14:textId="1F15E483" w:rsidR="007910DD" w:rsidRPr="00CD24E0" w:rsidRDefault="008C48F0" w:rsidP="007910DD">
      <w:pPr>
        <w:ind w:left="720" w:hanging="720"/>
        <w:jc w:val="both"/>
        <w:rPr>
          <w:rFonts w:cs="Arial"/>
          <w:iCs/>
          <w:sz w:val="22"/>
          <w:szCs w:val="22"/>
          <w:lang w:val="fr-FR"/>
        </w:rPr>
      </w:pPr>
      <w:r w:rsidRPr="00CD24E0">
        <w:rPr>
          <w:rFonts w:cs="Arial"/>
          <w:sz w:val="22"/>
          <w:szCs w:val="22"/>
          <w:lang w:val="fr-FR"/>
        </w:rPr>
        <w:t>12.BB</w:t>
      </w:r>
      <w:r w:rsidR="007910DD" w:rsidRPr="00CD24E0">
        <w:rPr>
          <w:rFonts w:cs="Arial"/>
          <w:sz w:val="22"/>
          <w:szCs w:val="22"/>
          <w:lang w:val="fr-FR"/>
        </w:rPr>
        <w:tab/>
      </w:r>
      <w:r w:rsidR="00CD24E0" w:rsidRPr="00CD24E0">
        <w:rPr>
          <w:rFonts w:cs="Arial"/>
          <w:sz w:val="22"/>
          <w:szCs w:val="22"/>
          <w:lang w:val="fr-FR"/>
        </w:rPr>
        <w:t>L</w:t>
      </w:r>
      <w:r w:rsidR="00FC340D" w:rsidRPr="00CD24E0">
        <w:rPr>
          <w:rFonts w:cs="Arial"/>
          <w:sz w:val="22"/>
          <w:szCs w:val="22"/>
          <w:lang w:val="fr-FR"/>
        </w:rPr>
        <w:t xml:space="preserve">e </w:t>
      </w:r>
      <w:r w:rsidR="00DB204E" w:rsidRPr="00CD24E0">
        <w:rPr>
          <w:rFonts w:cs="Arial"/>
          <w:sz w:val="22"/>
          <w:szCs w:val="22"/>
          <w:lang w:val="fr-FR"/>
        </w:rPr>
        <w:t>Secrétariat</w:t>
      </w:r>
      <w:r w:rsidR="0080198F">
        <w:rPr>
          <w:rFonts w:cs="Arial"/>
          <w:sz w:val="22"/>
          <w:szCs w:val="22"/>
          <w:lang w:val="fr-FR"/>
        </w:rPr>
        <w:t xml:space="preserve"> est chargé</w:t>
      </w:r>
      <w:r w:rsidR="00CD24E0" w:rsidRPr="00CD24E0">
        <w:rPr>
          <w:rFonts w:cs="Arial"/>
          <w:sz w:val="22"/>
          <w:szCs w:val="22"/>
          <w:lang w:val="fr-FR"/>
        </w:rPr>
        <w:t>, dans la limite des</w:t>
      </w:r>
      <w:r w:rsidR="00CD24E0">
        <w:rPr>
          <w:rFonts w:cs="Arial"/>
          <w:sz w:val="22"/>
          <w:szCs w:val="22"/>
          <w:lang w:val="fr-FR"/>
        </w:rPr>
        <w:t xml:space="preserve"> </w:t>
      </w:r>
      <w:r w:rsidR="005A7297" w:rsidRPr="00CD24E0">
        <w:rPr>
          <w:rFonts w:cs="Arial"/>
          <w:sz w:val="22"/>
          <w:szCs w:val="22"/>
          <w:lang w:val="fr-FR"/>
        </w:rPr>
        <w:t>res</w:t>
      </w:r>
      <w:r w:rsidR="00CD24E0">
        <w:rPr>
          <w:rFonts w:cs="Arial"/>
          <w:sz w:val="22"/>
          <w:szCs w:val="22"/>
          <w:lang w:val="fr-FR"/>
        </w:rPr>
        <w:t>s</w:t>
      </w:r>
      <w:r w:rsidR="005A7297" w:rsidRPr="00CD24E0">
        <w:rPr>
          <w:rFonts w:cs="Arial"/>
          <w:sz w:val="22"/>
          <w:szCs w:val="22"/>
          <w:lang w:val="fr-FR"/>
        </w:rPr>
        <w:t>ources</w:t>
      </w:r>
      <w:r w:rsidR="00CD24E0">
        <w:rPr>
          <w:rFonts w:cs="Arial"/>
          <w:sz w:val="22"/>
          <w:szCs w:val="22"/>
          <w:lang w:val="fr-FR"/>
        </w:rPr>
        <w:t xml:space="preserve"> externes disponibles</w:t>
      </w:r>
      <w:r w:rsidR="005A7297" w:rsidRPr="00CD24E0">
        <w:rPr>
          <w:rFonts w:cs="Arial"/>
          <w:sz w:val="22"/>
          <w:szCs w:val="22"/>
          <w:lang w:val="fr-FR"/>
        </w:rPr>
        <w:t>,</w:t>
      </w:r>
      <w:r w:rsidR="0080198F">
        <w:rPr>
          <w:rFonts w:cs="Arial"/>
          <w:sz w:val="22"/>
          <w:szCs w:val="22"/>
          <w:lang w:val="fr-FR"/>
        </w:rPr>
        <w:t xml:space="preserve"> de :</w:t>
      </w:r>
      <w:r w:rsidR="00FC340D" w:rsidRPr="00CD24E0">
        <w:rPr>
          <w:rFonts w:cs="Arial"/>
          <w:sz w:val="22"/>
          <w:szCs w:val="22"/>
          <w:lang w:val="fr-FR"/>
        </w:rPr>
        <w:t xml:space="preserve"> </w:t>
      </w:r>
    </w:p>
    <w:p w14:paraId="56967922" w14:textId="4AFD8E74" w:rsidR="005A338C" w:rsidRPr="00CD24E0" w:rsidRDefault="005A338C" w:rsidP="005A338C">
      <w:pPr>
        <w:jc w:val="both"/>
        <w:rPr>
          <w:rFonts w:cs="Arial"/>
          <w:sz w:val="22"/>
          <w:szCs w:val="22"/>
          <w:lang w:val="fr-FR"/>
        </w:rPr>
      </w:pPr>
    </w:p>
    <w:p w14:paraId="2961DC2E" w14:textId="702120A5" w:rsidR="009723E6" w:rsidRPr="00CD24E0" w:rsidRDefault="00CD24E0" w:rsidP="009723E6">
      <w:pPr>
        <w:numPr>
          <w:ilvl w:val="0"/>
          <w:numId w:val="9"/>
        </w:numPr>
        <w:jc w:val="both"/>
        <w:rPr>
          <w:rFonts w:cs="Arial"/>
          <w:sz w:val="22"/>
          <w:szCs w:val="22"/>
          <w:lang w:val="fr-FR"/>
        </w:rPr>
      </w:pPr>
      <w:r w:rsidRPr="00CD24E0">
        <w:rPr>
          <w:rFonts w:cs="Arial"/>
          <w:sz w:val="22"/>
          <w:szCs w:val="22"/>
          <w:lang w:val="fr-FR"/>
        </w:rPr>
        <w:t>Nommer un</w:t>
      </w:r>
      <w:r w:rsidR="008C31EF" w:rsidRPr="00CD24E0">
        <w:rPr>
          <w:rFonts w:cs="Arial"/>
          <w:sz w:val="22"/>
          <w:szCs w:val="22"/>
          <w:lang w:val="fr-FR"/>
        </w:rPr>
        <w:t xml:space="preserve"> </w:t>
      </w:r>
      <w:r w:rsidR="00F10F82" w:rsidRPr="00CD24E0">
        <w:rPr>
          <w:rFonts w:cs="Arial"/>
          <w:sz w:val="22"/>
          <w:szCs w:val="22"/>
          <w:lang w:val="fr-FR"/>
        </w:rPr>
        <w:t>coordinateur</w:t>
      </w:r>
      <w:r w:rsidRPr="00CD24E0">
        <w:rPr>
          <w:rFonts w:cs="Arial"/>
          <w:sz w:val="22"/>
          <w:szCs w:val="22"/>
          <w:lang w:val="fr-FR"/>
        </w:rPr>
        <w:t xml:space="preserve"> du </w:t>
      </w:r>
      <w:r w:rsidR="00302B8C">
        <w:rPr>
          <w:rFonts w:cs="Arial"/>
          <w:sz w:val="22"/>
          <w:szCs w:val="22"/>
          <w:lang w:val="fr-FR"/>
        </w:rPr>
        <w:t>GTPE</w:t>
      </w:r>
      <w:r w:rsidRPr="00CD24E0">
        <w:rPr>
          <w:rFonts w:cs="Arial"/>
          <w:sz w:val="22"/>
          <w:szCs w:val="22"/>
          <w:lang w:val="fr-FR"/>
        </w:rPr>
        <w:t xml:space="preserve"> pour la</w:t>
      </w:r>
      <w:r w:rsidR="008C31EF" w:rsidRPr="00CD24E0">
        <w:rPr>
          <w:rFonts w:cs="Arial"/>
          <w:sz w:val="22"/>
          <w:szCs w:val="22"/>
          <w:lang w:val="fr-FR"/>
        </w:rPr>
        <w:t xml:space="preserve"> </w:t>
      </w:r>
      <w:r w:rsidRPr="00CD24E0">
        <w:rPr>
          <w:rFonts w:cs="Arial"/>
          <w:sz w:val="22"/>
          <w:szCs w:val="22"/>
          <w:lang w:val="fr-FR"/>
        </w:rPr>
        <w:t>période triennale</w:t>
      </w:r>
      <w:r>
        <w:rPr>
          <w:rFonts w:cs="Arial"/>
          <w:sz w:val="22"/>
          <w:szCs w:val="22"/>
          <w:lang w:val="fr-FR"/>
        </w:rPr>
        <w:t xml:space="preserve"> 2017-2020 et</w:t>
      </w:r>
      <w:r w:rsidR="0080198F">
        <w:rPr>
          <w:rFonts w:cs="Arial"/>
          <w:sz w:val="22"/>
          <w:szCs w:val="22"/>
          <w:lang w:val="fr-FR"/>
        </w:rPr>
        <w:t>,</w:t>
      </w:r>
      <w:r>
        <w:rPr>
          <w:rFonts w:cs="Arial"/>
          <w:sz w:val="22"/>
          <w:szCs w:val="22"/>
          <w:lang w:val="fr-FR"/>
        </w:rPr>
        <w:t xml:space="preserve"> si</w:t>
      </w:r>
      <w:r w:rsidR="008C31EF" w:rsidRPr="00CD24E0">
        <w:rPr>
          <w:rFonts w:cs="Arial"/>
          <w:sz w:val="22"/>
          <w:szCs w:val="22"/>
          <w:lang w:val="fr-FR"/>
        </w:rPr>
        <w:t xml:space="preserve"> possible</w:t>
      </w:r>
      <w:r w:rsidR="0080198F">
        <w:rPr>
          <w:rFonts w:cs="Arial"/>
          <w:sz w:val="22"/>
          <w:szCs w:val="22"/>
          <w:lang w:val="fr-FR"/>
        </w:rPr>
        <w:t>,</w:t>
      </w:r>
      <w:r>
        <w:rPr>
          <w:rFonts w:cs="Arial"/>
          <w:sz w:val="22"/>
          <w:szCs w:val="22"/>
          <w:lang w:val="fr-FR"/>
        </w:rPr>
        <w:t xml:space="preserve"> au-delà de cette période</w:t>
      </w:r>
      <w:r w:rsidR="008C31EF" w:rsidRPr="00CD24E0">
        <w:rPr>
          <w:rFonts w:cs="Arial"/>
          <w:sz w:val="22"/>
          <w:szCs w:val="22"/>
          <w:lang w:val="fr-FR"/>
        </w:rPr>
        <w:t>,</w:t>
      </w:r>
      <w:r>
        <w:rPr>
          <w:rFonts w:cs="Arial"/>
          <w:sz w:val="22"/>
          <w:szCs w:val="22"/>
          <w:lang w:val="fr-FR"/>
        </w:rPr>
        <w:t xml:space="preserve"> en collaboration avec les Parties et le </w:t>
      </w:r>
      <w:proofErr w:type="gramStart"/>
      <w:r w:rsidR="00302B8C">
        <w:rPr>
          <w:rFonts w:cs="Arial"/>
          <w:sz w:val="22"/>
          <w:szCs w:val="22"/>
          <w:lang w:val="fr-FR"/>
        </w:rPr>
        <w:t>GTPE</w:t>
      </w:r>
      <w:r w:rsidR="004F7D1F" w:rsidRPr="00CD24E0">
        <w:rPr>
          <w:rFonts w:cs="Arial"/>
          <w:sz w:val="22"/>
          <w:szCs w:val="22"/>
          <w:lang w:val="fr-FR"/>
        </w:rPr>
        <w:t>;</w:t>
      </w:r>
      <w:proofErr w:type="gramEnd"/>
    </w:p>
    <w:p w14:paraId="189E6CAA" w14:textId="77777777" w:rsidR="005A338C" w:rsidRPr="00CD24E0" w:rsidRDefault="005A338C" w:rsidP="005A338C">
      <w:pPr>
        <w:ind w:left="720"/>
        <w:jc w:val="both"/>
        <w:rPr>
          <w:rFonts w:cs="Arial"/>
          <w:sz w:val="22"/>
          <w:szCs w:val="22"/>
          <w:lang w:val="fr-FR"/>
        </w:rPr>
      </w:pPr>
    </w:p>
    <w:p w14:paraId="59BE51F3" w14:textId="2C14A56D" w:rsidR="005A338C" w:rsidRPr="00CD24E0" w:rsidRDefault="0080198F" w:rsidP="005A338C">
      <w:pPr>
        <w:numPr>
          <w:ilvl w:val="0"/>
          <w:numId w:val="9"/>
        </w:numPr>
        <w:jc w:val="both"/>
        <w:rPr>
          <w:rFonts w:cs="Arial"/>
          <w:sz w:val="22"/>
          <w:szCs w:val="22"/>
          <w:lang w:val="fr-FR"/>
        </w:rPr>
      </w:pPr>
      <w:r>
        <w:rPr>
          <w:rFonts w:cs="Arial"/>
          <w:sz w:val="22"/>
          <w:szCs w:val="22"/>
          <w:lang w:val="fr-FR"/>
        </w:rPr>
        <w:t xml:space="preserve">Mettre en place </w:t>
      </w:r>
      <w:r w:rsidR="002D04A3">
        <w:rPr>
          <w:rFonts w:cs="Arial"/>
          <w:sz w:val="22"/>
          <w:szCs w:val="22"/>
          <w:lang w:val="fr-FR"/>
        </w:rPr>
        <w:t xml:space="preserve">le </w:t>
      </w:r>
      <w:r w:rsidR="00292877">
        <w:rPr>
          <w:rFonts w:cs="Arial"/>
          <w:sz w:val="22"/>
          <w:szCs w:val="22"/>
          <w:lang w:val="fr-FR"/>
        </w:rPr>
        <w:t>groupe spécial sur le plomb</w:t>
      </w:r>
      <w:r w:rsidR="008C31EF" w:rsidRPr="00CD24E0">
        <w:rPr>
          <w:rFonts w:cs="Arial"/>
          <w:sz w:val="22"/>
          <w:szCs w:val="22"/>
          <w:lang w:val="fr-FR"/>
        </w:rPr>
        <w:t xml:space="preserve"> </w:t>
      </w:r>
      <w:r>
        <w:rPr>
          <w:rFonts w:cs="Arial"/>
          <w:sz w:val="22"/>
          <w:szCs w:val="22"/>
          <w:lang w:val="fr-FR"/>
        </w:rPr>
        <w:t>dans le cadre de</w:t>
      </w:r>
      <w:r w:rsidR="00CD24E0" w:rsidRPr="00CD24E0">
        <w:rPr>
          <w:rFonts w:cs="Arial"/>
          <w:sz w:val="22"/>
          <w:szCs w:val="22"/>
          <w:lang w:val="fr-FR"/>
        </w:rPr>
        <w:t xml:space="preserve"> son</w:t>
      </w:r>
      <w:r w:rsidR="008C31EF" w:rsidRPr="00CD24E0">
        <w:rPr>
          <w:rFonts w:cs="Arial"/>
          <w:sz w:val="22"/>
          <w:szCs w:val="22"/>
          <w:lang w:val="fr-FR"/>
        </w:rPr>
        <w:t xml:space="preserve"> </w:t>
      </w:r>
      <w:r w:rsidR="001E09A7" w:rsidRPr="00CD24E0">
        <w:rPr>
          <w:rFonts w:cs="Arial"/>
          <w:sz w:val="22"/>
          <w:szCs w:val="22"/>
          <w:lang w:val="fr-FR"/>
        </w:rPr>
        <w:t>mandat</w:t>
      </w:r>
      <w:r>
        <w:rPr>
          <w:rFonts w:cs="Arial"/>
          <w:sz w:val="22"/>
          <w:szCs w:val="22"/>
          <w:lang w:val="fr-FR"/>
        </w:rPr>
        <w:t>,</w:t>
      </w:r>
      <w:r w:rsidR="008C31EF" w:rsidRPr="00CD24E0">
        <w:rPr>
          <w:rFonts w:cs="Arial"/>
          <w:sz w:val="22"/>
          <w:szCs w:val="22"/>
          <w:lang w:val="fr-FR"/>
        </w:rPr>
        <w:t xml:space="preserve"> </w:t>
      </w:r>
      <w:r w:rsidR="00CD24E0" w:rsidRPr="00CD24E0">
        <w:rPr>
          <w:rFonts w:cs="Arial"/>
          <w:sz w:val="22"/>
          <w:szCs w:val="22"/>
          <w:lang w:val="fr-FR"/>
        </w:rPr>
        <w:t>d’</w:t>
      </w:r>
      <w:r w:rsidR="00CD24E0">
        <w:rPr>
          <w:rFonts w:cs="Arial"/>
          <w:sz w:val="22"/>
          <w:szCs w:val="22"/>
          <w:lang w:val="fr-FR"/>
        </w:rPr>
        <w:t>ici la fin</w:t>
      </w:r>
      <w:r w:rsidR="008C31EF" w:rsidRPr="00CD24E0">
        <w:rPr>
          <w:rFonts w:cs="Arial"/>
          <w:sz w:val="22"/>
          <w:szCs w:val="22"/>
          <w:lang w:val="fr-FR"/>
        </w:rPr>
        <w:t xml:space="preserve"> 2017, </w:t>
      </w:r>
      <w:r w:rsidR="00CD24E0">
        <w:rPr>
          <w:rFonts w:cs="Arial"/>
          <w:sz w:val="22"/>
          <w:szCs w:val="22"/>
          <w:lang w:val="fr-FR"/>
        </w:rPr>
        <w:t>en collaboration avec l</w:t>
      </w:r>
      <w:r w:rsidR="005A338C" w:rsidRPr="00CD24E0">
        <w:rPr>
          <w:rFonts w:cs="Arial"/>
          <w:sz w:val="22"/>
          <w:szCs w:val="22"/>
          <w:lang w:val="fr-FR"/>
        </w:rPr>
        <w:t xml:space="preserve">e </w:t>
      </w:r>
      <w:proofErr w:type="gramStart"/>
      <w:r w:rsidR="00302B8C">
        <w:rPr>
          <w:rFonts w:cs="Arial"/>
          <w:sz w:val="22"/>
          <w:szCs w:val="22"/>
          <w:lang w:val="fr-FR"/>
        </w:rPr>
        <w:t>GTPE</w:t>
      </w:r>
      <w:r w:rsidR="00347546" w:rsidRPr="00CD24E0">
        <w:rPr>
          <w:rFonts w:cs="Arial"/>
          <w:sz w:val="22"/>
          <w:szCs w:val="22"/>
          <w:lang w:val="fr-FR"/>
        </w:rPr>
        <w:t>;</w:t>
      </w:r>
      <w:proofErr w:type="gramEnd"/>
    </w:p>
    <w:p w14:paraId="4921B07F" w14:textId="3D5EE6C5" w:rsidR="009723E6" w:rsidRPr="00CD24E0" w:rsidRDefault="009723E6" w:rsidP="005A338C">
      <w:pPr>
        <w:jc w:val="both"/>
        <w:rPr>
          <w:rFonts w:cs="Arial"/>
          <w:sz w:val="22"/>
          <w:szCs w:val="22"/>
          <w:lang w:val="fr-FR"/>
        </w:rPr>
      </w:pPr>
    </w:p>
    <w:p w14:paraId="4D723BE2" w14:textId="5C64EE23" w:rsidR="007910DD" w:rsidRPr="00CD24E0" w:rsidRDefault="00CD24E0" w:rsidP="00CD24E0">
      <w:pPr>
        <w:numPr>
          <w:ilvl w:val="0"/>
          <w:numId w:val="9"/>
        </w:numPr>
        <w:jc w:val="both"/>
        <w:rPr>
          <w:rFonts w:cs="Arial"/>
          <w:sz w:val="22"/>
          <w:szCs w:val="22"/>
          <w:lang w:val="fr-FR"/>
        </w:rPr>
      </w:pPr>
      <w:r w:rsidRPr="00CD24E0">
        <w:rPr>
          <w:rFonts w:cs="Arial"/>
          <w:sz w:val="22"/>
          <w:szCs w:val="22"/>
          <w:lang w:val="fr-FR"/>
        </w:rPr>
        <w:t>Organis</w:t>
      </w:r>
      <w:r w:rsidR="00D94D78" w:rsidRPr="00CD24E0">
        <w:rPr>
          <w:rFonts w:cs="Arial"/>
          <w:sz w:val="22"/>
          <w:szCs w:val="22"/>
          <w:lang w:val="fr-FR"/>
        </w:rPr>
        <w:t>e</w:t>
      </w:r>
      <w:r w:rsidRPr="00CD24E0">
        <w:rPr>
          <w:rFonts w:cs="Arial"/>
          <w:sz w:val="22"/>
          <w:szCs w:val="22"/>
          <w:lang w:val="fr-FR"/>
        </w:rPr>
        <w:t>r</w:t>
      </w:r>
      <w:r w:rsidR="00D94D78" w:rsidRPr="00CD24E0">
        <w:rPr>
          <w:rFonts w:cs="Arial"/>
          <w:sz w:val="22"/>
          <w:szCs w:val="22"/>
          <w:lang w:val="fr-FR"/>
        </w:rPr>
        <w:t xml:space="preserve"> </w:t>
      </w:r>
      <w:r w:rsidRPr="00CD24E0">
        <w:rPr>
          <w:rFonts w:cs="Arial"/>
          <w:sz w:val="22"/>
          <w:szCs w:val="22"/>
          <w:lang w:val="fr-FR"/>
        </w:rPr>
        <w:t xml:space="preserve">des </w:t>
      </w:r>
      <w:r w:rsidR="00971318" w:rsidRPr="00CD24E0">
        <w:rPr>
          <w:rFonts w:cs="Arial"/>
          <w:sz w:val="22"/>
          <w:szCs w:val="22"/>
          <w:lang w:val="fr-FR"/>
        </w:rPr>
        <w:t>atelier</w:t>
      </w:r>
      <w:r w:rsidR="008C31EF" w:rsidRPr="00CD24E0">
        <w:rPr>
          <w:rFonts w:cs="Arial"/>
          <w:sz w:val="22"/>
          <w:szCs w:val="22"/>
          <w:lang w:val="fr-FR"/>
        </w:rPr>
        <w:t xml:space="preserve">s </w:t>
      </w:r>
      <w:r w:rsidRPr="00CD24E0">
        <w:rPr>
          <w:rFonts w:cs="Arial"/>
          <w:sz w:val="22"/>
          <w:szCs w:val="22"/>
          <w:lang w:val="fr-FR"/>
        </w:rPr>
        <w:t xml:space="preserve">régionaux dans des zones ou </w:t>
      </w:r>
      <w:r w:rsidR="005D6611">
        <w:rPr>
          <w:rFonts w:cs="Arial"/>
          <w:sz w:val="22"/>
          <w:szCs w:val="22"/>
          <w:lang w:val="fr-FR"/>
        </w:rPr>
        <w:t>voies</w:t>
      </w:r>
      <w:r w:rsidR="0080198F">
        <w:rPr>
          <w:rFonts w:cs="Arial"/>
          <w:sz w:val="22"/>
          <w:szCs w:val="22"/>
          <w:lang w:val="fr-FR"/>
        </w:rPr>
        <w:t xml:space="preserve"> de migration à haut risque</w:t>
      </w:r>
      <w:r>
        <w:rPr>
          <w:rFonts w:cs="Arial"/>
          <w:sz w:val="22"/>
          <w:szCs w:val="22"/>
          <w:lang w:val="fr-FR"/>
        </w:rPr>
        <w:t xml:space="preserve">, en collaboration avec les Parties, le </w:t>
      </w:r>
      <w:r w:rsidR="00302B8C">
        <w:rPr>
          <w:rFonts w:cs="Arial"/>
          <w:sz w:val="22"/>
          <w:szCs w:val="22"/>
          <w:lang w:val="fr-FR"/>
        </w:rPr>
        <w:t>GTPE</w:t>
      </w:r>
      <w:r>
        <w:rPr>
          <w:rFonts w:cs="Arial"/>
          <w:sz w:val="22"/>
          <w:szCs w:val="22"/>
          <w:lang w:val="fr-FR"/>
        </w:rPr>
        <w:t xml:space="preserve"> et les organisations </w:t>
      </w:r>
      <w:r w:rsidR="00FC340D" w:rsidRPr="00CD24E0">
        <w:rPr>
          <w:rFonts w:cs="Arial"/>
          <w:sz w:val="22"/>
          <w:szCs w:val="22"/>
          <w:lang w:val="fr-FR"/>
        </w:rPr>
        <w:t>international</w:t>
      </w:r>
      <w:r>
        <w:rPr>
          <w:rFonts w:cs="Arial"/>
          <w:sz w:val="22"/>
          <w:szCs w:val="22"/>
          <w:lang w:val="fr-FR"/>
        </w:rPr>
        <w:t>es</w:t>
      </w:r>
      <w:r w:rsidR="0080198F">
        <w:rPr>
          <w:rFonts w:cs="Arial"/>
          <w:sz w:val="22"/>
          <w:szCs w:val="22"/>
          <w:lang w:val="fr-FR"/>
        </w:rPr>
        <w:t xml:space="preserve"> compétentes, et en accord avec le</w:t>
      </w:r>
      <w:r w:rsidR="00832624" w:rsidRPr="00CD24E0">
        <w:rPr>
          <w:rFonts w:cs="Arial"/>
          <w:sz w:val="22"/>
          <w:szCs w:val="22"/>
          <w:lang w:val="fr-FR"/>
        </w:rPr>
        <w:t xml:space="preserve"> </w:t>
      </w:r>
      <w:r w:rsidR="00F10F82" w:rsidRPr="00CD24E0">
        <w:rPr>
          <w:rFonts w:cs="Arial"/>
          <w:sz w:val="22"/>
          <w:szCs w:val="22"/>
          <w:lang w:val="fr-FR"/>
        </w:rPr>
        <w:t>programme de travail</w:t>
      </w:r>
      <w:r>
        <w:rPr>
          <w:rFonts w:cs="Arial"/>
          <w:sz w:val="22"/>
          <w:szCs w:val="22"/>
          <w:lang w:val="fr-FR"/>
        </w:rPr>
        <w:t xml:space="preserve"> du</w:t>
      </w:r>
      <w:r w:rsidR="00832624" w:rsidRPr="00CD24E0">
        <w:rPr>
          <w:rFonts w:cs="Arial"/>
          <w:sz w:val="22"/>
          <w:szCs w:val="22"/>
          <w:lang w:val="fr-FR"/>
        </w:rPr>
        <w:t xml:space="preserve"> </w:t>
      </w:r>
      <w:r w:rsidR="00302B8C">
        <w:rPr>
          <w:rFonts w:cs="Arial"/>
          <w:sz w:val="22"/>
          <w:szCs w:val="22"/>
          <w:lang w:val="fr-FR"/>
        </w:rPr>
        <w:t>GTPE</w:t>
      </w:r>
      <w:r w:rsidR="00832624" w:rsidRPr="00CD24E0">
        <w:rPr>
          <w:rFonts w:cs="Arial"/>
          <w:sz w:val="22"/>
          <w:szCs w:val="22"/>
          <w:lang w:val="fr-FR"/>
        </w:rPr>
        <w:t xml:space="preserve">, </w:t>
      </w:r>
      <w:r>
        <w:rPr>
          <w:rFonts w:cs="Arial"/>
          <w:sz w:val="22"/>
          <w:szCs w:val="22"/>
          <w:lang w:val="fr-FR"/>
        </w:rPr>
        <w:t>durant la</w:t>
      </w:r>
      <w:r w:rsidR="005D6E4C" w:rsidRPr="00CD24E0">
        <w:rPr>
          <w:rFonts w:cs="Arial"/>
          <w:sz w:val="22"/>
          <w:szCs w:val="22"/>
          <w:lang w:val="fr-FR"/>
        </w:rPr>
        <w:t xml:space="preserve"> </w:t>
      </w:r>
      <w:r w:rsidRPr="00CD24E0">
        <w:rPr>
          <w:rFonts w:cs="Arial"/>
          <w:sz w:val="22"/>
          <w:szCs w:val="22"/>
          <w:lang w:val="fr-FR"/>
        </w:rPr>
        <w:t>période triennale</w:t>
      </w:r>
      <w:r w:rsidR="005D6E4C" w:rsidRPr="00CD24E0">
        <w:rPr>
          <w:rFonts w:cs="Arial"/>
          <w:sz w:val="22"/>
          <w:szCs w:val="22"/>
          <w:lang w:val="fr-FR"/>
        </w:rPr>
        <w:t xml:space="preserve"> 2017-2020</w:t>
      </w:r>
      <w:r>
        <w:rPr>
          <w:rFonts w:cs="Arial"/>
          <w:sz w:val="22"/>
          <w:szCs w:val="22"/>
          <w:lang w:val="fr-FR"/>
        </w:rPr>
        <w:t>, en vue de faciliter la</w:t>
      </w:r>
      <w:r w:rsidR="00FC340D" w:rsidRPr="00CD24E0">
        <w:rPr>
          <w:rFonts w:cs="Arial"/>
          <w:sz w:val="22"/>
          <w:szCs w:val="22"/>
          <w:lang w:val="fr-FR"/>
        </w:rPr>
        <w:t xml:space="preserve"> </w:t>
      </w:r>
      <w:r w:rsidR="00D928F5" w:rsidRPr="00CD24E0">
        <w:rPr>
          <w:rFonts w:cs="Arial"/>
          <w:sz w:val="22"/>
          <w:szCs w:val="22"/>
          <w:lang w:val="fr-FR"/>
        </w:rPr>
        <w:t xml:space="preserve">mise en </w:t>
      </w:r>
      <w:r>
        <w:rPr>
          <w:rFonts w:cs="Arial"/>
          <w:sz w:val="22"/>
          <w:szCs w:val="22"/>
          <w:lang w:val="fr-FR"/>
        </w:rPr>
        <w:t>œuvre des</w:t>
      </w:r>
      <w:r w:rsidR="00FC340D" w:rsidRPr="00CD24E0">
        <w:rPr>
          <w:rFonts w:cs="Arial"/>
          <w:sz w:val="22"/>
          <w:szCs w:val="22"/>
          <w:lang w:val="fr-FR"/>
        </w:rPr>
        <w:t xml:space="preserve"> </w:t>
      </w:r>
      <w:r w:rsidR="00D9190E" w:rsidRPr="00CD24E0">
        <w:rPr>
          <w:rFonts w:cs="Arial"/>
          <w:sz w:val="22"/>
          <w:szCs w:val="22"/>
          <w:lang w:val="fr-FR"/>
        </w:rPr>
        <w:t>Lignes directrices</w:t>
      </w:r>
      <w:r w:rsidR="00FC340D" w:rsidRPr="00CD24E0">
        <w:rPr>
          <w:rFonts w:cs="Arial"/>
          <w:sz w:val="22"/>
          <w:szCs w:val="22"/>
          <w:lang w:val="fr-FR"/>
        </w:rPr>
        <w:t xml:space="preserve"> </w:t>
      </w:r>
      <w:r>
        <w:rPr>
          <w:rFonts w:cs="Arial"/>
          <w:sz w:val="22"/>
          <w:szCs w:val="22"/>
          <w:lang w:val="fr-FR"/>
        </w:rPr>
        <w:t>et de partager des bonnes prat</w:t>
      </w:r>
      <w:r w:rsidR="0080198F">
        <w:rPr>
          <w:rFonts w:cs="Arial"/>
          <w:sz w:val="22"/>
          <w:szCs w:val="22"/>
          <w:lang w:val="fr-FR"/>
        </w:rPr>
        <w:t xml:space="preserve">iques et des </w:t>
      </w:r>
      <w:proofErr w:type="gramStart"/>
      <w:r w:rsidR="0080198F">
        <w:rPr>
          <w:rFonts w:cs="Arial"/>
          <w:sz w:val="22"/>
          <w:szCs w:val="22"/>
          <w:lang w:val="fr-FR"/>
        </w:rPr>
        <w:t>enseignements</w:t>
      </w:r>
      <w:r w:rsidR="00FC340D" w:rsidRPr="00CD24E0">
        <w:rPr>
          <w:rFonts w:cs="Arial"/>
          <w:sz w:val="22"/>
          <w:szCs w:val="22"/>
          <w:lang w:val="fr-FR"/>
        </w:rPr>
        <w:t>;</w:t>
      </w:r>
      <w:proofErr w:type="gramEnd"/>
    </w:p>
    <w:p w14:paraId="4624B571" w14:textId="77777777" w:rsidR="004F7D1F" w:rsidRPr="00CD24E0" w:rsidRDefault="004F7D1F" w:rsidP="004F7D1F">
      <w:pPr>
        <w:pStyle w:val="ListParagraph"/>
        <w:rPr>
          <w:rFonts w:cs="Arial"/>
          <w:sz w:val="22"/>
          <w:szCs w:val="22"/>
          <w:lang w:val="fr-FR"/>
        </w:rPr>
      </w:pPr>
    </w:p>
    <w:p w14:paraId="122FEAF4" w14:textId="561884A7" w:rsidR="00347546" w:rsidRPr="00CD24E0" w:rsidRDefault="00CD24E0" w:rsidP="00200759">
      <w:pPr>
        <w:numPr>
          <w:ilvl w:val="0"/>
          <w:numId w:val="9"/>
        </w:numPr>
        <w:jc w:val="both"/>
        <w:rPr>
          <w:rFonts w:cs="Arial"/>
          <w:sz w:val="22"/>
          <w:szCs w:val="22"/>
          <w:lang w:val="fr-FR"/>
        </w:rPr>
      </w:pPr>
      <w:r w:rsidRPr="00CD24E0">
        <w:rPr>
          <w:rFonts w:cs="Arial"/>
          <w:sz w:val="22"/>
          <w:szCs w:val="22"/>
          <w:lang w:val="fr-FR"/>
        </w:rPr>
        <w:t>Faire rap</w:t>
      </w:r>
      <w:r w:rsidR="007910DD" w:rsidRPr="00CD24E0">
        <w:rPr>
          <w:rFonts w:cs="Arial"/>
          <w:sz w:val="22"/>
          <w:szCs w:val="22"/>
          <w:lang w:val="fr-FR"/>
        </w:rPr>
        <w:t xml:space="preserve">port </w:t>
      </w:r>
      <w:r w:rsidRPr="00CD24E0">
        <w:rPr>
          <w:rFonts w:cs="Arial"/>
          <w:sz w:val="22"/>
          <w:szCs w:val="22"/>
          <w:lang w:val="fr-FR"/>
        </w:rPr>
        <w:t xml:space="preserve">au Comité </w:t>
      </w:r>
      <w:r w:rsidR="0080198F">
        <w:rPr>
          <w:rFonts w:cs="Arial"/>
          <w:sz w:val="22"/>
          <w:szCs w:val="22"/>
          <w:lang w:val="fr-FR"/>
        </w:rPr>
        <w:t>de</w:t>
      </w:r>
      <w:r>
        <w:rPr>
          <w:rFonts w:cs="Arial"/>
          <w:sz w:val="22"/>
          <w:szCs w:val="22"/>
          <w:lang w:val="fr-FR"/>
        </w:rPr>
        <w:t xml:space="preserve"> </w:t>
      </w:r>
      <w:r w:rsidRPr="00CD24E0">
        <w:rPr>
          <w:rFonts w:cs="Arial"/>
          <w:sz w:val="22"/>
          <w:szCs w:val="22"/>
          <w:lang w:val="fr-FR"/>
        </w:rPr>
        <w:t>session du</w:t>
      </w:r>
      <w:r w:rsidR="007910DD" w:rsidRPr="00CD24E0">
        <w:rPr>
          <w:rFonts w:cs="Arial"/>
          <w:sz w:val="22"/>
          <w:szCs w:val="22"/>
          <w:lang w:val="fr-FR"/>
        </w:rPr>
        <w:t xml:space="preserve"> </w:t>
      </w:r>
      <w:r w:rsidRPr="00CD24E0">
        <w:rPr>
          <w:rFonts w:cs="Arial"/>
          <w:sz w:val="22"/>
          <w:szCs w:val="22"/>
          <w:lang w:val="fr-FR"/>
        </w:rPr>
        <w:t>Conseil scientifique</w:t>
      </w:r>
      <w:r w:rsidR="00614863" w:rsidRPr="00CD24E0">
        <w:rPr>
          <w:rFonts w:cs="Arial"/>
          <w:sz w:val="22"/>
          <w:szCs w:val="22"/>
          <w:lang w:val="fr-FR"/>
        </w:rPr>
        <w:t xml:space="preserve"> </w:t>
      </w:r>
      <w:r>
        <w:rPr>
          <w:rFonts w:cs="Arial"/>
          <w:sz w:val="22"/>
          <w:szCs w:val="22"/>
          <w:lang w:val="fr-FR"/>
        </w:rPr>
        <w:t xml:space="preserve">et à la </w:t>
      </w:r>
      <w:r w:rsidR="0080198F">
        <w:rPr>
          <w:rFonts w:cs="Arial"/>
          <w:sz w:val="22"/>
          <w:szCs w:val="22"/>
          <w:lang w:val="fr-FR"/>
        </w:rPr>
        <w:t>13</w:t>
      </w:r>
      <w:r w:rsidR="0080198F" w:rsidRPr="0080198F">
        <w:rPr>
          <w:rFonts w:cs="Arial"/>
          <w:sz w:val="22"/>
          <w:szCs w:val="22"/>
          <w:vertAlign w:val="superscript"/>
          <w:lang w:val="fr-FR"/>
        </w:rPr>
        <w:t>e</w:t>
      </w:r>
      <w:r w:rsidR="0080198F">
        <w:rPr>
          <w:rFonts w:cs="Arial"/>
          <w:sz w:val="22"/>
          <w:szCs w:val="22"/>
          <w:lang w:val="fr-FR"/>
        </w:rPr>
        <w:t xml:space="preserve"> session de la </w:t>
      </w:r>
      <w:r>
        <w:rPr>
          <w:rFonts w:cs="Arial"/>
          <w:sz w:val="22"/>
          <w:szCs w:val="22"/>
          <w:lang w:val="fr-FR"/>
        </w:rPr>
        <w:t>Conférence des Parties sur les prog</w:t>
      </w:r>
      <w:r w:rsidR="0080198F">
        <w:rPr>
          <w:rFonts w:cs="Arial"/>
          <w:sz w:val="22"/>
          <w:szCs w:val="22"/>
          <w:lang w:val="fr-FR"/>
        </w:rPr>
        <w:t>rès accomplis dans la mise en œuvre</w:t>
      </w:r>
      <w:r>
        <w:rPr>
          <w:rFonts w:cs="Arial"/>
          <w:sz w:val="22"/>
          <w:szCs w:val="22"/>
          <w:lang w:val="fr-FR"/>
        </w:rPr>
        <w:t xml:space="preserve"> de ces dé</w:t>
      </w:r>
      <w:r w:rsidR="007910DD" w:rsidRPr="00CD24E0">
        <w:rPr>
          <w:rFonts w:cs="Arial"/>
          <w:sz w:val="22"/>
          <w:szCs w:val="22"/>
          <w:lang w:val="fr-FR"/>
        </w:rPr>
        <w:t>cision</w:t>
      </w:r>
      <w:r w:rsidR="002F364A" w:rsidRPr="00CD24E0">
        <w:rPr>
          <w:rFonts w:cs="Arial"/>
          <w:sz w:val="22"/>
          <w:szCs w:val="22"/>
          <w:lang w:val="fr-FR"/>
        </w:rPr>
        <w:t>s</w:t>
      </w:r>
      <w:r w:rsidR="00347546" w:rsidRPr="00CD24E0">
        <w:rPr>
          <w:rFonts w:cs="Arial"/>
          <w:sz w:val="22"/>
          <w:szCs w:val="22"/>
          <w:lang w:val="fr-FR"/>
        </w:rPr>
        <w:t>.</w:t>
      </w:r>
    </w:p>
    <w:p w14:paraId="1BEAC592" w14:textId="77777777" w:rsidR="00CD24E0" w:rsidRPr="00CD24E0" w:rsidRDefault="00CD24E0" w:rsidP="00200759">
      <w:pPr>
        <w:numPr>
          <w:ilvl w:val="0"/>
          <w:numId w:val="9"/>
        </w:numPr>
        <w:jc w:val="both"/>
        <w:rPr>
          <w:rFonts w:cs="Arial"/>
          <w:sz w:val="22"/>
          <w:szCs w:val="22"/>
          <w:lang w:val="fr-FR"/>
        </w:rPr>
        <w:sectPr w:rsidR="00CD24E0" w:rsidRPr="00CD24E0" w:rsidSect="0052082F">
          <w:headerReference w:type="first" r:id="rId22"/>
          <w:endnotePr>
            <w:numFmt w:val="decimal"/>
          </w:endnotePr>
          <w:pgSz w:w="11905" w:h="16837" w:code="9"/>
          <w:pgMar w:top="1008" w:right="1411" w:bottom="1152" w:left="1411" w:header="432" w:footer="432" w:gutter="0"/>
          <w:cols w:space="720"/>
          <w:noEndnote/>
          <w:titlePg/>
          <w:docGrid w:linePitch="272"/>
        </w:sectPr>
      </w:pPr>
    </w:p>
    <w:p w14:paraId="12B8470E" w14:textId="6F0C899C" w:rsidR="007910DD" w:rsidRPr="00394594" w:rsidRDefault="00347546" w:rsidP="000F4030">
      <w:pPr>
        <w:jc w:val="right"/>
        <w:rPr>
          <w:rFonts w:cs="Arial"/>
          <w:sz w:val="22"/>
          <w:szCs w:val="22"/>
          <w:lang w:val="fr-FR"/>
        </w:rPr>
      </w:pPr>
      <w:r w:rsidRPr="00394594">
        <w:rPr>
          <w:rFonts w:cs="Arial"/>
          <w:b/>
          <w:caps/>
          <w:sz w:val="22"/>
          <w:szCs w:val="22"/>
          <w:lang w:val="fr-FR"/>
        </w:rPr>
        <w:lastRenderedPageBreak/>
        <w:t>Annex</w:t>
      </w:r>
      <w:r w:rsidR="00394594" w:rsidRPr="00394594">
        <w:rPr>
          <w:rFonts w:cs="Arial"/>
          <w:b/>
          <w:caps/>
          <w:sz w:val="22"/>
          <w:szCs w:val="22"/>
          <w:lang w:val="fr-FR"/>
        </w:rPr>
        <w:t>e</w:t>
      </w:r>
      <w:r w:rsidRPr="00394594">
        <w:rPr>
          <w:rFonts w:cs="Arial"/>
          <w:b/>
          <w:caps/>
          <w:sz w:val="22"/>
          <w:szCs w:val="22"/>
          <w:lang w:val="fr-FR"/>
        </w:rPr>
        <w:t xml:space="preserve"> 3</w:t>
      </w:r>
    </w:p>
    <w:p w14:paraId="646F2068" w14:textId="72A04C4A" w:rsidR="007910DD" w:rsidRPr="00394594" w:rsidRDefault="007910DD" w:rsidP="00B87172">
      <w:pPr>
        <w:tabs>
          <w:tab w:val="left" w:pos="1020"/>
        </w:tabs>
        <w:jc w:val="both"/>
        <w:rPr>
          <w:rFonts w:cs="Arial"/>
          <w:sz w:val="22"/>
          <w:szCs w:val="22"/>
          <w:lang w:val="fr-FR"/>
        </w:rPr>
      </w:pPr>
    </w:p>
    <w:p w14:paraId="453763B6" w14:textId="3EB83A5C" w:rsidR="00347546" w:rsidRPr="000A2BD7" w:rsidRDefault="00394594" w:rsidP="00093F20">
      <w:pPr>
        <w:pStyle w:val="Heading2"/>
        <w:ind w:right="-367"/>
        <w:jc w:val="center"/>
        <w:rPr>
          <w:rFonts w:cs="Arial"/>
          <w:sz w:val="22"/>
          <w:szCs w:val="22"/>
          <w:lang w:val="fr-FR"/>
        </w:rPr>
      </w:pPr>
      <w:r>
        <w:rPr>
          <w:rFonts w:cs="Arial"/>
          <w:sz w:val="22"/>
          <w:szCs w:val="22"/>
          <w:lang w:val="fr-FR"/>
        </w:rPr>
        <w:t xml:space="preserve">PROJET DE </w:t>
      </w:r>
      <w:r w:rsidR="00D9190E" w:rsidRPr="000A2BD7">
        <w:rPr>
          <w:rFonts w:cs="Arial"/>
          <w:sz w:val="22"/>
          <w:szCs w:val="22"/>
          <w:lang w:val="fr-FR"/>
        </w:rPr>
        <w:t>MANDAT</w:t>
      </w:r>
      <w:r>
        <w:rPr>
          <w:rFonts w:cs="Arial"/>
          <w:sz w:val="22"/>
          <w:szCs w:val="22"/>
          <w:lang w:val="fr-FR"/>
        </w:rPr>
        <w:t xml:space="preserve"> </w:t>
      </w:r>
      <w:r w:rsidR="005D22B5">
        <w:rPr>
          <w:rFonts w:cs="Arial"/>
          <w:sz w:val="22"/>
          <w:szCs w:val="22"/>
          <w:lang w:val="fr-FR"/>
        </w:rPr>
        <w:t xml:space="preserve">DU </w:t>
      </w:r>
      <w:r w:rsidR="00292877">
        <w:rPr>
          <w:rFonts w:cs="Arial"/>
          <w:sz w:val="22"/>
          <w:szCs w:val="22"/>
          <w:lang w:val="fr-FR"/>
        </w:rPr>
        <w:t>GROUPE SPÉCIAL SUR LE PLOMB</w:t>
      </w:r>
    </w:p>
    <w:p w14:paraId="78F9275D" w14:textId="77777777" w:rsidR="00347546" w:rsidRPr="000A2BD7" w:rsidRDefault="00347546" w:rsidP="00B87172">
      <w:pPr>
        <w:pStyle w:val="Heading2"/>
        <w:ind w:left="-90" w:right="-367"/>
        <w:jc w:val="center"/>
        <w:rPr>
          <w:rFonts w:cs="Arial"/>
          <w:sz w:val="22"/>
          <w:szCs w:val="22"/>
          <w:lang w:val="fr-FR"/>
        </w:rPr>
      </w:pPr>
    </w:p>
    <w:p w14:paraId="712DFDA3" w14:textId="77777777" w:rsidR="000F4030" w:rsidRDefault="00394594" w:rsidP="00093F20">
      <w:pPr>
        <w:pStyle w:val="Heading2"/>
        <w:ind w:right="-138"/>
        <w:jc w:val="center"/>
        <w:rPr>
          <w:rFonts w:cs="Arial"/>
          <w:sz w:val="22"/>
          <w:szCs w:val="22"/>
          <w:lang w:val="fr-FR"/>
        </w:rPr>
      </w:pPr>
      <w:r>
        <w:rPr>
          <w:rFonts w:cs="Arial"/>
          <w:sz w:val="22"/>
          <w:szCs w:val="22"/>
          <w:lang w:val="fr-FR"/>
        </w:rPr>
        <w:t>UN SOUS-GR</w:t>
      </w:r>
      <w:r w:rsidR="0056725E">
        <w:rPr>
          <w:rFonts w:cs="Arial"/>
          <w:sz w:val="22"/>
          <w:szCs w:val="22"/>
          <w:lang w:val="fr-FR"/>
        </w:rPr>
        <w:t xml:space="preserve">OUPE AU SEIN </w:t>
      </w:r>
      <w:r>
        <w:rPr>
          <w:rFonts w:cs="Arial"/>
          <w:sz w:val="22"/>
          <w:szCs w:val="22"/>
          <w:lang w:val="fr-FR"/>
        </w:rPr>
        <w:t>DU</w:t>
      </w:r>
      <w:r w:rsidR="00347546" w:rsidRPr="00971318">
        <w:rPr>
          <w:rFonts w:cs="Arial"/>
          <w:sz w:val="22"/>
          <w:szCs w:val="22"/>
          <w:lang w:val="fr-FR"/>
        </w:rPr>
        <w:t xml:space="preserve"> </w:t>
      </w:r>
      <w:r w:rsidR="00971318" w:rsidRPr="00971318">
        <w:rPr>
          <w:rFonts w:cs="Arial"/>
          <w:sz w:val="22"/>
          <w:szCs w:val="22"/>
          <w:lang w:val="fr-FR"/>
        </w:rPr>
        <w:t xml:space="preserve">GROUPE DE TRAVAIL </w:t>
      </w:r>
      <w:r w:rsidR="0080198F">
        <w:rPr>
          <w:rFonts w:cs="Arial"/>
          <w:sz w:val="22"/>
          <w:szCs w:val="22"/>
          <w:lang w:val="fr-FR"/>
        </w:rPr>
        <w:t xml:space="preserve">DE LA CMS </w:t>
      </w:r>
    </w:p>
    <w:p w14:paraId="09680A5B" w14:textId="1DC38765" w:rsidR="00347546" w:rsidRPr="00971318" w:rsidRDefault="00971318" w:rsidP="00093F20">
      <w:pPr>
        <w:pStyle w:val="Heading2"/>
        <w:ind w:right="-138"/>
        <w:jc w:val="center"/>
        <w:rPr>
          <w:rFonts w:cs="Arial"/>
          <w:b w:val="0"/>
          <w:sz w:val="22"/>
          <w:szCs w:val="22"/>
          <w:lang w:val="fr-FR"/>
        </w:rPr>
      </w:pPr>
      <w:r w:rsidRPr="00971318">
        <w:rPr>
          <w:rFonts w:cs="Arial"/>
          <w:sz w:val="22"/>
          <w:szCs w:val="22"/>
          <w:lang w:val="fr-FR"/>
        </w:rPr>
        <w:t>SUR LA PRÉVENTION DE L’EMPOISONNEMENT</w:t>
      </w:r>
    </w:p>
    <w:p w14:paraId="163B213B" w14:textId="7267A67F" w:rsidR="0079075D" w:rsidRPr="00971318" w:rsidRDefault="0079075D" w:rsidP="00B87172">
      <w:pPr>
        <w:pStyle w:val="Heading2"/>
        <w:keepNext w:val="0"/>
        <w:ind w:left="-90" w:right="-367"/>
        <w:jc w:val="both"/>
        <w:rPr>
          <w:rFonts w:cs="Arial"/>
          <w:sz w:val="22"/>
          <w:szCs w:val="22"/>
          <w:lang w:val="fr-FR"/>
        </w:rPr>
      </w:pPr>
    </w:p>
    <w:p w14:paraId="39E180AC" w14:textId="77777777" w:rsidR="00B87172" w:rsidRPr="00971318" w:rsidRDefault="00B87172" w:rsidP="00B87172">
      <w:pPr>
        <w:jc w:val="both"/>
        <w:rPr>
          <w:b/>
          <w:bCs/>
          <w:sz w:val="22"/>
          <w:szCs w:val="22"/>
          <w:lang w:val="fr-FR"/>
        </w:rPr>
      </w:pPr>
    </w:p>
    <w:p w14:paraId="75ABB22D" w14:textId="708D729A" w:rsidR="00B54A37" w:rsidRPr="00EE212D" w:rsidRDefault="008510A9" w:rsidP="00B54A37">
      <w:pPr>
        <w:jc w:val="both"/>
        <w:rPr>
          <w:b/>
          <w:bCs/>
          <w:sz w:val="22"/>
          <w:szCs w:val="22"/>
          <w:lang w:val="fr-FR"/>
        </w:rPr>
      </w:pPr>
      <w:r w:rsidRPr="00EE212D">
        <w:rPr>
          <w:b/>
          <w:bCs/>
          <w:sz w:val="22"/>
          <w:szCs w:val="22"/>
          <w:lang w:val="fr-FR"/>
        </w:rPr>
        <w:t>1. Contexte et but</w:t>
      </w:r>
      <w:r w:rsidR="00B54A37" w:rsidRPr="00EE212D">
        <w:rPr>
          <w:b/>
          <w:bCs/>
          <w:sz w:val="22"/>
          <w:szCs w:val="22"/>
          <w:lang w:val="fr-FR"/>
        </w:rPr>
        <w:t xml:space="preserve"> </w:t>
      </w:r>
    </w:p>
    <w:p w14:paraId="56DF56CA" w14:textId="77777777" w:rsidR="00B54A37" w:rsidRPr="00EE212D" w:rsidRDefault="00B54A37" w:rsidP="00B54A37">
      <w:pPr>
        <w:jc w:val="both"/>
        <w:rPr>
          <w:sz w:val="22"/>
          <w:szCs w:val="22"/>
          <w:lang w:val="fr-FR"/>
        </w:rPr>
      </w:pPr>
    </w:p>
    <w:p w14:paraId="511179B2" w14:textId="5273232E" w:rsidR="00B54A37" w:rsidRPr="004A7E91" w:rsidRDefault="008802E6" w:rsidP="00B54A37">
      <w:pPr>
        <w:jc w:val="both"/>
        <w:rPr>
          <w:sz w:val="22"/>
          <w:szCs w:val="22"/>
          <w:lang w:val="fr-FR"/>
        </w:rPr>
      </w:pPr>
      <w:r>
        <w:rPr>
          <w:sz w:val="22"/>
          <w:szCs w:val="22"/>
          <w:lang w:val="fr-FR"/>
        </w:rPr>
        <w:t xml:space="preserve">Le besoin de mettre en place </w:t>
      </w:r>
      <w:r w:rsidR="002D04A3">
        <w:rPr>
          <w:sz w:val="22"/>
          <w:szCs w:val="22"/>
          <w:lang w:val="fr-FR"/>
        </w:rPr>
        <w:t xml:space="preserve">le </w:t>
      </w:r>
      <w:r w:rsidR="00292877">
        <w:rPr>
          <w:sz w:val="22"/>
          <w:szCs w:val="22"/>
          <w:lang w:val="fr-FR"/>
        </w:rPr>
        <w:t>groupe spécial sur le plomb</w:t>
      </w:r>
      <w:r w:rsidR="00B54A37" w:rsidRPr="00EE212D">
        <w:rPr>
          <w:sz w:val="22"/>
          <w:szCs w:val="22"/>
          <w:lang w:val="fr-FR"/>
        </w:rPr>
        <w:t xml:space="preserve"> </w:t>
      </w:r>
      <w:r w:rsidR="0080198F">
        <w:rPr>
          <w:sz w:val="22"/>
          <w:szCs w:val="22"/>
          <w:lang w:val="fr-FR"/>
        </w:rPr>
        <w:t>a été identifié par</w:t>
      </w:r>
      <w:r>
        <w:rPr>
          <w:sz w:val="22"/>
          <w:szCs w:val="22"/>
          <w:lang w:val="fr-FR"/>
        </w:rPr>
        <w:t xml:space="preserve"> la </w:t>
      </w:r>
      <w:r w:rsidR="00B54A37" w:rsidRPr="00EE212D">
        <w:rPr>
          <w:sz w:val="22"/>
          <w:szCs w:val="22"/>
          <w:lang w:val="fr-FR"/>
        </w:rPr>
        <w:t>COP 11</w:t>
      </w:r>
      <w:r w:rsidR="00EE212D" w:rsidRPr="00EE212D">
        <w:rPr>
          <w:sz w:val="22"/>
          <w:szCs w:val="22"/>
          <w:lang w:val="fr-FR"/>
        </w:rPr>
        <w:t xml:space="preserve"> </w:t>
      </w:r>
      <w:r w:rsidR="000F4030">
        <w:rPr>
          <w:sz w:val="22"/>
          <w:szCs w:val="22"/>
          <w:lang w:val="fr-FR"/>
        </w:rPr>
        <w:t xml:space="preserve">de la </w:t>
      </w:r>
      <w:r>
        <w:rPr>
          <w:sz w:val="22"/>
          <w:szCs w:val="22"/>
          <w:lang w:val="fr-FR"/>
        </w:rPr>
        <w:t xml:space="preserve">CMS </w:t>
      </w:r>
      <w:r w:rsidR="00EE212D" w:rsidRPr="00EE212D">
        <w:rPr>
          <w:sz w:val="22"/>
          <w:szCs w:val="22"/>
          <w:lang w:val="fr-FR"/>
        </w:rPr>
        <w:t xml:space="preserve">et </w:t>
      </w:r>
      <w:r>
        <w:rPr>
          <w:sz w:val="22"/>
          <w:szCs w:val="22"/>
          <w:lang w:val="fr-FR"/>
        </w:rPr>
        <w:t>proposé dans le m</w:t>
      </w:r>
      <w:r w:rsidR="00D9190E" w:rsidRPr="00EE212D">
        <w:rPr>
          <w:sz w:val="22"/>
          <w:szCs w:val="22"/>
          <w:lang w:val="fr-FR"/>
        </w:rPr>
        <w:t>andat</w:t>
      </w:r>
      <w:r>
        <w:rPr>
          <w:sz w:val="22"/>
          <w:szCs w:val="22"/>
          <w:lang w:val="fr-FR"/>
        </w:rPr>
        <w:t xml:space="preserve"> du</w:t>
      </w:r>
      <w:r w:rsidR="0080198F">
        <w:rPr>
          <w:sz w:val="22"/>
          <w:szCs w:val="22"/>
          <w:lang w:val="fr-FR"/>
        </w:rPr>
        <w:t xml:space="preserve"> G</w:t>
      </w:r>
      <w:r w:rsidR="00971318" w:rsidRPr="00EE212D">
        <w:rPr>
          <w:sz w:val="22"/>
          <w:szCs w:val="22"/>
          <w:lang w:val="fr-FR"/>
        </w:rPr>
        <w:t>roupe de travail sur la prévention de l’empoisonnement</w:t>
      </w:r>
      <w:r w:rsidR="0080198F">
        <w:rPr>
          <w:sz w:val="22"/>
          <w:szCs w:val="22"/>
          <w:lang w:val="fr-FR"/>
        </w:rPr>
        <w:t>, comme</w:t>
      </w:r>
      <w:r>
        <w:rPr>
          <w:sz w:val="22"/>
          <w:szCs w:val="22"/>
          <w:lang w:val="fr-FR"/>
        </w:rPr>
        <w:t xml:space="preserve"> sous-groupe thématique (Annexe à la </w:t>
      </w:r>
      <w:r w:rsidR="00ED27C6">
        <w:rPr>
          <w:sz w:val="22"/>
          <w:szCs w:val="22"/>
          <w:lang w:val="fr-FR"/>
        </w:rPr>
        <w:t>résolution</w:t>
      </w:r>
      <w:r w:rsidR="00B54A37" w:rsidRPr="00EE212D">
        <w:rPr>
          <w:sz w:val="22"/>
          <w:szCs w:val="22"/>
          <w:lang w:val="fr-FR"/>
        </w:rPr>
        <w:t xml:space="preserve"> 11.15</w:t>
      </w:r>
      <w:r>
        <w:rPr>
          <w:sz w:val="22"/>
          <w:szCs w:val="22"/>
          <w:lang w:val="fr-FR"/>
        </w:rPr>
        <w:t xml:space="preserve"> CMS</w:t>
      </w:r>
      <w:r w:rsidR="00B54A37" w:rsidRPr="00B54A37">
        <w:rPr>
          <w:sz w:val="22"/>
          <w:szCs w:val="22"/>
          <w:vertAlign w:val="superscript"/>
          <w:lang w:val="en-GB"/>
        </w:rPr>
        <w:footnoteReference w:id="2"/>
      </w:r>
      <w:r w:rsidR="00B54A37" w:rsidRPr="00EE212D">
        <w:rPr>
          <w:sz w:val="22"/>
          <w:szCs w:val="22"/>
          <w:lang w:val="fr-FR"/>
        </w:rPr>
        <w:t>)</w:t>
      </w:r>
      <w:r>
        <w:rPr>
          <w:sz w:val="22"/>
          <w:szCs w:val="22"/>
          <w:lang w:val="fr-FR"/>
        </w:rPr>
        <w:t xml:space="preserve">. </w:t>
      </w:r>
      <w:r w:rsidR="0080198F">
        <w:rPr>
          <w:sz w:val="22"/>
          <w:szCs w:val="22"/>
          <w:lang w:val="fr-FR"/>
        </w:rPr>
        <w:t>C</w:t>
      </w:r>
      <w:r w:rsidR="002D04A3">
        <w:rPr>
          <w:sz w:val="22"/>
          <w:szCs w:val="22"/>
          <w:lang w:val="fr-FR"/>
        </w:rPr>
        <w:t>e groupe d’étude</w:t>
      </w:r>
      <w:r w:rsidR="0080198F">
        <w:rPr>
          <w:sz w:val="22"/>
          <w:szCs w:val="22"/>
          <w:lang w:val="fr-FR"/>
        </w:rPr>
        <w:t xml:space="preserve"> a pour objectif de </w:t>
      </w:r>
      <w:r>
        <w:rPr>
          <w:sz w:val="22"/>
          <w:szCs w:val="22"/>
          <w:lang w:val="fr-FR"/>
        </w:rPr>
        <w:t xml:space="preserve">faire avancer la </w:t>
      </w:r>
      <w:r w:rsidR="00D928F5" w:rsidRPr="00EE212D">
        <w:rPr>
          <w:sz w:val="22"/>
          <w:szCs w:val="22"/>
          <w:lang w:val="fr-FR"/>
        </w:rPr>
        <w:t xml:space="preserve">mise en </w:t>
      </w:r>
      <w:r>
        <w:rPr>
          <w:sz w:val="22"/>
          <w:szCs w:val="22"/>
          <w:lang w:val="fr-FR"/>
        </w:rPr>
        <w:t xml:space="preserve">œuvre de la </w:t>
      </w:r>
      <w:r w:rsidR="00ED27C6">
        <w:rPr>
          <w:sz w:val="22"/>
          <w:szCs w:val="22"/>
          <w:lang w:val="fr-FR"/>
        </w:rPr>
        <w:t>résolution</w:t>
      </w:r>
      <w:r w:rsidR="00B54A37" w:rsidRPr="00EE212D">
        <w:rPr>
          <w:sz w:val="22"/>
          <w:szCs w:val="22"/>
          <w:lang w:val="fr-FR"/>
        </w:rPr>
        <w:t xml:space="preserve"> 11.15 </w:t>
      </w:r>
      <w:r>
        <w:rPr>
          <w:sz w:val="22"/>
          <w:szCs w:val="22"/>
          <w:lang w:val="fr-FR"/>
        </w:rPr>
        <w:t>sur l</w:t>
      </w:r>
      <w:r w:rsidR="00D9190E" w:rsidRPr="00EE212D">
        <w:rPr>
          <w:sz w:val="22"/>
          <w:szCs w:val="22"/>
          <w:lang w:val="fr-FR"/>
        </w:rPr>
        <w:t>a prévention</w:t>
      </w:r>
      <w:r w:rsidR="00B54A37" w:rsidRPr="00EE212D">
        <w:rPr>
          <w:sz w:val="22"/>
          <w:szCs w:val="22"/>
          <w:lang w:val="fr-FR"/>
        </w:rPr>
        <w:t xml:space="preserve"> </w:t>
      </w:r>
      <w:r>
        <w:rPr>
          <w:sz w:val="22"/>
          <w:szCs w:val="22"/>
          <w:lang w:val="fr-FR"/>
        </w:rPr>
        <w:t>de l’</w:t>
      </w:r>
      <w:r w:rsidR="00DB204E" w:rsidRPr="00EE212D">
        <w:rPr>
          <w:sz w:val="22"/>
          <w:szCs w:val="22"/>
          <w:lang w:val="fr-FR"/>
        </w:rPr>
        <w:t>empoisonnement</w:t>
      </w:r>
      <w:r>
        <w:rPr>
          <w:sz w:val="22"/>
          <w:szCs w:val="22"/>
          <w:lang w:val="fr-FR"/>
        </w:rPr>
        <w:t xml:space="preserve"> des o</w:t>
      </w:r>
      <w:r w:rsidR="00DB204E" w:rsidRPr="00EE212D">
        <w:rPr>
          <w:sz w:val="22"/>
          <w:szCs w:val="22"/>
          <w:lang w:val="fr-FR"/>
        </w:rPr>
        <w:t>iseaux migrateurs</w:t>
      </w:r>
      <w:r w:rsidR="00EE212D" w:rsidRPr="00EE212D">
        <w:rPr>
          <w:sz w:val="22"/>
          <w:szCs w:val="22"/>
          <w:lang w:val="fr-FR"/>
        </w:rPr>
        <w:t xml:space="preserve"> et </w:t>
      </w:r>
      <w:r w:rsidR="0080198F">
        <w:rPr>
          <w:sz w:val="22"/>
          <w:szCs w:val="22"/>
          <w:lang w:val="fr-FR"/>
        </w:rPr>
        <w:t>d</w:t>
      </w:r>
      <w:r>
        <w:rPr>
          <w:sz w:val="22"/>
          <w:szCs w:val="22"/>
          <w:lang w:val="fr-FR"/>
        </w:rPr>
        <w:t xml:space="preserve">es </w:t>
      </w:r>
      <w:r w:rsidR="00D9190E" w:rsidRPr="00EE212D">
        <w:rPr>
          <w:sz w:val="22"/>
          <w:szCs w:val="22"/>
          <w:lang w:val="fr-FR"/>
        </w:rPr>
        <w:t>Lignes directrices</w:t>
      </w:r>
      <w:r w:rsidR="00B54A37" w:rsidRPr="00EE212D">
        <w:rPr>
          <w:sz w:val="22"/>
          <w:szCs w:val="22"/>
          <w:lang w:val="fr-FR"/>
        </w:rPr>
        <w:t xml:space="preserve"> </w:t>
      </w:r>
      <w:r w:rsidR="00D9190E" w:rsidRPr="00EE212D">
        <w:rPr>
          <w:sz w:val="22"/>
          <w:szCs w:val="22"/>
          <w:lang w:val="fr-FR"/>
        </w:rPr>
        <w:t>pour prévenir</w:t>
      </w:r>
      <w:r w:rsidR="00B54A37" w:rsidRPr="00EE212D">
        <w:rPr>
          <w:sz w:val="22"/>
          <w:szCs w:val="22"/>
          <w:lang w:val="fr-FR"/>
        </w:rPr>
        <w:t xml:space="preserve"> </w:t>
      </w:r>
      <w:r>
        <w:rPr>
          <w:sz w:val="22"/>
          <w:szCs w:val="22"/>
          <w:lang w:val="fr-FR"/>
        </w:rPr>
        <w:t>les</w:t>
      </w:r>
      <w:r w:rsidR="00DB204E" w:rsidRPr="00EE212D">
        <w:rPr>
          <w:sz w:val="22"/>
          <w:szCs w:val="22"/>
          <w:lang w:val="fr-FR"/>
        </w:rPr>
        <w:t xml:space="preserve"> risque</w:t>
      </w:r>
      <w:r>
        <w:rPr>
          <w:sz w:val="22"/>
          <w:szCs w:val="22"/>
          <w:lang w:val="fr-FR"/>
        </w:rPr>
        <w:t>s</w:t>
      </w:r>
      <w:r w:rsidR="00DB204E" w:rsidRPr="00EE212D">
        <w:rPr>
          <w:sz w:val="22"/>
          <w:szCs w:val="22"/>
          <w:lang w:val="fr-FR"/>
        </w:rPr>
        <w:t xml:space="preserve"> </w:t>
      </w:r>
      <w:r w:rsidR="001E09A7" w:rsidRPr="00EE212D">
        <w:rPr>
          <w:sz w:val="22"/>
          <w:szCs w:val="22"/>
          <w:lang w:val="fr-FR"/>
        </w:rPr>
        <w:t>d’em</w:t>
      </w:r>
      <w:r w:rsidR="00DB204E" w:rsidRPr="00EE212D">
        <w:rPr>
          <w:sz w:val="22"/>
          <w:szCs w:val="22"/>
          <w:lang w:val="fr-FR"/>
        </w:rPr>
        <w:t>poisonnement</w:t>
      </w:r>
      <w:r>
        <w:rPr>
          <w:sz w:val="22"/>
          <w:szCs w:val="22"/>
          <w:lang w:val="fr-FR"/>
        </w:rPr>
        <w:t xml:space="preserve"> des</w:t>
      </w:r>
      <w:r w:rsidR="00B54A37" w:rsidRPr="00EE212D">
        <w:rPr>
          <w:sz w:val="22"/>
          <w:szCs w:val="22"/>
          <w:lang w:val="fr-FR"/>
        </w:rPr>
        <w:t xml:space="preserve"> </w:t>
      </w:r>
      <w:r>
        <w:rPr>
          <w:sz w:val="22"/>
          <w:szCs w:val="22"/>
          <w:lang w:val="fr-FR"/>
        </w:rPr>
        <w:t>o</w:t>
      </w:r>
      <w:r w:rsidR="00DB204E" w:rsidRPr="00EE212D">
        <w:rPr>
          <w:sz w:val="22"/>
          <w:szCs w:val="22"/>
          <w:lang w:val="fr-FR"/>
        </w:rPr>
        <w:t>iseaux migrateurs</w:t>
      </w:r>
      <w:r w:rsidR="00B54A37" w:rsidRPr="00B54A37">
        <w:rPr>
          <w:sz w:val="22"/>
          <w:szCs w:val="22"/>
          <w:vertAlign w:val="superscript"/>
          <w:lang w:val="en-GB"/>
        </w:rPr>
        <w:footnoteReference w:id="3"/>
      </w:r>
      <w:r>
        <w:rPr>
          <w:sz w:val="22"/>
          <w:szCs w:val="22"/>
          <w:lang w:val="fr-FR"/>
        </w:rPr>
        <w:t xml:space="preserve"> (ci-après : “les</w:t>
      </w:r>
      <w:r w:rsidR="00B54A37" w:rsidRPr="00EE212D">
        <w:rPr>
          <w:sz w:val="22"/>
          <w:szCs w:val="22"/>
          <w:lang w:val="fr-FR"/>
        </w:rPr>
        <w:t xml:space="preserve"> </w:t>
      </w:r>
      <w:r w:rsidR="00D9190E" w:rsidRPr="00EE212D">
        <w:rPr>
          <w:sz w:val="22"/>
          <w:szCs w:val="22"/>
          <w:lang w:val="fr-FR"/>
        </w:rPr>
        <w:t>Lignes directrices</w:t>
      </w:r>
      <w:r w:rsidR="00B54A37" w:rsidRPr="00EE212D">
        <w:rPr>
          <w:sz w:val="22"/>
          <w:szCs w:val="22"/>
          <w:lang w:val="fr-FR"/>
        </w:rPr>
        <w:t>”</w:t>
      </w:r>
      <w:r w:rsidR="00D94D78" w:rsidRPr="00EE212D">
        <w:rPr>
          <w:sz w:val="22"/>
          <w:szCs w:val="22"/>
          <w:lang w:val="fr-FR"/>
        </w:rPr>
        <w:t>)</w:t>
      </w:r>
      <w:r w:rsidR="00EF520B" w:rsidRPr="00EE212D">
        <w:rPr>
          <w:sz w:val="22"/>
          <w:szCs w:val="22"/>
          <w:lang w:val="fr-FR"/>
        </w:rPr>
        <w:t xml:space="preserve">. </w:t>
      </w:r>
      <w:r w:rsidR="0080198F">
        <w:rPr>
          <w:sz w:val="22"/>
          <w:szCs w:val="22"/>
          <w:lang w:val="fr-FR"/>
        </w:rPr>
        <w:t>L</w:t>
      </w:r>
      <w:r w:rsidR="00EF520B" w:rsidRPr="004A7E91">
        <w:rPr>
          <w:sz w:val="22"/>
          <w:szCs w:val="22"/>
          <w:lang w:val="fr-FR"/>
        </w:rPr>
        <w:t>e</w:t>
      </w:r>
      <w:r w:rsidRPr="004A7E91">
        <w:rPr>
          <w:sz w:val="22"/>
          <w:szCs w:val="22"/>
          <w:lang w:val="fr-FR"/>
        </w:rPr>
        <w:t>s</w:t>
      </w:r>
      <w:r w:rsidR="00EF520B" w:rsidRPr="004A7E91">
        <w:rPr>
          <w:sz w:val="22"/>
          <w:szCs w:val="22"/>
          <w:lang w:val="fr-FR"/>
        </w:rPr>
        <w:t xml:space="preserve"> </w:t>
      </w:r>
      <w:r w:rsidR="00D9190E" w:rsidRPr="004A7E91">
        <w:rPr>
          <w:sz w:val="22"/>
          <w:szCs w:val="22"/>
          <w:lang w:val="fr-FR"/>
        </w:rPr>
        <w:t>Lignes directrices</w:t>
      </w:r>
      <w:r w:rsidR="00D94D78" w:rsidRPr="004A7E91">
        <w:rPr>
          <w:sz w:val="22"/>
          <w:szCs w:val="22"/>
          <w:lang w:val="fr-FR"/>
        </w:rPr>
        <w:t xml:space="preserve"> </w:t>
      </w:r>
      <w:r w:rsidRPr="004A7E91">
        <w:rPr>
          <w:sz w:val="22"/>
          <w:szCs w:val="22"/>
          <w:lang w:val="fr-FR"/>
        </w:rPr>
        <w:t xml:space="preserve">ont été </w:t>
      </w:r>
      <w:r w:rsidR="0080198F">
        <w:rPr>
          <w:sz w:val="22"/>
          <w:szCs w:val="22"/>
          <w:lang w:val="fr-FR"/>
        </w:rPr>
        <w:t>publiées à l’origine</w:t>
      </w:r>
      <w:r w:rsidR="004A7E91" w:rsidRPr="004A7E91">
        <w:rPr>
          <w:sz w:val="22"/>
          <w:szCs w:val="22"/>
          <w:lang w:val="fr-FR"/>
        </w:rPr>
        <w:t xml:space="preserve"> dans le document </w:t>
      </w:r>
      <w:r w:rsidR="00B54A37" w:rsidRPr="004A7E91">
        <w:rPr>
          <w:sz w:val="22"/>
          <w:szCs w:val="22"/>
          <w:lang w:val="fr-FR"/>
        </w:rPr>
        <w:t>CMS/COP11/Doc.23.1.2/Annex</w:t>
      </w:r>
      <w:r w:rsidR="0080198F">
        <w:rPr>
          <w:sz w:val="22"/>
          <w:szCs w:val="22"/>
          <w:lang w:val="fr-FR"/>
        </w:rPr>
        <w:t>e </w:t>
      </w:r>
      <w:r w:rsidR="00B54A37" w:rsidRPr="004A7E91">
        <w:rPr>
          <w:sz w:val="22"/>
          <w:szCs w:val="22"/>
          <w:lang w:val="fr-FR"/>
        </w:rPr>
        <w:t>2</w:t>
      </w:r>
      <w:r w:rsidR="00AC5BA3" w:rsidRPr="004A7E91">
        <w:rPr>
          <w:sz w:val="22"/>
          <w:szCs w:val="22"/>
          <w:lang w:val="fr-FR"/>
        </w:rPr>
        <w:t xml:space="preserve">. </w:t>
      </w:r>
      <w:r w:rsidR="004A7E91" w:rsidRPr="004A7E91">
        <w:rPr>
          <w:sz w:val="22"/>
          <w:szCs w:val="22"/>
          <w:lang w:val="fr-FR"/>
        </w:rPr>
        <w:t>L</w:t>
      </w:r>
      <w:r w:rsidR="004A7E91">
        <w:rPr>
          <w:sz w:val="22"/>
          <w:szCs w:val="22"/>
          <w:lang w:val="fr-FR"/>
        </w:rPr>
        <w:t>e</w:t>
      </w:r>
      <w:r w:rsidR="0080198F">
        <w:rPr>
          <w:sz w:val="22"/>
          <w:szCs w:val="22"/>
          <w:lang w:val="fr-FR"/>
        </w:rPr>
        <w:t>ur objectif est de réduire le risque d’</w:t>
      </w:r>
      <w:r w:rsidR="00DB204E" w:rsidRPr="004A7E91">
        <w:rPr>
          <w:sz w:val="22"/>
          <w:szCs w:val="22"/>
          <w:lang w:val="fr-FR"/>
        </w:rPr>
        <w:t>empoisonnement</w:t>
      </w:r>
      <w:r w:rsidR="004A7E91">
        <w:rPr>
          <w:sz w:val="22"/>
          <w:szCs w:val="22"/>
          <w:lang w:val="fr-FR"/>
        </w:rPr>
        <w:t xml:space="preserve"> des</w:t>
      </w:r>
      <w:r w:rsidR="00B54A37" w:rsidRPr="004A7E91">
        <w:rPr>
          <w:sz w:val="22"/>
          <w:szCs w:val="22"/>
          <w:lang w:val="fr-FR"/>
        </w:rPr>
        <w:t xml:space="preserve"> </w:t>
      </w:r>
      <w:r w:rsidR="00DB204E" w:rsidRPr="004A7E91">
        <w:rPr>
          <w:sz w:val="22"/>
          <w:szCs w:val="22"/>
          <w:lang w:val="fr-FR"/>
        </w:rPr>
        <w:t>espèces migratrices</w:t>
      </w:r>
      <w:r w:rsidR="00B54A37" w:rsidRPr="004A7E91">
        <w:rPr>
          <w:sz w:val="22"/>
          <w:szCs w:val="22"/>
          <w:lang w:val="fr-FR"/>
        </w:rPr>
        <w:t xml:space="preserve"> </w:t>
      </w:r>
      <w:r w:rsidR="0080198F">
        <w:rPr>
          <w:sz w:val="22"/>
          <w:szCs w:val="22"/>
          <w:lang w:val="fr-FR"/>
        </w:rPr>
        <w:t>par des sources contenant du</w:t>
      </w:r>
      <w:r w:rsidRPr="004A7E91">
        <w:rPr>
          <w:sz w:val="22"/>
          <w:szCs w:val="22"/>
          <w:lang w:val="fr-FR"/>
        </w:rPr>
        <w:t xml:space="preserve"> plomb</w:t>
      </w:r>
      <w:r w:rsidR="00B54A37" w:rsidRPr="004A7E91">
        <w:rPr>
          <w:sz w:val="22"/>
          <w:szCs w:val="22"/>
          <w:lang w:val="fr-FR"/>
        </w:rPr>
        <w:t xml:space="preserve"> </w:t>
      </w:r>
      <w:r w:rsidR="004A7E91">
        <w:rPr>
          <w:sz w:val="22"/>
          <w:szCs w:val="22"/>
          <w:lang w:val="fr-FR"/>
        </w:rPr>
        <w:t>da</w:t>
      </w:r>
      <w:r w:rsidR="0080198F">
        <w:rPr>
          <w:sz w:val="22"/>
          <w:szCs w:val="22"/>
          <w:lang w:val="fr-FR"/>
        </w:rPr>
        <w:t>ns l’environnement, telles que les munitions et l</w:t>
      </w:r>
      <w:r w:rsidR="004A7E91">
        <w:rPr>
          <w:sz w:val="22"/>
          <w:szCs w:val="22"/>
          <w:lang w:val="fr-FR"/>
        </w:rPr>
        <w:t xml:space="preserve">es </w:t>
      </w:r>
      <w:r w:rsidR="00EE212D" w:rsidRPr="004A7E91">
        <w:rPr>
          <w:sz w:val="22"/>
          <w:szCs w:val="22"/>
          <w:lang w:val="fr-FR"/>
        </w:rPr>
        <w:t>poids de pêche en plomb</w:t>
      </w:r>
      <w:r w:rsidR="00B54A37" w:rsidRPr="004A7E91">
        <w:rPr>
          <w:sz w:val="22"/>
          <w:szCs w:val="22"/>
          <w:lang w:val="fr-FR"/>
        </w:rPr>
        <w:t xml:space="preserve">, </w:t>
      </w:r>
      <w:r w:rsidR="004A7E91">
        <w:rPr>
          <w:sz w:val="22"/>
          <w:szCs w:val="22"/>
          <w:lang w:val="fr-FR"/>
        </w:rPr>
        <w:t>tout en reconnaissant l’importance de travailler avec les</w:t>
      </w:r>
      <w:r w:rsidR="00B54A37" w:rsidRPr="004A7E91">
        <w:rPr>
          <w:sz w:val="22"/>
          <w:szCs w:val="22"/>
          <w:lang w:val="fr-FR"/>
        </w:rPr>
        <w:t xml:space="preserve"> </w:t>
      </w:r>
      <w:r w:rsidR="004A7E91">
        <w:rPr>
          <w:sz w:val="22"/>
          <w:szCs w:val="22"/>
          <w:lang w:val="fr-FR"/>
        </w:rPr>
        <w:t>parties prenantes concernées</w:t>
      </w:r>
      <w:r w:rsidR="00B54A37" w:rsidRPr="004A7E91">
        <w:rPr>
          <w:sz w:val="22"/>
          <w:szCs w:val="22"/>
          <w:lang w:val="fr-FR"/>
        </w:rPr>
        <w:t>.</w:t>
      </w:r>
    </w:p>
    <w:p w14:paraId="2676743D" w14:textId="77777777" w:rsidR="00B54A37" w:rsidRPr="004A7E91" w:rsidRDefault="00B54A37" w:rsidP="00B54A37">
      <w:pPr>
        <w:jc w:val="both"/>
        <w:rPr>
          <w:sz w:val="22"/>
          <w:szCs w:val="22"/>
          <w:lang w:val="fr-FR"/>
        </w:rPr>
      </w:pPr>
    </w:p>
    <w:p w14:paraId="29560215" w14:textId="616B3CC4" w:rsidR="00B54A37" w:rsidRPr="004A7E91" w:rsidRDefault="004A7E91" w:rsidP="00B54A37">
      <w:pPr>
        <w:jc w:val="both"/>
        <w:rPr>
          <w:sz w:val="22"/>
          <w:szCs w:val="22"/>
          <w:lang w:val="fr-FR"/>
        </w:rPr>
      </w:pPr>
      <w:r w:rsidRPr="004A7E91">
        <w:rPr>
          <w:sz w:val="22"/>
          <w:szCs w:val="22"/>
          <w:lang w:val="fr-FR"/>
        </w:rPr>
        <w:t xml:space="preserve">L’utilité </w:t>
      </w:r>
      <w:r w:rsidR="005D22B5">
        <w:rPr>
          <w:sz w:val="22"/>
          <w:szCs w:val="22"/>
          <w:lang w:val="fr-FR"/>
        </w:rPr>
        <w:t xml:space="preserve">du </w:t>
      </w:r>
      <w:r w:rsidR="00292877">
        <w:rPr>
          <w:sz w:val="22"/>
          <w:szCs w:val="22"/>
          <w:lang w:val="fr-FR"/>
        </w:rPr>
        <w:t>groupe spécial sur le plomb</w:t>
      </w:r>
      <w:r w:rsidRPr="004A7E91">
        <w:rPr>
          <w:sz w:val="22"/>
          <w:szCs w:val="22"/>
          <w:lang w:val="fr-FR"/>
        </w:rPr>
        <w:t xml:space="preserve"> a été mise en avant par la suite dans l’</w:t>
      </w:r>
      <w:r>
        <w:rPr>
          <w:sz w:val="22"/>
          <w:szCs w:val="22"/>
          <w:lang w:val="fr-FR"/>
        </w:rPr>
        <w:t>évènement parallèle sur</w:t>
      </w:r>
      <w:r w:rsidR="008802E6" w:rsidRPr="004A7E91">
        <w:rPr>
          <w:sz w:val="22"/>
          <w:szCs w:val="22"/>
          <w:lang w:val="fr-FR"/>
        </w:rPr>
        <w:t xml:space="preserve"> </w:t>
      </w:r>
      <w:r>
        <w:rPr>
          <w:sz w:val="22"/>
          <w:szCs w:val="22"/>
          <w:lang w:val="fr-FR"/>
        </w:rPr>
        <w:t>l’empoisonnement au plomb</w:t>
      </w:r>
      <w:r w:rsidR="0080198F">
        <w:rPr>
          <w:sz w:val="22"/>
          <w:szCs w:val="22"/>
          <w:lang w:val="fr-FR"/>
        </w:rPr>
        <w:t>, organisé</w:t>
      </w:r>
      <w:r>
        <w:rPr>
          <w:sz w:val="22"/>
          <w:szCs w:val="22"/>
          <w:lang w:val="fr-FR"/>
        </w:rPr>
        <w:t xml:space="preserve"> à la </w:t>
      </w:r>
      <w:r w:rsidR="00B54A37" w:rsidRPr="004A7E91">
        <w:rPr>
          <w:sz w:val="22"/>
          <w:szCs w:val="22"/>
          <w:lang w:val="fr-FR"/>
        </w:rPr>
        <w:t>MOP6</w:t>
      </w:r>
      <w:r>
        <w:rPr>
          <w:sz w:val="22"/>
          <w:szCs w:val="22"/>
          <w:lang w:val="fr-FR"/>
        </w:rPr>
        <w:t xml:space="preserve"> AEWA</w:t>
      </w:r>
      <w:r w:rsidR="00B54A37" w:rsidRPr="004A7E91">
        <w:rPr>
          <w:sz w:val="22"/>
          <w:szCs w:val="22"/>
          <w:lang w:val="fr-FR"/>
        </w:rPr>
        <w:t>.</w:t>
      </w:r>
    </w:p>
    <w:p w14:paraId="639AA2C3" w14:textId="2B6C78F3" w:rsidR="00B54A37" w:rsidRPr="004A7E91" w:rsidRDefault="00B54A37" w:rsidP="00B54A37">
      <w:pPr>
        <w:jc w:val="both"/>
        <w:rPr>
          <w:sz w:val="22"/>
          <w:szCs w:val="22"/>
          <w:lang w:val="fr-FR"/>
        </w:rPr>
      </w:pPr>
    </w:p>
    <w:p w14:paraId="7B68C1BD" w14:textId="77777777" w:rsidR="00847178" w:rsidRPr="004A7E91" w:rsidRDefault="00847178" w:rsidP="00B54A37">
      <w:pPr>
        <w:jc w:val="both"/>
        <w:rPr>
          <w:sz w:val="22"/>
          <w:szCs w:val="22"/>
          <w:lang w:val="fr-FR"/>
        </w:rPr>
      </w:pPr>
    </w:p>
    <w:p w14:paraId="3E630974" w14:textId="3B7B76AE" w:rsidR="00B54A37" w:rsidRPr="00FA17D6" w:rsidRDefault="008510A9" w:rsidP="00B54A37">
      <w:pPr>
        <w:jc w:val="both"/>
        <w:rPr>
          <w:b/>
          <w:bCs/>
          <w:sz w:val="22"/>
          <w:szCs w:val="22"/>
          <w:lang w:val="fr-FR"/>
        </w:rPr>
      </w:pPr>
      <w:r w:rsidRPr="00FA17D6">
        <w:rPr>
          <w:b/>
          <w:bCs/>
          <w:sz w:val="22"/>
          <w:szCs w:val="22"/>
          <w:lang w:val="fr-FR"/>
        </w:rPr>
        <w:t>2. Rôle et portée</w:t>
      </w:r>
    </w:p>
    <w:p w14:paraId="786E6F38" w14:textId="77777777" w:rsidR="00B54A37" w:rsidRPr="00FA17D6" w:rsidRDefault="00B54A37" w:rsidP="00B54A37">
      <w:pPr>
        <w:jc w:val="both"/>
        <w:rPr>
          <w:sz w:val="22"/>
          <w:szCs w:val="22"/>
          <w:lang w:val="fr-FR"/>
        </w:rPr>
      </w:pPr>
    </w:p>
    <w:p w14:paraId="3FADAD82" w14:textId="2C72D07C" w:rsidR="00B54A37" w:rsidRPr="004A7E91" w:rsidRDefault="004A7E91" w:rsidP="00B54A37">
      <w:pPr>
        <w:jc w:val="both"/>
        <w:rPr>
          <w:sz w:val="22"/>
          <w:szCs w:val="22"/>
          <w:lang w:val="fr-FR"/>
        </w:rPr>
      </w:pPr>
      <w:r w:rsidRPr="004A7E91">
        <w:rPr>
          <w:sz w:val="22"/>
          <w:szCs w:val="22"/>
          <w:lang w:val="fr-FR"/>
        </w:rPr>
        <w:t xml:space="preserve">Le rôle </w:t>
      </w:r>
      <w:r w:rsidR="005D22B5">
        <w:rPr>
          <w:sz w:val="22"/>
          <w:szCs w:val="22"/>
          <w:lang w:val="fr-FR"/>
        </w:rPr>
        <w:t xml:space="preserve">du </w:t>
      </w:r>
      <w:r w:rsidR="00292877">
        <w:rPr>
          <w:sz w:val="22"/>
          <w:szCs w:val="22"/>
          <w:lang w:val="fr-FR"/>
        </w:rPr>
        <w:t>groupe spécial sur le plomb</w:t>
      </w:r>
      <w:r w:rsidRPr="004A7E91">
        <w:rPr>
          <w:sz w:val="22"/>
          <w:szCs w:val="22"/>
          <w:lang w:val="fr-FR"/>
        </w:rPr>
        <w:t xml:space="preserve"> e</w:t>
      </w:r>
      <w:r w:rsidR="00B54A37" w:rsidRPr="004A7E91">
        <w:rPr>
          <w:sz w:val="22"/>
          <w:szCs w:val="22"/>
          <w:lang w:val="fr-FR"/>
        </w:rPr>
        <w:t>s</w:t>
      </w:r>
      <w:r w:rsidR="0080198F">
        <w:rPr>
          <w:sz w:val="22"/>
          <w:szCs w:val="22"/>
          <w:lang w:val="fr-FR"/>
        </w:rPr>
        <w:t>t de faciliter d</w:t>
      </w:r>
      <w:r w:rsidRPr="004A7E91">
        <w:rPr>
          <w:sz w:val="22"/>
          <w:szCs w:val="22"/>
          <w:lang w:val="fr-FR"/>
        </w:rPr>
        <w:t>es initiatives concertées</w:t>
      </w:r>
      <w:r w:rsidR="00B54A37" w:rsidRPr="004A7E91">
        <w:rPr>
          <w:sz w:val="22"/>
          <w:szCs w:val="22"/>
          <w:lang w:val="fr-FR"/>
        </w:rPr>
        <w:t xml:space="preserve">, </w:t>
      </w:r>
      <w:r w:rsidR="005831F1">
        <w:rPr>
          <w:sz w:val="22"/>
          <w:szCs w:val="22"/>
          <w:lang w:val="fr-FR"/>
        </w:rPr>
        <w:t>le</w:t>
      </w:r>
      <w:r w:rsidRPr="004A7E91">
        <w:rPr>
          <w:sz w:val="22"/>
          <w:szCs w:val="22"/>
          <w:lang w:val="fr-FR"/>
        </w:rPr>
        <w:t xml:space="preserve"> partage de</w:t>
      </w:r>
      <w:r w:rsidR="0080198F">
        <w:rPr>
          <w:sz w:val="22"/>
          <w:szCs w:val="22"/>
          <w:lang w:val="fr-FR"/>
        </w:rPr>
        <w:t>s</w:t>
      </w:r>
      <w:r w:rsidRPr="004A7E91">
        <w:rPr>
          <w:sz w:val="22"/>
          <w:szCs w:val="22"/>
          <w:lang w:val="fr-FR"/>
        </w:rPr>
        <w:t xml:space="preserve"> connaissances et </w:t>
      </w:r>
      <w:r w:rsidR="005831F1">
        <w:rPr>
          <w:sz w:val="22"/>
          <w:szCs w:val="22"/>
          <w:lang w:val="fr-FR"/>
        </w:rPr>
        <w:t>l’</w:t>
      </w:r>
      <w:r w:rsidR="0080198F">
        <w:rPr>
          <w:sz w:val="22"/>
          <w:szCs w:val="22"/>
          <w:lang w:val="fr-FR"/>
        </w:rPr>
        <w:t xml:space="preserve">échange </w:t>
      </w:r>
      <w:r w:rsidRPr="004A7E91">
        <w:rPr>
          <w:sz w:val="22"/>
          <w:szCs w:val="22"/>
          <w:lang w:val="fr-FR"/>
        </w:rPr>
        <w:t>d’information</w:t>
      </w:r>
      <w:r w:rsidR="00B54A37" w:rsidRPr="004A7E91">
        <w:rPr>
          <w:sz w:val="22"/>
          <w:szCs w:val="22"/>
          <w:lang w:val="fr-FR"/>
        </w:rPr>
        <w:t xml:space="preserve">, </w:t>
      </w:r>
      <w:r w:rsidR="005831F1">
        <w:rPr>
          <w:sz w:val="22"/>
          <w:szCs w:val="22"/>
          <w:lang w:val="fr-FR"/>
        </w:rPr>
        <w:t>et d</w:t>
      </w:r>
      <w:r>
        <w:rPr>
          <w:sz w:val="22"/>
          <w:szCs w:val="22"/>
          <w:lang w:val="fr-FR"/>
        </w:rPr>
        <w:t xml:space="preserve">es </w:t>
      </w:r>
      <w:r w:rsidR="00B54A37" w:rsidRPr="004A7E91">
        <w:rPr>
          <w:sz w:val="22"/>
          <w:szCs w:val="22"/>
          <w:lang w:val="fr-FR"/>
        </w:rPr>
        <w:t>actions</w:t>
      </w:r>
      <w:r w:rsidR="00EE212D" w:rsidRPr="004A7E91">
        <w:rPr>
          <w:sz w:val="22"/>
          <w:szCs w:val="22"/>
          <w:lang w:val="fr-FR"/>
        </w:rPr>
        <w:t xml:space="preserve"> et </w:t>
      </w:r>
      <w:r>
        <w:rPr>
          <w:sz w:val="22"/>
          <w:szCs w:val="22"/>
          <w:lang w:val="fr-FR"/>
        </w:rPr>
        <w:t>procédures</w:t>
      </w:r>
      <w:r w:rsidR="005831F1">
        <w:rPr>
          <w:sz w:val="22"/>
          <w:szCs w:val="22"/>
          <w:lang w:val="fr-FR"/>
        </w:rPr>
        <w:t>, y compris</w:t>
      </w:r>
      <w:r>
        <w:rPr>
          <w:sz w:val="22"/>
          <w:szCs w:val="22"/>
          <w:lang w:val="fr-FR"/>
        </w:rPr>
        <w:t xml:space="preserve"> la</w:t>
      </w:r>
      <w:r w:rsidR="00B54A37" w:rsidRPr="004A7E91">
        <w:rPr>
          <w:sz w:val="22"/>
          <w:szCs w:val="22"/>
          <w:lang w:val="fr-FR"/>
        </w:rPr>
        <w:t xml:space="preserve"> communication, </w:t>
      </w:r>
      <w:r>
        <w:rPr>
          <w:sz w:val="22"/>
          <w:szCs w:val="22"/>
          <w:lang w:val="fr-FR"/>
        </w:rPr>
        <w:t>l’é</w:t>
      </w:r>
      <w:r w:rsidR="00B54A37" w:rsidRPr="004A7E91">
        <w:rPr>
          <w:sz w:val="22"/>
          <w:szCs w:val="22"/>
          <w:lang w:val="fr-FR"/>
        </w:rPr>
        <w:t>ducation</w:t>
      </w:r>
      <w:r w:rsidR="00EE212D" w:rsidRPr="004A7E91">
        <w:rPr>
          <w:sz w:val="22"/>
          <w:szCs w:val="22"/>
          <w:lang w:val="fr-FR"/>
        </w:rPr>
        <w:t xml:space="preserve"> et </w:t>
      </w:r>
      <w:r>
        <w:rPr>
          <w:sz w:val="22"/>
          <w:szCs w:val="22"/>
          <w:lang w:val="fr-FR"/>
        </w:rPr>
        <w:t xml:space="preserve">la sensibilisation du </w:t>
      </w:r>
      <w:r w:rsidR="00B54A37" w:rsidRPr="004A7E91">
        <w:rPr>
          <w:sz w:val="22"/>
          <w:szCs w:val="22"/>
          <w:lang w:val="fr-FR"/>
        </w:rPr>
        <w:t>public</w:t>
      </w:r>
      <w:r w:rsidR="005831F1">
        <w:rPr>
          <w:sz w:val="22"/>
          <w:szCs w:val="22"/>
          <w:lang w:val="fr-FR"/>
        </w:rPr>
        <w:t>, afin de</w:t>
      </w:r>
      <w:r w:rsidR="00B54A37" w:rsidRPr="004A7E91">
        <w:rPr>
          <w:sz w:val="22"/>
          <w:szCs w:val="22"/>
          <w:lang w:val="fr-FR"/>
        </w:rPr>
        <w:t xml:space="preserve"> </w:t>
      </w:r>
      <w:r w:rsidR="002D04A3">
        <w:rPr>
          <w:sz w:val="22"/>
          <w:szCs w:val="22"/>
          <w:lang w:val="fr-FR"/>
        </w:rPr>
        <w:t>réduire le risque d</w:t>
      </w:r>
      <w:r w:rsidR="00DB204E" w:rsidRPr="004A7E91">
        <w:rPr>
          <w:sz w:val="22"/>
          <w:szCs w:val="22"/>
          <w:lang w:val="fr-FR"/>
        </w:rPr>
        <w:t>’empoisonnement</w:t>
      </w:r>
      <w:r>
        <w:rPr>
          <w:sz w:val="22"/>
          <w:szCs w:val="22"/>
          <w:lang w:val="fr-FR"/>
        </w:rPr>
        <w:t xml:space="preserve"> des</w:t>
      </w:r>
      <w:r w:rsidR="00B54A37" w:rsidRPr="004A7E91">
        <w:rPr>
          <w:sz w:val="22"/>
          <w:szCs w:val="22"/>
          <w:lang w:val="fr-FR"/>
        </w:rPr>
        <w:t xml:space="preserve"> </w:t>
      </w:r>
      <w:r w:rsidR="00DB204E" w:rsidRPr="004A7E91">
        <w:rPr>
          <w:sz w:val="22"/>
          <w:szCs w:val="22"/>
          <w:lang w:val="fr-FR"/>
        </w:rPr>
        <w:t>oiseaux migrateurs</w:t>
      </w:r>
      <w:r w:rsidR="00B54A37" w:rsidRPr="004A7E91">
        <w:rPr>
          <w:sz w:val="22"/>
          <w:szCs w:val="22"/>
          <w:lang w:val="fr-FR"/>
        </w:rPr>
        <w:t xml:space="preserve"> </w:t>
      </w:r>
      <w:r>
        <w:rPr>
          <w:sz w:val="22"/>
          <w:szCs w:val="22"/>
          <w:lang w:val="fr-FR"/>
        </w:rPr>
        <w:t>par des sources de</w:t>
      </w:r>
      <w:r w:rsidR="008802E6" w:rsidRPr="004A7E91">
        <w:rPr>
          <w:sz w:val="22"/>
          <w:szCs w:val="22"/>
          <w:lang w:val="fr-FR"/>
        </w:rPr>
        <w:t xml:space="preserve"> plomb</w:t>
      </w:r>
      <w:r w:rsidR="00B54A37" w:rsidRPr="004A7E91">
        <w:rPr>
          <w:sz w:val="22"/>
          <w:szCs w:val="22"/>
          <w:lang w:val="fr-FR"/>
        </w:rPr>
        <w:t xml:space="preserve"> </w:t>
      </w:r>
      <w:r>
        <w:rPr>
          <w:sz w:val="22"/>
          <w:szCs w:val="22"/>
          <w:lang w:val="fr-FR"/>
        </w:rPr>
        <w:t xml:space="preserve">d’origine anthropique </w:t>
      </w:r>
      <w:r w:rsidR="005831F1">
        <w:rPr>
          <w:sz w:val="22"/>
          <w:szCs w:val="22"/>
          <w:lang w:val="fr-FR"/>
        </w:rPr>
        <w:t xml:space="preserve">dans l’environnement, en particulier </w:t>
      </w:r>
      <w:r>
        <w:rPr>
          <w:sz w:val="22"/>
          <w:szCs w:val="22"/>
          <w:lang w:val="fr-FR"/>
        </w:rPr>
        <w:t>les munitions</w:t>
      </w:r>
      <w:r w:rsidR="00EE212D" w:rsidRPr="004A7E91">
        <w:rPr>
          <w:sz w:val="22"/>
          <w:szCs w:val="22"/>
          <w:lang w:val="fr-FR"/>
        </w:rPr>
        <w:t xml:space="preserve"> et </w:t>
      </w:r>
      <w:r>
        <w:rPr>
          <w:sz w:val="22"/>
          <w:szCs w:val="22"/>
          <w:lang w:val="fr-FR"/>
        </w:rPr>
        <w:t>les poids de pêche en plomb, ainsi que les sources</w:t>
      </w:r>
      <w:r w:rsidR="005831F1">
        <w:rPr>
          <w:sz w:val="22"/>
          <w:szCs w:val="22"/>
          <w:lang w:val="fr-FR"/>
        </w:rPr>
        <w:t xml:space="preserve"> identifi</w:t>
      </w:r>
      <w:r>
        <w:rPr>
          <w:sz w:val="22"/>
          <w:szCs w:val="22"/>
          <w:lang w:val="fr-FR"/>
        </w:rPr>
        <w:t xml:space="preserve">ées dans les </w:t>
      </w:r>
      <w:r w:rsidR="00D9190E" w:rsidRPr="004A7E91">
        <w:rPr>
          <w:sz w:val="22"/>
          <w:szCs w:val="22"/>
          <w:lang w:val="fr-FR"/>
        </w:rPr>
        <w:t>Lignes directrices</w:t>
      </w:r>
      <w:r w:rsidR="005831F1">
        <w:rPr>
          <w:sz w:val="22"/>
          <w:szCs w:val="22"/>
          <w:lang w:val="fr-FR"/>
        </w:rPr>
        <w:t xml:space="preserve">, à savoir </w:t>
      </w:r>
      <w:r w:rsidR="00B54A37" w:rsidRPr="004A7E91">
        <w:rPr>
          <w:sz w:val="22"/>
          <w:szCs w:val="22"/>
          <w:lang w:val="fr-FR"/>
        </w:rPr>
        <w:t>:</w:t>
      </w:r>
      <w:r w:rsidR="008802E6" w:rsidRPr="004A7E91">
        <w:rPr>
          <w:sz w:val="22"/>
          <w:szCs w:val="22"/>
          <w:lang w:val="fr-FR"/>
        </w:rPr>
        <w:t xml:space="preserve"> p</w:t>
      </w:r>
      <w:r>
        <w:rPr>
          <w:sz w:val="22"/>
          <w:szCs w:val="22"/>
          <w:lang w:val="fr-FR"/>
        </w:rPr>
        <w:t>ein</w:t>
      </w:r>
      <w:r w:rsidR="005831F1">
        <w:rPr>
          <w:sz w:val="22"/>
          <w:szCs w:val="22"/>
          <w:lang w:val="fr-FR"/>
        </w:rPr>
        <w:t>ture au plomb, déchets de</w:t>
      </w:r>
      <w:r>
        <w:rPr>
          <w:sz w:val="22"/>
          <w:szCs w:val="22"/>
          <w:lang w:val="fr-FR"/>
        </w:rPr>
        <w:t xml:space="preserve"> </w:t>
      </w:r>
      <w:r w:rsidR="008802E6" w:rsidRPr="004A7E91">
        <w:rPr>
          <w:sz w:val="22"/>
          <w:szCs w:val="22"/>
          <w:lang w:val="fr-FR"/>
        </w:rPr>
        <w:t>plomb</w:t>
      </w:r>
      <w:r w:rsidR="005831F1">
        <w:rPr>
          <w:sz w:val="22"/>
          <w:szCs w:val="22"/>
          <w:lang w:val="fr-FR"/>
        </w:rPr>
        <w:t>,</w:t>
      </w:r>
      <w:r w:rsidR="00EE212D" w:rsidRPr="004A7E91">
        <w:rPr>
          <w:sz w:val="22"/>
          <w:szCs w:val="22"/>
          <w:lang w:val="fr-FR"/>
        </w:rPr>
        <w:t xml:space="preserve"> et </w:t>
      </w:r>
      <w:r>
        <w:rPr>
          <w:sz w:val="22"/>
          <w:szCs w:val="22"/>
          <w:lang w:val="fr-FR"/>
        </w:rPr>
        <w:t>plomb issu de l’exploitation minière industrielle et des procédés de fonderie</w:t>
      </w:r>
      <w:r w:rsidR="00B54A37" w:rsidRPr="004A7E91">
        <w:rPr>
          <w:sz w:val="22"/>
          <w:szCs w:val="22"/>
          <w:lang w:val="fr-FR"/>
        </w:rPr>
        <w:t xml:space="preserve">. </w:t>
      </w:r>
      <w:r w:rsidR="002D04A3">
        <w:rPr>
          <w:sz w:val="22"/>
          <w:szCs w:val="22"/>
          <w:lang w:val="fr-FR"/>
        </w:rPr>
        <w:t>Le groupe d’étude</w:t>
      </w:r>
      <w:r w:rsidR="00B54A37" w:rsidRPr="004A7E91">
        <w:rPr>
          <w:sz w:val="22"/>
          <w:szCs w:val="22"/>
          <w:lang w:val="fr-FR"/>
        </w:rPr>
        <w:t xml:space="preserve"> </w:t>
      </w:r>
      <w:r w:rsidR="005831F1">
        <w:rPr>
          <w:sz w:val="22"/>
          <w:szCs w:val="22"/>
          <w:lang w:val="fr-FR"/>
        </w:rPr>
        <w:t xml:space="preserve">abordera en </w:t>
      </w:r>
      <w:r>
        <w:rPr>
          <w:sz w:val="22"/>
          <w:szCs w:val="22"/>
          <w:lang w:val="fr-FR"/>
        </w:rPr>
        <w:t>priorité la question des</w:t>
      </w:r>
      <w:r w:rsidR="00B54A37" w:rsidRPr="004A7E91">
        <w:rPr>
          <w:sz w:val="22"/>
          <w:szCs w:val="22"/>
          <w:lang w:val="fr-FR"/>
        </w:rPr>
        <w:t xml:space="preserve"> </w:t>
      </w:r>
      <w:r w:rsidR="00E97629" w:rsidRPr="004A7E91">
        <w:rPr>
          <w:sz w:val="22"/>
          <w:szCs w:val="22"/>
          <w:lang w:val="fr-FR"/>
        </w:rPr>
        <w:t>munitions en plomb</w:t>
      </w:r>
      <w:r w:rsidR="00B54A37" w:rsidRPr="004A7E91">
        <w:rPr>
          <w:sz w:val="22"/>
          <w:szCs w:val="22"/>
          <w:lang w:val="fr-FR"/>
        </w:rPr>
        <w:t>.</w:t>
      </w:r>
    </w:p>
    <w:p w14:paraId="04E618F1" w14:textId="77777777" w:rsidR="00B54A37" w:rsidRPr="004A7E91" w:rsidRDefault="00B54A37" w:rsidP="00B54A37">
      <w:pPr>
        <w:jc w:val="both"/>
        <w:rPr>
          <w:sz w:val="22"/>
          <w:szCs w:val="22"/>
          <w:lang w:val="fr-FR"/>
        </w:rPr>
      </w:pPr>
    </w:p>
    <w:p w14:paraId="0A577852" w14:textId="5F7FBC37" w:rsidR="00B54A37" w:rsidRPr="004A7E91" w:rsidRDefault="004A7E91" w:rsidP="00B54A37">
      <w:pPr>
        <w:jc w:val="both"/>
        <w:rPr>
          <w:sz w:val="22"/>
          <w:szCs w:val="22"/>
          <w:lang w:val="fr-FR"/>
        </w:rPr>
      </w:pPr>
      <w:r>
        <w:rPr>
          <w:sz w:val="22"/>
          <w:szCs w:val="22"/>
          <w:lang w:val="fr-FR"/>
        </w:rPr>
        <w:t>Sa portée géogr</w:t>
      </w:r>
      <w:r w:rsidR="005831F1">
        <w:rPr>
          <w:sz w:val="22"/>
          <w:szCs w:val="22"/>
          <w:lang w:val="fr-FR"/>
        </w:rPr>
        <w:t>aphique mondiale est la même que</w:t>
      </w:r>
      <w:r>
        <w:rPr>
          <w:sz w:val="22"/>
          <w:szCs w:val="22"/>
          <w:lang w:val="fr-FR"/>
        </w:rPr>
        <w:t xml:space="preserve"> celle du</w:t>
      </w:r>
      <w:r w:rsidR="005831F1">
        <w:rPr>
          <w:sz w:val="22"/>
          <w:szCs w:val="22"/>
          <w:lang w:val="fr-FR"/>
        </w:rPr>
        <w:t xml:space="preserve"> G</w:t>
      </w:r>
      <w:r w:rsidR="00971318" w:rsidRPr="000F2D09">
        <w:rPr>
          <w:sz w:val="22"/>
          <w:szCs w:val="22"/>
          <w:lang w:val="fr-FR"/>
        </w:rPr>
        <w:t>roupe de travail sur la prévention de l’empoisonnement</w:t>
      </w:r>
      <w:r w:rsidR="00400F69" w:rsidRPr="000F2D09">
        <w:rPr>
          <w:sz w:val="22"/>
          <w:szCs w:val="22"/>
          <w:lang w:val="fr-FR"/>
        </w:rPr>
        <w:t xml:space="preserve">. </w:t>
      </w:r>
      <w:r w:rsidRPr="004A7E91">
        <w:rPr>
          <w:sz w:val="22"/>
          <w:szCs w:val="22"/>
          <w:lang w:val="fr-FR"/>
        </w:rPr>
        <w:t xml:space="preserve">Cependant, des </w:t>
      </w:r>
      <w:r>
        <w:rPr>
          <w:sz w:val="22"/>
          <w:szCs w:val="22"/>
          <w:lang w:val="fr-FR"/>
        </w:rPr>
        <w:t>appro</w:t>
      </w:r>
      <w:r w:rsidRPr="004A7E91">
        <w:rPr>
          <w:sz w:val="22"/>
          <w:szCs w:val="22"/>
          <w:lang w:val="fr-FR"/>
        </w:rPr>
        <w:t xml:space="preserve">ches </w:t>
      </w:r>
      <w:r>
        <w:rPr>
          <w:sz w:val="22"/>
          <w:szCs w:val="22"/>
          <w:lang w:val="fr-FR"/>
        </w:rPr>
        <w:t>ré</w:t>
      </w:r>
      <w:r w:rsidRPr="004A7E91">
        <w:rPr>
          <w:sz w:val="22"/>
          <w:szCs w:val="22"/>
          <w:lang w:val="fr-FR"/>
        </w:rPr>
        <w:t>gional</w:t>
      </w:r>
      <w:r>
        <w:rPr>
          <w:sz w:val="22"/>
          <w:szCs w:val="22"/>
          <w:lang w:val="fr-FR"/>
        </w:rPr>
        <w:t>e</w:t>
      </w:r>
      <w:r w:rsidRPr="004A7E91">
        <w:rPr>
          <w:sz w:val="22"/>
          <w:szCs w:val="22"/>
          <w:lang w:val="fr-FR"/>
        </w:rPr>
        <w:t xml:space="preserve">s peuvent être utilisées, </w:t>
      </w:r>
      <w:r w:rsidR="00EE212D" w:rsidRPr="004A7E91">
        <w:rPr>
          <w:sz w:val="22"/>
          <w:szCs w:val="22"/>
          <w:lang w:val="fr-FR"/>
        </w:rPr>
        <w:t>selon qu’il convient</w:t>
      </w:r>
      <w:r w:rsidR="005831F1">
        <w:rPr>
          <w:sz w:val="22"/>
          <w:szCs w:val="22"/>
          <w:lang w:val="fr-FR"/>
        </w:rPr>
        <w:t>. A</w:t>
      </w:r>
      <w:r>
        <w:rPr>
          <w:sz w:val="22"/>
          <w:szCs w:val="22"/>
          <w:lang w:val="fr-FR"/>
        </w:rPr>
        <w:t xml:space="preserve"> titre d’exemple un group</w:t>
      </w:r>
      <w:r w:rsidR="005831F1">
        <w:rPr>
          <w:sz w:val="22"/>
          <w:szCs w:val="22"/>
          <w:lang w:val="fr-FR"/>
        </w:rPr>
        <w:t>e axé sur l’Afrique-Eurasie pourra</w:t>
      </w:r>
      <w:r>
        <w:rPr>
          <w:sz w:val="22"/>
          <w:szCs w:val="22"/>
          <w:lang w:val="fr-FR"/>
        </w:rPr>
        <w:t xml:space="preserve"> fonctionner à l’échelle régionale et fournir des </w:t>
      </w:r>
      <w:r w:rsidR="005831F1">
        <w:rPr>
          <w:sz w:val="22"/>
          <w:szCs w:val="22"/>
          <w:lang w:val="fr-FR"/>
        </w:rPr>
        <w:t xml:space="preserve">enseignements à </w:t>
      </w:r>
      <w:r w:rsidR="002507FF">
        <w:rPr>
          <w:sz w:val="22"/>
          <w:szCs w:val="22"/>
          <w:lang w:val="fr-FR"/>
        </w:rPr>
        <w:t>d’autres ré</w:t>
      </w:r>
      <w:r w:rsidR="00B54A37" w:rsidRPr="004A7E91">
        <w:rPr>
          <w:sz w:val="22"/>
          <w:szCs w:val="22"/>
          <w:lang w:val="fr-FR"/>
        </w:rPr>
        <w:t>gions</w:t>
      </w:r>
      <w:r w:rsidR="005831F1">
        <w:rPr>
          <w:sz w:val="22"/>
          <w:szCs w:val="22"/>
          <w:lang w:val="fr-FR"/>
        </w:rPr>
        <w:t>,</w:t>
      </w:r>
      <w:r w:rsidR="00EE212D" w:rsidRPr="004A7E91">
        <w:rPr>
          <w:sz w:val="22"/>
          <w:szCs w:val="22"/>
          <w:lang w:val="fr-FR"/>
        </w:rPr>
        <w:t xml:space="preserve"> et </w:t>
      </w:r>
      <w:r w:rsidR="00B54A37" w:rsidRPr="004A7E91">
        <w:rPr>
          <w:i/>
          <w:sz w:val="22"/>
          <w:szCs w:val="22"/>
          <w:lang w:val="fr-FR"/>
        </w:rPr>
        <w:t>vice versa</w:t>
      </w:r>
      <w:r w:rsidR="00B54A37" w:rsidRPr="004A7E91">
        <w:rPr>
          <w:sz w:val="22"/>
          <w:szCs w:val="22"/>
          <w:lang w:val="fr-FR"/>
        </w:rPr>
        <w:t xml:space="preserve">.  </w:t>
      </w:r>
    </w:p>
    <w:p w14:paraId="58AFA00E" w14:textId="17F7E2A3" w:rsidR="00B54A37" w:rsidRPr="004A7E91" w:rsidRDefault="00B54A37" w:rsidP="00B54A37">
      <w:pPr>
        <w:jc w:val="both"/>
        <w:rPr>
          <w:sz w:val="22"/>
          <w:szCs w:val="22"/>
          <w:lang w:val="fr-FR"/>
        </w:rPr>
      </w:pPr>
    </w:p>
    <w:p w14:paraId="1BBE4AA7" w14:textId="77777777" w:rsidR="00847178" w:rsidRPr="004A7E91" w:rsidRDefault="00847178" w:rsidP="00B54A37">
      <w:pPr>
        <w:jc w:val="both"/>
        <w:rPr>
          <w:sz w:val="22"/>
          <w:szCs w:val="22"/>
          <w:lang w:val="fr-FR"/>
        </w:rPr>
      </w:pPr>
    </w:p>
    <w:p w14:paraId="649C10C0" w14:textId="5533ADE9" w:rsidR="00B54A37" w:rsidRPr="00A731EC" w:rsidRDefault="005831F1" w:rsidP="00B54A37">
      <w:pPr>
        <w:jc w:val="both"/>
        <w:rPr>
          <w:b/>
          <w:bCs/>
          <w:sz w:val="22"/>
          <w:szCs w:val="22"/>
          <w:lang w:val="fr-FR"/>
        </w:rPr>
      </w:pPr>
      <w:r>
        <w:rPr>
          <w:b/>
          <w:bCs/>
          <w:sz w:val="22"/>
          <w:szCs w:val="22"/>
          <w:lang w:val="fr-FR"/>
        </w:rPr>
        <w:t>3. Attribution</w:t>
      </w:r>
      <w:r w:rsidR="002507FF">
        <w:rPr>
          <w:b/>
          <w:bCs/>
          <w:sz w:val="22"/>
          <w:szCs w:val="22"/>
          <w:lang w:val="fr-FR"/>
        </w:rPr>
        <w:t>s</w:t>
      </w:r>
    </w:p>
    <w:p w14:paraId="523B8385" w14:textId="77777777" w:rsidR="00B54A37" w:rsidRPr="00A731EC" w:rsidRDefault="00B54A37" w:rsidP="00B54A37">
      <w:pPr>
        <w:jc w:val="both"/>
        <w:rPr>
          <w:sz w:val="22"/>
          <w:szCs w:val="22"/>
          <w:lang w:val="fr-FR"/>
        </w:rPr>
      </w:pPr>
    </w:p>
    <w:p w14:paraId="50316320" w14:textId="3AA3A0A2" w:rsidR="00B54A37" w:rsidRPr="00F10F82" w:rsidRDefault="002507FF" w:rsidP="00B54A37">
      <w:pPr>
        <w:jc w:val="both"/>
        <w:rPr>
          <w:sz w:val="22"/>
          <w:szCs w:val="22"/>
          <w:lang w:val="fr-FR"/>
        </w:rPr>
      </w:pPr>
      <w:r>
        <w:rPr>
          <w:sz w:val="22"/>
          <w:szCs w:val="22"/>
          <w:lang w:val="fr-FR"/>
        </w:rPr>
        <w:t>Dans l</w:t>
      </w:r>
      <w:r w:rsidR="00B54A37" w:rsidRPr="00F10F82">
        <w:rPr>
          <w:sz w:val="22"/>
          <w:szCs w:val="22"/>
          <w:lang w:val="fr-FR"/>
        </w:rPr>
        <w:t>e context</w:t>
      </w:r>
      <w:r>
        <w:rPr>
          <w:sz w:val="22"/>
          <w:szCs w:val="22"/>
          <w:lang w:val="fr-FR"/>
        </w:rPr>
        <w:t>e de la</w:t>
      </w:r>
      <w:r w:rsidR="00B54A37" w:rsidRPr="00F10F82">
        <w:rPr>
          <w:sz w:val="22"/>
          <w:szCs w:val="22"/>
          <w:lang w:val="fr-FR"/>
        </w:rPr>
        <w:t xml:space="preserve"> </w:t>
      </w:r>
      <w:r w:rsidR="00ED27C6">
        <w:rPr>
          <w:sz w:val="22"/>
          <w:szCs w:val="22"/>
          <w:lang w:val="fr-FR"/>
        </w:rPr>
        <w:t>résolution</w:t>
      </w:r>
      <w:r>
        <w:rPr>
          <w:sz w:val="22"/>
          <w:szCs w:val="22"/>
          <w:lang w:val="fr-FR"/>
        </w:rPr>
        <w:t xml:space="preserve"> 11.15 sur</w:t>
      </w:r>
      <w:r w:rsidR="00B54A37" w:rsidRPr="00F10F82">
        <w:rPr>
          <w:sz w:val="22"/>
          <w:szCs w:val="22"/>
          <w:lang w:val="fr-FR"/>
        </w:rPr>
        <w:t xml:space="preserve"> </w:t>
      </w:r>
      <w:r>
        <w:rPr>
          <w:sz w:val="22"/>
          <w:szCs w:val="22"/>
          <w:lang w:val="fr-FR"/>
        </w:rPr>
        <w:t>l</w:t>
      </w:r>
      <w:r w:rsidR="00D9190E" w:rsidRPr="00F10F82">
        <w:rPr>
          <w:sz w:val="22"/>
          <w:szCs w:val="22"/>
          <w:lang w:val="fr-FR"/>
        </w:rPr>
        <w:t>a prévention</w:t>
      </w:r>
      <w:r w:rsidR="00B54A37" w:rsidRPr="00F10F82">
        <w:rPr>
          <w:sz w:val="22"/>
          <w:szCs w:val="22"/>
          <w:lang w:val="fr-FR"/>
        </w:rPr>
        <w:t xml:space="preserve"> </w:t>
      </w:r>
      <w:r>
        <w:rPr>
          <w:sz w:val="22"/>
          <w:szCs w:val="22"/>
          <w:lang w:val="fr-FR"/>
        </w:rPr>
        <w:t>de l</w:t>
      </w:r>
      <w:r w:rsidR="00DB204E" w:rsidRPr="00F10F82">
        <w:rPr>
          <w:sz w:val="22"/>
          <w:szCs w:val="22"/>
          <w:lang w:val="fr-FR"/>
        </w:rPr>
        <w:t>’empoisonnement</w:t>
      </w:r>
      <w:r>
        <w:rPr>
          <w:sz w:val="22"/>
          <w:szCs w:val="22"/>
          <w:lang w:val="fr-FR"/>
        </w:rPr>
        <w:t xml:space="preserve"> des o</w:t>
      </w:r>
      <w:r w:rsidR="00DB204E" w:rsidRPr="00F10F82">
        <w:rPr>
          <w:sz w:val="22"/>
          <w:szCs w:val="22"/>
          <w:lang w:val="fr-FR"/>
        </w:rPr>
        <w:t>iseaux migrateurs</w:t>
      </w:r>
      <w:r>
        <w:rPr>
          <w:sz w:val="22"/>
          <w:szCs w:val="22"/>
          <w:lang w:val="fr-FR"/>
        </w:rPr>
        <w:t xml:space="preserve">, </w:t>
      </w:r>
      <w:r w:rsidR="002D04A3">
        <w:rPr>
          <w:sz w:val="22"/>
          <w:szCs w:val="22"/>
          <w:lang w:val="fr-FR"/>
        </w:rPr>
        <w:t>le groupe d’étude</w:t>
      </w:r>
      <w:r>
        <w:rPr>
          <w:sz w:val="22"/>
          <w:szCs w:val="22"/>
          <w:lang w:val="fr-FR"/>
        </w:rPr>
        <w:t xml:space="preserve"> aura pour fonction</w:t>
      </w:r>
      <w:r w:rsidR="005831F1">
        <w:rPr>
          <w:sz w:val="22"/>
          <w:szCs w:val="22"/>
          <w:lang w:val="fr-FR"/>
        </w:rPr>
        <w:t>s</w:t>
      </w:r>
      <w:r>
        <w:rPr>
          <w:sz w:val="22"/>
          <w:szCs w:val="22"/>
          <w:lang w:val="fr-FR"/>
        </w:rPr>
        <w:t xml:space="preserve"> </w:t>
      </w:r>
      <w:proofErr w:type="gramStart"/>
      <w:r>
        <w:rPr>
          <w:sz w:val="22"/>
          <w:szCs w:val="22"/>
          <w:lang w:val="fr-FR"/>
        </w:rPr>
        <w:t>de</w:t>
      </w:r>
      <w:r w:rsidR="00B54A37" w:rsidRPr="00F10F82">
        <w:rPr>
          <w:sz w:val="22"/>
          <w:szCs w:val="22"/>
          <w:lang w:val="fr-FR"/>
        </w:rPr>
        <w:t>:</w:t>
      </w:r>
      <w:proofErr w:type="gramEnd"/>
      <w:r w:rsidR="00B54A37" w:rsidRPr="00F10F82">
        <w:rPr>
          <w:sz w:val="22"/>
          <w:szCs w:val="22"/>
          <w:lang w:val="fr-FR"/>
        </w:rPr>
        <w:t xml:space="preserve"> </w:t>
      </w:r>
    </w:p>
    <w:p w14:paraId="11B4AC5A" w14:textId="77777777" w:rsidR="00B54A37" w:rsidRPr="00F10F82" w:rsidRDefault="00B54A37" w:rsidP="00B54A37">
      <w:pPr>
        <w:jc w:val="both"/>
        <w:rPr>
          <w:b/>
          <w:bCs/>
          <w:sz w:val="22"/>
          <w:szCs w:val="22"/>
          <w:lang w:val="fr-FR"/>
        </w:rPr>
      </w:pPr>
    </w:p>
    <w:p w14:paraId="5B44B77C" w14:textId="27FE76DE" w:rsidR="00B54A37" w:rsidRPr="008510A9" w:rsidRDefault="00247E12" w:rsidP="00B54A37">
      <w:pPr>
        <w:jc w:val="both"/>
        <w:rPr>
          <w:bCs/>
          <w:sz w:val="22"/>
          <w:szCs w:val="22"/>
          <w:lang w:val="fr-FR"/>
        </w:rPr>
      </w:pPr>
      <w:r>
        <w:rPr>
          <w:bCs/>
          <w:sz w:val="22"/>
          <w:szCs w:val="22"/>
          <w:lang w:val="fr-FR"/>
        </w:rPr>
        <w:t xml:space="preserve">Apporter un soutien aux </w:t>
      </w:r>
      <w:r w:rsidR="00B54A37" w:rsidRPr="008510A9">
        <w:rPr>
          <w:bCs/>
          <w:sz w:val="22"/>
          <w:szCs w:val="22"/>
          <w:lang w:val="fr-FR"/>
        </w:rPr>
        <w:t>Parties</w:t>
      </w:r>
      <w:r w:rsidR="00EE212D">
        <w:rPr>
          <w:bCs/>
          <w:sz w:val="22"/>
          <w:szCs w:val="22"/>
          <w:lang w:val="fr-FR"/>
        </w:rPr>
        <w:t xml:space="preserve"> </w:t>
      </w:r>
      <w:r>
        <w:rPr>
          <w:bCs/>
          <w:sz w:val="22"/>
          <w:szCs w:val="22"/>
          <w:lang w:val="fr-FR"/>
        </w:rPr>
        <w:t xml:space="preserve">contractantes dans la </w:t>
      </w:r>
      <w:r w:rsidR="00D928F5" w:rsidRPr="008510A9">
        <w:rPr>
          <w:bCs/>
          <w:sz w:val="22"/>
          <w:szCs w:val="22"/>
          <w:lang w:val="fr-FR"/>
        </w:rPr>
        <w:t xml:space="preserve">mise en </w:t>
      </w:r>
      <w:r>
        <w:rPr>
          <w:bCs/>
          <w:sz w:val="22"/>
          <w:szCs w:val="22"/>
          <w:lang w:val="fr-FR"/>
        </w:rPr>
        <w:t xml:space="preserve">œuvre de la </w:t>
      </w:r>
      <w:r w:rsidR="00ED27C6">
        <w:rPr>
          <w:bCs/>
          <w:sz w:val="22"/>
          <w:szCs w:val="22"/>
          <w:lang w:val="fr-FR"/>
        </w:rPr>
        <w:t>résolution</w:t>
      </w:r>
      <w:r w:rsidR="00B54A37" w:rsidRPr="008510A9">
        <w:rPr>
          <w:bCs/>
          <w:sz w:val="22"/>
          <w:szCs w:val="22"/>
          <w:lang w:val="fr-FR"/>
        </w:rPr>
        <w:t xml:space="preserve"> 11.15</w:t>
      </w:r>
      <w:r w:rsidR="00EE212D">
        <w:rPr>
          <w:bCs/>
          <w:sz w:val="22"/>
          <w:szCs w:val="22"/>
          <w:lang w:val="fr-FR"/>
        </w:rPr>
        <w:t xml:space="preserve"> et </w:t>
      </w:r>
      <w:r>
        <w:rPr>
          <w:bCs/>
          <w:sz w:val="22"/>
          <w:szCs w:val="22"/>
          <w:lang w:val="fr-FR"/>
        </w:rPr>
        <w:t xml:space="preserve">des </w:t>
      </w:r>
      <w:r w:rsidR="00D9190E" w:rsidRPr="008510A9">
        <w:rPr>
          <w:bCs/>
          <w:sz w:val="22"/>
          <w:szCs w:val="22"/>
          <w:lang w:val="fr-FR"/>
        </w:rPr>
        <w:t>Lignes directrices</w:t>
      </w:r>
      <w:r w:rsidR="00B54A37" w:rsidRPr="008510A9">
        <w:rPr>
          <w:bCs/>
          <w:sz w:val="22"/>
          <w:szCs w:val="22"/>
          <w:lang w:val="fr-FR"/>
        </w:rPr>
        <w:t xml:space="preserve"> </w:t>
      </w:r>
      <w:r w:rsidR="00D9190E" w:rsidRPr="008510A9">
        <w:rPr>
          <w:sz w:val="22"/>
          <w:szCs w:val="22"/>
          <w:lang w:val="fr-FR"/>
        </w:rPr>
        <w:t>pour prévenir</w:t>
      </w:r>
      <w:r w:rsidR="00B54A37" w:rsidRPr="008510A9">
        <w:rPr>
          <w:sz w:val="22"/>
          <w:szCs w:val="22"/>
          <w:lang w:val="fr-FR"/>
        </w:rPr>
        <w:t xml:space="preserve"> </w:t>
      </w:r>
      <w:r>
        <w:rPr>
          <w:sz w:val="22"/>
          <w:szCs w:val="22"/>
          <w:lang w:val="fr-FR"/>
        </w:rPr>
        <w:t>les</w:t>
      </w:r>
      <w:r w:rsidR="00DB204E" w:rsidRPr="008510A9">
        <w:rPr>
          <w:sz w:val="22"/>
          <w:szCs w:val="22"/>
          <w:lang w:val="fr-FR"/>
        </w:rPr>
        <w:t xml:space="preserve"> risque</w:t>
      </w:r>
      <w:r>
        <w:rPr>
          <w:sz w:val="22"/>
          <w:szCs w:val="22"/>
          <w:lang w:val="fr-FR"/>
        </w:rPr>
        <w:t>s</w:t>
      </w:r>
      <w:r w:rsidR="00DB204E" w:rsidRPr="008510A9">
        <w:rPr>
          <w:sz w:val="22"/>
          <w:szCs w:val="22"/>
          <w:lang w:val="fr-FR"/>
        </w:rPr>
        <w:t xml:space="preserve"> </w:t>
      </w:r>
      <w:r w:rsidR="001E09A7" w:rsidRPr="008510A9">
        <w:rPr>
          <w:sz w:val="22"/>
          <w:szCs w:val="22"/>
          <w:lang w:val="fr-FR"/>
        </w:rPr>
        <w:t>d’em</w:t>
      </w:r>
      <w:r w:rsidR="00DB204E" w:rsidRPr="008510A9">
        <w:rPr>
          <w:sz w:val="22"/>
          <w:szCs w:val="22"/>
          <w:lang w:val="fr-FR"/>
        </w:rPr>
        <w:t>poisonnement</w:t>
      </w:r>
      <w:r>
        <w:rPr>
          <w:sz w:val="22"/>
          <w:szCs w:val="22"/>
          <w:lang w:val="fr-FR"/>
        </w:rPr>
        <w:t xml:space="preserve"> des</w:t>
      </w:r>
      <w:r w:rsidR="00B54A37" w:rsidRPr="008510A9">
        <w:rPr>
          <w:sz w:val="22"/>
          <w:szCs w:val="22"/>
          <w:lang w:val="fr-FR"/>
        </w:rPr>
        <w:t xml:space="preserve"> </w:t>
      </w:r>
      <w:r>
        <w:rPr>
          <w:sz w:val="22"/>
          <w:szCs w:val="22"/>
          <w:lang w:val="fr-FR"/>
        </w:rPr>
        <w:t>o</w:t>
      </w:r>
      <w:r w:rsidR="005831F1">
        <w:rPr>
          <w:sz w:val="22"/>
          <w:szCs w:val="22"/>
          <w:lang w:val="fr-FR"/>
        </w:rPr>
        <w:t>iseaux migrateurs, en ce qui concerne l’</w:t>
      </w:r>
      <w:r w:rsidR="00DB204E" w:rsidRPr="008510A9">
        <w:rPr>
          <w:bCs/>
          <w:sz w:val="22"/>
          <w:szCs w:val="22"/>
          <w:lang w:val="fr-FR"/>
        </w:rPr>
        <w:t>empoisonnement</w:t>
      </w:r>
      <w:r w:rsidR="00426C04">
        <w:rPr>
          <w:bCs/>
          <w:sz w:val="22"/>
          <w:szCs w:val="22"/>
          <w:lang w:val="fr-FR"/>
        </w:rPr>
        <w:t xml:space="preserve"> causé par les</w:t>
      </w:r>
      <w:r w:rsidR="00B54A37" w:rsidRPr="008510A9">
        <w:rPr>
          <w:bCs/>
          <w:sz w:val="22"/>
          <w:szCs w:val="22"/>
          <w:lang w:val="fr-FR"/>
        </w:rPr>
        <w:t xml:space="preserve"> </w:t>
      </w:r>
      <w:r w:rsidR="00E97629" w:rsidRPr="008510A9">
        <w:rPr>
          <w:bCs/>
          <w:sz w:val="22"/>
          <w:szCs w:val="22"/>
          <w:lang w:val="fr-FR"/>
        </w:rPr>
        <w:t>munitions en plomb</w:t>
      </w:r>
      <w:r w:rsidR="00EE212D">
        <w:rPr>
          <w:bCs/>
          <w:sz w:val="22"/>
          <w:szCs w:val="22"/>
          <w:lang w:val="fr-FR"/>
        </w:rPr>
        <w:t xml:space="preserve"> et </w:t>
      </w:r>
      <w:r w:rsidR="005831F1">
        <w:rPr>
          <w:bCs/>
          <w:sz w:val="22"/>
          <w:szCs w:val="22"/>
          <w:lang w:val="fr-FR"/>
        </w:rPr>
        <w:t xml:space="preserve">les </w:t>
      </w:r>
      <w:r w:rsidR="00EE212D">
        <w:rPr>
          <w:bCs/>
          <w:sz w:val="22"/>
          <w:szCs w:val="22"/>
          <w:lang w:val="fr-FR"/>
        </w:rPr>
        <w:t>poids de pêche en plomb</w:t>
      </w:r>
      <w:r w:rsidR="00B54A37" w:rsidRPr="008510A9">
        <w:rPr>
          <w:bCs/>
          <w:sz w:val="22"/>
          <w:szCs w:val="22"/>
          <w:lang w:val="fr-FR"/>
        </w:rPr>
        <w:t>,</w:t>
      </w:r>
      <w:r w:rsidR="00EE212D">
        <w:rPr>
          <w:bCs/>
          <w:sz w:val="22"/>
          <w:szCs w:val="22"/>
          <w:lang w:val="fr-FR"/>
        </w:rPr>
        <w:t xml:space="preserve"> et</w:t>
      </w:r>
      <w:r w:rsidR="00426C04">
        <w:rPr>
          <w:bCs/>
          <w:sz w:val="22"/>
          <w:szCs w:val="22"/>
          <w:lang w:val="fr-FR"/>
        </w:rPr>
        <w:t xml:space="preserve"> d’autres sources de </w:t>
      </w:r>
      <w:r w:rsidR="008802E6">
        <w:rPr>
          <w:bCs/>
          <w:sz w:val="22"/>
          <w:szCs w:val="22"/>
          <w:lang w:val="fr-FR"/>
        </w:rPr>
        <w:t>plomb</w:t>
      </w:r>
      <w:r w:rsidR="00426C04">
        <w:rPr>
          <w:bCs/>
          <w:sz w:val="22"/>
          <w:szCs w:val="22"/>
          <w:lang w:val="fr-FR"/>
        </w:rPr>
        <w:t>.</w:t>
      </w:r>
    </w:p>
    <w:p w14:paraId="763FF220" w14:textId="77777777" w:rsidR="00B54A37" w:rsidRPr="008510A9" w:rsidRDefault="00B54A37" w:rsidP="00B54A37">
      <w:pPr>
        <w:jc w:val="both"/>
        <w:rPr>
          <w:sz w:val="22"/>
          <w:szCs w:val="22"/>
          <w:lang w:val="fr-FR"/>
        </w:rPr>
      </w:pPr>
      <w:r w:rsidRPr="008510A9">
        <w:rPr>
          <w:b/>
          <w:bCs/>
          <w:sz w:val="22"/>
          <w:szCs w:val="22"/>
          <w:lang w:val="fr-FR"/>
        </w:rPr>
        <w:t xml:space="preserve"> </w:t>
      </w:r>
    </w:p>
    <w:p w14:paraId="0E38ACEA" w14:textId="50C1E10E" w:rsidR="00B54A37" w:rsidRPr="00426C04" w:rsidRDefault="00426C04" w:rsidP="00B54A37">
      <w:pPr>
        <w:numPr>
          <w:ilvl w:val="0"/>
          <w:numId w:val="16"/>
        </w:numPr>
        <w:jc w:val="both"/>
        <w:rPr>
          <w:sz w:val="22"/>
          <w:szCs w:val="22"/>
          <w:lang w:val="fr-FR"/>
        </w:rPr>
      </w:pPr>
      <w:r>
        <w:rPr>
          <w:sz w:val="22"/>
          <w:szCs w:val="22"/>
          <w:lang w:val="fr-FR"/>
        </w:rPr>
        <w:lastRenderedPageBreak/>
        <w:t>Faciliter la</w:t>
      </w:r>
      <w:r w:rsidR="00B54A37" w:rsidRPr="00426C04">
        <w:rPr>
          <w:sz w:val="22"/>
          <w:szCs w:val="22"/>
          <w:lang w:val="fr-FR"/>
        </w:rPr>
        <w:t xml:space="preserve"> </w:t>
      </w:r>
      <w:r w:rsidR="00D928F5" w:rsidRPr="00426C04">
        <w:rPr>
          <w:sz w:val="22"/>
          <w:szCs w:val="22"/>
          <w:lang w:val="fr-FR"/>
        </w:rPr>
        <w:t xml:space="preserve">mise en </w:t>
      </w:r>
      <w:r>
        <w:rPr>
          <w:sz w:val="22"/>
          <w:szCs w:val="22"/>
          <w:lang w:val="fr-FR"/>
        </w:rPr>
        <w:t>œuvre des</w:t>
      </w:r>
      <w:r w:rsidR="00B54A37" w:rsidRPr="00426C04">
        <w:rPr>
          <w:sz w:val="22"/>
          <w:szCs w:val="22"/>
          <w:lang w:val="fr-FR"/>
        </w:rPr>
        <w:t xml:space="preserve"> </w:t>
      </w:r>
      <w:r w:rsidR="00D9190E" w:rsidRPr="00426C04">
        <w:rPr>
          <w:sz w:val="22"/>
          <w:szCs w:val="22"/>
          <w:lang w:val="fr-FR"/>
        </w:rPr>
        <w:t>Lignes directrices</w:t>
      </w:r>
      <w:r w:rsidR="005831F1">
        <w:rPr>
          <w:sz w:val="22"/>
          <w:szCs w:val="22"/>
          <w:lang w:val="fr-FR"/>
        </w:rPr>
        <w:t xml:space="preserve"> en ce qui concerne</w:t>
      </w:r>
      <w:r w:rsidR="008802E6" w:rsidRPr="00426C04">
        <w:rPr>
          <w:sz w:val="22"/>
          <w:szCs w:val="22"/>
          <w:lang w:val="fr-FR"/>
        </w:rPr>
        <w:t xml:space="preserve"> </w:t>
      </w:r>
      <w:r w:rsidR="004A7E91" w:rsidRPr="00426C04">
        <w:rPr>
          <w:sz w:val="22"/>
          <w:szCs w:val="22"/>
          <w:lang w:val="fr-FR"/>
        </w:rPr>
        <w:t>l’empoisonnement au plomb</w:t>
      </w:r>
      <w:r>
        <w:rPr>
          <w:sz w:val="22"/>
          <w:szCs w:val="22"/>
          <w:lang w:val="fr-FR"/>
        </w:rPr>
        <w:t xml:space="preserve">, ainsi que </w:t>
      </w:r>
      <w:r w:rsidRPr="00426C04">
        <w:rPr>
          <w:sz w:val="22"/>
          <w:szCs w:val="22"/>
          <w:lang w:val="fr-FR"/>
        </w:rPr>
        <w:t>d’autres</w:t>
      </w:r>
      <w:r w:rsidR="00B54A37" w:rsidRPr="00426C04">
        <w:rPr>
          <w:sz w:val="22"/>
          <w:szCs w:val="22"/>
          <w:lang w:val="fr-FR"/>
        </w:rPr>
        <w:t xml:space="preserve"> </w:t>
      </w:r>
      <w:r w:rsidR="005831F1">
        <w:rPr>
          <w:sz w:val="22"/>
          <w:szCs w:val="22"/>
          <w:lang w:val="fr-FR"/>
        </w:rPr>
        <w:t>cadres d’action</w:t>
      </w:r>
      <w:r>
        <w:rPr>
          <w:sz w:val="22"/>
          <w:szCs w:val="22"/>
          <w:lang w:val="fr-FR"/>
        </w:rPr>
        <w:t xml:space="preserve"> </w:t>
      </w:r>
      <w:proofErr w:type="gramStart"/>
      <w:r>
        <w:rPr>
          <w:sz w:val="22"/>
          <w:szCs w:val="22"/>
          <w:lang w:val="fr-FR"/>
        </w:rPr>
        <w:t>pertinents</w:t>
      </w:r>
      <w:r w:rsidR="00B54A37" w:rsidRPr="00426C04">
        <w:rPr>
          <w:sz w:val="22"/>
          <w:szCs w:val="22"/>
          <w:lang w:val="fr-FR"/>
        </w:rPr>
        <w:t>;</w:t>
      </w:r>
      <w:proofErr w:type="gramEnd"/>
      <w:r w:rsidR="00B54A37" w:rsidRPr="00426C04">
        <w:rPr>
          <w:sz w:val="22"/>
          <w:szCs w:val="22"/>
          <w:lang w:val="fr-FR"/>
        </w:rPr>
        <w:t xml:space="preserve"> </w:t>
      </w:r>
    </w:p>
    <w:p w14:paraId="2F4E4714" w14:textId="77777777" w:rsidR="00B54A37" w:rsidRPr="00426C04" w:rsidRDefault="00B54A37" w:rsidP="00B54A37">
      <w:pPr>
        <w:jc w:val="both"/>
        <w:rPr>
          <w:sz w:val="22"/>
          <w:szCs w:val="22"/>
          <w:lang w:val="fr-FR"/>
        </w:rPr>
      </w:pPr>
    </w:p>
    <w:p w14:paraId="3099209D" w14:textId="6571E4FF" w:rsidR="00B54A37" w:rsidRPr="00426C04" w:rsidRDefault="005831F1" w:rsidP="00B54A37">
      <w:pPr>
        <w:numPr>
          <w:ilvl w:val="0"/>
          <w:numId w:val="16"/>
        </w:numPr>
        <w:jc w:val="both"/>
        <w:rPr>
          <w:sz w:val="22"/>
          <w:szCs w:val="22"/>
          <w:lang w:val="fr-FR"/>
        </w:rPr>
      </w:pPr>
      <w:r>
        <w:rPr>
          <w:sz w:val="22"/>
          <w:szCs w:val="22"/>
          <w:lang w:val="fr-FR"/>
        </w:rPr>
        <w:t xml:space="preserve">Convenir d’un plan de travail au </w:t>
      </w:r>
      <w:r w:rsidR="00426C04">
        <w:rPr>
          <w:sz w:val="22"/>
          <w:szCs w:val="22"/>
          <w:lang w:val="fr-FR"/>
        </w:rPr>
        <w:t>départ</w:t>
      </w:r>
      <w:r>
        <w:rPr>
          <w:sz w:val="22"/>
          <w:szCs w:val="22"/>
          <w:lang w:val="fr-FR"/>
        </w:rPr>
        <w:t>,</w:t>
      </w:r>
      <w:r w:rsidR="00426C04">
        <w:rPr>
          <w:sz w:val="22"/>
          <w:szCs w:val="22"/>
          <w:lang w:val="fr-FR"/>
        </w:rPr>
        <w:t xml:space="preserve"> </w:t>
      </w:r>
      <w:r>
        <w:rPr>
          <w:sz w:val="22"/>
          <w:szCs w:val="22"/>
          <w:lang w:val="fr-FR"/>
        </w:rPr>
        <w:t>établir et appliquer</w:t>
      </w:r>
      <w:r w:rsidR="00426C04">
        <w:rPr>
          <w:sz w:val="22"/>
          <w:szCs w:val="22"/>
          <w:lang w:val="fr-FR"/>
        </w:rPr>
        <w:t xml:space="preserve"> des priorité</w:t>
      </w:r>
      <w:r w:rsidR="00B54A37" w:rsidRPr="00426C04">
        <w:rPr>
          <w:sz w:val="22"/>
          <w:szCs w:val="22"/>
          <w:lang w:val="fr-FR"/>
        </w:rPr>
        <w:t>s</w:t>
      </w:r>
      <w:r w:rsidR="00426C04">
        <w:rPr>
          <w:sz w:val="22"/>
          <w:szCs w:val="22"/>
          <w:lang w:val="fr-FR"/>
        </w:rPr>
        <w:t xml:space="preserve"> pour ses travaux, y compri</w:t>
      </w:r>
      <w:r>
        <w:rPr>
          <w:sz w:val="22"/>
          <w:szCs w:val="22"/>
          <w:lang w:val="fr-FR"/>
        </w:rPr>
        <w:t>s des priorités pour des mesures</w:t>
      </w:r>
      <w:r w:rsidR="00426C04">
        <w:rPr>
          <w:sz w:val="22"/>
          <w:szCs w:val="22"/>
          <w:lang w:val="fr-FR"/>
        </w:rPr>
        <w:t xml:space="preserve"> concernant</w:t>
      </w:r>
      <w:r w:rsidR="00B54A37" w:rsidRPr="00426C04">
        <w:rPr>
          <w:sz w:val="22"/>
          <w:szCs w:val="22"/>
          <w:lang w:val="fr-FR"/>
        </w:rPr>
        <w:t xml:space="preserve"> </w:t>
      </w:r>
      <w:r w:rsidR="00426C04">
        <w:rPr>
          <w:sz w:val="22"/>
          <w:szCs w:val="22"/>
          <w:lang w:val="fr-FR"/>
        </w:rPr>
        <w:t>diffé</w:t>
      </w:r>
      <w:r w:rsidR="00B54A37" w:rsidRPr="00426C04">
        <w:rPr>
          <w:sz w:val="22"/>
          <w:szCs w:val="22"/>
          <w:lang w:val="fr-FR"/>
        </w:rPr>
        <w:t>rent</w:t>
      </w:r>
      <w:r w:rsidR="00426C04">
        <w:rPr>
          <w:sz w:val="22"/>
          <w:szCs w:val="22"/>
          <w:lang w:val="fr-FR"/>
        </w:rPr>
        <w:t>es sources de</w:t>
      </w:r>
      <w:r w:rsidR="008802E6" w:rsidRPr="00426C04">
        <w:rPr>
          <w:sz w:val="22"/>
          <w:szCs w:val="22"/>
          <w:lang w:val="fr-FR"/>
        </w:rPr>
        <w:t xml:space="preserve"> </w:t>
      </w:r>
      <w:proofErr w:type="gramStart"/>
      <w:r w:rsidR="008802E6" w:rsidRPr="00426C04">
        <w:rPr>
          <w:sz w:val="22"/>
          <w:szCs w:val="22"/>
          <w:lang w:val="fr-FR"/>
        </w:rPr>
        <w:t>plomb</w:t>
      </w:r>
      <w:r w:rsidR="00B54A37" w:rsidRPr="00426C04">
        <w:rPr>
          <w:sz w:val="22"/>
          <w:szCs w:val="22"/>
          <w:lang w:val="fr-FR"/>
        </w:rPr>
        <w:t>;</w:t>
      </w:r>
      <w:proofErr w:type="gramEnd"/>
      <w:r w:rsidR="00B54A37" w:rsidRPr="00426C04">
        <w:rPr>
          <w:sz w:val="22"/>
          <w:szCs w:val="22"/>
          <w:lang w:val="fr-FR"/>
        </w:rPr>
        <w:t xml:space="preserve"> </w:t>
      </w:r>
    </w:p>
    <w:p w14:paraId="281C8A1D" w14:textId="77777777" w:rsidR="00EE212D" w:rsidRPr="00426C04" w:rsidRDefault="00EE212D" w:rsidP="00EE212D">
      <w:pPr>
        <w:ind w:left="720"/>
        <w:jc w:val="both"/>
        <w:rPr>
          <w:sz w:val="22"/>
          <w:szCs w:val="22"/>
          <w:lang w:val="fr-FR"/>
        </w:rPr>
      </w:pPr>
    </w:p>
    <w:p w14:paraId="7D84EFDD" w14:textId="01924FAB" w:rsidR="00B54A37" w:rsidRPr="00FA17D6" w:rsidRDefault="00FA17D6" w:rsidP="00B54A37">
      <w:pPr>
        <w:numPr>
          <w:ilvl w:val="0"/>
          <w:numId w:val="16"/>
        </w:numPr>
        <w:jc w:val="both"/>
        <w:rPr>
          <w:sz w:val="22"/>
          <w:szCs w:val="22"/>
          <w:lang w:val="fr-FR"/>
        </w:rPr>
      </w:pPr>
      <w:r>
        <w:rPr>
          <w:sz w:val="22"/>
          <w:szCs w:val="22"/>
          <w:lang w:val="fr-FR"/>
        </w:rPr>
        <w:t>Continuer de réviser activement les</w:t>
      </w:r>
      <w:r w:rsidR="00B54A37" w:rsidRPr="00FA17D6">
        <w:rPr>
          <w:sz w:val="22"/>
          <w:szCs w:val="22"/>
          <w:lang w:val="fr-FR"/>
        </w:rPr>
        <w:t xml:space="preserve"> </w:t>
      </w:r>
      <w:r>
        <w:rPr>
          <w:sz w:val="22"/>
          <w:szCs w:val="22"/>
          <w:lang w:val="fr-FR"/>
        </w:rPr>
        <w:t>dispositions des l</w:t>
      </w:r>
      <w:r w:rsidR="00D9190E" w:rsidRPr="00FA17D6">
        <w:rPr>
          <w:sz w:val="22"/>
          <w:szCs w:val="22"/>
          <w:lang w:val="fr-FR"/>
        </w:rPr>
        <w:t>ignes directrices</w:t>
      </w:r>
      <w:r w:rsidR="005831F1">
        <w:rPr>
          <w:sz w:val="22"/>
          <w:szCs w:val="22"/>
          <w:lang w:val="fr-FR"/>
        </w:rPr>
        <w:t xml:space="preserve"> concernant </w:t>
      </w:r>
      <w:r>
        <w:rPr>
          <w:sz w:val="22"/>
          <w:szCs w:val="22"/>
          <w:lang w:val="fr-FR"/>
        </w:rPr>
        <w:t xml:space="preserve">le </w:t>
      </w:r>
      <w:r w:rsidR="008802E6" w:rsidRPr="00FA17D6">
        <w:rPr>
          <w:sz w:val="22"/>
          <w:szCs w:val="22"/>
          <w:lang w:val="fr-FR"/>
        </w:rPr>
        <w:t>plomb</w:t>
      </w:r>
      <w:r w:rsidR="005831F1">
        <w:rPr>
          <w:sz w:val="22"/>
          <w:szCs w:val="22"/>
          <w:lang w:val="fr-FR"/>
        </w:rPr>
        <w:t>,</w:t>
      </w:r>
      <w:r w:rsidR="00B54A37" w:rsidRPr="00FA17D6">
        <w:rPr>
          <w:sz w:val="22"/>
          <w:szCs w:val="22"/>
          <w:lang w:val="fr-FR"/>
        </w:rPr>
        <w:t xml:space="preserve"> </w:t>
      </w:r>
      <w:r w:rsidR="005831F1">
        <w:rPr>
          <w:sz w:val="22"/>
          <w:szCs w:val="22"/>
          <w:lang w:val="fr-FR"/>
        </w:rPr>
        <w:t>à la lumière des résultat</w:t>
      </w:r>
      <w:r>
        <w:rPr>
          <w:sz w:val="22"/>
          <w:szCs w:val="22"/>
          <w:lang w:val="fr-FR"/>
        </w:rPr>
        <w:t xml:space="preserve">s des nouvelles recherches et d’autres </w:t>
      </w:r>
      <w:r w:rsidR="00B54A37" w:rsidRPr="00FA17D6">
        <w:rPr>
          <w:sz w:val="22"/>
          <w:szCs w:val="22"/>
          <w:lang w:val="fr-FR"/>
        </w:rPr>
        <w:t>information</w:t>
      </w:r>
      <w:r>
        <w:rPr>
          <w:sz w:val="22"/>
          <w:szCs w:val="22"/>
          <w:lang w:val="fr-FR"/>
        </w:rPr>
        <w:t>s pertinentes</w:t>
      </w:r>
      <w:r w:rsidR="005831F1">
        <w:rPr>
          <w:sz w:val="22"/>
          <w:szCs w:val="22"/>
          <w:lang w:val="fr-FR"/>
        </w:rPr>
        <w:t>,</w:t>
      </w:r>
      <w:r w:rsidR="00EE212D" w:rsidRPr="00FA17D6">
        <w:rPr>
          <w:sz w:val="22"/>
          <w:szCs w:val="22"/>
          <w:lang w:val="fr-FR"/>
        </w:rPr>
        <w:t xml:space="preserve"> et </w:t>
      </w:r>
      <w:r>
        <w:rPr>
          <w:sz w:val="22"/>
          <w:szCs w:val="22"/>
          <w:lang w:val="fr-FR"/>
        </w:rPr>
        <w:t>rendre compte des dé</w:t>
      </w:r>
      <w:r w:rsidR="00B54A37" w:rsidRPr="00FA17D6">
        <w:rPr>
          <w:sz w:val="22"/>
          <w:szCs w:val="22"/>
          <w:lang w:val="fr-FR"/>
        </w:rPr>
        <w:t>velop</w:t>
      </w:r>
      <w:r>
        <w:rPr>
          <w:sz w:val="22"/>
          <w:szCs w:val="22"/>
          <w:lang w:val="fr-FR"/>
        </w:rPr>
        <w:t>pe</w:t>
      </w:r>
      <w:r w:rsidR="00B54A37" w:rsidRPr="00FA17D6">
        <w:rPr>
          <w:sz w:val="22"/>
          <w:szCs w:val="22"/>
          <w:lang w:val="fr-FR"/>
        </w:rPr>
        <w:t>ments</w:t>
      </w:r>
      <w:r>
        <w:rPr>
          <w:sz w:val="22"/>
          <w:szCs w:val="22"/>
          <w:lang w:val="fr-FR"/>
        </w:rPr>
        <w:t xml:space="preserve"> pertinents au </w:t>
      </w:r>
      <w:r w:rsidR="00CD24E0" w:rsidRPr="00FA17D6">
        <w:rPr>
          <w:sz w:val="22"/>
          <w:szCs w:val="22"/>
          <w:lang w:val="fr-FR"/>
        </w:rPr>
        <w:t>Conseil scientifique</w:t>
      </w:r>
      <w:r>
        <w:rPr>
          <w:sz w:val="22"/>
          <w:szCs w:val="22"/>
          <w:lang w:val="fr-FR"/>
        </w:rPr>
        <w:t xml:space="preserve"> de la CMS</w:t>
      </w:r>
      <w:r w:rsidR="005831F1">
        <w:rPr>
          <w:sz w:val="22"/>
          <w:szCs w:val="22"/>
          <w:lang w:val="fr-FR"/>
        </w:rPr>
        <w:t>,</w:t>
      </w:r>
      <w:r>
        <w:rPr>
          <w:sz w:val="22"/>
          <w:szCs w:val="22"/>
          <w:lang w:val="fr-FR"/>
        </w:rPr>
        <w:t xml:space="preserve"> par le biais du G</w:t>
      </w:r>
      <w:r w:rsidR="00971318" w:rsidRPr="00FA17D6">
        <w:rPr>
          <w:sz w:val="22"/>
          <w:szCs w:val="22"/>
          <w:lang w:val="fr-FR"/>
        </w:rPr>
        <w:t xml:space="preserve">roupe de travail sur la prévention de </w:t>
      </w:r>
      <w:proofErr w:type="gramStart"/>
      <w:r w:rsidR="00971318" w:rsidRPr="00FA17D6">
        <w:rPr>
          <w:sz w:val="22"/>
          <w:szCs w:val="22"/>
          <w:lang w:val="fr-FR"/>
        </w:rPr>
        <w:t>l’empoisonnement</w:t>
      </w:r>
      <w:r w:rsidR="00B54A37" w:rsidRPr="00FA17D6">
        <w:rPr>
          <w:sz w:val="22"/>
          <w:szCs w:val="22"/>
          <w:lang w:val="fr-FR"/>
        </w:rPr>
        <w:t>;</w:t>
      </w:r>
      <w:proofErr w:type="gramEnd"/>
      <w:r w:rsidR="00B54A37" w:rsidRPr="00FA17D6">
        <w:rPr>
          <w:sz w:val="22"/>
          <w:szCs w:val="22"/>
          <w:lang w:val="fr-FR"/>
        </w:rPr>
        <w:t xml:space="preserve"> </w:t>
      </w:r>
    </w:p>
    <w:p w14:paraId="6FF2E067" w14:textId="77777777" w:rsidR="00B54A37" w:rsidRPr="00FA17D6" w:rsidRDefault="00B54A37" w:rsidP="00B54A37">
      <w:pPr>
        <w:jc w:val="both"/>
        <w:rPr>
          <w:sz w:val="22"/>
          <w:szCs w:val="22"/>
          <w:lang w:val="fr-FR"/>
        </w:rPr>
      </w:pPr>
    </w:p>
    <w:p w14:paraId="5397B7A4" w14:textId="5DB2F580" w:rsidR="00B54A37" w:rsidRPr="00FA17D6" w:rsidRDefault="005831F1" w:rsidP="00B54A37">
      <w:pPr>
        <w:numPr>
          <w:ilvl w:val="0"/>
          <w:numId w:val="16"/>
        </w:numPr>
        <w:jc w:val="both"/>
        <w:rPr>
          <w:sz w:val="22"/>
          <w:szCs w:val="22"/>
          <w:lang w:val="fr-FR"/>
        </w:rPr>
      </w:pPr>
      <w:r>
        <w:rPr>
          <w:sz w:val="22"/>
          <w:szCs w:val="22"/>
          <w:lang w:val="fr-FR"/>
        </w:rPr>
        <w:t>Faciliter une mobilisation</w:t>
      </w:r>
      <w:r w:rsidR="00EE212D" w:rsidRPr="00FA17D6">
        <w:rPr>
          <w:sz w:val="22"/>
          <w:szCs w:val="22"/>
          <w:lang w:val="fr-FR"/>
        </w:rPr>
        <w:t xml:space="preserve"> de</w:t>
      </w:r>
      <w:r>
        <w:rPr>
          <w:sz w:val="22"/>
          <w:szCs w:val="22"/>
          <w:lang w:val="fr-FR"/>
        </w:rPr>
        <w:t>s</w:t>
      </w:r>
      <w:r w:rsidR="00EE212D" w:rsidRPr="00FA17D6">
        <w:rPr>
          <w:sz w:val="22"/>
          <w:szCs w:val="22"/>
          <w:lang w:val="fr-FR"/>
        </w:rPr>
        <w:t xml:space="preserve"> </w:t>
      </w:r>
      <w:r w:rsidR="00FA17D6" w:rsidRPr="00FA17D6">
        <w:rPr>
          <w:sz w:val="22"/>
          <w:szCs w:val="22"/>
          <w:lang w:val="fr-FR"/>
        </w:rPr>
        <w:t xml:space="preserve">ressources pour des </w:t>
      </w:r>
      <w:r w:rsidR="00B54A37" w:rsidRPr="00FA17D6">
        <w:rPr>
          <w:sz w:val="22"/>
          <w:szCs w:val="22"/>
          <w:lang w:val="fr-FR"/>
        </w:rPr>
        <w:t>actions</w:t>
      </w:r>
      <w:r w:rsidR="00FA17D6" w:rsidRPr="00FA17D6">
        <w:rPr>
          <w:sz w:val="22"/>
          <w:szCs w:val="22"/>
          <w:lang w:val="fr-FR"/>
        </w:rPr>
        <w:t xml:space="preserve"> </w:t>
      </w:r>
      <w:proofErr w:type="gramStart"/>
      <w:r w:rsidR="00FA17D6" w:rsidRPr="00FA17D6">
        <w:rPr>
          <w:sz w:val="22"/>
          <w:szCs w:val="22"/>
          <w:lang w:val="fr-FR"/>
        </w:rPr>
        <w:t>prioritaires</w:t>
      </w:r>
      <w:r w:rsidR="00B54A37" w:rsidRPr="00FA17D6">
        <w:rPr>
          <w:sz w:val="22"/>
          <w:szCs w:val="22"/>
          <w:lang w:val="fr-FR"/>
        </w:rPr>
        <w:t>;</w:t>
      </w:r>
      <w:proofErr w:type="gramEnd"/>
      <w:r w:rsidR="00B54A37" w:rsidRPr="00FA17D6">
        <w:rPr>
          <w:sz w:val="22"/>
          <w:szCs w:val="22"/>
          <w:lang w:val="fr-FR"/>
        </w:rPr>
        <w:t xml:space="preserve"> </w:t>
      </w:r>
    </w:p>
    <w:p w14:paraId="7E6D01E4" w14:textId="77777777" w:rsidR="00B54A37" w:rsidRPr="00FA17D6" w:rsidRDefault="00B54A37" w:rsidP="00B54A37">
      <w:pPr>
        <w:jc w:val="both"/>
        <w:rPr>
          <w:sz w:val="22"/>
          <w:szCs w:val="22"/>
          <w:lang w:val="fr-FR"/>
        </w:rPr>
      </w:pPr>
    </w:p>
    <w:p w14:paraId="36EE7693" w14:textId="4CBE479B" w:rsidR="00B54A37" w:rsidRPr="00FA17D6" w:rsidRDefault="00FA17D6" w:rsidP="00B54A37">
      <w:pPr>
        <w:numPr>
          <w:ilvl w:val="0"/>
          <w:numId w:val="16"/>
        </w:numPr>
        <w:jc w:val="both"/>
        <w:rPr>
          <w:sz w:val="22"/>
          <w:szCs w:val="22"/>
          <w:lang w:val="fr-FR"/>
        </w:rPr>
      </w:pPr>
      <w:r>
        <w:rPr>
          <w:sz w:val="22"/>
          <w:szCs w:val="22"/>
          <w:lang w:val="fr-FR"/>
        </w:rPr>
        <w:t>Rechercher activement un engagement et une consultation des industries</w:t>
      </w:r>
      <w:r w:rsidR="005831F1">
        <w:rPr>
          <w:sz w:val="22"/>
          <w:szCs w:val="22"/>
          <w:lang w:val="fr-FR"/>
        </w:rPr>
        <w:t xml:space="preserve"> concernées</w:t>
      </w:r>
      <w:r>
        <w:rPr>
          <w:sz w:val="22"/>
          <w:szCs w:val="22"/>
          <w:lang w:val="fr-FR"/>
        </w:rPr>
        <w:t xml:space="preserve">, </w:t>
      </w:r>
      <w:r w:rsidR="005831F1">
        <w:rPr>
          <w:sz w:val="22"/>
          <w:szCs w:val="22"/>
          <w:lang w:val="fr-FR"/>
        </w:rPr>
        <w:t xml:space="preserve">des </w:t>
      </w:r>
      <w:r>
        <w:rPr>
          <w:sz w:val="22"/>
          <w:szCs w:val="22"/>
          <w:lang w:val="fr-FR"/>
        </w:rPr>
        <w:t>organis</w:t>
      </w:r>
      <w:r w:rsidR="00B54A37" w:rsidRPr="00FA17D6">
        <w:rPr>
          <w:sz w:val="22"/>
          <w:szCs w:val="22"/>
          <w:lang w:val="fr-FR"/>
        </w:rPr>
        <w:t>ations</w:t>
      </w:r>
      <w:r w:rsidR="00EE212D" w:rsidRPr="00FA17D6">
        <w:rPr>
          <w:sz w:val="22"/>
          <w:szCs w:val="22"/>
          <w:lang w:val="fr-FR"/>
        </w:rPr>
        <w:t xml:space="preserve"> </w:t>
      </w:r>
      <w:r w:rsidR="005831F1">
        <w:rPr>
          <w:sz w:val="22"/>
          <w:szCs w:val="22"/>
          <w:lang w:val="fr-FR"/>
        </w:rPr>
        <w:t xml:space="preserve">compétentes </w:t>
      </w:r>
      <w:r w:rsidR="00EE212D" w:rsidRPr="00FA17D6">
        <w:rPr>
          <w:sz w:val="22"/>
          <w:szCs w:val="22"/>
          <w:lang w:val="fr-FR"/>
        </w:rPr>
        <w:t xml:space="preserve">et </w:t>
      </w:r>
      <w:r w:rsidR="005831F1">
        <w:rPr>
          <w:sz w:val="22"/>
          <w:szCs w:val="22"/>
          <w:lang w:val="fr-FR"/>
        </w:rPr>
        <w:t xml:space="preserve">des entreprises </w:t>
      </w:r>
      <w:r>
        <w:rPr>
          <w:sz w:val="22"/>
          <w:szCs w:val="22"/>
          <w:lang w:val="fr-FR"/>
        </w:rPr>
        <w:t>qui fabriquent des</w:t>
      </w:r>
      <w:r w:rsidR="00B54A37" w:rsidRPr="00FA17D6">
        <w:rPr>
          <w:sz w:val="22"/>
          <w:szCs w:val="22"/>
          <w:lang w:val="fr-FR"/>
        </w:rPr>
        <w:t xml:space="preserve"> </w:t>
      </w:r>
      <w:r w:rsidR="00E97629" w:rsidRPr="00FA17D6">
        <w:rPr>
          <w:sz w:val="22"/>
          <w:szCs w:val="22"/>
          <w:lang w:val="fr-FR"/>
        </w:rPr>
        <w:t>munitions en plomb</w:t>
      </w:r>
      <w:r>
        <w:rPr>
          <w:sz w:val="22"/>
          <w:szCs w:val="22"/>
          <w:lang w:val="fr-FR"/>
        </w:rPr>
        <w:t xml:space="preserve"> ou des</w:t>
      </w:r>
      <w:r w:rsidR="00B54A37" w:rsidRPr="00FA17D6">
        <w:rPr>
          <w:sz w:val="22"/>
          <w:szCs w:val="22"/>
          <w:lang w:val="fr-FR"/>
        </w:rPr>
        <w:t xml:space="preserve"> </w:t>
      </w:r>
      <w:r w:rsidR="00EE212D" w:rsidRPr="00FA17D6">
        <w:rPr>
          <w:sz w:val="22"/>
          <w:szCs w:val="22"/>
          <w:lang w:val="fr-FR"/>
        </w:rPr>
        <w:t xml:space="preserve">poids de pêche en </w:t>
      </w:r>
      <w:proofErr w:type="gramStart"/>
      <w:r w:rsidR="00EE212D" w:rsidRPr="00FA17D6">
        <w:rPr>
          <w:sz w:val="22"/>
          <w:szCs w:val="22"/>
          <w:lang w:val="fr-FR"/>
        </w:rPr>
        <w:t>plomb</w:t>
      </w:r>
      <w:r w:rsidR="00B54A37" w:rsidRPr="00FA17D6">
        <w:rPr>
          <w:sz w:val="22"/>
          <w:szCs w:val="22"/>
          <w:lang w:val="fr-FR"/>
        </w:rPr>
        <w:t>;</w:t>
      </w:r>
      <w:proofErr w:type="gramEnd"/>
      <w:r w:rsidR="00B54A37" w:rsidRPr="00FA17D6">
        <w:rPr>
          <w:sz w:val="22"/>
          <w:szCs w:val="22"/>
          <w:lang w:val="fr-FR"/>
        </w:rPr>
        <w:t xml:space="preserve"> </w:t>
      </w:r>
    </w:p>
    <w:p w14:paraId="7547AADC" w14:textId="77777777" w:rsidR="00B54A37" w:rsidRPr="00FA17D6" w:rsidRDefault="00B54A37" w:rsidP="00B54A37">
      <w:pPr>
        <w:jc w:val="both"/>
        <w:rPr>
          <w:sz w:val="22"/>
          <w:szCs w:val="22"/>
          <w:lang w:val="fr-FR"/>
        </w:rPr>
      </w:pPr>
    </w:p>
    <w:p w14:paraId="5972A25F" w14:textId="4E11721E" w:rsidR="00B54A37" w:rsidRPr="00FA17D6" w:rsidRDefault="00B54A37" w:rsidP="00B54A37">
      <w:pPr>
        <w:numPr>
          <w:ilvl w:val="0"/>
          <w:numId w:val="16"/>
        </w:numPr>
        <w:jc w:val="both"/>
        <w:rPr>
          <w:sz w:val="22"/>
          <w:szCs w:val="22"/>
          <w:lang w:val="fr-FR"/>
        </w:rPr>
      </w:pPr>
      <w:r w:rsidRPr="00FA17D6">
        <w:rPr>
          <w:sz w:val="22"/>
          <w:szCs w:val="22"/>
          <w:lang w:val="fr-FR"/>
        </w:rPr>
        <w:t>Encourage</w:t>
      </w:r>
      <w:r w:rsidR="005831F1">
        <w:rPr>
          <w:sz w:val="22"/>
          <w:szCs w:val="22"/>
          <w:lang w:val="fr-FR"/>
        </w:rPr>
        <w:t xml:space="preserve">r une vaste </w:t>
      </w:r>
      <w:r w:rsidR="00FA17D6" w:rsidRPr="00FA17D6">
        <w:rPr>
          <w:sz w:val="22"/>
          <w:szCs w:val="22"/>
          <w:lang w:val="fr-FR"/>
        </w:rPr>
        <w:t xml:space="preserve">diffusion des </w:t>
      </w:r>
      <w:r w:rsidR="00D9190E" w:rsidRPr="00FA17D6">
        <w:rPr>
          <w:sz w:val="22"/>
          <w:szCs w:val="22"/>
          <w:lang w:val="fr-FR"/>
        </w:rPr>
        <w:t>Lignes directrices</w:t>
      </w:r>
      <w:r w:rsidR="00EE212D" w:rsidRPr="00FA17D6">
        <w:rPr>
          <w:sz w:val="22"/>
          <w:szCs w:val="22"/>
          <w:lang w:val="fr-FR"/>
        </w:rPr>
        <w:t xml:space="preserve"> et</w:t>
      </w:r>
      <w:r w:rsidR="00426C04" w:rsidRPr="00FA17D6">
        <w:rPr>
          <w:sz w:val="22"/>
          <w:szCs w:val="22"/>
          <w:lang w:val="fr-FR"/>
        </w:rPr>
        <w:t xml:space="preserve"> d’autres</w:t>
      </w:r>
      <w:r w:rsidR="00FA17D6" w:rsidRPr="00FA17D6">
        <w:rPr>
          <w:sz w:val="22"/>
          <w:szCs w:val="22"/>
          <w:lang w:val="fr-FR"/>
        </w:rPr>
        <w:t xml:space="preserve"> </w:t>
      </w:r>
      <w:r w:rsidRPr="00FA17D6">
        <w:rPr>
          <w:sz w:val="22"/>
          <w:szCs w:val="22"/>
          <w:lang w:val="fr-FR"/>
        </w:rPr>
        <w:t>res</w:t>
      </w:r>
      <w:r w:rsidR="00FA17D6" w:rsidRPr="00FA17D6">
        <w:rPr>
          <w:sz w:val="22"/>
          <w:szCs w:val="22"/>
          <w:lang w:val="fr-FR"/>
        </w:rPr>
        <w:t>s</w:t>
      </w:r>
      <w:r w:rsidRPr="00FA17D6">
        <w:rPr>
          <w:sz w:val="22"/>
          <w:szCs w:val="22"/>
          <w:lang w:val="fr-FR"/>
        </w:rPr>
        <w:t xml:space="preserve">ources </w:t>
      </w:r>
      <w:r w:rsidR="00FA17D6">
        <w:rPr>
          <w:sz w:val="22"/>
          <w:szCs w:val="22"/>
          <w:lang w:val="fr-FR"/>
        </w:rPr>
        <w:t>perti</w:t>
      </w:r>
      <w:r w:rsidR="005831F1">
        <w:rPr>
          <w:sz w:val="22"/>
          <w:szCs w:val="22"/>
          <w:lang w:val="fr-FR"/>
        </w:rPr>
        <w:t xml:space="preserve">nentes qui concernent </w:t>
      </w:r>
      <w:r w:rsidR="00FA17D6">
        <w:rPr>
          <w:sz w:val="22"/>
          <w:szCs w:val="22"/>
          <w:lang w:val="fr-FR"/>
        </w:rPr>
        <w:t xml:space="preserve">le </w:t>
      </w:r>
      <w:r w:rsidR="008802E6" w:rsidRPr="00FA17D6">
        <w:rPr>
          <w:sz w:val="22"/>
          <w:szCs w:val="22"/>
          <w:lang w:val="fr-FR"/>
        </w:rPr>
        <w:t>plomb</w:t>
      </w:r>
      <w:r w:rsidRPr="00FA17D6">
        <w:rPr>
          <w:sz w:val="22"/>
          <w:szCs w:val="22"/>
          <w:lang w:val="fr-FR"/>
        </w:rPr>
        <w:t xml:space="preserve"> </w:t>
      </w:r>
      <w:r w:rsidR="00FA17D6">
        <w:rPr>
          <w:sz w:val="22"/>
          <w:szCs w:val="22"/>
          <w:lang w:val="fr-FR"/>
        </w:rPr>
        <w:t>a</w:t>
      </w:r>
      <w:r w:rsidR="005C4592">
        <w:rPr>
          <w:sz w:val="22"/>
          <w:szCs w:val="22"/>
          <w:lang w:val="fr-FR"/>
        </w:rPr>
        <w:t>u sein des réseaux pertinents et auprès</w:t>
      </w:r>
      <w:r w:rsidR="00FA17D6">
        <w:rPr>
          <w:sz w:val="22"/>
          <w:szCs w:val="22"/>
          <w:lang w:val="fr-FR"/>
        </w:rPr>
        <w:t xml:space="preserve"> des utilisateurs finaux et </w:t>
      </w:r>
      <w:proofErr w:type="gramStart"/>
      <w:r w:rsidR="00FA17D6">
        <w:rPr>
          <w:sz w:val="22"/>
          <w:szCs w:val="22"/>
          <w:lang w:val="fr-FR"/>
        </w:rPr>
        <w:t>autres</w:t>
      </w:r>
      <w:r w:rsidRPr="00FA17D6">
        <w:rPr>
          <w:sz w:val="22"/>
          <w:szCs w:val="22"/>
          <w:lang w:val="fr-FR"/>
        </w:rPr>
        <w:t>;</w:t>
      </w:r>
      <w:proofErr w:type="gramEnd"/>
      <w:r w:rsidRPr="00FA17D6">
        <w:rPr>
          <w:sz w:val="22"/>
          <w:szCs w:val="22"/>
          <w:lang w:val="fr-FR"/>
        </w:rPr>
        <w:t xml:space="preserve"> </w:t>
      </w:r>
    </w:p>
    <w:p w14:paraId="1DCBF872" w14:textId="77777777" w:rsidR="00B54A37" w:rsidRPr="00FA17D6" w:rsidRDefault="00B54A37" w:rsidP="00B54A37">
      <w:pPr>
        <w:jc w:val="both"/>
        <w:rPr>
          <w:sz w:val="22"/>
          <w:szCs w:val="22"/>
          <w:lang w:val="fr-FR"/>
        </w:rPr>
      </w:pPr>
    </w:p>
    <w:p w14:paraId="3506F067" w14:textId="1C645468" w:rsidR="00B54A37" w:rsidRPr="00EE212D" w:rsidRDefault="00FA17D6" w:rsidP="00B54A37">
      <w:pPr>
        <w:numPr>
          <w:ilvl w:val="0"/>
          <w:numId w:val="16"/>
        </w:numPr>
        <w:jc w:val="both"/>
        <w:rPr>
          <w:sz w:val="22"/>
          <w:szCs w:val="22"/>
          <w:lang w:val="fr-FR"/>
        </w:rPr>
      </w:pPr>
      <w:r>
        <w:rPr>
          <w:sz w:val="22"/>
          <w:szCs w:val="22"/>
          <w:lang w:val="fr-FR"/>
        </w:rPr>
        <w:t>Assurer un suivi de la mise en œuvre des dé</w:t>
      </w:r>
      <w:r w:rsidR="00B54A37" w:rsidRPr="00EE212D">
        <w:rPr>
          <w:sz w:val="22"/>
          <w:szCs w:val="22"/>
          <w:lang w:val="fr-FR"/>
        </w:rPr>
        <w:t>cisions</w:t>
      </w:r>
      <w:r w:rsidR="00EE212D" w:rsidRPr="00EE212D">
        <w:rPr>
          <w:sz w:val="22"/>
          <w:szCs w:val="22"/>
          <w:lang w:val="fr-FR"/>
        </w:rPr>
        <w:t xml:space="preserve"> et </w:t>
      </w:r>
      <w:r w:rsidR="00B54A37" w:rsidRPr="00EE212D">
        <w:rPr>
          <w:sz w:val="22"/>
          <w:szCs w:val="22"/>
          <w:lang w:val="fr-FR"/>
        </w:rPr>
        <w:t>plans</w:t>
      </w:r>
      <w:r w:rsidR="00EE212D" w:rsidRPr="00EE212D">
        <w:rPr>
          <w:sz w:val="22"/>
          <w:szCs w:val="22"/>
          <w:lang w:val="fr-FR"/>
        </w:rPr>
        <w:t xml:space="preserve"> </w:t>
      </w:r>
      <w:r>
        <w:rPr>
          <w:sz w:val="22"/>
          <w:szCs w:val="22"/>
          <w:lang w:val="fr-FR"/>
        </w:rPr>
        <w:t xml:space="preserve">pertinents </w:t>
      </w:r>
      <w:r w:rsidR="00EE212D" w:rsidRPr="00EE212D">
        <w:rPr>
          <w:sz w:val="22"/>
          <w:szCs w:val="22"/>
          <w:lang w:val="fr-FR"/>
        </w:rPr>
        <w:t xml:space="preserve">et </w:t>
      </w:r>
      <w:r>
        <w:rPr>
          <w:sz w:val="22"/>
          <w:szCs w:val="22"/>
          <w:lang w:val="fr-FR"/>
        </w:rPr>
        <w:t>de leur efficacité</w:t>
      </w:r>
      <w:r w:rsidR="005C4592">
        <w:rPr>
          <w:sz w:val="22"/>
          <w:szCs w:val="22"/>
          <w:lang w:val="fr-FR"/>
        </w:rPr>
        <w:t>, et présenter</w:t>
      </w:r>
      <w:r>
        <w:rPr>
          <w:sz w:val="22"/>
          <w:szCs w:val="22"/>
          <w:lang w:val="fr-FR"/>
        </w:rPr>
        <w:t xml:space="preserve"> des rapports d’activité au G</w:t>
      </w:r>
      <w:r w:rsidR="00971318" w:rsidRPr="00EE212D">
        <w:rPr>
          <w:sz w:val="22"/>
          <w:szCs w:val="22"/>
          <w:lang w:val="fr-FR"/>
        </w:rPr>
        <w:t xml:space="preserve">roupe de travail sur la prévention de </w:t>
      </w:r>
      <w:proofErr w:type="gramStart"/>
      <w:r w:rsidR="00971318" w:rsidRPr="00EE212D">
        <w:rPr>
          <w:sz w:val="22"/>
          <w:szCs w:val="22"/>
          <w:lang w:val="fr-FR"/>
        </w:rPr>
        <w:t>l’empoisonnement</w:t>
      </w:r>
      <w:r w:rsidR="00B54A37" w:rsidRPr="00EE212D">
        <w:rPr>
          <w:sz w:val="22"/>
          <w:szCs w:val="22"/>
          <w:lang w:val="fr-FR"/>
        </w:rPr>
        <w:t>;</w:t>
      </w:r>
      <w:proofErr w:type="gramEnd"/>
      <w:r w:rsidR="00B54A37" w:rsidRPr="00EE212D">
        <w:rPr>
          <w:sz w:val="22"/>
          <w:szCs w:val="22"/>
          <w:lang w:val="fr-FR"/>
        </w:rPr>
        <w:t xml:space="preserve"> </w:t>
      </w:r>
    </w:p>
    <w:p w14:paraId="664161BA" w14:textId="77777777" w:rsidR="00B54A37" w:rsidRPr="00EE212D" w:rsidRDefault="00B54A37" w:rsidP="00B54A37">
      <w:pPr>
        <w:jc w:val="both"/>
        <w:rPr>
          <w:sz w:val="22"/>
          <w:szCs w:val="22"/>
          <w:lang w:val="fr-FR"/>
        </w:rPr>
      </w:pPr>
    </w:p>
    <w:p w14:paraId="754F1341" w14:textId="3C4CD66E" w:rsidR="00B54A37" w:rsidRPr="00FA17D6" w:rsidRDefault="00FA17D6" w:rsidP="00B54A37">
      <w:pPr>
        <w:numPr>
          <w:ilvl w:val="0"/>
          <w:numId w:val="16"/>
        </w:numPr>
        <w:jc w:val="both"/>
        <w:rPr>
          <w:sz w:val="22"/>
          <w:szCs w:val="22"/>
          <w:lang w:val="fr-FR"/>
        </w:rPr>
      </w:pPr>
      <w:r w:rsidRPr="00FA17D6">
        <w:rPr>
          <w:sz w:val="22"/>
          <w:szCs w:val="22"/>
          <w:lang w:val="fr-FR"/>
        </w:rPr>
        <w:t>Stimuler une communication interne</w:t>
      </w:r>
      <w:r w:rsidR="00EE212D" w:rsidRPr="00FA17D6">
        <w:rPr>
          <w:sz w:val="22"/>
          <w:szCs w:val="22"/>
          <w:lang w:val="fr-FR"/>
        </w:rPr>
        <w:t xml:space="preserve"> et </w:t>
      </w:r>
      <w:r w:rsidRPr="00FA17D6">
        <w:rPr>
          <w:sz w:val="22"/>
          <w:szCs w:val="22"/>
          <w:lang w:val="fr-FR"/>
        </w:rPr>
        <w:t>externe et un partage d’</w:t>
      </w:r>
      <w:r w:rsidR="00B54A37" w:rsidRPr="00FA17D6">
        <w:rPr>
          <w:sz w:val="22"/>
          <w:szCs w:val="22"/>
          <w:lang w:val="fr-FR"/>
        </w:rPr>
        <w:t>information</w:t>
      </w:r>
      <w:r>
        <w:rPr>
          <w:sz w:val="22"/>
          <w:szCs w:val="22"/>
          <w:lang w:val="fr-FR"/>
        </w:rPr>
        <w:t>s</w:t>
      </w:r>
      <w:r w:rsidR="00B54A37" w:rsidRPr="00FA17D6">
        <w:rPr>
          <w:sz w:val="22"/>
          <w:szCs w:val="22"/>
          <w:lang w:val="fr-FR"/>
        </w:rPr>
        <w:t xml:space="preserve">, </w:t>
      </w:r>
      <w:r>
        <w:rPr>
          <w:sz w:val="22"/>
          <w:szCs w:val="22"/>
          <w:lang w:val="fr-FR"/>
        </w:rPr>
        <w:t>d’</w:t>
      </w:r>
      <w:r w:rsidR="00B54A37" w:rsidRPr="00FA17D6">
        <w:rPr>
          <w:sz w:val="22"/>
          <w:szCs w:val="22"/>
          <w:lang w:val="fr-FR"/>
        </w:rPr>
        <w:t xml:space="preserve">alternatives, </w:t>
      </w:r>
      <w:r>
        <w:rPr>
          <w:sz w:val="22"/>
          <w:szCs w:val="22"/>
          <w:lang w:val="fr-FR"/>
        </w:rPr>
        <w:t>d’expé</w:t>
      </w:r>
      <w:r w:rsidR="00B54A37" w:rsidRPr="00FA17D6">
        <w:rPr>
          <w:sz w:val="22"/>
          <w:szCs w:val="22"/>
          <w:lang w:val="fr-FR"/>
        </w:rPr>
        <w:t>rience</w:t>
      </w:r>
      <w:r>
        <w:rPr>
          <w:sz w:val="22"/>
          <w:szCs w:val="22"/>
          <w:lang w:val="fr-FR"/>
        </w:rPr>
        <w:t>s</w:t>
      </w:r>
      <w:r w:rsidR="00B54A37" w:rsidRPr="00FA17D6">
        <w:rPr>
          <w:sz w:val="22"/>
          <w:szCs w:val="22"/>
          <w:lang w:val="fr-FR"/>
        </w:rPr>
        <w:t xml:space="preserve">, </w:t>
      </w:r>
      <w:r>
        <w:rPr>
          <w:sz w:val="22"/>
          <w:szCs w:val="22"/>
          <w:lang w:val="fr-FR"/>
        </w:rPr>
        <w:t>de bonnes pratiqu</w:t>
      </w:r>
      <w:r w:rsidR="00B54A37" w:rsidRPr="00FA17D6">
        <w:rPr>
          <w:sz w:val="22"/>
          <w:szCs w:val="22"/>
          <w:lang w:val="fr-FR"/>
        </w:rPr>
        <w:t>e</w:t>
      </w:r>
      <w:r>
        <w:rPr>
          <w:sz w:val="22"/>
          <w:szCs w:val="22"/>
          <w:lang w:val="fr-FR"/>
        </w:rPr>
        <w:t>s</w:t>
      </w:r>
      <w:r w:rsidR="00EE212D" w:rsidRPr="00FA17D6">
        <w:rPr>
          <w:sz w:val="22"/>
          <w:szCs w:val="22"/>
          <w:lang w:val="fr-FR"/>
        </w:rPr>
        <w:t xml:space="preserve"> et </w:t>
      </w:r>
      <w:r>
        <w:rPr>
          <w:sz w:val="22"/>
          <w:szCs w:val="22"/>
          <w:lang w:val="fr-FR"/>
        </w:rPr>
        <w:t>de savoir-</w:t>
      </w:r>
      <w:proofErr w:type="gramStart"/>
      <w:r>
        <w:rPr>
          <w:sz w:val="22"/>
          <w:szCs w:val="22"/>
          <w:lang w:val="fr-FR"/>
        </w:rPr>
        <w:t>faire;</w:t>
      </w:r>
      <w:proofErr w:type="gramEnd"/>
      <w:r>
        <w:rPr>
          <w:sz w:val="22"/>
          <w:szCs w:val="22"/>
          <w:lang w:val="fr-FR"/>
        </w:rPr>
        <w:t xml:space="preserve"> </w:t>
      </w:r>
    </w:p>
    <w:p w14:paraId="75A29A06" w14:textId="77777777" w:rsidR="00B54A37" w:rsidRPr="00FA17D6" w:rsidRDefault="00B54A37" w:rsidP="00B54A37">
      <w:pPr>
        <w:jc w:val="both"/>
        <w:rPr>
          <w:sz w:val="22"/>
          <w:szCs w:val="22"/>
          <w:lang w:val="fr-FR"/>
        </w:rPr>
      </w:pPr>
    </w:p>
    <w:p w14:paraId="79FBCA4B" w14:textId="5366B475" w:rsidR="00B54A37" w:rsidRPr="00FA17D6" w:rsidRDefault="00FA17D6" w:rsidP="00B54A37">
      <w:pPr>
        <w:numPr>
          <w:ilvl w:val="0"/>
          <w:numId w:val="16"/>
        </w:numPr>
        <w:jc w:val="both"/>
        <w:rPr>
          <w:sz w:val="22"/>
          <w:szCs w:val="22"/>
          <w:lang w:val="fr-FR"/>
        </w:rPr>
      </w:pPr>
      <w:r w:rsidRPr="00FA17D6">
        <w:rPr>
          <w:sz w:val="22"/>
          <w:szCs w:val="22"/>
          <w:lang w:val="fr-FR"/>
        </w:rPr>
        <w:t xml:space="preserve">Renforcer les réseaux </w:t>
      </w:r>
      <w:r>
        <w:rPr>
          <w:sz w:val="22"/>
          <w:szCs w:val="22"/>
          <w:lang w:val="fr-FR"/>
        </w:rPr>
        <w:t>régionaux</w:t>
      </w:r>
      <w:r w:rsidR="00EE212D" w:rsidRPr="00FA17D6">
        <w:rPr>
          <w:sz w:val="22"/>
          <w:szCs w:val="22"/>
          <w:lang w:val="fr-FR"/>
        </w:rPr>
        <w:t xml:space="preserve"> et </w:t>
      </w:r>
      <w:r>
        <w:rPr>
          <w:sz w:val="22"/>
          <w:szCs w:val="22"/>
          <w:lang w:val="fr-FR"/>
        </w:rPr>
        <w:t>internationaux pertinents</w:t>
      </w:r>
      <w:r w:rsidR="00B54A37" w:rsidRPr="00FA17D6">
        <w:rPr>
          <w:sz w:val="22"/>
          <w:szCs w:val="22"/>
          <w:lang w:val="fr-FR"/>
        </w:rPr>
        <w:t xml:space="preserve">.  </w:t>
      </w:r>
    </w:p>
    <w:p w14:paraId="4B8C91A9" w14:textId="77777777" w:rsidR="00B54A37" w:rsidRPr="00FA17D6" w:rsidRDefault="00B54A37" w:rsidP="00B54A37">
      <w:pPr>
        <w:jc w:val="both"/>
        <w:rPr>
          <w:sz w:val="22"/>
          <w:szCs w:val="22"/>
          <w:lang w:val="fr-FR"/>
        </w:rPr>
      </w:pPr>
    </w:p>
    <w:p w14:paraId="6ABCE851" w14:textId="3FDC4928" w:rsidR="00B54A37" w:rsidRPr="00DD46AC" w:rsidRDefault="002D04A3" w:rsidP="00B54A37">
      <w:pPr>
        <w:jc w:val="both"/>
        <w:rPr>
          <w:sz w:val="22"/>
          <w:szCs w:val="22"/>
          <w:lang w:val="fr-FR"/>
        </w:rPr>
      </w:pPr>
      <w:r>
        <w:rPr>
          <w:sz w:val="22"/>
          <w:szCs w:val="22"/>
          <w:lang w:val="fr-FR"/>
        </w:rPr>
        <w:t xml:space="preserve">Le groupe </w:t>
      </w:r>
      <w:r w:rsidR="000F4030">
        <w:rPr>
          <w:sz w:val="22"/>
          <w:szCs w:val="22"/>
          <w:lang w:val="fr-FR"/>
        </w:rPr>
        <w:t>spécial</w:t>
      </w:r>
      <w:r w:rsidR="00B54A37" w:rsidRPr="00DD46AC">
        <w:rPr>
          <w:sz w:val="22"/>
          <w:szCs w:val="22"/>
          <w:lang w:val="fr-FR"/>
        </w:rPr>
        <w:t xml:space="preserve"> </w:t>
      </w:r>
      <w:r w:rsidR="005C4592">
        <w:rPr>
          <w:sz w:val="22"/>
          <w:szCs w:val="22"/>
          <w:lang w:val="fr-FR"/>
        </w:rPr>
        <w:t>demeurera intentionnelle</w:t>
      </w:r>
      <w:r w:rsidR="00DD46AC" w:rsidRPr="00DD46AC">
        <w:rPr>
          <w:sz w:val="22"/>
          <w:szCs w:val="22"/>
          <w:lang w:val="fr-FR"/>
        </w:rPr>
        <w:t xml:space="preserve">ment un petit groupe afin d’assurer son efficacité, mais </w:t>
      </w:r>
      <w:r w:rsidR="005C4592">
        <w:rPr>
          <w:sz w:val="22"/>
          <w:szCs w:val="22"/>
          <w:lang w:val="fr-FR"/>
        </w:rPr>
        <w:t xml:space="preserve">il </w:t>
      </w:r>
      <w:r w:rsidR="00DD46AC" w:rsidRPr="00DD46AC">
        <w:rPr>
          <w:sz w:val="22"/>
          <w:szCs w:val="22"/>
          <w:lang w:val="fr-FR"/>
        </w:rPr>
        <w:t>contribuera</w:t>
      </w:r>
      <w:r w:rsidR="005C4592">
        <w:rPr>
          <w:sz w:val="22"/>
          <w:szCs w:val="22"/>
          <w:lang w:val="fr-FR"/>
        </w:rPr>
        <w:t xml:space="preserve"> par ses travaux à un vaste partage d’information</w:t>
      </w:r>
      <w:r w:rsidR="00DD46AC" w:rsidRPr="00DD46AC">
        <w:rPr>
          <w:sz w:val="22"/>
          <w:szCs w:val="22"/>
          <w:lang w:val="fr-FR"/>
        </w:rPr>
        <w:t xml:space="preserve"> </w:t>
      </w:r>
      <w:r w:rsidR="005C4592">
        <w:rPr>
          <w:sz w:val="22"/>
          <w:szCs w:val="22"/>
          <w:lang w:val="fr-FR"/>
        </w:rPr>
        <w:t xml:space="preserve">et communication </w:t>
      </w:r>
      <w:r w:rsidR="00DD46AC" w:rsidRPr="00DD46AC">
        <w:rPr>
          <w:sz w:val="22"/>
          <w:szCs w:val="22"/>
          <w:lang w:val="fr-FR"/>
        </w:rPr>
        <w:t>d’</w:t>
      </w:r>
      <w:r w:rsidR="00B54A37" w:rsidRPr="00DD46AC">
        <w:rPr>
          <w:sz w:val="22"/>
          <w:szCs w:val="22"/>
          <w:lang w:val="fr-FR"/>
        </w:rPr>
        <w:t xml:space="preserve">information </w:t>
      </w:r>
      <w:r w:rsidR="005C4592">
        <w:rPr>
          <w:sz w:val="22"/>
          <w:szCs w:val="22"/>
          <w:lang w:val="fr-FR"/>
        </w:rPr>
        <w:t>auprès d’un</w:t>
      </w:r>
      <w:r w:rsidR="00DD46AC">
        <w:rPr>
          <w:sz w:val="22"/>
          <w:szCs w:val="22"/>
          <w:lang w:val="fr-FR"/>
        </w:rPr>
        <w:t xml:space="preserve"> grand nombre de </w:t>
      </w:r>
      <w:r w:rsidR="005C4592">
        <w:rPr>
          <w:sz w:val="22"/>
          <w:szCs w:val="22"/>
          <w:lang w:val="fr-FR"/>
        </w:rPr>
        <w:t>partie</w:t>
      </w:r>
      <w:r w:rsidR="00BF5C9C">
        <w:rPr>
          <w:sz w:val="22"/>
          <w:szCs w:val="22"/>
          <w:lang w:val="fr-FR"/>
        </w:rPr>
        <w:t>s</w:t>
      </w:r>
      <w:r w:rsidR="005C4592">
        <w:rPr>
          <w:sz w:val="22"/>
          <w:szCs w:val="22"/>
          <w:lang w:val="fr-FR"/>
        </w:rPr>
        <w:t xml:space="preserve"> prenantes</w:t>
      </w:r>
      <w:r w:rsidR="00B54A37" w:rsidRPr="00DD46AC">
        <w:rPr>
          <w:sz w:val="22"/>
          <w:szCs w:val="22"/>
          <w:lang w:val="fr-FR"/>
        </w:rPr>
        <w:t xml:space="preserve">. </w:t>
      </w:r>
    </w:p>
    <w:p w14:paraId="6C296927" w14:textId="77777777" w:rsidR="00B54A37" w:rsidRPr="00DD46AC" w:rsidRDefault="00B54A37" w:rsidP="00B54A37">
      <w:pPr>
        <w:jc w:val="both"/>
        <w:rPr>
          <w:sz w:val="22"/>
          <w:szCs w:val="22"/>
          <w:lang w:val="fr-FR"/>
        </w:rPr>
      </w:pPr>
    </w:p>
    <w:p w14:paraId="0C79E384" w14:textId="77777777" w:rsidR="00847178" w:rsidRPr="00DD46AC" w:rsidRDefault="00847178" w:rsidP="00B54A37">
      <w:pPr>
        <w:jc w:val="both"/>
        <w:rPr>
          <w:b/>
          <w:bCs/>
          <w:sz w:val="22"/>
          <w:szCs w:val="22"/>
          <w:lang w:val="fr-FR"/>
        </w:rPr>
      </w:pPr>
    </w:p>
    <w:p w14:paraId="0BB3F56E" w14:textId="342FA135" w:rsidR="00B54A37" w:rsidRPr="000F2D09" w:rsidRDefault="00DD46AC" w:rsidP="00B54A37">
      <w:pPr>
        <w:jc w:val="both"/>
        <w:rPr>
          <w:b/>
          <w:bCs/>
          <w:sz w:val="22"/>
          <w:szCs w:val="22"/>
          <w:lang w:val="fr-FR"/>
        </w:rPr>
      </w:pPr>
      <w:r w:rsidRPr="000F2D09">
        <w:rPr>
          <w:b/>
          <w:bCs/>
          <w:sz w:val="22"/>
          <w:szCs w:val="22"/>
          <w:lang w:val="fr-FR"/>
        </w:rPr>
        <w:t>4. Statut de membre</w:t>
      </w:r>
      <w:r w:rsidR="00B54A37" w:rsidRPr="000F2D09">
        <w:rPr>
          <w:b/>
          <w:bCs/>
          <w:sz w:val="22"/>
          <w:szCs w:val="22"/>
          <w:lang w:val="fr-FR"/>
        </w:rPr>
        <w:t xml:space="preserve"> </w:t>
      </w:r>
    </w:p>
    <w:p w14:paraId="11DB44F8" w14:textId="77777777" w:rsidR="00B54A37" w:rsidRPr="000F2D09" w:rsidRDefault="00B54A37" w:rsidP="00B54A37">
      <w:pPr>
        <w:jc w:val="both"/>
        <w:rPr>
          <w:sz w:val="22"/>
          <w:szCs w:val="22"/>
          <w:lang w:val="fr-FR"/>
        </w:rPr>
      </w:pPr>
    </w:p>
    <w:p w14:paraId="23F1A6ED" w14:textId="1220475C" w:rsidR="00B54A37" w:rsidRPr="00F6586A" w:rsidRDefault="000F4030" w:rsidP="00B54A37">
      <w:pPr>
        <w:jc w:val="both"/>
        <w:rPr>
          <w:sz w:val="22"/>
          <w:szCs w:val="22"/>
          <w:lang w:val="fr-FR"/>
        </w:rPr>
      </w:pPr>
      <w:r>
        <w:rPr>
          <w:sz w:val="22"/>
          <w:szCs w:val="22"/>
          <w:lang w:val="fr-FR"/>
        </w:rPr>
        <w:t>Le</w:t>
      </w:r>
      <w:r w:rsidR="00B54A37" w:rsidRPr="000F2D09">
        <w:rPr>
          <w:sz w:val="22"/>
          <w:szCs w:val="22"/>
          <w:lang w:val="fr-FR"/>
        </w:rPr>
        <w:t xml:space="preserve"> </w:t>
      </w:r>
      <w:r w:rsidR="005C4592">
        <w:rPr>
          <w:sz w:val="22"/>
          <w:szCs w:val="22"/>
          <w:lang w:val="fr-FR"/>
        </w:rPr>
        <w:t>g</w:t>
      </w:r>
      <w:r w:rsidR="002D04A3">
        <w:rPr>
          <w:sz w:val="22"/>
          <w:szCs w:val="22"/>
          <w:lang w:val="fr-FR"/>
        </w:rPr>
        <w:t xml:space="preserve">roupe </w:t>
      </w:r>
      <w:r>
        <w:rPr>
          <w:sz w:val="22"/>
          <w:szCs w:val="22"/>
          <w:lang w:val="fr-FR"/>
        </w:rPr>
        <w:t>spécial</w:t>
      </w:r>
      <w:r w:rsidR="00B54A37" w:rsidRPr="000F2D09">
        <w:rPr>
          <w:sz w:val="22"/>
          <w:szCs w:val="22"/>
          <w:lang w:val="fr-FR"/>
        </w:rPr>
        <w:t xml:space="preserve"> </w:t>
      </w:r>
      <w:r w:rsidR="005C4592">
        <w:rPr>
          <w:sz w:val="22"/>
          <w:szCs w:val="22"/>
          <w:lang w:val="fr-FR"/>
        </w:rPr>
        <w:t xml:space="preserve">fonctionnera à </w:t>
      </w:r>
      <w:r w:rsidR="00FA17D6">
        <w:rPr>
          <w:sz w:val="22"/>
          <w:szCs w:val="22"/>
          <w:lang w:val="fr-FR"/>
        </w:rPr>
        <w:t>l’interph</w:t>
      </w:r>
      <w:r w:rsidR="005C4592">
        <w:rPr>
          <w:sz w:val="22"/>
          <w:szCs w:val="22"/>
          <w:lang w:val="fr-FR"/>
        </w:rPr>
        <w:t>ase scientifique et politique, et</w:t>
      </w:r>
      <w:r w:rsidR="00FA17D6">
        <w:rPr>
          <w:sz w:val="22"/>
          <w:szCs w:val="22"/>
          <w:lang w:val="fr-FR"/>
        </w:rPr>
        <w:t xml:space="preserve"> ses membres comprendront, au minimum, l</w:t>
      </w:r>
      <w:r w:rsidR="00B54A37" w:rsidRPr="000F2D09">
        <w:rPr>
          <w:sz w:val="22"/>
          <w:szCs w:val="22"/>
          <w:lang w:val="fr-FR"/>
        </w:rPr>
        <w:t xml:space="preserve">e </w:t>
      </w:r>
      <w:r w:rsidR="00F10F82" w:rsidRPr="000F2D09">
        <w:rPr>
          <w:sz w:val="22"/>
          <w:szCs w:val="22"/>
          <w:lang w:val="fr-FR"/>
        </w:rPr>
        <w:t>coordinateur</w:t>
      </w:r>
      <w:r w:rsidR="00FA17D6">
        <w:rPr>
          <w:sz w:val="22"/>
          <w:szCs w:val="22"/>
          <w:lang w:val="fr-FR"/>
        </w:rPr>
        <w:t xml:space="preserve"> du G</w:t>
      </w:r>
      <w:r w:rsidR="00971318" w:rsidRPr="000F2D09">
        <w:rPr>
          <w:sz w:val="22"/>
          <w:szCs w:val="22"/>
          <w:lang w:val="fr-FR"/>
        </w:rPr>
        <w:t>roupe de travail sur la prévention de l’empoisonnement</w:t>
      </w:r>
      <w:r w:rsidR="00B54A37" w:rsidRPr="000F2D09">
        <w:rPr>
          <w:sz w:val="22"/>
          <w:szCs w:val="22"/>
          <w:lang w:val="fr-FR"/>
        </w:rPr>
        <w:t xml:space="preserve">, </w:t>
      </w:r>
      <w:r w:rsidR="005C4592">
        <w:rPr>
          <w:sz w:val="22"/>
          <w:szCs w:val="22"/>
          <w:lang w:val="fr-FR"/>
        </w:rPr>
        <w:t>des représentant</w:t>
      </w:r>
      <w:r w:rsidR="00B54A37" w:rsidRPr="000F2D09">
        <w:rPr>
          <w:sz w:val="22"/>
          <w:szCs w:val="22"/>
          <w:lang w:val="fr-FR"/>
        </w:rPr>
        <w:t xml:space="preserve">s </w:t>
      </w:r>
      <w:r w:rsidR="00FA17D6">
        <w:rPr>
          <w:sz w:val="22"/>
          <w:szCs w:val="22"/>
          <w:lang w:val="fr-FR"/>
        </w:rPr>
        <w:t>des accords multilatéraux sur</w:t>
      </w:r>
      <w:r w:rsidR="00F6586A">
        <w:rPr>
          <w:sz w:val="22"/>
          <w:szCs w:val="22"/>
          <w:lang w:val="fr-FR"/>
        </w:rPr>
        <w:t xml:space="preserve"> l’environnement participants</w:t>
      </w:r>
      <w:r w:rsidR="00FA17D6">
        <w:rPr>
          <w:sz w:val="22"/>
          <w:szCs w:val="22"/>
          <w:lang w:val="fr-FR"/>
        </w:rPr>
        <w:t xml:space="preserve">, ainsi que des établissements universitaires, des ONG, des </w:t>
      </w:r>
      <w:r w:rsidR="00EE212D" w:rsidRPr="000F2D09">
        <w:rPr>
          <w:sz w:val="22"/>
          <w:szCs w:val="22"/>
          <w:lang w:val="fr-FR"/>
        </w:rPr>
        <w:t>représentant</w:t>
      </w:r>
      <w:r w:rsidR="00FA17D6">
        <w:rPr>
          <w:sz w:val="22"/>
          <w:szCs w:val="22"/>
          <w:lang w:val="fr-FR"/>
        </w:rPr>
        <w:t>s d’industrie</w:t>
      </w:r>
      <w:r w:rsidR="00EE212D" w:rsidRPr="000F2D09">
        <w:rPr>
          <w:sz w:val="22"/>
          <w:szCs w:val="22"/>
          <w:lang w:val="fr-FR"/>
        </w:rPr>
        <w:t xml:space="preserve"> et</w:t>
      </w:r>
      <w:r w:rsidR="00426C04">
        <w:rPr>
          <w:sz w:val="22"/>
          <w:szCs w:val="22"/>
          <w:lang w:val="fr-FR"/>
        </w:rPr>
        <w:t xml:space="preserve"> d’autres</w:t>
      </w:r>
      <w:r w:rsidR="00B54A37" w:rsidRPr="000F2D09">
        <w:rPr>
          <w:sz w:val="22"/>
          <w:szCs w:val="22"/>
          <w:lang w:val="fr-FR"/>
        </w:rPr>
        <w:t xml:space="preserve"> </w:t>
      </w:r>
      <w:r w:rsidR="00BF5C9C" w:rsidRPr="000F2D09">
        <w:rPr>
          <w:sz w:val="22"/>
          <w:szCs w:val="22"/>
          <w:lang w:val="fr-FR"/>
        </w:rPr>
        <w:t>acteurs</w:t>
      </w:r>
      <w:r w:rsidR="00B54A37" w:rsidRPr="000F2D09">
        <w:rPr>
          <w:sz w:val="22"/>
          <w:szCs w:val="22"/>
          <w:lang w:val="fr-FR"/>
        </w:rPr>
        <w:t xml:space="preserve">, </w:t>
      </w:r>
      <w:r w:rsidR="00EE212D" w:rsidRPr="000F2D09">
        <w:rPr>
          <w:sz w:val="22"/>
          <w:szCs w:val="22"/>
          <w:lang w:val="fr-FR"/>
        </w:rPr>
        <w:t>selon qu’il convient</w:t>
      </w:r>
      <w:r w:rsidR="00B54A37" w:rsidRPr="000F2D09">
        <w:rPr>
          <w:sz w:val="22"/>
          <w:szCs w:val="22"/>
          <w:lang w:val="fr-FR"/>
        </w:rPr>
        <w:t xml:space="preserve">. </w:t>
      </w:r>
      <w:r w:rsidR="00F6586A" w:rsidRPr="00F6586A">
        <w:rPr>
          <w:sz w:val="22"/>
          <w:szCs w:val="22"/>
          <w:lang w:val="fr-FR"/>
        </w:rPr>
        <w:t xml:space="preserve">Le Groupe </w:t>
      </w:r>
      <w:r w:rsidR="00F6586A">
        <w:rPr>
          <w:sz w:val="22"/>
          <w:szCs w:val="22"/>
          <w:lang w:val="fr-FR"/>
        </w:rPr>
        <w:t>spécial</w:t>
      </w:r>
      <w:r w:rsidR="00F6586A" w:rsidRPr="00F6586A">
        <w:rPr>
          <w:sz w:val="22"/>
          <w:szCs w:val="22"/>
          <w:lang w:val="fr-FR"/>
        </w:rPr>
        <w:t xml:space="preserve"> sera ouvert pour les Parties de la CMS et de l'AEWA.</w:t>
      </w:r>
    </w:p>
    <w:p w14:paraId="089D9ADB" w14:textId="77777777" w:rsidR="00B54A37" w:rsidRPr="00F6586A" w:rsidRDefault="00B54A37" w:rsidP="00B54A37">
      <w:pPr>
        <w:jc w:val="both"/>
        <w:rPr>
          <w:sz w:val="22"/>
          <w:szCs w:val="22"/>
          <w:lang w:val="fr-FR"/>
        </w:rPr>
      </w:pPr>
    </w:p>
    <w:p w14:paraId="214A8559" w14:textId="440E05EA" w:rsidR="00B54A37" w:rsidRPr="00426C04" w:rsidRDefault="00426C04" w:rsidP="00B54A37">
      <w:pPr>
        <w:jc w:val="both"/>
        <w:rPr>
          <w:sz w:val="22"/>
          <w:szCs w:val="22"/>
          <w:lang w:val="fr-FR"/>
        </w:rPr>
      </w:pPr>
      <w:r>
        <w:rPr>
          <w:sz w:val="22"/>
          <w:szCs w:val="22"/>
          <w:lang w:val="fr-FR"/>
        </w:rPr>
        <w:t xml:space="preserve">Les </w:t>
      </w:r>
      <w:r w:rsidR="00EE212D" w:rsidRPr="00426C04">
        <w:rPr>
          <w:sz w:val="22"/>
          <w:szCs w:val="22"/>
          <w:lang w:val="fr-FR"/>
        </w:rPr>
        <w:t>représentant</w:t>
      </w:r>
      <w:r w:rsidR="00B54A37" w:rsidRPr="00426C04">
        <w:rPr>
          <w:sz w:val="22"/>
          <w:szCs w:val="22"/>
          <w:lang w:val="fr-FR"/>
        </w:rPr>
        <w:t xml:space="preserve">s </w:t>
      </w:r>
      <w:r w:rsidRPr="00426C04">
        <w:rPr>
          <w:sz w:val="22"/>
          <w:szCs w:val="22"/>
          <w:lang w:val="fr-FR"/>
        </w:rPr>
        <w:t xml:space="preserve">ci-après seront </w:t>
      </w:r>
      <w:r>
        <w:rPr>
          <w:sz w:val="22"/>
          <w:szCs w:val="22"/>
          <w:lang w:val="fr-FR"/>
        </w:rPr>
        <w:t>invités à part</w:t>
      </w:r>
      <w:r w:rsidR="005C4592">
        <w:rPr>
          <w:sz w:val="22"/>
          <w:szCs w:val="22"/>
          <w:lang w:val="fr-FR"/>
        </w:rPr>
        <w:t>iciper au</w:t>
      </w:r>
      <w:r w:rsidR="002D04A3">
        <w:rPr>
          <w:sz w:val="22"/>
          <w:szCs w:val="22"/>
          <w:lang w:val="fr-FR"/>
        </w:rPr>
        <w:t xml:space="preserve"> groupe </w:t>
      </w:r>
      <w:proofErr w:type="gramStart"/>
      <w:r w:rsidR="00F6586A">
        <w:rPr>
          <w:sz w:val="22"/>
          <w:szCs w:val="22"/>
          <w:lang w:val="fr-FR"/>
        </w:rPr>
        <w:t>spécial</w:t>
      </w:r>
      <w:r w:rsidR="00B54A37" w:rsidRPr="00426C04">
        <w:rPr>
          <w:sz w:val="22"/>
          <w:szCs w:val="22"/>
          <w:lang w:val="fr-FR"/>
        </w:rPr>
        <w:t>:</w:t>
      </w:r>
      <w:proofErr w:type="gramEnd"/>
      <w:r w:rsidR="00B54A37" w:rsidRPr="00426C04">
        <w:rPr>
          <w:sz w:val="22"/>
          <w:szCs w:val="22"/>
          <w:lang w:val="fr-FR"/>
        </w:rPr>
        <w:t xml:space="preserve"> </w:t>
      </w:r>
    </w:p>
    <w:p w14:paraId="42EA6D3E" w14:textId="77777777" w:rsidR="00B54A37" w:rsidRPr="00426C04" w:rsidRDefault="00B54A37" w:rsidP="00B54A37">
      <w:pPr>
        <w:jc w:val="both"/>
        <w:rPr>
          <w:sz w:val="22"/>
          <w:szCs w:val="22"/>
          <w:lang w:val="fr-FR"/>
        </w:rPr>
      </w:pPr>
    </w:p>
    <w:p w14:paraId="366DA90F" w14:textId="15B238DF" w:rsidR="00B54A37" w:rsidRPr="00426C04" w:rsidRDefault="00426C04" w:rsidP="00B54A37">
      <w:pPr>
        <w:numPr>
          <w:ilvl w:val="0"/>
          <w:numId w:val="17"/>
        </w:numPr>
        <w:jc w:val="both"/>
        <w:rPr>
          <w:sz w:val="22"/>
          <w:szCs w:val="22"/>
          <w:lang w:val="fr-FR"/>
        </w:rPr>
      </w:pPr>
      <w:r w:rsidRPr="00426C04">
        <w:rPr>
          <w:sz w:val="22"/>
          <w:szCs w:val="22"/>
          <w:lang w:val="fr-FR"/>
        </w:rPr>
        <w:t xml:space="preserve">Un membre du </w:t>
      </w:r>
      <w:r w:rsidR="00CD24E0" w:rsidRPr="00426C04">
        <w:rPr>
          <w:sz w:val="22"/>
          <w:szCs w:val="22"/>
          <w:lang w:val="fr-FR"/>
        </w:rPr>
        <w:t>Conseil scientifique</w:t>
      </w:r>
      <w:r w:rsidRPr="00426C04">
        <w:rPr>
          <w:sz w:val="22"/>
          <w:szCs w:val="22"/>
          <w:lang w:val="fr-FR"/>
        </w:rPr>
        <w:t xml:space="preserve"> de la CMS</w:t>
      </w:r>
    </w:p>
    <w:p w14:paraId="27FB6D82" w14:textId="0388E733" w:rsidR="00B54A37" w:rsidRPr="00426C04" w:rsidRDefault="00426C04" w:rsidP="00B54A37">
      <w:pPr>
        <w:numPr>
          <w:ilvl w:val="0"/>
          <w:numId w:val="17"/>
        </w:numPr>
        <w:jc w:val="both"/>
        <w:rPr>
          <w:sz w:val="22"/>
          <w:szCs w:val="22"/>
          <w:lang w:val="fr-FR"/>
        </w:rPr>
      </w:pPr>
      <w:r w:rsidRPr="00426C04">
        <w:rPr>
          <w:sz w:val="22"/>
          <w:szCs w:val="22"/>
          <w:lang w:val="fr-FR"/>
        </w:rPr>
        <w:t>Un membre du Comité technique de l’AEWA</w:t>
      </w:r>
    </w:p>
    <w:p w14:paraId="73A4CB85" w14:textId="67FBBC49" w:rsidR="00B54A37" w:rsidRPr="00426C04" w:rsidRDefault="00426C04" w:rsidP="00B54A37">
      <w:pPr>
        <w:numPr>
          <w:ilvl w:val="0"/>
          <w:numId w:val="17"/>
        </w:numPr>
        <w:jc w:val="both"/>
        <w:rPr>
          <w:sz w:val="22"/>
          <w:szCs w:val="22"/>
          <w:lang w:val="fr-FR"/>
        </w:rPr>
      </w:pPr>
      <w:r w:rsidRPr="00426C04">
        <w:rPr>
          <w:sz w:val="22"/>
          <w:szCs w:val="22"/>
          <w:lang w:val="fr-FR"/>
        </w:rPr>
        <w:t>Un membre</w:t>
      </w:r>
      <w:r w:rsidR="00B54A37" w:rsidRPr="00426C04">
        <w:rPr>
          <w:sz w:val="22"/>
          <w:szCs w:val="22"/>
          <w:lang w:val="fr-FR"/>
        </w:rPr>
        <w:t xml:space="preserve"> </w:t>
      </w:r>
      <w:r w:rsidRPr="00426C04">
        <w:rPr>
          <w:sz w:val="22"/>
          <w:szCs w:val="22"/>
          <w:lang w:val="fr-FR"/>
        </w:rPr>
        <w:t xml:space="preserve">du Groupe technique </w:t>
      </w:r>
      <w:r>
        <w:rPr>
          <w:sz w:val="22"/>
          <w:szCs w:val="22"/>
          <w:lang w:val="fr-FR"/>
        </w:rPr>
        <w:t>consultatif</w:t>
      </w:r>
      <w:r w:rsidRPr="00426C04">
        <w:rPr>
          <w:sz w:val="22"/>
          <w:szCs w:val="22"/>
          <w:lang w:val="fr-FR"/>
        </w:rPr>
        <w:t xml:space="preserve"> </w:t>
      </w:r>
      <w:r>
        <w:rPr>
          <w:sz w:val="22"/>
          <w:szCs w:val="22"/>
          <w:lang w:val="fr-FR"/>
        </w:rPr>
        <w:t xml:space="preserve">du </w:t>
      </w:r>
      <w:proofErr w:type="spellStart"/>
      <w:r>
        <w:rPr>
          <w:sz w:val="22"/>
          <w:szCs w:val="22"/>
          <w:lang w:val="fr-FR"/>
        </w:rPr>
        <w:t>MdE</w:t>
      </w:r>
      <w:proofErr w:type="spellEnd"/>
      <w:r>
        <w:rPr>
          <w:sz w:val="22"/>
          <w:szCs w:val="22"/>
          <w:lang w:val="fr-FR"/>
        </w:rPr>
        <w:t xml:space="preserve"> Rapaces</w:t>
      </w:r>
    </w:p>
    <w:p w14:paraId="1420AF78" w14:textId="3872CCDD" w:rsidR="00B54A37" w:rsidRPr="00B54A37" w:rsidRDefault="00426C04" w:rsidP="00B54A37">
      <w:pPr>
        <w:numPr>
          <w:ilvl w:val="0"/>
          <w:numId w:val="17"/>
        </w:numPr>
        <w:jc w:val="both"/>
        <w:rPr>
          <w:sz w:val="22"/>
          <w:szCs w:val="22"/>
          <w:lang w:val="en-GB"/>
        </w:rPr>
      </w:pPr>
      <w:r>
        <w:rPr>
          <w:sz w:val="22"/>
          <w:szCs w:val="22"/>
          <w:lang w:val="en-GB"/>
        </w:rPr>
        <w:t xml:space="preserve">Un </w:t>
      </w:r>
      <w:proofErr w:type="spellStart"/>
      <w:r w:rsidR="00EE212D">
        <w:rPr>
          <w:sz w:val="22"/>
          <w:szCs w:val="22"/>
          <w:lang w:val="en-GB"/>
        </w:rPr>
        <w:t>représentant</w:t>
      </w:r>
      <w:proofErr w:type="spellEnd"/>
      <w:r>
        <w:rPr>
          <w:sz w:val="22"/>
          <w:szCs w:val="22"/>
          <w:lang w:val="en-GB"/>
        </w:rPr>
        <w:t xml:space="preserve"> du </w:t>
      </w:r>
      <w:r w:rsidR="00B54A37" w:rsidRPr="00B54A37">
        <w:rPr>
          <w:sz w:val="22"/>
          <w:szCs w:val="22"/>
          <w:lang w:val="en-GB"/>
        </w:rPr>
        <w:t>P</w:t>
      </w:r>
      <w:r>
        <w:rPr>
          <w:sz w:val="22"/>
          <w:szCs w:val="22"/>
          <w:lang w:val="en-GB"/>
        </w:rPr>
        <w:t>NUE</w:t>
      </w:r>
    </w:p>
    <w:p w14:paraId="44F855B3" w14:textId="01062C7E" w:rsidR="00B54A37" w:rsidRPr="00B54A37" w:rsidRDefault="00426C04" w:rsidP="00B54A37">
      <w:pPr>
        <w:numPr>
          <w:ilvl w:val="0"/>
          <w:numId w:val="17"/>
        </w:numPr>
        <w:jc w:val="both"/>
        <w:rPr>
          <w:sz w:val="22"/>
          <w:szCs w:val="22"/>
          <w:lang w:val="en-GB"/>
        </w:rPr>
      </w:pPr>
      <w:r>
        <w:rPr>
          <w:sz w:val="22"/>
          <w:szCs w:val="22"/>
          <w:lang w:val="en-GB"/>
        </w:rPr>
        <w:t xml:space="preserve">Un </w:t>
      </w:r>
      <w:proofErr w:type="spellStart"/>
      <w:r w:rsidR="00EE212D">
        <w:rPr>
          <w:sz w:val="22"/>
          <w:szCs w:val="22"/>
          <w:lang w:val="en-GB"/>
        </w:rPr>
        <w:t>représentant</w:t>
      </w:r>
      <w:proofErr w:type="spellEnd"/>
      <w:r>
        <w:rPr>
          <w:sz w:val="22"/>
          <w:szCs w:val="22"/>
          <w:lang w:val="en-GB"/>
        </w:rPr>
        <w:t xml:space="preserve"> de </w:t>
      </w:r>
      <w:proofErr w:type="spellStart"/>
      <w:r>
        <w:rPr>
          <w:sz w:val="22"/>
          <w:szCs w:val="22"/>
          <w:lang w:val="en-GB"/>
        </w:rPr>
        <w:t>l’</w:t>
      </w:r>
      <w:r w:rsidR="00B54A37" w:rsidRPr="00B54A37">
        <w:rPr>
          <w:sz w:val="22"/>
          <w:szCs w:val="22"/>
          <w:lang w:val="en-GB"/>
        </w:rPr>
        <w:t>U</w:t>
      </w:r>
      <w:r>
        <w:rPr>
          <w:sz w:val="22"/>
          <w:szCs w:val="22"/>
          <w:lang w:val="en-GB"/>
        </w:rPr>
        <w:t>I</w:t>
      </w:r>
      <w:r w:rsidR="00B54A37" w:rsidRPr="00B54A37">
        <w:rPr>
          <w:sz w:val="22"/>
          <w:szCs w:val="22"/>
          <w:lang w:val="en-GB"/>
        </w:rPr>
        <w:t>CN</w:t>
      </w:r>
      <w:proofErr w:type="spellEnd"/>
    </w:p>
    <w:p w14:paraId="05FC9C55" w14:textId="659CD89C" w:rsidR="00B54A37" w:rsidRPr="00426C04" w:rsidRDefault="00426C04" w:rsidP="00B54A37">
      <w:pPr>
        <w:numPr>
          <w:ilvl w:val="0"/>
          <w:numId w:val="17"/>
        </w:numPr>
        <w:jc w:val="both"/>
        <w:rPr>
          <w:sz w:val="22"/>
          <w:szCs w:val="22"/>
          <w:lang w:val="fr-FR"/>
        </w:rPr>
      </w:pPr>
      <w:r w:rsidRPr="00426C04">
        <w:rPr>
          <w:sz w:val="22"/>
          <w:szCs w:val="22"/>
          <w:lang w:val="fr-FR"/>
        </w:rPr>
        <w:t xml:space="preserve">Un </w:t>
      </w:r>
      <w:r w:rsidR="00EE212D" w:rsidRPr="00426C04">
        <w:rPr>
          <w:sz w:val="22"/>
          <w:szCs w:val="22"/>
          <w:lang w:val="fr-FR"/>
        </w:rPr>
        <w:t>représentant</w:t>
      </w:r>
      <w:r w:rsidRPr="00426C04">
        <w:rPr>
          <w:sz w:val="22"/>
          <w:szCs w:val="22"/>
          <w:lang w:val="fr-FR"/>
        </w:rPr>
        <w:t xml:space="preserve"> d’une ONG </w:t>
      </w:r>
      <w:r>
        <w:rPr>
          <w:sz w:val="22"/>
          <w:szCs w:val="22"/>
          <w:lang w:val="fr-FR"/>
        </w:rPr>
        <w:t>internationale</w:t>
      </w:r>
    </w:p>
    <w:p w14:paraId="4706165C" w14:textId="3DA4A5D6" w:rsidR="00B54A37" w:rsidRPr="00426C04" w:rsidRDefault="005C4592" w:rsidP="00B54A37">
      <w:pPr>
        <w:numPr>
          <w:ilvl w:val="0"/>
          <w:numId w:val="17"/>
        </w:numPr>
        <w:jc w:val="both"/>
        <w:rPr>
          <w:sz w:val="22"/>
          <w:szCs w:val="22"/>
          <w:lang w:val="fr-FR"/>
        </w:rPr>
      </w:pPr>
      <w:r>
        <w:rPr>
          <w:sz w:val="22"/>
          <w:szCs w:val="22"/>
          <w:lang w:val="fr-FR"/>
        </w:rPr>
        <w:t>Un expert de</w:t>
      </w:r>
      <w:r w:rsidR="00426C04" w:rsidRPr="00426C04">
        <w:rPr>
          <w:sz w:val="22"/>
          <w:szCs w:val="22"/>
          <w:lang w:val="fr-FR"/>
        </w:rPr>
        <w:t xml:space="preserve"> la remise en état des</w:t>
      </w:r>
      <w:r w:rsidR="00426C04">
        <w:rPr>
          <w:sz w:val="22"/>
          <w:szCs w:val="22"/>
          <w:lang w:val="fr-FR"/>
        </w:rPr>
        <w:t xml:space="preserve"> sols de milieux pollués</w:t>
      </w:r>
    </w:p>
    <w:p w14:paraId="4F94AB13" w14:textId="5D058362" w:rsidR="00B54A37" w:rsidRPr="00B54A37" w:rsidRDefault="00426C04" w:rsidP="00B54A37">
      <w:pPr>
        <w:numPr>
          <w:ilvl w:val="0"/>
          <w:numId w:val="17"/>
        </w:numPr>
        <w:jc w:val="both"/>
        <w:rPr>
          <w:sz w:val="22"/>
          <w:szCs w:val="22"/>
          <w:lang w:val="en-GB"/>
        </w:rPr>
      </w:pPr>
      <w:r>
        <w:rPr>
          <w:sz w:val="22"/>
          <w:szCs w:val="22"/>
          <w:lang w:val="en-GB"/>
        </w:rPr>
        <w:t xml:space="preserve">Un expert </w:t>
      </w:r>
      <w:proofErr w:type="spellStart"/>
      <w:r>
        <w:rPr>
          <w:sz w:val="22"/>
          <w:szCs w:val="22"/>
          <w:lang w:val="en-GB"/>
        </w:rPr>
        <w:t>en</w:t>
      </w:r>
      <w:proofErr w:type="spellEnd"/>
      <w:r>
        <w:rPr>
          <w:sz w:val="22"/>
          <w:szCs w:val="22"/>
          <w:lang w:val="en-GB"/>
        </w:rPr>
        <w:t xml:space="preserve"> communication</w:t>
      </w:r>
    </w:p>
    <w:p w14:paraId="1573E813" w14:textId="3A1AB079" w:rsidR="00B54A37" w:rsidRPr="008802E6" w:rsidRDefault="00426C04" w:rsidP="00B54A37">
      <w:pPr>
        <w:numPr>
          <w:ilvl w:val="0"/>
          <w:numId w:val="17"/>
        </w:numPr>
        <w:jc w:val="both"/>
        <w:rPr>
          <w:sz w:val="22"/>
          <w:szCs w:val="22"/>
          <w:lang w:val="fr-FR"/>
        </w:rPr>
      </w:pPr>
      <w:r>
        <w:rPr>
          <w:sz w:val="22"/>
          <w:szCs w:val="22"/>
          <w:lang w:val="fr-FR"/>
        </w:rPr>
        <w:t>Un expert scienti</w:t>
      </w:r>
      <w:r w:rsidR="005C4592">
        <w:rPr>
          <w:sz w:val="22"/>
          <w:szCs w:val="22"/>
          <w:lang w:val="fr-FR"/>
        </w:rPr>
        <w:t>fique ou technique en matière d’</w:t>
      </w:r>
      <w:r w:rsidR="004A7E91">
        <w:rPr>
          <w:sz w:val="22"/>
          <w:szCs w:val="22"/>
          <w:lang w:val="fr-FR"/>
        </w:rPr>
        <w:t>empoisonnement au plomb</w:t>
      </w:r>
      <w:r>
        <w:rPr>
          <w:sz w:val="22"/>
          <w:szCs w:val="22"/>
          <w:lang w:val="fr-FR"/>
        </w:rPr>
        <w:t xml:space="preserve"> </w:t>
      </w:r>
    </w:p>
    <w:p w14:paraId="1A9AD129" w14:textId="6D8C5713" w:rsidR="00B54A37" w:rsidRPr="000F2D09" w:rsidRDefault="00426C04" w:rsidP="00B54A37">
      <w:pPr>
        <w:numPr>
          <w:ilvl w:val="0"/>
          <w:numId w:val="17"/>
        </w:numPr>
        <w:jc w:val="both"/>
        <w:rPr>
          <w:sz w:val="22"/>
          <w:szCs w:val="22"/>
          <w:lang w:val="fr-FR"/>
        </w:rPr>
      </w:pPr>
      <w:r>
        <w:rPr>
          <w:sz w:val="22"/>
          <w:szCs w:val="22"/>
          <w:lang w:val="fr-FR"/>
        </w:rPr>
        <w:lastRenderedPageBreak/>
        <w:t xml:space="preserve">Un </w:t>
      </w:r>
      <w:r w:rsidR="00EE212D" w:rsidRPr="000F2D09">
        <w:rPr>
          <w:sz w:val="22"/>
          <w:szCs w:val="22"/>
          <w:lang w:val="fr-FR"/>
        </w:rPr>
        <w:t>représentant</w:t>
      </w:r>
      <w:r>
        <w:rPr>
          <w:sz w:val="22"/>
          <w:szCs w:val="22"/>
          <w:lang w:val="fr-FR"/>
        </w:rPr>
        <w:t xml:space="preserve"> d’un organisme de chasse international</w:t>
      </w:r>
      <w:r w:rsidR="00B54A37" w:rsidRPr="000F2D09">
        <w:rPr>
          <w:sz w:val="22"/>
          <w:szCs w:val="22"/>
          <w:lang w:val="fr-FR"/>
        </w:rPr>
        <w:t xml:space="preserve"> </w:t>
      </w:r>
    </w:p>
    <w:p w14:paraId="4056C479" w14:textId="1001BED6" w:rsidR="00B54A37" w:rsidRPr="00426C04" w:rsidRDefault="00426C04" w:rsidP="00B54A37">
      <w:pPr>
        <w:numPr>
          <w:ilvl w:val="0"/>
          <w:numId w:val="17"/>
        </w:numPr>
        <w:jc w:val="both"/>
        <w:rPr>
          <w:sz w:val="22"/>
          <w:szCs w:val="22"/>
          <w:lang w:val="fr-FR"/>
        </w:rPr>
      </w:pPr>
      <w:r w:rsidRPr="00426C04">
        <w:rPr>
          <w:sz w:val="22"/>
          <w:szCs w:val="22"/>
          <w:lang w:val="fr-FR"/>
        </w:rPr>
        <w:t>Un acteur de l’industrie de fabrication des</w:t>
      </w:r>
      <w:r w:rsidR="00B54A37" w:rsidRPr="00426C04">
        <w:rPr>
          <w:sz w:val="22"/>
          <w:szCs w:val="22"/>
          <w:lang w:val="fr-FR"/>
        </w:rPr>
        <w:t xml:space="preserve"> </w:t>
      </w:r>
      <w:r w:rsidR="004A7E91" w:rsidRPr="00426C04">
        <w:rPr>
          <w:sz w:val="22"/>
          <w:szCs w:val="22"/>
          <w:lang w:val="fr-FR"/>
        </w:rPr>
        <w:t>munitions</w:t>
      </w:r>
    </w:p>
    <w:p w14:paraId="5BBC20BC" w14:textId="1FD96E1B" w:rsidR="00B54A37" w:rsidRPr="00426C04" w:rsidRDefault="00426C04" w:rsidP="00B54A37">
      <w:pPr>
        <w:numPr>
          <w:ilvl w:val="0"/>
          <w:numId w:val="17"/>
        </w:numPr>
        <w:jc w:val="both"/>
        <w:rPr>
          <w:sz w:val="22"/>
          <w:szCs w:val="22"/>
          <w:lang w:val="fr-FR"/>
        </w:rPr>
      </w:pPr>
      <w:r w:rsidRPr="00426C04">
        <w:rPr>
          <w:sz w:val="22"/>
          <w:szCs w:val="22"/>
          <w:lang w:val="fr-FR"/>
        </w:rPr>
        <w:t>Un acteur du commerce</w:t>
      </w:r>
      <w:r w:rsidR="005C4592">
        <w:rPr>
          <w:sz w:val="22"/>
          <w:szCs w:val="22"/>
          <w:lang w:val="fr-FR"/>
        </w:rPr>
        <w:t xml:space="preserve"> ou de la fabrication des </w:t>
      </w:r>
      <w:r>
        <w:rPr>
          <w:sz w:val="22"/>
          <w:szCs w:val="22"/>
          <w:lang w:val="fr-FR"/>
        </w:rPr>
        <w:t>armes à feu</w:t>
      </w:r>
    </w:p>
    <w:p w14:paraId="5B40B0C6" w14:textId="48D8FB62" w:rsidR="00B54A37" w:rsidRPr="00426C04" w:rsidRDefault="00426C04" w:rsidP="00B54A37">
      <w:pPr>
        <w:numPr>
          <w:ilvl w:val="0"/>
          <w:numId w:val="17"/>
        </w:numPr>
        <w:jc w:val="both"/>
        <w:rPr>
          <w:sz w:val="22"/>
          <w:szCs w:val="22"/>
          <w:lang w:val="fr-FR"/>
        </w:rPr>
      </w:pPr>
      <w:r w:rsidRPr="00426C04">
        <w:rPr>
          <w:sz w:val="22"/>
          <w:szCs w:val="22"/>
          <w:lang w:val="fr-FR"/>
        </w:rPr>
        <w:t>Un expert technique en ma</w:t>
      </w:r>
      <w:r>
        <w:rPr>
          <w:sz w:val="22"/>
          <w:szCs w:val="22"/>
          <w:lang w:val="fr-FR"/>
        </w:rPr>
        <w:t>tière de tirs ou bali</w:t>
      </w:r>
      <w:r w:rsidRPr="00426C04">
        <w:rPr>
          <w:sz w:val="22"/>
          <w:szCs w:val="22"/>
          <w:lang w:val="fr-FR"/>
        </w:rPr>
        <w:t>stique</w:t>
      </w:r>
    </w:p>
    <w:p w14:paraId="5BCA8C05" w14:textId="54EE4CCF" w:rsidR="00B54A37" w:rsidRPr="00426C04" w:rsidRDefault="00426C04" w:rsidP="00B54A37">
      <w:pPr>
        <w:numPr>
          <w:ilvl w:val="0"/>
          <w:numId w:val="17"/>
        </w:numPr>
        <w:jc w:val="both"/>
        <w:rPr>
          <w:sz w:val="22"/>
          <w:szCs w:val="22"/>
          <w:lang w:val="fr-FR"/>
        </w:rPr>
      </w:pPr>
      <w:r w:rsidRPr="00426C04">
        <w:rPr>
          <w:sz w:val="22"/>
          <w:szCs w:val="22"/>
          <w:lang w:val="fr-FR"/>
        </w:rPr>
        <w:t xml:space="preserve">Jusqu’à trois </w:t>
      </w:r>
      <w:r w:rsidR="00B54A37" w:rsidRPr="00426C04">
        <w:rPr>
          <w:sz w:val="22"/>
          <w:szCs w:val="22"/>
          <w:lang w:val="fr-FR"/>
        </w:rPr>
        <w:t xml:space="preserve">experts </w:t>
      </w:r>
      <w:r w:rsidRPr="00426C04">
        <w:rPr>
          <w:sz w:val="22"/>
          <w:szCs w:val="22"/>
          <w:lang w:val="fr-FR"/>
        </w:rPr>
        <w:t>invités sur une base ponctuelle, selon que de besoin et selon qu’</w:t>
      </w:r>
      <w:r>
        <w:rPr>
          <w:sz w:val="22"/>
          <w:szCs w:val="22"/>
          <w:lang w:val="fr-FR"/>
        </w:rPr>
        <w:t>il convient</w:t>
      </w:r>
      <w:r w:rsidR="00B54A37" w:rsidRPr="00426C04">
        <w:rPr>
          <w:sz w:val="22"/>
          <w:szCs w:val="22"/>
          <w:lang w:val="fr-FR"/>
        </w:rPr>
        <w:t xml:space="preserve"> – </w:t>
      </w:r>
      <w:r>
        <w:rPr>
          <w:sz w:val="22"/>
          <w:szCs w:val="22"/>
          <w:lang w:val="fr-FR"/>
        </w:rPr>
        <w:t xml:space="preserve">en notant que d’autres observateurs ou </w:t>
      </w:r>
      <w:r w:rsidR="00B54A37" w:rsidRPr="00426C04">
        <w:rPr>
          <w:sz w:val="22"/>
          <w:szCs w:val="22"/>
          <w:lang w:val="fr-FR"/>
        </w:rPr>
        <w:t xml:space="preserve">experts </w:t>
      </w:r>
      <w:r w:rsidR="005C4592">
        <w:rPr>
          <w:sz w:val="22"/>
          <w:szCs w:val="22"/>
          <w:lang w:val="fr-FR"/>
        </w:rPr>
        <w:t>pourro</w:t>
      </w:r>
      <w:r>
        <w:rPr>
          <w:sz w:val="22"/>
          <w:szCs w:val="22"/>
          <w:lang w:val="fr-FR"/>
        </w:rPr>
        <w:t>nt être invités à participer à des</w:t>
      </w:r>
      <w:r w:rsidR="00B54A37" w:rsidRPr="00426C04">
        <w:rPr>
          <w:sz w:val="22"/>
          <w:szCs w:val="22"/>
          <w:lang w:val="fr-FR"/>
        </w:rPr>
        <w:t xml:space="preserve"> </w:t>
      </w:r>
      <w:r w:rsidR="00DB204E" w:rsidRPr="00426C04">
        <w:rPr>
          <w:sz w:val="22"/>
          <w:szCs w:val="22"/>
          <w:lang w:val="fr-FR"/>
        </w:rPr>
        <w:t>réunion</w:t>
      </w:r>
      <w:r w:rsidR="005C4592">
        <w:rPr>
          <w:sz w:val="22"/>
          <w:szCs w:val="22"/>
          <w:lang w:val="fr-FR"/>
        </w:rPr>
        <w:t>s ou des travaux spécifiques, à titre de</w:t>
      </w:r>
      <w:r w:rsidR="00B54A37" w:rsidRPr="00426C04">
        <w:rPr>
          <w:sz w:val="22"/>
          <w:szCs w:val="22"/>
          <w:lang w:val="fr-FR"/>
        </w:rPr>
        <w:t xml:space="preserve"> </w:t>
      </w:r>
      <w:r w:rsidRPr="00426C04">
        <w:rPr>
          <w:sz w:val="22"/>
          <w:szCs w:val="22"/>
          <w:lang w:val="fr-FR"/>
        </w:rPr>
        <w:t>membre</w:t>
      </w:r>
      <w:r w:rsidR="00B54A37" w:rsidRPr="00426C04">
        <w:rPr>
          <w:sz w:val="22"/>
          <w:szCs w:val="22"/>
          <w:lang w:val="fr-FR"/>
        </w:rPr>
        <w:t>s</w:t>
      </w:r>
      <w:r>
        <w:rPr>
          <w:sz w:val="22"/>
          <w:szCs w:val="22"/>
          <w:lang w:val="fr-FR"/>
        </w:rPr>
        <w:t xml:space="preserve"> non permanents</w:t>
      </w:r>
      <w:r w:rsidR="00B54A37" w:rsidRPr="00426C04">
        <w:rPr>
          <w:sz w:val="22"/>
          <w:szCs w:val="22"/>
          <w:lang w:val="fr-FR"/>
        </w:rPr>
        <w:t>.</w:t>
      </w:r>
    </w:p>
    <w:p w14:paraId="046A91D5" w14:textId="77777777" w:rsidR="00B54A37" w:rsidRPr="00426C04" w:rsidRDefault="00B54A37" w:rsidP="00B54A37">
      <w:pPr>
        <w:jc w:val="both"/>
        <w:rPr>
          <w:sz w:val="22"/>
          <w:szCs w:val="22"/>
          <w:lang w:val="fr-FR"/>
        </w:rPr>
      </w:pPr>
    </w:p>
    <w:p w14:paraId="3006F295" w14:textId="77777777" w:rsidR="007E0035" w:rsidRPr="00426C04" w:rsidRDefault="007E0035" w:rsidP="00B54A37">
      <w:pPr>
        <w:jc w:val="both"/>
        <w:rPr>
          <w:b/>
          <w:bCs/>
          <w:sz w:val="22"/>
          <w:szCs w:val="22"/>
          <w:lang w:val="fr-FR"/>
        </w:rPr>
      </w:pPr>
    </w:p>
    <w:p w14:paraId="07694F15" w14:textId="45DBF71E" w:rsidR="00B54A37" w:rsidRPr="00FA17D6" w:rsidRDefault="00B54A37" w:rsidP="00B54A37">
      <w:pPr>
        <w:jc w:val="both"/>
        <w:rPr>
          <w:b/>
          <w:bCs/>
          <w:sz w:val="22"/>
          <w:szCs w:val="22"/>
          <w:lang w:val="fr-FR"/>
        </w:rPr>
      </w:pPr>
      <w:r w:rsidRPr="00FA17D6">
        <w:rPr>
          <w:b/>
          <w:bCs/>
          <w:sz w:val="22"/>
          <w:szCs w:val="22"/>
          <w:lang w:val="fr-FR"/>
        </w:rPr>
        <w:t>5. Go</w:t>
      </w:r>
      <w:r w:rsidR="008510A9" w:rsidRPr="00FA17D6">
        <w:rPr>
          <w:b/>
          <w:bCs/>
          <w:sz w:val="22"/>
          <w:szCs w:val="22"/>
          <w:lang w:val="fr-FR"/>
        </w:rPr>
        <w:t>u</w:t>
      </w:r>
      <w:r w:rsidRPr="00FA17D6">
        <w:rPr>
          <w:b/>
          <w:bCs/>
          <w:sz w:val="22"/>
          <w:szCs w:val="22"/>
          <w:lang w:val="fr-FR"/>
        </w:rPr>
        <w:t xml:space="preserve">vernance </w:t>
      </w:r>
    </w:p>
    <w:p w14:paraId="6E0B7CAB" w14:textId="77777777" w:rsidR="00B54A37" w:rsidRPr="00FA17D6" w:rsidRDefault="00B54A37" w:rsidP="00B54A37">
      <w:pPr>
        <w:jc w:val="both"/>
        <w:rPr>
          <w:sz w:val="22"/>
          <w:szCs w:val="22"/>
          <w:lang w:val="fr-FR"/>
        </w:rPr>
      </w:pPr>
    </w:p>
    <w:p w14:paraId="49BA941F" w14:textId="410F4950" w:rsidR="00B54A37" w:rsidRPr="00EE212D" w:rsidRDefault="002D04A3" w:rsidP="00B54A37">
      <w:pPr>
        <w:jc w:val="both"/>
        <w:rPr>
          <w:sz w:val="22"/>
          <w:szCs w:val="22"/>
          <w:lang w:val="fr-FR"/>
        </w:rPr>
      </w:pPr>
      <w:r>
        <w:rPr>
          <w:sz w:val="22"/>
          <w:szCs w:val="22"/>
          <w:lang w:val="fr-FR"/>
        </w:rPr>
        <w:t xml:space="preserve">Le groupe </w:t>
      </w:r>
      <w:r w:rsidR="00F6586A">
        <w:rPr>
          <w:sz w:val="22"/>
          <w:szCs w:val="22"/>
          <w:lang w:val="fr-FR"/>
        </w:rPr>
        <w:t>spécial</w:t>
      </w:r>
      <w:r w:rsidR="00B54A37" w:rsidRPr="00253F0E">
        <w:rPr>
          <w:sz w:val="22"/>
          <w:szCs w:val="22"/>
          <w:lang w:val="fr-FR"/>
        </w:rPr>
        <w:t xml:space="preserve"> </w:t>
      </w:r>
      <w:r w:rsidR="00253F0E" w:rsidRPr="00253F0E">
        <w:rPr>
          <w:sz w:val="22"/>
          <w:szCs w:val="22"/>
          <w:lang w:val="fr-FR"/>
        </w:rPr>
        <w:t xml:space="preserve">élira un président </w:t>
      </w:r>
      <w:r w:rsidR="005C4592">
        <w:rPr>
          <w:sz w:val="22"/>
          <w:szCs w:val="22"/>
          <w:lang w:val="fr-FR"/>
        </w:rPr>
        <w:t xml:space="preserve">et un vice-président parmi </w:t>
      </w:r>
      <w:r w:rsidR="00253F0E" w:rsidRPr="00253F0E">
        <w:rPr>
          <w:sz w:val="22"/>
          <w:szCs w:val="22"/>
          <w:lang w:val="fr-FR"/>
        </w:rPr>
        <w:t xml:space="preserve">ses </w:t>
      </w:r>
      <w:r w:rsidR="00426C04" w:rsidRPr="00253F0E">
        <w:rPr>
          <w:sz w:val="22"/>
          <w:szCs w:val="22"/>
          <w:lang w:val="fr-FR"/>
        </w:rPr>
        <w:t>membre</w:t>
      </w:r>
      <w:r w:rsidR="00B54A37" w:rsidRPr="00253F0E">
        <w:rPr>
          <w:sz w:val="22"/>
          <w:szCs w:val="22"/>
          <w:lang w:val="fr-FR"/>
        </w:rPr>
        <w:t>s</w:t>
      </w:r>
      <w:r w:rsidR="00EE212D" w:rsidRPr="00253F0E">
        <w:rPr>
          <w:sz w:val="22"/>
          <w:szCs w:val="22"/>
          <w:lang w:val="fr-FR"/>
        </w:rPr>
        <w:t xml:space="preserve"> et </w:t>
      </w:r>
      <w:r w:rsidR="00253F0E">
        <w:rPr>
          <w:sz w:val="22"/>
          <w:szCs w:val="22"/>
          <w:lang w:val="fr-FR"/>
        </w:rPr>
        <w:t xml:space="preserve">fonctionnera en recherchant un </w:t>
      </w:r>
      <w:r w:rsidR="00B54A37" w:rsidRPr="00253F0E">
        <w:rPr>
          <w:sz w:val="22"/>
          <w:szCs w:val="22"/>
          <w:lang w:val="fr-FR"/>
        </w:rPr>
        <w:t>consensus a</w:t>
      </w:r>
      <w:r w:rsidR="00253F0E">
        <w:rPr>
          <w:sz w:val="22"/>
          <w:szCs w:val="22"/>
          <w:lang w:val="fr-FR"/>
        </w:rPr>
        <w:t xml:space="preserve">u sein du </w:t>
      </w:r>
      <w:r w:rsidR="00B54A37" w:rsidRPr="00253F0E">
        <w:rPr>
          <w:sz w:val="22"/>
          <w:szCs w:val="22"/>
          <w:lang w:val="fr-FR"/>
        </w:rPr>
        <w:t>group</w:t>
      </w:r>
      <w:r w:rsidR="00253F0E">
        <w:rPr>
          <w:sz w:val="22"/>
          <w:szCs w:val="22"/>
          <w:lang w:val="fr-FR"/>
        </w:rPr>
        <w:t>e</w:t>
      </w:r>
      <w:r w:rsidR="00B54A37" w:rsidRPr="00253F0E">
        <w:rPr>
          <w:sz w:val="22"/>
          <w:szCs w:val="22"/>
          <w:lang w:val="fr-FR"/>
        </w:rPr>
        <w:t xml:space="preserve">. </w:t>
      </w:r>
      <w:r>
        <w:rPr>
          <w:sz w:val="22"/>
          <w:szCs w:val="22"/>
          <w:lang w:val="fr-FR"/>
        </w:rPr>
        <w:t>Le groupe d’étude</w:t>
      </w:r>
      <w:r w:rsidR="005C4592">
        <w:rPr>
          <w:sz w:val="22"/>
          <w:szCs w:val="22"/>
          <w:lang w:val="fr-FR"/>
        </w:rPr>
        <w:t xml:space="preserve"> rendra compte</w:t>
      </w:r>
      <w:r w:rsidR="00253F0E">
        <w:rPr>
          <w:sz w:val="22"/>
          <w:szCs w:val="22"/>
          <w:lang w:val="fr-FR"/>
        </w:rPr>
        <w:t xml:space="preserve"> chaque année au </w:t>
      </w:r>
      <w:r w:rsidR="00CD24E0" w:rsidRPr="00EE212D">
        <w:rPr>
          <w:sz w:val="22"/>
          <w:szCs w:val="22"/>
          <w:lang w:val="fr-FR"/>
        </w:rPr>
        <w:t>Conseil scientifique</w:t>
      </w:r>
      <w:r w:rsidR="00B54A37" w:rsidRPr="00EE212D">
        <w:rPr>
          <w:sz w:val="22"/>
          <w:szCs w:val="22"/>
          <w:lang w:val="fr-FR"/>
        </w:rPr>
        <w:t xml:space="preserve"> </w:t>
      </w:r>
      <w:r w:rsidR="00253F0E">
        <w:rPr>
          <w:sz w:val="22"/>
          <w:szCs w:val="22"/>
          <w:lang w:val="fr-FR"/>
        </w:rPr>
        <w:t>de la CMS</w:t>
      </w:r>
      <w:r w:rsidR="005C4592">
        <w:rPr>
          <w:sz w:val="22"/>
          <w:szCs w:val="22"/>
          <w:lang w:val="fr-FR"/>
        </w:rPr>
        <w:t>,</w:t>
      </w:r>
      <w:r w:rsidR="00253F0E">
        <w:rPr>
          <w:sz w:val="22"/>
          <w:szCs w:val="22"/>
          <w:lang w:val="fr-FR"/>
        </w:rPr>
        <w:t xml:space="preserve"> par le biais du</w:t>
      </w:r>
      <w:r w:rsidR="00971318" w:rsidRPr="00EE212D">
        <w:rPr>
          <w:sz w:val="22"/>
          <w:szCs w:val="22"/>
          <w:lang w:val="fr-FR"/>
        </w:rPr>
        <w:t xml:space="preserve"> </w:t>
      </w:r>
      <w:r w:rsidR="00253F0E">
        <w:rPr>
          <w:sz w:val="22"/>
          <w:szCs w:val="22"/>
          <w:lang w:val="fr-FR"/>
        </w:rPr>
        <w:t xml:space="preserve">coordinateur du </w:t>
      </w:r>
      <w:r w:rsidR="005C4592">
        <w:rPr>
          <w:sz w:val="22"/>
          <w:szCs w:val="22"/>
          <w:lang w:val="fr-FR"/>
        </w:rPr>
        <w:t>G</w:t>
      </w:r>
      <w:r w:rsidR="00971318" w:rsidRPr="00EE212D">
        <w:rPr>
          <w:sz w:val="22"/>
          <w:szCs w:val="22"/>
          <w:lang w:val="fr-FR"/>
        </w:rPr>
        <w:t>roupe de travail sur la prévention de l’empoisonnement</w:t>
      </w:r>
      <w:r w:rsidR="005C4592">
        <w:rPr>
          <w:sz w:val="22"/>
          <w:szCs w:val="22"/>
          <w:lang w:val="fr-FR"/>
        </w:rPr>
        <w:t>,</w:t>
      </w:r>
      <w:r w:rsidR="00B54A37" w:rsidRPr="00EE212D">
        <w:rPr>
          <w:sz w:val="22"/>
          <w:szCs w:val="22"/>
          <w:lang w:val="fr-FR"/>
        </w:rPr>
        <w:t xml:space="preserve"> </w:t>
      </w:r>
      <w:r w:rsidR="005C4592">
        <w:rPr>
          <w:sz w:val="22"/>
          <w:szCs w:val="22"/>
          <w:lang w:val="fr-FR"/>
        </w:rPr>
        <w:t xml:space="preserve">de </w:t>
      </w:r>
      <w:r w:rsidR="00253F0E">
        <w:rPr>
          <w:sz w:val="22"/>
          <w:szCs w:val="22"/>
          <w:lang w:val="fr-FR"/>
        </w:rPr>
        <w:t xml:space="preserve">ses </w:t>
      </w:r>
      <w:r w:rsidR="00B54A37" w:rsidRPr="00EE212D">
        <w:rPr>
          <w:sz w:val="22"/>
          <w:szCs w:val="22"/>
          <w:lang w:val="fr-FR"/>
        </w:rPr>
        <w:t xml:space="preserve">actions, </w:t>
      </w:r>
      <w:r w:rsidR="005C4592">
        <w:rPr>
          <w:sz w:val="22"/>
          <w:szCs w:val="22"/>
          <w:lang w:val="fr-FR"/>
        </w:rPr>
        <w:t xml:space="preserve">ses résultats, ses </w:t>
      </w:r>
      <w:r w:rsidR="00253F0E">
        <w:rPr>
          <w:sz w:val="22"/>
          <w:szCs w:val="22"/>
          <w:lang w:val="fr-FR"/>
        </w:rPr>
        <w:t>membre</w:t>
      </w:r>
      <w:r w:rsidR="005C4592">
        <w:rPr>
          <w:sz w:val="22"/>
          <w:szCs w:val="22"/>
          <w:lang w:val="fr-FR"/>
        </w:rPr>
        <w:t>s</w:t>
      </w:r>
      <w:r w:rsidR="00253F0E">
        <w:rPr>
          <w:sz w:val="22"/>
          <w:szCs w:val="22"/>
          <w:lang w:val="fr-FR"/>
        </w:rPr>
        <w:t xml:space="preserve">, </w:t>
      </w:r>
      <w:r w:rsidR="00EE212D" w:rsidRPr="00EE212D">
        <w:rPr>
          <w:sz w:val="22"/>
          <w:szCs w:val="22"/>
          <w:lang w:val="fr-FR"/>
        </w:rPr>
        <w:t>et</w:t>
      </w:r>
      <w:r w:rsidR="00426C04">
        <w:rPr>
          <w:sz w:val="22"/>
          <w:szCs w:val="22"/>
          <w:lang w:val="fr-FR"/>
        </w:rPr>
        <w:t xml:space="preserve"> d’autres</w:t>
      </w:r>
      <w:r w:rsidR="00253F0E">
        <w:rPr>
          <w:sz w:val="22"/>
          <w:szCs w:val="22"/>
          <w:lang w:val="fr-FR"/>
        </w:rPr>
        <w:t xml:space="preserve"> </w:t>
      </w:r>
      <w:r w:rsidR="004A7E91">
        <w:rPr>
          <w:sz w:val="22"/>
          <w:szCs w:val="22"/>
          <w:lang w:val="fr-FR"/>
        </w:rPr>
        <w:t>question</w:t>
      </w:r>
      <w:r w:rsidR="00B54A37" w:rsidRPr="00EE212D">
        <w:rPr>
          <w:sz w:val="22"/>
          <w:szCs w:val="22"/>
          <w:lang w:val="fr-FR"/>
        </w:rPr>
        <w:t>s</w:t>
      </w:r>
      <w:r w:rsidR="00253F0E">
        <w:rPr>
          <w:sz w:val="22"/>
          <w:szCs w:val="22"/>
          <w:lang w:val="fr-FR"/>
        </w:rPr>
        <w:t xml:space="preserve"> connexes</w:t>
      </w:r>
      <w:r w:rsidR="00B54A37" w:rsidRPr="00EE212D">
        <w:rPr>
          <w:sz w:val="22"/>
          <w:szCs w:val="22"/>
          <w:lang w:val="fr-FR"/>
        </w:rPr>
        <w:t xml:space="preserve">. </w:t>
      </w:r>
    </w:p>
    <w:p w14:paraId="15D14799" w14:textId="77777777" w:rsidR="00B54A37" w:rsidRPr="00EE212D" w:rsidRDefault="00B54A37" w:rsidP="00B54A37">
      <w:pPr>
        <w:jc w:val="both"/>
        <w:rPr>
          <w:b/>
          <w:bCs/>
          <w:sz w:val="22"/>
          <w:szCs w:val="22"/>
          <w:lang w:val="fr-FR"/>
        </w:rPr>
      </w:pPr>
    </w:p>
    <w:p w14:paraId="038834ED" w14:textId="77777777" w:rsidR="00847178" w:rsidRPr="00EE212D" w:rsidRDefault="00847178" w:rsidP="00B54A37">
      <w:pPr>
        <w:jc w:val="both"/>
        <w:rPr>
          <w:b/>
          <w:bCs/>
          <w:sz w:val="22"/>
          <w:szCs w:val="22"/>
          <w:lang w:val="fr-FR"/>
        </w:rPr>
      </w:pPr>
    </w:p>
    <w:p w14:paraId="18B4865C" w14:textId="281D24C3" w:rsidR="00B54A37" w:rsidRPr="00FA17D6" w:rsidRDefault="00B54A37" w:rsidP="00B54A37">
      <w:pPr>
        <w:jc w:val="both"/>
        <w:rPr>
          <w:b/>
          <w:bCs/>
          <w:sz w:val="22"/>
          <w:szCs w:val="22"/>
          <w:lang w:val="fr-FR"/>
        </w:rPr>
      </w:pPr>
      <w:r w:rsidRPr="00FA17D6">
        <w:rPr>
          <w:b/>
          <w:bCs/>
          <w:sz w:val="22"/>
          <w:szCs w:val="22"/>
          <w:lang w:val="fr-FR"/>
        </w:rPr>
        <w:t xml:space="preserve">6. </w:t>
      </w:r>
      <w:r w:rsidR="008510A9" w:rsidRPr="00FA17D6">
        <w:rPr>
          <w:b/>
          <w:bCs/>
          <w:sz w:val="22"/>
          <w:szCs w:val="22"/>
          <w:lang w:val="fr-FR"/>
        </w:rPr>
        <w:t>Fonctionnement</w:t>
      </w:r>
      <w:r w:rsidRPr="00FA17D6">
        <w:rPr>
          <w:b/>
          <w:bCs/>
          <w:sz w:val="22"/>
          <w:szCs w:val="22"/>
          <w:lang w:val="fr-FR"/>
        </w:rPr>
        <w:t xml:space="preserve"> </w:t>
      </w:r>
    </w:p>
    <w:p w14:paraId="60933FBA" w14:textId="77777777" w:rsidR="00B54A37" w:rsidRPr="00FA17D6" w:rsidRDefault="00B54A37" w:rsidP="00B54A37">
      <w:pPr>
        <w:jc w:val="both"/>
        <w:rPr>
          <w:sz w:val="22"/>
          <w:szCs w:val="22"/>
          <w:lang w:val="fr-FR"/>
        </w:rPr>
      </w:pPr>
    </w:p>
    <w:p w14:paraId="0C00A747" w14:textId="4DB229B6" w:rsidR="00B54A37" w:rsidRPr="00253F0E" w:rsidRDefault="00253F0E" w:rsidP="00B54A37">
      <w:pPr>
        <w:jc w:val="both"/>
        <w:rPr>
          <w:sz w:val="22"/>
          <w:szCs w:val="22"/>
          <w:lang w:val="fr-FR"/>
        </w:rPr>
      </w:pPr>
      <w:r w:rsidRPr="00253F0E">
        <w:rPr>
          <w:sz w:val="22"/>
          <w:szCs w:val="22"/>
          <w:lang w:val="fr-FR"/>
        </w:rPr>
        <w:t>Dans la limite des r</w:t>
      </w:r>
      <w:r w:rsidR="00B54A37" w:rsidRPr="00253F0E">
        <w:rPr>
          <w:sz w:val="22"/>
          <w:szCs w:val="22"/>
          <w:lang w:val="fr-FR"/>
        </w:rPr>
        <w:t>es</w:t>
      </w:r>
      <w:r w:rsidRPr="00253F0E">
        <w:rPr>
          <w:sz w:val="22"/>
          <w:szCs w:val="22"/>
          <w:lang w:val="fr-FR"/>
        </w:rPr>
        <w:t>s</w:t>
      </w:r>
      <w:r w:rsidR="00B54A37" w:rsidRPr="00253F0E">
        <w:rPr>
          <w:sz w:val="22"/>
          <w:szCs w:val="22"/>
          <w:lang w:val="fr-FR"/>
        </w:rPr>
        <w:t xml:space="preserve">ources </w:t>
      </w:r>
      <w:r w:rsidRPr="00253F0E">
        <w:rPr>
          <w:sz w:val="22"/>
          <w:szCs w:val="22"/>
          <w:lang w:val="fr-FR"/>
        </w:rPr>
        <w:t xml:space="preserve">disponibles, un </w:t>
      </w:r>
      <w:r w:rsidR="00F10F82" w:rsidRPr="00253F0E">
        <w:rPr>
          <w:sz w:val="22"/>
          <w:szCs w:val="22"/>
          <w:lang w:val="fr-FR"/>
        </w:rPr>
        <w:t>coordinateur</w:t>
      </w:r>
      <w:r w:rsidR="00B54A37" w:rsidRPr="00253F0E">
        <w:rPr>
          <w:sz w:val="22"/>
          <w:szCs w:val="22"/>
          <w:lang w:val="fr-FR"/>
        </w:rPr>
        <w:t xml:space="preserve"> </w:t>
      </w:r>
      <w:r w:rsidRPr="00253F0E">
        <w:rPr>
          <w:sz w:val="22"/>
          <w:szCs w:val="22"/>
          <w:lang w:val="fr-FR"/>
        </w:rPr>
        <w:t xml:space="preserve">sera nommé et aura pour fonctions de </w:t>
      </w:r>
      <w:r w:rsidR="00B54A37" w:rsidRPr="00253F0E">
        <w:rPr>
          <w:sz w:val="22"/>
          <w:szCs w:val="22"/>
          <w:lang w:val="fr-FR"/>
        </w:rPr>
        <w:t xml:space="preserve">: </w:t>
      </w:r>
    </w:p>
    <w:p w14:paraId="101E0711" w14:textId="77777777" w:rsidR="00B54A37" w:rsidRPr="00253F0E" w:rsidRDefault="00B54A37" w:rsidP="00B54A37">
      <w:pPr>
        <w:jc w:val="both"/>
        <w:rPr>
          <w:sz w:val="22"/>
          <w:szCs w:val="22"/>
          <w:lang w:val="fr-FR"/>
        </w:rPr>
      </w:pPr>
    </w:p>
    <w:p w14:paraId="6B01DA76" w14:textId="39E10DAA" w:rsidR="00B54A37" w:rsidRPr="00253F0E" w:rsidRDefault="00B54A37" w:rsidP="00B54A37">
      <w:pPr>
        <w:jc w:val="both"/>
        <w:rPr>
          <w:sz w:val="22"/>
          <w:szCs w:val="22"/>
          <w:lang w:val="fr-FR"/>
        </w:rPr>
      </w:pPr>
      <w:r w:rsidRPr="00253F0E">
        <w:rPr>
          <w:sz w:val="22"/>
          <w:szCs w:val="22"/>
          <w:lang w:val="fr-FR"/>
        </w:rPr>
        <w:t xml:space="preserve">- </w:t>
      </w:r>
      <w:r w:rsidR="00400F69" w:rsidRPr="00253F0E">
        <w:rPr>
          <w:sz w:val="22"/>
          <w:szCs w:val="22"/>
          <w:lang w:val="fr-FR"/>
        </w:rPr>
        <w:t>organi</w:t>
      </w:r>
      <w:r w:rsidR="00253F0E" w:rsidRPr="00253F0E">
        <w:rPr>
          <w:sz w:val="22"/>
          <w:szCs w:val="22"/>
          <w:lang w:val="fr-FR"/>
        </w:rPr>
        <w:t>ser</w:t>
      </w:r>
      <w:r w:rsidR="00400F69" w:rsidRPr="00253F0E">
        <w:rPr>
          <w:sz w:val="22"/>
          <w:szCs w:val="22"/>
          <w:lang w:val="fr-FR"/>
        </w:rPr>
        <w:t xml:space="preserve"> </w:t>
      </w:r>
      <w:r w:rsidR="00253F0E" w:rsidRPr="00253F0E">
        <w:rPr>
          <w:sz w:val="22"/>
          <w:szCs w:val="22"/>
          <w:lang w:val="fr-FR"/>
        </w:rPr>
        <w:t>l</w:t>
      </w:r>
      <w:r w:rsidRPr="00253F0E">
        <w:rPr>
          <w:sz w:val="22"/>
          <w:szCs w:val="22"/>
          <w:lang w:val="fr-FR"/>
        </w:rPr>
        <w:t>e</w:t>
      </w:r>
      <w:r w:rsidR="00253F0E">
        <w:rPr>
          <w:sz w:val="22"/>
          <w:szCs w:val="22"/>
          <w:lang w:val="fr-FR"/>
        </w:rPr>
        <w:t>s</w:t>
      </w:r>
      <w:r w:rsidRPr="00253F0E">
        <w:rPr>
          <w:sz w:val="22"/>
          <w:szCs w:val="22"/>
          <w:lang w:val="fr-FR"/>
        </w:rPr>
        <w:t xml:space="preserve"> </w:t>
      </w:r>
      <w:r w:rsidR="00DB204E" w:rsidRPr="00253F0E">
        <w:rPr>
          <w:sz w:val="22"/>
          <w:szCs w:val="22"/>
          <w:lang w:val="fr-FR"/>
        </w:rPr>
        <w:t>réunion</w:t>
      </w:r>
      <w:r w:rsidR="00253F0E">
        <w:rPr>
          <w:sz w:val="22"/>
          <w:szCs w:val="22"/>
          <w:lang w:val="fr-FR"/>
        </w:rPr>
        <w:t xml:space="preserve">s </w:t>
      </w:r>
      <w:r w:rsidR="005D22B5">
        <w:rPr>
          <w:sz w:val="22"/>
          <w:szCs w:val="22"/>
          <w:lang w:val="fr-FR"/>
        </w:rPr>
        <w:t xml:space="preserve">du </w:t>
      </w:r>
      <w:r w:rsidR="002D04A3">
        <w:rPr>
          <w:sz w:val="22"/>
          <w:szCs w:val="22"/>
          <w:lang w:val="fr-FR"/>
        </w:rPr>
        <w:t xml:space="preserve">groupe </w:t>
      </w:r>
      <w:r w:rsidR="00F6586A">
        <w:rPr>
          <w:sz w:val="22"/>
          <w:szCs w:val="22"/>
          <w:lang w:val="fr-FR"/>
        </w:rPr>
        <w:t>spécial</w:t>
      </w:r>
      <w:r w:rsidR="00EE212D" w:rsidRPr="00253F0E">
        <w:rPr>
          <w:sz w:val="22"/>
          <w:szCs w:val="22"/>
          <w:lang w:val="fr-FR"/>
        </w:rPr>
        <w:t xml:space="preserve"> et </w:t>
      </w:r>
      <w:r w:rsidR="00253F0E">
        <w:rPr>
          <w:sz w:val="22"/>
          <w:szCs w:val="22"/>
          <w:lang w:val="fr-FR"/>
        </w:rPr>
        <w:t>pré</w:t>
      </w:r>
      <w:r w:rsidRPr="00253F0E">
        <w:rPr>
          <w:sz w:val="22"/>
          <w:szCs w:val="22"/>
          <w:lang w:val="fr-FR"/>
        </w:rPr>
        <w:t>pare</w:t>
      </w:r>
      <w:r w:rsidR="00253F0E">
        <w:rPr>
          <w:sz w:val="22"/>
          <w:szCs w:val="22"/>
          <w:lang w:val="fr-FR"/>
        </w:rPr>
        <w:t xml:space="preserve">r les </w:t>
      </w:r>
      <w:r w:rsidRPr="00253F0E">
        <w:rPr>
          <w:sz w:val="22"/>
          <w:szCs w:val="22"/>
          <w:lang w:val="fr-FR"/>
        </w:rPr>
        <w:t>documents</w:t>
      </w:r>
      <w:r w:rsidR="00253F0E">
        <w:rPr>
          <w:sz w:val="22"/>
          <w:szCs w:val="22"/>
          <w:lang w:val="fr-FR"/>
        </w:rPr>
        <w:t xml:space="preserve"> </w:t>
      </w:r>
      <w:proofErr w:type="gramStart"/>
      <w:r w:rsidR="00253F0E">
        <w:rPr>
          <w:sz w:val="22"/>
          <w:szCs w:val="22"/>
          <w:lang w:val="fr-FR"/>
        </w:rPr>
        <w:t>d’information</w:t>
      </w:r>
      <w:r w:rsidRPr="00253F0E">
        <w:rPr>
          <w:sz w:val="22"/>
          <w:szCs w:val="22"/>
          <w:lang w:val="fr-FR"/>
        </w:rPr>
        <w:t>;</w:t>
      </w:r>
      <w:proofErr w:type="gramEnd"/>
      <w:r w:rsidRPr="00253F0E">
        <w:rPr>
          <w:sz w:val="22"/>
          <w:szCs w:val="22"/>
          <w:lang w:val="fr-FR"/>
        </w:rPr>
        <w:t xml:space="preserve"> </w:t>
      </w:r>
    </w:p>
    <w:p w14:paraId="4126BF0D" w14:textId="479904C1" w:rsidR="00B54A37" w:rsidRPr="00253F0E" w:rsidRDefault="00253F0E" w:rsidP="00B54A37">
      <w:pPr>
        <w:jc w:val="both"/>
        <w:rPr>
          <w:sz w:val="22"/>
          <w:szCs w:val="22"/>
          <w:lang w:val="fr-FR"/>
        </w:rPr>
      </w:pPr>
      <w:r w:rsidRPr="00253F0E">
        <w:rPr>
          <w:sz w:val="22"/>
          <w:szCs w:val="22"/>
          <w:lang w:val="fr-FR"/>
        </w:rPr>
        <w:t xml:space="preserve">- coordonner les communications </w:t>
      </w:r>
      <w:r w:rsidR="005D22B5">
        <w:rPr>
          <w:sz w:val="22"/>
          <w:szCs w:val="22"/>
          <w:lang w:val="fr-FR"/>
        </w:rPr>
        <w:t xml:space="preserve">du </w:t>
      </w:r>
      <w:r w:rsidR="002D04A3">
        <w:rPr>
          <w:sz w:val="22"/>
          <w:szCs w:val="22"/>
          <w:lang w:val="fr-FR"/>
        </w:rPr>
        <w:t xml:space="preserve">groupe </w:t>
      </w:r>
      <w:proofErr w:type="gramStart"/>
      <w:r w:rsidR="00F6586A">
        <w:rPr>
          <w:sz w:val="22"/>
          <w:szCs w:val="22"/>
          <w:lang w:val="fr-FR"/>
        </w:rPr>
        <w:t>spécial</w:t>
      </w:r>
      <w:r w:rsidR="00B54A37" w:rsidRPr="00253F0E">
        <w:rPr>
          <w:sz w:val="22"/>
          <w:szCs w:val="22"/>
          <w:lang w:val="fr-FR"/>
        </w:rPr>
        <w:t>;</w:t>
      </w:r>
      <w:proofErr w:type="gramEnd"/>
    </w:p>
    <w:p w14:paraId="067C3C01" w14:textId="7F040F39" w:rsidR="00B54A37" w:rsidRPr="00EE212D" w:rsidRDefault="00253F0E" w:rsidP="00B54A37">
      <w:pPr>
        <w:jc w:val="both"/>
        <w:rPr>
          <w:sz w:val="22"/>
          <w:szCs w:val="22"/>
          <w:lang w:val="fr-FR"/>
        </w:rPr>
      </w:pPr>
      <w:r>
        <w:rPr>
          <w:sz w:val="22"/>
          <w:szCs w:val="22"/>
          <w:lang w:val="fr-FR"/>
        </w:rPr>
        <w:t>- faciliter la</w:t>
      </w:r>
      <w:r w:rsidR="00B54A37" w:rsidRPr="00EE212D">
        <w:rPr>
          <w:sz w:val="22"/>
          <w:szCs w:val="22"/>
          <w:lang w:val="fr-FR"/>
        </w:rPr>
        <w:t xml:space="preserve"> </w:t>
      </w:r>
      <w:r w:rsidR="005C4592">
        <w:rPr>
          <w:sz w:val="22"/>
          <w:szCs w:val="22"/>
          <w:lang w:val="fr-FR"/>
        </w:rPr>
        <w:t>collecte</w:t>
      </w:r>
      <w:r>
        <w:rPr>
          <w:sz w:val="22"/>
          <w:szCs w:val="22"/>
          <w:lang w:val="fr-FR"/>
        </w:rPr>
        <w:t xml:space="preserve"> de fonds et la </w:t>
      </w:r>
      <w:r w:rsidR="00B54A37" w:rsidRPr="00EE212D">
        <w:rPr>
          <w:sz w:val="22"/>
          <w:szCs w:val="22"/>
          <w:lang w:val="fr-FR"/>
        </w:rPr>
        <w:t>mobilisation</w:t>
      </w:r>
      <w:r>
        <w:rPr>
          <w:sz w:val="22"/>
          <w:szCs w:val="22"/>
          <w:lang w:val="fr-FR"/>
        </w:rPr>
        <w:t xml:space="preserve"> des </w:t>
      </w:r>
      <w:proofErr w:type="gramStart"/>
      <w:r>
        <w:rPr>
          <w:sz w:val="22"/>
          <w:szCs w:val="22"/>
          <w:lang w:val="fr-FR"/>
        </w:rPr>
        <w:t>ressources</w:t>
      </w:r>
      <w:r w:rsidR="00B54A37" w:rsidRPr="00EE212D">
        <w:rPr>
          <w:sz w:val="22"/>
          <w:szCs w:val="22"/>
          <w:lang w:val="fr-FR"/>
        </w:rPr>
        <w:t>;</w:t>
      </w:r>
      <w:proofErr w:type="gramEnd"/>
      <w:r>
        <w:rPr>
          <w:sz w:val="22"/>
          <w:szCs w:val="22"/>
          <w:lang w:val="fr-FR"/>
        </w:rPr>
        <w:t xml:space="preserve"> </w:t>
      </w:r>
      <w:r w:rsidR="00EE212D" w:rsidRPr="00EE212D">
        <w:rPr>
          <w:sz w:val="22"/>
          <w:szCs w:val="22"/>
          <w:lang w:val="fr-FR"/>
        </w:rPr>
        <w:t xml:space="preserve"> </w:t>
      </w:r>
    </w:p>
    <w:p w14:paraId="6716A384" w14:textId="70362798" w:rsidR="00B54A37" w:rsidRPr="00EE212D" w:rsidRDefault="00253F0E" w:rsidP="00B54A37">
      <w:pPr>
        <w:jc w:val="both"/>
        <w:rPr>
          <w:sz w:val="22"/>
          <w:szCs w:val="22"/>
          <w:lang w:val="fr-FR"/>
        </w:rPr>
      </w:pPr>
      <w:r>
        <w:rPr>
          <w:sz w:val="22"/>
          <w:szCs w:val="22"/>
          <w:lang w:val="fr-FR"/>
        </w:rPr>
        <w:t>- faciliter</w:t>
      </w:r>
      <w:r w:rsidR="00B54A37" w:rsidRPr="00EE212D">
        <w:rPr>
          <w:sz w:val="22"/>
          <w:szCs w:val="22"/>
          <w:lang w:val="fr-FR"/>
        </w:rPr>
        <w:t xml:space="preserve"> </w:t>
      </w:r>
      <w:r>
        <w:rPr>
          <w:sz w:val="22"/>
          <w:szCs w:val="22"/>
          <w:lang w:val="fr-FR"/>
        </w:rPr>
        <w:t>l’</w:t>
      </w:r>
      <w:r w:rsidR="00B54A37" w:rsidRPr="00EE212D">
        <w:rPr>
          <w:sz w:val="22"/>
          <w:szCs w:val="22"/>
          <w:lang w:val="fr-FR"/>
        </w:rPr>
        <w:t>engagement</w:t>
      </w:r>
      <w:r>
        <w:rPr>
          <w:sz w:val="22"/>
          <w:szCs w:val="22"/>
          <w:lang w:val="fr-FR"/>
        </w:rPr>
        <w:t xml:space="preserve"> des parties prenantes </w:t>
      </w:r>
      <w:r w:rsidR="00B10D13">
        <w:rPr>
          <w:sz w:val="22"/>
          <w:szCs w:val="22"/>
          <w:lang w:val="fr-FR"/>
        </w:rPr>
        <w:t>au sein et au-delà</w:t>
      </w:r>
      <w:r>
        <w:rPr>
          <w:sz w:val="22"/>
          <w:szCs w:val="22"/>
          <w:lang w:val="fr-FR"/>
        </w:rPr>
        <w:t xml:space="preserve"> </w:t>
      </w:r>
      <w:r w:rsidR="005D22B5">
        <w:rPr>
          <w:sz w:val="22"/>
          <w:szCs w:val="22"/>
          <w:lang w:val="fr-FR"/>
        </w:rPr>
        <w:t xml:space="preserve">du </w:t>
      </w:r>
      <w:r w:rsidR="002D04A3">
        <w:rPr>
          <w:sz w:val="22"/>
          <w:szCs w:val="22"/>
          <w:lang w:val="fr-FR"/>
        </w:rPr>
        <w:t>groupe d’étude</w:t>
      </w:r>
      <w:r w:rsidR="00B54A37" w:rsidRPr="00EE212D">
        <w:rPr>
          <w:sz w:val="22"/>
          <w:szCs w:val="22"/>
          <w:lang w:val="fr-FR"/>
        </w:rPr>
        <w:t xml:space="preserve">. </w:t>
      </w:r>
    </w:p>
    <w:p w14:paraId="6A8BDEC9" w14:textId="77777777" w:rsidR="00B54A37" w:rsidRPr="00EE212D" w:rsidRDefault="00B54A37" w:rsidP="00B54A37">
      <w:pPr>
        <w:jc w:val="both"/>
        <w:rPr>
          <w:sz w:val="22"/>
          <w:szCs w:val="22"/>
          <w:lang w:val="fr-FR"/>
        </w:rPr>
      </w:pPr>
    </w:p>
    <w:p w14:paraId="12EEAB13" w14:textId="7F7C740B" w:rsidR="00B54A37" w:rsidRPr="00253F0E" w:rsidRDefault="00426C04" w:rsidP="00B54A37">
      <w:pPr>
        <w:jc w:val="both"/>
        <w:rPr>
          <w:sz w:val="22"/>
          <w:szCs w:val="22"/>
          <w:lang w:val="fr-FR"/>
        </w:rPr>
      </w:pPr>
      <w:r w:rsidRPr="00426C04">
        <w:rPr>
          <w:sz w:val="22"/>
          <w:szCs w:val="22"/>
          <w:lang w:val="fr-FR"/>
        </w:rPr>
        <w:t>Les r</w:t>
      </w:r>
      <w:r w:rsidR="00DB204E" w:rsidRPr="00426C04">
        <w:rPr>
          <w:sz w:val="22"/>
          <w:szCs w:val="22"/>
          <w:lang w:val="fr-FR"/>
        </w:rPr>
        <w:t>éunion</w:t>
      </w:r>
      <w:r w:rsidRPr="00426C04">
        <w:rPr>
          <w:sz w:val="22"/>
          <w:szCs w:val="22"/>
          <w:lang w:val="fr-FR"/>
        </w:rPr>
        <w:t xml:space="preserve">s </w:t>
      </w:r>
      <w:r w:rsidR="005D22B5">
        <w:rPr>
          <w:sz w:val="22"/>
          <w:szCs w:val="22"/>
          <w:lang w:val="fr-FR"/>
        </w:rPr>
        <w:t xml:space="preserve">du </w:t>
      </w:r>
      <w:r w:rsidR="002D04A3">
        <w:rPr>
          <w:sz w:val="22"/>
          <w:szCs w:val="22"/>
          <w:lang w:val="fr-FR"/>
        </w:rPr>
        <w:t xml:space="preserve">groupe </w:t>
      </w:r>
      <w:r w:rsidR="00F6586A">
        <w:rPr>
          <w:sz w:val="22"/>
          <w:szCs w:val="22"/>
          <w:lang w:val="fr-FR"/>
        </w:rPr>
        <w:t>spécial</w:t>
      </w:r>
      <w:r w:rsidR="00B54A37" w:rsidRPr="00426C04">
        <w:rPr>
          <w:sz w:val="22"/>
          <w:szCs w:val="22"/>
          <w:lang w:val="fr-FR"/>
        </w:rPr>
        <w:t xml:space="preserve"> </w:t>
      </w:r>
      <w:r w:rsidRPr="00426C04">
        <w:rPr>
          <w:sz w:val="22"/>
          <w:szCs w:val="22"/>
          <w:lang w:val="fr-FR"/>
        </w:rPr>
        <w:t xml:space="preserve">seront convoquées à des </w:t>
      </w:r>
      <w:r w:rsidR="00B54A37" w:rsidRPr="00426C04">
        <w:rPr>
          <w:sz w:val="22"/>
          <w:szCs w:val="22"/>
          <w:lang w:val="fr-FR"/>
        </w:rPr>
        <w:t>interval</w:t>
      </w:r>
      <w:r>
        <w:rPr>
          <w:sz w:val="22"/>
          <w:szCs w:val="22"/>
          <w:lang w:val="fr-FR"/>
        </w:rPr>
        <w:t>le</w:t>
      </w:r>
      <w:r w:rsidR="00B54A37" w:rsidRPr="00426C04">
        <w:rPr>
          <w:sz w:val="22"/>
          <w:szCs w:val="22"/>
          <w:lang w:val="fr-FR"/>
        </w:rPr>
        <w:t>s</w:t>
      </w:r>
      <w:r w:rsidR="005C4592">
        <w:rPr>
          <w:sz w:val="22"/>
          <w:szCs w:val="22"/>
          <w:lang w:val="fr-FR"/>
        </w:rPr>
        <w:t xml:space="preserve"> régulier</w:t>
      </w:r>
      <w:r>
        <w:rPr>
          <w:sz w:val="22"/>
          <w:szCs w:val="22"/>
          <w:lang w:val="fr-FR"/>
        </w:rPr>
        <w:t>s</w:t>
      </w:r>
      <w:r w:rsidR="00B54A37" w:rsidRPr="00426C04">
        <w:rPr>
          <w:sz w:val="22"/>
          <w:szCs w:val="22"/>
          <w:lang w:val="fr-FR"/>
        </w:rPr>
        <w:t xml:space="preserve">, </w:t>
      </w:r>
      <w:r w:rsidR="00253F0E">
        <w:rPr>
          <w:sz w:val="22"/>
          <w:szCs w:val="22"/>
          <w:lang w:val="fr-FR"/>
        </w:rPr>
        <w:t>selon que de besoin et</w:t>
      </w:r>
      <w:r w:rsidR="005C4592">
        <w:rPr>
          <w:sz w:val="22"/>
          <w:szCs w:val="22"/>
          <w:lang w:val="fr-FR"/>
        </w:rPr>
        <w:t xml:space="preserve"> dans la limite des ressources financières</w:t>
      </w:r>
      <w:r w:rsidR="00253F0E">
        <w:rPr>
          <w:sz w:val="22"/>
          <w:szCs w:val="22"/>
          <w:lang w:val="fr-FR"/>
        </w:rPr>
        <w:t xml:space="preserve"> disponible</w:t>
      </w:r>
      <w:r w:rsidR="005C4592">
        <w:rPr>
          <w:sz w:val="22"/>
          <w:szCs w:val="22"/>
          <w:lang w:val="fr-FR"/>
        </w:rPr>
        <w:t>s</w:t>
      </w:r>
      <w:r w:rsidR="00253F0E">
        <w:rPr>
          <w:sz w:val="22"/>
          <w:szCs w:val="22"/>
          <w:lang w:val="fr-FR"/>
        </w:rPr>
        <w:t xml:space="preserve">. </w:t>
      </w:r>
      <w:r w:rsidR="005C4592">
        <w:rPr>
          <w:sz w:val="22"/>
          <w:szCs w:val="22"/>
          <w:lang w:val="fr-FR"/>
        </w:rPr>
        <w:t xml:space="preserve">Pendant la période qui sépare </w:t>
      </w:r>
      <w:r w:rsidR="00253F0E" w:rsidRPr="00253F0E">
        <w:rPr>
          <w:sz w:val="22"/>
          <w:szCs w:val="22"/>
          <w:lang w:val="fr-FR"/>
        </w:rPr>
        <w:t xml:space="preserve">les </w:t>
      </w:r>
      <w:r w:rsidR="00253F0E">
        <w:rPr>
          <w:sz w:val="22"/>
          <w:szCs w:val="22"/>
          <w:lang w:val="fr-FR"/>
        </w:rPr>
        <w:t>ré</w:t>
      </w:r>
      <w:r w:rsidR="00253F0E" w:rsidRPr="00253F0E">
        <w:rPr>
          <w:sz w:val="22"/>
          <w:szCs w:val="22"/>
          <w:lang w:val="fr-FR"/>
        </w:rPr>
        <w:t>unions, le travail sera effectué par voie électronique, leque</w:t>
      </w:r>
      <w:r w:rsidR="005C4592">
        <w:rPr>
          <w:sz w:val="22"/>
          <w:szCs w:val="22"/>
          <w:lang w:val="fr-FR"/>
        </w:rPr>
        <w:t>l constituera le principal mode</w:t>
      </w:r>
      <w:r w:rsidR="00253F0E" w:rsidRPr="00253F0E">
        <w:rPr>
          <w:sz w:val="22"/>
          <w:szCs w:val="22"/>
          <w:lang w:val="fr-FR"/>
        </w:rPr>
        <w:t xml:space="preserve"> de</w:t>
      </w:r>
      <w:r w:rsidR="00B54A37" w:rsidRPr="00253F0E">
        <w:rPr>
          <w:sz w:val="22"/>
          <w:szCs w:val="22"/>
          <w:lang w:val="fr-FR"/>
        </w:rPr>
        <w:t xml:space="preserve"> communication. </w:t>
      </w:r>
      <w:r w:rsidR="002D04A3">
        <w:rPr>
          <w:sz w:val="22"/>
          <w:szCs w:val="22"/>
          <w:lang w:val="fr-FR"/>
        </w:rPr>
        <w:t xml:space="preserve">Le groupe </w:t>
      </w:r>
      <w:r w:rsidR="00F6586A">
        <w:rPr>
          <w:sz w:val="22"/>
          <w:szCs w:val="22"/>
          <w:lang w:val="fr-FR"/>
        </w:rPr>
        <w:t>spécial</w:t>
      </w:r>
      <w:r w:rsidR="00B54A37" w:rsidRPr="00253F0E">
        <w:rPr>
          <w:sz w:val="22"/>
          <w:szCs w:val="22"/>
          <w:lang w:val="fr-FR"/>
        </w:rPr>
        <w:t xml:space="preserve"> </w:t>
      </w:r>
      <w:r w:rsidR="00253F0E" w:rsidRPr="00253F0E">
        <w:rPr>
          <w:sz w:val="22"/>
          <w:szCs w:val="22"/>
          <w:lang w:val="fr-FR"/>
        </w:rPr>
        <w:t xml:space="preserve">se réunira au moins une fois durant la période </w:t>
      </w:r>
      <w:r w:rsidR="00253F0E">
        <w:rPr>
          <w:sz w:val="22"/>
          <w:szCs w:val="22"/>
          <w:lang w:val="fr-FR"/>
        </w:rPr>
        <w:t>intersessions</w:t>
      </w:r>
      <w:r w:rsidR="00B54A37" w:rsidRPr="00253F0E">
        <w:rPr>
          <w:sz w:val="22"/>
          <w:szCs w:val="22"/>
          <w:lang w:val="fr-FR"/>
        </w:rPr>
        <w:t>.</w:t>
      </w:r>
    </w:p>
    <w:p w14:paraId="6925BA83" w14:textId="77777777" w:rsidR="00B54A37" w:rsidRPr="00253F0E" w:rsidRDefault="00B54A37" w:rsidP="00B54A37">
      <w:pPr>
        <w:jc w:val="both"/>
        <w:rPr>
          <w:sz w:val="22"/>
          <w:szCs w:val="22"/>
          <w:lang w:val="fr-FR"/>
        </w:rPr>
      </w:pPr>
    </w:p>
    <w:p w14:paraId="19F3A255" w14:textId="67D2B3A0" w:rsidR="00B87172" w:rsidRPr="00EE212D" w:rsidRDefault="00EE212D" w:rsidP="00B54A37">
      <w:pPr>
        <w:jc w:val="both"/>
        <w:rPr>
          <w:sz w:val="22"/>
          <w:szCs w:val="22"/>
          <w:lang w:val="fr-FR"/>
        </w:rPr>
      </w:pPr>
      <w:r>
        <w:rPr>
          <w:sz w:val="22"/>
          <w:szCs w:val="22"/>
          <w:lang w:val="fr-FR"/>
        </w:rPr>
        <w:t xml:space="preserve">Selon qu’il convient, </w:t>
      </w:r>
      <w:r w:rsidR="002D04A3">
        <w:rPr>
          <w:sz w:val="22"/>
          <w:szCs w:val="22"/>
          <w:lang w:val="fr-FR"/>
        </w:rPr>
        <w:t xml:space="preserve">le groupe </w:t>
      </w:r>
      <w:r w:rsidR="00F6586A">
        <w:rPr>
          <w:sz w:val="22"/>
          <w:szCs w:val="22"/>
          <w:lang w:val="fr-FR"/>
        </w:rPr>
        <w:t>spécial</w:t>
      </w:r>
      <w:r>
        <w:rPr>
          <w:sz w:val="22"/>
          <w:szCs w:val="22"/>
          <w:lang w:val="fr-FR"/>
        </w:rPr>
        <w:t>, e</w:t>
      </w:r>
      <w:r w:rsidR="00B54A37" w:rsidRPr="00EE212D">
        <w:rPr>
          <w:sz w:val="22"/>
          <w:szCs w:val="22"/>
          <w:lang w:val="fr-FR"/>
        </w:rPr>
        <w:t>n collaboration</w:t>
      </w:r>
      <w:r>
        <w:rPr>
          <w:sz w:val="22"/>
          <w:szCs w:val="22"/>
          <w:lang w:val="fr-FR"/>
        </w:rPr>
        <w:t xml:space="preserve"> avec les </w:t>
      </w:r>
      <w:r w:rsidR="00B54A37" w:rsidRPr="00EE212D">
        <w:rPr>
          <w:sz w:val="22"/>
          <w:szCs w:val="22"/>
          <w:lang w:val="fr-FR"/>
        </w:rPr>
        <w:t>Parties</w:t>
      </w:r>
      <w:r>
        <w:rPr>
          <w:sz w:val="22"/>
          <w:szCs w:val="22"/>
          <w:lang w:val="fr-FR"/>
        </w:rPr>
        <w:t xml:space="preserve"> et les </w:t>
      </w:r>
      <w:r w:rsidRPr="00EE212D">
        <w:rPr>
          <w:sz w:val="22"/>
          <w:szCs w:val="22"/>
          <w:lang w:val="fr-FR"/>
        </w:rPr>
        <w:t>organisations internationales compétentes</w:t>
      </w:r>
      <w:r w:rsidR="00B54A37" w:rsidRPr="00EE212D">
        <w:rPr>
          <w:sz w:val="22"/>
          <w:szCs w:val="22"/>
          <w:lang w:val="fr-FR"/>
        </w:rPr>
        <w:t xml:space="preserve">, </w:t>
      </w:r>
      <w:r w:rsidR="005C4592">
        <w:rPr>
          <w:sz w:val="22"/>
          <w:szCs w:val="22"/>
          <w:lang w:val="fr-FR"/>
        </w:rPr>
        <w:t xml:space="preserve">et </w:t>
      </w:r>
      <w:r w:rsidRPr="00EE212D">
        <w:rPr>
          <w:sz w:val="22"/>
          <w:szCs w:val="22"/>
          <w:lang w:val="fr-FR"/>
        </w:rPr>
        <w:t>dans la limite des ressources disponibles</w:t>
      </w:r>
      <w:r>
        <w:rPr>
          <w:sz w:val="22"/>
          <w:szCs w:val="22"/>
          <w:lang w:val="fr-FR"/>
        </w:rPr>
        <w:t xml:space="preserve">, </w:t>
      </w:r>
      <w:r w:rsidR="00B54A37" w:rsidRPr="00EE212D">
        <w:rPr>
          <w:sz w:val="22"/>
          <w:szCs w:val="22"/>
          <w:lang w:val="fr-FR"/>
        </w:rPr>
        <w:t>organi</w:t>
      </w:r>
      <w:r>
        <w:rPr>
          <w:sz w:val="22"/>
          <w:szCs w:val="22"/>
          <w:lang w:val="fr-FR"/>
        </w:rPr>
        <w:t>s</w:t>
      </w:r>
      <w:r w:rsidR="00B54A37" w:rsidRPr="00EE212D">
        <w:rPr>
          <w:sz w:val="22"/>
          <w:szCs w:val="22"/>
          <w:lang w:val="fr-FR"/>
        </w:rPr>
        <w:t>e</w:t>
      </w:r>
      <w:r>
        <w:rPr>
          <w:sz w:val="22"/>
          <w:szCs w:val="22"/>
          <w:lang w:val="fr-FR"/>
        </w:rPr>
        <w:t>ra des</w:t>
      </w:r>
      <w:r w:rsidR="00B54A37" w:rsidRPr="00EE212D">
        <w:rPr>
          <w:sz w:val="22"/>
          <w:szCs w:val="22"/>
          <w:lang w:val="fr-FR"/>
        </w:rPr>
        <w:t xml:space="preserve"> </w:t>
      </w:r>
      <w:r w:rsidRPr="00EE212D">
        <w:rPr>
          <w:sz w:val="22"/>
          <w:szCs w:val="22"/>
          <w:lang w:val="fr-FR"/>
        </w:rPr>
        <w:t>ateliers régionaux</w:t>
      </w:r>
      <w:r w:rsidR="00B54A37" w:rsidRPr="00EE212D">
        <w:rPr>
          <w:sz w:val="22"/>
          <w:szCs w:val="22"/>
          <w:lang w:val="fr-FR"/>
        </w:rPr>
        <w:t xml:space="preserve"> </w:t>
      </w:r>
      <w:r>
        <w:rPr>
          <w:sz w:val="22"/>
          <w:szCs w:val="22"/>
          <w:lang w:val="fr-FR"/>
        </w:rPr>
        <w:t>pour facilit</w:t>
      </w:r>
      <w:r w:rsidR="005C4592">
        <w:rPr>
          <w:sz w:val="22"/>
          <w:szCs w:val="22"/>
          <w:lang w:val="fr-FR"/>
        </w:rPr>
        <w:t>er le développement</w:t>
      </w:r>
      <w:r>
        <w:rPr>
          <w:sz w:val="22"/>
          <w:szCs w:val="22"/>
          <w:lang w:val="fr-FR"/>
        </w:rPr>
        <w:t xml:space="preserve"> de </w:t>
      </w:r>
      <w:r w:rsidR="00B54A37" w:rsidRPr="00EE212D">
        <w:rPr>
          <w:sz w:val="22"/>
          <w:szCs w:val="22"/>
          <w:lang w:val="fr-FR"/>
        </w:rPr>
        <w:t xml:space="preserve">solutions </w:t>
      </w:r>
      <w:r>
        <w:rPr>
          <w:sz w:val="22"/>
          <w:szCs w:val="22"/>
          <w:lang w:val="fr-FR"/>
        </w:rPr>
        <w:t>locales ou régionales adaptées</w:t>
      </w:r>
      <w:r w:rsidR="005C4592">
        <w:rPr>
          <w:sz w:val="22"/>
          <w:szCs w:val="22"/>
          <w:lang w:val="fr-FR"/>
        </w:rPr>
        <w:t xml:space="preserve">, afin de prévenir </w:t>
      </w:r>
      <w:r w:rsidR="00DB204E" w:rsidRPr="00EE212D">
        <w:rPr>
          <w:sz w:val="22"/>
          <w:szCs w:val="22"/>
          <w:lang w:val="fr-FR"/>
        </w:rPr>
        <w:t>l’empoisonnement</w:t>
      </w:r>
      <w:r w:rsidRPr="00EE212D">
        <w:rPr>
          <w:sz w:val="22"/>
          <w:szCs w:val="22"/>
          <w:lang w:val="fr-FR"/>
        </w:rPr>
        <w:t xml:space="preserve"> au plomb des</w:t>
      </w:r>
      <w:r w:rsidR="00B54A37" w:rsidRPr="00EE212D">
        <w:rPr>
          <w:sz w:val="22"/>
          <w:szCs w:val="22"/>
          <w:lang w:val="fr-FR"/>
        </w:rPr>
        <w:t xml:space="preserve"> </w:t>
      </w:r>
      <w:r w:rsidR="00DB204E" w:rsidRPr="00EE212D">
        <w:rPr>
          <w:sz w:val="22"/>
          <w:szCs w:val="22"/>
          <w:lang w:val="fr-FR"/>
        </w:rPr>
        <w:t>espèces migratrices</w:t>
      </w:r>
      <w:r w:rsidR="00B54A37" w:rsidRPr="00EE212D">
        <w:rPr>
          <w:sz w:val="22"/>
          <w:szCs w:val="22"/>
          <w:lang w:val="fr-FR"/>
        </w:rPr>
        <w:t>.</w:t>
      </w:r>
    </w:p>
    <w:p w14:paraId="32A749E8" w14:textId="77777777" w:rsidR="00B87172" w:rsidRPr="00EE212D" w:rsidRDefault="00B87172" w:rsidP="00B87172">
      <w:pPr>
        <w:rPr>
          <w:sz w:val="22"/>
          <w:szCs w:val="22"/>
          <w:lang w:val="fr-FR"/>
        </w:rPr>
        <w:sectPr w:rsidR="00B87172" w:rsidRPr="00EE212D" w:rsidSect="007E0035">
          <w:headerReference w:type="even" r:id="rId23"/>
          <w:headerReference w:type="default" r:id="rId24"/>
          <w:footerReference w:type="even" r:id="rId25"/>
          <w:footerReference w:type="default" r:id="rId26"/>
          <w:headerReference w:type="first" r:id="rId27"/>
          <w:footerReference w:type="first" r:id="rId28"/>
          <w:pgSz w:w="11907" w:h="16840" w:code="9"/>
          <w:pgMar w:top="1135" w:right="1412" w:bottom="1151" w:left="1412" w:header="720" w:footer="720" w:gutter="0"/>
          <w:cols w:space="720"/>
          <w:titlePg/>
          <w:docGrid w:linePitch="360"/>
        </w:sectPr>
      </w:pPr>
    </w:p>
    <w:p w14:paraId="56CB1781" w14:textId="26AF40E5" w:rsidR="00B87172" w:rsidRPr="00A731EC" w:rsidRDefault="00394594" w:rsidP="00B87172">
      <w:pPr>
        <w:rPr>
          <w:b/>
          <w:i/>
          <w:sz w:val="22"/>
          <w:szCs w:val="22"/>
          <w:lang w:val="fr-FR"/>
        </w:rPr>
      </w:pPr>
      <w:r w:rsidRPr="00A731EC">
        <w:rPr>
          <w:b/>
          <w:sz w:val="22"/>
          <w:szCs w:val="22"/>
          <w:lang w:val="fr-FR"/>
        </w:rPr>
        <w:lastRenderedPageBreak/>
        <w:t>Appendice</w:t>
      </w:r>
      <w:r w:rsidR="00B87172" w:rsidRPr="00A731EC">
        <w:rPr>
          <w:b/>
          <w:sz w:val="22"/>
          <w:szCs w:val="22"/>
          <w:lang w:val="fr-FR"/>
        </w:rPr>
        <w:t xml:space="preserve"> 1  </w:t>
      </w:r>
    </w:p>
    <w:p w14:paraId="4851A1FB" w14:textId="77777777" w:rsidR="00B87172" w:rsidRPr="00A731EC" w:rsidRDefault="00B87172" w:rsidP="00B87172">
      <w:pPr>
        <w:rPr>
          <w:b/>
          <w:sz w:val="22"/>
          <w:szCs w:val="22"/>
          <w:lang w:val="fr-FR"/>
        </w:rPr>
      </w:pPr>
    </w:p>
    <w:p w14:paraId="7EBFE628" w14:textId="216BFFD4" w:rsidR="00B87172" w:rsidRPr="00394594" w:rsidRDefault="00776E53" w:rsidP="00FB1D66">
      <w:pPr>
        <w:jc w:val="both"/>
        <w:rPr>
          <w:b/>
          <w:sz w:val="22"/>
          <w:szCs w:val="22"/>
          <w:lang w:val="fr-FR"/>
        </w:rPr>
      </w:pPr>
      <w:r>
        <w:rPr>
          <w:b/>
          <w:sz w:val="22"/>
          <w:szCs w:val="22"/>
          <w:lang w:val="fr-FR"/>
        </w:rPr>
        <w:t>R</w:t>
      </w:r>
      <w:r w:rsidR="00ED27C6">
        <w:rPr>
          <w:b/>
          <w:sz w:val="22"/>
          <w:szCs w:val="22"/>
          <w:lang w:val="fr-FR"/>
        </w:rPr>
        <w:t>ésolution</w:t>
      </w:r>
      <w:r w:rsidR="00394594" w:rsidRPr="00394594">
        <w:rPr>
          <w:b/>
          <w:sz w:val="22"/>
          <w:szCs w:val="22"/>
          <w:lang w:val="fr-FR"/>
        </w:rPr>
        <w:t>s de la CMS et de l’</w:t>
      </w:r>
      <w:r w:rsidR="00B87172" w:rsidRPr="00394594">
        <w:rPr>
          <w:b/>
          <w:sz w:val="22"/>
          <w:szCs w:val="22"/>
          <w:lang w:val="fr-FR"/>
        </w:rPr>
        <w:t xml:space="preserve">AEWA </w:t>
      </w:r>
      <w:r>
        <w:rPr>
          <w:b/>
          <w:sz w:val="22"/>
          <w:szCs w:val="22"/>
          <w:lang w:val="fr-FR"/>
        </w:rPr>
        <w:t xml:space="preserve">et orientations </w:t>
      </w:r>
      <w:r w:rsidR="00CE5243">
        <w:rPr>
          <w:b/>
          <w:sz w:val="22"/>
          <w:szCs w:val="22"/>
          <w:lang w:val="fr-FR"/>
        </w:rPr>
        <w:t xml:space="preserve">adoptées </w:t>
      </w:r>
      <w:r w:rsidR="008510A9">
        <w:rPr>
          <w:b/>
          <w:sz w:val="22"/>
          <w:szCs w:val="22"/>
          <w:lang w:val="fr-FR"/>
        </w:rPr>
        <w:t>qui traitent d</w:t>
      </w:r>
      <w:r w:rsidR="00394594" w:rsidRPr="00394594">
        <w:rPr>
          <w:b/>
          <w:sz w:val="22"/>
          <w:szCs w:val="22"/>
          <w:lang w:val="fr-FR"/>
        </w:rPr>
        <w:t xml:space="preserve">es questions relatives à </w:t>
      </w:r>
      <w:r w:rsidR="00DB204E" w:rsidRPr="00394594">
        <w:rPr>
          <w:b/>
          <w:sz w:val="22"/>
          <w:szCs w:val="22"/>
          <w:lang w:val="fr-FR"/>
        </w:rPr>
        <w:t>l’empoisonnement</w:t>
      </w:r>
      <w:r w:rsidR="00B87172" w:rsidRPr="00394594">
        <w:rPr>
          <w:b/>
          <w:sz w:val="22"/>
          <w:szCs w:val="22"/>
          <w:lang w:val="fr-FR"/>
        </w:rPr>
        <w:t xml:space="preserve"> </w:t>
      </w:r>
      <w:r w:rsidR="00394594" w:rsidRPr="00394594">
        <w:rPr>
          <w:b/>
          <w:sz w:val="22"/>
          <w:szCs w:val="22"/>
          <w:lang w:val="fr-FR"/>
        </w:rPr>
        <w:t>a</w:t>
      </w:r>
      <w:r w:rsidR="00CE5243">
        <w:rPr>
          <w:b/>
          <w:sz w:val="22"/>
          <w:szCs w:val="22"/>
          <w:lang w:val="fr-FR"/>
        </w:rPr>
        <w:t>u plomb causé par des</w:t>
      </w:r>
      <w:r w:rsidR="008510A9">
        <w:rPr>
          <w:b/>
          <w:sz w:val="22"/>
          <w:szCs w:val="22"/>
          <w:lang w:val="fr-FR"/>
        </w:rPr>
        <w:t xml:space="preserve"> </w:t>
      </w:r>
      <w:r w:rsidR="00B87172" w:rsidRPr="00394594">
        <w:rPr>
          <w:b/>
          <w:sz w:val="22"/>
          <w:szCs w:val="22"/>
          <w:lang w:val="fr-FR"/>
        </w:rPr>
        <w:t>munition</w:t>
      </w:r>
      <w:r w:rsidR="008510A9">
        <w:rPr>
          <w:b/>
          <w:sz w:val="22"/>
          <w:szCs w:val="22"/>
          <w:lang w:val="fr-FR"/>
        </w:rPr>
        <w:t>s ou de</w:t>
      </w:r>
      <w:r w:rsidR="00CE5243">
        <w:rPr>
          <w:b/>
          <w:sz w:val="22"/>
          <w:szCs w:val="22"/>
          <w:lang w:val="fr-FR"/>
        </w:rPr>
        <w:t>s</w:t>
      </w:r>
      <w:r w:rsidR="00B87172" w:rsidRPr="00394594">
        <w:rPr>
          <w:b/>
          <w:sz w:val="22"/>
          <w:szCs w:val="22"/>
          <w:lang w:val="fr-FR"/>
        </w:rPr>
        <w:t xml:space="preserve"> </w:t>
      </w:r>
      <w:r w:rsidR="00CE5243">
        <w:rPr>
          <w:b/>
          <w:sz w:val="22"/>
          <w:szCs w:val="22"/>
          <w:lang w:val="fr-FR"/>
        </w:rPr>
        <w:t xml:space="preserve">poids de pêche </w:t>
      </w:r>
      <w:r w:rsidR="008510A9">
        <w:rPr>
          <w:b/>
          <w:sz w:val="22"/>
          <w:szCs w:val="22"/>
          <w:lang w:val="fr-FR"/>
        </w:rPr>
        <w:t xml:space="preserve">et d’autres </w:t>
      </w:r>
      <w:r w:rsidR="00394594">
        <w:rPr>
          <w:b/>
          <w:sz w:val="22"/>
          <w:szCs w:val="22"/>
          <w:lang w:val="fr-FR"/>
        </w:rPr>
        <w:t xml:space="preserve">sources </w:t>
      </w:r>
      <w:r w:rsidR="008510A9">
        <w:rPr>
          <w:b/>
          <w:sz w:val="22"/>
          <w:szCs w:val="22"/>
          <w:lang w:val="fr-FR"/>
        </w:rPr>
        <w:t>de</w:t>
      </w:r>
      <w:r w:rsidR="00E97629">
        <w:rPr>
          <w:b/>
          <w:sz w:val="22"/>
          <w:szCs w:val="22"/>
          <w:lang w:val="fr-FR"/>
        </w:rPr>
        <w:t xml:space="preserve"> plomb</w:t>
      </w:r>
    </w:p>
    <w:p w14:paraId="22ED93C7" w14:textId="77777777" w:rsidR="00B87172" w:rsidRPr="00394594" w:rsidRDefault="00B87172" w:rsidP="00B87172">
      <w:pPr>
        <w:rPr>
          <w:b/>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120"/>
        <w:gridCol w:w="3711"/>
        <w:gridCol w:w="4344"/>
      </w:tblGrid>
      <w:tr w:rsidR="00B87172" w:rsidRPr="0055215A" w14:paraId="2696B7A1" w14:textId="77777777" w:rsidTr="00F6586A">
        <w:trPr>
          <w:tblHeader/>
        </w:trPr>
        <w:tc>
          <w:tcPr>
            <w:tcW w:w="1010" w:type="pct"/>
            <w:shd w:val="clear" w:color="auto" w:fill="EEECE1"/>
          </w:tcPr>
          <w:p w14:paraId="0F4B0DE4" w14:textId="65C05C64" w:rsidR="00B87172" w:rsidRPr="008510A9" w:rsidRDefault="008510A9" w:rsidP="008510A9">
            <w:pPr>
              <w:rPr>
                <w:b/>
                <w:sz w:val="22"/>
                <w:szCs w:val="22"/>
                <w:lang w:val="fr-FR"/>
              </w:rPr>
            </w:pPr>
            <w:r w:rsidRPr="008510A9">
              <w:rPr>
                <w:b/>
                <w:sz w:val="22"/>
                <w:szCs w:val="22"/>
                <w:lang w:val="fr-FR"/>
              </w:rPr>
              <w:t xml:space="preserve">Cause de mortalité </w:t>
            </w:r>
            <w:r w:rsidR="00EE212D">
              <w:rPr>
                <w:b/>
                <w:sz w:val="22"/>
                <w:szCs w:val="22"/>
                <w:lang w:val="fr-FR"/>
              </w:rPr>
              <w:t>supplémentaire non nécessaire</w:t>
            </w:r>
            <w:r w:rsidRPr="008510A9">
              <w:rPr>
                <w:b/>
                <w:sz w:val="22"/>
                <w:szCs w:val="22"/>
                <w:lang w:val="fr-FR"/>
              </w:rPr>
              <w:t xml:space="preserve"> </w:t>
            </w:r>
          </w:p>
        </w:tc>
        <w:tc>
          <w:tcPr>
            <w:tcW w:w="1114" w:type="pct"/>
            <w:shd w:val="clear" w:color="auto" w:fill="EEECE1"/>
          </w:tcPr>
          <w:p w14:paraId="4D609A13" w14:textId="6CA6B89D" w:rsidR="00B87172" w:rsidRPr="00EE212D" w:rsidRDefault="00EE212D" w:rsidP="00B87172">
            <w:pPr>
              <w:rPr>
                <w:b/>
                <w:sz w:val="22"/>
                <w:szCs w:val="22"/>
                <w:lang w:val="fr-FR"/>
              </w:rPr>
            </w:pPr>
            <w:r w:rsidRPr="00EE212D">
              <w:rPr>
                <w:b/>
                <w:sz w:val="22"/>
                <w:szCs w:val="22"/>
                <w:lang w:val="fr-FR"/>
              </w:rPr>
              <w:t>Orientations stratégiques et objectif</w:t>
            </w:r>
            <w:r w:rsidR="00B87172" w:rsidRPr="00EE212D">
              <w:rPr>
                <w:b/>
                <w:sz w:val="22"/>
                <w:szCs w:val="22"/>
                <w:lang w:val="fr-FR"/>
              </w:rPr>
              <w:t>s</w:t>
            </w:r>
            <w:r w:rsidR="005C4592">
              <w:rPr>
                <w:b/>
                <w:sz w:val="22"/>
                <w:szCs w:val="22"/>
                <w:lang w:val="fr-FR"/>
              </w:rPr>
              <w:t xml:space="preserve"> convenu</w:t>
            </w:r>
            <w:r>
              <w:rPr>
                <w:b/>
                <w:sz w:val="22"/>
                <w:szCs w:val="22"/>
                <w:lang w:val="fr-FR"/>
              </w:rPr>
              <w:t>s par les Parties à l’AEWA</w:t>
            </w:r>
          </w:p>
        </w:tc>
        <w:tc>
          <w:tcPr>
            <w:tcW w:w="1325" w:type="pct"/>
            <w:shd w:val="clear" w:color="auto" w:fill="EEECE1"/>
          </w:tcPr>
          <w:p w14:paraId="0E03B83A" w14:textId="32BA2D2F" w:rsidR="00B87172" w:rsidRPr="009D7E10" w:rsidRDefault="00776E53" w:rsidP="00EE212D">
            <w:pPr>
              <w:rPr>
                <w:b/>
                <w:sz w:val="22"/>
                <w:szCs w:val="22"/>
                <w:lang w:val="fr-FR"/>
              </w:rPr>
            </w:pPr>
            <w:r>
              <w:rPr>
                <w:b/>
                <w:sz w:val="22"/>
                <w:szCs w:val="22"/>
                <w:lang w:val="fr-FR"/>
              </w:rPr>
              <w:t>Résolution</w:t>
            </w:r>
            <w:r w:rsidR="00EE212D" w:rsidRPr="009D7E10">
              <w:rPr>
                <w:b/>
                <w:sz w:val="22"/>
                <w:szCs w:val="22"/>
                <w:lang w:val="fr-FR"/>
              </w:rPr>
              <w:t xml:space="preserve">s </w:t>
            </w:r>
            <w:r w:rsidR="009D7E10">
              <w:rPr>
                <w:b/>
                <w:sz w:val="22"/>
                <w:szCs w:val="22"/>
                <w:lang w:val="fr-FR"/>
              </w:rPr>
              <w:t xml:space="preserve">pertinentes </w:t>
            </w:r>
            <w:r w:rsidR="009D7E10" w:rsidRPr="009D7E10">
              <w:rPr>
                <w:b/>
                <w:sz w:val="22"/>
                <w:szCs w:val="22"/>
                <w:lang w:val="fr-FR"/>
              </w:rPr>
              <w:t>de l’AEWA et de</w:t>
            </w:r>
            <w:r w:rsidR="00B87172" w:rsidRPr="009D7E10">
              <w:rPr>
                <w:b/>
                <w:sz w:val="22"/>
                <w:szCs w:val="22"/>
                <w:lang w:val="fr-FR"/>
              </w:rPr>
              <w:t xml:space="preserve"> </w:t>
            </w:r>
            <w:r w:rsidR="009D7E10" w:rsidRPr="009D7E10">
              <w:rPr>
                <w:b/>
                <w:sz w:val="22"/>
                <w:szCs w:val="22"/>
                <w:lang w:val="fr-FR"/>
              </w:rPr>
              <w:t xml:space="preserve">la </w:t>
            </w:r>
            <w:r w:rsidR="00B87172" w:rsidRPr="009D7E10">
              <w:rPr>
                <w:b/>
                <w:sz w:val="22"/>
                <w:szCs w:val="22"/>
                <w:lang w:val="fr-FR"/>
              </w:rPr>
              <w:t>CMS</w:t>
            </w:r>
            <w:r w:rsidR="009D7E10" w:rsidRPr="009D7E10">
              <w:rPr>
                <w:b/>
                <w:sz w:val="22"/>
                <w:szCs w:val="22"/>
                <w:lang w:val="fr-FR"/>
              </w:rPr>
              <w:t xml:space="preserve"> </w:t>
            </w:r>
          </w:p>
        </w:tc>
        <w:tc>
          <w:tcPr>
            <w:tcW w:w="1551" w:type="pct"/>
            <w:shd w:val="clear" w:color="auto" w:fill="EEECE1"/>
          </w:tcPr>
          <w:p w14:paraId="3FBF3D12" w14:textId="614299FE" w:rsidR="00B87172" w:rsidRPr="009D7E10" w:rsidRDefault="009D7E10" w:rsidP="00B87172">
            <w:pPr>
              <w:rPr>
                <w:b/>
                <w:sz w:val="22"/>
                <w:szCs w:val="22"/>
                <w:lang w:val="fr-FR"/>
              </w:rPr>
            </w:pPr>
            <w:r w:rsidRPr="009D7E10">
              <w:rPr>
                <w:b/>
                <w:sz w:val="22"/>
                <w:szCs w:val="22"/>
                <w:lang w:val="fr-FR"/>
              </w:rPr>
              <w:t xml:space="preserve">Orientations </w:t>
            </w:r>
            <w:r>
              <w:rPr>
                <w:b/>
                <w:sz w:val="22"/>
                <w:szCs w:val="22"/>
                <w:lang w:val="fr-FR"/>
              </w:rPr>
              <w:t xml:space="preserve">pertinentes </w:t>
            </w:r>
            <w:r w:rsidRPr="009D7E10">
              <w:rPr>
                <w:b/>
                <w:sz w:val="22"/>
                <w:szCs w:val="22"/>
                <w:lang w:val="fr-FR"/>
              </w:rPr>
              <w:t xml:space="preserve">de l’AEWA et de la </w:t>
            </w:r>
            <w:r w:rsidR="00B87172" w:rsidRPr="009D7E10">
              <w:rPr>
                <w:b/>
                <w:sz w:val="22"/>
                <w:szCs w:val="22"/>
                <w:lang w:val="fr-FR"/>
              </w:rPr>
              <w:t>CMS</w:t>
            </w:r>
          </w:p>
        </w:tc>
      </w:tr>
      <w:tr w:rsidR="00B87172" w:rsidRPr="0055215A" w14:paraId="55053517" w14:textId="77777777" w:rsidTr="00F6586A">
        <w:tc>
          <w:tcPr>
            <w:tcW w:w="1010" w:type="pct"/>
          </w:tcPr>
          <w:p w14:paraId="7F0F5807" w14:textId="034C1272" w:rsidR="00B87172" w:rsidRPr="00F6586A" w:rsidRDefault="00776E53" w:rsidP="009D7E10">
            <w:pPr>
              <w:rPr>
                <w:sz w:val="20"/>
                <w:szCs w:val="20"/>
                <w:lang w:val="fr-FR"/>
              </w:rPr>
            </w:pPr>
            <w:r w:rsidRPr="00F6586A">
              <w:rPr>
                <w:sz w:val="20"/>
                <w:szCs w:val="20"/>
                <w:lang w:val="fr-FR"/>
              </w:rPr>
              <w:t>E</w:t>
            </w:r>
            <w:r w:rsidR="00DB204E" w:rsidRPr="00F6586A">
              <w:rPr>
                <w:sz w:val="20"/>
                <w:szCs w:val="20"/>
                <w:lang w:val="fr-FR"/>
              </w:rPr>
              <w:t>mpoisonnement</w:t>
            </w:r>
            <w:r w:rsidRPr="00F6586A">
              <w:rPr>
                <w:sz w:val="20"/>
                <w:szCs w:val="20"/>
                <w:lang w:val="fr-FR"/>
              </w:rPr>
              <w:t xml:space="preserve"> causé par</w:t>
            </w:r>
            <w:r w:rsidR="000F2D09" w:rsidRPr="00F6586A">
              <w:rPr>
                <w:sz w:val="20"/>
                <w:szCs w:val="20"/>
                <w:lang w:val="fr-FR"/>
              </w:rPr>
              <w:t xml:space="preserve"> l’utilisation</w:t>
            </w:r>
            <w:r w:rsidR="009D7E10" w:rsidRPr="00F6586A">
              <w:rPr>
                <w:sz w:val="20"/>
                <w:szCs w:val="20"/>
                <w:lang w:val="fr-FR"/>
              </w:rPr>
              <w:t xml:space="preserve"> de </w:t>
            </w:r>
            <w:r w:rsidR="00E97629" w:rsidRPr="00F6586A">
              <w:rPr>
                <w:sz w:val="20"/>
                <w:szCs w:val="20"/>
                <w:lang w:val="fr-FR"/>
              </w:rPr>
              <w:t>munitions en plomb</w:t>
            </w:r>
            <w:r w:rsidR="00B87172" w:rsidRPr="00F6586A">
              <w:rPr>
                <w:sz w:val="20"/>
                <w:szCs w:val="20"/>
                <w:lang w:val="fr-FR"/>
              </w:rPr>
              <w:t xml:space="preserve"> </w:t>
            </w:r>
          </w:p>
        </w:tc>
        <w:tc>
          <w:tcPr>
            <w:tcW w:w="1114" w:type="pct"/>
          </w:tcPr>
          <w:p w14:paraId="0AB0FBC2" w14:textId="3D03D65D" w:rsidR="00B87172" w:rsidRPr="00F6586A" w:rsidRDefault="000F2D09" w:rsidP="00B87172">
            <w:pPr>
              <w:rPr>
                <w:sz w:val="20"/>
                <w:szCs w:val="20"/>
                <w:lang w:val="fr-FR"/>
              </w:rPr>
            </w:pPr>
            <w:r w:rsidRPr="00F6586A">
              <w:rPr>
                <w:sz w:val="20"/>
                <w:szCs w:val="20"/>
                <w:lang w:val="fr-FR"/>
              </w:rPr>
              <w:t>Plan d’action AEWA</w:t>
            </w:r>
            <w:r w:rsidR="00B87172" w:rsidRPr="00F6586A">
              <w:rPr>
                <w:sz w:val="20"/>
                <w:szCs w:val="20"/>
                <w:lang w:val="fr-FR"/>
              </w:rPr>
              <w:t xml:space="preserve"> para 4.1.4</w:t>
            </w:r>
          </w:p>
          <w:p w14:paraId="42B6F4A7" w14:textId="61C97A85" w:rsidR="00B87172" w:rsidRPr="00F6586A" w:rsidRDefault="000F2D09" w:rsidP="00B87172">
            <w:pPr>
              <w:rPr>
                <w:sz w:val="20"/>
                <w:szCs w:val="20"/>
                <w:lang w:val="fr-FR"/>
              </w:rPr>
            </w:pPr>
            <w:r w:rsidRPr="00F6586A">
              <w:rPr>
                <w:sz w:val="20"/>
                <w:szCs w:val="20"/>
                <w:lang w:val="fr-FR"/>
              </w:rPr>
              <w:t xml:space="preserve">Plan stratégique 2.1: “D’ici à </w:t>
            </w:r>
            <w:r w:rsidR="00B87172" w:rsidRPr="00F6586A">
              <w:rPr>
                <w:sz w:val="20"/>
                <w:szCs w:val="20"/>
                <w:lang w:val="fr-FR"/>
              </w:rPr>
              <w:t>2017</w:t>
            </w:r>
            <w:r w:rsidRPr="00F6586A">
              <w:rPr>
                <w:sz w:val="20"/>
                <w:szCs w:val="20"/>
                <w:lang w:val="fr-FR"/>
              </w:rPr>
              <w:t>,</w:t>
            </w:r>
            <w:r w:rsidR="00B87172" w:rsidRPr="00F6586A">
              <w:rPr>
                <w:sz w:val="20"/>
                <w:szCs w:val="20"/>
                <w:lang w:val="fr-FR"/>
              </w:rPr>
              <w:t xml:space="preserve"> </w:t>
            </w:r>
            <w:r w:rsidRPr="00F6586A">
              <w:rPr>
                <w:sz w:val="20"/>
                <w:szCs w:val="20"/>
                <w:lang w:val="fr-FR"/>
              </w:rPr>
              <w:t>l’utilisation de</w:t>
            </w:r>
            <w:r w:rsidR="00776E53" w:rsidRPr="00F6586A">
              <w:rPr>
                <w:sz w:val="20"/>
                <w:szCs w:val="20"/>
                <w:lang w:val="fr-FR"/>
              </w:rPr>
              <w:t xml:space="preserve"> la </w:t>
            </w:r>
            <w:r w:rsidRPr="00F6586A">
              <w:rPr>
                <w:sz w:val="20"/>
                <w:szCs w:val="20"/>
                <w:lang w:val="fr-FR"/>
              </w:rPr>
              <w:t>grenaille de plomb pour la</w:t>
            </w:r>
            <w:r w:rsidR="00B87172" w:rsidRPr="00F6586A">
              <w:rPr>
                <w:sz w:val="20"/>
                <w:szCs w:val="20"/>
                <w:lang w:val="fr-FR"/>
              </w:rPr>
              <w:t xml:space="preserve"> </w:t>
            </w:r>
            <w:r w:rsidRPr="00F6586A">
              <w:rPr>
                <w:sz w:val="20"/>
                <w:szCs w:val="20"/>
                <w:lang w:val="fr-FR"/>
              </w:rPr>
              <w:t>chasse dans les</w:t>
            </w:r>
            <w:r w:rsidR="00B87172" w:rsidRPr="00F6586A">
              <w:rPr>
                <w:sz w:val="20"/>
                <w:szCs w:val="20"/>
                <w:lang w:val="fr-FR"/>
              </w:rPr>
              <w:t xml:space="preserve"> </w:t>
            </w:r>
            <w:r w:rsidRPr="00F6586A">
              <w:rPr>
                <w:sz w:val="20"/>
                <w:szCs w:val="20"/>
                <w:lang w:val="fr-FR"/>
              </w:rPr>
              <w:t>zones humides e</w:t>
            </w:r>
            <w:r w:rsidR="00B87172" w:rsidRPr="00F6586A">
              <w:rPr>
                <w:sz w:val="20"/>
                <w:szCs w:val="20"/>
                <w:lang w:val="fr-FR"/>
              </w:rPr>
              <w:t>s</w:t>
            </w:r>
            <w:r w:rsidRPr="00F6586A">
              <w:rPr>
                <w:sz w:val="20"/>
                <w:szCs w:val="20"/>
                <w:lang w:val="fr-FR"/>
              </w:rPr>
              <w:t>t</w:t>
            </w:r>
            <w:r w:rsidR="00D34D9A" w:rsidRPr="00F6586A">
              <w:rPr>
                <w:sz w:val="20"/>
                <w:szCs w:val="20"/>
                <w:lang w:val="fr-FR"/>
              </w:rPr>
              <w:t xml:space="preserve"> s</w:t>
            </w:r>
            <w:r w:rsidR="00C33D87" w:rsidRPr="00F6586A">
              <w:rPr>
                <w:sz w:val="20"/>
                <w:szCs w:val="20"/>
                <w:lang w:val="fr-FR"/>
              </w:rPr>
              <w:t>upprimé</w:t>
            </w:r>
            <w:r w:rsidRPr="00F6586A">
              <w:rPr>
                <w:sz w:val="20"/>
                <w:szCs w:val="20"/>
                <w:lang w:val="fr-FR"/>
              </w:rPr>
              <w:t>e</w:t>
            </w:r>
            <w:r w:rsidR="00C33D87" w:rsidRPr="00F6586A">
              <w:rPr>
                <w:sz w:val="20"/>
                <w:szCs w:val="20"/>
                <w:lang w:val="fr-FR"/>
              </w:rPr>
              <w:t xml:space="preserve"> progressivement dans </w:t>
            </w:r>
            <w:r w:rsidRPr="00F6586A">
              <w:rPr>
                <w:sz w:val="20"/>
                <w:szCs w:val="20"/>
                <w:lang w:val="fr-FR"/>
              </w:rPr>
              <w:t>toutes les</w:t>
            </w:r>
            <w:r w:rsidR="00B87172" w:rsidRPr="00F6586A">
              <w:rPr>
                <w:sz w:val="20"/>
                <w:szCs w:val="20"/>
                <w:lang w:val="fr-FR"/>
              </w:rPr>
              <w:t xml:space="preserve"> Parties</w:t>
            </w:r>
            <w:r w:rsidRPr="00F6586A">
              <w:rPr>
                <w:sz w:val="20"/>
                <w:szCs w:val="20"/>
                <w:lang w:val="fr-FR"/>
              </w:rPr>
              <w:t xml:space="preserve"> contractantes</w:t>
            </w:r>
            <w:r w:rsidR="00B87172" w:rsidRPr="00F6586A">
              <w:rPr>
                <w:sz w:val="20"/>
                <w:szCs w:val="20"/>
                <w:lang w:val="fr-FR"/>
              </w:rPr>
              <w:t>.”</w:t>
            </w:r>
          </w:p>
        </w:tc>
        <w:tc>
          <w:tcPr>
            <w:tcW w:w="1325" w:type="pct"/>
          </w:tcPr>
          <w:p w14:paraId="7FD486D4" w14:textId="62F54236" w:rsidR="00B87172" w:rsidRPr="00F6586A" w:rsidRDefault="00776E53" w:rsidP="00B87172">
            <w:pPr>
              <w:rPr>
                <w:sz w:val="20"/>
                <w:szCs w:val="20"/>
                <w:lang w:val="fr-FR"/>
              </w:rPr>
            </w:pPr>
            <w:r w:rsidRPr="00F6586A">
              <w:rPr>
                <w:sz w:val="20"/>
                <w:szCs w:val="20"/>
                <w:lang w:val="fr-FR"/>
              </w:rPr>
              <w:t>R</w:t>
            </w:r>
            <w:r w:rsidR="00ED27C6" w:rsidRPr="00F6586A">
              <w:rPr>
                <w:sz w:val="20"/>
                <w:szCs w:val="20"/>
                <w:lang w:val="fr-FR"/>
              </w:rPr>
              <w:t>ésolution</w:t>
            </w:r>
            <w:r w:rsidR="000F2D09" w:rsidRPr="00F6586A">
              <w:rPr>
                <w:sz w:val="20"/>
                <w:szCs w:val="20"/>
                <w:lang w:val="fr-FR"/>
              </w:rPr>
              <w:t xml:space="preserve"> AEWA 1.14 </w:t>
            </w:r>
            <w:r w:rsidR="00C33D87" w:rsidRPr="00F6586A">
              <w:rPr>
                <w:sz w:val="20"/>
                <w:szCs w:val="20"/>
                <w:lang w:val="fr-FR"/>
              </w:rPr>
              <w:t>Suppression progressive</w:t>
            </w:r>
            <w:r w:rsidR="000F2D09" w:rsidRPr="00F6586A">
              <w:rPr>
                <w:sz w:val="20"/>
                <w:szCs w:val="20"/>
                <w:lang w:val="fr-FR"/>
              </w:rPr>
              <w:t xml:space="preserve"> de la grenaille de plomb dans les zones humides</w:t>
            </w:r>
          </w:p>
          <w:p w14:paraId="17455CE4" w14:textId="1E22A70A" w:rsidR="00B87172" w:rsidRPr="00F6586A" w:rsidRDefault="00776E53" w:rsidP="00B87172">
            <w:pPr>
              <w:rPr>
                <w:sz w:val="20"/>
                <w:szCs w:val="20"/>
                <w:lang w:val="fr-FR"/>
              </w:rPr>
            </w:pPr>
            <w:r w:rsidRPr="00F6586A">
              <w:rPr>
                <w:sz w:val="20"/>
                <w:szCs w:val="20"/>
                <w:lang w:val="fr-FR"/>
              </w:rPr>
              <w:t>R</w:t>
            </w:r>
            <w:r w:rsidR="00ED27C6" w:rsidRPr="00F6586A">
              <w:rPr>
                <w:sz w:val="20"/>
                <w:szCs w:val="20"/>
                <w:lang w:val="fr-FR"/>
              </w:rPr>
              <w:t>ésolution</w:t>
            </w:r>
            <w:r w:rsidR="000F2D09" w:rsidRPr="00F6586A">
              <w:rPr>
                <w:sz w:val="20"/>
                <w:szCs w:val="20"/>
                <w:lang w:val="fr-FR"/>
              </w:rPr>
              <w:t xml:space="preserve"> AEWA</w:t>
            </w:r>
            <w:r w:rsidR="00B87172" w:rsidRPr="00F6586A">
              <w:rPr>
                <w:sz w:val="20"/>
                <w:szCs w:val="20"/>
                <w:lang w:val="fr-FR"/>
              </w:rPr>
              <w:t xml:space="preserve"> 2.2 </w:t>
            </w:r>
            <w:r w:rsidR="00C33D87" w:rsidRPr="00F6586A">
              <w:rPr>
                <w:sz w:val="20"/>
                <w:szCs w:val="20"/>
                <w:lang w:val="fr-FR"/>
              </w:rPr>
              <w:t>Suppression progressive</w:t>
            </w:r>
            <w:r w:rsidR="00B87172" w:rsidRPr="00F6586A">
              <w:rPr>
                <w:sz w:val="20"/>
                <w:szCs w:val="20"/>
                <w:lang w:val="fr-FR"/>
              </w:rPr>
              <w:t xml:space="preserve"> </w:t>
            </w:r>
            <w:r w:rsidR="000F2D09" w:rsidRPr="00F6586A">
              <w:rPr>
                <w:sz w:val="20"/>
                <w:szCs w:val="20"/>
                <w:lang w:val="fr-FR"/>
              </w:rPr>
              <w:t>de la grenaille de plomb pour la chasse dans les zones humides</w:t>
            </w:r>
          </w:p>
          <w:p w14:paraId="5B0963A1" w14:textId="07C22282" w:rsidR="00B87172" w:rsidRPr="00F6586A" w:rsidRDefault="00776E53" w:rsidP="00B87172">
            <w:pPr>
              <w:rPr>
                <w:sz w:val="20"/>
                <w:szCs w:val="20"/>
                <w:lang w:val="fr-FR"/>
              </w:rPr>
            </w:pPr>
            <w:r w:rsidRPr="00F6586A">
              <w:rPr>
                <w:sz w:val="20"/>
                <w:szCs w:val="20"/>
                <w:lang w:val="fr-FR"/>
              </w:rPr>
              <w:t>R</w:t>
            </w:r>
            <w:r w:rsidR="00ED27C6" w:rsidRPr="00F6586A">
              <w:rPr>
                <w:sz w:val="20"/>
                <w:szCs w:val="20"/>
                <w:lang w:val="fr-FR"/>
              </w:rPr>
              <w:t>ésolution</w:t>
            </w:r>
            <w:r w:rsidR="000F2D09" w:rsidRPr="00F6586A">
              <w:rPr>
                <w:sz w:val="20"/>
                <w:szCs w:val="20"/>
                <w:lang w:val="fr-FR"/>
              </w:rPr>
              <w:t xml:space="preserve"> AEWA 3.4 Communication des rapports nationaux à la </w:t>
            </w:r>
            <w:r w:rsidR="00B87172" w:rsidRPr="00F6586A">
              <w:rPr>
                <w:sz w:val="20"/>
                <w:szCs w:val="20"/>
                <w:lang w:val="fr-FR"/>
              </w:rPr>
              <w:t>MOP3</w:t>
            </w:r>
            <w:r w:rsidR="00EE212D" w:rsidRPr="00F6586A">
              <w:rPr>
                <w:sz w:val="20"/>
                <w:szCs w:val="20"/>
                <w:lang w:val="fr-FR"/>
              </w:rPr>
              <w:t xml:space="preserve"> et</w:t>
            </w:r>
            <w:r w:rsidRPr="00F6586A">
              <w:rPr>
                <w:sz w:val="20"/>
                <w:szCs w:val="20"/>
                <w:lang w:val="fr-FR"/>
              </w:rPr>
              <w:t xml:space="preserve"> à</w:t>
            </w:r>
            <w:r w:rsidR="00EE212D" w:rsidRPr="00F6586A">
              <w:rPr>
                <w:sz w:val="20"/>
                <w:szCs w:val="20"/>
                <w:lang w:val="fr-FR"/>
              </w:rPr>
              <w:t xml:space="preserve"> </w:t>
            </w:r>
            <w:r w:rsidR="000F2D09" w:rsidRPr="00F6586A">
              <w:rPr>
                <w:sz w:val="20"/>
                <w:szCs w:val="20"/>
                <w:lang w:val="fr-FR"/>
              </w:rPr>
              <w:t xml:space="preserve">la </w:t>
            </w:r>
            <w:r w:rsidR="00B87172" w:rsidRPr="00F6586A">
              <w:rPr>
                <w:sz w:val="20"/>
                <w:szCs w:val="20"/>
                <w:lang w:val="fr-FR"/>
              </w:rPr>
              <w:t>MOP4</w:t>
            </w:r>
            <w:r w:rsidR="00EE212D" w:rsidRPr="00F6586A">
              <w:rPr>
                <w:sz w:val="20"/>
                <w:szCs w:val="20"/>
                <w:lang w:val="fr-FR"/>
              </w:rPr>
              <w:t xml:space="preserve"> et </w:t>
            </w:r>
            <w:r w:rsidR="000F2D09" w:rsidRPr="00F6586A">
              <w:rPr>
                <w:sz w:val="20"/>
                <w:szCs w:val="20"/>
                <w:lang w:val="fr-FR"/>
              </w:rPr>
              <w:t>rap</w:t>
            </w:r>
            <w:r w:rsidR="00B87172" w:rsidRPr="00F6586A">
              <w:rPr>
                <w:sz w:val="20"/>
                <w:szCs w:val="20"/>
                <w:lang w:val="fr-FR"/>
              </w:rPr>
              <w:t xml:space="preserve">ports </w:t>
            </w:r>
            <w:r w:rsidR="00C33D87" w:rsidRPr="00F6586A">
              <w:rPr>
                <w:sz w:val="20"/>
                <w:szCs w:val="20"/>
                <w:lang w:val="fr-FR"/>
              </w:rPr>
              <w:t xml:space="preserve">sur la suppression </w:t>
            </w:r>
            <w:r w:rsidR="000F2D09" w:rsidRPr="00F6586A">
              <w:rPr>
                <w:sz w:val="20"/>
                <w:szCs w:val="20"/>
                <w:lang w:val="fr-FR"/>
              </w:rPr>
              <w:t>de la grenaille de plomb dans les zones humides</w:t>
            </w:r>
          </w:p>
          <w:p w14:paraId="123FF84C" w14:textId="27EFB328" w:rsidR="00B87172" w:rsidRPr="00F6586A" w:rsidRDefault="00776E53" w:rsidP="00B87172">
            <w:pPr>
              <w:rPr>
                <w:sz w:val="20"/>
                <w:szCs w:val="20"/>
                <w:lang w:val="fr-FR"/>
              </w:rPr>
            </w:pPr>
            <w:r w:rsidRPr="00F6586A">
              <w:rPr>
                <w:sz w:val="20"/>
                <w:szCs w:val="20"/>
                <w:lang w:val="fr-FR"/>
              </w:rPr>
              <w:t>R</w:t>
            </w:r>
            <w:r w:rsidR="00ED27C6" w:rsidRPr="00F6586A">
              <w:rPr>
                <w:sz w:val="20"/>
                <w:szCs w:val="20"/>
                <w:lang w:val="fr-FR"/>
              </w:rPr>
              <w:t>ésolution</w:t>
            </w:r>
            <w:r w:rsidR="000F2D09" w:rsidRPr="00F6586A">
              <w:rPr>
                <w:sz w:val="20"/>
                <w:szCs w:val="20"/>
                <w:lang w:val="fr-FR"/>
              </w:rPr>
              <w:t xml:space="preserve"> AEWA</w:t>
            </w:r>
            <w:r w:rsidR="00B87172" w:rsidRPr="00F6586A">
              <w:rPr>
                <w:sz w:val="20"/>
                <w:szCs w:val="20"/>
                <w:lang w:val="fr-FR"/>
              </w:rPr>
              <w:t xml:space="preserve"> 4.1 </w:t>
            </w:r>
            <w:r w:rsidR="00C33D87" w:rsidRPr="00F6586A">
              <w:rPr>
                <w:sz w:val="20"/>
                <w:szCs w:val="20"/>
                <w:lang w:val="fr-FR"/>
              </w:rPr>
              <w:t>Suppression progressive</w:t>
            </w:r>
            <w:r w:rsidR="00B87172" w:rsidRPr="00F6586A">
              <w:rPr>
                <w:sz w:val="20"/>
                <w:szCs w:val="20"/>
                <w:lang w:val="fr-FR"/>
              </w:rPr>
              <w:t xml:space="preserve"> </w:t>
            </w:r>
            <w:r w:rsidR="000F2D09" w:rsidRPr="00F6586A">
              <w:rPr>
                <w:sz w:val="20"/>
                <w:szCs w:val="20"/>
                <w:lang w:val="fr-FR"/>
              </w:rPr>
              <w:t>de la grenaille de plomb pour la chasse dans les zones humides</w:t>
            </w:r>
          </w:p>
          <w:p w14:paraId="3B254929" w14:textId="225087FD"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AEWA 5.23 C</w:t>
            </w:r>
            <w:r w:rsidR="00B87172" w:rsidRPr="00F6586A">
              <w:rPr>
                <w:sz w:val="20"/>
                <w:szCs w:val="20"/>
                <w:lang w:val="fr-FR"/>
              </w:rPr>
              <w:t xml:space="preserve">ontribution </w:t>
            </w:r>
            <w:r w:rsidR="000F2D09" w:rsidRPr="00F6586A">
              <w:rPr>
                <w:sz w:val="20"/>
                <w:szCs w:val="20"/>
                <w:lang w:val="fr-FR"/>
              </w:rPr>
              <w:t>de l’AEWA à la réalisation des Objectifs d’</w:t>
            </w:r>
            <w:r w:rsidR="00B87172" w:rsidRPr="00F6586A">
              <w:rPr>
                <w:sz w:val="20"/>
                <w:szCs w:val="20"/>
                <w:lang w:val="fr-FR"/>
              </w:rPr>
              <w:t xml:space="preserve">Aichi 2020 </w:t>
            </w:r>
            <w:r w:rsidR="000F2D09" w:rsidRPr="00F6586A">
              <w:rPr>
                <w:sz w:val="20"/>
                <w:szCs w:val="20"/>
                <w:lang w:val="fr-FR"/>
              </w:rPr>
              <w:t>pour la biodiversité</w:t>
            </w:r>
          </w:p>
          <w:p w14:paraId="207483A9" w14:textId="1E69A75D"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AEWA</w:t>
            </w:r>
            <w:r w:rsidR="00B87172" w:rsidRPr="00F6586A">
              <w:rPr>
                <w:sz w:val="20"/>
                <w:szCs w:val="20"/>
                <w:lang w:val="fr-FR"/>
              </w:rPr>
              <w:t xml:space="preserve"> 6.4 Conservation</w:t>
            </w:r>
            <w:r w:rsidR="00EE212D" w:rsidRPr="00F6586A">
              <w:rPr>
                <w:sz w:val="20"/>
                <w:szCs w:val="20"/>
                <w:lang w:val="fr-FR"/>
              </w:rPr>
              <w:t xml:space="preserve"> et </w:t>
            </w:r>
            <w:r w:rsidR="000F2D09" w:rsidRPr="00F6586A">
              <w:rPr>
                <w:sz w:val="20"/>
                <w:szCs w:val="20"/>
                <w:lang w:val="fr-FR"/>
              </w:rPr>
              <w:t>utilisation durable des oiseaux d’eau migrateurs</w:t>
            </w:r>
          </w:p>
          <w:p w14:paraId="67385736" w14:textId="77777777" w:rsidR="00C33D87"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AEWA</w:t>
            </w:r>
            <w:r w:rsidR="00B87172" w:rsidRPr="00F6586A">
              <w:rPr>
                <w:sz w:val="20"/>
                <w:szCs w:val="20"/>
                <w:lang w:val="fr-FR"/>
              </w:rPr>
              <w:t xml:space="preserve"> 6.12 </w:t>
            </w:r>
          </w:p>
          <w:p w14:paraId="30EBB519" w14:textId="7776A913" w:rsidR="00B87172" w:rsidRPr="00F6586A" w:rsidRDefault="000F2D09" w:rsidP="00B87172">
            <w:pPr>
              <w:rPr>
                <w:sz w:val="20"/>
                <w:szCs w:val="20"/>
                <w:lang w:val="fr-FR"/>
              </w:rPr>
            </w:pPr>
            <w:r w:rsidRPr="00F6586A">
              <w:rPr>
                <w:bCs/>
                <w:sz w:val="20"/>
                <w:szCs w:val="20"/>
                <w:lang w:val="fr-FR"/>
              </w:rPr>
              <w:t>Eviter une mortalité supplémentaire non nécessaire des oiseaux d’eau migrateurs</w:t>
            </w:r>
          </w:p>
          <w:p w14:paraId="1E4144C7" w14:textId="77777777" w:rsidR="00C33D87"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B87172" w:rsidRPr="00F6586A">
              <w:rPr>
                <w:sz w:val="20"/>
                <w:szCs w:val="20"/>
                <w:lang w:val="fr-FR"/>
              </w:rPr>
              <w:t xml:space="preserve"> 10.26 </w:t>
            </w:r>
          </w:p>
          <w:p w14:paraId="5D8F5D97" w14:textId="48F837F8" w:rsidR="00B87172" w:rsidRPr="00F6586A" w:rsidRDefault="002D04A3" w:rsidP="00B87172">
            <w:pPr>
              <w:rPr>
                <w:sz w:val="20"/>
                <w:szCs w:val="20"/>
                <w:lang w:val="fr-FR"/>
              </w:rPr>
            </w:pPr>
            <w:r w:rsidRPr="00F6586A">
              <w:rPr>
                <w:sz w:val="20"/>
                <w:szCs w:val="20"/>
                <w:lang w:val="fr-FR"/>
              </w:rPr>
              <w:t>Réduire</w:t>
            </w:r>
            <w:r w:rsidR="00400F69" w:rsidRPr="00F6586A">
              <w:rPr>
                <w:sz w:val="20"/>
                <w:szCs w:val="20"/>
                <w:lang w:val="fr-FR"/>
              </w:rPr>
              <w:t xml:space="preserve"> </w:t>
            </w:r>
            <w:r w:rsidRPr="00F6586A">
              <w:rPr>
                <w:sz w:val="20"/>
                <w:szCs w:val="20"/>
                <w:lang w:val="fr-FR"/>
              </w:rPr>
              <w:t>le</w:t>
            </w:r>
            <w:r w:rsidR="00DB204E" w:rsidRPr="00F6586A">
              <w:rPr>
                <w:sz w:val="20"/>
                <w:szCs w:val="20"/>
                <w:lang w:val="fr-FR"/>
              </w:rPr>
              <w:t xml:space="preserve"> risque </w:t>
            </w:r>
            <w:r w:rsidR="000F2D09" w:rsidRPr="00F6586A">
              <w:rPr>
                <w:sz w:val="20"/>
                <w:szCs w:val="20"/>
                <w:lang w:val="fr-FR"/>
              </w:rPr>
              <w:t>d’</w:t>
            </w:r>
            <w:r w:rsidR="00DB204E" w:rsidRPr="00F6586A">
              <w:rPr>
                <w:sz w:val="20"/>
                <w:szCs w:val="20"/>
                <w:lang w:val="fr-FR"/>
              </w:rPr>
              <w:t>empoisonnement</w:t>
            </w:r>
            <w:r w:rsidR="000F2D09" w:rsidRPr="00F6586A">
              <w:rPr>
                <w:sz w:val="20"/>
                <w:szCs w:val="20"/>
                <w:lang w:val="fr-FR"/>
              </w:rPr>
              <w:t xml:space="preserve"> des</w:t>
            </w:r>
            <w:r w:rsidR="00B87172" w:rsidRPr="00F6586A">
              <w:rPr>
                <w:sz w:val="20"/>
                <w:szCs w:val="20"/>
                <w:lang w:val="fr-FR"/>
              </w:rPr>
              <w:t xml:space="preserve"> </w:t>
            </w:r>
            <w:r w:rsidR="00DB204E" w:rsidRPr="00F6586A">
              <w:rPr>
                <w:sz w:val="20"/>
                <w:szCs w:val="20"/>
                <w:lang w:val="fr-FR"/>
              </w:rPr>
              <w:t>oiseaux migrateurs</w:t>
            </w:r>
            <w:r w:rsidR="00B87172" w:rsidRPr="00F6586A">
              <w:rPr>
                <w:sz w:val="20"/>
                <w:szCs w:val="20"/>
                <w:lang w:val="fr-FR"/>
              </w:rPr>
              <w:t xml:space="preserve"> </w:t>
            </w:r>
          </w:p>
          <w:p w14:paraId="61C318EA" w14:textId="77777777" w:rsidR="00B87172"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2D04A3" w:rsidRPr="00F6586A">
              <w:rPr>
                <w:sz w:val="20"/>
                <w:szCs w:val="20"/>
                <w:lang w:val="fr-FR"/>
              </w:rPr>
              <w:t xml:space="preserve"> 11.15 Prévenir les risques</w:t>
            </w:r>
            <w:r w:rsidR="000F2D09" w:rsidRPr="00F6586A">
              <w:rPr>
                <w:sz w:val="20"/>
                <w:szCs w:val="20"/>
                <w:lang w:val="fr-FR"/>
              </w:rPr>
              <w:t xml:space="preserve"> </w:t>
            </w:r>
            <w:r w:rsidR="002D04A3" w:rsidRPr="00F6586A">
              <w:rPr>
                <w:sz w:val="20"/>
                <w:szCs w:val="20"/>
                <w:lang w:val="fr-FR"/>
              </w:rPr>
              <w:t>d</w:t>
            </w:r>
            <w:r w:rsidR="00DB204E" w:rsidRPr="00F6586A">
              <w:rPr>
                <w:sz w:val="20"/>
                <w:szCs w:val="20"/>
                <w:lang w:val="fr-FR"/>
              </w:rPr>
              <w:t>’empoisonnement</w:t>
            </w:r>
            <w:r w:rsidR="000F2D09" w:rsidRPr="00F6586A">
              <w:rPr>
                <w:sz w:val="20"/>
                <w:szCs w:val="20"/>
                <w:lang w:val="fr-FR"/>
              </w:rPr>
              <w:t xml:space="preserve"> des </w:t>
            </w:r>
            <w:r w:rsidR="00DB204E" w:rsidRPr="00F6586A">
              <w:rPr>
                <w:sz w:val="20"/>
                <w:szCs w:val="20"/>
                <w:lang w:val="fr-FR"/>
              </w:rPr>
              <w:t>oiseaux migrateurs</w:t>
            </w:r>
          </w:p>
          <w:p w14:paraId="60065E11" w14:textId="2A1AD0A5" w:rsidR="00F6586A" w:rsidRPr="00F6586A" w:rsidRDefault="00F6586A" w:rsidP="00B87172">
            <w:pPr>
              <w:rPr>
                <w:sz w:val="20"/>
                <w:szCs w:val="20"/>
                <w:lang w:val="fr-FR"/>
              </w:rPr>
            </w:pPr>
          </w:p>
        </w:tc>
        <w:tc>
          <w:tcPr>
            <w:tcW w:w="1551" w:type="pct"/>
          </w:tcPr>
          <w:p w14:paraId="6F53A7D0" w14:textId="3E82547D" w:rsidR="00B87172" w:rsidRPr="00F6586A" w:rsidRDefault="00D9190E" w:rsidP="00B87172">
            <w:pPr>
              <w:rPr>
                <w:sz w:val="20"/>
                <w:szCs w:val="20"/>
                <w:lang w:val="fr-FR"/>
              </w:rPr>
            </w:pPr>
            <w:r w:rsidRPr="00F6586A">
              <w:rPr>
                <w:sz w:val="20"/>
                <w:szCs w:val="20"/>
                <w:lang w:val="fr-FR"/>
              </w:rPr>
              <w:t>Lignes directrices</w:t>
            </w:r>
            <w:r w:rsidR="008802E6" w:rsidRPr="00F6586A">
              <w:rPr>
                <w:sz w:val="20"/>
                <w:szCs w:val="20"/>
                <w:lang w:val="fr-FR"/>
              </w:rPr>
              <w:t xml:space="preserve"> </w:t>
            </w:r>
            <w:r w:rsidR="005C4592" w:rsidRPr="00F6586A">
              <w:rPr>
                <w:sz w:val="20"/>
                <w:szCs w:val="20"/>
                <w:lang w:val="fr-FR"/>
              </w:rPr>
              <w:t>AEWA po</w:t>
            </w:r>
            <w:r w:rsidR="00776E53" w:rsidRPr="00F6586A">
              <w:rPr>
                <w:sz w:val="20"/>
                <w:szCs w:val="20"/>
                <w:lang w:val="fr-FR"/>
              </w:rPr>
              <w:t>ur la c</w:t>
            </w:r>
            <w:r w:rsidR="005C4592" w:rsidRPr="00F6586A">
              <w:rPr>
                <w:sz w:val="20"/>
                <w:szCs w:val="20"/>
                <w:lang w:val="fr-FR"/>
              </w:rPr>
              <w:t xml:space="preserve">onservation </w:t>
            </w:r>
            <w:r w:rsidR="00B87172" w:rsidRPr="00F6586A">
              <w:rPr>
                <w:sz w:val="20"/>
                <w:szCs w:val="20"/>
                <w:lang w:val="fr-FR"/>
              </w:rPr>
              <w:t xml:space="preserve">(No. 5) </w:t>
            </w:r>
            <w:r w:rsidR="008802E6" w:rsidRPr="00F6586A">
              <w:rPr>
                <w:sz w:val="20"/>
                <w:szCs w:val="20"/>
                <w:lang w:val="fr-FR"/>
              </w:rPr>
              <w:t xml:space="preserve">sur le prélèvement durable des </w:t>
            </w:r>
            <w:r w:rsidR="000F2D09" w:rsidRPr="00F6586A">
              <w:rPr>
                <w:sz w:val="20"/>
                <w:szCs w:val="20"/>
                <w:lang w:val="fr-FR"/>
              </w:rPr>
              <w:t>oiseaux d’eau migrateurs</w:t>
            </w:r>
            <w:r w:rsidR="00B87172" w:rsidRPr="00F6586A">
              <w:rPr>
                <w:sz w:val="20"/>
                <w:szCs w:val="20"/>
                <w:lang w:val="fr-FR"/>
              </w:rPr>
              <w:t xml:space="preserve"> (document AEWA/MOP 6.36)</w:t>
            </w:r>
          </w:p>
          <w:p w14:paraId="7759B724" w14:textId="4114BE45" w:rsidR="00B87172" w:rsidRPr="00F6586A" w:rsidRDefault="00B87172" w:rsidP="00B87172">
            <w:pPr>
              <w:rPr>
                <w:sz w:val="20"/>
                <w:szCs w:val="20"/>
                <w:lang w:val="fr-FR"/>
              </w:rPr>
            </w:pPr>
            <w:r w:rsidRPr="00F6586A">
              <w:rPr>
                <w:sz w:val="20"/>
                <w:szCs w:val="20"/>
                <w:lang w:val="fr-FR"/>
              </w:rPr>
              <w:t xml:space="preserve">AEWA 2009.  </w:t>
            </w:r>
            <w:r w:rsidR="008802E6" w:rsidRPr="00F6586A">
              <w:rPr>
                <w:i/>
                <w:sz w:val="20"/>
                <w:szCs w:val="20"/>
                <w:lang w:val="fr-FR"/>
              </w:rPr>
              <w:t>Munitions non toxiques. Un moyen pour assurer l’utilisation durable des ressources d’oiseaux d’eau</w:t>
            </w:r>
            <w:r w:rsidRPr="00F6586A">
              <w:rPr>
                <w:i/>
                <w:sz w:val="20"/>
                <w:szCs w:val="20"/>
                <w:lang w:val="fr-FR"/>
              </w:rPr>
              <w:t>.</w:t>
            </w:r>
            <w:r w:rsidRPr="00F6586A">
              <w:rPr>
                <w:sz w:val="20"/>
                <w:szCs w:val="20"/>
                <w:lang w:val="fr-FR"/>
              </w:rPr>
              <w:t xml:space="preserve"> </w:t>
            </w:r>
            <w:r w:rsidR="008802E6" w:rsidRPr="00F6586A">
              <w:rPr>
                <w:sz w:val="20"/>
                <w:szCs w:val="20"/>
                <w:lang w:val="fr-FR"/>
              </w:rPr>
              <w:t xml:space="preserve">Série technique No.3 de l’AEWA </w:t>
            </w:r>
          </w:p>
          <w:p w14:paraId="47D3E586" w14:textId="176A6A38" w:rsidR="00B87172" w:rsidRPr="00F6586A" w:rsidRDefault="00B87172" w:rsidP="00B87172">
            <w:pPr>
              <w:rPr>
                <w:sz w:val="20"/>
                <w:szCs w:val="20"/>
                <w:lang w:val="fr-FR"/>
              </w:rPr>
            </w:pPr>
            <w:r w:rsidRPr="00F6586A">
              <w:rPr>
                <w:sz w:val="20"/>
                <w:szCs w:val="20"/>
                <w:lang w:val="fr-FR"/>
              </w:rPr>
              <w:t xml:space="preserve">AEWA 2009.  </w:t>
            </w:r>
            <w:r w:rsidR="00C33D87" w:rsidRPr="00F6586A">
              <w:rPr>
                <w:i/>
                <w:sz w:val="20"/>
                <w:szCs w:val="20"/>
                <w:lang w:val="fr-FR"/>
              </w:rPr>
              <w:t>Suppression progressive</w:t>
            </w:r>
            <w:r w:rsidRPr="00F6586A">
              <w:rPr>
                <w:i/>
                <w:sz w:val="20"/>
                <w:szCs w:val="20"/>
                <w:lang w:val="fr-FR"/>
              </w:rPr>
              <w:t xml:space="preserve"> </w:t>
            </w:r>
            <w:r w:rsidR="008802E6" w:rsidRPr="00F6586A">
              <w:rPr>
                <w:i/>
                <w:sz w:val="20"/>
                <w:szCs w:val="20"/>
                <w:lang w:val="fr-FR"/>
              </w:rPr>
              <w:t xml:space="preserve">de </w:t>
            </w:r>
            <w:r w:rsidR="000F2D09" w:rsidRPr="00F6586A">
              <w:rPr>
                <w:i/>
                <w:sz w:val="20"/>
                <w:szCs w:val="20"/>
                <w:lang w:val="fr-FR"/>
              </w:rPr>
              <w:t>l’utilisation de</w:t>
            </w:r>
            <w:r w:rsidRPr="00F6586A">
              <w:rPr>
                <w:i/>
                <w:sz w:val="20"/>
                <w:szCs w:val="20"/>
                <w:lang w:val="fr-FR"/>
              </w:rPr>
              <w:t xml:space="preserve"> </w:t>
            </w:r>
            <w:r w:rsidR="00776E53" w:rsidRPr="00F6586A">
              <w:rPr>
                <w:i/>
                <w:sz w:val="20"/>
                <w:szCs w:val="20"/>
                <w:lang w:val="fr-FR"/>
              </w:rPr>
              <w:t xml:space="preserve">la </w:t>
            </w:r>
            <w:r w:rsidR="000F2D09" w:rsidRPr="00F6586A">
              <w:rPr>
                <w:i/>
                <w:sz w:val="20"/>
                <w:szCs w:val="20"/>
                <w:lang w:val="fr-FR"/>
              </w:rPr>
              <w:t>grenaille de plomb</w:t>
            </w:r>
            <w:r w:rsidR="008802E6" w:rsidRPr="00F6586A">
              <w:rPr>
                <w:i/>
                <w:sz w:val="20"/>
                <w:szCs w:val="20"/>
                <w:lang w:val="fr-FR"/>
              </w:rPr>
              <w:t xml:space="preserve"> pour la</w:t>
            </w:r>
            <w:r w:rsidRPr="00F6586A">
              <w:rPr>
                <w:i/>
                <w:sz w:val="20"/>
                <w:szCs w:val="20"/>
                <w:lang w:val="fr-FR"/>
              </w:rPr>
              <w:t xml:space="preserve"> </w:t>
            </w:r>
            <w:r w:rsidR="000F2D09" w:rsidRPr="00F6586A">
              <w:rPr>
                <w:i/>
                <w:sz w:val="20"/>
                <w:szCs w:val="20"/>
                <w:lang w:val="fr-FR"/>
              </w:rPr>
              <w:t>chasse</w:t>
            </w:r>
            <w:r w:rsidR="008802E6" w:rsidRPr="00F6586A">
              <w:rPr>
                <w:i/>
                <w:sz w:val="20"/>
                <w:szCs w:val="20"/>
                <w:lang w:val="fr-FR"/>
              </w:rPr>
              <w:t xml:space="preserve"> dans les </w:t>
            </w:r>
            <w:r w:rsidR="000F2D09" w:rsidRPr="00F6586A">
              <w:rPr>
                <w:i/>
                <w:sz w:val="20"/>
                <w:szCs w:val="20"/>
                <w:lang w:val="fr-FR"/>
              </w:rPr>
              <w:t>zones humides</w:t>
            </w:r>
            <w:r w:rsidRPr="00F6586A">
              <w:rPr>
                <w:i/>
                <w:sz w:val="20"/>
                <w:szCs w:val="20"/>
                <w:lang w:val="fr-FR"/>
              </w:rPr>
              <w:t xml:space="preserve">.  </w:t>
            </w:r>
            <w:r w:rsidR="008802E6" w:rsidRPr="00F6586A">
              <w:rPr>
                <w:i/>
                <w:sz w:val="20"/>
                <w:szCs w:val="20"/>
                <w:lang w:val="fr-FR"/>
              </w:rPr>
              <w:t>Expérience acquise et enseignements tirés</w:t>
            </w:r>
            <w:r w:rsidR="00776E53" w:rsidRPr="00F6586A">
              <w:rPr>
                <w:i/>
                <w:sz w:val="20"/>
                <w:szCs w:val="20"/>
                <w:lang w:val="fr-FR"/>
              </w:rPr>
              <w:t xml:space="preserve"> dans les </w:t>
            </w:r>
            <w:r w:rsidR="00776E53" w:rsidRPr="00F6586A">
              <w:rPr>
                <w:rFonts w:cs="Arial"/>
                <w:i/>
                <w:sz w:val="20"/>
                <w:szCs w:val="20"/>
                <w:lang w:val="fr-FR"/>
              </w:rPr>
              <w:t>É</w:t>
            </w:r>
            <w:r w:rsidR="008802E6" w:rsidRPr="00F6586A">
              <w:rPr>
                <w:i/>
                <w:sz w:val="20"/>
                <w:szCs w:val="20"/>
                <w:lang w:val="fr-FR"/>
              </w:rPr>
              <w:t>tats de l’aire de répartition de l’AEWA</w:t>
            </w:r>
            <w:r w:rsidRPr="00F6586A">
              <w:rPr>
                <w:i/>
                <w:sz w:val="20"/>
                <w:szCs w:val="20"/>
                <w:lang w:val="fr-FR"/>
              </w:rPr>
              <w:t>.</w:t>
            </w:r>
            <w:r w:rsidRPr="00F6586A">
              <w:rPr>
                <w:sz w:val="20"/>
                <w:szCs w:val="20"/>
                <w:lang w:val="fr-FR"/>
              </w:rPr>
              <w:t xml:space="preserve">  30 pp.</w:t>
            </w:r>
          </w:p>
          <w:p w14:paraId="271932DA" w14:textId="7DE87383"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B87172" w:rsidRPr="00F6586A">
              <w:rPr>
                <w:sz w:val="20"/>
                <w:szCs w:val="20"/>
                <w:lang w:val="fr-FR"/>
              </w:rPr>
              <w:t xml:space="preserve"> 11.15 </w:t>
            </w:r>
            <w:r w:rsidR="00D9190E" w:rsidRPr="00F6586A">
              <w:rPr>
                <w:sz w:val="20"/>
                <w:szCs w:val="20"/>
                <w:lang w:val="fr-FR"/>
              </w:rPr>
              <w:t>Lignes directrices</w:t>
            </w:r>
            <w:r w:rsidR="00B87172" w:rsidRPr="00F6586A">
              <w:rPr>
                <w:sz w:val="20"/>
                <w:szCs w:val="20"/>
                <w:lang w:val="fr-FR"/>
              </w:rPr>
              <w:t xml:space="preserve"> </w:t>
            </w:r>
            <w:r w:rsidR="00D9190E" w:rsidRPr="00F6586A">
              <w:rPr>
                <w:sz w:val="20"/>
                <w:szCs w:val="20"/>
                <w:lang w:val="fr-FR"/>
              </w:rPr>
              <w:t>pour prévenir</w:t>
            </w:r>
            <w:r w:rsidR="00B87172" w:rsidRPr="00F6586A">
              <w:rPr>
                <w:sz w:val="20"/>
                <w:szCs w:val="20"/>
                <w:lang w:val="fr-FR"/>
              </w:rPr>
              <w:t xml:space="preserve"> </w:t>
            </w:r>
            <w:r w:rsidR="008802E6" w:rsidRPr="00F6586A">
              <w:rPr>
                <w:sz w:val="20"/>
                <w:szCs w:val="20"/>
                <w:lang w:val="fr-FR"/>
              </w:rPr>
              <w:t xml:space="preserve">les </w:t>
            </w:r>
            <w:r w:rsidR="00DB204E" w:rsidRPr="00F6586A">
              <w:rPr>
                <w:sz w:val="20"/>
                <w:szCs w:val="20"/>
                <w:lang w:val="fr-FR"/>
              </w:rPr>
              <w:t>risque</w:t>
            </w:r>
            <w:r w:rsidR="008802E6" w:rsidRPr="00F6586A">
              <w:rPr>
                <w:sz w:val="20"/>
                <w:szCs w:val="20"/>
                <w:lang w:val="fr-FR"/>
              </w:rPr>
              <w:t>s</w:t>
            </w:r>
            <w:r w:rsidR="00DB204E" w:rsidRPr="00F6586A">
              <w:rPr>
                <w:sz w:val="20"/>
                <w:szCs w:val="20"/>
                <w:lang w:val="fr-FR"/>
              </w:rPr>
              <w:t xml:space="preserve"> </w:t>
            </w:r>
            <w:r w:rsidR="000F2D09" w:rsidRPr="00F6586A">
              <w:rPr>
                <w:sz w:val="20"/>
                <w:szCs w:val="20"/>
                <w:lang w:val="fr-FR"/>
              </w:rPr>
              <w:t>d’</w:t>
            </w:r>
            <w:r w:rsidR="00DB204E" w:rsidRPr="00F6586A">
              <w:rPr>
                <w:sz w:val="20"/>
                <w:szCs w:val="20"/>
                <w:lang w:val="fr-FR"/>
              </w:rPr>
              <w:t>empoisonnement</w:t>
            </w:r>
            <w:r w:rsidR="008802E6" w:rsidRPr="00F6586A">
              <w:rPr>
                <w:sz w:val="20"/>
                <w:szCs w:val="20"/>
                <w:lang w:val="fr-FR"/>
              </w:rPr>
              <w:t xml:space="preserve"> des </w:t>
            </w:r>
            <w:r w:rsidR="00DB204E" w:rsidRPr="00F6586A">
              <w:rPr>
                <w:sz w:val="20"/>
                <w:szCs w:val="20"/>
                <w:lang w:val="fr-FR"/>
              </w:rPr>
              <w:t>oiseaux migrateurs</w:t>
            </w:r>
          </w:p>
          <w:p w14:paraId="0CC0A1A0" w14:textId="2A69F4F3" w:rsidR="00B87172" w:rsidRPr="00F6586A" w:rsidRDefault="008802E6" w:rsidP="00B87172">
            <w:pPr>
              <w:numPr>
                <w:ilvl w:val="0"/>
                <w:numId w:val="15"/>
              </w:numPr>
              <w:rPr>
                <w:sz w:val="20"/>
                <w:szCs w:val="20"/>
                <w:lang w:val="fr-FR"/>
              </w:rPr>
            </w:pPr>
            <w:r w:rsidRPr="00F6586A">
              <w:rPr>
                <w:sz w:val="20"/>
                <w:szCs w:val="20"/>
                <w:lang w:val="fr-FR"/>
              </w:rPr>
              <w:t>Recommand</w:t>
            </w:r>
            <w:r w:rsidR="00B87172" w:rsidRPr="00F6586A">
              <w:rPr>
                <w:sz w:val="20"/>
                <w:szCs w:val="20"/>
                <w:lang w:val="fr-FR"/>
              </w:rPr>
              <w:t xml:space="preserve">ations </w:t>
            </w:r>
            <w:r w:rsidR="00D9190E" w:rsidRPr="00F6586A">
              <w:rPr>
                <w:sz w:val="20"/>
                <w:szCs w:val="20"/>
                <w:lang w:val="fr-FR"/>
              </w:rPr>
              <w:t>pour prévenir</w:t>
            </w:r>
            <w:r w:rsidR="001D2D9F" w:rsidRPr="00F6586A">
              <w:rPr>
                <w:sz w:val="20"/>
                <w:szCs w:val="20"/>
                <w:lang w:val="fr-FR"/>
              </w:rPr>
              <w:t xml:space="preserve"> les risques associés aux</w:t>
            </w:r>
            <w:r w:rsidRPr="00F6586A">
              <w:rPr>
                <w:sz w:val="20"/>
                <w:szCs w:val="20"/>
                <w:lang w:val="fr-FR"/>
              </w:rPr>
              <w:t xml:space="preserve"> </w:t>
            </w:r>
            <w:r w:rsidR="00E97629" w:rsidRPr="00F6586A">
              <w:rPr>
                <w:sz w:val="20"/>
                <w:szCs w:val="20"/>
                <w:lang w:val="fr-FR"/>
              </w:rPr>
              <w:t>munitions en plomb</w:t>
            </w:r>
            <w:r w:rsidR="00B87172" w:rsidRPr="00F6586A">
              <w:rPr>
                <w:sz w:val="20"/>
                <w:szCs w:val="20"/>
                <w:lang w:val="fr-FR"/>
              </w:rPr>
              <w:t xml:space="preserve"> </w:t>
            </w:r>
          </w:p>
        </w:tc>
      </w:tr>
      <w:tr w:rsidR="00B87172" w:rsidRPr="0055215A" w14:paraId="0DB30D28" w14:textId="77777777" w:rsidTr="00F6586A">
        <w:tc>
          <w:tcPr>
            <w:tcW w:w="1010" w:type="pct"/>
          </w:tcPr>
          <w:p w14:paraId="43D29583" w14:textId="6015A6FB" w:rsidR="00B87172" w:rsidRPr="00F6586A" w:rsidRDefault="00C33D87" w:rsidP="00B87172">
            <w:pPr>
              <w:rPr>
                <w:sz w:val="20"/>
                <w:szCs w:val="20"/>
                <w:lang w:val="fr-FR"/>
              </w:rPr>
            </w:pPr>
            <w:r w:rsidRPr="00F6586A">
              <w:rPr>
                <w:sz w:val="20"/>
                <w:szCs w:val="20"/>
                <w:lang w:val="fr-FR"/>
              </w:rPr>
              <w:lastRenderedPageBreak/>
              <w:t>E</w:t>
            </w:r>
            <w:r w:rsidR="00DB204E" w:rsidRPr="00F6586A">
              <w:rPr>
                <w:sz w:val="20"/>
                <w:szCs w:val="20"/>
                <w:lang w:val="fr-FR"/>
              </w:rPr>
              <w:t>mpoisonnement</w:t>
            </w:r>
            <w:r w:rsidR="008802E6" w:rsidRPr="00F6586A">
              <w:rPr>
                <w:sz w:val="20"/>
                <w:szCs w:val="20"/>
                <w:lang w:val="fr-FR"/>
              </w:rPr>
              <w:t xml:space="preserve"> </w:t>
            </w:r>
            <w:r w:rsidRPr="00F6586A">
              <w:rPr>
                <w:sz w:val="20"/>
                <w:szCs w:val="20"/>
                <w:lang w:val="fr-FR"/>
              </w:rPr>
              <w:t xml:space="preserve">causé </w:t>
            </w:r>
            <w:r w:rsidR="008802E6" w:rsidRPr="00F6586A">
              <w:rPr>
                <w:sz w:val="20"/>
                <w:szCs w:val="20"/>
                <w:lang w:val="fr-FR"/>
              </w:rPr>
              <w:t>par</w:t>
            </w:r>
            <w:r w:rsidR="00B87172" w:rsidRPr="00F6586A">
              <w:rPr>
                <w:sz w:val="20"/>
                <w:szCs w:val="20"/>
                <w:lang w:val="fr-FR"/>
              </w:rPr>
              <w:t xml:space="preserve"> </w:t>
            </w:r>
            <w:r w:rsidR="008802E6" w:rsidRPr="00F6586A">
              <w:rPr>
                <w:sz w:val="20"/>
                <w:szCs w:val="20"/>
                <w:lang w:val="fr-FR"/>
              </w:rPr>
              <w:t>l’utilisation de</w:t>
            </w:r>
            <w:r w:rsidR="00B87172" w:rsidRPr="00F6586A">
              <w:rPr>
                <w:sz w:val="20"/>
                <w:szCs w:val="20"/>
                <w:lang w:val="fr-FR"/>
              </w:rPr>
              <w:t xml:space="preserve"> </w:t>
            </w:r>
            <w:r w:rsidR="00EE212D" w:rsidRPr="00F6586A">
              <w:rPr>
                <w:sz w:val="20"/>
                <w:szCs w:val="20"/>
                <w:lang w:val="fr-FR"/>
              </w:rPr>
              <w:t>poids de pêche en plomb</w:t>
            </w:r>
          </w:p>
        </w:tc>
        <w:tc>
          <w:tcPr>
            <w:tcW w:w="1114" w:type="pct"/>
          </w:tcPr>
          <w:p w14:paraId="00BE9A7C" w14:textId="22951092" w:rsidR="00B87172" w:rsidRPr="00F6586A" w:rsidRDefault="000F2D09" w:rsidP="00B87172">
            <w:pPr>
              <w:rPr>
                <w:sz w:val="20"/>
                <w:szCs w:val="20"/>
                <w:lang w:val="en-GB"/>
              </w:rPr>
            </w:pPr>
            <w:r w:rsidRPr="00F6586A">
              <w:rPr>
                <w:sz w:val="20"/>
                <w:szCs w:val="20"/>
                <w:lang w:val="en-GB"/>
              </w:rPr>
              <w:t xml:space="preserve">Plan </w:t>
            </w:r>
            <w:proofErr w:type="spellStart"/>
            <w:r w:rsidRPr="00F6586A">
              <w:rPr>
                <w:sz w:val="20"/>
                <w:szCs w:val="20"/>
                <w:lang w:val="en-GB"/>
              </w:rPr>
              <w:t>d’action</w:t>
            </w:r>
            <w:proofErr w:type="spellEnd"/>
            <w:r w:rsidRPr="00F6586A">
              <w:rPr>
                <w:sz w:val="20"/>
                <w:szCs w:val="20"/>
                <w:lang w:val="en-GB"/>
              </w:rPr>
              <w:t xml:space="preserve"> AEWA</w:t>
            </w:r>
            <w:r w:rsidR="00C33D87" w:rsidRPr="00F6586A">
              <w:rPr>
                <w:sz w:val="20"/>
                <w:szCs w:val="20"/>
                <w:lang w:val="en-GB"/>
              </w:rPr>
              <w:t xml:space="preserve"> para </w:t>
            </w:r>
            <w:r w:rsidR="00B87172" w:rsidRPr="00F6586A">
              <w:rPr>
                <w:sz w:val="20"/>
                <w:szCs w:val="20"/>
                <w:lang w:val="en-GB"/>
              </w:rPr>
              <w:t>4.3.12</w:t>
            </w:r>
          </w:p>
          <w:p w14:paraId="2B393CFF" w14:textId="77777777" w:rsidR="00B87172" w:rsidRPr="00F6586A" w:rsidRDefault="00B87172" w:rsidP="00B87172">
            <w:pPr>
              <w:rPr>
                <w:sz w:val="20"/>
                <w:szCs w:val="20"/>
                <w:lang w:val="en-GB"/>
              </w:rPr>
            </w:pPr>
          </w:p>
        </w:tc>
        <w:tc>
          <w:tcPr>
            <w:tcW w:w="1325" w:type="pct"/>
          </w:tcPr>
          <w:p w14:paraId="4BA96EEE" w14:textId="77777777" w:rsidR="00C33D87"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B87172" w:rsidRPr="00F6586A">
              <w:rPr>
                <w:sz w:val="20"/>
                <w:szCs w:val="20"/>
                <w:lang w:val="fr-FR"/>
              </w:rPr>
              <w:t xml:space="preserve"> 10.26 </w:t>
            </w:r>
          </w:p>
          <w:p w14:paraId="4DE5D416" w14:textId="3E117BA6" w:rsidR="00B87172" w:rsidRPr="00F6586A" w:rsidRDefault="002D04A3" w:rsidP="00B87172">
            <w:pPr>
              <w:rPr>
                <w:sz w:val="20"/>
                <w:szCs w:val="20"/>
                <w:lang w:val="fr-FR"/>
              </w:rPr>
            </w:pPr>
            <w:r w:rsidRPr="00F6586A">
              <w:rPr>
                <w:sz w:val="20"/>
                <w:szCs w:val="20"/>
                <w:lang w:val="fr-FR"/>
              </w:rPr>
              <w:t>Réduire le</w:t>
            </w:r>
            <w:r w:rsidR="00DB204E" w:rsidRPr="00F6586A">
              <w:rPr>
                <w:sz w:val="20"/>
                <w:szCs w:val="20"/>
                <w:lang w:val="fr-FR"/>
              </w:rPr>
              <w:t xml:space="preserve"> risque </w:t>
            </w:r>
            <w:r w:rsidR="000F2D09" w:rsidRPr="00F6586A">
              <w:rPr>
                <w:sz w:val="20"/>
                <w:szCs w:val="20"/>
                <w:lang w:val="fr-FR"/>
              </w:rPr>
              <w:t>d’</w:t>
            </w:r>
            <w:r w:rsidR="00DB204E" w:rsidRPr="00F6586A">
              <w:rPr>
                <w:sz w:val="20"/>
                <w:szCs w:val="20"/>
                <w:lang w:val="fr-FR"/>
              </w:rPr>
              <w:t>empoisonnement</w:t>
            </w:r>
            <w:r w:rsidRPr="00F6586A">
              <w:rPr>
                <w:sz w:val="20"/>
                <w:szCs w:val="20"/>
                <w:lang w:val="fr-FR"/>
              </w:rPr>
              <w:t xml:space="preserve"> des</w:t>
            </w:r>
            <w:r w:rsidR="00B87172" w:rsidRPr="00F6586A">
              <w:rPr>
                <w:sz w:val="20"/>
                <w:szCs w:val="20"/>
                <w:lang w:val="fr-FR"/>
              </w:rPr>
              <w:t xml:space="preserve"> </w:t>
            </w:r>
            <w:r w:rsidR="00DB204E" w:rsidRPr="00F6586A">
              <w:rPr>
                <w:sz w:val="20"/>
                <w:szCs w:val="20"/>
                <w:lang w:val="fr-FR"/>
              </w:rPr>
              <w:t>oiseaux migrateurs</w:t>
            </w:r>
          </w:p>
          <w:p w14:paraId="05061FFB" w14:textId="77F8AFCD"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2D04A3" w:rsidRPr="00F6586A">
              <w:rPr>
                <w:sz w:val="20"/>
                <w:szCs w:val="20"/>
                <w:lang w:val="fr-FR"/>
              </w:rPr>
              <w:t xml:space="preserve"> 11.15 Prévenir les risques</w:t>
            </w:r>
            <w:r w:rsidR="00B87172" w:rsidRPr="00F6586A">
              <w:rPr>
                <w:sz w:val="20"/>
                <w:szCs w:val="20"/>
                <w:lang w:val="fr-FR"/>
              </w:rPr>
              <w:t xml:space="preserve"> </w:t>
            </w:r>
            <w:r w:rsidR="002D04A3" w:rsidRPr="00F6586A">
              <w:rPr>
                <w:sz w:val="20"/>
                <w:szCs w:val="20"/>
                <w:lang w:val="fr-FR"/>
              </w:rPr>
              <w:t>d’</w:t>
            </w:r>
            <w:r w:rsidR="00DB204E" w:rsidRPr="00F6586A">
              <w:rPr>
                <w:sz w:val="20"/>
                <w:szCs w:val="20"/>
                <w:lang w:val="fr-FR"/>
              </w:rPr>
              <w:t>empoisonnement</w:t>
            </w:r>
            <w:r w:rsidR="000F2D09" w:rsidRPr="00F6586A">
              <w:rPr>
                <w:sz w:val="20"/>
                <w:szCs w:val="20"/>
                <w:lang w:val="fr-FR"/>
              </w:rPr>
              <w:t xml:space="preserve"> des </w:t>
            </w:r>
            <w:r w:rsidR="00DB204E" w:rsidRPr="00F6586A">
              <w:rPr>
                <w:sz w:val="20"/>
                <w:szCs w:val="20"/>
                <w:lang w:val="fr-FR"/>
              </w:rPr>
              <w:t>oiseaux migrateurs</w:t>
            </w:r>
          </w:p>
        </w:tc>
        <w:tc>
          <w:tcPr>
            <w:tcW w:w="1551" w:type="pct"/>
          </w:tcPr>
          <w:p w14:paraId="5705A305" w14:textId="54039B10"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B87172" w:rsidRPr="00F6586A">
              <w:rPr>
                <w:sz w:val="20"/>
                <w:szCs w:val="20"/>
                <w:lang w:val="fr-FR"/>
              </w:rPr>
              <w:t xml:space="preserve"> 11.15 </w:t>
            </w:r>
            <w:r w:rsidR="00D9190E" w:rsidRPr="00F6586A">
              <w:rPr>
                <w:sz w:val="20"/>
                <w:szCs w:val="20"/>
                <w:lang w:val="fr-FR"/>
              </w:rPr>
              <w:t>Lignes directrices</w:t>
            </w:r>
            <w:r w:rsidR="00B87172" w:rsidRPr="00F6586A">
              <w:rPr>
                <w:sz w:val="20"/>
                <w:szCs w:val="20"/>
                <w:lang w:val="fr-FR"/>
              </w:rPr>
              <w:t xml:space="preserve"> </w:t>
            </w:r>
            <w:r w:rsidR="00D9190E" w:rsidRPr="00F6586A">
              <w:rPr>
                <w:sz w:val="20"/>
                <w:szCs w:val="20"/>
                <w:lang w:val="fr-FR"/>
              </w:rPr>
              <w:t>pour prévenir</w:t>
            </w:r>
            <w:r w:rsidR="008802E6" w:rsidRPr="00F6586A">
              <w:rPr>
                <w:sz w:val="20"/>
                <w:szCs w:val="20"/>
                <w:lang w:val="fr-FR"/>
              </w:rPr>
              <w:t xml:space="preserve"> les</w:t>
            </w:r>
            <w:r w:rsidR="00DB204E" w:rsidRPr="00F6586A">
              <w:rPr>
                <w:sz w:val="20"/>
                <w:szCs w:val="20"/>
                <w:lang w:val="fr-FR"/>
              </w:rPr>
              <w:t xml:space="preserve"> risque</w:t>
            </w:r>
            <w:r w:rsidR="008802E6" w:rsidRPr="00F6586A">
              <w:rPr>
                <w:sz w:val="20"/>
                <w:szCs w:val="20"/>
                <w:lang w:val="fr-FR"/>
              </w:rPr>
              <w:t>s</w:t>
            </w:r>
            <w:r w:rsidR="00DB204E" w:rsidRPr="00F6586A">
              <w:rPr>
                <w:sz w:val="20"/>
                <w:szCs w:val="20"/>
                <w:lang w:val="fr-FR"/>
              </w:rPr>
              <w:t xml:space="preserve"> </w:t>
            </w:r>
            <w:r w:rsidR="000F2D09" w:rsidRPr="00F6586A">
              <w:rPr>
                <w:sz w:val="20"/>
                <w:szCs w:val="20"/>
                <w:lang w:val="fr-FR"/>
              </w:rPr>
              <w:t>d’</w:t>
            </w:r>
            <w:r w:rsidR="00DB204E" w:rsidRPr="00F6586A">
              <w:rPr>
                <w:sz w:val="20"/>
                <w:szCs w:val="20"/>
                <w:lang w:val="fr-FR"/>
              </w:rPr>
              <w:t>empoisonnement</w:t>
            </w:r>
            <w:r w:rsidR="008802E6" w:rsidRPr="00F6586A">
              <w:rPr>
                <w:sz w:val="20"/>
                <w:szCs w:val="20"/>
                <w:lang w:val="fr-FR"/>
              </w:rPr>
              <w:t xml:space="preserve"> des </w:t>
            </w:r>
            <w:r w:rsidR="00DB204E" w:rsidRPr="00F6586A">
              <w:rPr>
                <w:sz w:val="20"/>
                <w:szCs w:val="20"/>
                <w:lang w:val="fr-FR"/>
              </w:rPr>
              <w:t>oiseaux migrateurs</w:t>
            </w:r>
          </w:p>
          <w:p w14:paraId="0E4BD18F" w14:textId="49717814" w:rsidR="00B87172" w:rsidRPr="00F6586A" w:rsidRDefault="008802E6" w:rsidP="00B87172">
            <w:pPr>
              <w:numPr>
                <w:ilvl w:val="0"/>
                <w:numId w:val="15"/>
              </w:numPr>
              <w:rPr>
                <w:sz w:val="20"/>
                <w:szCs w:val="20"/>
                <w:lang w:val="fr-FR"/>
              </w:rPr>
            </w:pPr>
            <w:r w:rsidRPr="00F6586A">
              <w:rPr>
                <w:sz w:val="20"/>
                <w:szCs w:val="20"/>
                <w:lang w:val="fr-FR"/>
              </w:rPr>
              <w:t>Recommand</w:t>
            </w:r>
            <w:r w:rsidR="00B87172" w:rsidRPr="00F6586A">
              <w:rPr>
                <w:sz w:val="20"/>
                <w:szCs w:val="20"/>
                <w:lang w:val="fr-FR"/>
              </w:rPr>
              <w:t xml:space="preserve">ations </w:t>
            </w:r>
            <w:r w:rsidR="00D9190E" w:rsidRPr="00F6586A">
              <w:rPr>
                <w:sz w:val="20"/>
                <w:szCs w:val="20"/>
                <w:lang w:val="fr-FR"/>
              </w:rPr>
              <w:t>pour prévenir</w:t>
            </w:r>
            <w:r w:rsidRPr="00F6586A">
              <w:rPr>
                <w:sz w:val="20"/>
                <w:szCs w:val="20"/>
                <w:lang w:val="fr-FR"/>
              </w:rPr>
              <w:t xml:space="preserve"> </w:t>
            </w:r>
            <w:r w:rsidR="00C33D87" w:rsidRPr="00F6586A">
              <w:rPr>
                <w:sz w:val="20"/>
                <w:szCs w:val="20"/>
                <w:lang w:val="fr-FR"/>
              </w:rPr>
              <w:t xml:space="preserve">les </w:t>
            </w:r>
            <w:r w:rsidR="001D2D9F" w:rsidRPr="00F6586A">
              <w:rPr>
                <w:sz w:val="20"/>
                <w:szCs w:val="20"/>
                <w:lang w:val="fr-FR"/>
              </w:rPr>
              <w:t>risques associés aux</w:t>
            </w:r>
            <w:r w:rsidRPr="00F6586A">
              <w:rPr>
                <w:sz w:val="20"/>
                <w:szCs w:val="20"/>
                <w:lang w:val="fr-FR"/>
              </w:rPr>
              <w:t xml:space="preserve"> </w:t>
            </w:r>
            <w:r w:rsidR="00EE212D" w:rsidRPr="00F6586A">
              <w:rPr>
                <w:sz w:val="20"/>
                <w:szCs w:val="20"/>
                <w:lang w:val="fr-FR"/>
              </w:rPr>
              <w:t>poids de pêche en plomb</w:t>
            </w:r>
          </w:p>
        </w:tc>
      </w:tr>
      <w:tr w:rsidR="00B87172" w:rsidRPr="0055215A" w14:paraId="2C483E44" w14:textId="77777777" w:rsidTr="00F6586A">
        <w:tc>
          <w:tcPr>
            <w:tcW w:w="1010" w:type="pct"/>
          </w:tcPr>
          <w:p w14:paraId="290C5F78" w14:textId="4F94372C" w:rsidR="00B87172" w:rsidRPr="00F6586A" w:rsidRDefault="00C33D87" w:rsidP="00B87172">
            <w:pPr>
              <w:rPr>
                <w:sz w:val="20"/>
                <w:szCs w:val="20"/>
                <w:lang w:val="fr-FR"/>
              </w:rPr>
            </w:pPr>
            <w:r w:rsidRPr="00F6586A">
              <w:rPr>
                <w:sz w:val="20"/>
                <w:szCs w:val="20"/>
                <w:lang w:val="fr-FR"/>
              </w:rPr>
              <w:t>E</w:t>
            </w:r>
            <w:r w:rsidR="00DB204E" w:rsidRPr="00F6586A">
              <w:rPr>
                <w:sz w:val="20"/>
                <w:szCs w:val="20"/>
                <w:lang w:val="fr-FR"/>
              </w:rPr>
              <w:t>mpoisonnement</w:t>
            </w:r>
            <w:r w:rsidR="008802E6" w:rsidRPr="00F6586A">
              <w:rPr>
                <w:sz w:val="20"/>
                <w:szCs w:val="20"/>
                <w:lang w:val="fr-FR"/>
              </w:rPr>
              <w:t xml:space="preserve"> </w:t>
            </w:r>
            <w:r w:rsidRPr="00F6586A">
              <w:rPr>
                <w:sz w:val="20"/>
                <w:szCs w:val="20"/>
                <w:lang w:val="fr-FR"/>
              </w:rPr>
              <w:t xml:space="preserve">causé </w:t>
            </w:r>
            <w:r w:rsidR="008802E6" w:rsidRPr="00F6586A">
              <w:rPr>
                <w:sz w:val="20"/>
                <w:szCs w:val="20"/>
                <w:lang w:val="fr-FR"/>
              </w:rPr>
              <w:t>par d’autres sources de plomb</w:t>
            </w:r>
          </w:p>
        </w:tc>
        <w:tc>
          <w:tcPr>
            <w:tcW w:w="1114" w:type="pct"/>
          </w:tcPr>
          <w:p w14:paraId="5AB75150" w14:textId="77777777" w:rsidR="00B87172" w:rsidRPr="00F6586A" w:rsidRDefault="00B87172" w:rsidP="00B87172">
            <w:pPr>
              <w:rPr>
                <w:sz w:val="20"/>
                <w:szCs w:val="20"/>
                <w:lang w:val="fr-FR"/>
              </w:rPr>
            </w:pPr>
          </w:p>
        </w:tc>
        <w:tc>
          <w:tcPr>
            <w:tcW w:w="1325" w:type="pct"/>
          </w:tcPr>
          <w:p w14:paraId="45B75848" w14:textId="3E20700C"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C33D87" w:rsidRPr="00F6586A">
              <w:rPr>
                <w:sz w:val="20"/>
                <w:szCs w:val="20"/>
                <w:lang w:val="fr-FR"/>
              </w:rPr>
              <w:t xml:space="preserve"> 11.15 P</w:t>
            </w:r>
            <w:r w:rsidR="005D22B5" w:rsidRPr="00F6586A">
              <w:rPr>
                <w:sz w:val="20"/>
                <w:szCs w:val="20"/>
                <w:lang w:val="fr-FR"/>
              </w:rPr>
              <w:t xml:space="preserve">révenir </w:t>
            </w:r>
            <w:r w:rsidR="00C33D87" w:rsidRPr="00F6586A">
              <w:rPr>
                <w:sz w:val="20"/>
                <w:szCs w:val="20"/>
                <w:lang w:val="fr-FR"/>
              </w:rPr>
              <w:t>les risques</w:t>
            </w:r>
            <w:r w:rsidR="000F2D09" w:rsidRPr="00F6586A">
              <w:rPr>
                <w:sz w:val="20"/>
                <w:szCs w:val="20"/>
                <w:lang w:val="fr-FR"/>
              </w:rPr>
              <w:t xml:space="preserve"> </w:t>
            </w:r>
            <w:r w:rsidR="00C33D87" w:rsidRPr="00F6586A">
              <w:rPr>
                <w:sz w:val="20"/>
                <w:szCs w:val="20"/>
                <w:lang w:val="fr-FR"/>
              </w:rPr>
              <w:t>d</w:t>
            </w:r>
            <w:r w:rsidR="00DB204E" w:rsidRPr="00F6586A">
              <w:rPr>
                <w:sz w:val="20"/>
                <w:szCs w:val="20"/>
                <w:lang w:val="fr-FR"/>
              </w:rPr>
              <w:t>’empoisonnement</w:t>
            </w:r>
            <w:r w:rsidR="000F2D09" w:rsidRPr="00F6586A">
              <w:rPr>
                <w:sz w:val="20"/>
                <w:szCs w:val="20"/>
                <w:lang w:val="fr-FR"/>
              </w:rPr>
              <w:t xml:space="preserve"> des </w:t>
            </w:r>
            <w:r w:rsidR="00DB204E" w:rsidRPr="00F6586A">
              <w:rPr>
                <w:sz w:val="20"/>
                <w:szCs w:val="20"/>
                <w:lang w:val="fr-FR"/>
              </w:rPr>
              <w:t>oiseaux migrateurs</w:t>
            </w:r>
          </w:p>
        </w:tc>
        <w:tc>
          <w:tcPr>
            <w:tcW w:w="1551" w:type="pct"/>
          </w:tcPr>
          <w:p w14:paraId="25C2A36A" w14:textId="231B0764" w:rsidR="00B87172" w:rsidRPr="00F6586A" w:rsidRDefault="00776E53" w:rsidP="00B87172">
            <w:pPr>
              <w:rPr>
                <w:sz w:val="20"/>
                <w:szCs w:val="20"/>
                <w:lang w:val="fr-FR"/>
              </w:rPr>
            </w:pPr>
            <w:r w:rsidRPr="00F6586A">
              <w:rPr>
                <w:sz w:val="20"/>
                <w:szCs w:val="20"/>
                <w:lang w:val="fr-FR"/>
              </w:rPr>
              <w:t>Résolution</w:t>
            </w:r>
            <w:r w:rsidR="000F2D09" w:rsidRPr="00F6586A">
              <w:rPr>
                <w:sz w:val="20"/>
                <w:szCs w:val="20"/>
                <w:lang w:val="fr-FR"/>
              </w:rPr>
              <w:t xml:space="preserve"> CMS</w:t>
            </w:r>
            <w:r w:rsidR="00B87172" w:rsidRPr="00F6586A">
              <w:rPr>
                <w:sz w:val="20"/>
                <w:szCs w:val="20"/>
                <w:lang w:val="fr-FR"/>
              </w:rPr>
              <w:t xml:space="preserve"> 11.15 </w:t>
            </w:r>
            <w:r w:rsidR="00D9190E" w:rsidRPr="00F6586A">
              <w:rPr>
                <w:sz w:val="20"/>
                <w:szCs w:val="20"/>
                <w:lang w:val="fr-FR"/>
              </w:rPr>
              <w:t>Lignes directrices</w:t>
            </w:r>
            <w:r w:rsidR="00B87172" w:rsidRPr="00F6586A">
              <w:rPr>
                <w:sz w:val="20"/>
                <w:szCs w:val="20"/>
                <w:lang w:val="fr-FR"/>
              </w:rPr>
              <w:t xml:space="preserve"> </w:t>
            </w:r>
            <w:r w:rsidR="00D9190E" w:rsidRPr="00F6586A">
              <w:rPr>
                <w:sz w:val="20"/>
                <w:szCs w:val="20"/>
                <w:lang w:val="fr-FR"/>
              </w:rPr>
              <w:t>pour prévenir</w:t>
            </w:r>
            <w:r w:rsidR="00B87172" w:rsidRPr="00F6586A">
              <w:rPr>
                <w:sz w:val="20"/>
                <w:szCs w:val="20"/>
                <w:lang w:val="fr-FR"/>
              </w:rPr>
              <w:t xml:space="preserve"> </w:t>
            </w:r>
            <w:r w:rsidR="008802E6" w:rsidRPr="00F6586A">
              <w:rPr>
                <w:sz w:val="20"/>
                <w:szCs w:val="20"/>
                <w:lang w:val="fr-FR"/>
              </w:rPr>
              <w:t>les</w:t>
            </w:r>
            <w:r w:rsidR="00DB204E" w:rsidRPr="00F6586A">
              <w:rPr>
                <w:sz w:val="20"/>
                <w:szCs w:val="20"/>
                <w:lang w:val="fr-FR"/>
              </w:rPr>
              <w:t xml:space="preserve"> risque</w:t>
            </w:r>
            <w:r w:rsidR="008802E6" w:rsidRPr="00F6586A">
              <w:rPr>
                <w:sz w:val="20"/>
                <w:szCs w:val="20"/>
                <w:lang w:val="fr-FR"/>
              </w:rPr>
              <w:t>s</w:t>
            </w:r>
            <w:r w:rsidR="00DB204E" w:rsidRPr="00F6586A">
              <w:rPr>
                <w:sz w:val="20"/>
                <w:szCs w:val="20"/>
                <w:lang w:val="fr-FR"/>
              </w:rPr>
              <w:t xml:space="preserve"> </w:t>
            </w:r>
            <w:r w:rsidR="000F2D09" w:rsidRPr="00F6586A">
              <w:rPr>
                <w:sz w:val="20"/>
                <w:szCs w:val="20"/>
                <w:lang w:val="fr-FR"/>
              </w:rPr>
              <w:t>d’</w:t>
            </w:r>
            <w:r w:rsidR="00DB204E" w:rsidRPr="00F6586A">
              <w:rPr>
                <w:sz w:val="20"/>
                <w:szCs w:val="20"/>
                <w:lang w:val="fr-FR"/>
              </w:rPr>
              <w:t>empoisonnement</w:t>
            </w:r>
            <w:r w:rsidR="008802E6" w:rsidRPr="00F6586A">
              <w:rPr>
                <w:sz w:val="20"/>
                <w:szCs w:val="20"/>
                <w:lang w:val="fr-FR"/>
              </w:rPr>
              <w:t xml:space="preserve"> des </w:t>
            </w:r>
            <w:r w:rsidR="00DB204E" w:rsidRPr="00F6586A">
              <w:rPr>
                <w:sz w:val="20"/>
                <w:szCs w:val="20"/>
                <w:lang w:val="fr-FR"/>
              </w:rPr>
              <w:t>oiseaux migrateurs</w:t>
            </w:r>
          </w:p>
          <w:p w14:paraId="4DC854D1" w14:textId="77777777" w:rsidR="00B87172" w:rsidRDefault="008802E6" w:rsidP="00B87172">
            <w:pPr>
              <w:numPr>
                <w:ilvl w:val="0"/>
                <w:numId w:val="15"/>
              </w:numPr>
              <w:rPr>
                <w:sz w:val="20"/>
                <w:szCs w:val="20"/>
                <w:lang w:val="fr-FR"/>
              </w:rPr>
            </w:pPr>
            <w:r w:rsidRPr="00F6586A">
              <w:rPr>
                <w:sz w:val="20"/>
                <w:szCs w:val="20"/>
                <w:lang w:val="fr-FR"/>
              </w:rPr>
              <w:t>Recommand</w:t>
            </w:r>
            <w:r w:rsidR="00B87172" w:rsidRPr="00F6586A">
              <w:rPr>
                <w:sz w:val="20"/>
                <w:szCs w:val="20"/>
                <w:lang w:val="fr-FR"/>
              </w:rPr>
              <w:t xml:space="preserve">ations </w:t>
            </w:r>
            <w:r w:rsidR="00D9190E" w:rsidRPr="00F6586A">
              <w:rPr>
                <w:sz w:val="20"/>
                <w:szCs w:val="20"/>
                <w:lang w:val="fr-FR"/>
              </w:rPr>
              <w:t>pour prévenir</w:t>
            </w:r>
            <w:r w:rsidR="00B87172" w:rsidRPr="00F6586A">
              <w:rPr>
                <w:sz w:val="20"/>
                <w:szCs w:val="20"/>
                <w:lang w:val="fr-FR"/>
              </w:rPr>
              <w:t xml:space="preserve"> </w:t>
            </w:r>
            <w:r w:rsidR="001D2D9F" w:rsidRPr="00F6586A">
              <w:rPr>
                <w:sz w:val="20"/>
                <w:szCs w:val="20"/>
                <w:lang w:val="fr-FR"/>
              </w:rPr>
              <w:t xml:space="preserve">les risques associés à </w:t>
            </w:r>
            <w:r w:rsidRPr="00F6586A">
              <w:rPr>
                <w:sz w:val="20"/>
                <w:szCs w:val="20"/>
                <w:lang w:val="fr-FR"/>
              </w:rPr>
              <w:t>d’autres sources de plomb (</w:t>
            </w:r>
            <w:r w:rsidR="00B87172" w:rsidRPr="00F6586A">
              <w:rPr>
                <w:sz w:val="20"/>
                <w:szCs w:val="20"/>
                <w:lang w:val="fr-FR"/>
              </w:rPr>
              <w:t>pollution</w:t>
            </w:r>
            <w:r w:rsidRPr="00F6586A">
              <w:rPr>
                <w:sz w:val="20"/>
                <w:szCs w:val="20"/>
                <w:lang w:val="fr-FR"/>
              </w:rPr>
              <w:t xml:space="preserve"> industrielle</w:t>
            </w:r>
            <w:r w:rsidR="00B87172" w:rsidRPr="00F6586A">
              <w:rPr>
                <w:sz w:val="20"/>
                <w:szCs w:val="20"/>
                <w:lang w:val="fr-FR"/>
              </w:rPr>
              <w:t>,</w:t>
            </w:r>
            <w:r w:rsidRPr="00F6586A">
              <w:rPr>
                <w:sz w:val="20"/>
                <w:szCs w:val="20"/>
                <w:lang w:val="fr-FR"/>
              </w:rPr>
              <w:t xml:space="preserve"> </w:t>
            </w:r>
            <w:r w:rsidR="001D2D9F" w:rsidRPr="00F6586A">
              <w:rPr>
                <w:sz w:val="20"/>
                <w:szCs w:val="20"/>
                <w:lang w:val="fr-FR"/>
              </w:rPr>
              <w:t>peinture au</w:t>
            </w:r>
            <w:r w:rsidR="00C33D87" w:rsidRPr="00F6586A">
              <w:rPr>
                <w:sz w:val="20"/>
                <w:szCs w:val="20"/>
                <w:lang w:val="fr-FR"/>
              </w:rPr>
              <w:t xml:space="preserve"> plomb et</w:t>
            </w:r>
            <w:r w:rsidR="001D2D9F" w:rsidRPr="00F6586A">
              <w:rPr>
                <w:sz w:val="20"/>
                <w:szCs w:val="20"/>
                <w:lang w:val="fr-FR"/>
              </w:rPr>
              <w:t xml:space="preserve"> déchets de</w:t>
            </w:r>
            <w:r w:rsidR="005D22B5" w:rsidRPr="00F6586A">
              <w:rPr>
                <w:sz w:val="20"/>
                <w:szCs w:val="20"/>
                <w:lang w:val="fr-FR"/>
              </w:rPr>
              <w:t xml:space="preserve"> </w:t>
            </w:r>
            <w:r w:rsidRPr="00F6586A">
              <w:rPr>
                <w:sz w:val="20"/>
                <w:szCs w:val="20"/>
                <w:lang w:val="fr-FR"/>
              </w:rPr>
              <w:t>plomb</w:t>
            </w:r>
            <w:r w:rsidR="00B87172" w:rsidRPr="00F6586A">
              <w:rPr>
                <w:sz w:val="20"/>
                <w:szCs w:val="20"/>
                <w:lang w:val="fr-FR"/>
              </w:rPr>
              <w:t>)</w:t>
            </w:r>
          </w:p>
          <w:p w14:paraId="3703EA82" w14:textId="3D06ED3F" w:rsidR="00F6586A" w:rsidRPr="00F6586A" w:rsidRDefault="00F6586A" w:rsidP="00F6586A">
            <w:pPr>
              <w:ind w:left="720"/>
              <w:rPr>
                <w:sz w:val="20"/>
                <w:szCs w:val="20"/>
                <w:lang w:val="fr-FR"/>
              </w:rPr>
            </w:pPr>
          </w:p>
        </w:tc>
      </w:tr>
    </w:tbl>
    <w:p w14:paraId="0D6B3A18" w14:textId="77777777" w:rsidR="00B87172" w:rsidRPr="008802E6" w:rsidRDefault="00B87172" w:rsidP="00B87172">
      <w:pPr>
        <w:rPr>
          <w:sz w:val="22"/>
          <w:szCs w:val="22"/>
          <w:lang w:val="fr-FR"/>
        </w:rPr>
      </w:pPr>
    </w:p>
    <w:sectPr w:rsidR="00B87172" w:rsidRPr="008802E6" w:rsidSect="00FB1D66">
      <w:headerReference w:type="default" r:id="rId29"/>
      <w:headerReference w:type="first" r:id="rId30"/>
      <w:endnotePr>
        <w:numFmt w:val="decimal"/>
      </w:endnotePr>
      <w:pgSz w:w="16837" w:h="11905" w:orient="landscape"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594D" w14:textId="77777777" w:rsidR="000F4030" w:rsidRDefault="000F4030">
      <w:r>
        <w:separator/>
      </w:r>
    </w:p>
  </w:endnote>
  <w:endnote w:type="continuationSeparator" w:id="0">
    <w:p w14:paraId="32E4C9DB" w14:textId="77777777" w:rsidR="000F4030" w:rsidRDefault="000F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05BD" w14:textId="6B1C7B4B" w:rsidR="000F4030" w:rsidRPr="00922791" w:rsidRDefault="000F4030"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881695">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D143" w14:textId="6EE6E363" w:rsidR="000F4030" w:rsidRPr="00922791" w:rsidRDefault="000F4030"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881695">
      <w:rPr>
        <w:rFonts w:cs="Arial"/>
        <w:noProof/>
        <w:szCs w:val="18"/>
      </w:rPr>
      <w:t>11</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19DC" w14:textId="77777777" w:rsidR="000F4030" w:rsidRPr="00CD7355" w:rsidRDefault="000F4030"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08CC" w14:textId="79D67355" w:rsidR="000F4030" w:rsidRPr="002F2B3F" w:rsidRDefault="000F4030" w:rsidP="002F2B3F">
    <w:pPr>
      <w:pStyle w:val="Footer"/>
      <w:tabs>
        <w:tab w:val="clear" w:pos="8640"/>
        <w:tab w:val="right" w:pos="9083"/>
      </w:tabs>
      <w:jc w:val="center"/>
      <w:rPr>
        <w:rFonts w:cs="Arial"/>
        <w:szCs w:val="18"/>
      </w:rPr>
    </w:pPr>
    <w:r>
      <w:rPr>
        <w:rFonts w:cs="Arial"/>
        <w:noProof/>
        <w:szCs w:val="18"/>
      </w:rPr>
      <w:tab/>
    </w: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881695">
      <w:rPr>
        <w:rFonts w:cs="Arial"/>
        <w:noProof/>
        <w:szCs w:val="18"/>
      </w:rPr>
      <w:t>12</w:t>
    </w:r>
    <w:r w:rsidRPr="00D605A4">
      <w:rPr>
        <w:rFonts w:cs="Arial"/>
        <w:noProof/>
        <w:szCs w:val="18"/>
      </w:rPr>
      <w:fldChar w:fldCharType="end"/>
    </w:r>
    <w:r>
      <w:rPr>
        <w:rFonts w:cs="Arial"/>
        <w:noProof/>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3413"/>
      <w:docPartObj>
        <w:docPartGallery w:val="Page Numbers (Bottom of Page)"/>
        <w:docPartUnique/>
      </w:docPartObj>
    </w:sdtPr>
    <w:sdtEndPr>
      <w:rPr>
        <w:rFonts w:ascii="Times New Roman" w:hAnsi="Times New Roman"/>
        <w:noProof/>
        <w:sz w:val="20"/>
        <w:szCs w:val="20"/>
      </w:rPr>
    </w:sdtEndPr>
    <w:sdtContent>
      <w:p w14:paraId="066B738E" w14:textId="52E6F722" w:rsidR="000F4030" w:rsidRPr="00095605" w:rsidRDefault="000F4030">
        <w:pPr>
          <w:jc w:val="center"/>
          <w:rPr>
            <w:rFonts w:ascii="Times New Roman" w:hAnsi="Times New Roman"/>
            <w:sz w:val="20"/>
            <w:szCs w:val="20"/>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881695">
          <w:rPr>
            <w:rFonts w:cs="Arial"/>
            <w:noProof/>
            <w:szCs w:val="18"/>
          </w:rPr>
          <w:t>14</w:t>
        </w:r>
        <w:r w:rsidRPr="00B87172">
          <w:rPr>
            <w:rFonts w:cs="Arial"/>
            <w:noProof/>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32222"/>
      <w:docPartObj>
        <w:docPartGallery w:val="Page Numbers (Bottom of Page)"/>
        <w:docPartUnique/>
      </w:docPartObj>
    </w:sdtPr>
    <w:sdtEndPr>
      <w:rPr>
        <w:rFonts w:cs="Arial"/>
        <w:noProof/>
        <w:szCs w:val="18"/>
      </w:rPr>
    </w:sdtEndPr>
    <w:sdtContent>
      <w:p w14:paraId="2BF0BCDE" w14:textId="4293E1F0" w:rsidR="000F4030" w:rsidRPr="00B87172" w:rsidRDefault="000F4030">
        <w:pPr>
          <w:jc w:val="center"/>
          <w:rPr>
            <w:rFonts w:cs="Arial"/>
            <w:szCs w:val="18"/>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881695">
          <w:rPr>
            <w:rFonts w:cs="Arial"/>
            <w:noProof/>
            <w:szCs w:val="18"/>
          </w:rPr>
          <w:t>17</w:t>
        </w:r>
        <w:r w:rsidRPr="00B87172">
          <w:rPr>
            <w:rFonts w:cs="Arial"/>
            <w:noProof/>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04943"/>
      <w:docPartObj>
        <w:docPartGallery w:val="Page Numbers (Bottom of Page)"/>
        <w:docPartUnique/>
      </w:docPartObj>
    </w:sdtPr>
    <w:sdtEndPr>
      <w:rPr>
        <w:rFonts w:ascii="Times New Roman" w:hAnsi="Times New Roman"/>
        <w:noProof/>
        <w:sz w:val="20"/>
        <w:szCs w:val="20"/>
      </w:rPr>
    </w:sdtEndPr>
    <w:sdtContent>
      <w:p w14:paraId="6ED85E0C" w14:textId="254F678D" w:rsidR="000F4030" w:rsidRPr="00095605" w:rsidRDefault="000F4030">
        <w:pPr>
          <w:jc w:val="center"/>
          <w:rPr>
            <w:rFonts w:ascii="Times New Roman" w:hAnsi="Times New Roman"/>
            <w:sz w:val="20"/>
            <w:szCs w:val="20"/>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881695">
          <w:rPr>
            <w:rFonts w:cs="Arial"/>
            <w:noProof/>
            <w:szCs w:val="18"/>
          </w:rPr>
          <w:t>16</w:t>
        </w:r>
        <w:r w:rsidRPr="00B87172">
          <w:rPr>
            <w:rFonts w:cs="Arial"/>
            <w:noProof/>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645" w14:textId="77777777" w:rsidR="000F4030" w:rsidRDefault="000F4030">
      <w:r>
        <w:separator/>
      </w:r>
    </w:p>
  </w:footnote>
  <w:footnote w:type="continuationSeparator" w:id="0">
    <w:p w14:paraId="677C62C0" w14:textId="77777777" w:rsidR="000F4030" w:rsidRDefault="000F4030">
      <w:r>
        <w:continuationSeparator/>
      </w:r>
    </w:p>
  </w:footnote>
  <w:footnote w:id="1">
    <w:p w14:paraId="063BFC87" w14:textId="5D777F62" w:rsidR="000F4030" w:rsidRPr="00271548" w:rsidRDefault="000F4030">
      <w:pPr>
        <w:pStyle w:val="FootnoteText"/>
        <w:rPr>
          <w:lang w:val="fr-FR"/>
        </w:rPr>
      </w:pPr>
      <w:r w:rsidRPr="00B71136">
        <w:rPr>
          <w:rStyle w:val="FootnoteReference"/>
          <w:vertAlign w:val="superscript"/>
        </w:rPr>
        <w:footnoteRef/>
      </w:r>
      <w:r w:rsidRPr="00B71136">
        <w:rPr>
          <w:vertAlign w:val="superscript"/>
          <w:lang w:val="fr-FR"/>
        </w:rPr>
        <w:t xml:space="preserve"> </w:t>
      </w:r>
      <w:r w:rsidRPr="00B71136">
        <w:rPr>
          <w:lang w:val="fr-FR"/>
        </w:rPr>
        <w:t>Sous le titre</w:t>
      </w:r>
      <w:r>
        <w:rPr>
          <w:lang w:val="fr-FR"/>
        </w:rPr>
        <w:t> : Groupe de travail sur la réduction du risque</w:t>
      </w:r>
      <w:r w:rsidRPr="00B71136">
        <w:rPr>
          <w:lang w:val="fr-FR"/>
        </w:rPr>
        <w:t xml:space="preserve"> d’empoisonnement des oiseaux migrateurs</w:t>
      </w:r>
      <w:r>
        <w:rPr>
          <w:lang w:val="fr-FR"/>
        </w:rPr>
        <w:t>.</w:t>
      </w:r>
    </w:p>
  </w:footnote>
  <w:footnote w:id="2">
    <w:p w14:paraId="79DD46F2" w14:textId="680F0600" w:rsidR="000F4030" w:rsidRPr="000F4030" w:rsidRDefault="000F4030" w:rsidP="00B54A37">
      <w:pPr>
        <w:pStyle w:val="FootnoteText"/>
        <w:rPr>
          <w:rFonts w:cs="Arial"/>
          <w:lang w:val="fr-FR"/>
        </w:rPr>
      </w:pPr>
      <w:r w:rsidRPr="000F4030">
        <w:rPr>
          <w:rStyle w:val="FootnoteReference"/>
          <w:rFonts w:cs="Arial"/>
          <w:vertAlign w:val="superscript"/>
        </w:rPr>
        <w:footnoteRef/>
      </w:r>
      <w:hyperlink r:id="rId1" w:history="1">
        <w:r w:rsidRPr="000F4030">
          <w:rPr>
            <w:rStyle w:val="Hyperlink"/>
            <w:rFonts w:cs="Arial"/>
            <w:color w:val="auto"/>
            <w:szCs w:val="18"/>
            <w:u w:val="none"/>
            <w:lang w:val="fr-FR"/>
          </w:rPr>
          <w:t>http://www.cms.int/sites/default/files/document/Res_11_15_Preventing_Bird_Poisoning_E_0.pdf</w:t>
        </w:r>
      </w:hyperlink>
      <w:r w:rsidRPr="000F4030">
        <w:rPr>
          <w:rFonts w:cs="Arial"/>
          <w:szCs w:val="18"/>
          <w:lang w:val="fr-FR"/>
        </w:rPr>
        <w:t>.</w:t>
      </w:r>
    </w:p>
  </w:footnote>
  <w:footnote w:id="3">
    <w:p w14:paraId="38F7A574" w14:textId="560B6AB8" w:rsidR="000F4030" w:rsidRPr="003573D2" w:rsidRDefault="000F4030" w:rsidP="00B54A37">
      <w:pPr>
        <w:pStyle w:val="FootnoteText"/>
        <w:rPr>
          <w:lang w:val="fr-FR"/>
        </w:rPr>
      </w:pPr>
      <w:r w:rsidRPr="000F4030">
        <w:rPr>
          <w:rStyle w:val="FootnoteReference"/>
          <w:rFonts w:cs="Arial"/>
          <w:vertAlign w:val="superscript"/>
        </w:rPr>
        <w:footnoteRef/>
      </w:r>
      <w:hyperlink r:id="rId2" w:history="1">
        <w:r w:rsidRPr="000F4030">
          <w:rPr>
            <w:rStyle w:val="Hyperlink"/>
            <w:rFonts w:cs="Arial"/>
            <w:color w:val="auto"/>
            <w:szCs w:val="18"/>
            <w:u w:val="none"/>
            <w:lang w:val="fr-FR"/>
          </w:rPr>
          <w:t>http://www.cms.int/sites/default/files/document/COP11_Doc_23_1_2_Bird_Poisoning_Review_%26_Guidelines_E_0.pdf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E577" w14:textId="77777777" w:rsidR="000F4030" w:rsidRPr="00922791" w:rsidRDefault="000F4030"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D9E3" w14:textId="37AD82BB" w:rsidR="000F4030" w:rsidRPr="00971002" w:rsidRDefault="000F4030" w:rsidP="00D605A4">
    <w:pPr>
      <w:pStyle w:val="Header"/>
      <w:pBdr>
        <w:bottom w:val="single" w:sz="4" w:space="1" w:color="auto"/>
      </w:pBdr>
      <w:rPr>
        <w:rFonts w:cs="Arial"/>
        <w:i/>
        <w:szCs w:val="18"/>
        <w:lang w:val="fr-FR"/>
      </w:rPr>
    </w:pPr>
    <w:r w:rsidRPr="00971002">
      <w:rPr>
        <w:rFonts w:cs="Arial"/>
        <w:i/>
        <w:szCs w:val="18"/>
        <w:lang w:val="fr-FR"/>
      </w:rPr>
      <w:t>UNEP/CMS/COP12/Doc.24.1.3/</w:t>
    </w:r>
    <w:r>
      <w:rPr>
        <w:rFonts w:cs="Arial"/>
        <w:i/>
        <w:szCs w:val="18"/>
        <w:lang w:val="fr-FR"/>
      </w:rPr>
      <w:t>Rev.2/</w:t>
    </w:r>
    <w:r w:rsidRPr="00971002">
      <w:rPr>
        <w:rFonts w:cs="Arial"/>
        <w:i/>
        <w:szCs w:val="18"/>
        <w:lang w:val="fr-FR"/>
      </w:rPr>
      <w:t>Annexe</w:t>
    </w:r>
    <w:r>
      <w:rPr>
        <w:rFonts w:cs="Arial"/>
        <w:i/>
        <w:szCs w:val="18"/>
        <w:lang w:val="fr-FR"/>
      </w:rPr>
      <w:t xml:space="preserv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29EC" w14:textId="77777777" w:rsidR="000F4030" w:rsidRPr="000A2BD7" w:rsidRDefault="000F4030" w:rsidP="000F4030">
    <w:pPr>
      <w:pBdr>
        <w:bottom w:val="single" w:sz="4" w:space="1" w:color="auto"/>
      </w:pBdr>
      <w:rPr>
        <w:lang w:val="fr-FR"/>
      </w:rPr>
    </w:pPr>
    <w:r w:rsidRPr="000A2BD7">
      <w:rPr>
        <w:rFonts w:cs="Arial"/>
        <w:i/>
        <w:szCs w:val="18"/>
        <w:lang w:val="fr-FR"/>
      </w:rPr>
      <w:t>UNEP/CMS/COP12/Doc.24.1.3/</w:t>
    </w:r>
    <w:r>
      <w:rPr>
        <w:rFonts w:cs="Arial"/>
        <w:i/>
        <w:szCs w:val="18"/>
        <w:lang w:val="fr-FR"/>
      </w:rPr>
      <w:t>Rev.2/</w:t>
    </w:r>
    <w:r w:rsidRPr="000A2BD7">
      <w:rPr>
        <w:rFonts w:cs="Arial"/>
        <w:i/>
        <w:szCs w:val="18"/>
        <w:lang w:val="fr-FR"/>
      </w:rPr>
      <w:t>Annex</w:t>
    </w:r>
    <w:r>
      <w:rPr>
        <w:rFonts w:cs="Arial"/>
        <w:i/>
        <w:szCs w:val="18"/>
        <w:lang w:val="fr-FR"/>
      </w:rPr>
      <w:t>e 3</w:t>
    </w:r>
  </w:p>
  <w:p w14:paraId="02F383D2" w14:textId="7BBBF057" w:rsidR="000F4030" w:rsidRPr="000F4030" w:rsidRDefault="000F4030" w:rsidP="000F40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27C1" w14:textId="77777777" w:rsidR="000F4030" w:rsidRPr="000A2BD7" w:rsidRDefault="000F4030" w:rsidP="000F4030">
    <w:pPr>
      <w:pBdr>
        <w:bottom w:val="single" w:sz="4" w:space="1" w:color="auto"/>
      </w:pBdr>
      <w:jc w:val="right"/>
      <w:rPr>
        <w:lang w:val="fr-FR"/>
      </w:rPr>
    </w:pPr>
    <w:r w:rsidRPr="000A2BD7">
      <w:rPr>
        <w:rFonts w:cs="Arial"/>
        <w:i/>
        <w:szCs w:val="18"/>
        <w:lang w:val="fr-FR"/>
      </w:rPr>
      <w:t>UNEP/CMS/COP12/Doc.24.1.3/</w:t>
    </w:r>
    <w:r>
      <w:rPr>
        <w:rFonts w:cs="Arial"/>
        <w:i/>
        <w:szCs w:val="18"/>
        <w:lang w:val="fr-FR"/>
      </w:rPr>
      <w:t>Rev.2/</w:t>
    </w:r>
    <w:r w:rsidRPr="000A2BD7">
      <w:rPr>
        <w:rFonts w:cs="Arial"/>
        <w:i/>
        <w:szCs w:val="18"/>
        <w:lang w:val="fr-FR"/>
      </w:rPr>
      <w:t>Annex</w:t>
    </w:r>
    <w:r>
      <w:rPr>
        <w:rFonts w:cs="Arial"/>
        <w:i/>
        <w:szCs w:val="18"/>
        <w:lang w:val="fr-FR"/>
      </w:rPr>
      <w:t>e 3</w:t>
    </w:r>
  </w:p>
  <w:p w14:paraId="5E9A89B6" w14:textId="70D2EB20" w:rsidR="000F4030" w:rsidRPr="000F4030" w:rsidRDefault="000F4030" w:rsidP="000F40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412" w14:textId="08BE882B" w:rsidR="000F4030" w:rsidRPr="000A2BD7" w:rsidRDefault="000F4030" w:rsidP="00FB1D66">
    <w:pPr>
      <w:pBdr>
        <w:bottom w:val="single" w:sz="4" w:space="1" w:color="auto"/>
      </w:pBdr>
      <w:jc w:val="right"/>
      <w:rPr>
        <w:lang w:val="fr-FR"/>
      </w:rPr>
    </w:pPr>
    <w:r w:rsidRPr="000A2BD7">
      <w:rPr>
        <w:rFonts w:cs="Arial"/>
        <w:i/>
        <w:szCs w:val="18"/>
        <w:lang w:val="fr-FR"/>
      </w:rPr>
      <w:t>UNEP/CMS/COP12/Doc.24.1.3/</w:t>
    </w:r>
    <w:r>
      <w:rPr>
        <w:rFonts w:cs="Arial"/>
        <w:i/>
        <w:szCs w:val="18"/>
        <w:lang w:val="fr-FR"/>
      </w:rPr>
      <w:t>Rev.2/</w:t>
    </w:r>
    <w:r w:rsidRPr="000A2BD7">
      <w:rPr>
        <w:rFonts w:cs="Arial"/>
        <w:i/>
        <w:szCs w:val="18"/>
        <w:lang w:val="fr-FR"/>
      </w:rPr>
      <w:t>Annex</w:t>
    </w:r>
    <w:r>
      <w:rPr>
        <w:rFonts w:cs="Arial"/>
        <w:i/>
        <w:szCs w:val="18"/>
        <w:lang w:val="fr-FR"/>
      </w:rPr>
      <w:t>e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9374" w14:textId="62CAE0A0" w:rsidR="00F6586A" w:rsidRPr="000A2BD7" w:rsidRDefault="00F6586A" w:rsidP="00F6586A">
    <w:pPr>
      <w:pBdr>
        <w:bottom w:val="single" w:sz="4" w:space="1" w:color="auto"/>
      </w:pBdr>
      <w:jc w:val="right"/>
      <w:rPr>
        <w:lang w:val="fr-FR"/>
      </w:rPr>
    </w:pPr>
    <w:r w:rsidRPr="000A2BD7">
      <w:rPr>
        <w:rFonts w:cs="Arial"/>
        <w:i/>
        <w:szCs w:val="18"/>
        <w:lang w:val="fr-FR"/>
      </w:rPr>
      <w:t>UNEP/CMS/COP12/Doc.24.1.3/</w:t>
    </w:r>
    <w:r>
      <w:rPr>
        <w:rFonts w:cs="Arial"/>
        <w:i/>
        <w:szCs w:val="18"/>
        <w:lang w:val="fr-FR"/>
      </w:rPr>
      <w:t>Rev.2/</w:t>
    </w:r>
    <w:r w:rsidRPr="000A2BD7">
      <w:rPr>
        <w:rFonts w:cs="Arial"/>
        <w:i/>
        <w:szCs w:val="18"/>
        <w:lang w:val="fr-FR"/>
      </w:rPr>
      <w:t>Annex</w:t>
    </w:r>
    <w:r w:rsidR="00881695">
      <w:rPr>
        <w:rFonts w:cs="Arial"/>
        <w:i/>
        <w:szCs w:val="18"/>
        <w:lang w:val="fr-FR"/>
      </w:rPr>
      <w:t xml:space="preserve">e </w:t>
    </w:r>
    <w:r w:rsidR="00881695">
      <w:rPr>
        <w:rFonts w:cs="Arial"/>
        <w:i/>
        <w:szCs w:val="18"/>
        <w:lang w:val="fr-FR"/>
      </w:rPr>
      <w:t>3</w:t>
    </w:r>
    <w:bookmarkStart w:id="0" w:name="_GoBack"/>
    <w:bookmarkEnd w:id="0"/>
  </w:p>
  <w:p w14:paraId="384BD3E5" w14:textId="65B96A9A" w:rsidR="000F4030" w:rsidRPr="00F6586A" w:rsidRDefault="000F4030" w:rsidP="00F6586A">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56CA" w14:textId="5A787EB5" w:rsidR="000F4030" w:rsidRPr="000A2BD7" w:rsidRDefault="000F4030" w:rsidP="00B838AD">
    <w:pPr>
      <w:pBdr>
        <w:bottom w:val="single" w:sz="4" w:space="1" w:color="auto"/>
      </w:pBdr>
      <w:rPr>
        <w:lang w:val="fr-FR"/>
      </w:rPr>
    </w:pPr>
    <w:r w:rsidRPr="000A2BD7">
      <w:rPr>
        <w:rFonts w:cs="Arial"/>
        <w:i/>
        <w:szCs w:val="18"/>
        <w:lang w:val="fr-FR"/>
      </w:rPr>
      <w:t>UNEP/CMS/COP12/Doc.24.1.3/</w:t>
    </w:r>
    <w:r w:rsidR="00F6586A">
      <w:rPr>
        <w:rFonts w:cs="Arial"/>
        <w:i/>
        <w:szCs w:val="18"/>
        <w:lang w:val="fr-FR"/>
      </w:rPr>
      <w:t>Rev.2/</w:t>
    </w:r>
    <w:r w:rsidRPr="000A2BD7">
      <w:rPr>
        <w:rFonts w:cs="Arial"/>
        <w:i/>
        <w:szCs w:val="18"/>
        <w:lang w:val="fr-FR"/>
      </w:rPr>
      <w:t>Annex</w:t>
    </w:r>
    <w:r w:rsidR="00881695">
      <w:rPr>
        <w:rFonts w:cs="Arial"/>
        <w:i/>
        <w:szCs w:val="18"/>
        <w:lang w:val="fr-FR"/>
      </w:rPr>
      <w:t>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FE23" w14:textId="77777777" w:rsidR="000F4030" w:rsidRPr="00497E66" w:rsidRDefault="000F4030"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.24.1.3</w:t>
    </w:r>
  </w:p>
  <w:p w14:paraId="0ABE35DF" w14:textId="77777777" w:rsidR="000F4030" w:rsidRPr="00497E66" w:rsidRDefault="000F4030"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103F" w14:textId="77777777" w:rsidR="000F4030" w:rsidRDefault="000F4030" w:rsidP="00894D19">
    <w:pPr>
      <w:pStyle w:val="Header"/>
    </w:pPr>
    <w:r>
      <w:rPr>
        <w:noProof/>
        <w:lang w:val="en-US"/>
      </w:rPr>
      <w:drawing>
        <wp:anchor distT="0" distB="0" distL="114300" distR="114300" simplePos="0" relativeHeight="251657216" behindDoc="1" locked="0" layoutInCell="1" allowOverlap="1" wp14:anchorId="05708D7C" wp14:editId="49F07263">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8611D7A" wp14:editId="30B49F2C">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4" name="Picture 4"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F7CF" w14:textId="77777777" w:rsidR="000F4030" w:rsidRDefault="000F40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165C" w14:textId="5283F804" w:rsidR="000F4030" w:rsidRPr="0055215A" w:rsidRDefault="000F4030" w:rsidP="002F2B3F">
    <w:pPr>
      <w:pStyle w:val="Heading1"/>
      <w:keepNext w:val="0"/>
      <w:pBdr>
        <w:bottom w:val="single" w:sz="4" w:space="1" w:color="auto"/>
      </w:pBdr>
      <w:tabs>
        <w:tab w:val="clear" w:pos="-720"/>
      </w:tabs>
      <w:ind w:left="261" w:right="11" w:hanging="261"/>
      <w:rPr>
        <w:rFonts w:cs="Arial"/>
        <w:b w:val="0"/>
        <w:i/>
        <w:sz w:val="18"/>
        <w:szCs w:val="18"/>
        <w:lang w:val="en-US"/>
      </w:rPr>
    </w:pPr>
    <w:r w:rsidRPr="0055215A">
      <w:rPr>
        <w:rFonts w:cs="Arial"/>
        <w:b w:val="0"/>
        <w:i/>
        <w:sz w:val="18"/>
        <w:szCs w:val="18"/>
        <w:lang w:val="en-US"/>
      </w:rPr>
      <w:t>UNEP/CMS/COP12/Doc.24.1.3/Rev.2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13F4" w14:textId="47FC56C2" w:rsidR="000F4030" w:rsidRPr="0055215A" w:rsidRDefault="000F4030" w:rsidP="002F2B3F">
    <w:pPr>
      <w:pStyle w:val="Heading1"/>
      <w:keepNext w:val="0"/>
      <w:pBdr>
        <w:bottom w:val="single" w:sz="4" w:space="1" w:color="auto"/>
      </w:pBdr>
      <w:tabs>
        <w:tab w:val="clear" w:pos="-720"/>
      </w:tabs>
      <w:ind w:left="261" w:right="11" w:hanging="261"/>
      <w:jc w:val="right"/>
      <w:rPr>
        <w:rFonts w:cs="Arial"/>
        <w:b w:val="0"/>
        <w:i/>
        <w:sz w:val="18"/>
        <w:szCs w:val="18"/>
        <w:lang w:val="en-US"/>
      </w:rPr>
    </w:pPr>
    <w:r w:rsidRPr="0055215A">
      <w:rPr>
        <w:rFonts w:cs="Arial"/>
        <w:b w:val="0"/>
        <w:i/>
        <w:sz w:val="18"/>
        <w:szCs w:val="18"/>
        <w:lang w:val="en-US"/>
      </w:rPr>
      <w:t>UNEP/CMS/COP12/Doc.24.1.3/Rev.2</w:t>
    </w:r>
  </w:p>
  <w:p w14:paraId="28674545" w14:textId="77777777" w:rsidR="000F4030" w:rsidRPr="0055215A" w:rsidRDefault="000F4030"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ECC0" w14:textId="13E58494" w:rsidR="000F4030" w:rsidRPr="0055215A" w:rsidRDefault="000F4030" w:rsidP="00D605A4">
    <w:pPr>
      <w:pStyle w:val="Header"/>
      <w:pBdr>
        <w:bottom w:val="single" w:sz="4" w:space="1" w:color="auto"/>
      </w:pBdr>
      <w:rPr>
        <w:rFonts w:cs="Arial"/>
        <w:i/>
        <w:szCs w:val="18"/>
        <w:lang w:val="en-US"/>
      </w:rPr>
    </w:pPr>
    <w:r w:rsidRPr="0055215A">
      <w:rPr>
        <w:rFonts w:cs="Arial"/>
        <w:i/>
        <w:szCs w:val="18"/>
        <w:lang w:val="en-US"/>
      </w:rPr>
      <w:t>UNEP/CMS/COP12/Doc.24.1.3/Rev.2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36F8" w14:textId="77777777" w:rsidR="000F4030" w:rsidRPr="00971002" w:rsidRDefault="000F4030" w:rsidP="00292877">
    <w:pPr>
      <w:pStyle w:val="Header"/>
      <w:pBdr>
        <w:bottom w:val="single" w:sz="4" w:space="1" w:color="auto"/>
      </w:pBdr>
      <w:rPr>
        <w:rFonts w:cs="Arial"/>
        <w:i/>
        <w:szCs w:val="18"/>
        <w:lang w:val="fr-FR"/>
      </w:rPr>
    </w:pPr>
    <w:r w:rsidRPr="00971002">
      <w:rPr>
        <w:rFonts w:cs="Arial"/>
        <w:i/>
        <w:szCs w:val="18"/>
        <w:lang w:val="fr-FR"/>
      </w:rPr>
      <w:t>UNEP/CMS/COP12/Doc.24.1.3/</w:t>
    </w:r>
    <w:r>
      <w:rPr>
        <w:rFonts w:cs="Arial"/>
        <w:i/>
        <w:szCs w:val="18"/>
        <w:lang w:val="fr-FR"/>
      </w:rPr>
      <w:t>Rev.2/</w:t>
    </w:r>
    <w:r w:rsidRPr="00971002">
      <w:rPr>
        <w:rFonts w:cs="Arial"/>
        <w:i/>
        <w:szCs w:val="18"/>
        <w:lang w:val="fr-FR"/>
      </w:rPr>
      <w:t>Annexe</w:t>
    </w:r>
    <w:r>
      <w:rPr>
        <w:rFonts w:cs="Arial"/>
        <w:i/>
        <w:szCs w:val="18"/>
        <w:lang w:val="fr-FR"/>
      </w:rPr>
      <w:t xml:space="preserve"> 1</w:t>
    </w:r>
  </w:p>
  <w:p w14:paraId="611F7AD0" w14:textId="4BB6F880" w:rsidR="000F4030" w:rsidRPr="00292877" w:rsidRDefault="000F4030" w:rsidP="002928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AC05" w14:textId="77777777" w:rsidR="000F4030" w:rsidRPr="00971002" w:rsidRDefault="000F4030" w:rsidP="00292877">
    <w:pPr>
      <w:pStyle w:val="Header"/>
      <w:pBdr>
        <w:bottom w:val="single" w:sz="4" w:space="1" w:color="auto"/>
      </w:pBdr>
      <w:jc w:val="right"/>
      <w:rPr>
        <w:rFonts w:cs="Arial"/>
        <w:i/>
        <w:szCs w:val="18"/>
        <w:lang w:val="fr-FR"/>
      </w:rPr>
    </w:pPr>
    <w:r w:rsidRPr="00971002">
      <w:rPr>
        <w:rFonts w:cs="Arial"/>
        <w:i/>
        <w:szCs w:val="18"/>
        <w:lang w:val="fr-FR"/>
      </w:rPr>
      <w:t>UNEP/CMS/COP12/Doc.24.1.3/</w:t>
    </w:r>
    <w:r>
      <w:rPr>
        <w:rFonts w:cs="Arial"/>
        <w:i/>
        <w:szCs w:val="18"/>
        <w:lang w:val="fr-FR"/>
      </w:rPr>
      <w:t>Rev.2/</w:t>
    </w:r>
    <w:r w:rsidRPr="00971002">
      <w:rPr>
        <w:rFonts w:cs="Arial"/>
        <w:i/>
        <w:szCs w:val="18"/>
        <w:lang w:val="fr-FR"/>
      </w:rPr>
      <w:t>Annexe</w:t>
    </w:r>
    <w:r>
      <w:rPr>
        <w:rFonts w:cs="Arial"/>
        <w:i/>
        <w:szCs w:val="18"/>
        <w:lang w:val="fr-FR"/>
      </w:rPr>
      <w:t xml:space="preserve"> 1</w:t>
    </w:r>
  </w:p>
  <w:p w14:paraId="1C6B17A7" w14:textId="77777777" w:rsidR="000F4030" w:rsidRPr="00497E66" w:rsidRDefault="000F4030"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6E9F" w14:textId="51BCDCC7" w:rsidR="000F4030" w:rsidRPr="00971002" w:rsidRDefault="000F4030" w:rsidP="00D605A4">
    <w:pPr>
      <w:pStyle w:val="Header"/>
      <w:pBdr>
        <w:bottom w:val="single" w:sz="4" w:space="1" w:color="auto"/>
      </w:pBdr>
      <w:rPr>
        <w:rFonts w:cs="Arial"/>
        <w:i/>
        <w:szCs w:val="18"/>
        <w:lang w:val="fr-FR"/>
      </w:rPr>
    </w:pPr>
    <w:r w:rsidRPr="00971002">
      <w:rPr>
        <w:rFonts w:cs="Arial"/>
        <w:i/>
        <w:szCs w:val="18"/>
        <w:lang w:val="fr-FR"/>
      </w:rPr>
      <w:t>UNEP/CMS/COP12/Doc.24.1.3/</w:t>
    </w:r>
    <w:r>
      <w:rPr>
        <w:rFonts w:cs="Arial"/>
        <w:i/>
        <w:szCs w:val="18"/>
        <w:lang w:val="fr-FR"/>
      </w:rPr>
      <w:t>Rev.2/</w:t>
    </w:r>
    <w:r w:rsidRPr="00971002">
      <w:rPr>
        <w:rFonts w:cs="Arial"/>
        <w:i/>
        <w:szCs w:val="18"/>
        <w:lang w:val="fr-FR"/>
      </w:rPr>
      <w:t>Annexe</w:t>
    </w:r>
    <w:r>
      <w:rPr>
        <w:rFonts w:cs="Arial"/>
        <w:i/>
        <w:szCs w:val="18"/>
        <w:lang w:val="fr-FR"/>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C413E9"/>
    <w:multiLevelType w:val="hybridMultilevel"/>
    <w:tmpl w:val="B4688578"/>
    <w:lvl w:ilvl="0" w:tplc="FFF6241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717AC"/>
    <w:multiLevelType w:val="hybridMultilevel"/>
    <w:tmpl w:val="8A880AEA"/>
    <w:lvl w:ilvl="0" w:tplc="1062E7CA">
      <w:start w:val="1"/>
      <w:numFmt w:val="decimal"/>
      <w:lvlText w:val="%1"/>
      <w:lvlJc w:val="left"/>
      <w:pPr>
        <w:ind w:left="370" w:hanging="360"/>
      </w:pPr>
      <w:rPr>
        <w:rFonts w:hint="default"/>
        <w:i w:val="0"/>
        <w:sz w:val="21"/>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104AE7"/>
    <w:multiLevelType w:val="hybridMultilevel"/>
    <w:tmpl w:val="6C325414"/>
    <w:lvl w:ilvl="0" w:tplc="DF08D19A">
      <w:start w:val="1"/>
      <w:numFmt w:val="bullet"/>
      <w:lvlText w:val=""/>
      <w:lvlJc w:val="left"/>
      <w:pPr>
        <w:ind w:left="720" w:hanging="360"/>
      </w:pPr>
      <w:rPr>
        <w:rFonts w:ascii="Symbol" w:hAnsi="Symbol" w:hint="default"/>
        <w:lang w:val="fr-F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6994BCD"/>
    <w:multiLevelType w:val="hybridMultilevel"/>
    <w:tmpl w:val="2C201CC0"/>
    <w:lvl w:ilvl="0" w:tplc="09C41F2C">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041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E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1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CB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A330FC"/>
    <w:multiLevelType w:val="hybridMultilevel"/>
    <w:tmpl w:val="FD8A2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AFF7491"/>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6E178D0"/>
    <w:multiLevelType w:val="hybridMultilevel"/>
    <w:tmpl w:val="4CE42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47C6E"/>
    <w:multiLevelType w:val="hybridMultilevel"/>
    <w:tmpl w:val="96A83BF8"/>
    <w:lvl w:ilvl="0" w:tplc="09C41F2C">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041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E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1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CB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157C6C"/>
    <w:multiLevelType w:val="hybridMultilevel"/>
    <w:tmpl w:val="FE4AF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
  </w:num>
  <w:num w:numId="13">
    <w:abstractNumId w:val="16"/>
  </w:num>
  <w:num w:numId="14">
    <w:abstractNumId w:val="19"/>
  </w:num>
  <w:num w:numId="15">
    <w:abstractNumId w:val="3"/>
  </w:num>
  <w:num w:numId="16">
    <w:abstractNumId w:val="17"/>
  </w:num>
  <w:num w:numId="17">
    <w:abstractNumId w:val="6"/>
  </w:num>
  <w:num w:numId="18">
    <w:abstractNumId w:val="12"/>
  </w:num>
  <w:num w:numId="19">
    <w:abstractNumId w:val="7"/>
  </w:num>
  <w:num w:numId="20">
    <w:abstractNumId w:val="10"/>
  </w:num>
  <w:num w:numId="21">
    <w:abstractNumId w:val="4"/>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17381"/>
    <w:rsid w:val="000216DD"/>
    <w:rsid w:val="000254DF"/>
    <w:rsid w:val="00031A88"/>
    <w:rsid w:val="000336D6"/>
    <w:rsid w:val="0003449E"/>
    <w:rsid w:val="00036C53"/>
    <w:rsid w:val="00045DB2"/>
    <w:rsid w:val="000518C2"/>
    <w:rsid w:val="00051EE2"/>
    <w:rsid w:val="00053174"/>
    <w:rsid w:val="00056DC1"/>
    <w:rsid w:val="00060156"/>
    <w:rsid w:val="0006784F"/>
    <w:rsid w:val="00070BBC"/>
    <w:rsid w:val="00073C92"/>
    <w:rsid w:val="00080F03"/>
    <w:rsid w:val="000900E1"/>
    <w:rsid w:val="0009076A"/>
    <w:rsid w:val="00093F20"/>
    <w:rsid w:val="00094BFC"/>
    <w:rsid w:val="000A0A81"/>
    <w:rsid w:val="000A2BD7"/>
    <w:rsid w:val="000A78C8"/>
    <w:rsid w:val="000B6220"/>
    <w:rsid w:val="000C21B1"/>
    <w:rsid w:val="000C3C87"/>
    <w:rsid w:val="000C5DB1"/>
    <w:rsid w:val="000C7460"/>
    <w:rsid w:val="000E01C1"/>
    <w:rsid w:val="000E788A"/>
    <w:rsid w:val="000F0687"/>
    <w:rsid w:val="000F0B93"/>
    <w:rsid w:val="000F1156"/>
    <w:rsid w:val="000F2D09"/>
    <w:rsid w:val="000F4030"/>
    <w:rsid w:val="000F52BA"/>
    <w:rsid w:val="00100410"/>
    <w:rsid w:val="00106232"/>
    <w:rsid w:val="001111A9"/>
    <w:rsid w:val="001151A3"/>
    <w:rsid w:val="00115880"/>
    <w:rsid w:val="001245DF"/>
    <w:rsid w:val="00127CC7"/>
    <w:rsid w:val="00130BFD"/>
    <w:rsid w:val="001356B0"/>
    <w:rsid w:val="0013767B"/>
    <w:rsid w:val="0014156C"/>
    <w:rsid w:val="001419C7"/>
    <w:rsid w:val="00150AC4"/>
    <w:rsid w:val="00162D88"/>
    <w:rsid w:val="00166ABA"/>
    <w:rsid w:val="001743FD"/>
    <w:rsid w:val="001764E6"/>
    <w:rsid w:val="001808F1"/>
    <w:rsid w:val="00185E1B"/>
    <w:rsid w:val="00192337"/>
    <w:rsid w:val="0019248C"/>
    <w:rsid w:val="0019552B"/>
    <w:rsid w:val="001A33B6"/>
    <w:rsid w:val="001A465A"/>
    <w:rsid w:val="001B36E0"/>
    <w:rsid w:val="001C069F"/>
    <w:rsid w:val="001C391F"/>
    <w:rsid w:val="001C6038"/>
    <w:rsid w:val="001D2D9F"/>
    <w:rsid w:val="001E09A7"/>
    <w:rsid w:val="001E47F6"/>
    <w:rsid w:val="001E5A93"/>
    <w:rsid w:val="001F60A1"/>
    <w:rsid w:val="001F7486"/>
    <w:rsid w:val="00200759"/>
    <w:rsid w:val="00200A67"/>
    <w:rsid w:val="00201F88"/>
    <w:rsid w:val="00202332"/>
    <w:rsid w:val="00203B00"/>
    <w:rsid w:val="002210F4"/>
    <w:rsid w:val="00225F65"/>
    <w:rsid w:val="00235FB1"/>
    <w:rsid w:val="0024379F"/>
    <w:rsid w:val="00245AD3"/>
    <w:rsid w:val="00247E12"/>
    <w:rsid w:val="002507FF"/>
    <w:rsid w:val="00253F0E"/>
    <w:rsid w:val="00254721"/>
    <w:rsid w:val="002569D8"/>
    <w:rsid w:val="00257709"/>
    <w:rsid w:val="00263159"/>
    <w:rsid w:val="00264D46"/>
    <w:rsid w:val="00271548"/>
    <w:rsid w:val="002770C7"/>
    <w:rsid w:val="002779F7"/>
    <w:rsid w:val="00287939"/>
    <w:rsid w:val="00291331"/>
    <w:rsid w:val="00292877"/>
    <w:rsid w:val="00294F33"/>
    <w:rsid w:val="002A1087"/>
    <w:rsid w:val="002A380C"/>
    <w:rsid w:val="002B2835"/>
    <w:rsid w:val="002C187A"/>
    <w:rsid w:val="002C20F1"/>
    <w:rsid w:val="002D04A3"/>
    <w:rsid w:val="002D2863"/>
    <w:rsid w:val="002D5EC0"/>
    <w:rsid w:val="002E17EF"/>
    <w:rsid w:val="002E2808"/>
    <w:rsid w:val="002E3DEA"/>
    <w:rsid w:val="002E7CC2"/>
    <w:rsid w:val="002F2B3F"/>
    <w:rsid w:val="002F364A"/>
    <w:rsid w:val="002F50FF"/>
    <w:rsid w:val="002F6F9B"/>
    <w:rsid w:val="00302B8C"/>
    <w:rsid w:val="00312172"/>
    <w:rsid w:val="00314A03"/>
    <w:rsid w:val="00315CB4"/>
    <w:rsid w:val="00324834"/>
    <w:rsid w:val="003331C6"/>
    <w:rsid w:val="00333AD3"/>
    <w:rsid w:val="00345044"/>
    <w:rsid w:val="00347546"/>
    <w:rsid w:val="003505AB"/>
    <w:rsid w:val="00351095"/>
    <w:rsid w:val="00354A9C"/>
    <w:rsid w:val="003573D2"/>
    <w:rsid w:val="00357D1D"/>
    <w:rsid w:val="003614AA"/>
    <w:rsid w:val="00364973"/>
    <w:rsid w:val="00364C8C"/>
    <w:rsid w:val="00370F57"/>
    <w:rsid w:val="00372228"/>
    <w:rsid w:val="00372347"/>
    <w:rsid w:val="00374425"/>
    <w:rsid w:val="003746CA"/>
    <w:rsid w:val="00375362"/>
    <w:rsid w:val="003779D4"/>
    <w:rsid w:val="00382398"/>
    <w:rsid w:val="00382FA8"/>
    <w:rsid w:val="003909E4"/>
    <w:rsid w:val="0039394E"/>
    <w:rsid w:val="00394594"/>
    <w:rsid w:val="003967C6"/>
    <w:rsid w:val="003A02C4"/>
    <w:rsid w:val="003A3E30"/>
    <w:rsid w:val="003A6915"/>
    <w:rsid w:val="003A70FE"/>
    <w:rsid w:val="003B0C35"/>
    <w:rsid w:val="003B219E"/>
    <w:rsid w:val="003B2C54"/>
    <w:rsid w:val="003C5000"/>
    <w:rsid w:val="003D22CD"/>
    <w:rsid w:val="003E21B3"/>
    <w:rsid w:val="003E67EC"/>
    <w:rsid w:val="003F3902"/>
    <w:rsid w:val="0040038F"/>
    <w:rsid w:val="00400F69"/>
    <w:rsid w:val="00402633"/>
    <w:rsid w:val="004043B5"/>
    <w:rsid w:val="00411E65"/>
    <w:rsid w:val="00412512"/>
    <w:rsid w:val="00412DE9"/>
    <w:rsid w:val="00413651"/>
    <w:rsid w:val="00420040"/>
    <w:rsid w:val="00423388"/>
    <w:rsid w:val="00426C04"/>
    <w:rsid w:val="00426D73"/>
    <w:rsid w:val="00432070"/>
    <w:rsid w:val="004370B7"/>
    <w:rsid w:val="00440722"/>
    <w:rsid w:val="00446B38"/>
    <w:rsid w:val="00454913"/>
    <w:rsid w:val="00457441"/>
    <w:rsid w:val="004579F6"/>
    <w:rsid w:val="004656D0"/>
    <w:rsid w:val="00465B53"/>
    <w:rsid w:val="00473ABD"/>
    <w:rsid w:val="004742EC"/>
    <w:rsid w:val="00482DCA"/>
    <w:rsid w:val="00497E66"/>
    <w:rsid w:val="004A083F"/>
    <w:rsid w:val="004A3510"/>
    <w:rsid w:val="004A7E91"/>
    <w:rsid w:val="004B3D1F"/>
    <w:rsid w:val="004B6240"/>
    <w:rsid w:val="004B6CD8"/>
    <w:rsid w:val="004B6CFD"/>
    <w:rsid w:val="004B719B"/>
    <w:rsid w:val="004C204D"/>
    <w:rsid w:val="004D0436"/>
    <w:rsid w:val="004D0630"/>
    <w:rsid w:val="004D0936"/>
    <w:rsid w:val="004E7ED7"/>
    <w:rsid w:val="004F243D"/>
    <w:rsid w:val="004F3D8D"/>
    <w:rsid w:val="004F74F2"/>
    <w:rsid w:val="004F7936"/>
    <w:rsid w:val="004F7D1F"/>
    <w:rsid w:val="00502375"/>
    <w:rsid w:val="00502657"/>
    <w:rsid w:val="005076F1"/>
    <w:rsid w:val="00512B91"/>
    <w:rsid w:val="005152C7"/>
    <w:rsid w:val="005158EB"/>
    <w:rsid w:val="0052082F"/>
    <w:rsid w:val="00526CB4"/>
    <w:rsid w:val="00530073"/>
    <w:rsid w:val="00532315"/>
    <w:rsid w:val="005335BD"/>
    <w:rsid w:val="0053799F"/>
    <w:rsid w:val="00542FCC"/>
    <w:rsid w:val="005457DB"/>
    <w:rsid w:val="0055215A"/>
    <w:rsid w:val="0055762E"/>
    <w:rsid w:val="00565445"/>
    <w:rsid w:val="0056725E"/>
    <w:rsid w:val="005713B1"/>
    <w:rsid w:val="00574811"/>
    <w:rsid w:val="00575334"/>
    <w:rsid w:val="005831F1"/>
    <w:rsid w:val="00593168"/>
    <w:rsid w:val="00593736"/>
    <w:rsid w:val="005A214B"/>
    <w:rsid w:val="005A3181"/>
    <w:rsid w:val="005A338C"/>
    <w:rsid w:val="005A7297"/>
    <w:rsid w:val="005B0F06"/>
    <w:rsid w:val="005B6141"/>
    <w:rsid w:val="005C3F15"/>
    <w:rsid w:val="005C4592"/>
    <w:rsid w:val="005D22B5"/>
    <w:rsid w:val="005D6611"/>
    <w:rsid w:val="005D6E4C"/>
    <w:rsid w:val="005E2577"/>
    <w:rsid w:val="005E6354"/>
    <w:rsid w:val="005E6914"/>
    <w:rsid w:val="005F0466"/>
    <w:rsid w:val="005F120C"/>
    <w:rsid w:val="005F3989"/>
    <w:rsid w:val="005F4303"/>
    <w:rsid w:val="005F7B20"/>
    <w:rsid w:val="00601B52"/>
    <w:rsid w:val="0060280B"/>
    <w:rsid w:val="00604422"/>
    <w:rsid w:val="006070D6"/>
    <w:rsid w:val="00610A64"/>
    <w:rsid w:val="00611C78"/>
    <w:rsid w:val="00614863"/>
    <w:rsid w:val="00623F5D"/>
    <w:rsid w:val="006255D2"/>
    <w:rsid w:val="00651302"/>
    <w:rsid w:val="00651341"/>
    <w:rsid w:val="006577EA"/>
    <w:rsid w:val="00657CE0"/>
    <w:rsid w:val="00666F8B"/>
    <w:rsid w:val="00680EC9"/>
    <w:rsid w:val="006815B2"/>
    <w:rsid w:val="006826E0"/>
    <w:rsid w:val="00682B31"/>
    <w:rsid w:val="00682EAA"/>
    <w:rsid w:val="006864E1"/>
    <w:rsid w:val="00687FA6"/>
    <w:rsid w:val="00691001"/>
    <w:rsid w:val="006A750C"/>
    <w:rsid w:val="006B1037"/>
    <w:rsid w:val="006C2982"/>
    <w:rsid w:val="006E56AD"/>
    <w:rsid w:val="006E5763"/>
    <w:rsid w:val="00701CD2"/>
    <w:rsid w:val="007101BB"/>
    <w:rsid w:val="00713308"/>
    <w:rsid w:val="00722818"/>
    <w:rsid w:val="00725A91"/>
    <w:rsid w:val="00727E01"/>
    <w:rsid w:val="00735F82"/>
    <w:rsid w:val="00745222"/>
    <w:rsid w:val="007473B1"/>
    <w:rsid w:val="00752E19"/>
    <w:rsid w:val="00754822"/>
    <w:rsid w:val="00757614"/>
    <w:rsid w:val="007728B4"/>
    <w:rsid w:val="0077622E"/>
    <w:rsid w:val="00776E53"/>
    <w:rsid w:val="00777F31"/>
    <w:rsid w:val="00777FE4"/>
    <w:rsid w:val="00786BD3"/>
    <w:rsid w:val="0079075D"/>
    <w:rsid w:val="007910DD"/>
    <w:rsid w:val="007A144F"/>
    <w:rsid w:val="007A2370"/>
    <w:rsid w:val="007A2DD8"/>
    <w:rsid w:val="007C1468"/>
    <w:rsid w:val="007C41D7"/>
    <w:rsid w:val="007C5459"/>
    <w:rsid w:val="007C64B1"/>
    <w:rsid w:val="007C761C"/>
    <w:rsid w:val="007E0035"/>
    <w:rsid w:val="007E6B74"/>
    <w:rsid w:val="007F16FB"/>
    <w:rsid w:val="007F1BBA"/>
    <w:rsid w:val="00800AAC"/>
    <w:rsid w:val="0080198F"/>
    <w:rsid w:val="00804851"/>
    <w:rsid w:val="00805816"/>
    <w:rsid w:val="00805FD0"/>
    <w:rsid w:val="0081600F"/>
    <w:rsid w:val="00825763"/>
    <w:rsid w:val="0082722D"/>
    <w:rsid w:val="008274F7"/>
    <w:rsid w:val="00832624"/>
    <w:rsid w:val="0084230F"/>
    <w:rsid w:val="008441F9"/>
    <w:rsid w:val="00846A99"/>
    <w:rsid w:val="00847178"/>
    <w:rsid w:val="008510A9"/>
    <w:rsid w:val="008529C3"/>
    <w:rsid w:val="008575E5"/>
    <w:rsid w:val="008627EF"/>
    <w:rsid w:val="008641D1"/>
    <w:rsid w:val="00865A4B"/>
    <w:rsid w:val="00870FB9"/>
    <w:rsid w:val="00872F67"/>
    <w:rsid w:val="00873F04"/>
    <w:rsid w:val="00877911"/>
    <w:rsid w:val="008802E6"/>
    <w:rsid w:val="00881695"/>
    <w:rsid w:val="00881724"/>
    <w:rsid w:val="008879E9"/>
    <w:rsid w:val="00892BE3"/>
    <w:rsid w:val="00893346"/>
    <w:rsid w:val="00894D19"/>
    <w:rsid w:val="0089665F"/>
    <w:rsid w:val="0089676A"/>
    <w:rsid w:val="008A0D8D"/>
    <w:rsid w:val="008B1A69"/>
    <w:rsid w:val="008B1AAD"/>
    <w:rsid w:val="008B2965"/>
    <w:rsid w:val="008B34A7"/>
    <w:rsid w:val="008B40BC"/>
    <w:rsid w:val="008B5953"/>
    <w:rsid w:val="008B61D4"/>
    <w:rsid w:val="008C1A39"/>
    <w:rsid w:val="008C31EF"/>
    <w:rsid w:val="008C48F0"/>
    <w:rsid w:val="008D1B43"/>
    <w:rsid w:val="008D583C"/>
    <w:rsid w:val="008E7DFB"/>
    <w:rsid w:val="008F6F66"/>
    <w:rsid w:val="008F7327"/>
    <w:rsid w:val="0090059C"/>
    <w:rsid w:val="009076C8"/>
    <w:rsid w:val="00910CCD"/>
    <w:rsid w:val="00915BBE"/>
    <w:rsid w:val="00921D62"/>
    <w:rsid w:val="00922791"/>
    <w:rsid w:val="00927CD6"/>
    <w:rsid w:val="00927F00"/>
    <w:rsid w:val="00933572"/>
    <w:rsid w:val="009363C7"/>
    <w:rsid w:val="00936D48"/>
    <w:rsid w:val="00941625"/>
    <w:rsid w:val="00947EE4"/>
    <w:rsid w:val="00971002"/>
    <w:rsid w:val="00971318"/>
    <w:rsid w:val="009723E6"/>
    <w:rsid w:val="00972D36"/>
    <w:rsid w:val="00973BFB"/>
    <w:rsid w:val="00980406"/>
    <w:rsid w:val="00983795"/>
    <w:rsid w:val="009845C6"/>
    <w:rsid w:val="0099159B"/>
    <w:rsid w:val="00994621"/>
    <w:rsid w:val="009A2C8F"/>
    <w:rsid w:val="009A68CE"/>
    <w:rsid w:val="009A7B65"/>
    <w:rsid w:val="009B33F0"/>
    <w:rsid w:val="009B5A96"/>
    <w:rsid w:val="009C0EB6"/>
    <w:rsid w:val="009C61AD"/>
    <w:rsid w:val="009C7730"/>
    <w:rsid w:val="009D2AD6"/>
    <w:rsid w:val="009D3A07"/>
    <w:rsid w:val="009D4711"/>
    <w:rsid w:val="009D5DA6"/>
    <w:rsid w:val="009D7E10"/>
    <w:rsid w:val="009E0F24"/>
    <w:rsid w:val="009E3A84"/>
    <w:rsid w:val="009E72D7"/>
    <w:rsid w:val="009E7ACC"/>
    <w:rsid w:val="009F450E"/>
    <w:rsid w:val="009F54DA"/>
    <w:rsid w:val="009F5581"/>
    <w:rsid w:val="009F6DEE"/>
    <w:rsid w:val="00A04CC9"/>
    <w:rsid w:val="00A06984"/>
    <w:rsid w:val="00A11721"/>
    <w:rsid w:val="00A1324E"/>
    <w:rsid w:val="00A14248"/>
    <w:rsid w:val="00A21145"/>
    <w:rsid w:val="00A23F42"/>
    <w:rsid w:val="00A27BE3"/>
    <w:rsid w:val="00A324B4"/>
    <w:rsid w:val="00A339B9"/>
    <w:rsid w:val="00A40EDF"/>
    <w:rsid w:val="00A428A7"/>
    <w:rsid w:val="00A5092A"/>
    <w:rsid w:val="00A50E9A"/>
    <w:rsid w:val="00A568DF"/>
    <w:rsid w:val="00A658E4"/>
    <w:rsid w:val="00A6659A"/>
    <w:rsid w:val="00A70E28"/>
    <w:rsid w:val="00A723A6"/>
    <w:rsid w:val="00A731EC"/>
    <w:rsid w:val="00A73A79"/>
    <w:rsid w:val="00A743F3"/>
    <w:rsid w:val="00A93C52"/>
    <w:rsid w:val="00A95697"/>
    <w:rsid w:val="00A9745F"/>
    <w:rsid w:val="00AA392E"/>
    <w:rsid w:val="00AA7368"/>
    <w:rsid w:val="00AB348F"/>
    <w:rsid w:val="00AB4FF9"/>
    <w:rsid w:val="00AC5BA3"/>
    <w:rsid w:val="00AD2410"/>
    <w:rsid w:val="00AE7B21"/>
    <w:rsid w:val="00AF1980"/>
    <w:rsid w:val="00AF2021"/>
    <w:rsid w:val="00AF60B4"/>
    <w:rsid w:val="00B016F8"/>
    <w:rsid w:val="00B025B7"/>
    <w:rsid w:val="00B02748"/>
    <w:rsid w:val="00B04D88"/>
    <w:rsid w:val="00B10D13"/>
    <w:rsid w:val="00B25F39"/>
    <w:rsid w:val="00B27220"/>
    <w:rsid w:val="00B36579"/>
    <w:rsid w:val="00B40AFF"/>
    <w:rsid w:val="00B46B51"/>
    <w:rsid w:val="00B471BD"/>
    <w:rsid w:val="00B476E8"/>
    <w:rsid w:val="00B50C2D"/>
    <w:rsid w:val="00B546D0"/>
    <w:rsid w:val="00B54A37"/>
    <w:rsid w:val="00B64904"/>
    <w:rsid w:val="00B71136"/>
    <w:rsid w:val="00B77067"/>
    <w:rsid w:val="00B838AD"/>
    <w:rsid w:val="00B87172"/>
    <w:rsid w:val="00B94245"/>
    <w:rsid w:val="00BA11E7"/>
    <w:rsid w:val="00BA60CE"/>
    <w:rsid w:val="00BB7AB8"/>
    <w:rsid w:val="00BC5607"/>
    <w:rsid w:val="00BD2DD1"/>
    <w:rsid w:val="00BE0D1D"/>
    <w:rsid w:val="00BE2448"/>
    <w:rsid w:val="00BE24D4"/>
    <w:rsid w:val="00BE6079"/>
    <w:rsid w:val="00BF0137"/>
    <w:rsid w:val="00BF2BE7"/>
    <w:rsid w:val="00BF4512"/>
    <w:rsid w:val="00BF5C9C"/>
    <w:rsid w:val="00BF5DE4"/>
    <w:rsid w:val="00BF73FD"/>
    <w:rsid w:val="00C05102"/>
    <w:rsid w:val="00C128DD"/>
    <w:rsid w:val="00C13FA6"/>
    <w:rsid w:val="00C169ED"/>
    <w:rsid w:val="00C302AC"/>
    <w:rsid w:val="00C33D87"/>
    <w:rsid w:val="00C44645"/>
    <w:rsid w:val="00C54775"/>
    <w:rsid w:val="00C5484D"/>
    <w:rsid w:val="00C618F2"/>
    <w:rsid w:val="00C73207"/>
    <w:rsid w:val="00C7602A"/>
    <w:rsid w:val="00C77DFD"/>
    <w:rsid w:val="00C82160"/>
    <w:rsid w:val="00C82347"/>
    <w:rsid w:val="00C82ED9"/>
    <w:rsid w:val="00C87D68"/>
    <w:rsid w:val="00C9281B"/>
    <w:rsid w:val="00C95A17"/>
    <w:rsid w:val="00CA367A"/>
    <w:rsid w:val="00CB1D26"/>
    <w:rsid w:val="00CB73C7"/>
    <w:rsid w:val="00CC3B76"/>
    <w:rsid w:val="00CC4C21"/>
    <w:rsid w:val="00CC4D32"/>
    <w:rsid w:val="00CC57AD"/>
    <w:rsid w:val="00CD0FE9"/>
    <w:rsid w:val="00CD24E0"/>
    <w:rsid w:val="00CD3799"/>
    <w:rsid w:val="00CD7355"/>
    <w:rsid w:val="00CE5243"/>
    <w:rsid w:val="00CE5B83"/>
    <w:rsid w:val="00CF3723"/>
    <w:rsid w:val="00CF4BA2"/>
    <w:rsid w:val="00CF6EDD"/>
    <w:rsid w:val="00D01841"/>
    <w:rsid w:val="00D03D59"/>
    <w:rsid w:val="00D05922"/>
    <w:rsid w:val="00D107A3"/>
    <w:rsid w:val="00D11925"/>
    <w:rsid w:val="00D147EA"/>
    <w:rsid w:val="00D21383"/>
    <w:rsid w:val="00D2410B"/>
    <w:rsid w:val="00D27366"/>
    <w:rsid w:val="00D308B8"/>
    <w:rsid w:val="00D34748"/>
    <w:rsid w:val="00D34D9A"/>
    <w:rsid w:val="00D37145"/>
    <w:rsid w:val="00D4082B"/>
    <w:rsid w:val="00D42AE1"/>
    <w:rsid w:val="00D45FBF"/>
    <w:rsid w:val="00D46C15"/>
    <w:rsid w:val="00D46D66"/>
    <w:rsid w:val="00D51861"/>
    <w:rsid w:val="00D52A1A"/>
    <w:rsid w:val="00D605A4"/>
    <w:rsid w:val="00D61B13"/>
    <w:rsid w:val="00D7746A"/>
    <w:rsid w:val="00D838FE"/>
    <w:rsid w:val="00D8406F"/>
    <w:rsid w:val="00D859C7"/>
    <w:rsid w:val="00D868E0"/>
    <w:rsid w:val="00D87364"/>
    <w:rsid w:val="00D9021F"/>
    <w:rsid w:val="00D9190E"/>
    <w:rsid w:val="00D928F5"/>
    <w:rsid w:val="00D94D78"/>
    <w:rsid w:val="00D96890"/>
    <w:rsid w:val="00DA1080"/>
    <w:rsid w:val="00DA12C2"/>
    <w:rsid w:val="00DB1412"/>
    <w:rsid w:val="00DB204E"/>
    <w:rsid w:val="00DB30A6"/>
    <w:rsid w:val="00DC376C"/>
    <w:rsid w:val="00DD2064"/>
    <w:rsid w:val="00DD46AC"/>
    <w:rsid w:val="00DD6A9E"/>
    <w:rsid w:val="00DE4B86"/>
    <w:rsid w:val="00DF4B8C"/>
    <w:rsid w:val="00E2189E"/>
    <w:rsid w:val="00E23367"/>
    <w:rsid w:val="00E272F4"/>
    <w:rsid w:val="00E315E1"/>
    <w:rsid w:val="00E31B92"/>
    <w:rsid w:val="00E475D4"/>
    <w:rsid w:val="00E5044E"/>
    <w:rsid w:val="00E57159"/>
    <w:rsid w:val="00E700B9"/>
    <w:rsid w:val="00E71F52"/>
    <w:rsid w:val="00E74D1C"/>
    <w:rsid w:val="00E8776E"/>
    <w:rsid w:val="00E9237A"/>
    <w:rsid w:val="00E93F38"/>
    <w:rsid w:val="00E97629"/>
    <w:rsid w:val="00EA0B88"/>
    <w:rsid w:val="00EB0011"/>
    <w:rsid w:val="00EB2285"/>
    <w:rsid w:val="00EB5B95"/>
    <w:rsid w:val="00EC4294"/>
    <w:rsid w:val="00EC681E"/>
    <w:rsid w:val="00ED02D3"/>
    <w:rsid w:val="00ED1671"/>
    <w:rsid w:val="00ED27C6"/>
    <w:rsid w:val="00ED477B"/>
    <w:rsid w:val="00ED490C"/>
    <w:rsid w:val="00ED5E31"/>
    <w:rsid w:val="00EE212D"/>
    <w:rsid w:val="00EE4815"/>
    <w:rsid w:val="00EE64C1"/>
    <w:rsid w:val="00EF2BB6"/>
    <w:rsid w:val="00EF520B"/>
    <w:rsid w:val="00EF521C"/>
    <w:rsid w:val="00F01D3D"/>
    <w:rsid w:val="00F05AA0"/>
    <w:rsid w:val="00F061CB"/>
    <w:rsid w:val="00F10F82"/>
    <w:rsid w:val="00F11793"/>
    <w:rsid w:val="00F24050"/>
    <w:rsid w:val="00F248AA"/>
    <w:rsid w:val="00F25DC3"/>
    <w:rsid w:val="00F269A7"/>
    <w:rsid w:val="00F31539"/>
    <w:rsid w:val="00F3243E"/>
    <w:rsid w:val="00F330D2"/>
    <w:rsid w:val="00F43660"/>
    <w:rsid w:val="00F43BD3"/>
    <w:rsid w:val="00F444EC"/>
    <w:rsid w:val="00F45FE3"/>
    <w:rsid w:val="00F51748"/>
    <w:rsid w:val="00F52715"/>
    <w:rsid w:val="00F54D03"/>
    <w:rsid w:val="00F551EF"/>
    <w:rsid w:val="00F61732"/>
    <w:rsid w:val="00F6347A"/>
    <w:rsid w:val="00F64177"/>
    <w:rsid w:val="00F6586A"/>
    <w:rsid w:val="00F745A3"/>
    <w:rsid w:val="00F7503A"/>
    <w:rsid w:val="00F803B0"/>
    <w:rsid w:val="00F81FEF"/>
    <w:rsid w:val="00F832EE"/>
    <w:rsid w:val="00F844EB"/>
    <w:rsid w:val="00F90D57"/>
    <w:rsid w:val="00F93586"/>
    <w:rsid w:val="00F94D10"/>
    <w:rsid w:val="00F94D52"/>
    <w:rsid w:val="00F978B9"/>
    <w:rsid w:val="00FA17D6"/>
    <w:rsid w:val="00FA61AF"/>
    <w:rsid w:val="00FB1D66"/>
    <w:rsid w:val="00FB2C17"/>
    <w:rsid w:val="00FC0DD5"/>
    <w:rsid w:val="00FC340D"/>
    <w:rsid w:val="00FD3A06"/>
    <w:rsid w:val="00FD4016"/>
    <w:rsid w:val="00FD4715"/>
    <w:rsid w:val="00FD7A88"/>
    <w:rsid w:val="00FD7D14"/>
    <w:rsid w:val="00FE0ABA"/>
    <w:rsid w:val="00FE67E4"/>
    <w:rsid w:val="00FE79B8"/>
    <w:rsid w:val="00FF1FB5"/>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B8FC21"/>
  <w15:docId w15:val="{7B09C53F-0BFC-4279-B603-CAB2F3F6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s>
</file>

<file path=word/_rels/footnotes.xml.rels><?xml version="1.0" encoding="UTF-8" standalone="yes"?>
<Relationships xmlns="http://schemas.openxmlformats.org/package/2006/relationships"><Relationship Id="rId2" Type="http://schemas.openxmlformats.org/officeDocument/2006/relationships/hyperlink" Target="http://www.cms.int/sites/default/files/document/COP11_Doc_23_1_2_Bird_Poisoning_Review_%26_Guidelines_E_0.pdf" TargetMode="External"/><Relationship Id="rId1" Type="http://schemas.openxmlformats.org/officeDocument/2006/relationships/hyperlink" Target="http://www.cms.int/sites/default/files/document/Res_11_15_Preventing_Bird_Poisoning_E_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D7B9-6945-4948-9EF7-4666447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6</TotalTime>
  <Pages>17</Pages>
  <Words>6959</Words>
  <Characters>39943</Characters>
  <Application>Microsoft Office Word</Application>
  <DocSecurity>0</DocSecurity>
  <Lines>332</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2017-06-15T12:26:00Z</cp:lastPrinted>
  <dcterms:created xsi:type="dcterms:W3CDTF">2017-06-15T12:26:00Z</dcterms:created>
  <dcterms:modified xsi:type="dcterms:W3CDTF">2017-06-15T12:32:00Z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