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AF636A"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892F96"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892F96">
              <w:rPr>
                <w:rFonts w:ascii="Arial" w:hAnsi="Arial" w:cs="Arial"/>
                <w:sz w:val="22"/>
                <w:szCs w:val="22"/>
                <w:lang w:val="en-GB"/>
              </w:rPr>
              <w:t>UNEP/CMS/COP12/</w:t>
            </w:r>
            <w:r w:rsidR="00BC6025" w:rsidRPr="00892F96">
              <w:rPr>
                <w:rFonts w:ascii="Arial" w:hAnsi="Arial" w:cs="Arial"/>
                <w:sz w:val="22"/>
                <w:szCs w:val="22"/>
                <w:lang w:val="en-GB"/>
              </w:rPr>
              <w:t>CRP</w:t>
            </w:r>
            <w:r w:rsidR="00FB441B" w:rsidRPr="00892F96">
              <w:rPr>
                <w:rFonts w:ascii="Arial" w:hAnsi="Arial" w:cs="Arial"/>
                <w:sz w:val="22"/>
                <w:szCs w:val="22"/>
                <w:lang w:val="en-GB"/>
              </w:rPr>
              <w:t>30</w:t>
            </w:r>
            <w:r w:rsidR="00B24564" w:rsidRPr="00892F96">
              <w:rPr>
                <w:rFonts w:ascii="Arial" w:hAnsi="Arial" w:cs="Arial"/>
                <w:sz w:val="22"/>
                <w:szCs w:val="22"/>
                <w:lang w:val="en-GB"/>
              </w:rPr>
              <w:t>/Rev.1</w:t>
            </w:r>
          </w:p>
          <w:p w:rsidR="00260772" w:rsidRPr="005B42D9" w:rsidRDefault="00892F96"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28</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FB441B" w:rsidRPr="00FB441B" w:rsidRDefault="00FB441B" w:rsidP="00FB441B">
      <w:pPr>
        <w:widowControl/>
        <w:autoSpaceDE/>
        <w:autoSpaceDN/>
        <w:adjustRightInd/>
        <w:jc w:val="center"/>
        <w:rPr>
          <w:rFonts w:ascii="Arial" w:eastAsiaTheme="minorHAnsi" w:hAnsi="Arial" w:cs="Arial"/>
          <w:b/>
          <w:sz w:val="22"/>
          <w:szCs w:val="22"/>
          <w:lang w:val="fr-FR"/>
        </w:rPr>
      </w:pPr>
      <w:r w:rsidRPr="00FB441B">
        <w:rPr>
          <w:rFonts w:ascii="Arial" w:hAnsi="Arial" w:cs="Arial"/>
          <w:b/>
          <w:caps/>
          <w:sz w:val="22"/>
          <w:szCs w:val="22"/>
          <w:lang w:val="fr-FR"/>
        </w:rPr>
        <w:t>PLANS D’ACTION POUR LES OISEAUX</w:t>
      </w:r>
    </w:p>
    <w:p w:rsidR="00FB441B" w:rsidRPr="00FB441B" w:rsidRDefault="00FB441B" w:rsidP="00FB441B">
      <w:pPr>
        <w:widowControl/>
        <w:autoSpaceDE/>
        <w:autoSpaceDN/>
        <w:adjustRightInd/>
        <w:jc w:val="center"/>
        <w:rPr>
          <w:rFonts w:ascii="Arial" w:eastAsiaTheme="minorHAnsi" w:hAnsi="Arial" w:cs="Arial"/>
          <w:i/>
          <w:sz w:val="22"/>
          <w:szCs w:val="22"/>
          <w:lang w:val="fr-FR"/>
        </w:rPr>
      </w:pPr>
    </w:p>
    <w:p w:rsidR="00BC6025" w:rsidRPr="00AF636A" w:rsidRDefault="00FB441B" w:rsidP="00FB441B">
      <w:pPr>
        <w:jc w:val="center"/>
        <w:rPr>
          <w:rFonts w:ascii="Arial" w:hAnsi="Arial" w:cs="Arial"/>
          <w:bCs/>
          <w:caps/>
          <w:sz w:val="22"/>
          <w:szCs w:val="22"/>
          <w:lang w:val="fr-FR"/>
        </w:rPr>
      </w:pPr>
      <w:r w:rsidRPr="00BC6025">
        <w:rPr>
          <w:rFonts w:ascii="Arial" w:hAnsi="Arial" w:cs="Arial"/>
          <w:bCs/>
          <w:caps/>
          <w:sz w:val="22"/>
          <w:szCs w:val="22"/>
          <w:lang w:val="fr-FR"/>
        </w:rPr>
        <w:t xml:space="preserve"> </w:t>
      </w:r>
      <w:r w:rsidR="00BC6025" w:rsidRPr="00AF636A">
        <w:rPr>
          <w:rFonts w:ascii="Arial" w:hAnsi="Arial" w:cs="Arial"/>
          <w:bCs/>
          <w:caps/>
          <w:sz w:val="22"/>
          <w:szCs w:val="22"/>
          <w:lang w:val="fr-FR"/>
        </w:rPr>
        <w:t>(UNEP/CMS/COP12/</w:t>
      </w:r>
      <w:r w:rsidR="00BC6025" w:rsidRPr="00AF636A">
        <w:rPr>
          <w:rFonts w:ascii="Arial" w:hAnsi="Arial" w:cs="Arial"/>
          <w:bCs/>
          <w:sz w:val="22"/>
          <w:szCs w:val="22"/>
          <w:lang w:val="fr-FR"/>
        </w:rPr>
        <w:t>Doc</w:t>
      </w:r>
      <w:r w:rsidRPr="00AF636A">
        <w:rPr>
          <w:rFonts w:ascii="Arial" w:hAnsi="Arial" w:cs="Arial"/>
          <w:bCs/>
          <w:caps/>
          <w:sz w:val="22"/>
          <w:szCs w:val="22"/>
          <w:lang w:val="fr-FR"/>
        </w:rPr>
        <w:t>.24.1.11</w:t>
      </w:r>
      <w:r w:rsidR="00BC6025" w:rsidRPr="00AF636A">
        <w:rPr>
          <w:rFonts w:ascii="Arial" w:hAnsi="Arial" w:cs="Arial"/>
          <w:bCs/>
          <w:caps/>
          <w:sz w:val="22"/>
          <w:szCs w:val="22"/>
          <w:lang w:val="fr-FR"/>
        </w:rPr>
        <w:t xml:space="preserve">) </w:t>
      </w:r>
    </w:p>
    <w:p w:rsidR="00BC6025" w:rsidRPr="00AF636A" w:rsidRDefault="00BC6025" w:rsidP="00BC6025">
      <w:pPr>
        <w:jc w:val="cente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AF636A">
        <w:rPr>
          <w:rFonts w:ascii="Arial" w:hAnsi="Arial" w:cs="Arial"/>
          <w:bCs/>
          <w:i/>
          <w:iCs/>
          <w:sz w:val="22"/>
          <w:szCs w:val="22"/>
          <w:lang w:val="fr-FR"/>
        </w:rPr>
        <w:t>(</w:t>
      </w:r>
      <w:r w:rsidR="00796FCE" w:rsidRPr="00AF636A">
        <w:rPr>
          <w:rFonts w:ascii="Arial" w:hAnsi="Arial" w:cs="Arial"/>
          <w:bCs/>
          <w:i/>
          <w:iCs/>
          <w:sz w:val="22"/>
          <w:szCs w:val="22"/>
          <w:lang w:val="fr-FR"/>
        </w:rPr>
        <w:t xml:space="preserve">Préparé par </w:t>
      </w:r>
      <w:r w:rsidR="00A72FA7" w:rsidRPr="00AF636A">
        <w:rPr>
          <w:rFonts w:ascii="Arial" w:hAnsi="Arial" w:cs="Arial"/>
          <w:bCs/>
          <w:i/>
          <w:iCs/>
          <w:sz w:val="22"/>
          <w:szCs w:val="22"/>
          <w:lang w:val="fr-FR"/>
        </w:rPr>
        <w:t>le groupe de travail aviaire</w:t>
      </w:r>
      <w:r w:rsidRPr="00AF636A">
        <w:rPr>
          <w:rFonts w:ascii="Arial" w:hAnsi="Arial" w:cs="Arial"/>
          <w:bCs/>
          <w:i/>
          <w:iCs/>
          <w:sz w:val="22"/>
          <w:szCs w:val="22"/>
          <w:lang w:val="fr-FR"/>
        </w:rPr>
        <w:t>)</w:t>
      </w:r>
    </w:p>
    <w:p w:rsidR="00BC6025" w:rsidRDefault="00BC6025" w:rsidP="00BC6025">
      <w:pPr>
        <w:jc w:val="both"/>
        <w:rPr>
          <w:rFonts w:ascii="Arial" w:hAnsi="Arial" w:cs="Arial"/>
          <w:szCs w:val="20"/>
          <w:lang w:val="fr-FR"/>
        </w:rPr>
      </w:pPr>
    </w:p>
    <w:p w:rsidR="00FB441B" w:rsidRPr="001F1DA4" w:rsidRDefault="00FB441B" w:rsidP="00BC6025">
      <w:pPr>
        <w:jc w:val="both"/>
        <w:rPr>
          <w:rFonts w:ascii="Arial" w:hAnsi="Arial" w:cs="Arial"/>
          <w:szCs w:val="20"/>
          <w:lang w:val="fr-FR"/>
        </w:rPr>
      </w:pPr>
    </w:p>
    <w:p w:rsidR="00FB441B" w:rsidRPr="00FB441B" w:rsidRDefault="00FB441B" w:rsidP="00FB441B">
      <w:pPr>
        <w:widowControl/>
        <w:autoSpaceDE/>
        <w:autoSpaceDN/>
        <w:adjustRightInd/>
        <w:jc w:val="center"/>
        <w:rPr>
          <w:rFonts w:ascii="Arial" w:eastAsiaTheme="minorHAnsi" w:hAnsi="Arial" w:cs="Arial"/>
          <w:b/>
          <w:sz w:val="22"/>
          <w:szCs w:val="22"/>
          <w:lang w:val="fr-FR"/>
        </w:rPr>
      </w:pPr>
      <w:r w:rsidRPr="00FB441B">
        <w:rPr>
          <w:rFonts w:ascii="Arial" w:hAnsi="Arial" w:cs="Arial"/>
          <w:sz w:val="22"/>
          <w:szCs w:val="22"/>
          <w:lang w:val="fr-FR"/>
        </w:rPr>
        <w:t>PROJET DE RÉSOLUTION</w:t>
      </w:r>
    </w:p>
    <w:p w:rsidR="00FB441B" w:rsidRPr="00FB441B" w:rsidRDefault="00FB441B" w:rsidP="00FB441B">
      <w:pPr>
        <w:widowControl/>
        <w:autoSpaceDE/>
        <w:autoSpaceDN/>
        <w:adjustRightInd/>
        <w:jc w:val="center"/>
        <w:rPr>
          <w:rFonts w:ascii="Arial" w:eastAsiaTheme="minorHAnsi" w:hAnsi="Arial" w:cs="Arial"/>
          <w:b/>
          <w:sz w:val="22"/>
          <w:szCs w:val="22"/>
          <w:lang w:val="fr-FR"/>
        </w:rPr>
      </w:pPr>
    </w:p>
    <w:p w:rsidR="00FB441B" w:rsidRPr="00FB441B" w:rsidRDefault="00FB441B" w:rsidP="00FB441B">
      <w:pPr>
        <w:widowControl/>
        <w:autoSpaceDE/>
        <w:autoSpaceDN/>
        <w:adjustRightInd/>
        <w:jc w:val="both"/>
        <w:rPr>
          <w:rFonts w:ascii="Arial" w:eastAsiaTheme="minorHAnsi" w:hAnsi="Arial" w:cs="Arial"/>
          <w:sz w:val="22"/>
          <w:szCs w:val="22"/>
          <w:lang w:val="fr-FR"/>
        </w:rPr>
      </w:pPr>
      <w:r w:rsidRPr="00FB441B">
        <w:rPr>
          <w:rFonts w:ascii="Arial" w:eastAsiaTheme="minorHAnsi" w:hAnsi="Arial" w:cs="Arial"/>
          <w:i/>
          <w:sz w:val="22"/>
          <w:szCs w:val="22"/>
          <w:lang w:val="fr-FR"/>
        </w:rPr>
        <w:t xml:space="preserve">Rappelant </w:t>
      </w:r>
      <w:r w:rsidRPr="00FB441B">
        <w:rPr>
          <w:rFonts w:ascii="Arial" w:eastAsiaTheme="minorHAnsi" w:hAnsi="Arial" w:cs="Arial"/>
          <w:sz w:val="22"/>
          <w:szCs w:val="22"/>
          <w:lang w:val="fr-FR"/>
        </w:rPr>
        <w:t xml:space="preserve">la Résolution 11.14 sur un </w:t>
      </w:r>
      <w:r w:rsidRPr="00FB441B">
        <w:rPr>
          <w:rFonts w:ascii="Arial" w:hAnsi="Arial" w:cs="Arial"/>
          <w:sz w:val="22"/>
          <w:szCs w:val="22"/>
          <w:lang w:val="fr-FR"/>
        </w:rPr>
        <w:t>Programme de travail sur les oiseaux migrateurs et les voies de migration</w:t>
      </w:r>
      <w:r w:rsidRPr="00FB441B">
        <w:rPr>
          <w:rFonts w:ascii="Arial" w:eastAsiaTheme="minorHAnsi" w:hAnsi="Arial" w:cs="Arial"/>
          <w:sz w:val="22"/>
          <w:szCs w:val="22"/>
          <w:lang w:val="fr-FR"/>
        </w:rPr>
        <w:t>, qui recommande l’élaboration, l’adoption et la mise en œuvre de plans d’action par espèce pour les espèce prioritaires, conformément aux priorités de la CMS pour les Actions concertées et en coopération, dont le bruant auréole, le fuligule de Baer et le courlis de Sibérie,</w:t>
      </w:r>
    </w:p>
    <w:p w:rsidR="00FB441B" w:rsidRPr="00FB441B" w:rsidRDefault="00FB441B" w:rsidP="00FB441B">
      <w:pPr>
        <w:widowControl/>
        <w:autoSpaceDE/>
        <w:autoSpaceDN/>
        <w:adjustRightInd/>
        <w:jc w:val="both"/>
        <w:rPr>
          <w:rFonts w:ascii="Arial" w:eastAsiaTheme="minorHAnsi" w:hAnsi="Arial" w:cs="Arial"/>
          <w:i/>
          <w:sz w:val="22"/>
          <w:szCs w:val="22"/>
          <w:lang w:val="fr-FR"/>
        </w:rPr>
      </w:pPr>
    </w:p>
    <w:p w:rsidR="00FB441B" w:rsidRPr="00FB441B" w:rsidRDefault="00FB441B" w:rsidP="00FB441B">
      <w:pPr>
        <w:widowControl/>
        <w:autoSpaceDE/>
        <w:autoSpaceDN/>
        <w:adjustRightInd/>
        <w:jc w:val="both"/>
        <w:rPr>
          <w:rFonts w:ascii="Arial" w:eastAsiaTheme="minorHAnsi" w:hAnsi="Arial" w:cs="Arial"/>
          <w:sz w:val="22"/>
          <w:szCs w:val="22"/>
          <w:lang w:val="fr-FR"/>
        </w:rPr>
      </w:pPr>
      <w:r w:rsidRPr="00FB441B">
        <w:rPr>
          <w:rFonts w:ascii="Arial" w:eastAsiaTheme="minorHAnsi" w:hAnsi="Arial" w:cs="Arial"/>
          <w:i/>
          <w:sz w:val="22"/>
          <w:szCs w:val="22"/>
          <w:lang w:val="fr-FR"/>
        </w:rPr>
        <w:t xml:space="preserve">Rappelant également </w:t>
      </w:r>
      <w:r w:rsidRPr="00FB441B">
        <w:rPr>
          <w:rFonts w:ascii="Arial" w:eastAsiaTheme="minorHAnsi" w:hAnsi="Arial" w:cs="Arial"/>
          <w:sz w:val="22"/>
          <w:szCs w:val="22"/>
          <w:lang w:val="fr-FR"/>
        </w:rPr>
        <w:t xml:space="preserve">la Résolution 11.17 sur </w:t>
      </w:r>
      <w:r w:rsidRPr="00FB441B">
        <w:rPr>
          <w:rFonts w:ascii="Arial" w:hAnsi="Arial" w:cs="Arial"/>
          <w:sz w:val="22"/>
          <w:szCs w:val="22"/>
          <w:lang w:val="fr-FR"/>
        </w:rPr>
        <w:t>un Plan d'action pour les oiseaux terrestres migrateurs d'Afrique-Eurasie, qui demande au Groupe de travail sur les oiseaux terrestres et au Conseil scientifique, avec le soutien du Secrétariat de la CMS, d’élaborer, en tant qu’enjeu émergent, des Plans d’action pour le bruant auréole, la tourterelle des bois et le rollier d’Europe</w:t>
      </w:r>
      <w:r w:rsidRPr="00FB441B">
        <w:rPr>
          <w:rFonts w:ascii="Arial" w:eastAsiaTheme="minorHAnsi" w:hAnsi="Arial" w:cs="Arial"/>
          <w:sz w:val="22"/>
          <w:szCs w:val="22"/>
          <w:lang w:val="fr-FR"/>
        </w:rPr>
        <w:t>,</w:t>
      </w:r>
    </w:p>
    <w:p w:rsidR="00FB441B" w:rsidRPr="00FB441B" w:rsidRDefault="00FB441B" w:rsidP="00FB441B">
      <w:pPr>
        <w:widowControl/>
        <w:autoSpaceDE/>
        <w:autoSpaceDN/>
        <w:adjustRightInd/>
        <w:jc w:val="both"/>
        <w:rPr>
          <w:rFonts w:ascii="Arial" w:eastAsiaTheme="minorHAnsi" w:hAnsi="Arial" w:cs="Arial"/>
          <w:i/>
          <w:sz w:val="22"/>
          <w:szCs w:val="22"/>
          <w:lang w:val="fr-FR"/>
        </w:rPr>
      </w:pPr>
    </w:p>
    <w:p w:rsidR="00FB441B" w:rsidRPr="00FB441B" w:rsidRDefault="00FB441B" w:rsidP="00FB441B">
      <w:pPr>
        <w:widowControl/>
        <w:autoSpaceDE/>
        <w:autoSpaceDN/>
        <w:adjustRightInd/>
        <w:jc w:val="both"/>
        <w:rPr>
          <w:rFonts w:ascii="Arial" w:eastAsiaTheme="minorHAnsi" w:hAnsi="Arial" w:cs="Arial"/>
          <w:sz w:val="22"/>
          <w:szCs w:val="22"/>
          <w:lang w:val="fr-FR"/>
        </w:rPr>
      </w:pPr>
      <w:r w:rsidRPr="00FB441B">
        <w:rPr>
          <w:rFonts w:ascii="Arial" w:eastAsiaTheme="minorHAnsi" w:hAnsi="Arial" w:cs="Arial"/>
          <w:i/>
          <w:sz w:val="22"/>
          <w:szCs w:val="22"/>
          <w:lang w:val="fr-FR"/>
        </w:rPr>
        <w:t xml:space="preserve">Notant </w:t>
      </w:r>
      <w:r w:rsidRPr="00FB441B">
        <w:rPr>
          <w:rFonts w:ascii="Arial" w:eastAsiaTheme="minorHAnsi" w:hAnsi="Arial" w:cs="Arial"/>
          <w:sz w:val="22"/>
          <w:szCs w:val="22"/>
          <w:lang w:val="fr-FR"/>
        </w:rPr>
        <w:t>que le courlis de Sibérie a été désigné pour des Actions concertées pour la période 2015-2017 au travers de la Résolution 11.13 sur les Actions concertées et en coopération,</w:t>
      </w:r>
    </w:p>
    <w:p w:rsidR="00FB441B" w:rsidRPr="00FB441B" w:rsidRDefault="00FB441B" w:rsidP="00FB441B">
      <w:pPr>
        <w:widowControl/>
        <w:autoSpaceDE/>
        <w:autoSpaceDN/>
        <w:adjustRightInd/>
        <w:jc w:val="both"/>
        <w:rPr>
          <w:rFonts w:ascii="Arial" w:eastAsiaTheme="minorHAnsi" w:hAnsi="Arial" w:cs="Arial"/>
          <w:i/>
          <w:sz w:val="22"/>
          <w:szCs w:val="22"/>
          <w:lang w:val="fr-FR"/>
        </w:rPr>
      </w:pPr>
    </w:p>
    <w:p w:rsidR="00FB441B" w:rsidRDefault="00FB441B" w:rsidP="00FB441B">
      <w:pPr>
        <w:widowControl/>
        <w:autoSpaceDE/>
        <w:autoSpaceDN/>
        <w:adjustRightInd/>
        <w:jc w:val="both"/>
        <w:rPr>
          <w:rFonts w:ascii="Arial" w:eastAsiaTheme="minorHAnsi" w:hAnsi="Arial" w:cs="Arial"/>
          <w:sz w:val="22"/>
          <w:szCs w:val="22"/>
          <w:lang w:val="fr-FR"/>
        </w:rPr>
      </w:pPr>
      <w:r w:rsidRPr="00FB441B">
        <w:rPr>
          <w:rFonts w:ascii="Arial" w:eastAsiaTheme="minorHAnsi" w:hAnsi="Arial" w:cs="Arial"/>
          <w:i/>
          <w:sz w:val="22"/>
          <w:szCs w:val="22"/>
          <w:lang w:val="fr-FR"/>
        </w:rPr>
        <w:t>Notant également</w:t>
      </w:r>
      <w:r w:rsidRPr="00FB441B">
        <w:rPr>
          <w:rFonts w:ascii="Arial" w:eastAsiaTheme="minorHAnsi" w:hAnsi="Arial" w:cs="Arial"/>
          <w:sz w:val="22"/>
          <w:szCs w:val="22"/>
          <w:lang w:val="fr-FR"/>
        </w:rPr>
        <w:t xml:space="preserve"> que le Plan d’action pour le fuligule de Baer a été adopté lors de la 8</w:t>
      </w:r>
      <w:r w:rsidRPr="00FB441B">
        <w:rPr>
          <w:rFonts w:ascii="Arial" w:eastAsiaTheme="minorHAnsi" w:hAnsi="Arial" w:cs="Arial"/>
          <w:sz w:val="22"/>
          <w:szCs w:val="22"/>
          <w:vertAlign w:val="superscript"/>
          <w:lang w:val="fr-FR"/>
        </w:rPr>
        <w:t>ème</w:t>
      </w:r>
      <w:r w:rsidRPr="00FB441B">
        <w:rPr>
          <w:rFonts w:ascii="Arial" w:eastAsiaTheme="minorHAnsi" w:hAnsi="Arial" w:cs="Arial"/>
          <w:sz w:val="22"/>
          <w:szCs w:val="22"/>
          <w:lang w:val="fr-FR"/>
        </w:rPr>
        <w:t xml:space="preserve"> Réunion des partenaires du</w:t>
      </w:r>
      <w:r w:rsidRPr="00FB441B">
        <w:rPr>
          <w:rFonts w:ascii="Arial" w:hAnsi="Arial"/>
          <w:sz w:val="18"/>
          <w:lang w:val="fr-FR"/>
        </w:rPr>
        <w:t xml:space="preserve"> </w:t>
      </w:r>
      <w:r w:rsidRPr="00FB441B">
        <w:rPr>
          <w:rFonts w:ascii="Arial" w:eastAsiaTheme="minorHAnsi" w:hAnsi="Arial" w:cs="Arial"/>
          <w:sz w:val="22"/>
          <w:szCs w:val="22"/>
          <w:lang w:val="fr-FR"/>
        </w:rPr>
        <w:t>Partenariat sur l'itinéraire aérien Asie orientale-Australasie (EEAFP) au Japon en 2015 ; et que le Plan d’action pour le courlis de Sibérie a été adopté lors de la 9</w:t>
      </w:r>
      <w:r w:rsidRPr="00FB441B">
        <w:rPr>
          <w:rFonts w:ascii="Arial" w:eastAsiaTheme="minorHAnsi" w:hAnsi="Arial" w:cs="Arial"/>
          <w:sz w:val="22"/>
          <w:szCs w:val="22"/>
          <w:vertAlign w:val="superscript"/>
          <w:lang w:val="fr-FR"/>
        </w:rPr>
        <w:t>ème</w:t>
      </w:r>
      <w:r w:rsidRPr="00FB441B">
        <w:rPr>
          <w:rFonts w:ascii="Arial" w:eastAsiaTheme="minorHAnsi" w:hAnsi="Arial" w:cs="Arial"/>
          <w:sz w:val="22"/>
          <w:szCs w:val="22"/>
          <w:lang w:val="fr-FR"/>
        </w:rPr>
        <w:t xml:space="preserve"> Réunion des partenaires de l’EEAFP à Singapour en 2017,</w:t>
      </w:r>
    </w:p>
    <w:p w:rsidR="00B512BA" w:rsidRDefault="00B512BA" w:rsidP="00FB441B">
      <w:pPr>
        <w:widowControl/>
        <w:autoSpaceDE/>
        <w:autoSpaceDN/>
        <w:adjustRightInd/>
        <w:jc w:val="both"/>
        <w:rPr>
          <w:rFonts w:ascii="Arial" w:eastAsiaTheme="minorHAnsi" w:hAnsi="Arial" w:cs="Arial"/>
          <w:sz w:val="22"/>
          <w:szCs w:val="22"/>
          <w:lang w:val="fr-FR"/>
        </w:rPr>
      </w:pPr>
    </w:p>
    <w:p w:rsidR="00B512BA" w:rsidRPr="00FB441B" w:rsidRDefault="00B512BA" w:rsidP="00FB441B">
      <w:pPr>
        <w:widowControl/>
        <w:autoSpaceDE/>
        <w:autoSpaceDN/>
        <w:adjustRightInd/>
        <w:jc w:val="both"/>
        <w:rPr>
          <w:rFonts w:ascii="Arial" w:eastAsiaTheme="minorHAnsi" w:hAnsi="Arial" w:cs="Arial"/>
          <w:sz w:val="22"/>
          <w:szCs w:val="22"/>
          <w:lang w:val="fr-FR"/>
        </w:rPr>
      </w:pPr>
      <w:r w:rsidRPr="00AF636A">
        <w:rPr>
          <w:rFonts w:ascii="Arial" w:eastAsiaTheme="minorHAnsi" w:hAnsi="Arial" w:cs="Arial"/>
          <w:i/>
          <w:sz w:val="22"/>
          <w:szCs w:val="22"/>
          <w:lang w:val="fr-FR"/>
        </w:rPr>
        <w:t>Notant en outre</w:t>
      </w:r>
      <w:r w:rsidRPr="00B512BA">
        <w:rPr>
          <w:rFonts w:ascii="Arial" w:eastAsiaTheme="minorHAnsi" w:hAnsi="Arial" w:cs="Arial"/>
          <w:sz w:val="22"/>
          <w:szCs w:val="22"/>
          <w:lang w:val="fr-FR"/>
        </w:rPr>
        <w:t xml:space="preserve"> le projet </w:t>
      </w:r>
      <w:proofErr w:type="spellStart"/>
      <w:r w:rsidRPr="00B512BA">
        <w:rPr>
          <w:rFonts w:ascii="Arial" w:eastAsiaTheme="minorHAnsi" w:hAnsi="Arial" w:cs="Arial"/>
          <w:sz w:val="22"/>
          <w:szCs w:val="22"/>
          <w:lang w:val="fr-FR"/>
        </w:rPr>
        <w:t>EuroSAP</w:t>
      </w:r>
      <w:proofErr w:type="spellEnd"/>
      <w:r w:rsidRPr="00B512BA">
        <w:rPr>
          <w:rFonts w:ascii="Arial" w:eastAsiaTheme="minorHAnsi" w:hAnsi="Arial" w:cs="Arial"/>
          <w:sz w:val="22"/>
          <w:szCs w:val="22"/>
          <w:lang w:val="fr-FR"/>
        </w:rPr>
        <w:t xml:space="preserve">, </w:t>
      </w:r>
      <w:r w:rsidR="009F60F2">
        <w:rPr>
          <w:rFonts w:ascii="Arial" w:eastAsiaTheme="minorHAnsi" w:hAnsi="Arial" w:cs="Arial"/>
          <w:sz w:val="22"/>
          <w:szCs w:val="22"/>
          <w:lang w:val="fr-FR"/>
        </w:rPr>
        <w:t>soutenu</w:t>
      </w:r>
      <w:r w:rsidRPr="00B512BA">
        <w:rPr>
          <w:rFonts w:ascii="Arial" w:eastAsiaTheme="minorHAnsi" w:hAnsi="Arial" w:cs="Arial"/>
          <w:sz w:val="22"/>
          <w:szCs w:val="22"/>
          <w:lang w:val="fr-FR"/>
        </w:rPr>
        <w:t xml:space="preserve"> par la Commission européenne et coordonné par </w:t>
      </w:r>
      <w:proofErr w:type="spellStart"/>
      <w:r w:rsidRPr="00B512BA">
        <w:rPr>
          <w:rFonts w:ascii="Arial" w:eastAsiaTheme="minorHAnsi" w:hAnsi="Arial" w:cs="Arial"/>
          <w:sz w:val="22"/>
          <w:szCs w:val="22"/>
          <w:lang w:val="fr-FR"/>
        </w:rPr>
        <w:t>BirdLife</w:t>
      </w:r>
      <w:proofErr w:type="spellEnd"/>
      <w:r w:rsidRPr="00B512BA">
        <w:rPr>
          <w:rFonts w:ascii="Arial" w:eastAsiaTheme="minorHAnsi" w:hAnsi="Arial" w:cs="Arial"/>
          <w:sz w:val="22"/>
          <w:szCs w:val="22"/>
          <w:lang w:val="fr-FR"/>
        </w:rPr>
        <w:t xml:space="preserve"> International, dans le cadre duquel deux plans supplémentaires, pou</w:t>
      </w:r>
      <w:r w:rsidR="00ED0817">
        <w:rPr>
          <w:rFonts w:ascii="Arial" w:eastAsiaTheme="minorHAnsi" w:hAnsi="Arial" w:cs="Arial"/>
          <w:sz w:val="22"/>
          <w:szCs w:val="22"/>
          <w:lang w:val="fr-FR"/>
        </w:rPr>
        <w:t>r le P</w:t>
      </w:r>
      <w:r w:rsidR="009F60F2">
        <w:rPr>
          <w:rFonts w:ascii="Arial" w:eastAsiaTheme="minorHAnsi" w:hAnsi="Arial" w:cs="Arial"/>
          <w:sz w:val="22"/>
          <w:szCs w:val="22"/>
          <w:lang w:val="fr-FR"/>
        </w:rPr>
        <w:t xml:space="preserve">élican dalmate </w:t>
      </w:r>
      <w:r w:rsidR="00ED0817">
        <w:rPr>
          <w:rFonts w:ascii="Arial" w:eastAsiaTheme="minorHAnsi" w:hAnsi="Arial" w:cs="Arial"/>
          <w:sz w:val="22"/>
          <w:szCs w:val="22"/>
          <w:lang w:val="fr-FR"/>
        </w:rPr>
        <w:t xml:space="preserve">(ou Pélican frisé) </w:t>
      </w:r>
      <w:r w:rsidR="009F60F2">
        <w:rPr>
          <w:rFonts w:ascii="Arial" w:eastAsiaTheme="minorHAnsi" w:hAnsi="Arial" w:cs="Arial"/>
          <w:sz w:val="22"/>
          <w:szCs w:val="22"/>
          <w:lang w:val="fr-FR"/>
        </w:rPr>
        <w:t xml:space="preserve">et pour </w:t>
      </w:r>
      <w:r w:rsidR="009F60F2" w:rsidRPr="005567B9">
        <w:rPr>
          <w:rFonts w:ascii="Arial" w:eastAsiaTheme="minorHAnsi" w:hAnsi="Arial" w:cs="Arial"/>
          <w:sz w:val="22"/>
          <w:szCs w:val="22"/>
          <w:lang w:val="fr-FR"/>
        </w:rPr>
        <w:t>l'</w:t>
      </w:r>
      <w:proofErr w:type="spellStart"/>
      <w:r w:rsidR="005567B9" w:rsidRPr="00B24564">
        <w:rPr>
          <w:rFonts w:ascii="Arial" w:hAnsi="Arial" w:cs="Arial"/>
          <w:color w:val="222222"/>
          <w:sz w:val="22"/>
          <w:szCs w:val="22"/>
          <w:lang w:val="fr-FR"/>
        </w:rPr>
        <w:t>Érismature</w:t>
      </w:r>
      <w:proofErr w:type="spellEnd"/>
      <w:r w:rsidRPr="005567B9">
        <w:rPr>
          <w:rFonts w:ascii="Arial" w:eastAsiaTheme="minorHAnsi" w:hAnsi="Arial" w:cs="Arial"/>
          <w:sz w:val="22"/>
          <w:szCs w:val="22"/>
          <w:lang w:val="fr-FR"/>
        </w:rPr>
        <w:t xml:space="preserve"> </w:t>
      </w:r>
      <w:r w:rsidRPr="00B512BA">
        <w:rPr>
          <w:rFonts w:ascii="Arial" w:eastAsiaTheme="minorHAnsi" w:hAnsi="Arial" w:cs="Arial"/>
          <w:sz w:val="22"/>
          <w:szCs w:val="22"/>
          <w:lang w:val="fr-FR"/>
        </w:rPr>
        <w:t>à tête blanche, sont en cours d'élaboration et seront finalisés début 2018</w:t>
      </w:r>
      <w:r w:rsidR="009F60F2">
        <w:rPr>
          <w:rFonts w:ascii="Arial" w:eastAsiaTheme="minorHAnsi" w:hAnsi="Arial" w:cs="Arial"/>
          <w:sz w:val="22"/>
          <w:szCs w:val="22"/>
          <w:lang w:val="fr-FR"/>
        </w:rPr>
        <w:t>,</w:t>
      </w:r>
    </w:p>
    <w:p w:rsidR="00FB441B" w:rsidRPr="00FB441B" w:rsidRDefault="00FB441B" w:rsidP="00FB441B">
      <w:pPr>
        <w:widowControl/>
        <w:autoSpaceDE/>
        <w:autoSpaceDN/>
        <w:adjustRightInd/>
        <w:jc w:val="both"/>
        <w:rPr>
          <w:rFonts w:ascii="Arial" w:eastAsiaTheme="minorHAnsi" w:hAnsi="Arial" w:cs="Arial"/>
          <w:i/>
          <w:sz w:val="22"/>
          <w:szCs w:val="22"/>
          <w:lang w:val="fr-FR"/>
        </w:rPr>
      </w:pPr>
    </w:p>
    <w:p w:rsidR="00FB441B" w:rsidRPr="00FB441B" w:rsidRDefault="00FB441B" w:rsidP="00FB441B">
      <w:pPr>
        <w:widowControl/>
        <w:autoSpaceDE/>
        <w:autoSpaceDN/>
        <w:adjustRightInd/>
        <w:jc w:val="both"/>
        <w:rPr>
          <w:rFonts w:ascii="Arial" w:eastAsiaTheme="minorHAnsi" w:hAnsi="Arial" w:cs="Arial"/>
          <w:sz w:val="22"/>
          <w:szCs w:val="22"/>
          <w:lang w:val="fr-FR"/>
        </w:rPr>
      </w:pPr>
      <w:r w:rsidRPr="00FB441B">
        <w:rPr>
          <w:rFonts w:ascii="Arial" w:eastAsiaTheme="minorHAnsi" w:hAnsi="Arial" w:cs="Arial"/>
          <w:i/>
          <w:sz w:val="22"/>
          <w:szCs w:val="22"/>
          <w:lang w:val="fr-FR"/>
        </w:rPr>
        <w:t xml:space="preserve">Remerciant </w:t>
      </w:r>
      <w:r w:rsidRPr="00FB441B">
        <w:rPr>
          <w:rFonts w:ascii="Arial" w:eastAsiaTheme="minorHAnsi" w:hAnsi="Arial" w:cs="Arial"/>
          <w:sz w:val="22"/>
          <w:szCs w:val="22"/>
          <w:lang w:val="fr-FR"/>
        </w:rPr>
        <w:t xml:space="preserve">le </w:t>
      </w:r>
      <w:proofErr w:type="spellStart"/>
      <w:r w:rsidRPr="00FB441B">
        <w:rPr>
          <w:rFonts w:ascii="Arial" w:eastAsiaTheme="minorHAnsi" w:hAnsi="Arial" w:cs="Arial"/>
          <w:sz w:val="22"/>
          <w:szCs w:val="22"/>
          <w:lang w:val="fr-FR"/>
        </w:rPr>
        <w:t>Wildfowl</w:t>
      </w:r>
      <w:proofErr w:type="spellEnd"/>
      <w:r w:rsidRPr="00FB441B">
        <w:rPr>
          <w:rFonts w:ascii="Arial" w:eastAsiaTheme="minorHAnsi" w:hAnsi="Arial" w:cs="Arial"/>
          <w:sz w:val="22"/>
          <w:szCs w:val="22"/>
          <w:lang w:val="fr-FR"/>
        </w:rPr>
        <w:t xml:space="preserve"> and </w:t>
      </w:r>
      <w:proofErr w:type="spellStart"/>
      <w:r w:rsidRPr="00FB441B">
        <w:rPr>
          <w:rFonts w:ascii="Arial" w:eastAsiaTheme="minorHAnsi" w:hAnsi="Arial" w:cs="Arial"/>
          <w:sz w:val="22"/>
          <w:szCs w:val="22"/>
          <w:lang w:val="fr-FR"/>
        </w:rPr>
        <w:t>Wetlands</w:t>
      </w:r>
      <w:proofErr w:type="spellEnd"/>
      <w:r w:rsidRPr="00FB441B">
        <w:rPr>
          <w:rFonts w:ascii="Arial" w:eastAsiaTheme="minorHAnsi" w:hAnsi="Arial" w:cs="Arial"/>
          <w:sz w:val="22"/>
          <w:szCs w:val="22"/>
          <w:lang w:val="fr-FR"/>
        </w:rPr>
        <w:t xml:space="preserve"> Trust (WWT) pour leur rôle déterminant dans l’élaboration du Plan d’action pour le fuligule de Baer ; l’Australie pour le Plan d’action pour le courlis de Sibérie ; </w:t>
      </w:r>
      <w:proofErr w:type="spellStart"/>
      <w:r w:rsidRPr="00FB441B">
        <w:rPr>
          <w:rFonts w:ascii="Arial" w:eastAsiaTheme="minorHAnsi" w:hAnsi="Arial" w:cs="Arial"/>
          <w:sz w:val="22"/>
          <w:szCs w:val="22"/>
          <w:lang w:val="fr-FR"/>
        </w:rPr>
        <w:t>BirdLife</w:t>
      </w:r>
      <w:proofErr w:type="spellEnd"/>
      <w:r w:rsidRPr="00FB441B">
        <w:rPr>
          <w:rFonts w:ascii="Arial" w:eastAsiaTheme="minorHAnsi" w:hAnsi="Arial" w:cs="Arial"/>
          <w:sz w:val="22"/>
          <w:szCs w:val="22"/>
          <w:lang w:val="fr-FR"/>
        </w:rPr>
        <w:t xml:space="preserve"> International pour les Plans d’action pour le bruant auréole, la tourterelle des bois et le rollier d’Europe</w:t>
      </w:r>
      <w:r w:rsidR="00ED0817">
        <w:rPr>
          <w:rFonts w:ascii="Arial" w:eastAsiaTheme="minorHAnsi" w:hAnsi="Arial" w:cs="Arial"/>
          <w:sz w:val="22"/>
          <w:szCs w:val="22"/>
          <w:lang w:val="fr-FR"/>
        </w:rPr>
        <w:t> ;</w:t>
      </w:r>
      <w:r w:rsidR="00B512BA">
        <w:rPr>
          <w:rFonts w:ascii="Arial" w:eastAsiaTheme="minorHAnsi" w:hAnsi="Arial" w:cs="Arial"/>
          <w:sz w:val="22"/>
          <w:szCs w:val="22"/>
          <w:lang w:val="fr-FR"/>
        </w:rPr>
        <w:t xml:space="preserve"> et </w:t>
      </w:r>
      <w:r w:rsidR="00ED0817">
        <w:rPr>
          <w:rFonts w:ascii="Arial" w:eastAsiaTheme="minorHAnsi" w:hAnsi="Arial" w:cs="Arial"/>
          <w:sz w:val="22"/>
          <w:szCs w:val="22"/>
          <w:lang w:val="fr-FR"/>
        </w:rPr>
        <w:t>le Secrétariat PNUE/</w:t>
      </w:r>
      <w:r w:rsidR="00B512BA" w:rsidRPr="00B512BA">
        <w:rPr>
          <w:rFonts w:ascii="Arial" w:eastAsiaTheme="minorHAnsi" w:hAnsi="Arial" w:cs="Arial"/>
          <w:sz w:val="22"/>
          <w:szCs w:val="22"/>
          <w:lang w:val="fr-FR"/>
        </w:rPr>
        <w:t xml:space="preserve">AEWA et </w:t>
      </w:r>
      <w:proofErr w:type="spellStart"/>
      <w:r w:rsidR="00B512BA" w:rsidRPr="00B512BA">
        <w:rPr>
          <w:rFonts w:ascii="Arial" w:eastAsiaTheme="minorHAnsi" w:hAnsi="Arial" w:cs="Arial"/>
          <w:sz w:val="22"/>
          <w:szCs w:val="22"/>
          <w:lang w:val="fr-FR"/>
        </w:rPr>
        <w:t>BirdLife</w:t>
      </w:r>
      <w:proofErr w:type="spellEnd"/>
      <w:r w:rsidR="00B512BA" w:rsidRPr="00B512BA">
        <w:rPr>
          <w:rFonts w:ascii="Arial" w:eastAsiaTheme="minorHAnsi" w:hAnsi="Arial" w:cs="Arial"/>
          <w:sz w:val="22"/>
          <w:szCs w:val="22"/>
          <w:lang w:val="fr-FR"/>
        </w:rPr>
        <w:t xml:space="preserve"> International pour le </w:t>
      </w:r>
      <w:r w:rsidR="00B24564">
        <w:rPr>
          <w:rFonts w:ascii="Arial" w:eastAsiaTheme="minorHAnsi" w:hAnsi="Arial" w:cs="Arial"/>
          <w:sz w:val="22"/>
          <w:szCs w:val="22"/>
          <w:lang w:val="fr-FR"/>
        </w:rPr>
        <w:t xml:space="preserve">Plan d’action pour le </w:t>
      </w:r>
      <w:r w:rsidR="00B512BA" w:rsidRPr="00B512BA">
        <w:rPr>
          <w:rFonts w:ascii="Arial" w:eastAsiaTheme="minorHAnsi" w:hAnsi="Arial" w:cs="Arial"/>
          <w:sz w:val="22"/>
          <w:szCs w:val="22"/>
          <w:lang w:val="fr-FR"/>
        </w:rPr>
        <w:t xml:space="preserve">Pélican </w:t>
      </w:r>
      <w:r w:rsidR="00730C2E">
        <w:rPr>
          <w:rFonts w:ascii="Arial" w:eastAsiaTheme="minorHAnsi" w:hAnsi="Arial" w:cs="Arial"/>
          <w:sz w:val="22"/>
          <w:szCs w:val="22"/>
          <w:lang w:val="fr-FR"/>
        </w:rPr>
        <w:t>dalmate</w:t>
      </w:r>
      <w:r w:rsidR="00765E43">
        <w:rPr>
          <w:rFonts w:ascii="Arial" w:eastAsiaTheme="minorHAnsi" w:hAnsi="Arial" w:cs="Arial"/>
          <w:sz w:val="22"/>
          <w:szCs w:val="22"/>
          <w:lang w:val="fr-FR"/>
        </w:rPr>
        <w:t xml:space="preserve"> et </w:t>
      </w:r>
      <w:r w:rsidR="00E27BD1" w:rsidRPr="00E27BD1">
        <w:rPr>
          <w:rFonts w:ascii="Arial" w:eastAsiaTheme="minorHAnsi" w:hAnsi="Arial" w:cs="Arial"/>
          <w:sz w:val="22"/>
          <w:szCs w:val="22"/>
          <w:lang w:val="fr-FR"/>
        </w:rPr>
        <w:t>l'</w:t>
      </w:r>
      <w:proofErr w:type="spellStart"/>
      <w:r w:rsidR="00E27BD1" w:rsidRPr="00E27BD1">
        <w:rPr>
          <w:rFonts w:ascii="Arial" w:eastAsiaTheme="minorHAnsi" w:hAnsi="Arial" w:cs="Arial"/>
          <w:sz w:val="22"/>
          <w:szCs w:val="22"/>
          <w:lang w:val="fr-FR"/>
        </w:rPr>
        <w:t>Érismature</w:t>
      </w:r>
      <w:proofErr w:type="spellEnd"/>
      <w:r w:rsidR="00E27BD1" w:rsidRPr="00E27BD1">
        <w:rPr>
          <w:rFonts w:ascii="Arial" w:eastAsiaTheme="minorHAnsi" w:hAnsi="Arial" w:cs="Arial"/>
          <w:sz w:val="22"/>
          <w:szCs w:val="22"/>
          <w:lang w:val="fr-FR"/>
        </w:rPr>
        <w:t xml:space="preserve"> à tête blanche</w:t>
      </w:r>
      <w:r w:rsidR="00C75918">
        <w:rPr>
          <w:rFonts w:ascii="Arial" w:eastAsiaTheme="minorHAnsi" w:hAnsi="Arial" w:cs="Arial"/>
          <w:sz w:val="22"/>
          <w:szCs w:val="22"/>
          <w:lang w:val="fr-FR"/>
        </w:rPr>
        <w:t>,</w:t>
      </w:r>
    </w:p>
    <w:p w:rsidR="00FB441B" w:rsidRPr="00FB441B" w:rsidRDefault="00FB441B" w:rsidP="00FB441B">
      <w:pPr>
        <w:widowControl/>
        <w:autoSpaceDE/>
        <w:autoSpaceDN/>
        <w:adjustRightInd/>
        <w:jc w:val="both"/>
        <w:rPr>
          <w:rFonts w:ascii="Arial" w:eastAsiaTheme="minorHAnsi" w:hAnsi="Arial" w:cs="Arial"/>
          <w:i/>
          <w:sz w:val="22"/>
          <w:szCs w:val="22"/>
          <w:lang w:val="fr-FR"/>
        </w:rPr>
      </w:pPr>
    </w:p>
    <w:p w:rsidR="00FB441B" w:rsidRPr="00FB441B" w:rsidRDefault="00FB441B" w:rsidP="00FB441B">
      <w:pPr>
        <w:widowControl/>
        <w:autoSpaceDE/>
        <w:autoSpaceDN/>
        <w:adjustRightInd/>
        <w:jc w:val="both"/>
        <w:rPr>
          <w:rFonts w:ascii="Arial" w:eastAsiaTheme="minorHAnsi" w:hAnsi="Arial" w:cs="Arial"/>
          <w:sz w:val="22"/>
          <w:szCs w:val="22"/>
          <w:lang w:val="fr-FR"/>
        </w:rPr>
      </w:pPr>
      <w:r w:rsidRPr="00FB441B">
        <w:rPr>
          <w:rFonts w:ascii="Arial" w:eastAsiaTheme="minorHAnsi" w:hAnsi="Arial" w:cs="Arial"/>
          <w:i/>
          <w:sz w:val="22"/>
          <w:szCs w:val="22"/>
          <w:lang w:val="fr-FR"/>
        </w:rPr>
        <w:t xml:space="preserve">Reconnaissant </w:t>
      </w:r>
      <w:r w:rsidRPr="00FB441B">
        <w:rPr>
          <w:rFonts w:ascii="Arial" w:eastAsiaTheme="minorHAnsi" w:hAnsi="Arial" w:cs="Arial"/>
          <w:sz w:val="22"/>
          <w:szCs w:val="22"/>
          <w:lang w:val="fr-FR"/>
        </w:rPr>
        <w:t xml:space="preserve">les contributions financières apportées par l’Australie au Plan d’action pour le courlis de Sibérie ; par </w:t>
      </w:r>
      <w:proofErr w:type="spellStart"/>
      <w:r w:rsidRPr="00FB441B">
        <w:rPr>
          <w:rFonts w:ascii="Arial" w:eastAsiaTheme="minorHAnsi" w:hAnsi="Arial" w:cs="Arial"/>
          <w:sz w:val="22"/>
          <w:szCs w:val="22"/>
          <w:lang w:val="fr-FR"/>
        </w:rPr>
        <w:t>BirdLife</w:t>
      </w:r>
      <w:proofErr w:type="spellEnd"/>
      <w:r w:rsidRPr="00FB441B">
        <w:rPr>
          <w:rFonts w:ascii="Arial" w:eastAsiaTheme="minorHAnsi" w:hAnsi="Arial" w:cs="Arial"/>
          <w:sz w:val="22"/>
          <w:szCs w:val="22"/>
          <w:lang w:val="fr-FR"/>
        </w:rPr>
        <w:t xml:space="preserve"> International au Plan d’action pour le bruant auréole ; par l’Union européenne aux plans d’action pour la tourterelle des bois et le rollier d’Europe</w:t>
      </w:r>
      <w:r w:rsidR="00DB4635">
        <w:rPr>
          <w:rFonts w:ascii="Arial" w:eastAsiaTheme="minorHAnsi" w:hAnsi="Arial" w:cs="Arial"/>
          <w:sz w:val="22"/>
          <w:szCs w:val="22"/>
          <w:lang w:val="fr-FR"/>
        </w:rPr>
        <w:t xml:space="preserve"> ; </w:t>
      </w:r>
      <w:r w:rsidR="00CE287A">
        <w:rPr>
          <w:rFonts w:ascii="Arial" w:eastAsiaTheme="minorHAnsi" w:hAnsi="Arial" w:cs="Arial"/>
          <w:sz w:val="22"/>
          <w:szCs w:val="22"/>
          <w:lang w:val="fr-FR"/>
        </w:rPr>
        <w:t>et</w:t>
      </w:r>
      <w:r w:rsidR="00DB4635">
        <w:rPr>
          <w:rFonts w:ascii="Arial" w:eastAsiaTheme="minorHAnsi" w:hAnsi="Arial" w:cs="Arial"/>
          <w:sz w:val="22"/>
          <w:szCs w:val="22"/>
          <w:lang w:val="fr-FR"/>
        </w:rPr>
        <w:t xml:space="preserve"> </w:t>
      </w:r>
      <w:r w:rsidR="00DB4635" w:rsidRPr="00AF636A">
        <w:rPr>
          <w:lang w:val="fr-FR"/>
        </w:rPr>
        <w:t xml:space="preserve"> </w:t>
      </w:r>
      <w:r w:rsidR="00DB4635" w:rsidRPr="00DB4635">
        <w:rPr>
          <w:rFonts w:ascii="Arial" w:eastAsiaTheme="minorHAnsi" w:hAnsi="Arial" w:cs="Arial"/>
          <w:sz w:val="22"/>
          <w:szCs w:val="22"/>
          <w:lang w:val="fr-FR"/>
        </w:rPr>
        <w:t xml:space="preserve">par l'Union européenne et l'AEWA grâce à une subvention de l'Italie pour le </w:t>
      </w:r>
      <w:r w:rsidR="00B24564">
        <w:rPr>
          <w:rFonts w:ascii="Arial" w:eastAsiaTheme="minorHAnsi" w:hAnsi="Arial" w:cs="Arial"/>
          <w:sz w:val="22"/>
          <w:szCs w:val="22"/>
          <w:lang w:val="fr-FR"/>
        </w:rPr>
        <w:t>Plan d’action pour le P</w:t>
      </w:r>
      <w:r w:rsidR="00DB4635" w:rsidRPr="00DB4635">
        <w:rPr>
          <w:rFonts w:ascii="Arial" w:eastAsiaTheme="minorHAnsi" w:hAnsi="Arial" w:cs="Arial"/>
          <w:sz w:val="22"/>
          <w:szCs w:val="22"/>
          <w:lang w:val="fr-FR"/>
        </w:rPr>
        <w:t>élican dalmate et l'</w:t>
      </w:r>
      <w:proofErr w:type="spellStart"/>
      <w:r w:rsidR="00DB4635" w:rsidRPr="00DB4635">
        <w:rPr>
          <w:rFonts w:ascii="Arial" w:eastAsiaTheme="minorHAnsi" w:hAnsi="Arial" w:cs="Arial"/>
          <w:sz w:val="22"/>
          <w:szCs w:val="22"/>
          <w:lang w:val="fr-FR"/>
        </w:rPr>
        <w:t>Érismature</w:t>
      </w:r>
      <w:proofErr w:type="spellEnd"/>
      <w:r w:rsidR="00DB4635" w:rsidRPr="00DB4635">
        <w:rPr>
          <w:rFonts w:ascii="Arial" w:eastAsiaTheme="minorHAnsi" w:hAnsi="Arial" w:cs="Arial"/>
          <w:sz w:val="22"/>
          <w:szCs w:val="22"/>
          <w:lang w:val="fr-FR"/>
        </w:rPr>
        <w:t xml:space="preserve"> à tête blanche.</w:t>
      </w:r>
    </w:p>
    <w:p w:rsidR="00FB441B" w:rsidRDefault="00FB441B" w:rsidP="00FB441B">
      <w:pPr>
        <w:widowControl/>
        <w:autoSpaceDE/>
        <w:autoSpaceDN/>
        <w:adjustRightInd/>
        <w:jc w:val="both"/>
        <w:rPr>
          <w:rFonts w:ascii="Arial" w:eastAsiaTheme="minorHAnsi" w:hAnsi="Arial" w:cs="Arial"/>
          <w:i/>
          <w:sz w:val="22"/>
          <w:szCs w:val="22"/>
          <w:lang w:val="fr-FR"/>
        </w:rPr>
      </w:pPr>
    </w:p>
    <w:p w:rsidR="009D2C06" w:rsidRDefault="009D2C06" w:rsidP="00FB441B">
      <w:pPr>
        <w:widowControl/>
        <w:autoSpaceDE/>
        <w:autoSpaceDN/>
        <w:adjustRightInd/>
        <w:jc w:val="both"/>
        <w:rPr>
          <w:rFonts w:ascii="Arial" w:eastAsiaTheme="minorHAnsi" w:hAnsi="Arial" w:cs="Arial"/>
          <w:i/>
          <w:sz w:val="22"/>
          <w:szCs w:val="22"/>
          <w:lang w:val="fr-FR"/>
        </w:rPr>
      </w:pPr>
    </w:p>
    <w:p w:rsidR="009D2C06" w:rsidRPr="00FB441B" w:rsidRDefault="009D2C06" w:rsidP="00FB441B">
      <w:pPr>
        <w:widowControl/>
        <w:autoSpaceDE/>
        <w:autoSpaceDN/>
        <w:adjustRightInd/>
        <w:jc w:val="both"/>
        <w:rPr>
          <w:rFonts w:ascii="Arial" w:eastAsiaTheme="minorHAnsi" w:hAnsi="Arial" w:cs="Arial"/>
          <w:i/>
          <w:sz w:val="22"/>
          <w:szCs w:val="22"/>
          <w:lang w:val="fr-FR"/>
        </w:rPr>
      </w:pPr>
    </w:p>
    <w:p w:rsidR="00FB441B" w:rsidRPr="00FB441B" w:rsidRDefault="00FB441B" w:rsidP="00FB441B">
      <w:pPr>
        <w:widowControl/>
        <w:autoSpaceDE/>
        <w:autoSpaceDN/>
        <w:adjustRightInd/>
        <w:jc w:val="both"/>
        <w:rPr>
          <w:rFonts w:ascii="Arial" w:eastAsiaTheme="minorHAnsi" w:hAnsi="Arial" w:cs="Arial"/>
          <w:i/>
          <w:sz w:val="22"/>
          <w:szCs w:val="22"/>
          <w:lang w:val="fr-FR"/>
        </w:rPr>
      </w:pPr>
    </w:p>
    <w:p w:rsidR="00FB441B" w:rsidRPr="00FB441B" w:rsidRDefault="00FB441B" w:rsidP="00FB441B">
      <w:pPr>
        <w:widowControl/>
        <w:autoSpaceDE/>
        <w:autoSpaceDN/>
        <w:adjustRightInd/>
        <w:jc w:val="center"/>
        <w:rPr>
          <w:rFonts w:ascii="Arial" w:eastAsiaTheme="minorHAnsi" w:hAnsi="Arial" w:cs="Arial"/>
          <w:i/>
          <w:sz w:val="22"/>
          <w:szCs w:val="22"/>
          <w:lang w:val="fr-FR"/>
        </w:rPr>
      </w:pPr>
      <w:r w:rsidRPr="00FB441B">
        <w:rPr>
          <w:rFonts w:ascii="Arial" w:eastAsiaTheme="minorHAnsi" w:hAnsi="Arial" w:cs="Arial"/>
          <w:i/>
          <w:sz w:val="22"/>
          <w:szCs w:val="22"/>
          <w:lang w:val="fr-FR"/>
        </w:rPr>
        <w:lastRenderedPageBreak/>
        <w:t xml:space="preserve">La Conférence des Parties à la </w:t>
      </w:r>
    </w:p>
    <w:p w:rsidR="00FB441B" w:rsidRDefault="00FB441B" w:rsidP="00FB441B">
      <w:pPr>
        <w:widowControl/>
        <w:autoSpaceDE/>
        <w:autoSpaceDN/>
        <w:adjustRightInd/>
        <w:jc w:val="center"/>
        <w:rPr>
          <w:rFonts w:ascii="Arial" w:eastAsiaTheme="minorHAnsi" w:hAnsi="Arial" w:cs="Arial"/>
          <w:i/>
          <w:sz w:val="22"/>
          <w:szCs w:val="22"/>
          <w:lang w:val="fr-FR"/>
        </w:rPr>
      </w:pPr>
      <w:r w:rsidRPr="00FB441B">
        <w:rPr>
          <w:rFonts w:ascii="Arial" w:eastAsiaTheme="minorHAnsi" w:hAnsi="Arial" w:cs="Arial"/>
          <w:i/>
          <w:sz w:val="22"/>
          <w:szCs w:val="22"/>
          <w:lang w:val="fr-FR"/>
        </w:rPr>
        <w:t>Convention sur la Conservation des Espèces Migratrices de la Faune Sauvage</w:t>
      </w:r>
    </w:p>
    <w:p w:rsidR="009D2C06" w:rsidRPr="00FB441B" w:rsidRDefault="009D2C06" w:rsidP="00FB441B">
      <w:pPr>
        <w:widowControl/>
        <w:autoSpaceDE/>
        <w:autoSpaceDN/>
        <w:adjustRightInd/>
        <w:jc w:val="center"/>
        <w:rPr>
          <w:rFonts w:ascii="Arial" w:eastAsiaTheme="minorHAnsi" w:hAnsi="Arial" w:cs="Arial"/>
          <w:i/>
          <w:sz w:val="22"/>
          <w:szCs w:val="22"/>
          <w:lang w:val="fr-FR"/>
        </w:rPr>
      </w:pPr>
    </w:p>
    <w:p w:rsidR="00FB441B" w:rsidRPr="00FB441B" w:rsidRDefault="00FB441B" w:rsidP="00FB441B">
      <w:pPr>
        <w:widowControl/>
        <w:autoSpaceDE/>
        <w:autoSpaceDN/>
        <w:adjustRightInd/>
        <w:jc w:val="both"/>
        <w:rPr>
          <w:rFonts w:ascii="Arial" w:eastAsiaTheme="minorHAnsi" w:hAnsi="Arial" w:cs="Arial"/>
          <w:i/>
          <w:sz w:val="22"/>
          <w:szCs w:val="22"/>
          <w:lang w:val="fr-FR"/>
        </w:rPr>
      </w:pPr>
    </w:p>
    <w:p w:rsidR="00FB441B" w:rsidRPr="00FB441B" w:rsidRDefault="00FB441B" w:rsidP="00FB441B">
      <w:pPr>
        <w:widowControl/>
        <w:numPr>
          <w:ilvl w:val="0"/>
          <w:numId w:val="2"/>
        </w:numPr>
        <w:autoSpaceDE/>
        <w:autoSpaceDN/>
        <w:adjustRightInd/>
        <w:ind w:left="360"/>
        <w:contextualSpacing/>
        <w:jc w:val="both"/>
        <w:rPr>
          <w:rFonts w:ascii="Arial" w:eastAsiaTheme="minorHAnsi" w:hAnsi="Arial" w:cs="Arial"/>
          <w:sz w:val="22"/>
          <w:szCs w:val="22"/>
          <w:lang w:val="fr-FR"/>
        </w:rPr>
      </w:pPr>
      <w:r w:rsidRPr="00FB441B">
        <w:rPr>
          <w:rFonts w:ascii="Arial" w:eastAsiaTheme="minorHAnsi" w:hAnsi="Arial" w:cs="Arial"/>
          <w:i/>
          <w:sz w:val="22"/>
          <w:szCs w:val="22"/>
          <w:lang w:val="fr-FR"/>
        </w:rPr>
        <w:t xml:space="preserve">Adopte </w:t>
      </w:r>
      <w:r w:rsidRPr="00FB441B">
        <w:rPr>
          <w:rFonts w:ascii="Arial" w:eastAsiaTheme="minorHAnsi" w:hAnsi="Arial" w:cs="Arial"/>
          <w:sz w:val="22"/>
          <w:szCs w:val="22"/>
          <w:lang w:val="fr-FR"/>
        </w:rPr>
        <w:t>les plans d’action suivants tels que soumis à la COP12 dans les documents :</w:t>
      </w:r>
    </w:p>
    <w:p w:rsidR="00FB441B" w:rsidRPr="00FB441B" w:rsidRDefault="00FB441B" w:rsidP="00FB441B">
      <w:pPr>
        <w:widowControl/>
        <w:autoSpaceDE/>
        <w:autoSpaceDN/>
        <w:adjustRightInd/>
        <w:contextualSpacing/>
        <w:jc w:val="both"/>
        <w:rPr>
          <w:rFonts w:ascii="Arial" w:eastAsiaTheme="minorHAnsi" w:hAnsi="Arial" w:cs="Arial"/>
          <w:sz w:val="22"/>
          <w:szCs w:val="22"/>
          <w:lang w:val="fr-FR"/>
        </w:rPr>
      </w:pPr>
    </w:p>
    <w:p w:rsidR="00FB441B" w:rsidRPr="00FB441B" w:rsidRDefault="00FB441B" w:rsidP="00FB441B">
      <w:pPr>
        <w:widowControl/>
        <w:autoSpaceDE/>
        <w:autoSpaceDN/>
        <w:adjustRightInd/>
        <w:ind w:firstLine="360"/>
        <w:jc w:val="both"/>
        <w:rPr>
          <w:rFonts w:ascii="Arial" w:eastAsiaTheme="minorHAnsi" w:hAnsi="Arial" w:cs="Arial"/>
          <w:sz w:val="22"/>
          <w:szCs w:val="22"/>
          <w:lang w:val="fr-FR"/>
        </w:rPr>
      </w:pPr>
      <w:r w:rsidRPr="00FB441B">
        <w:rPr>
          <w:rFonts w:ascii="Arial" w:eastAsiaTheme="minorHAnsi" w:hAnsi="Arial" w:cs="Arial"/>
          <w:sz w:val="22"/>
          <w:szCs w:val="22"/>
          <w:lang w:val="fr-FR"/>
        </w:rPr>
        <w:t>UNEP/CMS/COP12/Doc.24.1.7.- Plan d’action pour le courlis de Sibérie ;</w:t>
      </w:r>
    </w:p>
    <w:p w:rsidR="00FB441B" w:rsidRPr="00FB441B" w:rsidRDefault="00FB441B" w:rsidP="00FB441B">
      <w:pPr>
        <w:widowControl/>
        <w:autoSpaceDE/>
        <w:autoSpaceDN/>
        <w:adjustRightInd/>
        <w:ind w:firstLine="360"/>
        <w:jc w:val="both"/>
        <w:rPr>
          <w:rFonts w:ascii="Arial" w:eastAsiaTheme="minorHAnsi" w:hAnsi="Arial" w:cs="Arial"/>
          <w:sz w:val="22"/>
          <w:szCs w:val="22"/>
          <w:lang w:val="fr-FR"/>
        </w:rPr>
      </w:pPr>
      <w:r w:rsidRPr="00FB441B">
        <w:rPr>
          <w:rFonts w:ascii="Arial" w:eastAsiaTheme="minorHAnsi" w:hAnsi="Arial" w:cs="Arial"/>
          <w:sz w:val="22"/>
          <w:szCs w:val="22"/>
          <w:lang w:val="fr-FR"/>
        </w:rPr>
        <w:t>UNEP/CMS/COP12/Doc.24.1.8.- Plan d’action pour le fuligule de Baer ;</w:t>
      </w:r>
    </w:p>
    <w:p w:rsidR="00FB441B" w:rsidRPr="00FB441B" w:rsidRDefault="00FB441B" w:rsidP="00FB441B">
      <w:pPr>
        <w:widowControl/>
        <w:autoSpaceDE/>
        <w:autoSpaceDN/>
        <w:adjustRightInd/>
        <w:ind w:firstLine="360"/>
        <w:jc w:val="both"/>
        <w:rPr>
          <w:rFonts w:ascii="Arial" w:eastAsiaTheme="minorHAnsi" w:hAnsi="Arial" w:cs="Arial"/>
          <w:sz w:val="22"/>
          <w:szCs w:val="22"/>
          <w:lang w:val="fr-FR"/>
        </w:rPr>
      </w:pPr>
      <w:r w:rsidRPr="00FB441B">
        <w:rPr>
          <w:rFonts w:ascii="Arial" w:eastAsiaTheme="minorHAnsi" w:hAnsi="Arial" w:cs="Arial"/>
          <w:sz w:val="22"/>
          <w:szCs w:val="22"/>
          <w:lang w:val="fr-FR"/>
        </w:rPr>
        <w:t>UNEP/CMS/COP12/Doc.24.1.9.- Plan d’action pour le rollier d’Europe.</w:t>
      </w:r>
    </w:p>
    <w:p w:rsidR="00FB441B" w:rsidRPr="00FB441B" w:rsidRDefault="00FB441B" w:rsidP="00FB441B">
      <w:pPr>
        <w:widowControl/>
        <w:autoSpaceDE/>
        <w:autoSpaceDN/>
        <w:adjustRightInd/>
        <w:ind w:firstLine="360"/>
        <w:jc w:val="both"/>
        <w:rPr>
          <w:rFonts w:ascii="Arial" w:eastAsiaTheme="minorHAnsi" w:hAnsi="Arial" w:cs="Arial"/>
          <w:sz w:val="22"/>
          <w:szCs w:val="22"/>
          <w:lang w:val="fr-FR"/>
        </w:rPr>
      </w:pPr>
    </w:p>
    <w:p w:rsidR="00FB441B" w:rsidRPr="00FB441B" w:rsidRDefault="00FB441B" w:rsidP="00FB441B">
      <w:pPr>
        <w:widowControl/>
        <w:numPr>
          <w:ilvl w:val="0"/>
          <w:numId w:val="2"/>
        </w:numPr>
        <w:autoSpaceDE/>
        <w:autoSpaceDN/>
        <w:adjustRightInd/>
        <w:ind w:left="360"/>
        <w:contextualSpacing/>
        <w:jc w:val="both"/>
        <w:rPr>
          <w:rFonts w:ascii="Arial" w:eastAsiaTheme="minorHAnsi" w:hAnsi="Arial" w:cs="Arial"/>
          <w:sz w:val="22"/>
          <w:szCs w:val="22"/>
          <w:lang w:val="fr-FR"/>
        </w:rPr>
      </w:pPr>
      <w:r w:rsidRPr="00FB441B">
        <w:rPr>
          <w:rFonts w:ascii="Arial" w:eastAsiaTheme="minorHAnsi" w:hAnsi="Arial" w:cs="Arial"/>
          <w:i/>
          <w:sz w:val="22"/>
          <w:szCs w:val="22"/>
          <w:lang w:val="fr-FR"/>
        </w:rPr>
        <w:t xml:space="preserve">Incite </w:t>
      </w:r>
      <w:r w:rsidRPr="00FB441B">
        <w:rPr>
          <w:rFonts w:ascii="Arial" w:eastAsiaTheme="minorHAnsi" w:hAnsi="Arial" w:cs="Arial"/>
          <w:sz w:val="22"/>
          <w:szCs w:val="22"/>
          <w:lang w:val="fr-FR"/>
        </w:rPr>
        <w:t xml:space="preserve">les Parties et </w:t>
      </w:r>
      <w:r w:rsidRPr="00FB441B">
        <w:rPr>
          <w:rFonts w:ascii="Arial" w:eastAsiaTheme="minorHAnsi" w:hAnsi="Arial" w:cs="Arial"/>
          <w:i/>
          <w:sz w:val="22"/>
          <w:szCs w:val="22"/>
          <w:lang w:val="fr-FR"/>
        </w:rPr>
        <w:t>invite</w:t>
      </w:r>
      <w:r w:rsidRPr="00FB441B">
        <w:rPr>
          <w:rFonts w:ascii="Arial" w:eastAsiaTheme="minorHAnsi" w:hAnsi="Arial" w:cs="Arial"/>
          <w:sz w:val="22"/>
          <w:szCs w:val="22"/>
          <w:lang w:val="fr-FR"/>
        </w:rPr>
        <w:t xml:space="preserve"> les États de l’aire de répartition non-Parties à mettre en œuvre les dispositions pertinentes des plans d’action ;</w:t>
      </w:r>
    </w:p>
    <w:p w:rsidR="00FB441B" w:rsidRPr="00FB441B" w:rsidRDefault="00FB441B" w:rsidP="00FB441B">
      <w:pPr>
        <w:jc w:val="both"/>
        <w:rPr>
          <w:rFonts w:ascii="Arial" w:eastAsiaTheme="minorHAnsi" w:hAnsi="Arial" w:cs="Arial"/>
          <w:sz w:val="22"/>
          <w:szCs w:val="22"/>
          <w:lang w:val="fr-FR"/>
        </w:rPr>
      </w:pPr>
    </w:p>
    <w:p w:rsidR="00FB441B" w:rsidRPr="00FB441B" w:rsidRDefault="00FB441B" w:rsidP="00FB441B">
      <w:pPr>
        <w:widowControl/>
        <w:numPr>
          <w:ilvl w:val="0"/>
          <w:numId w:val="2"/>
        </w:numPr>
        <w:autoSpaceDE/>
        <w:autoSpaceDN/>
        <w:adjustRightInd/>
        <w:ind w:left="360"/>
        <w:contextualSpacing/>
        <w:jc w:val="both"/>
        <w:rPr>
          <w:rFonts w:ascii="Arial" w:eastAsiaTheme="minorHAnsi" w:hAnsi="Arial" w:cs="Arial"/>
          <w:sz w:val="22"/>
          <w:szCs w:val="22"/>
          <w:lang w:val="fr-FR"/>
        </w:rPr>
      </w:pPr>
      <w:r w:rsidRPr="00FB441B">
        <w:rPr>
          <w:rFonts w:ascii="Arial" w:eastAsiaTheme="minorHAnsi" w:hAnsi="Arial" w:cs="Arial"/>
          <w:i/>
          <w:sz w:val="22"/>
          <w:szCs w:val="22"/>
          <w:lang w:val="fr-FR"/>
        </w:rPr>
        <w:t>Encourage</w:t>
      </w:r>
      <w:r w:rsidRPr="00FB441B">
        <w:rPr>
          <w:rFonts w:ascii="Arial" w:eastAsiaTheme="minorHAnsi" w:hAnsi="Arial" w:cs="Arial"/>
          <w:sz w:val="22"/>
          <w:szCs w:val="22"/>
          <w:lang w:val="fr-FR"/>
        </w:rPr>
        <w:t xml:space="preserve"> les autres Parties à apporter un soutien technique et/ou financier aux activités mises en avant dans les plans d’action ;</w:t>
      </w:r>
    </w:p>
    <w:p w:rsidR="00FB441B" w:rsidRPr="00FB441B" w:rsidRDefault="00FB441B" w:rsidP="00FB441B">
      <w:pPr>
        <w:widowControl/>
        <w:autoSpaceDE/>
        <w:autoSpaceDN/>
        <w:adjustRightInd/>
        <w:ind w:left="360"/>
        <w:contextualSpacing/>
        <w:jc w:val="both"/>
        <w:rPr>
          <w:rFonts w:ascii="Arial" w:eastAsiaTheme="minorHAnsi" w:hAnsi="Arial" w:cs="Arial"/>
          <w:sz w:val="22"/>
          <w:szCs w:val="22"/>
          <w:lang w:val="fr-FR"/>
        </w:rPr>
      </w:pPr>
    </w:p>
    <w:p w:rsidR="00FB441B" w:rsidRPr="00FB441B" w:rsidRDefault="00FB441B" w:rsidP="00FB441B">
      <w:pPr>
        <w:widowControl/>
        <w:numPr>
          <w:ilvl w:val="0"/>
          <w:numId w:val="3"/>
        </w:numPr>
        <w:autoSpaceDE/>
        <w:autoSpaceDN/>
        <w:adjustRightInd/>
        <w:ind w:left="360"/>
        <w:contextualSpacing/>
        <w:jc w:val="both"/>
        <w:rPr>
          <w:rFonts w:ascii="Arial" w:eastAsiaTheme="minorHAnsi" w:hAnsi="Arial" w:cs="Arial"/>
          <w:sz w:val="22"/>
          <w:szCs w:val="22"/>
          <w:lang w:val="fr-FR"/>
        </w:rPr>
      </w:pPr>
      <w:r w:rsidRPr="00FB441B">
        <w:rPr>
          <w:rFonts w:ascii="Arial" w:eastAsiaTheme="minorHAnsi" w:hAnsi="Arial" w:cs="Arial"/>
          <w:i/>
          <w:sz w:val="22"/>
          <w:szCs w:val="22"/>
          <w:lang w:val="fr-FR"/>
        </w:rPr>
        <w:t>Demande</w:t>
      </w:r>
      <w:r w:rsidRPr="00FB441B">
        <w:rPr>
          <w:rFonts w:ascii="Arial" w:eastAsiaTheme="minorHAnsi" w:hAnsi="Arial" w:cs="Arial"/>
          <w:sz w:val="22"/>
          <w:szCs w:val="22"/>
          <w:lang w:val="fr-FR"/>
        </w:rPr>
        <w:t xml:space="preserve"> aux Parties de rendre compte des progrès dans la mise en œuvre des plans d’action lors de chaque COP via leur rapport national.</w:t>
      </w:r>
    </w:p>
    <w:p w:rsidR="00B24564" w:rsidRDefault="00B24564" w:rsidP="00FB441B">
      <w:pPr>
        <w:jc w:val="center"/>
        <w:rPr>
          <w:rFonts w:ascii="Arial" w:hAnsi="Arial" w:cs="Arial"/>
          <w:sz w:val="22"/>
          <w:szCs w:val="22"/>
          <w:lang w:val="fr-FR"/>
        </w:rPr>
      </w:pPr>
    </w:p>
    <w:p w:rsidR="00B24564" w:rsidRDefault="00B24564" w:rsidP="00FB441B">
      <w:pPr>
        <w:jc w:val="center"/>
        <w:rPr>
          <w:rFonts w:ascii="Arial" w:hAnsi="Arial" w:cs="Arial"/>
          <w:sz w:val="22"/>
          <w:szCs w:val="22"/>
          <w:lang w:val="fr-FR"/>
        </w:rPr>
      </w:pPr>
    </w:p>
    <w:p w:rsidR="00B24564" w:rsidRDefault="00B24564" w:rsidP="00FB441B">
      <w:pPr>
        <w:jc w:val="center"/>
        <w:rPr>
          <w:rFonts w:ascii="Arial" w:hAnsi="Arial" w:cs="Arial"/>
          <w:sz w:val="22"/>
          <w:szCs w:val="22"/>
          <w:lang w:val="fr-FR"/>
        </w:rPr>
      </w:pPr>
    </w:p>
    <w:p w:rsidR="00FB441B" w:rsidRPr="00FB441B" w:rsidRDefault="00FB441B" w:rsidP="00FB441B">
      <w:pPr>
        <w:jc w:val="center"/>
        <w:rPr>
          <w:rFonts w:ascii="Arial" w:hAnsi="Arial" w:cs="Arial"/>
          <w:sz w:val="22"/>
          <w:szCs w:val="22"/>
          <w:lang w:val="fr-FR"/>
        </w:rPr>
      </w:pPr>
      <w:r w:rsidRPr="00FB441B">
        <w:rPr>
          <w:rFonts w:ascii="Arial" w:hAnsi="Arial" w:cs="Arial"/>
          <w:sz w:val="22"/>
          <w:szCs w:val="22"/>
          <w:lang w:val="fr-FR"/>
        </w:rPr>
        <w:t>PROJETS DE DÉCISIONS</w:t>
      </w:r>
    </w:p>
    <w:p w:rsidR="00FB441B" w:rsidRPr="00FB441B" w:rsidRDefault="00FB441B" w:rsidP="00FB441B">
      <w:pPr>
        <w:widowControl/>
        <w:autoSpaceDE/>
        <w:autoSpaceDN/>
        <w:adjustRightInd/>
        <w:jc w:val="both"/>
        <w:rPr>
          <w:rFonts w:ascii="Arial" w:eastAsiaTheme="minorHAnsi" w:hAnsi="Arial" w:cs="Arial"/>
          <w:b/>
          <w:sz w:val="22"/>
          <w:szCs w:val="22"/>
          <w:lang w:val="fr-FR"/>
        </w:rPr>
      </w:pPr>
    </w:p>
    <w:p w:rsidR="00FB441B" w:rsidRPr="00FB441B" w:rsidRDefault="00FB441B" w:rsidP="00FB441B">
      <w:pPr>
        <w:widowControl/>
        <w:autoSpaceDE/>
        <w:autoSpaceDN/>
        <w:adjustRightInd/>
        <w:jc w:val="both"/>
        <w:rPr>
          <w:rFonts w:ascii="Arial" w:eastAsiaTheme="minorHAnsi" w:hAnsi="Arial" w:cs="Arial"/>
          <w:b/>
          <w:i/>
          <w:sz w:val="22"/>
          <w:szCs w:val="22"/>
          <w:lang w:val="fr-FR"/>
        </w:rPr>
      </w:pPr>
      <w:r w:rsidRPr="00FB441B">
        <w:rPr>
          <w:rFonts w:ascii="Arial" w:eastAsiaTheme="minorHAnsi" w:hAnsi="Arial" w:cs="Arial"/>
          <w:b/>
          <w:i/>
          <w:sz w:val="22"/>
          <w:szCs w:val="22"/>
          <w:lang w:val="fr-FR"/>
        </w:rPr>
        <w:t>À l’adresse du Secrétariat</w:t>
      </w:r>
    </w:p>
    <w:p w:rsidR="00FB441B" w:rsidRPr="00FB441B" w:rsidRDefault="00FB441B" w:rsidP="00FB441B">
      <w:pPr>
        <w:widowControl/>
        <w:autoSpaceDE/>
        <w:autoSpaceDN/>
        <w:adjustRightInd/>
        <w:jc w:val="both"/>
        <w:rPr>
          <w:rFonts w:ascii="Arial" w:eastAsiaTheme="minorHAnsi" w:hAnsi="Arial" w:cs="Arial"/>
          <w:i/>
          <w:sz w:val="22"/>
          <w:szCs w:val="22"/>
          <w:lang w:val="fr-FR"/>
        </w:rPr>
      </w:pPr>
    </w:p>
    <w:p w:rsidR="00FB441B" w:rsidRPr="00FB441B" w:rsidRDefault="00FB441B" w:rsidP="00FB441B">
      <w:pPr>
        <w:widowControl/>
        <w:autoSpaceDE/>
        <w:autoSpaceDN/>
        <w:adjustRightInd/>
        <w:jc w:val="both"/>
        <w:rPr>
          <w:rFonts w:ascii="Arial" w:eastAsiaTheme="minorHAnsi" w:hAnsi="Arial" w:cs="Arial"/>
          <w:sz w:val="22"/>
          <w:szCs w:val="22"/>
          <w:lang w:val="fr-FR"/>
        </w:rPr>
      </w:pPr>
      <w:r w:rsidRPr="00FB441B">
        <w:rPr>
          <w:rFonts w:ascii="Arial" w:eastAsiaTheme="minorHAnsi" w:hAnsi="Arial" w:cs="Arial"/>
          <w:sz w:val="22"/>
          <w:szCs w:val="22"/>
          <w:lang w:val="fr-FR"/>
        </w:rPr>
        <w:t>12.AA. Le Secrétariat doit :</w:t>
      </w:r>
    </w:p>
    <w:p w:rsidR="00FB441B" w:rsidRPr="00FB441B" w:rsidRDefault="00FB441B" w:rsidP="00FB441B">
      <w:pPr>
        <w:widowControl/>
        <w:autoSpaceDE/>
        <w:autoSpaceDN/>
        <w:adjustRightInd/>
        <w:jc w:val="both"/>
        <w:rPr>
          <w:rFonts w:ascii="Arial" w:eastAsiaTheme="minorHAnsi" w:hAnsi="Arial" w:cs="Arial"/>
          <w:sz w:val="22"/>
          <w:szCs w:val="22"/>
          <w:lang w:val="fr-FR"/>
        </w:rPr>
      </w:pPr>
    </w:p>
    <w:p w:rsidR="00FB441B" w:rsidRPr="00FB441B" w:rsidRDefault="00FB441B" w:rsidP="00C37ADB">
      <w:pPr>
        <w:widowControl/>
        <w:numPr>
          <w:ilvl w:val="0"/>
          <w:numId w:val="4"/>
        </w:numPr>
        <w:autoSpaceDE/>
        <w:autoSpaceDN/>
        <w:adjustRightInd/>
        <w:contextualSpacing/>
        <w:jc w:val="both"/>
        <w:rPr>
          <w:rFonts w:ascii="Arial" w:eastAsiaTheme="minorHAnsi" w:hAnsi="Arial" w:cs="Arial"/>
          <w:sz w:val="22"/>
          <w:szCs w:val="22"/>
          <w:lang w:val="fr-FR"/>
        </w:rPr>
      </w:pPr>
      <w:r w:rsidRPr="00FB441B">
        <w:rPr>
          <w:rFonts w:ascii="Arial" w:eastAsiaTheme="minorHAnsi" w:hAnsi="Arial" w:cs="Arial"/>
          <w:sz w:val="22"/>
          <w:szCs w:val="22"/>
          <w:lang w:val="fr-FR"/>
        </w:rPr>
        <w:t>porter les plans d’action à l’attention de tous les États de l’aire de répartition et organisations intergouvernementales</w:t>
      </w:r>
      <w:r w:rsidR="004F2532">
        <w:rPr>
          <w:rFonts w:ascii="Arial" w:eastAsiaTheme="minorHAnsi" w:hAnsi="Arial" w:cs="Arial"/>
          <w:sz w:val="22"/>
          <w:szCs w:val="22"/>
          <w:lang w:val="fr-FR"/>
        </w:rPr>
        <w:t>,</w:t>
      </w:r>
      <w:r w:rsidRPr="00FB441B">
        <w:rPr>
          <w:rFonts w:ascii="Arial" w:eastAsiaTheme="minorHAnsi" w:hAnsi="Arial" w:cs="Arial"/>
          <w:sz w:val="22"/>
          <w:szCs w:val="22"/>
          <w:lang w:val="fr-FR"/>
        </w:rPr>
        <w:t xml:space="preserve"> </w:t>
      </w:r>
      <w:r w:rsidR="00C37ADB" w:rsidRPr="00C37ADB">
        <w:rPr>
          <w:rFonts w:ascii="Arial" w:eastAsiaTheme="minorHAnsi" w:hAnsi="Arial" w:cs="Arial"/>
          <w:sz w:val="22"/>
          <w:szCs w:val="22"/>
          <w:lang w:val="fr-FR"/>
        </w:rPr>
        <w:t xml:space="preserve">inviter les États de l'aire de répartition qui ne sont pas encore parties à la CMS à devenir une partie à la CMS ou au moins un partisan du plan d'action respectif </w:t>
      </w:r>
      <w:r w:rsidRPr="00FB441B">
        <w:rPr>
          <w:rFonts w:ascii="Arial" w:eastAsiaTheme="minorHAnsi" w:hAnsi="Arial" w:cs="Arial"/>
          <w:sz w:val="22"/>
          <w:szCs w:val="22"/>
          <w:lang w:val="fr-FR"/>
        </w:rPr>
        <w:t>pertinentes</w:t>
      </w:r>
      <w:r w:rsidR="004F2532">
        <w:rPr>
          <w:rFonts w:ascii="Arial" w:eastAsiaTheme="minorHAnsi" w:hAnsi="Arial" w:cs="Arial"/>
          <w:sz w:val="22"/>
          <w:szCs w:val="22"/>
          <w:lang w:val="fr-FR"/>
        </w:rPr>
        <w:t>,</w:t>
      </w:r>
      <w:r w:rsidRPr="00FB441B">
        <w:rPr>
          <w:rFonts w:ascii="Arial" w:eastAsiaTheme="minorHAnsi" w:hAnsi="Arial" w:cs="Arial"/>
          <w:sz w:val="22"/>
          <w:szCs w:val="22"/>
          <w:lang w:val="fr-FR"/>
        </w:rPr>
        <w:t xml:space="preserve"> et suivre leur mise en œuvre au cours de la période intersessions jusqu’à la COP13 ; </w:t>
      </w:r>
    </w:p>
    <w:p w:rsidR="00FB441B" w:rsidRPr="00FB441B" w:rsidRDefault="00FB441B" w:rsidP="00FB441B">
      <w:pPr>
        <w:widowControl/>
        <w:autoSpaceDE/>
        <w:autoSpaceDN/>
        <w:adjustRightInd/>
        <w:jc w:val="both"/>
        <w:rPr>
          <w:rFonts w:ascii="Arial" w:eastAsiaTheme="minorHAnsi" w:hAnsi="Arial" w:cs="Arial"/>
          <w:sz w:val="22"/>
          <w:szCs w:val="22"/>
          <w:lang w:val="fr-FR"/>
        </w:rPr>
      </w:pPr>
    </w:p>
    <w:p w:rsidR="00FB441B" w:rsidRPr="00FB441B" w:rsidRDefault="00FB441B" w:rsidP="00FB441B">
      <w:pPr>
        <w:widowControl/>
        <w:numPr>
          <w:ilvl w:val="0"/>
          <w:numId w:val="4"/>
        </w:numPr>
        <w:autoSpaceDE/>
        <w:autoSpaceDN/>
        <w:adjustRightInd/>
        <w:contextualSpacing/>
        <w:jc w:val="both"/>
        <w:rPr>
          <w:rFonts w:ascii="Arial" w:eastAsiaTheme="minorHAnsi" w:hAnsi="Arial" w:cs="Arial"/>
          <w:sz w:val="22"/>
          <w:szCs w:val="22"/>
          <w:lang w:val="fr-FR"/>
        </w:rPr>
      </w:pPr>
      <w:r w:rsidRPr="00FB441B">
        <w:rPr>
          <w:rFonts w:ascii="Arial" w:eastAsiaTheme="minorHAnsi" w:hAnsi="Arial" w:cs="Arial"/>
          <w:sz w:val="22"/>
          <w:szCs w:val="22"/>
          <w:lang w:val="fr-FR"/>
        </w:rPr>
        <w:t>se coordonner avec le Secrétariat du</w:t>
      </w:r>
      <w:r w:rsidRPr="00FB441B">
        <w:rPr>
          <w:rFonts w:ascii="Arial" w:hAnsi="Arial"/>
          <w:sz w:val="18"/>
          <w:lang w:val="fr-FR"/>
        </w:rPr>
        <w:t xml:space="preserve"> </w:t>
      </w:r>
      <w:r w:rsidRPr="00FB441B">
        <w:rPr>
          <w:rFonts w:ascii="Arial" w:eastAsiaTheme="minorHAnsi" w:hAnsi="Arial" w:cs="Arial"/>
          <w:sz w:val="22"/>
          <w:szCs w:val="22"/>
          <w:lang w:val="fr-FR"/>
        </w:rPr>
        <w:t>Partenariat sur l'itinéraire aérien Asie orientale-Australasie (EAAFP) dans le cadre de la mise en œuvre des Plans d’action pour le fuligule de Baer et le courlis de Sibérie au cours de la période intersessions en amont de la COP13.</w:t>
      </w:r>
    </w:p>
    <w:p w:rsidR="00FB441B" w:rsidRPr="00FB441B" w:rsidRDefault="00FB441B" w:rsidP="00FB441B">
      <w:pPr>
        <w:jc w:val="both"/>
        <w:rPr>
          <w:rFonts w:ascii="Arial" w:hAnsi="Arial" w:cs="Arial"/>
          <w:sz w:val="22"/>
          <w:szCs w:val="22"/>
          <w:lang w:val="fr-FR"/>
        </w:rPr>
      </w:pPr>
    </w:p>
    <w:p w:rsidR="00FB441B" w:rsidRPr="00FB441B" w:rsidRDefault="00FB441B" w:rsidP="00FB441B">
      <w:pPr>
        <w:widowControl/>
        <w:autoSpaceDE/>
        <w:autoSpaceDN/>
        <w:adjustRightInd/>
        <w:jc w:val="both"/>
        <w:rPr>
          <w:rFonts w:asciiTheme="minorHAnsi" w:eastAsiaTheme="minorHAnsi" w:hAnsiTheme="minorHAnsi" w:cstheme="minorBidi"/>
          <w:b/>
          <w:sz w:val="24"/>
          <w:lang w:val="fr-FR"/>
        </w:rPr>
      </w:pPr>
    </w:p>
    <w:p w:rsidR="00FB441B" w:rsidRPr="00FB441B" w:rsidRDefault="00FB441B" w:rsidP="00FB441B">
      <w:pPr>
        <w:pBdr>
          <w:top w:val="single" w:sz="6" w:space="0" w:color="FFFFFF"/>
          <w:left w:val="single" w:sz="6" w:space="0" w:color="FFFFFF"/>
          <w:bottom w:val="single" w:sz="6" w:space="0" w:color="FFFFFF"/>
          <w:right w:val="single" w:sz="6" w:space="0" w:color="FFFFFF"/>
        </w:pBdr>
        <w:jc w:val="both"/>
        <w:outlineLvl w:val="1"/>
        <w:rPr>
          <w:rFonts w:ascii="Arial" w:hAnsi="Arial" w:cs="Arial"/>
          <w:b/>
          <w:bCs/>
          <w:sz w:val="22"/>
          <w:szCs w:val="22"/>
          <w:lang w:val="fr-FR"/>
        </w:rPr>
      </w:pPr>
      <w:r w:rsidRPr="00FB441B">
        <w:rPr>
          <w:rFonts w:ascii="Arial" w:hAnsi="Arial" w:cs="Arial"/>
          <w:b/>
          <w:bCs/>
          <w:sz w:val="22"/>
          <w:szCs w:val="22"/>
          <w:lang w:val="fr-FR"/>
        </w:rPr>
        <w:t>À l’adresse du Comité permanent</w:t>
      </w:r>
    </w:p>
    <w:p w:rsidR="00FB441B" w:rsidRPr="00FB441B" w:rsidRDefault="00FB441B" w:rsidP="00FB441B">
      <w:pPr>
        <w:rPr>
          <w:rFonts w:ascii="Arial" w:hAnsi="Arial"/>
          <w:sz w:val="18"/>
          <w:lang w:val="fr-FR"/>
        </w:rPr>
      </w:pPr>
    </w:p>
    <w:p w:rsidR="00FB441B" w:rsidRPr="00FB441B" w:rsidRDefault="00FB441B" w:rsidP="00892F96">
      <w:pPr>
        <w:rPr>
          <w:rFonts w:ascii="Arial" w:hAnsi="Arial"/>
          <w:sz w:val="22"/>
          <w:szCs w:val="22"/>
          <w:lang w:val="fr-FR"/>
        </w:rPr>
      </w:pPr>
      <w:r w:rsidRPr="00FB441B">
        <w:rPr>
          <w:rFonts w:ascii="Arial" w:hAnsi="Arial"/>
          <w:sz w:val="22"/>
          <w:szCs w:val="22"/>
          <w:lang w:val="fr-FR"/>
        </w:rPr>
        <w:t>12BB</w:t>
      </w:r>
      <w:r w:rsidR="00892F96">
        <w:rPr>
          <w:rFonts w:ascii="Arial" w:hAnsi="Arial"/>
          <w:sz w:val="22"/>
          <w:szCs w:val="22"/>
          <w:lang w:val="fr-FR"/>
        </w:rPr>
        <w:t>.</w:t>
      </w:r>
      <w:r w:rsidRPr="00FB441B">
        <w:rPr>
          <w:rFonts w:ascii="Arial" w:hAnsi="Arial"/>
          <w:sz w:val="22"/>
          <w:szCs w:val="22"/>
          <w:lang w:val="fr-FR"/>
        </w:rPr>
        <w:t xml:space="preserve"> Le Comité permanent </w:t>
      </w:r>
      <w:r w:rsidR="004F2532">
        <w:rPr>
          <w:rFonts w:ascii="Arial" w:hAnsi="Arial"/>
          <w:sz w:val="22"/>
          <w:szCs w:val="22"/>
          <w:lang w:val="fr-FR"/>
        </w:rPr>
        <w:t>est autorisé à</w:t>
      </w:r>
      <w:r w:rsidR="004F2532" w:rsidRPr="00FB441B">
        <w:rPr>
          <w:rFonts w:ascii="Arial" w:hAnsi="Arial"/>
          <w:sz w:val="22"/>
          <w:szCs w:val="22"/>
          <w:lang w:val="fr-FR"/>
        </w:rPr>
        <w:t> </w:t>
      </w:r>
      <w:r w:rsidRPr="00FB441B">
        <w:rPr>
          <w:rFonts w:ascii="Arial" w:hAnsi="Arial"/>
          <w:sz w:val="22"/>
          <w:szCs w:val="22"/>
          <w:lang w:val="fr-FR"/>
        </w:rPr>
        <w:t>:</w:t>
      </w:r>
    </w:p>
    <w:p w:rsidR="00FB441B" w:rsidRPr="00FB441B" w:rsidRDefault="00FB441B" w:rsidP="00FB441B">
      <w:pPr>
        <w:rPr>
          <w:rFonts w:ascii="Arial" w:hAnsi="Arial"/>
          <w:sz w:val="22"/>
          <w:szCs w:val="22"/>
          <w:lang w:val="fr-FR"/>
        </w:rPr>
      </w:pPr>
    </w:p>
    <w:p w:rsidR="00FB441B" w:rsidRDefault="00FB441B" w:rsidP="00892F96">
      <w:pPr>
        <w:numPr>
          <w:ilvl w:val="0"/>
          <w:numId w:val="5"/>
        </w:numPr>
        <w:ind w:left="709" w:hanging="425"/>
        <w:contextualSpacing/>
        <w:jc w:val="both"/>
        <w:rPr>
          <w:rFonts w:ascii="Arial" w:hAnsi="Arial"/>
          <w:sz w:val="22"/>
          <w:szCs w:val="22"/>
          <w:lang w:val="fr-FR"/>
        </w:rPr>
      </w:pPr>
      <w:r w:rsidRPr="00FB441B">
        <w:rPr>
          <w:rFonts w:ascii="Arial" w:hAnsi="Arial"/>
          <w:sz w:val="22"/>
          <w:szCs w:val="22"/>
          <w:lang w:val="fr-FR"/>
        </w:rPr>
        <w:t>adopter le</w:t>
      </w:r>
      <w:r w:rsidR="009169FB">
        <w:rPr>
          <w:rFonts w:ascii="Arial" w:hAnsi="Arial"/>
          <w:sz w:val="22"/>
          <w:szCs w:val="22"/>
          <w:lang w:val="fr-FR"/>
        </w:rPr>
        <w:t>s</w:t>
      </w:r>
      <w:r w:rsidRPr="00FB441B">
        <w:rPr>
          <w:rFonts w:ascii="Arial" w:hAnsi="Arial"/>
          <w:sz w:val="22"/>
          <w:szCs w:val="22"/>
          <w:lang w:val="fr-FR"/>
        </w:rPr>
        <w:t xml:space="preserve"> plan</w:t>
      </w:r>
      <w:r w:rsidR="009169FB">
        <w:rPr>
          <w:rFonts w:ascii="Arial" w:hAnsi="Arial"/>
          <w:sz w:val="22"/>
          <w:szCs w:val="22"/>
          <w:lang w:val="fr-FR"/>
        </w:rPr>
        <w:t>s</w:t>
      </w:r>
      <w:r w:rsidRPr="00FB441B">
        <w:rPr>
          <w:rFonts w:ascii="Arial" w:hAnsi="Arial"/>
          <w:sz w:val="22"/>
          <w:szCs w:val="22"/>
          <w:lang w:val="fr-FR"/>
        </w:rPr>
        <w:t xml:space="preserve"> d’action pour le bruant auréole</w:t>
      </w:r>
      <w:r w:rsidR="009169FB">
        <w:rPr>
          <w:rFonts w:ascii="Arial" w:hAnsi="Arial"/>
          <w:sz w:val="22"/>
          <w:szCs w:val="22"/>
          <w:lang w:val="fr-FR"/>
        </w:rPr>
        <w:t xml:space="preserve">, </w:t>
      </w:r>
      <w:r w:rsidR="001355E3">
        <w:rPr>
          <w:rFonts w:ascii="Arial" w:hAnsi="Arial"/>
          <w:sz w:val="22"/>
          <w:szCs w:val="22"/>
          <w:lang w:val="fr-FR"/>
        </w:rPr>
        <w:t>le P</w:t>
      </w:r>
      <w:r w:rsidR="009169FB" w:rsidRPr="009169FB">
        <w:rPr>
          <w:rFonts w:ascii="Arial" w:hAnsi="Arial"/>
          <w:sz w:val="22"/>
          <w:szCs w:val="22"/>
          <w:lang w:val="fr-FR"/>
        </w:rPr>
        <w:t>élican dalmate et l'</w:t>
      </w:r>
      <w:proofErr w:type="spellStart"/>
      <w:r w:rsidR="009169FB" w:rsidRPr="009169FB">
        <w:rPr>
          <w:rFonts w:ascii="Arial" w:hAnsi="Arial"/>
          <w:sz w:val="22"/>
          <w:szCs w:val="22"/>
          <w:lang w:val="fr-FR"/>
        </w:rPr>
        <w:t>Érismature</w:t>
      </w:r>
      <w:proofErr w:type="spellEnd"/>
      <w:r w:rsidR="009169FB" w:rsidRPr="009169FB">
        <w:rPr>
          <w:rFonts w:ascii="Arial" w:hAnsi="Arial"/>
          <w:sz w:val="22"/>
          <w:szCs w:val="22"/>
          <w:lang w:val="fr-FR"/>
        </w:rPr>
        <w:t xml:space="preserve"> à tête blanche</w:t>
      </w:r>
      <w:r w:rsidR="009169FB">
        <w:rPr>
          <w:rFonts w:ascii="Arial" w:hAnsi="Arial"/>
          <w:sz w:val="22"/>
          <w:szCs w:val="22"/>
          <w:lang w:val="fr-FR"/>
        </w:rPr>
        <w:t>, une fois finalisés,</w:t>
      </w:r>
      <w:r w:rsidRPr="00FB441B">
        <w:rPr>
          <w:rFonts w:ascii="Arial" w:hAnsi="Arial"/>
          <w:sz w:val="22"/>
          <w:szCs w:val="22"/>
          <w:lang w:val="fr-FR"/>
        </w:rPr>
        <w:t xml:space="preserve"> dans la période intersession entre les 12</w:t>
      </w:r>
      <w:r w:rsidR="003931DC">
        <w:rPr>
          <w:rFonts w:ascii="Arial" w:hAnsi="Arial"/>
          <w:sz w:val="22"/>
          <w:szCs w:val="22"/>
          <w:vertAlign w:val="superscript"/>
          <w:lang w:val="fr-FR"/>
        </w:rPr>
        <w:t>ème</w:t>
      </w:r>
      <w:r w:rsidRPr="00FB441B">
        <w:rPr>
          <w:rFonts w:ascii="Arial" w:hAnsi="Arial"/>
          <w:sz w:val="22"/>
          <w:szCs w:val="22"/>
          <w:lang w:val="fr-FR"/>
        </w:rPr>
        <w:t xml:space="preserve"> et 13</w:t>
      </w:r>
      <w:r w:rsidR="003931DC">
        <w:rPr>
          <w:rFonts w:ascii="Arial" w:hAnsi="Arial"/>
          <w:sz w:val="22"/>
          <w:szCs w:val="22"/>
          <w:vertAlign w:val="superscript"/>
          <w:lang w:val="fr-FR"/>
        </w:rPr>
        <w:t>ème</w:t>
      </w:r>
      <w:r w:rsidRPr="00FB441B">
        <w:rPr>
          <w:rFonts w:ascii="Arial" w:hAnsi="Arial"/>
          <w:sz w:val="22"/>
          <w:szCs w:val="22"/>
          <w:lang w:val="fr-FR"/>
        </w:rPr>
        <w:t xml:space="preserve"> </w:t>
      </w:r>
      <w:r w:rsidR="003931DC">
        <w:rPr>
          <w:rFonts w:ascii="Arial" w:hAnsi="Arial"/>
          <w:sz w:val="22"/>
          <w:szCs w:val="22"/>
          <w:lang w:val="fr-FR"/>
        </w:rPr>
        <w:t>r</w:t>
      </w:r>
      <w:r w:rsidRPr="00FB441B">
        <w:rPr>
          <w:rFonts w:ascii="Arial" w:hAnsi="Arial"/>
          <w:sz w:val="22"/>
          <w:szCs w:val="22"/>
          <w:lang w:val="fr-FR"/>
        </w:rPr>
        <w:t>éunions de la Conférence des Parties.</w:t>
      </w:r>
    </w:p>
    <w:p w:rsidR="004F2532" w:rsidRDefault="004F2532" w:rsidP="00892F96">
      <w:pPr>
        <w:ind w:left="709" w:hanging="425"/>
        <w:contextualSpacing/>
        <w:rPr>
          <w:rFonts w:ascii="Arial" w:hAnsi="Arial"/>
          <w:sz w:val="22"/>
          <w:szCs w:val="22"/>
          <w:lang w:val="fr-FR"/>
        </w:rPr>
      </w:pPr>
    </w:p>
    <w:p w:rsidR="004F2532" w:rsidRPr="00FB441B" w:rsidRDefault="004F2532" w:rsidP="00892F96">
      <w:pPr>
        <w:numPr>
          <w:ilvl w:val="0"/>
          <w:numId w:val="5"/>
        </w:numPr>
        <w:ind w:left="709" w:hanging="425"/>
        <w:contextualSpacing/>
        <w:jc w:val="both"/>
        <w:rPr>
          <w:rFonts w:ascii="Arial" w:hAnsi="Arial"/>
          <w:sz w:val="22"/>
          <w:szCs w:val="22"/>
          <w:lang w:val="fr-FR"/>
        </w:rPr>
      </w:pPr>
      <w:r w:rsidRPr="004F2532">
        <w:rPr>
          <w:rFonts w:ascii="Arial" w:hAnsi="Arial"/>
          <w:sz w:val="22"/>
          <w:szCs w:val="22"/>
          <w:lang w:val="fr-FR"/>
        </w:rPr>
        <w:t>adopte</w:t>
      </w:r>
      <w:r w:rsidR="003341BC">
        <w:rPr>
          <w:rFonts w:ascii="Arial" w:hAnsi="Arial"/>
          <w:sz w:val="22"/>
          <w:szCs w:val="22"/>
          <w:lang w:val="fr-FR"/>
        </w:rPr>
        <w:t xml:space="preserve">r le plan d'action européen </w:t>
      </w:r>
      <w:r w:rsidR="00253216">
        <w:rPr>
          <w:rFonts w:ascii="Arial" w:hAnsi="Arial"/>
          <w:sz w:val="22"/>
          <w:szCs w:val="22"/>
          <w:lang w:val="fr-FR"/>
        </w:rPr>
        <w:t>pour</w:t>
      </w:r>
      <w:r w:rsidRPr="004F2532">
        <w:rPr>
          <w:rFonts w:ascii="Arial" w:hAnsi="Arial"/>
          <w:sz w:val="22"/>
          <w:szCs w:val="22"/>
          <w:lang w:val="fr-FR"/>
        </w:rPr>
        <w:t xml:space="preserve"> la </w:t>
      </w:r>
      <w:r w:rsidR="00253216">
        <w:rPr>
          <w:rFonts w:ascii="Arial" w:hAnsi="Arial"/>
          <w:sz w:val="22"/>
          <w:szCs w:val="22"/>
          <w:lang w:val="fr-FR"/>
        </w:rPr>
        <w:t>tourterelle des bois</w:t>
      </w:r>
      <w:r w:rsidRPr="004F2532">
        <w:rPr>
          <w:rFonts w:ascii="Arial" w:hAnsi="Arial"/>
          <w:sz w:val="22"/>
          <w:szCs w:val="22"/>
          <w:lang w:val="fr-FR"/>
        </w:rPr>
        <w:t>, une fois finalisé, pendant la péri</w:t>
      </w:r>
      <w:r w:rsidR="003341BC">
        <w:rPr>
          <w:rFonts w:ascii="Arial" w:hAnsi="Arial"/>
          <w:sz w:val="22"/>
          <w:szCs w:val="22"/>
          <w:lang w:val="fr-FR"/>
        </w:rPr>
        <w:t>ode d'intersession entre les 12</w:t>
      </w:r>
      <w:r w:rsidR="003341BC" w:rsidRPr="00AF636A">
        <w:rPr>
          <w:rFonts w:ascii="Arial" w:hAnsi="Arial"/>
          <w:sz w:val="22"/>
          <w:szCs w:val="22"/>
          <w:vertAlign w:val="superscript"/>
          <w:lang w:val="fr-FR"/>
        </w:rPr>
        <w:t>ème</w:t>
      </w:r>
      <w:r w:rsidR="003341BC">
        <w:rPr>
          <w:rFonts w:ascii="Arial" w:hAnsi="Arial"/>
          <w:sz w:val="22"/>
          <w:szCs w:val="22"/>
          <w:lang w:val="fr-FR"/>
        </w:rPr>
        <w:t xml:space="preserve"> et 13</w:t>
      </w:r>
      <w:r w:rsidR="003341BC" w:rsidRPr="00AF636A">
        <w:rPr>
          <w:rFonts w:ascii="Arial" w:hAnsi="Arial"/>
          <w:sz w:val="22"/>
          <w:szCs w:val="22"/>
          <w:vertAlign w:val="superscript"/>
          <w:lang w:val="fr-FR"/>
        </w:rPr>
        <w:t>ème</w:t>
      </w:r>
      <w:r w:rsidR="003341BC">
        <w:rPr>
          <w:rFonts w:ascii="Arial" w:hAnsi="Arial"/>
          <w:sz w:val="22"/>
          <w:szCs w:val="22"/>
          <w:lang w:val="fr-FR"/>
        </w:rPr>
        <w:t xml:space="preserve"> </w:t>
      </w:r>
      <w:r w:rsidRPr="004F2532">
        <w:rPr>
          <w:rFonts w:ascii="Arial" w:hAnsi="Arial"/>
          <w:sz w:val="22"/>
          <w:szCs w:val="22"/>
          <w:lang w:val="fr-FR"/>
        </w:rPr>
        <w:t>sessions de la Conférence des Parties</w:t>
      </w:r>
      <w:r>
        <w:rPr>
          <w:rFonts w:ascii="Arial" w:hAnsi="Arial"/>
          <w:sz w:val="22"/>
          <w:szCs w:val="22"/>
          <w:lang w:val="fr-FR"/>
        </w:rPr>
        <w:t>.</w:t>
      </w:r>
    </w:p>
    <w:p w:rsidR="003F6700" w:rsidRPr="003F6700" w:rsidRDefault="003F6700" w:rsidP="00FB441B">
      <w:pPr>
        <w:jc w:val="center"/>
        <w:rPr>
          <w:rFonts w:ascii="Arial" w:hAnsi="Arial" w:cs="Arial"/>
          <w:sz w:val="22"/>
          <w:szCs w:val="22"/>
          <w:lang w:val="fr-FR"/>
        </w:rPr>
      </w:pPr>
      <w:bookmarkStart w:id="0" w:name="_GoBack"/>
      <w:bookmarkEnd w:id="0"/>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700" w:rsidRPr="00B24564" w:rsidRDefault="003F6700" w:rsidP="003F6700">
    <w:pPr>
      <w:pStyle w:val="Footer"/>
      <w:jc w:val="right"/>
      <w:rPr>
        <w:rFonts w:ascii="Arial" w:hAnsi="Arial" w:cs="Arial"/>
        <w:sz w:val="18"/>
        <w:szCs w:val="18"/>
      </w:rPr>
    </w:pPr>
    <w:r w:rsidRPr="00B24564">
      <w:rPr>
        <w:rFonts w:ascii="Arial" w:hAnsi="Arial" w:cs="Arial"/>
        <w:sz w:val="18"/>
        <w:szCs w:val="18"/>
      </w:rPr>
      <w:fldChar w:fldCharType="begin"/>
    </w:r>
    <w:r w:rsidRPr="00B24564">
      <w:rPr>
        <w:rFonts w:ascii="Arial" w:hAnsi="Arial" w:cs="Arial"/>
        <w:sz w:val="18"/>
        <w:szCs w:val="18"/>
      </w:rPr>
      <w:instrText xml:space="preserve"> PAGE   \* MERGEFORMAT </w:instrText>
    </w:r>
    <w:r w:rsidRPr="00B24564">
      <w:rPr>
        <w:rFonts w:ascii="Arial" w:hAnsi="Arial" w:cs="Arial"/>
        <w:sz w:val="18"/>
        <w:szCs w:val="18"/>
      </w:rPr>
      <w:fldChar w:fldCharType="separate"/>
    </w:r>
    <w:r w:rsidR="00892F96">
      <w:rPr>
        <w:rFonts w:ascii="Arial" w:hAnsi="Arial" w:cs="Arial"/>
        <w:noProof/>
        <w:sz w:val="18"/>
        <w:szCs w:val="18"/>
      </w:rPr>
      <w:t>1</w:t>
    </w:r>
    <w:r w:rsidRPr="00B24564">
      <w:rPr>
        <w:rFonts w:ascii="Arial" w:hAnsi="Arial" w:cs="Arial"/>
        <w:noProof/>
        <w:sz w:val="18"/>
        <w:szCs w:val="18"/>
      </w:rPr>
      <w:fldChar w:fldCharType="end"/>
    </w:r>
    <w:r w:rsidRPr="00B24564">
      <w:rPr>
        <w:rFonts w:ascii="Arial" w:hAnsi="Arial" w:cs="Arial"/>
        <w:noProof/>
        <w:sz w:val="18"/>
        <w:szCs w:val="18"/>
      </w:rPr>
      <w:t xml:space="preserve">                                                    UNEP/CMS/COP12/CRP</w:t>
    </w:r>
    <w:r w:rsidR="00FB441B" w:rsidRPr="00B24564">
      <w:rPr>
        <w:rFonts w:ascii="Arial" w:hAnsi="Arial" w:cs="Arial"/>
        <w:noProof/>
        <w:sz w:val="18"/>
        <w:szCs w:val="18"/>
      </w:rPr>
      <w:t>30</w:t>
    </w:r>
    <w:r w:rsidR="00B24564" w:rsidRPr="00B24564">
      <w:rPr>
        <w:rFonts w:ascii="Arial" w:hAnsi="Arial" w:cs="Arial"/>
        <w:noProof/>
        <w:sz w:val="18"/>
        <w:szCs w:val="18"/>
      </w:rPr>
      <w:t>/Rev.1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FB441B">
      <w:rPr>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205C16A7"/>
    <w:multiLevelType w:val="hybridMultilevel"/>
    <w:tmpl w:val="C6040D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A942973"/>
    <w:multiLevelType w:val="hybridMultilevel"/>
    <w:tmpl w:val="A8CE7F28"/>
    <w:lvl w:ilvl="0" w:tplc="78D87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0D21CD"/>
    <w:multiLevelType w:val="hybridMultilevel"/>
    <w:tmpl w:val="C9F076A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AB36ADE"/>
    <w:multiLevelType w:val="hybridMultilevel"/>
    <w:tmpl w:val="0ADC1920"/>
    <w:lvl w:ilvl="0" w:tplc="802EF5F8">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4C8"/>
    <w:rsid w:val="00056DC1"/>
    <w:rsid w:val="00057A0A"/>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355E3"/>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3216"/>
    <w:rsid w:val="00254721"/>
    <w:rsid w:val="00260772"/>
    <w:rsid w:val="00263159"/>
    <w:rsid w:val="002667F0"/>
    <w:rsid w:val="002779F7"/>
    <w:rsid w:val="002C187A"/>
    <w:rsid w:val="002C20F1"/>
    <w:rsid w:val="002D2863"/>
    <w:rsid w:val="002D5EC0"/>
    <w:rsid w:val="002E3DEA"/>
    <w:rsid w:val="002E7CC2"/>
    <w:rsid w:val="002F6F9B"/>
    <w:rsid w:val="003331C6"/>
    <w:rsid w:val="003341BC"/>
    <w:rsid w:val="00345044"/>
    <w:rsid w:val="00351095"/>
    <w:rsid w:val="00354A9C"/>
    <w:rsid w:val="00364973"/>
    <w:rsid w:val="00372347"/>
    <w:rsid w:val="003779D4"/>
    <w:rsid w:val="00382398"/>
    <w:rsid w:val="003909E4"/>
    <w:rsid w:val="003931DC"/>
    <w:rsid w:val="003A0D8F"/>
    <w:rsid w:val="003A3E30"/>
    <w:rsid w:val="003A70FE"/>
    <w:rsid w:val="003B0C35"/>
    <w:rsid w:val="003B219E"/>
    <w:rsid w:val="003E21B3"/>
    <w:rsid w:val="003F6700"/>
    <w:rsid w:val="004109D2"/>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2532"/>
    <w:rsid w:val="004F3D8D"/>
    <w:rsid w:val="005076F1"/>
    <w:rsid w:val="00512B91"/>
    <w:rsid w:val="005158EB"/>
    <w:rsid w:val="0052082F"/>
    <w:rsid w:val="00542FCC"/>
    <w:rsid w:val="00553795"/>
    <w:rsid w:val="005567B9"/>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30C2E"/>
    <w:rsid w:val="00757614"/>
    <w:rsid w:val="007627AF"/>
    <w:rsid w:val="00765E43"/>
    <w:rsid w:val="007728B4"/>
    <w:rsid w:val="0077622E"/>
    <w:rsid w:val="00777913"/>
    <w:rsid w:val="00777FE4"/>
    <w:rsid w:val="0079075D"/>
    <w:rsid w:val="00796FCE"/>
    <w:rsid w:val="007C1468"/>
    <w:rsid w:val="007C41D7"/>
    <w:rsid w:val="007E44B6"/>
    <w:rsid w:val="007F16FB"/>
    <w:rsid w:val="007F1BBA"/>
    <w:rsid w:val="0081600F"/>
    <w:rsid w:val="0082722D"/>
    <w:rsid w:val="008274F7"/>
    <w:rsid w:val="008441F9"/>
    <w:rsid w:val="00846A99"/>
    <w:rsid w:val="008641D1"/>
    <w:rsid w:val="00872F67"/>
    <w:rsid w:val="00892F96"/>
    <w:rsid w:val="00893346"/>
    <w:rsid w:val="00894A29"/>
    <w:rsid w:val="008A0D8D"/>
    <w:rsid w:val="008B1A69"/>
    <w:rsid w:val="008C1A39"/>
    <w:rsid w:val="008E7DFB"/>
    <w:rsid w:val="008F7327"/>
    <w:rsid w:val="009076C8"/>
    <w:rsid w:val="009132DC"/>
    <w:rsid w:val="00915BBE"/>
    <w:rsid w:val="009169FB"/>
    <w:rsid w:val="00921D62"/>
    <w:rsid w:val="00922791"/>
    <w:rsid w:val="00927CD6"/>
    <w:rsid w:val="00933572"/>
    <w:rsid w:val="009363C7"/>
    <w:rsid w:val="00945FFB"/>
    <w:rsid w:val="00971F31"/>
    <w:rsid w:val="00972D36"/>
    <w:rsid w:val="00980406"/>
    <w:rsid w:val="009A2C8F"/>
    <w:rsid w:val="009A4CD2"/>
    <w:rsid w:val="009A7B65"/>
    <w:rsid w:val="009D2AD6"/>
    <w:rsid w:val="009D2C06"/>
    <w:rsid w:val="009D3A07"/>
    <w:rsid w:val="009D4711"/>
    <w:rsid w:val="009D5DA6"/>
    <w:rsid w:val="009E35DA"/>
    <w:rsid w:val="009E3A84"/>
    <w:rsid w:val="009E7ACC"/>
    <w:rsid w:val="009F450E"/>
    <w:rsid w:val="009F54DA"/>
    <w:rsid w:val="009F60F2"/>
    <w:rsid w:val="009F6574"/>
    <w:rsid w:val="00A06984"/>
    <w:rsid w:val="00A1324E"/>
    <w:rsid w:val="00A27BE3"/>
    <w:rsid w:val="00A339B9"/>
    <w:rsid w:val="00A40EDF"/>
    <w:rsid w:val="00A568DF"/>
    <w:rsid w:val="00A72FA7"/>
    <w:rsid w:val="00A73A79"/>
    <w:rsid w:val="00A756EA"/>
    <w:rsid w:val="00A8316B"/>
    <w:rsid w:val="00A91596"/>
    <w:rsid w:val="00A93C52"/>
    <w:rsid w:val="00AA7368"/>
    <w:rsid w:val="00AA7A90"/>
    <w:rsid w:val="00AB4FF9"/>
    <w:rsid w:val="00AE7B21"/>
    <w:rsid w:val="00AF1980"/>
    <w:rsid w:val="00AF2021"/>
    <w:rsid w:val="00AF636A"/>
    <w:rsid w:val="00B24564"/>
    <w:rsid w:val="00B471BD"/>
    <w:rsid w:val="00B50C2D"/>
    <w:rsid w:val="00B512BA"/>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37ADB"/>
    <w:rsid w:val="00C5484D"/>
    <w:rsid w:val="00C57BE7"/>
    <w:rsid w:val="00C57F03"/>
    <w:rsid w:val="00C618F2"/>
    <w:rsid w:val="00C73207"/>
    <w:rsid w:val="00C75918"/>
    <w:rsid w:val="00C7602A"/>
    <w:rsid w:val="00C82ED9"/>
    <w:rsid w:val="00C87D68"/>
    <w:rsid w:val="00C9281B"/>
    <w:rsid w:val="00C977E9"/>
    <w:rsid w:val="00CA367A"/>
    <w:rsid w:val="00CB1D26"/>
    <w:rsid w:val="00CC1F59"/>
    <w:rsid w:val="00CC4C21"/>
    <w:rsid w:val="00CC57AD"/>
    <w:rsid w:val="00CE287A"/>
    <w:rsid w:val="00CE5B83"/>
    <w:rsid w:val="00CF6EDD"/>
    <w:rsid w:val="00D05922"/>
    <w:rsid w:val="00D30B30"/>
    <w:rsid w:val="00D42AE1"/>
    <w:rsid w:val="00D605A4"/>
    <w:rsid w:val="00D61B13"/>
    <w:rsid w:val="00D7746A"/>
    <w:rsid w:val="00D82E8B"/>
    <w:rsid w:val="00D838FE"/>
    <w:rsid w:val="00D8406F"/>
    <w:rsid w:val="00D859C7"/>
    <w:rsid w:val="00D9021F"/>
    <w:rsid w:val="00DA1080"/>
    <w:rsid w:val="00DA12C2"/>
    <w:rsid w:val="00DB30A6"/>
    <w:rsid w:val="00DB4635"/>
    <w:rsid w:val="00DD21ED"/>
    <w:rsid w:val="00DD6A9E"/>
    <w:rsid w:val="00E23367"/>
    <w:rsid w:val="00E27BD1"/>
    <w:rsid w:val="00E30B00"/>
    <w:rsid w:val="00E31B92"/>
    <w:rsid w:val="00E3521F"/>
    <w:rsid w:val="00E475D4"/>
    <w:rsid w:val="00E74D1C"/>
    <w:rsid w:val="00E8776E"/>
    <w:rsid w:val="00E9237A"/>
    <w:rsid w:val="00EA0B88"/>
    <w:rsid w:val="00EB2285"/>
    <w:rsid w:val="00EC4294"/>
    <w:rsid w:val="00EC681E"/>
    <w:rsid w:val="00EC7DBF"/>
    <w:rsid w:val="00ED02D3"/>
    <w:rsid w:val="00ED0817"/>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B441B"/>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2</Pages>
  <Words>750</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Jenny Renell</cp:lastModifiedBy>
  <cp:revision>2</cp:revision>
  <cp:lastPrinted>2017-03-22T10:51:00Z</cp:lastPrinted>
  <dcterms:created xsi:type="dcterms:W3CDTF">2017-11-01T12:20:00Z</dcterms:created>
  <dcterms:modified xsi:type="dcterms:W3CDTF">2017-11-01T12:20:00Z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