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2E0718"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8B133C"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2E0718" w:rsidP="009B0BC0">
            <w:pPr>
              <w:ind w:left="-142"/>
              <w:rPr>
                <w:lang w:val="es-ES"/>
              </w:rPr>
            </w:pPr>
            <w:r>
              <w:rPr>
                <w:noProof/>
              </w:rPr>
              <w:drawing>
                <wp:inline distT="0" distB="0" distL="0" distR="0">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13583B" w:rsidRDefault="00190D70" w:rsidP="000D3074">
            <w:pPr>
              <w:widowControl w:val="0"/>
              <w:rPr>
                <w:rFonts w:ascii="Arial" w:hAnsi="Arial" w:cs="Arial"/>
                <w:spacing w:val="-6"/>
                <w:sz w:val="22"/>
                <w:lang w:val="es-ES"/>
              </w:rPr>
            </w:pPr>
            <w:r w:rsidRPr="0013583B">
              <w:rPr>
                <w:rFonts w:ascii="Arial" w:hAnsi="Arial" w:cs="Arial"/>
                <w:spacing w:val="-6"/>
                <w:sz w:val="22"/>
                <w:lang w:val="es-ES"/>
              </w:rPr>
              <w:t>PNUMA/CMS/</w:t>
            </w:r>
            <w:r w:rsidR="00877009" w:rsidRPr="0013583B">
              <w:rPr>
                <w:rFonts w:ascii="Arial" w:hAnsi="Arial" w:cs="Arial"/>
                <w:spacing w:val="-6"/>
                <w:sz w:val="22"/>
                <w:lang w:val="es-ES"/>
              </w:rPr>
              <w:t>COP11/</w:t>
            </w:r>
            <w:r w:rsidR="00C33083">
              <w:rPr>
                <w:rFonts w:ascii="Arial" w:hAnsi="Arial" w:cs="Arial"/>
                <w:spacing w:val="-6"/>
                <w:sz w:val="22"/>
                <w:lang w:val="es-ES"/>
              </w:rPr>
              <w:t>Doc.23.2.3</w:t>
            </w:r>
            <w:r w:rsidR="008B133C">
              <w:rPr>
                <w:rFonts w:ascii="Arial" w:hAnsi="Arial" w:cs="Arial"/>
                <w:spacing w:val="-6"/>
                <w:sz w:val="22"/>
                <w:lang w:val="es-ES"/>
              </w:rPr>
              <w:t>/Rev.1</w:t>
            </w:r>
          </w:p>
          <w:p w:rsidR="00190D70" w:rsidRPr="00735ED8" w:rsidRDefault="008B133C" w:rsidP="000D3074">
            <w:pPr>
              <w:widowControl w:val="0"/>
              <w:rPr>
                <w:rFonts w:ascii="Arial" w:hAnsi="Arial" w:cs="Arial"/>
                <w:sz w:val="22"/>
                <w:lang w:val="es-ES"/>
              </w:rPr>
            </w:pPr>
            <w:r>
              <w:rPr>
                <w:rFonts w:ascii="Arial" w:hAnsi="Arial" w:cs="Arial"/>
                <w:sz w:val="22"/>
                <w:lang w:val="es-ES"/>
              </w:rPr>
              <w:t>23 de octubre</w:t>
            </w:r>
            <w:r w:rsidR="00C33083">
              <w:rPr>
                <w:rFonts w:ascii="Arial" w:hAnsi="Arial" w:cs="Arial"/>
                <w:sz w:val="22"/>
                <w:lang w:val="es-ES"/>
              </w:rPr>
              <w:t xml:space="preserve">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C33083">
        <w:rPr>
          <w:sz w:val="22"/>
          <w:szCs w:val="23"/>
          <w:lang w:val="es-ES_tradnl"/>
        </w:rPr>
        <w:t>23.2.3</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C33083" w:rsidRDefault="00C33083" w:rsidP="00C33083">
      <w:pPr>
        <w:jc w:val="center"/>
        <w:rPr>
          <w:b/>
          <w:szCs w:val="24"/>
          <w:lang w:val="es-ES"/>
        </w:rPr>
      </w:pPr>
      <w:r w:rsidRPr="00C33083">
        <w:rPr>
          <w:b/>
          <w:szCs w:val="24"/>
          <w:lang w:val="es-ES"/>
        </w:rPr>
        <w:t>C</w:t>
      </w:r>
      <w:r>
        <w:rPr>
          <w:b/>
          <w:szCs w:val="24"/>
          <w:lang w:val="es-ES"/>
        </w:rPr>
        <w:t>APTURAS DE CETÁCEOS VIVOS EN SU MEDIO NATURAL</w:t>
      </w:r>
    </w:p>
    <w:p w:rsidR="00601422" w:rsidRPr="00795426" w:rsidRDefault="00C33083" w:rsidP="00C33083">
      <w:pPr>
        <w:jc w:val="center"/>
        <w:rPr>
          <w:b/>
          <w:szCs w:val="24"/>
          <w:lang w:val="es-ES"/>
        </w:rPr>
      </w:pPr>
      <w:r>
        <w:rPr>
          <w:b/>
          <w:szCs w:val="24"/>
          <w:lang w:val="es-ES"/>
        </w:rPr>
        <w:t xml:space="preserve"> PARA FINES COMERCIALES</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2E0718"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2781935"/>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81935"/>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El presente documento contiene el proyecto de resolución sobre las capturas de cetáceos vivo</w:t>
                            </w:r>
                            <w:r w:rsidR="00192F30">
                              <w:rPr>
                                <w:rFonts w:eastAsia="Times New Roman"/>
                                <w:szCs w:val="24"/>
                                <w:lang w:val="es-ES" w:eastAsia="es-ES"/>
                              </w:rPr>
                              <w:t>s</w:t>
                            </w:r>
                            <w:r w:rsidRPr="002E0718">
                              <w:rPr>
                                <w:rFonts w:eastAsia="Times New Roman"/>
                                <w:szCs w:val="24"/>
                                <w:lang w:val="es-ES" w:eastAsia="es-ES"/>
                              </w:rPr>
                              <w:t xml:space="preserve"> en su medio natural para fines comerciales (Anexo 2), que el </w:t>
                            </w:r>
                            <w:r w:rsidR="008B133C">
                              <w:rPr>
                                <w:rFonts w:eastAsia="Times New Roman"/>
                                <w:szCs w:val="24"/>
                                <w:lang w:val="es-ES" w:eastAsia="es-ES"/>
                              </w:rPr>
                              <w:t>Principado de Mónaco</w:t>
                            </w:r>
                            <w:r w:rsidRPr="002E0718">
                              <w:rPr>
                                <w:rFonts w:eastAsia="Times New Roman"/>
                                <w:szCs w:val="24"/>
                                <w:lang w:val="es-ES" w:eastAsia="es-ES"/>
                              </w:rPr>
                              <w:t xml:space="preserve"> propone para su aprobación.</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Contiene también un documento básico con todos los detalles sobre los impactos de las capturas en las poblaciones de cetáceos y las oportunidades de colaboración con otras organizaciones intergubernamentales, preparado por el Grupo de trabajo del Consejo Científico sobre los mamíferos acuáticos (Anexo 1).</w:t>
                            </w:r>
                          </w:p>
                          <w:p w:rsidR="009B0BC0" w:rsidRDefault="009B0BC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2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" strokeweight="2pt">
                <v:textbox>
                  <w:txbxContent>
                    <w:p w:rsidR="009B0BC0" w:rsidRPr="00BB441C" w:rsidRDefault="009B0BC0" w:rsidP="009B0BC0">
                      <w:pPr>
                        <w:rPr>
                          <w:lang w:val="es-ES"/>
                        </w:rPr>
                      </w:pPr>
                      <w:r w:rsidRPr="00BB441C">
                        <w:rPr>
                          <w:lang w:val="es-ES"/>
                        </w:rPr>
                        <w:t>Sumario</w:t>
                      </w:r>
                    </w:p>
                    <w:p w:rsid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El presente documento contiene el proyecto de resolución sobre las capturas de cetáceos vivo</w:t>
                      </w:r>
                      <w:r w:rsidR="00192F30">
                        <w:rPr>
                          <w:rFonts w:eastAsia="Times New Roman"/>
                          <w:szCs w:val="24"/>
                          <w:lang w:val="es-ES" w:eastAsia="es-ES"/>
                        </w:rPr>
                        <w:t>s</w:t>
                      </w:r>
                      <w:r w:rsidRPr="002E0718">
                        <w:rPr>
                          <w:rFonts w:eastAsia="Times New Roman"/>
                          <w:szCs w:val="24"/>
                          <w:lang w:val="es-ES" w:eastAsia="es-ES"/>
                        </w:rPr>
                        <w:t xml:space="preserve"> en su medio natural para fines comerciales (Anexo 2), que el </w:t>
                      </w:r>
                      <w:r w:rsidR="008B133C">
                        <w:rPr>
                          <w:rFonts w:eastAsia="Times New Roman"/>
                          <w:szCs w:val="24"/>
                          <w:lang w:val="es-ES" w:eastAsia="es-ES"/>
                        </w:rPr>
                        <w:t>Principado de Mónaco</w:t>
                      </w:r>
                      <w:r w:rsidRPr="002E0718">
                        <w:rPr>
                          <w:rFonts w:eastAsia="Times New Roman"/>
                          <w:szCs w:val="24"/>
                          <w:lang w:val="es-ES" w:eastAsia="es-ES"/>
                        </w:rPr>
                        <w:t xml:space="preserve"> propone para su aprobación.</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Contiene también un documento básico con todos los detalles sobre los impactos de las capturas en las poblaciones de cetáceos y las oportunidades de colaboración con otras organizaciones intergubernamentales, preparado por el Grupo de trabajo del Consejo Científico sobre los mamíferos acuáticos (Anexo 1).</w:t>
                      </w:r>
                    </w:p>
                    <w:p w:rsidR="009B0BC0" w:rsidRDefault="009B0BC0"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C33083" w:rsidRPr="00795426" w:rsidRDefault="00C33083" w:rsidP="00C33083">
      <w:pPr>
        <w:rPr>
          <w:szCs w:val="24"/>
          <w:lang w:val="es-ES"/>
        </w:rPr>
      </w:pPr>
      <w:bookmarkStart w:id="0" w:name="OLE_LINK1"/>
      <w:bookmarkStart w:id="1" w:name="OLE_LINK2"/>
    </w:p>
    <w:p w:rsidR="00C33083" w:rsidRDefault="00C33083" w:rsidP="00C33083">
      <w:pPr>
        <w:jc w:val="center"/>
        <w:rPr>
          <w:b/>
          <w:szCs w:val="24"/>
          <w:lang w:val="es-ES"/>
        </w:rPr>
      </w:pPr>
      <w:r w:rsidRPr="00C33083">
        <w:rPr>
          <w:b/>
          <w:szCs w:val="24"/>
          <w:lang w:val="es-ES"/>
        </w:rPr>
        <w:t>C</w:t>
      </w:r>
      <w:r>
        <w:rPr>
          <w:b/>
          <w:szCs w:val="24"/>
          <w:lang w:val="es-ES"/>
        </w:rPr>
        <w:t>APTURAS DE CETÁCEOS VIVOS EN SU MEDIO NATURAL</w:t>
      </w:r>
    </w:p>
    <w:p w:rsidR="00C33083" w:rsidRPr="00795426" w:rsidRDefault="00C33083" w:rsidP="00C33083">
      <w:pPr>
        <w:jc w:val="center"/>
        <w:rPr>
          <w:b/>
          <w:szCs w:val="24"/>
          <w:lang w:val="es-ES"/>
        </w:rPr>
      </w:pPr>
      <w:r>
        <w:rPr>
          <w:b/>
          <w:szCs w:val="24"/>
          <w:lang w:val="es-ES"/>
        </w:rPr>
        <w:t xml:space="preserve"> PARA FINES COMERCIALES</w:t>
      </w:r>
    </w:p>
    <w:p w:rsidR="002E0718" w:rsidRPr="002E0718" w:rsidRDefault="002E0718" w:rsidP="002E0718">
      <w:pPr>
        <w:widowControl w:val="0"/>
        <w:autoSpaceDE w:val="0"/>
        <w:autoSpaceDN w:val="0"/>
        <w:adjustRightInd w:val="0"/>
        <w:jc w:val="center"/>
        <w:rPr>
          <w:rFonts w:eastAsia="Times New Roman"/>
          <w:sz w:val="16"/>
          <w:szCs w:val="16"/>
          <w:lang w:val="es-ES" w:eastAsia="es-ES"/>
        </w:rPr>
      </w:pPr>
    </w:p>
    <w:p w:rsidR="002E0718" w:rsidRPr="002E0718" w:rsidRDefault="002E0718" w:rsidP="002E0718">
      <w:pPr>
        <w:widowControl w:val="0"/>
        <w:autoSpaceDE w:val="0"/>
        <w:autoSpaceDN w:val="0"/>
        <w:adjustRightInd w:val="0"/>
        <w:jc w:val="center"/>
        <w:rPr>
          <w:rFonts w:eastAsia="Times New Roman"/>
          <w:i/>
          <w:szCs w:val="24"/>
          <w:lang w:val="es-ES" w:eastAsia="es-ES"/>
        </w:rPr>
      </w:pPr>
      <w:r w:rsidRPr="002E0718">
        <w:rPr>
          <w:rFonts w:eastAsia="Times New Roman"/>
          <w:i/>
          <w:szCs w:val="24"/>
          <w:lang w:val="es-ES" w:eastAsia="es-ES"/>
        </w:rPr>
        <w:t>(Preparado por la Secretaría del PNUMA/CMS)</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contextualSpacing/>
        <w:jc w:val="both"/>
        <w:rPr>
          <w:rFonts w:eastAsia="Times New Roman"/>
          <w:sz w:val="20"/>
          <w:szCs w:val="24"/>
          <w:lang w:val="es-ES" w:eastAsia="es-ES"/>
        </w:rPr>
      </w:pPr>
    </w:p>
    <w:p w:rsidR="002E0718" w:rsidRPr="002E0718" w:rsidRDefault="002E0718" w:rsidP="00192F3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2E0718">
        <w:rPr>
          <w:rFonts w:eastAsia="Times New Roman"/>
          <w:szCs w:val="24"/>
          <w:lang w:val="es-ES" w:eastAsia="es-ES"/>
        </w:rPr>
        <w:t>En la Resolución 10.15 Programa mundial de trabajo para cetáceos (2012-2024) se dieron instrucciones al Grupo de trabajo del Consejo Científico de la CMS sobre los mamíferos acuáticos (AMWG) para que realizara sus trabajos entre reuniones, y se alentó a la participación de expertos externos, entre ellos los puntos focales para las especies, los órganos científicos o de asesoramiento de todos los acuerdos de la CMS sobre mamíferos acuáticos, los grupos de especialistas pertinentes de la UICN, la FAO/COFI, la CITES, la CBI y las organizaciones asociadas de la CMS.</w:t>
      </w:r>
    </w:p>
    <w:p w:rsidR="002E0718" w:rsidRPr="002E0718" w:rsidRDefault="002E0718" w:rsidP="00192F30">
      <w:pPr>
        <w:widowControl w:val="0"/>
        <w:autoSpaceDE w:val="0"/>
        <w:autoSpaceDN w:val="0"/>
        <w:adjustRightInd w:val="0"/>
        <w:contextualSpacing/>
        <w:jc w:val="both"/>
        <w:rPr>
          <w:rFonts w:eastAsia="Times New Roman"/>
          <w:szCs w:val="24"/>
          <w:lang w:val="es-ES" w:eastAsia="es-ES"/>
        </w:rPr>
      </w:pPr>
    </w:p>
    <w:p w:rsidR="002E0718" w:rsidRPr="002E0718" w:rsidRDefault="002E0718" w:rsidP="00192F3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2E0718">
        <w:rPr>
          <w:rFonts w:eastAsia="Times New Roman"/>
          <w:szCs w:val="24"/>
          <w:lang w:val="es-ES" w:eastAsia="es-ES"/>
        </w:rPr>
        <w:t>El espacio de trabajo del Consejo Científico se utiliza como medio para facilitar esta labor entre reuniones y ofrecer a los expertos externos, muchos de los cuales no pueden asistir a las reuniones del Consejo Científico, la oportunidad de contribuir a las deliberaciones del Consejo.</w:t>
      </w:r>
    </w:p>
    <w:p w:rsidR="002E0718" w:rsidRPr="002E0718" w:rsidRDefault="002E0718" w:rsidP="00192F30">
      <w:pPr>
        <w:widowControl w:val="0"/>
        <w:autoSpaceDE w:val="0"/>
        <w:autoSpaceDN w:val="0"/>
        <w:adjustRightInd w:val="0"/>
        <w:contextualSpacing/>
        <w:rPr>
          <w:rFonts w:eastAsia="Times New Roman"/>
          <w:szCs w:val="24"/>
          <w:lang w:val="es-ES" w:eastAsia="es-ES"/>
        </w:rPr>
      </w:pPr>
    </w:p>
    <w:p w:rsidR="002E0718" w:rsidRDefault="002E0718" w:rsidP="00192F3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2E0718">
        <w:rPr>
          <w:rFonts w:eastAsia="Times New Roman"/>
          <w:szCs w:val="24"/>
          <w:lang w:val="es-ES" w:eastAsia="es-ES"/>
        </w:rPr>
        <w:t>Al examinar las aportaciones del AMWG para la 18ª reunión del Consejo Científico (ScC18), celebrada los días 1-3 de julio de 2014 en Bonn (Alemania), varios miembros del AMWG prepararon un documento básico y proyecto de resolución sobre capturas de cetáceos en vivo en su medio natural para fines comerciales, que publicaron en dicho espacio para su examen.  El AMWGE, en su reunión celebrada durante la ScC18, examinó el tema y cotejó las observaciones que se habían formulado sobre el proyecto de resolución.  El proyecto de resolución revisado fue aprobado por la plenaria del Consejo Científico</w:t>
      </w:r>
      <w:r w:rsidR="008B133C">
        <w:rPr>
          <w:rFonts w:eastAsia="Times New Roman"/>
          <w:szCs w:val="24"/>
          <w:lang w:val="es-ES" w:eastAsia="es-ES"/>
        </w:rPr>
        <w:t xml:space="preserve"> como el adecuado</w:t>
      </w:r>
      <w:r w:rsidRPr="002E0718">
        <w:rPr>
          <w:rFonts w:eastAsia="Times New Roman"/>
          <w:szCs w:val="24"/>
          <w:lang w:val="es-ES" w:eastAsia="es-ES"/>
        </w:rPr>
        <w:t xml:space="preserve"> para su presentación a la COP11, tras el período de formulación de observaciones posterior a dicha reunión.</w:t>
      </w:r>
    </w:p>
    <w:p w:rsidR="008B133C" w:rsidRDefault="008B133C" w:rsidP="008B133C">
      <w:pPr>
        <w:pStyle w:val="ListParagraph"/>
        <w:rPr>
          <w:rFonts w:eastAsia="Times New Roman"/>
          <w:szCs w:val="24"/>
          <w:lang w:val="es-ES" w:eastAsia="es-ES"/>
        </w:rPr>
      </w:pPr>
    </w:p>
    <w:p w:rsidR="008B133C" w:rsidRPr="002E0718" w:rsidRDefault="008B133C" w:rsidP="00192F30">
      <w:pPr>
        <w:widowControl w:val="0"/>
        <w:numPr>
          <w:ilvl w:val="0"/>
          <w:numId w:val="10"/>
        </w:numPr>
        <w:autoSpaceDE w:val="0"/>
        <w:autoSpaceDN w:val="0"/>
        <w:adjustRightInd w:val="0"/>
        <w:ind w:left="0" w:firstLine="0"/>
        <w:contextualSpacing/>
        <w:jc w:val="both"/>
        <w:rPr>
          <w:rFonts w:eastAsia="Times New Roman"/>
          <w:szCs w:val="24"/>
          <w:lang w:val="es-ES" w:eastAsia="es-ES"/>
        </w:rPr>
      </w:pPr>
      <w:r>
        <w:rPr>
          <w:rFonts w:eastAsia="Times New Roman"/>
          <w:szCs w:val="24"/>
          <w:lang w:val="es-ES" w:eastAsia="es-ES"/>
        </w:rPr>
        <w:t>El proyecto de resolución resultante fue luego presentado por el Principado de Mónaco ligeramente enmendado.</w:t>
      </w:r>
    </w:p>
    <w:p w:rsidR="002E0718" w:rsidRPr="002E0718" w:rsidRDefault="002E0718" w:rsidP="00192F30">
      <w:pPr>
        <w:widowControl w:val="0"/>
        <w:autoSpaceDE w:val="0"/>
        <w:autoSpaceDN w:val="0"/>
        <w:adjustRightInd w:val="0"/>
        <w:contextualSpacing/>
        <w:rPr>
          <w:rFonts w:eastAsia="Times New Roman"/>
          <w:szCs w:val="24"/>
          <w:lang w:val="es-ES" w:eastAsia="es-ES"/>
        </w:rPr>
      </w:pPr>
    </w:p>
    <w:p w:rsidR="002E0718" w:rsidRPr="002E0718" w:rsidRDefault="002E0718" w:rsidP="00192F3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2E0718">
        <w:rPr>
          <w:rFonts w:eastAsia="Times New Roman"/>
          <w:szCs w:val="24"/>
          <w:lang w:val="es-ES" w:eastAsia="es-ES"/>
        </w:rPr>
        <w:t>Teniendo en cuenta las aportaciones recibidas durante la ScC18, se ha revisado el documento de base del AMWG, que se adjunta como Anexo 1.  En él se proporcionan detalles sobre los impactos de las capturas en las poblaciones de cetáceos y se ofrecen oportunidades de colaboración con otras organizaciones intergubernamentales.</w:t>
      </w:r>
    </w:p>
    <w:p w:rsidR="002E0718" w:rsidRPr="002E0718" w:rsidRDefault="002E0718" w:rsidP="00192F30">
      <w:pPr>
        <w:widowControl w:val="0"/>
        <w:autoSpaceDE w:val="0"/>
        <w:autoSpaceDN w:val="0"/>
        <w:adjustRightInd w:val="0"/>
        <w:contextualSpacing/>
        <w:rPr>
          <w:rFonts w:eastAsia="Times New Roman"/>
          <w:szCs w:val="24"/>
          <w:lang w:val="es-ES" w:eastAsia="es-ES"/>
        </w:rPr>
      </w:pPr>
    </w:p>
    <w:p w:rsidR="002E0718" w:rsidRPr="002E0718" w:rsidRDefault="002E0718" w:rsidP="00192F3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2E0718">
        <w:rPr>
          <w:rFonts w:eastAsia="Times New Roman"/>
          <w:szCs w:val="24"/>
          <w:lang w:val="es-ES" w:eastAsia="es-ES"/>
        </w:rPr>
        <w:t>El proyecto de resolución</w:t>
      </w:r>
      <w:r w:rsidR="008B133C">
        <w:rPr>
          <w:rFonts w:eastAsia="Times New Roman"/>
          <w:szCs w:val="24"/>
          <w:lang w:val="es-ES" w:eastAsia="es-ES"/>
        </w:rPr>
        <w:t xml:space="preserve"> según fue presentado por el Principado de Mónaco</w:t>
      </w:r>
      <w:bookmarkStart w:id="2" w:name="_GoBack"/>
      <w:bookmarkEnd w:id="2"/>
      <w:r w:rsidRPr="002E0718">
        <w:rPr>
          <w:rFonts w:eastAsia="Times New Roman"/>
          <w:szCs w:val="24"/>
          <w:lang w:val="es-ES" w:eastAsia="es-ES"/>
        </w:rPr>
        <w:t xml:space="preserve"> se adjunta al presente documento como Anexo 2.</w:t>
      </w:r>
    </w:p>
    <w:p w:rsidR="002E0718" w:rsidRPr="002E0718" w:rsidRDefault="002E0718" w:rsidP="00192F30">
      <w:pPr>
        <w:widowControl w:val="0"/>
        <w:autoSpaceDE w:val="0"/>
        <w:autoSpaceDN w:val="0"/>
        <w:adjustRightInd w:val="0"/>
        <w:contextualSpacing/>
        <w:jc w:val="both"/>
        <w:rPr>
          <w:rFonts w:eastAsia="Times New Roman"/>
          <w:szCs w:val="24"/>
          <w:lang w:val="es-ES" w:eastAsia="es-ES"/>
        </w:rPr>
      </w:pPr>
    </w:p>
    <w:p w:rsidR="002E0718" w:rsidRPr="002E0718" w:rsidRDefault="002E0718" w:rsidP="002E0718">
      <w:pPr>
        <w:widowControl w:val="0"/>
        <w:autoSpaceDE w:val="0"/>
        <w:autoSpaceDN w:val="0"/>
        <w:adjustRightInd w:val="0"/>
        <w:contextualSpacing/>
        <w:jc w:val="both"/>
        <w:rPr>
          <w:rFonts w:eastAsia="Times New Roman"/>
          <w:szCs w:val="24"/>
          <w:lang w:val="es-ES" w:eastAsia="es-ES"/>
        </w:rPr>
      </w:pPr>
    </w:p>
    <w:p w:rsidR="002E0718" w:rsidRPr="002E0718" w:rsidRDefault="002E0718" w:rsidP="002E0718">
      <w:pPr>
        <w:widowControl w:val="0"/>
        <w:autoSpaceDE w:val="0"/>
        <w:autoSpaceDN w:val="0"/>
        <w:adjustRightInd w:val="0"/>
        <w:contextualSpacing/>
        <w:rPr>
          <w:rFonts w:eastAsia="Times New Roman"/>
          <w:b/>
          <w:i/>
          <w:szCs w:val="24"/>
          <w:u w:val="single"/>
          <w:lang w:val="es-ES" w:eastAsia="es-ES"/>
        </w:rPr>
      </w:pPr>
      <w:r w:rsidRPr="002E0718">
        <w:rPr>
          <w:rFonts w:eastAsia="Times New Roman"/>
          <w:b/>
          <w:i/>
          <w:szCs w:val="24"/>
          <w:u w:val="single"/>
          <w:lang w:val="es-ES" w:eastAsia="es-ES"/>
        </w:rPr>
        <w:t>Acción que se solicita:</w:t>
      </w:r>
    </w:p>
    <w:p w:rsidR="002E0718" w:rsidRPr="002E0718" w:rsidRDefault="002E0718" w:rsidP="002E0718">
      <w:pPr>
        <w:widowControl w:val="0"/>
        <w:autoSpaceDE w:val="0"/>
        <w:autoSpaceDN w:val="0"/>
        <w:adjustRightInd w:val="0"/>
        <w:contextualSpacing/>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Se solicita a la Conferencia de las Partes que:</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contextualSpacing/>
        <w:jc w:val="both"/>
        <w:rPr>
          <w:rFonts w:eastAsia="Times New Roman"/>
          <w:szCs w:val="24"/>
          <w:lang w:val="es-ES" w:eastAsia="es-ES"/>
        </w:rPr>
      </w:pPr>
      <w:r w:rsidRPr="002E0718">
        <w:rPr>
          <w:rFonts w:eastAsia="Times New Roman"/>
          <w:szCs w:val="24"/>
          <w:lang w:val="es-ES" w:eastAsia="es-ES"/>
        </w:rPr>
        <w:t>a)</w:t>
      </w:r>
      <w:r w:rsidRPr="002E0718">
        <w:rPr>
          <w:rFonts w:eastAsia="Times New Roman"/>
          <w:szCs w:val="24"/>
          <w:lang w:val="es-ES" w:eastAsia="es-ES"/>
        </w:rPr>
        <w:tab/>
        <w:t>Apruebe el proyecto de resolución que figura en el Anexo 2.</w:t>
      </w:r>
    </w:p>
    <w:p w:rsidR="00192F30" w:rsidRDefault="00192F30" w:rsidP="002E0718">
      <w:pPr>
        <w:rPr>
          <w:rFonts w:eastAsia="Times New Roman"/>
          <w:szCs w:val="24"/>
          <w:lang w:val="es-ES" w:eastAsia="es-ES"/>
        </w:rPr>
        <w:sectPr w:rsidR="00192F30" w:rsidSect="00D6057F">
          <w:headerReference w:type="even" r:id="rId15"/>
          <w:headerReference w:type="default" r:id="rId16"/>
          <w:headerReference w:type="first" r:id="rId17"/>
          <w:footerReference w:type="first" r:id="rId18"/>
          <w:pgSz w:w="11907" w:h="16840" w:code="9"/>
          <w:pgMar w:top="1418" w:right="1418" w:bottom="1418" w:left="1418" w:header="510" w:footer="510" w:gutter="0"/>
          <w:cols w:space="720"/>
          <w:titlePg/>
          <w:docGrid w:linePitch="360"/>
        </w:sectPr>
      </w:pPr>
    </w:p>
    <w:p w:rsidR="002E0718" w:rsidRPr="002E0718" w:rsidRDefault="002E0718" w:rsidP="002E0718">
      <w:pPr>
        <w:rPr>
          <w:rFonts w:eastAsia="Times New Roman"/>
          <w:szCs w:val="24"/>
          <w:lang w:val="es-ES" w:eastAsia="es-ES"/>
        </w:rPr>
      </w:pPr>
    </w:p>
    <w:p w:rsidR="002E0718" w:rsidRPr="002E0718" w:rsidRDefault="002E0718" w:rsidP="002E0718">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eastAsia="Times New Roman"/>
          <w:b/>
          <w:caps/>
          <w:szCs w:val="24"/>
          <w:lang w:val="es-ES" w:eastAsia="es-ES"/>
        </w:rPr>
      </w:pPr>
      <w:r w:rsidRPr="002E0718">
        <w:rPr>
          <w:rFonts w:eastAsia="Times New Roman"/>
          <w:b/>
          <w:bCs/>
          <w:caps/>
          <w:szCs w:val="24"/>
          <w:lang w:val="es-ES" w:eastAsia="es-ES"/>
        </w:rPr>
        <w:t>Anexo 1</w:t>
      </w:r>
    </w:p>
    <w:p w:rsidR="002E0718" w:rsidRPr="002E0718" w:rsidRDefault="002E0718" w:rsidP="002E0718">
      <w:pPr>
        <w:widowControl w:val="0"/>
        <w:autoSpaceDE w:val="0"/>
        <w:autoSpaceDN w:val="0"/>
        <w:adjustRightInd w:val="0"/>
        <w:rPr>
          <w:rFonts w:eastAsia="Times New Roman"/>
          <w:sz w:val="20"/>
          <w:szCs w:val="24"/>
          <w:lang w:val="es-ES" w:eastAsia="es-ES"/>
        </w:rPr>
      </w:pPr>
    </w:p>
    <w:p w:rsidR="002E0718" w:rsidRPr="002E0718" w:rsidRDefault="002E0718" w:rsidP="002E0718">
      <w:pPr>
        <w:widowControl w:val="0"/>
        <w:autoSpaceDE w:val="0"/>
        <w:autoSpaceDN w:val="0"/>
        <w:adjustRightInd w:val="0"/>
        <w:jc w:val="center"/>
        <w:rPr>
          <w:rFonts w:eastAsia="Times New Roman"/>
          <w:b/>
          <w:szCs w:val="24"/>
          <w:lang w:val="es-ES" w:eastAsia="es-ES"/>
        </w:rPr>
      </w:pPr>
      <w:r w:rsidRPr="002E0718">
        <w:rPr>
          <w:rFonts w:eastAsia="Times New Roman"/>
          <w:b/>
          <w:szCs w:val="24"/>
          <w:lang w:val="es-ES" w:eastAsia="es-ES"/>
        </w:rPr>
        <w:t xml:space="preserve">DOCUMENTO BÁSICO DE APOYO AL PROYECTO DE RESOLUCIÓN SOBRE </w:t>
      </w:r>
    </w:p>
    <w:p w:rsidR="002E0718" w:rsidRPr="002E0718" w:rsidRDefault="002E0718" w:rsidP="002E0718">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2E0718">
        <w:rPr>
          <w:rFonts w:eastAsia="Times New Roman"/>
          <w:b/>
          <w:bCs/>
          <w:caps/>
          <w:szCs w:val="24"/>
          <w:lang w:val="es-ES" w:eastAsia="es-ES"/>
        </w:rPr>
        <w:t>Capturas de cetáceos en vivo en su medio natural</w:t>
      </w:r>
    </w:p>
    <w:p w:rsidR="002E0718" w:rsidRPr="002E0718" w:rsidRDefault="002E0718" w:rsidP="002E0718">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2E0718">
        <w:rPr>
          <w:rFonts w:eastAsia="Times New Roman"/>
          <w:b/>
          <w:bCs/>
          <w:caps/>
          <w:szCs w:val="24"/>
          <w:lang w:val="es-ES" w:eastAsia="es-ES"/>
        </w:rPr>
        <w:t>para fines comerciales</w:t>
      </w:r>
    </w:p>
    <w:p w:rsidR="002E0718" w:rsidRPr="002E0718" w:rsidRDefault="002E0718" w:rsidP="002E0718">
      <w:pPr>
        <w:widowControl w:val="0"/>
        <w:autoSpaceDE w:val="0"/>
        <w:autoSpaceDN w:val="0"/>
        <w:adjustRightInd w:val="0"/>
        <w:jc w:val="center"/>
        <w:rPr>
          <w:rFonts w:eastAsia="Times New Roman"/>
          <w:i/>
          <w:szCs w:val="24"/>
          <w:lang w:val="es-ES" w:eastAsia="es-ES"/>
        </w:rPr>
      </w:pPr>
    </w:p>
    <w:p w:rsidR="002E0718" w:rsidRPr="002E0718" w:rsidRDefault="002E0718" w:rsidP="002E0718">
      <w:pPr>
        <w:widowControl w:val="0"/>
        <w:autoSpaceDE w:val="0"/>
        <w:autoSpaceDN w:val="0"/>
        <w:adjustRightInd w:val="0"/>
        <w:jc w:val="center"/>
        <w:rPr>
          <w:rFonts w:eastAsia="Times New Roman"/>
          <w:i/>
          <w:szCs w:val="24"/>
          <w:lang w:val="es-ES" w:eastAsia="es-ES"/>
        </w:rPr>
      </w:pPr>
      <w:r w:rsidRPr="002E0718">
        <w:rPr>
          <w:rFonts w:eastAsia="Times New Roman"/>
          <w:i/>
          <w:szCs w:val="24"/>
          <w:lang w:val="es-ES" w:eastAsia="es-ES"/>
        </w:rPr>
        <w:t>(Grupo de trabajo del Consejo Científico sobre los mamíferos acuáticos)</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b/>
          <w:szCs w:val="24"/>
          <w:lang w:val="es-ES" w:eastAsia="es-ES"/>
        </w:rPr>
      </w:pPr>
      <w:r w:rsidRPr="002E0718">
        <w:rPr>
          <w:rFonts w:eastAsia="Times New Roman"/>
          <w:b/>
          <w:szCs w:val="24"/>
          <w:lang w:val="es-ES" w:eastAsia="es-ES"/>
        </w:rPr>
        <w:t>Introducción</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Las capturas de pequeños cetáceos en su medio natural, en particular de belugas (</w:t>
      </w:r>
      <w:r w:rsidRPr="002E0718">
        <w:rPr>
          <w:rFonts w:eastAsia="Times New Roman"/>
          <w:i/>
          <w:szCs w:val="24"/>
          <w:lang w:val="es-ES" w:eastAsia="es-ES"/>
        </w:rPr>
        <w:t>Delphinapterus leucas</w:t>
      </w:r>
      <w:r w:rsidRPr="002E0718">
        <w:rPr>
          <w:rFonts w:eastAsia="Times New Roman"/>
          <w:szCs w:val="24"/>
          <w:lang w:val="es-ES" w:eastAsia="es-ES"/>
        </w:rPr>
        <w:t xml:space="preserve">), botos </w:t>
      </w:r>
      <w:r w:rsidRPr="002E0718">
        <w:rPr>
          <w:rFonts w:eastAsia="Times New Roman"/>
          <w:i/>
          <w:szCs w:val="24"/>
          <w:lang w:val="es-ES" w:eastAsia="es-ES"/>
        </w:rPr>
        <w:t>(Inia geoffrensis</w:t>
      </w:r>
      <w:r w:rsidRPr="002E0718">
        <w:rPr>
          <w:rFonts w:eastAsia="Times New Roman"/>
          <w:szCs w:val="24"/>
          <w:lang w:val="es-ES" w:eastAsia="es-ES"/>
        </w:rPr>
        <w:t>), delfines mulares (</w:t>
      </w:r>
      <w:r w:rsidRPr="002E0718">
        <w:rPr>
          <w:rFonts w:eastAsia="Times New Roman"/>
          <w:i/>
          <w:szCs w:val="24"/>
          <w:lang w:val="es-ES" w:eastAsia="es-ES"/>
        </w:rPr>
        <w:t>Tursiops truncatus</w:t>
      </w:r>
      <w:r w:rsidRPr="002E0718">
        <w:rPr>
          <w:rFonts w:eastAsia="Times New Roman"/>
          <w:szCs w:val="24"/>
          <w:lang w:val="es-ES" w:eastAsia="es-ES"/>
        </w:rPr>
        <w:t>), orcas falsas (</w:t>
      </w:r>
      <w:r w:rsidRPr="002E0718">
        <w:rPr>
          <w:rFonts w:eastAsia="Times New Roman"/>
          <w:i/>
          <w:szCs w:val="24"/>
          <w:lang w:val="es-ES" w:eastAsia="es-ES"/>
        </w:rPr>
        <w:t>Pseudorca crassidens</w:t>
      </w:r>
      <w:r w:rsidRPr="002E0718">
        <w:rPr>
          <w:rFonts w:eastAsia="Times New Roman"/>
          <w:szCs w:val="24"/>
          <w:lang w:val="es-ES" w:eastAsia="es-ES"/>
        </w:rPr>
        <w:t xml:space="preserve">), </w:t>
      </w:r>
      <w:r w:rsidR="00192F30" w:rsidRPr="002E0718">
        <w:rPr>
          <w:rFonts w:eastAsia="Times New Roman"/>
          <w:szCs w:val="24"/>
          <w:lang w:val="es-ES" w:eastAsia="es-ES"/>
        </w:rPr>
        <w:t>delfines</w:t>
      </w:r>
      <w:r w:rsidRPr="002E0718">
        <w:rPr>
          <w:rFonts w:eastAsia="Times New Roman"/>
          <w:szCs w:val="24"/>
          <w:lang w:val="es-ES" w:eastAsia="es-ES"/>
        </w:rPr>
        <w:t xml:space="preserve"> mulares del Indo-Pacífico (</w:t>
      </w:r>
      <w:r w:rsidRPr="002E0718">
        <w:rPr>
          <w:rFonts w:eastAsia="Times New Roman"/>
          <w:i/>
          <w:szCs w:val="24"/>
          <w:lang w:val="es-ES" w:eastAsia="es-ES"/>
        </w:rPr>
        <w:t>Tursiops aduncus</w:t>
      </w:r>
      <w:r w:rsidRPr="002E0718">
        <w:rPr>
          <w:rFonts w:eastAsia="Times New Roman"/>
          <w:szCs w:val="24"/>
          <w:lang w:val="es-ES" w:eastAsia="es-ES"/>
        </w:rPr>
        <w:t>), delfines jorobados del Indo-Pacífico (</w:t>
      </w:r>
      <w:r w:rsidRPr="002E0718">
        <w:rPr>
          <w:rFonts w:eastAsia="Times New Roman"/>
          <w:i/>
          <w:szCs w:val="24"/>
          <w:lang w:val="es-ES" w:eastAsia="es-ES"/>
        </w:rPr>
        <w:t>Sousa chinensis</w:t>
      </w:r>
      <w:r w:rsidRPr="002E0718">
        <w:rPr>
          <w:rFonts w:eastAsia="Times New Roman"/>
          <w:szCs w:val="24"/>
          <w:lang w:val="es-ES" w:eastAsia="es-ES"/>
        </w:rPr>
        <w:t xml:space="preserve">), </w:t>
      </w:r>
      <w:r w:rsidR="00192F30" w:rsidRPr="002E0718">
        <w:rPr>
          <w:rFonts w:eastAsia="Times New Roman"/>
          <w:szCs w:val="24"/>
          <w:lang w:val="es-ES" w:eastAsia="es-ES"/>
        </w:rPr>
        <w:t>delfines</w:t>
      </w:r>
      <w:r w:rsidRPr="002E0718">
        <w:rPr>
          <w:rFonts w:eastAsia="Times New Roman"/>
          <w:szCs w:val="24"/>
          <w:lang w:val="es-ES" w:eastAsia="es-ES"/>
        </w:rPr>
        <w:t xml:space="preserve"> del río Irawadi (</w:t>
      </w:r>
      <w:r w:rsidRPr="002E0718">
        <w:rPr>
          <w:rFonts w:eastAsia="Times New Roman"/>
          <w:i/>
          <w:szCs w:val="24"/>
          <w:lang w:val="es-ES" w:eastAsia="es-ES"/>
        </w:rPr>
        <w:t>brevirostris brevirostris</w:t>
      </w:r>
      <w:r w:rsidRPr="002E0718">
        <w:rPr>
          <w:rFonts w:eastAsia="Times New Roman"/>
          <w:szCs w:val="24"/>
          <w:lang w:val="es-ES" w:eastAsia="es-ES"/>
        </w:rPr>
        <w:t>), orcas (</w:t>
      </w:r>
      <w:r w:rsidRPr="002E0718">
        <w:rPr>
          <w:rFonts w:eastAsia="Times New Roman"/>
          <w:i/>
          <w:szCs w:val="24"/>
          <w:lang w:val="es-ES" w:eastAsia="es-ES"/>
        </w:rPr>
        <w:t>Orcinus orca</w:t>
      </w:r>
      <w:r w:rsidRPr="002E0718">
        <w:rPr>
          <w:rFonts w:eastAsia="Times New Roman"/>
          <w:szCs w:val="24"/>
          <w:lang w:val="es-ES" w:eastAsia="es-ES"/>
        </w:rPr>
        <w:t>), delfines de costados blancos del Pacífico (</w:t>
      </w:r>
      <w:r w:rsidRPr="002E0718">
        <w:rPr>
          <w:rFonts w:eastAsia="Times New Roman"/>
          <w:i/>
          <w:szCs w:val="24"/>
          <w:lang w:val="es-ES" w:eastAsia="es-ES"/>
        </w:rPr>
        <w:t>Lagenorhynchus obliquidens</w:t>
      </w:r>
      <w:r w:rsidRPr="002E0718">
        <w:rPr>
          <w:rFonts w:eastAsia="Times New Roman"/>
          <w:szCs w:val="24"/>
          <w:lang w:val="es-ES" w:eastAsia="es-ES"/>
        </w:rPr>
        <w:t>), delfines grises (</w:t>
      </w:r>
      <w:r w:rsidRPr="002E0718">
        <w:rPr>
          <w:rFonts w:eastAsia="Times New Roman"/>
          <w:i/>
          <w:szCs w:val="24"/>
          <w:lang w:val="es-ES" w:eastAsia="es-ES"/>
        </w:rPr>
        <w:t>Grampus griseus</w:t>
      </w:r>
      <w:r w:rsidRPr="002E0718">
        <w:rPr>
          <w:rFonts w:eastAsia="Times New Roman"/>
          <w:szCs w:val="24"/>
          <w:lang w:val="es-ES" w:eastAsia="es-ES"/>
        </w:rPr>
        <w:t>) y calderones de aletas cortas (</w:t>
      </w:r>
      <w:r w:rsidRPr="002E0718">
        <w:rPr>
          <w:rFonts w:eastAsia="Times New Roman"/>
          <w:i/>
          <w:szCs w:val="24"/>
          <w:lang w:val="es-ES" w:eastAsia="es-ES"/>
        </w:rPr>
        <w:t>Globicephala macrorhynchus</w:t>
      </w:r>
      <w:r w:rsidRPr="002E0718">
        <w:rPr>
          <w:rFonts w:eastAsia="Times New Roman"/>
          <w:szCs w:val="24"/>
          <w:lang w:val="es-ES" w:eastAsia="es-ES"/>
        </w:rPr>
        <w:t xml:space="preserve">), continúan </w:t>
      </w:r>
      <w:r w:rsidR="00192F30" w:rsidRPr="002E0718">
        <w:rPr>
          <w:rFonts w:eastAsia="Times New Roman"/>
          <w:szCs w:val="24"/>
          <w:lang w:val="es-ES" w:eastAsia="es-ES"/>
        </w:rPr>
        <w:t>practicándose</w:t>
      </w:r>
      <w:r w:rsidRPr="002E0718">
        <w:rPr>
          <w:rFonts w:eastAsia="Times New Roman"/>
          <w:szCs w:val="24"/>
          <w:lang w:val="es-ES" w:eastAsia="es-ES"/>
        </w:rPr>
        <w:t xml:space="preserve"> en varios países para exhibición pública en parques marinos nacionales e internacionales, acuarios y espectáculos itinerantes.</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Las actividades humanas pueden alterar las características fundamentales de las poblaciones de animales, tales como su socioecología y su biología de población. Los cetáceos forman parte de grupos bien organizados para asegurar, entre otras cosas, la alimentación, la defensa contra los depredadores y la transmisión del comportamiento especializado entre generaciones</w:t>
      </w:r>
      <w:r w:rsidRPr="002E0718">
        <w:rPr>
          <w:rFonts w:eastAsia="Times New Roman"/>
          <w:szCs w:val="24"/>
          <w:vertAlign w:val="superscript"/>
          <w:lang w:val="es-ES" w:eastAsia="es-ES"/>
        </w:rPr>
        <w:footnoteReference w:id="1"/>
      </w:r>
      <w:r w:rsidRPr="002E0718">
        <w:rPr>
          <w:rFonts w:eastAsia="Times New Roman"/>
          <w:szCs w:val="24"/>
          <w:lang w:val="es-ES" w:eastAsia="es-ES"/>
        </w:rPr>
        <w:t>. La eliminación de individuos de cetáceos que entrañan una importancia decisiva para la cohesión social en las poblaciones de cetáceos puede producir consecuencias negativas duraderas para la viabilidad de la población</w:t>
      </w:r>
      <w:r w:rsidRPr="002E0718">
        <w:rPr>
          <w:rFonts w:eastAsia="Times New Roman"/>
          <w:szCs w:val="24"/>
          <w:vertAlign w:val="superscript"/>
          <w:lang w:val="es-ES" w:eastAsia="es-ES"/>
        </w:rPr>
        <w:footnoteReference w:id="2"/>
      </w:r>
      <w:r w:rsidRPr="002E0718">
        <w:rPr>
          <w:rFonts w:eastAsia="Times New Roman"/>
          <w:szCs w:val="24"/>
          <w:lang w:val="es-ES" w:eastAsia="es-ES"/>
        </w:rPr>
        <w:t>. Una gestión basada en el supuesto de que todos los individuos desempeñan funciones sociales similares en su población puede tener consecuencias imprevistas en la dinámica de las poblaciones de fauna silvestres</w:t>
      </w:r>
      <w:r w:rsidRPr="002E0718">
        <w:rPr>
          <w:rFonts w:eastAsia="Times New Roman"/>
          <w:szCs w:val="24"/>
          <w:vertAlign w:val="superscript"/>
          <w:lang w:val="es-ES" w:eastAsia="es-ES"/>
        </w:rPr>
        <w:footnoteReference w:id="3"/>
      </w:r>
      <w:r w:rsidRPr="002E0718">
        <w:rPr>
          <w:rFonts w:eastAsia="Times New Roman"/>
          <w:szCs w:val="24"/>
          <w:lang w:val="es-ES" w:eastAsia="es-ES"/>
        </w:rPr>
        <w:t xml:space="preserve">.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Las operaciones de captura de ejemplares vivos suelen centrarse normalmente en jóvenes delfines hembras cuyo temperamento hace que sean más fáciles de domesticar en los acuarios. La preferencia por la captura de hembras jóvenes es otro motivo de preocupación para la conservación.</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b/>
          <w:szCs w:val="24"/>
          <w:lang w:val="es-ES" w:eastAsia="es-ES"/>
        </w:rPr>
      </w:pPr>
      <w:r w:rsidRPr="002E0718">
        <w:rPr>
          <w:rFonts w:eastAsia="Times New Roman"/>
          <w:b/>
          <w:szCs w:val="24"/>
          <w:lang w:val="es-ES" w:eastAsia="es-ES"/>
        </w:rPr>
        <w:t xml:space="preserve">Impacto de las capturas en las poblaciones de cetáceos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El Grupo de especialista en cetáceos de la UICN recomienda que no se capturen ni se extraigan delfines de una población silvestre a no ser que se haya evaluado tal población específica y se haya determinado que se puede permitir una cierta cantidad de descarte selectivo sin reducir la viabilidad a largo plazo de la población o comprometer su función en el ecosistema</w:t>
      </w:r>
      <w:r w:rsidRPr="002E0718">
        <w:rPr>
          <w:rFonts w:eastAsia="Times New Roman"/>
          <w:szCs w:val="24"/>
          <w:vertAlign w:val="superscript"/>
          <w:lang w:val="es-ES" w:eastAsia="es-ES"/>
        </w:rPr>
        <w:footnoteReference w:id="4"/>
      </w:r>
      <w:r w:rsidRPr="002E0718">
        <w:rPr>
          <w:rFonts w:eastAsia="Times New Roman"/>
          <w:szCs w:val="24"/>
          <w:lang w:val="es-ES" w:eastAsia="es-ES"/>
        </w:rPr>
        <w:t>. Tras verificar la idoneidad de diez métodos de evaluación de la sostenibilidad de la extracción de pequeños cetáceos, el Grupo observó que las tasas de mortalidad antropogénica (todas las causas) superiores al 2% son insostenibles, mientras que las tasas superiores al 1% se consideran problemáticas en siete de los diez métodos examinados y deberían dar lugar a la investigación inmediata del estado de la población</w:t>
      </w:r>
      <w:r w:rsidRPr="002E0718">
        <w:rPr>
          <w:rFonts w:eastAsia="Times New Roman"/>
          <w:szCs w:val="24"/>
          <w:vertAlign w:val="superscript"/>
          <w:lang w:val="es-ES" w:eastAsia="es-ES"/>
        </w:rPr>
        <w:footnoteReference w:id="5"/>
      </w:r>
      <w:r w:rsidRPr="002E0718">
        <w:rPr>
          <w:rFonts w:eastAsia="Times New Roman"/>
          <w:szCs w:val="24"/>
          <w:lang w:val="es-ES" w:eastAsia="es-ES"/>
        </w:rPr>
        <w:t>.</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Durante décadas la Comisión Ballenera Internacional (CBI) y otros órganos científicos han venido expresando sus preocupaciones sobre la sostenibilidad de la caza o la pesca selectivas de delfines en Japón</w:t>
      </w:r>
      <w:r w:rsidRPr="002E0718">
        <w:rPr>
          <w:rFonts w:eastAsia="Times New Roman"/>
          <w:szCs w:val="24"/>
          <w:vertAlign w:val="superscript"/>
          <w:lang w:val="es-ES" w:eastAsia="es-ES"/>
        </w:rPr>
        <w:footnoteReference w:id="6"/>
      </w:r>
      <w:r w:rsidRPr="002E0718">
        <w:rPr>
          <w:rFonts w:eastAsia="Times New Roman"/>
          <w:szCs w:val="24"/>
          <w:lang w:val="es-ES" w:eastAsia="es-ES"/>
        </w:rPr>
        <w:t>.  Desde el año 2000, se han capturados en total 1.451 delfines en aguas de Japón para la industria del acuario</w:t>
      </w:r>
      <w:r w:rsidRPr="002E0718">
        <w:rPr>
          <w:rFonts w:eastAsia="Times New Roman"/>
          <w:szCs w:val="24"/>
          <w:vertAlign w:val="superscript"/>
          <w:lang w:val="es-ES" w:eastAsia="es-ES"/>
        </w:rPr>
        <w:footnoteReference w:id="7"/>
      </w:r>
      <w:r w:rsidRPr="002E0718">
        <w:rPr>
          <w:rFonts w:eastAsia="Times New Roman"/>
          <w:szCs w:val="24"/>
          <w:lang w:val="es-ES" w:eastAsia="es-ES"/>
        </w:rPr>
        <w:t>. En 2014, el Comité Científico de la CBI convino en que el problema de las extracciones totales en la pesca selectiva (incluidas las extracciones de ejemplares vivos) debía analizarse más atentamente e incorporarse en las evaluaciones de población. Señaló también la falta de datos actuales sea de la identidad que del tamaño de las poblaciones de delfines mulares (</w:t>
      </w:r>
      <w:r w:rsidRPr="002E0718">
        <w:rPr>
          <w:rFonts w:eastAsia="Times New Roman"/>
          <w:i/>
          <w:szCs w:val="24"/>
          <w:lang w:val="es-ES" w:eastAsia="es-ES"/>
        </w:rPr>
        <w:t>Tursiops truncatus</w:t>
      </w:r>
      <w:r w:rsidRPr="002E0718">
        <w:rPr>
          <w:rFonts w:eastAsia="Times New Roman"/>
          <w:szCs w:val="24"/>
          <w:lang w:val="es-ES" w:eastAsia="es-ES"/>
        </w:rPr>
        <w:t>) en las aguas de Taiji, donde tienen lugar las cacerías</w:t>
      </w:r>
      <w:r w:rsidRPr="002E0718">
        <w:rPr>
          <w:rFonts w:eastAsia="Times New Roman"/>
          <w:szCs w:val="24"/>
          <w:vertAlign w:val="superscript"/>
          <w:lang w:val="es-ES" w:eastAsia="es-ES"/>
        </w:rPr>
        <w:footnoteReference w:id="8"/>
      </w:r>
      <w:r w:rsidRPr="002E0718">
        <w:rPr>
          <w:rFonts w:eastAsia="Times New Roman"/>
          <w:szCs w:val="24"/>
          <w:lang w:val="es-ES" w:eastAsia="es-ES"/>
        </w:rPr>
        <w:t xml:space="preserve">.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En 2013, el Comité Científico de la CBI convino en que era muy probable que el plan de gestión actual para los belugas (</w:t>
      </w:r>
      <w:r w:rsidRPr="002E0718">
        <w:rPr>
          <w:rFonts w:eastAsia="Times New Roman"/>
          <w:i/>
          <w:szCs w:val="24"/>
          <w:lang w:val="es-ES" w:eastAsia="es-ES"/>
        </w:rPr>
        <w:t>Delphinapterus leucas</w:t>
      </w:r>
      <w:r w:rsidRPr="002E0718">
        <w:rPr>
          <w:rFonts w:eastAsia="Times New Roman"/>
          <w:szCs w:val="24"/>
          <w:lang w:val="es-ES" w:eastAsia="es-ES"/>
        </w:rPr>
        <w:t>) capturados vivos en el mar de Ojotsk diera lugar a niveles de extracción insostenibles, exponiendo al menos a la agregación de verano de Sakhalin-Amur en la bahía de Sakhalinsky a alto riesgo de agotamiento. El Comité Científico expresó luego sus preocupaciones de que es probable que el cupo interno de Rusia para la región donde se concentran las operaciones de captura en vivo sea por lo menos de seis a ocho veces superior al nivel sostenible</w:t>
      </w:r>
      <w:r w:rsidRPr="002E0718">
        <w:rPr>
          <w:rFonts w:eastAsia="Times New Roman"/>
          <w:szCs w:val="24"/>
          <w:vertAlign w:val="superscript"/>
          <w:lang w:val="es-ES" w:eastAsia="es-ES"/>
        </w:rPr>
        <w:footnoteReference w:id="9"/>
      </w:r>
      <w:r w:rsidRPr="002E0718">
        <w:rPr>
          <w:rFonts w:eastAsia="Times New Roman"/>
          <w:szCs w:val="24"/>
          <w:lang w:val="es-ES" w:eastAsia="es-ES"/>
        </w:rPr>
        <w:t>.  En 2014, el Comité Científico expresó su profunda preocupación por que la extracción de 81 belugas en vivo, con otros 12 ejemplares confirmados y más de 30 muertes supuestas en el verano de 2013, sea insostenible para esta agregación local de verano</w:t>
      </w:r>
      <w:r w:rsidRPr="002E0718">
        <w:rPr>
          <w:rFonts w:eastAsia="Times New Roman"/>
          <w:szCs w:val="24"/>
          <w:vertAlign w:val="superscript"/>
          <w:lang w:val="es-ES" w:eastAsia="es-ES"/>
        </w:rPr>
        <w:footnoteReference w:id="10"/>
      </w:r>
      <w:r w:rsidRPr="002E0718">
        <w:rPr>
          <w:rFonts w:eastAsia="Times New Roman"/>
          <w:szCs w:val="24"/>
          <w:lang w:val="es-ES" w:eastAsia="es-ES"/>
        </w:rPr>
        <w:t>.</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De 2002 a 2011 se habían capturado vivas seis orcas (</w:t>
      </w:r>
      <w:r w:rsidRPr="002E0718">
        <w:rPr>
          <w:rFonts w:eastAsia="Times New Roman"/>
          <w:i/>
          <w:szCs w:val="24"/>
          <w:lang w:val="es-ES" w:eastAsia="es-ES"/>
        </w:rPr>
        <w:t>Orcinus orca</w:t>
      </w:r>
      <w:r w:rsidRPr="002E0718">
        <w:rPr>
          <w:rFonts w:eastAsia="Times New Roman"/>
          <w:szCs w:val="24"/>
          <w:lang w:val="es-ES" w:eastAsia="es-ES"/>
        </w:rPr>
        <w:t>) en diferentes zonas del extremo oriental de Rusia y en 2012-2013 se notificaron otras siete capturas más de ejemplares vivos en la zona occidental del Mar de Ojotsk</w:t>
      </w:r>
      <w:r w:rsidRPr="002E0718">
        <w:rPr>
          <w:rFonts w:eastAsia="Times New Roman"/>
          <w:szCs w:val="24"/>
          <w:vertAlign w:val="superscript"/>
          <w:lang w:val="es-ES" w:eastAsia="es-ES"/>
        </w:rPr>
        <w:footnoteReference w:id="11"/>
      </w:r>
      <w:r w:rsidRPr="002E0718">
        <w:rPr>
          <w:rFonts w:eastAsia="Times New Roman"/>
          <w:szCs w:val="24"/>
          <w:lang w:val="es-ES" w:eastAsia="es-ES"/>
        </w:rPr>
        <w:t>.  En 2014, el Comité Científico de la CBI examinó su preocupación por estas capturas, y en particular la incertidumbre en cuanto a la identificación del ecotipo, señalando también las pruebas de que las orcas residentes y las transitorias pertenecen a poblaciones reproductivamente aisladas</w:t>
      </w:r>
      <w:r w:rsidRPr="002E0718">
        <w:rPr>
          <w:rFonts w:eastAsia="Times New Roman"/>
          <w:szCs w:val="24"/>
          <w:vertAlign w:val="superscript"/>
          <w:lang w:val="es-ES" w:eastAsia="es-ES"/>
        </w:rPr>
        <w:footnoteReference w:id="12"/>
      </w:r>
      <w:r w:rsidRPr="002E0718">
        <w:rPr>
          <w:rFonts w:eastAsia="Times New Roman"/>
          <w:szCs w:val="24"/>
          <w:lang w:val="es-ES" w:eastAsia="es-ES"/>
        </w:rPr>
        <w:t xml:space="preserve"> y recomendando que las orcas transitorias y las residentes fueran tratadas como unidades diferenciadas. El Comité reiteró su recomendación de larga data de que no deberían autorizarse las extracciones de pequeños cetáceos (captura en vivo o captura selectiva) hasta que no se hubiera realizado una evaluación plena y completa de su sostenibilidad</w:t>
      </w:r>
      <w:r w:rsidRPr="002E0718">
        <w:rPr>
          <w:rFonts w:eastAsia="Times New Roman"/>
          <w:szCs w:val="24"/>
          <w:vertAlign w:val="superscript"/>
          <w:lang w:val="es-ES" w:eastAsia="es-ES"/>
        </w:rPr>
        <w:footnoteReference w:id="13"/>
      </w:r>
      <w:r w:rsidRPr="002E0718">
        <w:rPr>
          <w:rFonts w:eastAsia="Times New Roman"/>
          <w:szCs w:val="24"/>
          <w:lang w:val="es-ES" w:eastAsia="es-ES"/>
        </w:rPr>
        <w:t>.</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Los cálculos relativos a dos poblaciones de delfines mulares (</w:t>
      </w:r>
      <w:r w:rsidRPr="002E0718">
        <w:rPr>
          <w:rFonts w:eastAsia="Times New Roman"/>
          <w:i/>
          <w:szCs w:val="24"/>
          <w:lang w:val="es-ES" w:eastAsia="es-ES"/>
        </w:rPr>
        <w:t>Tursiops aduncus</w:t>
      </w:r>
      <w:r w:rsidRPr="002E0718">
        <w:rPr>
          <w:rFonts w:eastAsia="Times New Roman"/>
          <w:szCs w:val="24"/>
          <w:lang w:val="es-ES" w:eastAsia="es-ES"/>
        </w:rPr>
        <w:t>) sometidas a captura en vivo en las Islas Salomón determinaron una tasa de extracción inferior a un delfín cada cinco años e inferior a dos delfines cada cinco años respectivamente. Sobre la base de estos cálculos, se observó que el cupo de exportación autorizado por el Gobierno de las Islas Salomón (50 delfines por año) y el número efectivo de delfines exportados desde 2003 (promedio de 12 delfines por año) resultaba insostenible si se concentraba en una o pocas poblaciones locales, como ha sucedido hasta ahora</w:t>
      </w:r>
      <w:r w:rsidRPr="002E0718">
        <w:rPr>
          <w:rFonts w:eastAsia="Times New Roman"/>
          <w:szCs w:val="24"/>
          <w:vertAlign w:val="superscript"/>
          <w:lang w:val="es-ES" w:eastAsia="es-ES"/>
        </w:rPr>
        <w:footnoteReference w:id="14"/>
      </w:r>
      <w:r w:rsidRPr="002E0718">
        <w:rPr>
          <w:rFonts w:eastAsia="Times New Roman"/>
          <w:szCs w:val="24"/>
          <w:lang w:val="es-ES" w:eastAsia="es-ES"/>
        </w:rPr>
        <w:t xml:space="preserve">.  En la reunión del Comité Permanente de la CITES celebrada en 2014, se acordó que si en las Islas Salomón se deseaban reanudar las exportaciones de especímenes de </w:t>
      </w:r>
      <w:r w:rsidRPr="002E0718">
        <w:rPr>
          <w:rFonts w:eastAsia="Times New Roman"/>
          <w:i/>
          <w:szCs w:val="24"/>
          <w:lang w:val="es-ES" w:eastAsia="es-ES"/>
        </w:rPr>
        <w:t>Tursiops aduncus</w:t>
      </w:r>
      <w:r w:rsidRPr="002E0718">
        <w:rPr>
          <w:rFonts w:eastAsia="Times New Roman"/>
          <w:szCs w:val="24"/>
          <w:lang w:val="es-ES" w:eastAsia="es-ES"/>
        </w:rPr>
        <w:t xml:space="preserve"> utilizando permisos expedidos con arreglo al Artículo IV de la Convención de la CITES, debería proporcionar primero a la Secretaría detalles de la base utilizada para su dictamen de extracción no perjudicial (DENP).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i/>
          <w:szCs w:val="24"/>
          <w:lang w:val="es-ES" w:eastAsia="es-ES"/>
        </w:rPr>
      </w:pPr>
      <w:r w:rsidRPr="002E0718">
        <w:rPr>
          <w:rFonts w:eastAsia="Times New Roman"/>
          <w:szCs w:val="24"/>
          <w:lang w:val="es-ES" w:eastAsia="es-ES"/>
        </w:rPr>
        <w:t>Al carecer de estimaciones fiables de las poblaciones de cetáceos objeto de capturas en vivo, en todos los casos en que continúan realizándose capturas, se produce un impacto sobre la viabilidad de las poblaciones silvestres objeto de captura que no se conoce suficientemente</w:t>
      </w:r>
      <w:r w:rsidRPr="002E0718">
        <w:rPr>
          <w:rFonts w:eastAsia="Times New Roman"/>
          <w:szCs w:val="24"/>
          <w:vertAlign w:val="superscript"/>
          <w:lang w:val="es-ES" w:eastAsia="es-ES"/>
        </w:rPr>
        <w:footnoteReference w:id="15"/>
      </w:r>
      <w:r w:rsidRPr="002E0718">
        <w:rPr>
          <w:rFonts w:eastAsia="Times New Roman"/>
          <w:szCs w:val="24"/>
          <w:lang w:val="es-ES" w:eastAsia="es-ES"/>
        </w:rPr>
        <w:t xml:space="preserve">. En un documento de 2006 sobre un ejemplo de captura en vivo de delfines mulares en aguas cubanas se llegó a la siguiente conclusión: </w:t>
      </w:r>
      <w:r w:rsidRPr="002E0718">
        <w:rPr>
          <w:rFonts w:eastAsia="Times New Roman"/>
          <w:i/>
          <w:szCs w:val="24"/>
          <w:lang w:val="es-ES" w:eastAsia="es-ES"/>
        </w:rPr>
        <w:t xml:space="preserve">"no se dispone de pruebas suficientes para que científicos independientes puedan evaluar la sostenibilidad de la extracción actual de </w:t>
      </w:r>
      <w:r w:rsidRPr="002E0718">
        <w:rPr>
          <w:rFonts w:eastAsia="Times New Roman"/>
          <w:szCs w:val="24"/>
          <w:lang w:val="es-ES" w:eastAsia="es-ES"/>
        </w:rPr>
        <w:t>T. truncatus</w:t>
      </w:r>
      <w:r w:rsidRPr="002E0718">
        <w:rPr>
          <w:rFonts w:eastAsia="Times New Roman"/>
          <w:i/>
          <w:szCs w:val="24"/>
          <w:lang w:val="es-ES" w:eastAsia="es-ES"/>
        </w:rPr>
        <w:t xml:space="preserve"> cubano</w:t>
      </w:r>
      <w:r w:rsidRPr="002E0718">
        <w:rPr>
          <w:rFonts w:eastAsia="Times New Roman"/>
          <w:szCs w:val="24"/>
          <w:lang w:val="es-ES" w:eastAsia="es-ES"/>
        </w:rPr>
        <w:t>.</w:t>
      </w:r>
      <w:r w:rsidRPr="002E0718">
        <w:rPr>
          <w:rFonts w:eastAsia="Times New Roman"/>
          <w:i/>
          <w:szCs w:val="24"/>
          <w:lang w:val="es-ES" w:eastAsia="es-ES"/>
        </w:rPr>
        <w:t xml:space="preserve"> Recomendamos, por tanto, encarecidamente que cese el comercio internacional mientras no se puedan autenticar los datos que apoyan la extracción no perjudicial. Se alienta asimismo encarecidamente a que continúen las investigaciones sobre la estructura de la población, la historia de vida y las amenazas de origen antropogénico.</w:t>
      </w:r>
      <w:r w:rsidRPr="002E0718">
        <w:rPr>
          <w:rFonts w:eastAsia="Times New Roman"/>
          <w:szCs w:val="24"/>
          <w:vertAlign w:val="superscript"/>
          <w:lang w:val="es-ES" w:eastAsia="es-ES"/>
        </w:rPr>
        <w:footnoteReference w:id="16"/>
      </w:r>
      <w:r w:rsidRPr="002E0718">
        <w:rPr>
          <w:rFonts w:eastAsia="Times New Roman"/>
          <w:i/>
          <w:szCs w:val="24"/>
          <w:lang w:val="es-ES" w:eastAsia="es-ES"/>
        </w:rPr>
        <w:t>"</w:t>
      </w:r>
      <w:r w:rsidRPr="002E0718">
        <w:rPr>
          <w:rFonts w:eastAsia="Times New Roman"/>
          <w:szCs w:val="24"/>
          <w:lang w:val="es-ES" w:eastAsia="es-ES"/>
        </w:rPr>
        <w:t xml:space="preserve"> El Comité Científico de la CBI, en su reunión anual de 2006, señaló que </w:t>
      </w:r>
      <w:r w:rsidRPr="002E0718">
        <w:rPr>
          <w:rFonts w:eastAsia="Times New Roman"/>
          <w:i/>
          <w:szCs w:val="24"/>
          <w:lang w:val="es-ES" w:eastAsia="es-ES"/>
        </w:rPr>
        <w:t>"Entre 1986 y 2004 se habían exportado unos 238 delfines de Cuba a otras partes de América Latina, y a Europa, Canadá e Israel. La tasa anual de capturas y exportaciones notificadas aumentó de &lt;10 en la década de 1990 a alrededor de 24 en los últimos tres años. Los animales pueden tomarse de una población costera, y no hay datos que permitan evaluar la sostenibilidad de estas extracciones</w:t>
      </w:r>
      <w:r w:rsidRPr="002E0718">
        <w:rPr>
          <w:rFonts w:eastAsia="Times New Roman"/>
          <w:szCs w:val="24"/>
          <w:vertAlign w:val="superscript"/>
          <w:lang w:val="es-ES" w:eastAsia="es-ES"/>
        </w:rPr>
        <w:footnoteReference w:id="17"/>
      </w:r>
      <w:r w:rsidRPr="002E0718">
        <w:rPr>
          <w:rFonts w:eastAsia="Times New Roman"/>
          <w:i/>
          <w:szCs w:val="24"/>
          <w:lang w:val="es-ES" w:eastAsia="es-ES"/>
        </w:rPr>
        <w:t>".</w:t>
      </w:r>
    </w:p>
    <w:p w:rsidR="002E0718" w:rsidRPr="002E0718" w:rsidRDefault="002E0718" w:rsidP="002E0718">
      <w:pPr>
        <w:widowControl w:val="0"/>
        <w:autoSpaceDE w:val="0"/>
        <w:autoSpaceDN w:val="0"/>
        <w:adjustRightInd w:val="0"/>
        <w:jc w:val="both"/>
        <w:rPr>
          <w:rFonts w:eastAsia="Times New Roman"/>
          <w:i/>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b/>
          <w:szCs w:val="24"/>
          <w:lang w:val="es-ES" w:eastAsia="es-ES"/>
        </w:rPr>
      </w:pPr>
      <w:r w:rsidRPr="002E0718">
        <w:rPr>
          <w:rFonts w:eastAsia="Times New Roman"/>
          <w:b/>
          <w:szCs w:val="24"/>
          <w:lang w:val="es-ES" w:eastAsia="es-ES"/>
        </w:rPr>
        <w:t xml:space="preserve">Impacto de las capturas en la salud y el bienestar individuales de los cetáceos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La captura y el transporte son, sin duda, estresantes y peligrosos para los cetáceos. Todos los métodos de captura y transporte son potencialmente letales</w:t>
      </w:r>
      <w:r w:rsidRPr="002E0718">
        <w:rPr>
          <w:rFonts w:eastAsia="Times New Roman"/>
          <w:szCs w:val="24"/>
          <w:vertAlign w:val="superscript"/>
          <w:lang w:val="es-ES" w:eastAsia="es-ES"/>
        </w:rPr>
        <w:footnoteReference w:id="18"/>
      </w:r>
      <w:r w:rsidRPr="002E0718">
        <w:rPr>
          <w:rFonts w:eastAsia="Times New Roman"/>
          <w:szCs w:val="24"/>
          <w:lang w:val="es-ES" w:eastAsia="es-ES"/>
        </w:rPr>
        <w:t xml:space="preserve"> e incluso los que se consideran de condiciones más humanas implican una persecución estresante por pequeñas embarcaciones junto con la agrupación y cerco mediante redes. Se ha observado que las tasas de mortalidad de delfines mulares (</w:t>
      </w:r>
      <w:r w:rsidRPr="002E0718">
        <w:rPr>
          <w:rFonts w:eastAsia="Times New Roman"/>
          <w:i/>
          <w:szCs w:val="24"/>
          <w:lang w:val="es-ES" w:eastAsia="es-ES"/>
        </w:rPr>
        <w:t>Tursiops truncatus</w:t>
      </w:r>
      <w:r w:rsidRPr="002E0718">
        <w:rPr>
          <w:rFonts w:eastAsia="Times New Roman"/>
          <w:szCs w:val="24"/>
          <w:lang w:val="es-ES" w:eastAsia="es-ES"/>
        </w:rPr>
        <w:t>) capturados es seis veces mayor inmediatamente después de la captura</w:t>
      </w:r>
      <w:r w:rsidRPr="002E0718">
        <w:rPr>
          <w:rFonts w:eastAsia="Times New Roman"/>
          <w:szCs w:val="24"/>
          <w:vertAlign w:val="superscript"/>
          <w:lang w:val="es-ES" w:eastAsia="es-ES"/>
        </w:rPr>
        <w:footnoteReference w:id="19"/>
      </w:r>
      <w:r w:rsidRPr="002E0718">
        <w:rPr>
          <w:rFonts w:eastAsia="Times New Roman"/>
          <w:szCs w:val="24"/>
          <w:lang w:val="es-ES" w:eastAsia="es-ES"/>
        </w:rPr>
        <w:t>. Tal aumento de la mortalidad se ha demostrado después del transporte entre instalaciones</w:t>
      </w:r>
      <w:r w:rsidRPr="002E0718">
        <w:rPr>
          <w:rFonts w:eastAsia="Times New Roman"/>
          <w:szCs w:val="24"/>
          <w:vertAlign w:val="superscript"/>
          <w:lang w:val="es-ES" w:eastAsia="es-ES"/>
        </w:rPr>
        <w:footnoteReference w:id="20"/>
      </w:r>
      <w:r w:rsidRPr="002E0718">
        <w:rPr>
          <w:rFonts w:eastAsia="Times New Roman"/>
          <w:szCs w:val="24"/>
          <w:lang w:val="es-ES" w:eastAsia="es-ES"/>
        </w:rPr>
        <w:t xml:space="preserve">.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Incluso los ejemplares descartados por el equipo de captura y que han sido liberados de las redes pueden sufrir o morir como consecuencia de la captura o la miopatía debida a la caza</w:t>
      </w:r>
      <w:r w:rsidRPr="002E0718">
        <w:rPr>
          <w:rFonts w:eastAsia="Times New Roman"/>
          <w:szCs w:val="24"/>
          <w:vertAlign w:val="superscript"/>
          <w:lang w:val="es-ES" w:eastAsia="es-ES"/>
        </w:rPr>
        <w:footnoteReference w:id="21"/>
      </w:r>
      <w:r w:rsidRPr="002E0718">
        <w:rPr>
          <w:rFonts w:eastAsia="Times New Roman"/>
          <w:szCs w:val="24"/>
          <w:lang w:val="es-ES" w:eastAsia="es-ES"/>
        </w:rPr>
        <w:t>. Se han observado lesiones del corazón y la debilitación del sistema inmunológico en delfines cercados por lanchas rápidas y atrapados en las redes de pesca del atún</w:t>
      </w:r>
      <w:r w:rsidRPr="002E0718">
        <w:rPr>
          <w:rFonts w:eastAsia="Times New Roman"/>
          <w:szCs w:val="24"/>
          <w:vertAlign w:val="superscript"/>
          <w:lang w:val="es-ES" w:eastAsia="es-ES"/>
        </w:rPr>
        <w:footnoteReference w:id="22"/>
      </w:r>
      <w:r w:rsidRPr="002E0718">
        <w:rPr>
          <w:rFonts w:eastAsia="Times New Roman"/>
          <w:szCs w:val="24"/>
          <w:lang w:val="es-ES" w:eastAsia="es-ES"/>
        </w:rPr>
        <w:t>. En 2014, el Comité Científico de la CBI señaló que el estrés experimentado durante un tiempo de procesamiento prolongado (hasta cinco días) de los animales capturados en las actividades de pesca selectiva japonesas aumenta la probabilidad de la mortalidad postcaptura</w:t>
      </w:r>
      <w:r w:rsidRPr="002E0718">
        <w:rPr>
          <w:rFonts w:eastAsia="Times New Roman"/>
          <w:szCs w:val="24"/>
          <w:vertAlign w:val="superscript"/>
          <w:lang w:val="es-ES" w:eastAsia="es-ES"/>
        </w:rPr>
        <w:footnoteReference w:id="23"/>
      </w:r>
      <w:r w:rsidRPr="002E0718">
        <w:rPr>
          <w:rFonts w:eastAsia="Times New Roman"/>
          <w:szCs w:val="24"/>
          <w:lang w:val="es-ES" w:eastAsia="es-ES"/>
        </w:rPr>
        <w:t>.</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b/>
          <w:szCs w:val="24"/>
          <w:lang w:val="es-ES" w:eastAsia="es-ES"/>
        </w:rPr>
        <w:t>Cooperación internacional en relación con las capturas</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El ACCOBAMS, el Acuerdo de la CMS sobre la Conservación de los Cetáceos del Mar Negro, el Mar Mediterráneo y la Zona Atlántica Contigua, ha aprobado una serie de resoluciones en las se expresan preocupaciones sobre las capturas en vivo y su impacto negativo en la conservación</w:t>
      </w:r>
      <w:r w:rsidRPr="002E0718">
        <w:rPr>
          <w:rFonts w:eastAsia="Times New Roman"/>
          <w:szCs w:val="24"/>
          <w:vertAlign w:val="superscript"/>
          <w:lang w:val="es-ES" w:eastAsia="es-ES"/>
        </w:rPr>
        <w:footnoteReference w:id="24"/>
      </w:r>
      <w:r w:rsidRPr="002E0718">
        <w:rPr>
          <w:rFonts w:eastAsia="Times New Roman"/>
          <w:szCs w:val="24"/>
          <w:lang w:val="es-ES" w:eastAsia="es-ES"/>
        </w:rPr>
        <w:t>.</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En la Resolución 9.9 de la CMS sobre las especies migratorias marinas se señala la preocupación por las amenazas múltiples, acumulativas y a menudo sinérgicas a las que se enfrentan las especies migratorias marinas, con posibles efectos sobre vastas áreas, como la captura accidental, la sobrepesca, la contaminación, la destrucción o degradación del hábitat, los impactos acústicos marinos, la caza deliberada, así como el cambio climático.</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 xml:space="preserve">La CITES incluye en el Apéndice I, que prohíbe el comercio internacional con fines primordialmente comerciales, las siguientes dos especies de pequeños cetáceos que han sido objeto de capturas en vivo para fines comerciales: </w:t>
      </w:r>
      <w:r w:rsidRPr="002E0718">
        <w:rPr>
          <w:rFonts w:eastAsia="Times New Roman"/>
          <w:i/>
          <w:szCs w:val="24"/>
          <w:lang w:val="es-ES" w:eastAsia="es-ES"/>
        </w:rPr>
        <w:t>Orcaella brevirostris</w:t>
      </w:r>
      <w:r w:rsidRPr="002E0718">
        <w:rPr>
          <w:rFonts w:eastAsia="Times New Roman"/>
          <w:szCs w:val="24"/>
          <w:lang w:val="es-ES" w:eastAsia="es-ES"/>
        </w:rPr>
        <w:t xml:space="preserve">, </w:t>
      </w:r>
      <w:r w:rsidRPr="002E0718">
        <w:rPr>
          <w:rFonts w:eastAsia="Times New Roman"/>
          <w:i/>
          <w:szCs w:val="24"/>
          <w:lang w:val="es-ES" w:eastAsia="es-ES"/>
        </w:rPr>
        <w:t>Sousa chinensis</w:t>
      </w:r>
      <w:r w:rsidRPr="002E0718">
        <w:rPr>
          <w:rFonts w:eastAsia="Times New Roman"/>
          <w:szCs w:val="24"/>
          <w:lang w:val="es-ES" w:eastAsia="es-ES"/>
        </w:rPr>
        <w:t>. Incluye también al delfín mular del Mar Negro (</w:t>
      </w:r>
      <w:r w:rsidRPr="002E0718">
        <w:rPr>
          <w:rFonts w:eastAsia="Times New Roman"/>
          <w:i/>
          <w:szCs w:val="24"/>
          <w:lang w:val="es-ES" w:eastAsia="es-ES"/>
        </w:rPr>
        <w:t>Tursiops truncatus ponticus</w:t>
      </w:r>
      <w:r w:rsidRPr="002E0718">
        <w:rPr>
          <w:rFonts w:eastAsia="Times New Roman"/>
          <w:szCs w:val="24"/>
          <w:lang w:val="es-ES" w:eastAsia="es-ES"/>
        </w:rPr>
        <w:t xml:space="preserve">) en el Apéndice II, pero con un cupo fijado en cero para la exportación de delfines vivos capturados en su medio natural en el Mar Negro, con fines primordialmente comerciales. El estado de mayor protección para ambas especies, </w:t>
      </w:r>
      <w:r w:rsidRPr="002E0718">
        <w:rPr>
          <w:rFonts w:eastAsia="Times New Roman"/>
          <w:i/>
          <w:szCs w:val="24"/>
          <w:lang w:val="es-ES" w:eastAsia="es-ES"/>
        </w:rPr>
        <w:t>Orcaella brevirostris</w:t>
      </w:r>
      <w:r w:rsidRPr="002E0718">
        <w:rPr>
          <w:rFonts w:eastAsia="Times New Roman"/>
          <w:szCs w:val="24"/>
          <w:lang w:val="es-ES" w:eastAsia="es-ES"/>
        </w:rPr>
        <w:t xml:space="preserve"> (en 2004) y </w:t>
      </w:r>
      <w:r w:rsidRPr="002E0718">
        <w:rPr>
          <w:rFonts w:eastAsia="Times New Roman"/>
          <w:i/>
          <w:szCs w:val="24"/>
          <w:lang w:val="es-ES" w:eastAsia="es-ES"/>
        </w:rPr>
        <w:t>Tursiops truncatus ponticus</w:t>
      </w:r>
      <w:r w:rsidRPr="002E0718">
        <w:rPr>
          <w:rFonts w:eastAsia="Times New Roman"/>
          <w:szCs w:val="24"/>
          <w:lang w:val="es-ES" w:eastAsia="es-ES"/>
        </w:rPr>
        <w:t xml:space="preserve"> (en 2002) establecido a través de la CITES refleja la preocupación específica por las capturas en vivo no sostenibles realizadas en el medio natural con fines comerciales. La población de delfines mulares del Indo-Pacífico (</w:t>
      </w:r>
      <w:r w:rsidRPr="002E0718">
        <w:rPr>
          <w:rFonts w:eastAsia="Times New Roman"/>
          <w:i/>
          <w:szCs w:val="24"/>
          <w:lang w:val="es-ES" w:eastAsia="es-ES"/>
        </w:rPr>
        <w:t>Tursiops aduncus</w:t>
      </w:r>
      <w:r w:rsidRPr="002E0718">
        <w:rPr>
          <w:rFonts w:eastAsia="Times New Roman"/>
          <w:szCs w:val="24"/>
          <w:lang w:val="es-ES" w:eastAsia="es-ES"/>
        </w:rPr>
        <w:t>) en las Islas Salomón ha sido recientemente objeto de un examen de comercio significativo por el Comité de Fauna de la CITES en respuesta a las preocupaciones sobre la sostenibilidad de las capturas en vivo.</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b/>
          <w:szCs w:val="24"/>
          <w:lang w:val="es-ES" w:eastAsia="es-ES"/>
        </w:rPr>
      </w:pPr>
      <w:r w:rsidRPr="002E0718">
        <w:rPr>
          <w:rFonts w:eastAsia="Times New Roman"/>
          <w:b/>
          <w:szCs w:val="24"/>
          <w:lang w:val="es-ES" w:eastAsia="es-ES"/>
        </w:rPr>
        <w:t>Coordinación con otros órganos intergubernamentales</w:t>
      </w:r>
    </w:p>
    <w:p w:rsidR="002E0718" w:rsidRPr="002E0718" w:rsidRDefault="002E0718" w:rsidP="002E0718">
      <w:pPr>
        <w:widowControl w:val="0"/>
        <w:autoSpaceDE w:val="0"/>
        <w:autoSpaceDN w:val="0"/>
        <w:adjustRightInd w:val="0"/>
        <w:jc w:val="both"/>
        <w:rPr>
          <w:rFonts w:eastAsia="Times New Roman"/>
          <w:b/>
          <w:szCs w:val="24"/>
          <w:lang w:val="es-ES" w:eastAsia="es-ES"/>
        </w:rPr>
      </w:pPr>
    </w:p>
    <w:p w:rsidR="002E0718" w:rsidRPr="002E0718" w:rsidRDefault="002E0718" w:rsidP="002E0718">
      <w:pPr>
        <w:widowControl w:val="0"/>
        <w:autoSpaceDE w:val="0"/>
        <w:autoSpaceDN w:val="0"/>
        <w:adjustRightInd w:val="0"/>
        <w:jc w:val="both"/>
        <w:rPr>
          <w:rFonts w:eastAsia="Times New Roman"/>
          <w:b/>
          <w:szCs w:val="24"/>
          <w:lang w:val="es-ES" w:eastAsia="es-ES"/>
        </w:rPr>
      </w:pPr>
      <w:r w:rsidRPr="002E0718">
        <w:rPr>
          <w:rFonts w:eastAsia="Times New Roman"/>
          <w:b/>
          <w:szCs w:val="24"/>
          <w:lang w:val="es-ES" w:eastAsia="es-ES"/>
        </w:rPr>
        <w:t>La CITES</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 xml:space="preserve">El Artículo XV de la CITES estipula que la Secretaría de la CITES, en el caso de las enmiendas propuestas a los Apéndices I y II para las especies marinas, consultará con las entidades intergubernamentales que tuvieren una función en relación con dichas especies, especialmente con el fin de obtener cualquier información científica que éstas puedan suministrar, y asegurar la coordinación de las medidas de conservación aplicadas por dichas entidades.  De conformidad con dicho artículo XV, la Secretaría de la CITES realiza consultas con la CBI con relación a las enmiendas propuestas de inclusión de especies marinas en las listas, y la CMS es otro de tales órganos consultados respecto de las especies marinas.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Las Partes en la CITES decidieron en 2013 (Decisión 16.11) que su Comité Permanente, con el apoyo de la Secretaría, deberá explorar otras opciones para reforzar la cooperación, la colaboración y las sinergias entre la CITES y otros convenios relacionados con la diversidad biológica a todos los niveles pertinentes, inclusive mediante sus respectivos programas de trabajo y secretarías.</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b/>
          <w:szCs w:val="24"/>
          <w:lang w:val="es-ES" w:eastAsia="es-ES"/>
        </w:rPr>
      </w:pPr>
      <w:r w:rsidRPr="002E0718">
        <w:rPr>
          <w:rFonts w:eastAsia="Times New Roman"/>
          <w:b/>
          <w:szCs w:val="24"/>
          <w:lang w:val="es-ES" w:eastAsia="es-ES"/>
        </w:rPr>
        <w:t>La Comisión Ballenera Internacional</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r w:rsidRPr="002E0718">
        <w:rPr>
          <w:rFonts w:eastAsia="Times New Roman"/>
          <w:szCs w:val="24"/>
          <w:lang w:val="es-ES" w:eastAsia="es-ES"/>
        </w:rPr>
        <w:t xml:space="preserve">Las Partes en la Convención internacional para la reglamentación de la caza de la ballena (1946), por la que se estableció la Comisión Ballenera Internacional, no han llegado a un acuerdo sobre si el mandato de la Comisión se extiende también a la reglamentación de la caza de pequeños cetáceos. No obstante, desde 1975, el Comité Científico de la CBI ha examinado la situación de los pequeños cetáceos afectados por la caza y otras amenazas, incluidas las capturas para fines de cautiverio. El Subcomité del Comité Científico sobre los pequeños cetáceos se reúne anualmente para analizar los datos comunicados sobre las capturas directas o accidentales de pequeños cetáceos, examinar las amenazas a especies de pequeños cetáceos, realizar evaluaciones del estado de las especies prioritarias y formular recomendaciones a la Comisión sobre cuestiones tanto de gestión como de conservación. En los últimos años, el Comité de Conservación de la CBI ha iniciado la elaboración de planes de gestión de la conservación para especies amenazadas, que podrán incluir en el futuro especies de pequeños cetáceos. </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192F30" w:rsidRDefault="00192F30" w:rsidP="002E0718">
      <w:pPr>
        <w:jc w:val="right"/>
        <w:rPr>
          <w:rFonts w:eastAsia="Times New Roman"/>
          <w:b/>
          <w:caps/>
          <w:szCs w:val="24"/>
          <w:lang w:val="es-ES" w:eastAsia="es-ES"/>
        </w:rPr>
        <w:sectPr w:rsidR="00192F30" w:rsidSect="00D6057F">
          <w:headerReference w:type="even" r:id="rId19"/>
          <w:headerReference w:type="default" r:id="rId20"/>
          <w:headerReference w:type="first" r:id="rId21"/>
          <w:pgSz w:w="11907" w:h="16840" w:code="9"/>
          <w:pgMar w:top="1418" w:right="1418" w:bottom="1418" w:left="1418" w:header="510" w:footer="510" w:gutter="0"/>
          <w:cols w:space="720"/>
          <w:titlePg/>
          <w:docGrid w:linePitch="360"/>
        </w:sectPr>
      </w:pPr>
    </w:p>
    <w:p w:rsidR="002E0718" w:rsidRPr="002E0718" w:rsidRDefault="002E0718" w:rsidP="002E0718">
      <w:pPr>
        <w:jc w:val="right"/>
        <w:rPr>
          <w:rFonts w:eastAsia="Times New Roman"/>
          <w:b/>
          <w:bCs/>
          <w:caps/>
          <w:szCs w:val="24"/>
          <w:lang w:val="es-ES" w:eastAsia="es-ES"/>
        </w:rPr>
      </w:pPr>
      <w:r w:rsidRPr="002E0718">
        <w:rPr>
          <w:rFonts w:eastAsia="Times New Roman"/>
          <w:b/>
          <w:caps/>
          <w:szCs w:val="24"/>
          <w:lang w:val="es-ES" w:eastAsia="es-ES"/>
        </w:rPr>
        <w:t>Anexo 2</w:t>
      </w:r>
    </w:p>
    <w:p w:rsidR="002E0718" w:rsidRPr="002E0718" w:rsidRDefault="002E0718" w:rsidP="002E0718">
      <w:pPr>
        <w:widowControl w:val="0"/>
        <w:autoSpaceDE w:val="0"/>
        <w:autoSpaceDN w:val="0"/>
        <w:adjustRightInd w:val="0"/>
        <w:rPr>
          <w:rFonts w:eastAsia="Times New Roman"/>
          <w:sz w:val="20"/>
          <w:szCs w:val="24"/>
          <w:lang w:val="es-ES" w:eastAsia="es-ES"/>
        </w:rPr>
      </w:pPr>
    </w:p>
    <w:p w:rsidR="002E0718" w:rsidRPr="002E0718" w:rsidRDefault="002E0718" w:rsidP="002E0718">
      <w:pPr>
        <w:widowControl w:val="0"/>
        <w:autoSpaceDE w:val="0"/>
        <w:autoSpaceDN w:val="0"/>
        <w:adjustRightInd w:val="0"/>
        <w:jc w:val="center"/>
        <w:rPr>
          <w:rFonts w:eastAsia="Times New Roman"/>
          <w:b/>
          <w:szCs w:val="24"/>
          <w:lang w:val="es-ES" w:eastAsia="es-ES"/>
        </w:rPr>
      </w:pPr>
      <w:r w:rsidRPr="002E0718">
        <w:rPr>
          <w:rFonts w:eastAsia="Times New Roman"/>
          <w:b/>
          <w:szCs w:val="24"/>
          <w:lang w:val="es-ES" w:eastAsia="es-ES"/>
        </w:rPr>
        <w:t>PROYECTO DE RESOLUCIÓN</w:t>
      </w:r>
    </w:p>
    <w:p w:rsidR="002E0718" w:rsidRPr="002E0718" w:rsidRDefault="002E0718" w:rsidP="002E0718">
      <w:pPr>
        <w:widowControl w:val="0"/>
        <w:autoSpaceDE w:val="0"/>
        <w:autoSpaceDN w:val="0"/>
        <w:adjustRightInd w:val="0"/>
        <w:rPr>
          <w:rFonts w:eastAsia="Times New Roman"/>
          <w:sz w:val="16"/>
          <w:szCs w:val="16"/>
          <w:lang w:val="es-ES" w:eastAsia="es-ES"/>
        </w:rPr>
      </w:pPr>
    </w:p>
    <w:p w:rsidR="002E0718" w:rsidRPr="002E0718" w:rsidRDefault="002E0718" w:rsidP="002E0718">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2E0718">
        <w:rPr>
          <w:rFonts w:eastAsia="Times New Roman"/>
          <w:b/>
          <w:bCs/>
          <w:caps/>
          <w:szCs w:val="24"/>
          <w:lang w:val="es-ES" w:eastAsia="es-ES"/>
        </w:rPr>
        <w:t>Capturas de cetáceos en vivo en su medio natural</w:t>
      </w:r>
      <w:r w:rsidRPr="002E0718">
        <w:rPr>
          <w:rFonts w:eastAsia="Times New Roman"/>
          <w:b/>
          <w:caps/>
          <w:szCs w:val="24"/>
          <w:lang w:val="es-ES" w:eastAsia="es-ES"/>
        </w:rPr>
        <w:br/>
      </w:r>
      <w:r w:rsidRPr="002E0718">
        <w:rPr>
          <w:rFonts w:eastAsia="Times New Roman"/>
          <w:b/>
          <w:bCs/>
          <w:caps/>
          <w:szCs w:val="24"/>
          <w:lang w:val="es-ES" w:eastAsia="es-ES"/>
        </w:rPr>
        <w:t>para fines comerciales</w:t>
      </w:r>
    </w:p>
    <w:p w:rsidR="002E0718" w:rsidRPr="002E0718" w:rsidRDefault="002E0718" w:rsidP="002E0718">
      <w:pPr>
        <w:widowControl w:val="0"/>
        <w:autoSpaceDE w:val="0"/>
        <w:autoSpaceDN w:val="0"/>
        <w:adjustRightInd w:val="0"/>
        <w:jc w:val="center"/>
        <w:rPr>
          <w:rFonts w:eastAsia="Times New Roman"/>
          <w:i/>
          <w:sz w:val="16"/>
          <w:szCs w:val="16"/>
          <w:lang w:val="es-ES" w:eastAsia="es-ES"/>
        </w:rPr>
      </w:pPr>
    </w:p>
    <w:p w:rsidR="002E0718" w:rsidRPr="002E0718" w:rsidRDefault="002E0718" w:rsidP="002E0718">
      <w:pPr>
        <w:widowControl w:val="0"/>
        <w:autoSpaceDE w:val="0"/>
        <w:autoSpaceDN w:val="0"/>
        <w:adjustRightInd w:val="0"/>
        <w:jc w:val="center"/>
        <w:rPr>
          <w:rFonts w:eastAsia="Times New Roman"/>
          <w:i/>
          <w:szCs w:val="24"/>
          <w:lang w:val="es-ES" w:eastAsia="es-ES"/>
        </w:rPr>
      </w:pPr>
      <w:r w:rsidRPr="002E0718">
        <w:rPr>
          <w:rFonts w:eastAsia="Times New Roman"/>
          <w:i/>
          <w:szCs w:val="24"/>
          <w:lang w:val="es-ES" w:eastAsia="es-ES"/>
        </w:rPr>
        <w:t xml:space="preserve">(Presentado por el </w:t>
      </w:r>
      <w:r>
        <w:rPr>
          <w:rFonts w:eastAsia="Times New Roman"/>
          <w:i/>
          <w:szCs w:val="24"/>
          <w:lang w:val="es-ES" w:eastAsia="es-ES"/>
        </w:rPr>
        <w:t xml:space="preserve">Principado de </w:t>
      </w:r>
      <w:r w:rsidRPr="002E0718">
        <w:rPr>
          <w:rFonts w:eastAsia="Times New Roman"/>
          <w:i/>
          <w:szCs w:val="24"/>
          <w:lang w:val="es-ES" w:eastAsia="es-ES"/>
        </w:rPr>
        <w:t>Mónaco)</w:t>
      </w: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widowControl w:val="0"/>
        <w:autoSpaceDE w:val="0"/>
        <w:autoSpaceDN w:val="0"/>
        <w:adjustRightInd w:val="0"/>
        <w:jc w:val="both"/>
        <w:rPr>
          <w:rFonts w:eastAsia="Times New Roman"/>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Tomando nota</w:t>
      </w:r>
      <w:r w:rsidRPr="002E0718">
        <w:rPr>
          <w:rFonts w:eastAsia="Times New Roman"/>
          <w:szCs w:val="24"/>
          <w:lang w:val="es-ES" w:eastAsia="es-ES"/>
        </w:rPr>
        <w:t xml:space="preserve"> de las continuas actividades orientadas a las poblaciones de pequeños cetáceos silvestres para su captura en vivo, entre ellas varias especies incluidas en los Apéndices I y II, para exhibirlos en acuarios comerciales y en espectáculos itinerantes;</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Tomando nota</w:t>
      </w:r>
      <w:r w:rsidRPr="002E0718">
        <w:rPr>
          <w:rFonts w:eastAsia="Times New Roman"/>
          <w:szCs w:val="24"/>
          <w:lang w:val="es-ES" w:eastAsia="es-ES"/>
        </w:rPr>
        <w:t xml:space="preserve"> de que el Grupo de especialistas en cetáceos de la Comisión de Supervivencia de Especies de la UICN reconoce que la captura en vivo puede constituir una grave amenaza para las poblaciones de cetáceos locales cuando no son objeto de gestión y de un programa riguroso de investigación y seguimiento, debido a que la extracción de cetáceos en vivo del medio natural, para su exhibición en cautiverio y/o la investigación, equivale a la muerte incidental o deliberada, dado que los animales mantenidos en cautiverio o que mueren durante las operaciones de captura ya no son útiles para ayudar a mantener sus poblaciones;</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i/>
          <w:szCs w:val="24"/>
          <w:lang w:val="es-ES" w:eastAsia="es-ES"/>
        </w:rPr>
      </w:pPr>
      <w:r w:rsidRPr="002E0718">
        <w:rPr>
          <w:rFonts w:eastAsia="Times New Roman"/>
          <w:i/>
          <w:szCs w:val="24"/>
          <w:lang w:val="es-ES" w:eastAsia="es-ES"/>
        </w:rPr>
        <w:t>Tomando nota</w:t>
      </w:r>
      <w:r w:rsidRPr="002E0718">
        <w:rPr>
          <w:rFonts w:eastAsia="Times New Roman"/>
          <w:szCs w:val="24"/>
          <w:lang w:val="es-ES" w:eastAsia="es-ES"/>
        </w:rPr>
        <w:t xml:space="preserve"> del consejo repetido regularmente por el Subcomité de Pequeños Cetáceos de la Comisión Ballenera Internacional de que las poblaciones no deberían ser objeto de capturas si no se ha demostrado que tales capturas son sostenibles;</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i/>
          <w:szCs w:val="24"/>
          <w:lang w:val="es-ES" w:eastAsia="es-ES"/>
        </w:rPr>
      </w:pPr>
      <w:r w:rsidRPr="002E0718">
        <w:rPr>
          <w:rFonts w:eastAsia="Times New Roman"/>
          <w:i/>
          <w:szCs w:val="24"/>
          <w:lang w:val="es-ES" w:eastAsia="es-ES"/>
        </w:rPr>
        <w:t>Recordando</w:t>
      </w:r>
      <w:r w:rsidRPr="002E0718">
        <w:rPr>
          <w:rFonts w:eastAsia="Times New Roman"/>
          <w:szCs w:val="24"/>
          <w:lang w:val="es-ES" w:eastAsia="es-ES"/>
        </w:rPr>
        <w:t xml:space="preserve"> que el Artículo III (5) de la CMS requiere que las Partes que sean Estados del área de distribución de una especie migratoria que figure en el Apéndice I prohibirán en principio sacar de su ambiente natural animales de tal especie;</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Recordando también</w:t>
      </w:r>
      <w:r w:rsidRPr="002E0718">
        <w:rPr>
          <w:rFonts w:eastAsia="Times New Roman"/>
          <w:szCs w:val="24"/>
          <w:lang w:val="es-ES" w:eastAsia="es-ES"/>
        </w:rPr>
        <w:t xml:space="preserve"> que en la Resolución 10.15 de la CMS sobre un Programa mundial de trabajo para los cetáceos se solicita a la Secretaría y al Consejo Científico de la CMS proseguir e intensificar los esfuerzos para colaborar con otros foros internacionales pertinentes;</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Recordando además</w:t>
      </w:r>
      <w:r w:rsidRPr="002E0718">
        <w:rPr>
          <w:rFonts w:eastAsia="Times New Roman"/>
          <w:szCs w:val="24"/>
          <w:lang w:val="es-ES" w:eastAsia="es-ES"/>
        </w:rPr>
        <w:t xml:space="preserve"> que en la Resolución 9.9 sobre las especies migratorias marinas se expresa preocupación por las amenazas múltiples, acumulativas y a menudo sinérgicas a las que se enfrentan las especies migratorias marinas, con posibles efectos sobre vastas áreas, como la captura accidental, la sobrepesca, la contaminación, la destrucción o degradación del hábitat, los impactos acústicos marinos, la caza deliberada, así como el cambio climático;</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Tomando nota</w:t>
      </w:r>
      <w:r w:rsidRPr="002E0718">
        <w:rPr>
          <w:rFonts w:eastAsia="Times New Roman"/>
          <w:szCs w:val="24"/>
          <w:lang w:val="es-ES" w:eastAsia="es-ES"/>
        </w:rPr>
        <w:t xml:space="preserve"> de que en la Resolución 8.22 sobre los impactos adversos inducidos por el hombre sobre los cetáceos no se aborda suficientemente la cuestión de la captura en vivo para fines comerciales;</w:t>
      </w:r>
      <w:r w:rsidRPr="002E0718">
        <w:rPr>
          <w:rFonts w:eastAsia="Times New Roman"/>
          <w:sz w:val="20"/>
          <w:szCs w:val="24"/>
          <w:lang w:val="es-ES" w:eastAsia="es-ES"/>
        </w:rPr>
        <w:t xml:space="preserve"> </w:t>
      </w:r>
    </w:p>
    <w:p w:rsidR="002E0718" w:rsidRPr="002E0718" w:rsidRDefault="002E0718" w:rsidP="002E0718">
      <w:pPr>
        <w:jc w:val="both"/>
        <w:rPr>
          <w:rFonts w:eastAsia="Times New Roman"/>
          <w:i/>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Reiterando</w:t>
      </w:r>
      <w:r w:rsidRPr="002E0718">
        <w:rPr>
          <w:rFonts w:eastAsia="Times New Roman"/>
          <w:szCs w:val="24"/>
          <w:lang w:val="es-ES" w:eastAsia="es-ES"/>
        </w:rPr>
        <w:t xml:space="preserve"> su llamamiento urgente formulado en la Resolución 10.15 por la que se insta a las Partes a promover la integración de la conservación de </w:t>
      </w:r>
      <w:r w:rsidR="00192F30" w:rsidRPr="002E0718">
        <w:rPr>
          <w:rFonts w:eastAsia="Times New Roman"/>
          <w:szCs w:val="24"/>
          <w:lang w:val="es-ES" w:eastAsia="es-ES"/>
        </w:rPr>
        <w:t>cetáceos</w:t>
      </w:r>
      <w:r w:rsidRPr="002E0718">
        <w:rPr>
          <w:rFonts w:eastAsia="Times New Roman"/>
          <w:szCs w:val="24"/>
          <w:lang w:val="es-ES" w:eastAsia="es-ES"/>
        </w:rPr>
        <w:t xml:space="preserve"> en todos los sectores importantes, coordinando sus posiciones nacionales entre las distintas convenciones, acuerdos y otros foros internacionales;</w:t>
      </w:r>
    </w:p>
    <w:p w:rsidR="002E0718" w:rsidRPr="002E0718" w:rsidRDefault="002E0718" w:rsidP="002E0718">
      <w:pPr>
        <w:rPr>
          <w:rFonts w:eastAsia="Times New Roman"/>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Consciente</w:t>
      </w:r>
      <w:r w:rsidRPr="002E0718">
        <w:rPr>
          <w:rFonts w:eastAsia="Times New Roman"/>
          <w:szCs w:val="24"/>
          <w:lang w:val="es-ES" w:eastAsia="es-ES"/>
        </w:rPr>
        <w:t xml:space="preserve"> de que todos los instrumentos regionales relacionados con los cetáceos, establecidos en el marco de la CMS, contienen disposiciones relacionadas con el tema de la captura en vivo, a saber, que:</w:t>
      </w:r>
    </w:p>
    <w:p w:rsidR="002E0718" w:rsidRPr="002E0718" w:rsidRDefault="002E0718" w:rsidP="002E0718">
      <w:pPr>
        <w:jc w:val="both"/>
        <w:rPr>
          <w:rFonts w:eastAsia="Times New Roman"/>
          <w:szCs w:val="24"/>
          <w:lang w:val="es-ES" w:eastAsia="es-ES"/>
        </w:rPr>
      </w:pPr>
    </w:p>
    <w:p w:rsidR="002E0718" w:rsidRPr="002E0718" w:rsidRDefault="002E0718" w:rsidP="002E0718">
      <w:pPr>
        <w:widowControl w:val="0"/>
        <w:numPr>
          <w:ilvl w:val="0"/>
          <w:numId w:val="11"/>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el Plan de acción para ballenas y delfines (2013-2017) del Memorando de Entendimiento de la CMS para la conservación de los cetáceos y sus hábitats en la región de las Islas del Pacífico se incluye la "captura directa", como uno de los cinco peligros principales para las poblaciones de ballenas y delfines en la región de las islas del Pacífico e incluye la reducción al mínimo de su impacto como un objetivo del Plan;</w:t>
      </w:r>
    </w:p>
    <w:p w:rsidR="002E0718" w:rsidRPr="002E0718" w:rsidRDefault="002E0718" w:rsidP="002E0718">
      <w:pPr>
        <w:ind w:left="1276" w:hanging="567"/>
        <w:contextualSpacing/>
        <w:jc w:val="both"/>
        <w:rPr>
          <w:rFonts w:eastAsia="Times New Roman"/>
          <w:szCs w:val="24"/>
          <w:lang w:val="es-ES" w:eastAsia="es-ES"/>
        </w:rPr>
      </w:pPr>
    </w:p>
    <w:p w:rsidR="002E0718" w:rsidRPr="002E0718" w:rsidRDefault="002E0718" w:rsidP="002E0718">
      <w:pPr>
        <w:widowControl w:val="0"/>
        <w:numPr>
          <w:ilvl w:val="0"/>
          <w:numId w:val="12"/>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el Plan de acción para los pequeño cetáceos del Memorando de Entendimiento de la CMS relativo a la conservación de los cetáceos de África occidental y la Macaronesia se pide a los signatarios que velen por que toda actividad de captura en vivo llevada a cabo en la región no afecte a la viabilidad de las poblaciones locales y se ajuste a los reglamentos y acuerdos internacionales;</w:t>
      </w:r>
    </w:p>
    <w:p w:rsidR="002E0718" w:rsidRPr="002E0718" w:rsidRDefault="002E0718" w:rsidP="002E0718">
      <w:pPr>
        <w:ind w:left="1276" w:hanging="567"/>
        <w:contextualSpacing/>
        <w:jc w:val="both"/>
        <w:rPr>
          <w:rFonts w:eastAsia="Times New Roman"/>
          <w:szCs w:val="24"/>
          <w:lang w:val="es-ES" w:eastAsia="es-ES"/>
        </w:rPr>
      </w:pPr>
    </w:p>
    <w:p w:rsidR="002E0718" w:rsidRPr="002E0718" w:rsidRDefault="002E0718" w:rsidP="002E0718">
      <w:pPr>
        <w:widowControl w:val="0"/>
        <w:numPr>
          <w:ilvl w:val="0"/>
          <w:numId w:val="12"/>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el Artículo 4 del Acuerdo ASCOBANS se pide a las Partes que "traten de establecer en la legislación nacional la prohibición de la captura y eliminación intencional de pequeños cetáceos cuando tales normas no están todavía en vigor";</w:t>
      </w:r>
    </w:p>
    <w:p w:rsidR="002E0718" w:rsidRPr="002E0718" w:rsidRDefault="002E0718" w:rsidP="002E0718">
      <w:pPr>
        <w:ind w:left="1276" w:hanging="567"/>
        <w:contextualSpacing/>
        <w:jc w:val="both"/>
        <w:rPr>
          <w:rFonts w:eastAsia="Times New Roman"/>
          <w:szCs w:val="24"/>
          <w:lang w:val="es-ES" w:eastAsia="es-ES"/>
        </w:rPr>
      </w:pPr>
    </w:p>
    <w:p w:rsidR="002E0718" w:rsidRPr="002E0718" w:rsidRDefault="002E0718" w:rsidP="002E0718">
      <w:pPr>
        <w:widowControl w:val="0"/>
        <w:numPr>
          <w:ilvl w:val="0"/>
          <w:numId w:val="12"/>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el Artículo II del Acuerdo ACCOBAMS se pide a las Partes que "prohíban y adopten todas las medidas necesarias, donde no se haya hecho todavía, para eliminar toda captura deliberada de cetáceos";</w:t>
      </w:r>
    </w:p>
    <w:p w:rsidR="002E0718" w:rsidRPr="002E0718" w:rsidRDefault="002E0718" w:rsidP="002E0718">
      <w:pPr>
        <w:ind w:left="1260" w:hanging="900"/>
        <w:contextualSpacing/>
        <w:jc w:val="both"/>
        <w:rPr>
          <w:rFonts w:eastAsia="Times New Roman"/>
          <w:szCs w:val="24"/>
          <w:lang w:val="es-ES" w:eastAsia="es-ES"/>
        </w:rPr>
      </w:pPr>
    </w:p>
    <w:p w:rsidR="002E0718" w:rsidRPr="002E0718" w:rsidRDefault="002E0718" w:rsidP="002E0718">
      <w:pPr>
        <w:ind w:firstLine="720"/>
        <w:contextualSpacing/>
        <w:jc w:val="both"/>
        <w:rPr>
          <w:rFonts w:eastAsia="Times New Roman"/>
          <w:szCs w:val="24"/>
          <w:lang w:val="es-ES" w:eastAsia="es-ES"/>
        </w:rPr>
      </w:pPr>
      <w:r w:rsidRPr="002E0718">
        <w:rPr>
          <w:rFonts w:eastAsia="Times New Roman"/>
          <w:i/>
          <w:szCs w:val="24"/>
          <w:lang w:val="es-ES" w:eastAsia="es-ES"/>
        </w:rPr>
        <w:t>Consciente también</w:t>
      </w:r>
      <w:r w:rsidRPr="002E0718">
        <w:rPr>
          <w:rFonts w:eastAsia="Times New Roman"/>
          <w:szCs w:val="24"/>
          <w:lang w:val="es-ES" w:eastAsia="es-ES"/>
        </w:rPr>
        <w:t xml:space="preserve"> de que:</w:t>
      </w:r>
    </w:p>
    <w:p w:rsidR="002E0718" w:rsidRPr="002E0718" w:rsidRDefault="002E0718" w:rsidP="002E0718">
      <w:pPr>
        <w:ind w:firstLine="284"/>
        <w:contextualSpacing/>
        <w:jc w:val="both"/>
        <w:rPr>
          <w:rFonts w:eastAsia="Times New Roman"/>
          <w:szCs w:val="24"/>
          <w:lang w:val="es-ES" w:eastAsia="es-ES"/>
        </w:rPr>
      </w:pPr>
    </w:p>
    <w:p w:rsidR="002E0718" w:rsidRPr="002E0718" w:rsidRDefault="002E0718" w:rsidP="002E0718">
      <w:pPr>
        <w:widowControl w:val="0"/>
        <w:numPr>
          <w:ilvl w:val="0"/>
          <w:numId w:val="13"/>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la Convención sobre el comercio internacional de especies amenazadas de fauna y flora silvestres (CITES) se incluye a todas las especies de cetáceos en sus Apéndices I o II, en que se prohíben las importaciones de especímenes de especies del Apéndice I que habrán de utilizarse para fines primordialmente comerciales;</w:t>
      </w:r>
    </w:p>
    <w:p w:rsidR="002E0718" w:rsidRPr="002E0718" w:rsidRDefault="002E0718" w:rsidP="002E0718">
      <w:pPr>
        <w:ind w:left="1276" w:hanging="567"/>
        <w:contextualSpacing/>
        <w:jc w:val="both"/>
        <w:rPr>
          <w:rFonts w:eastAsia="Times New Roman"/>
          <w:szCs w:val="24"/>
          <w:lang w:val="es-ES" w:eastAsia="es-ES"/>
        </w:rPr>
      </w:pPr>
    </w:p>
    <w:p w:rsidR="002E0718" w:rsidRPr="002E0718" w:rsidRDefault="002E0718" w:rsidP="002E0718">
      <w:pPr>
        <w:widowControl w:val="0"/>
        <w:numPr>
          <w:ilvl w:val="0"/>
          <w:numId w:val="13"/>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el Convenio de Berna sobre la conservación de la fauna y flora silvestres y hábitats naturales en Europa se prohíbe "toda forma de captura y posesión deliberada" de las especies incluidas en el Apéndice II, entre ellos el delfín mular (</w:t>
      </w:r>
      <w:r w:rsidRPr="002E0718">
        <w:rPr>
          <w:rFonts w:eastAsia="Times New Roman"/>
          <w:i/>
          <w:szCs w:val="24"/>
          <w:lang w:val="es-ES" w:eastAsia="es-ES"/>
        </w:rPr>
        <w:t>Tursiops truncatus</w:t>
      </w:r>
      <w:r w:rsidRPr="002E0718">
        <w:rPr>
          <w:rFonts w:eastAsia="Times New Roman"/>
          <w:szCs w:val="24"/>
          <w:lang w:val="es-ES" w:eastAsia="es-ES"/>
        </w:rPr>
        <w:t>) y la orca (</w:t>
      </w:r>
      <w:r w:rsidRPr="002E0718">
        <w:rPr>
          <w:rFonts w:eastAsia="Times New Roman"/>
          <w:i/>
          <w:szCs w:val="24"/>
          <w:lang w:val="es-ES" w:eastAsia="es-ES"/>
        </w:rPr>
        <w:t>Orcinus orca</w:t>
      </w:r>
      <w:r w:rsidRPr="002E0718">
        <w:rPr>
          <w:rFonts w:eastAsia="Times New Roman"/>
          <w:szCs w:val="24"/>
          <w:lang w:val="es-ES" w:eastAsia="es-ES"/>
        </w:rPr>
        <w:t>);</w:t>
      </w:r>
    </w:p>
    <w:p w:rsidR="002E0718" w:rsidRPr="002E0718" w:rsidRDefault="002E0718" w:rsidP="002E0718">
      <w:pPr>
        <w:ind w:left="1276" w:hanging="567"/>
        <w:contextualSpacing/>
        <w:jc w:val="both"/>
        <w:rPr>
          <w:rFonts w:eastAsia="Times New Roman"/>
          <w:szCs w:val="24"/>
          <w:lang w:val="es-ES" w:eastAsia="es-ES"/>
        </w:rPr>
      </w:pPr>
    </w:p>
    <w:p w:rsidR="002E0718" w:rsidRPr="002E0718" w:rsidRDefault="002E0718" w:rsidP="002E0718">
      <w:pPr>
        <w:widowControl w:val="0"/>
        <w:numPr>
          <w:ilvl w:val="0"/>
          <w:numId w:val="13"/>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la Directiva del Consejo Europeo de la Unión 92/43/CEE relativa a la conservación de los hábitats naturales y de la fauna y flora se incluye a todos los cetáceos en su Anexo IV como especies de interés comunitario que requieren una protección estricta y se prohíbe toda captura o matanza deliberados en aguas comunitarias, así como la venta o el intercambio comercial de cetáceos por los Estados miembros;</w:t>
      </w:r>
    </w:p>
    <w:p w:rsidR="002E0718" w:rsidRPr="002E0718" w:rsidRDefault="002E0718" w:rsidP="002E0718">
      <w:pPr>
        <w:ind w:left="1276" w:hanging="567"/>
        <w:contextualSpacing/>
        <w:jc w:val="both"/>
        <w:rPr>
          <w:rFonts w:eastAsia="Times New Roman"/>
          <w:szCs w:val="24"/>
          <w:lang w:val="es-ES" w:eastAsia="es-ES"/>
        </w:rPr>
      </w:pPr>
    </w:p>
    <w:p w:rsidR="002E0718" w:rsidRPr="002E0718" w:rsidRDefault="002E0718" w:rsidP="002E0718">
      <w:pPr>
        <w:widowControl w:val="0"/>
        <w:numPr>
          <w:ilvl w:val="0"/>
          <w:numId w:val="13"/>
        </w:numPr>
        <w:autoSpaceDE w:val="0"/>
        <w:autoSpaceDN w:val="0"/>
        <w:adjustRightInd w:val="0"/>
        <w:ind w:left="1276" w:hanging="567"/>
        <w:contextualSpacing/>
        <w:jc w:val="both"/>
        <w:rPr>
          <w:rFonts w:eastAsia="Times New Roman"/>
          <w:szCs w:val="24"/>
          <w:lang w:val="es-ES" w:eastAsia="es-ES"/>
        </w:rPr>
      </w:pPr>
      <w:r w:rsidRPr="002E0718">
        <w:rPr>
          <w:rFonts w:eastAsia="Times New Roman"/>
          <w:szCs w:val="24"/>
          <w:lang w:val="es-ES" w:eastAsia="es-ES"/>
        </w:rPr>
        <w:t>en el artículo 11 (1) (b) del Protocolo relativo a las áreas y la flora y fauna silvestres especialmente protegidas de la Región del Gran Caribe se prohíbe "la captura, posesión o muerte (incluidas, en la medida de lo posible, la captura, posesión o muerte incidentales) o el intercambio comercial" de cetáceos o sus partes o productos; y</w:t>
      </w:r>
    </w:p>
    <w:p w:rsidR="002E0718" w:rsidRPr="002E0718" w:rsidRDefault="002E0718" w:rsidP="002E0718">
      <w:pPr>
        <w:contextualSpacing/>
        <w:jc w:val="both"/>
        <w:rPr>
          <w:rFonts w:eastAsia="Times New Roman"/>
          <w:szCs w:val="24"/>
          <w:lang w:val="es-ES" w:eastAsia="es-ES"/>
        </w:rPr>
      </w:pPr>
    </w:p>
    <w:p w:rsidR="002E0718" w:rsidRPr="002E0718" w:rsidRDefault="002E0718" w:rsidP="002E0718">
      <w:pPr>
        <w:ind w:firstLine="720"/>
        <w:jc w:val="both"/>
        <w:rPr>
          <w:rFonts w:eastAsia="Times New Roman"/>
          <w:szCs w:val="24"/>
          <w:lang w:val="es-ES" w:eastAsia="es-ES"/>
        </w:rPr>
      </w:pPr>
      <w:r w:rsidRPr="002E0718">
        <w:rPr>
          <w:rFonts w:eastAsia="Times New Roman"/>
          <w:i/>
          <w:szCs w:val="24"/>
          <w:lang w:val="es-ES" w:eastAsia="es-ES"/>
        </w:rPr>
        <w:t>Reconociendo</w:t>
      </w:r>
      <w:r w:rsidRPr="002E0718">
        <w:rPr>
          <w:rFonts w:eastAsia="Times New Roman"/>
          <w:szCs w:val="24"/>
          <w:lang w:val="es-ES" w:eastAsia="es-ES"/>
        </w:rPr>
        <w:t xml:space="preserve"> que varios países, entre ellos Argentina, Australia, Brasil, Costa Rica, Chile, China, Filipinas, India, Malasia, los Estados miembros de la UE, México, </w:t>
      </w:r>
      <w:r>
        <w:rPr>
          <w:rFonts w:eastAsia="Times New Roman"/>
          <w:szCs w:val="24"/>
          <w:lang w:val="es-ES" w:eastAsia="es-ES"/>
        </w:rPr>
        <w:t xml:space="preserve">Mónaco, </w:t>
      </w:r>
      <w:r w:rsidRPr="002E0718">
        <w:rPr>
          <w:rFonts w:eastAsia="Times New Roman"/>
          <w:szCs w:val="24"/>
          <w:lang w:val="es-ES" w:eastAsia="es-ES"/>
        </w:rPr>
        <w:t>Nicaragua, Perú, República Democrática Popular Lao, Singapur, Tailandia y Uruguay, han prohibido directamente las capturas en vivo de cetáceos silvestres en sus aguas nacionales;</w:t>
      </w:r>
    </w:p>
    <w:p w:rsidR="002E0718" w:rsidRPr="002E0718" w:rsidRDefault="002E0718" w:rsidP="002E0718">
      <w:pPr>
        <w:rPr>
          <w:rFonts w:eastAsia="Times New Roman"/>
          <w:szCs w:val="24"/>
          <w:lang w:val="es-ES" w:eastAsia="es-ES"/>
        </w:rPr>
      </w:pPr>
    </w:p>
    <w:p w:rsidR="002E0718" w:rsidRPr="002E0718" w:rsidRDefault="002E0718" w:rsidP="002E0718">
      <w:pPr>
        <w:rPr>
          <w:rFonts w:eastAsia="Times New Roman"/>
          <w:szCs w:val="24"/>
          <w:lang w:val="es-ES" w:eastAsia="es-ES"/>
        </w:rPr>
      </w:pPr>
    </w:p>
    <w:p w:rsidR="002E0718" w:rsidRPr="002E0718" w:rsidRDefault="002E0718" w:rsidP="002E0718">
      <w:pPr>
        <w:widowControl w:val="0"/>
        <w:jc w:val="center"/>
        <w:outlineLvl w:val="0"/>
        <w:rPr>
          <w:rFonts w:eastAsia="Times New Roman"/>
          <w:i/>
          <w:iCs/>
          <w:szCs w:val="24"/>
          <w:lang w:val="es-ES" w:eastAsia="es-ES"/>
        </w:rPr>
      </w:pPr>
      <w:r w:rsidRPr="002E0718">
        <w:rPr>
          <w:rFonts w:eastAsia="Times New Roman"/>
          <w:i/>
          <w:szCs w:val="24"/>
          <w:lang w:val="es-ES" w:eastAsia="es-ES"/>
        </w:rPr>
        <w:t>La Conferencia de las Partes en la</w:t>
      </w:r>
    </w:p>
    <w:p w:rsidR="002E0718" w:rsidRPr="002E0718" w:rsidRDefault="002E0718" w:rsidP="002E0718">
      <w:pPr>
        <w:widowControl w:val="0"/>
        <w:jc w:val="center"/>
        <w:outlineLvl w:val="0"/>
        <w:rPr>
          <w:rFonts w:eastAsia="Times New Roman"/>
          <w:i/>
          <w:iCs/>
          <w:szCs w:val="24"/>
          <w:lang w:val="es-ES" w:eastAsia="es-ES"/>
        </w:rPr>
      </w:pPr>
      <w:r w:rsidRPr="002E0718">
        <w:rPr>
          <w:rFonts w:eastAsia="Times New Roman"/>
          <w:i/>
          <w:szCs w:val="24"/>
          <w:lang w:val="es-ES" w:eastAsia="es-ES"/>
        </w:rPr>
        <w:t>Convención sobre la Conservación de las Especies Migratorias de Animales Silvestres</w:t>
      </w:r>
    </w:p>
    <w:p w:rsidR="002E0718" w:rsidRPr="002E0718" w:rsidRDefault="002E0718" w:rsidP="002E0718">
      <w:pPr>
        <w:rPr>
          <w:rFonts w:eastAsia="Times New Roman"/>
          <w:szCs w:val="24"/>
          <w:lang w:val="es-ES" w:eastAsia="es-ES"/>
        </w:rPr>
      </w:pPr>
    </w:p>
    <w:p w:rsidR="002E0718" w:rsidRPr="002E0718" w:rsidRDefault="002E0718" w:rsidP="002E0718">
      <w:pPr>
        <w:widowControl w:val="0"/>
        <w:numPr>
          <w:ilvl w:val="0"/>
          <w:numId w:val="14"/>
        </w:numPr>
        <w:autoSpaceDE w:val="0"/>
        <w:autoSpaceDN w:val="0"/>
        <w:adjustRightInd w:val="0"/>
        <w:jc w:val="both"/>
        <w:rPr>
          <w:rFonts w:eastAsia="Times New Roman"/>
          <w:szCs w:val="24"/>
          <w:lang w:val="es-ES" w:eastAsia="es-ES"/>
        </w:rPr>
      </w:pPr>
      <w:r w:rsidRPr="002E0718">
        <w:rPr>
          <w:rFonts w:eastAsia="Times New Roman"/>
          <w:i/>
          <w:szCs w:val="24"/>
          <w:lang w:val="es-ES" w:eastAsia="es-ES"/>
        </w:rPr>
        <w:t>Invita</w:t>
      </w:r>
      <w:r w:rsidRPr="002E0718">
        <w:rPr>
          <w:rFonts w:eastAsia="Times New Roman"/>
          <w:szCs w:val="24"/>
          <w:lang w:val="es-ES" w:eastAsia="es-ES"/>
        </w:rPr>
        <w:t xml:space="preserve"> a las Partes que no lo hayan hecho todavía a elaborar e implementar una legislación nacional que prohíba la captura en vivo de cetáceos en su medio natural;</w:t>
      </w:r>
    </w:p>
    <w:p w:rsidR="002E0718" w:rsidRPr="002E0718" w:rsidRDefault="002E0718" w:rsidP="002E0718">
      <w:pPr>
        <w:jc w:val="both"/>
        <w:rPr>
          <w:rFonts w:eastAsia="Times New Roman"/>
          <w:szCs w:val="24"/>
          <w:lang w:val="es-ES" w:eastAsia="es-ES"/>
        </w:rPr>
      </w:pPr>
    </w:p>
    <w:p w:rsidR="002E0718" w:rsidRPr="002E0718" w:rsidRDefault="002E0718" w:rsidP="002E0718">
      <w:pPr>
        <w:widowControl w:val="0"/>
        <w:numPr>
          <w:ilvl w:val="0"/>
          <w:numId w:val="14"/>
        </w:numPr>
        <w:autoSpaceDE w:val="0"/>
        <w:autoSpaceDN w:val="0"/>
        <w:adjustRightInd w:val="0"/>
        <w:jc w:val="both"/>
        <w:rPr>
          <w:rFonts w:eastAsia="Times New Roman"/>
          <w:szCs w:val="24"/>
          <w:lang w:val="es-ES" w:eastAsia="es-ES"/>
        </w:rPr>
      </w:pPr>
      <w:r w:rsidRPr="002E0718">
        <w:rPr>
          <w:rFonts w:eastAsia="Times New Roman"/>
          <w:i/>
          <w:szCs w:val="24"/>
          <w:lang w:val="es-ES" w:eastAsia="es-ES"/>
        </w:rPr>
        <w:t>insta también</w:t>
      </w:r>
      <w:r w:rsidRPr="002E0718">
        <w:rPr>
          <w:rFonts w:eastAsia="Times New Roman"/>
          <w:szCs w:val="24"/>
          <w:lang w:val="es-ES" w:eastAsia="es-ES"/>
        </w:rPr>
        <w:t xml:space="preserve"> a las Partes a prohibir las importaciones y el tránsito internacional de cetáceos vivos para fines comerciales que hayan sido capturados en el medio natural;</w:t>
      </w:r>
    </w:p>
    <w:p w:rsidR="002E0718" w:rsidRPr="002E0718" w:rsidRDefault="002E0718" w:rsidP="002E0718">
      <w:pPr>
        <w:tabs>
          <w:tab w:val="num" w:pos="1080"/>
        </w:tabs>
        <w:jc w:val="both"/>
        <w:rPr>
          <w:rFonts w:eastAsia="Times New Roman"/>
          <w:szCs w:val="24"/>
          <w:lang w:val="es-ES" w:eastAsia="es-ES"/>
        </w:rPr>
      </w:pPr>
    </w:p>
    <w:p w:rsidR="002E0718" w:rsidRPr="002E0718" w:rsidRDefault="002E0718" w:rsidP="002E0718">
      <w:pPr>
        <w:widowControl w:val="0"/>
        <w:numPr>
          <w:ilvl w:val="0"/>
          <w:numId w:val="14"/>
        </w:numPr>
        <w:autoSpaceDE w:val="0"/>
        <w:autoSpaceDN w:val="0"/>
        <w:adjustRightInd w:val="0"/>
        <w:jc w:val="both"/>
        <w:rPr>
          <w:rFonts w:eastAsia="Times New Roman"/>
          <w:szCs w:val="24"/>
          <w:lang w:val="es-ES" w:eastAsia="es-ES"/>
        </w:rPr>
      </w:pPr>
      <w:r w:rsidRPr="002E0718">
        <w:rPr>
          <w:rFonts w:eastAsia="Times New Roman"/>
          <w:i/>
          <w:szCs w:val="24"/>
          <w:lang w:val="es-ES" w:eastAsia="es-ES"/>
        </w:rPr>
        <w:t>Pide</w:t>
      </w:r>
      <w:r w:rsidRPr="002E0718">
        <w:rPr>
          <w:rFonts w:eastAsia="Times New Roman"/>
          <w:szCs w:val="24"/>
          <w:lang w:val="es-ES" w:eastAsia="es-ES"/>
        </w:rPr>
        <w:t xml:space="preserve"> a la Secretaría y al Consejo Científico que traten de mejorar la cooperación y la colaboración con la CITES y la CBI sobre los pequeños cetáceos objeto de capturas en vivo en su ambiente natural; y</w:t>
      </w:r>
    </w:p>
    <w:p w:rsidR="002E0718" w:rsidRPr="002E0718" w:rsidRDefault="002E0718" w:rsidP="002E0718">
      <w:pPr>
        <w:jc w:val="both"/>
        <w:rPr>
          <w:rFonts w:eastAsia="Times New Roman"/>
          <w:szCs w:val="24"/>
          <w:lang w:val="es-ES" w:eastAsia="es-ES"/>
        </w:rPr>
      </w:pPr>
    </w:p>
    <w:p w:rsidR="002E0718" w:rsidRPr="002E0718" w:rsidRDefault="002E0718" w:rsidP="002E0718">
      <w:pPr>
        <w:widowControl w:val="0"/>
        <w:numPr>
          <w:ilvl w:val="0"/>
          <w:numId w:val="14"/>
        </w:numPr>
        <w:autoSpaceDE w:val="0"/>
        <w:autoSpaceDN w:val="0"/>
        <w:adjustRightInd w:val="0"/>
        <w:jc w:val="both"/>
        <w:rPr>
          <w:rFonts w:eastAsia="Times New Roman"/>
          <w:szCs w:val="24"/>
          <w:lang w:val="es-ES" w:eastAsia="es-ES"/>
        </w:rPr>
      </w:pPr>
      <w:r w:rsidRPr="002E0718">
        <w:rPr>
          <w:rFonts w:eastAsia="Times New Roman"/>
          <w:i/>
          <w:szCs w:val="24"/>
          <w:lang w:val="es-ES" w:eastAsia="es-ES"/>
        </w:rPr>
        <w:t>Pide</w:t>
      </w:r>
      <w:r w:rsidRPr="002E0718">
        <w:rPr>
          <w:rFonts w:eastAsia="Times New Roman"/>
          <w:szCs w:val="24"/>
          <w:lang w:val="es-ES" w:eastAsia="es-ES"/>
        </w:rPr>
        <w:t xml:space="preserve"> a las Partes que apoyen y, cuando sea apropiado y posible, contribuyan a la cooperación y la colaboración con la CITES y la CBI sobre los pequeños cetáceos objeto de capturas en vivo en su ambiente natural.</w:t>
      </w:r>
    </w:p>
    <w:bookmarkEnd w:id="0"/>
    <w:bookmarkEnd w:id="1"/>
    <w:p w:rsidR="002E0718" w:rsidRPr="002E0718" w:rsidRDefault="002E0718" w:rsidP="002E0718">
      <w:pPr>
        <w:widowControl w:val="0"/>
        <w:autoSpaceDE w:val="0"/>
        <w:autoSpaceDN w:val="0"/>
        <w:adjustRightInd w:val="0"/>
        <w:jc w:val="both"/>
        <w:rPr>
          <w:rFonts w:eastAsia="Times New Roman"/>
          <w:szCs w:val="24"/>
          <w:lang w:val="es-ES" w:eastAsia="es-ES"/>
        </w:rPr>
      </w:pPr>
    </w:p>
    <w:p w:rsidR="00031FF2" w:rsidRDefault="00031FF2" w:rsidP="00031FF2">
      <w:pPr>
        <w:pStyle w:val="ListParagraph"/>
        <w:rPr>
          <w:rFonts w:eastAsia="Times New Roman"/>
          <w:szCs w:val="24"/>
          <w:lang w:val="es-ES"/>
        </w:rPr>
      </w:pPr>
    </w:p>
    <w:p w:rsidR="00031FF2" w:rsidRDefault="00031FF2" w:rsidP="00031FF2">
      <w:pPr>
        <w:widowControl w:val="0"/>
        <w:autoSpaceDE w:val="0"/>
        <w:autoSpaceDN w:val="0"/>
        <w:adjustRightInd w:val="0"/>
        <w:contextualSpacing/>
        <w:jc w:val="both"/>
        <w:rPr>
          <w:rFonts w:eastAsia="Times New Roman"/>
          <w:szCs w:val="24"/>
          <w:lang w:val="es-ES"/>
        </w:rPr>
      </w:pPr>
    </w:p>
    <w:p w:rsidR="00031FF2" w:rsidRDefault="00031FF2" w:rsidP="00031FF2">
      <w:pPr>
        <w:widowControl w:val="0"/>
        <w:autoSpaceDE w:val="0"/>
        <w:autoSpaceDN w:val="0"/>
        <w:adjustRightInd w:val="0"/>
        <w:contextualSpacing/>
        <w:jc w:val="both"/>
        <w:rPr>
          <w:rFonts w:eastAsia="Times New Roman"/>
          <w:szCs w:val="24"/>
          <w:lang w:val="es-ES"/>
        </w:rPr>
      </w:pPr>
    </w:p>
    <w:sectPr w:rsidR="00031FF2" w:rsidSect="00D6057F">
      <w:headerReference w:type="even" r:id="rId22"/>
      <w:headerReference w:type="default" r:id="rId23"/>
      <w:headerReference w:type="first" r:id="rId24"/>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18" w:rsidRDefault="002E0718" w:rsidP="00C96A00">
      <w:r>
        <w:separator/>
      </w:r>
    </w:p>
  </w:endnote>
  <w:endnote w:type="continuationSeparator" w:id="0">
    <w:p w:rsidR="002E0718" w:rsidRDefault="002E071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8B133C">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8B133C">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2E0718"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8B133C">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18" w:rsidRDefault="002E0718" w:rsidP="00C96A00">
      <w:r>
        <w:separator/>
      </w:r>
    </w:p>
  </w:footnote>
  <w:footnote w:type="continuationSeparator" w:id="0">
    <w:p w:rsidR="002E0718" w:rsidRDefault="002E0718" w:rsidP="00C96A00">
      <w:r>
        <w:continuationSeparator/>
      </w:r>
    </w:p>
  </w:footnote>
  <w:footnote w:id="1">
    <w:p w:rsidR="002E0718" w:rsidRPr="00F720BB" w:rsidRDefault="002E0718" w:rsidP="00462D8F">
      <w:pPr>
        <w:pStyle w:val="FootnoteText"/>
        <w:ind w:left="180" w:hanging="180"/>
        <w:jc w:val="both"/>
      </w:pPr>
      <w:r>
        <w:rPr>
          <w:rStyle w:val="FootnoteReference"/>
        </w:rPr>
        <w:footnoteRef/>
      </w:r>
      <w:r w:rsidRPr="00D24DCA">
        <w:rPr>
          <w:lang w:val="en-GB"/>
        </w:rPr>
        <w:t xml:space="preserve"> Whitehead, H., Rendell, L., Osborne, R.W. and Würsig, B. 2004. </w:t>
      </w:r>
      <w:r w:rsidRPr="00D24DCA">
        <w:rPr>
          <w:i/>
          <w:lang w:val="en-GB"/>
        </w:rPr>
        <w:t>Culture and conservation of non-humans with reference to whales and dolphins: Review and new directions</w:t>
      </w:r>
      <w:r w:rsidRPr="00D24DCA">
        <w:rPr>
          <w:lang w:val="en-GB"/>
        </w:rPr>
        <w:t xml:space="preserve"> in Biological Conservation, 120: 431-441.</w:t>
      </w:r>
    </w:p>
  </w:footnote>
  <w:footnote w:id="2">
    <w:p w:rsidR="002E0718" w:rsidRPr="00F720BB" w:rsidRDefault="002E0718" w:rsidP="00462D8F">
      <w:pPr>
        <w:pStyle w:val="FootnoteText"/>
        <w:ind w:left="180" w:hanging="180"/>
        <w:jc w:val="both"/>
      </w:pPr>
      <w:r>
        <w:rPr>
          <w:rStyle w:val="FootnoteReference"/>
        </w:rPr>
        <w:footnoteRef/>
      </w:r>
      <w:r w:rsidRPr="00D24DCA">
        <w:rPr>
          <w:lang w:val="en-GB"/>
        </w:rPr>
        <w:t xml:space="preserve"> See: Lusseau, D. and Newman, M.E.J. 2004. </w:t>
      </w:r>
      <w:r w:rsidRPr="00D24DCA">
        <w:rPr>
          <w:i/>
          <w:lang w:val="en-GB"/>
        </w:rPr>
        <w:t>Identifying the role that animals play in their social networks</w:t>
      </w:r>
      <w:r w:rsidRPr="00D24DCA">
        <w:rPr>
          <w:lang w:val="en-GB"/>
        </w:rPr>
        <w:t xml:space="preserve"> in Proceedings of the Royal Society and Williams, R. and Lusseau, D. 2006. </w:t>
      </w:r>
      <w:r w:rsidRPr="00D24DCA">
        <w:rPr>
          <w:i/>
          <w:lang w:val="en-GB"/>
        </w:rPr>
        <w:t>A killer whale social network is vulnerable to targeted removals</w:t>
      </w:r>
      <w:r w:rsidRPr="00D24DCA">
        <w:rPr>
          <w:lang w:val="en-GB"/>
        </w:rPr>
        <w:t xml:space="preserve"> in Biology Letters, The Royal Society.</w:t>
      </w:r>
    </w:p>
  </w:footnote>
  <w:footnote w:id="3">
    <w:p w:rsidR="002E0718" w:rsidRPr="00F720BB" w:rsidRDefault="002E0718" w:rsidP="00462D8F">
      <w:pPr>
        <w:pStyle w:val="FootnoteText"/>
        <w:ind w:left="180" w:hanging="180"/>
        <w:jc w:val="both"/>
      </w:pPr>
      <w:r>
        <w:rPr>
          <w:rStyle w:val="FootnoteReference"/>
        </w:rPr>
        <w:footnoteRef/>
      </w:r>
      <w:r w:rsidRPr="00D24DCA">
        <w:rPr>
          <w:lang w:val="en-GB"/>
        </w:rPr>
        <w:t xml:space="preserve"> Williams, R. and Lusseau, D. 2006. </w:t>
      </w:r>
      <w:r w:rsidRPr="00D24DCA">
        <w:rPr>
          <w:i/>
          <w:lang w:val="en-GB"/>
        </w:rPr>
        <w:t>A killer whale social network is vulnerable to targeted removals</w:t>
      </w:r>
      <w:r w:rsidRPr="00D24DCA">
        <w:rPr>
          <w:lang w:val="en-GB"/>
        </w:rPr>
        <w:t xml:space="preserve"> in Biology Letters, The Royal Society.</w:t>
      </w:r>
    </w:p>
  </w:footnote>
  <w:footnote w:id="4">
    <w:p w:rsidR="002E0718" w:rsidRPr="00F720BB" w:rsidRDefault="002E0718" w:rsidP="00462D8F">
      <w:pPr>
        <w:pStyle w:val="FootnoteText"/>
        <w:ind w:left="180" w:hanging="180"/>
        <w:jc w:val="both"/>
      </w:pPr>
      <w:r>
        <w:rPr>
          <w:rStyle w:val="FootnoteReference"/>
        </w:rPr>
        <w:footnoteRef/>
      </w:r>
      <w:r w:rsidRPr="00D24DCA">
        <w:rPr>
          <w:lang w:val="it-IT"/>
        </w:rPr>
        <w:t xml:space="preserve"> Reeves, R.R., Smith B.D., Crespo, E.A. and Notarbartolo di Sciara, G. (compilers). </w:t>
      </w:r>
      <w:r w:rsidRPr="00D24DCA">
        <w:rPr>
          <w:lang w:val="en-GB"/>
        </w:rPr>
        <w:t xml:space="preserve">2003. </w:t>
      </w:r>
      <w:bookmarkStart w:id="3" w:name="OLE_LINK7"/>
      <w:bookmarkStart w:id="4" w:name="OLE_LINK8"/>
      <w:r w:rsidRPr="00D24DCA">
        <w:rPr>
          <w:i/>
          <w:lang w:val="en-GB"/>
        </w:rPr>
        <w:t xml:space="preserve">Dolphins, Whales and </w:t>
      </w:r>
      <w:bookmarkStart w:id="5" w:name="OLE_LINK13"/>
      <w:bookmarkStart w:id="6" w:name="OLE_LINK14"/>
      <w:r w:rsidRPr="00D24DCA">
        <w:rPr>
          <w:i/>
          <w:lang w:val="en-GB"/>
        </w:rPr>
        <w:t>Porpoises</w:t>
      </w:r>
      <w:bookmarkEnd w:id="5"/>
      <w:bookmarkEnd w:id="6"/>
      <w:r w:rsidRPr="00D24DCA">
        <w:rPr>
          <w:i/>
          <w:lang w:val="en-GB"/>
        </w:rPr>
        <w:t xml:space="preserve">: </w:t>
      </w:r>
      <w:bookmarkStart w:id="7" w:name="OLE_LINK9"/>
      <w:bookmarkStart w:id="8" w:name="OLE_LINK10"/>
      <w:r w:rsidRPr="00D24DCA">
        <w:rPr>
          <w:i/>
          <w:lang w:val="en-GB"/>
        </w:rPr>
        <w:t>2002-2010 Conservation Action Plan for the World’s Cetaceans</w:t>
      </w:r>
      <w:bookmarkEnd w:id="3"/>
      <w:bookmarkEnd w:id="4"/>
      <w:bookmarkEnd w:id="7"/>
      <w:bookmarkEnd w:id="8"/>
      <w:r w:rsidRPr="00D24DCA">
        <w:rPr>
          <w:i/>
          <w:lang w:val="en-GB"/>
        </w:rPr>
        <w:t xml:space="preserve">. </w:t>
      </w:r>
      <w:bookmarkStart w:id="9" w:name="OLE_LINK11"/>
      <w:bookmarkStart w:id="10" w:name="OLE_LINK12"/>
      <w:r w:rsidRPr="00D24DCA">
        <w:rPr>
          <w:lang w:val="en-GB"/>
        </w:rPr>
        <w:t>IUCN/SSC Cetacean Specialist Group.</w:t>
      </w:r>
      <w:bookmarkEnd w:id="9"/>
      <w:bookmarkEnd w:id="10"/>
      <w:r w:rsidRPr="00D24DCA">
        <w:rPr>
          <w:lang w:val="en-GB"/>
        </w:rPr>
        <w:t xml:space="preserve"> IUCN. Gland. Switzerland and Cambridge, UK. P.17</w:t>
      </w:r>
    </w:p>
  </w:footnote>
  <w:footnote w:id="5">
    <w:p w:rsidR="002E0718" w:rsidRPr="00F720BB" w:rsidRDefault="002E0718" w:rsidP="00462D8F">
      <w:pPr>
        <w:pStyle w:val="FootnoteText"/>
        <w:ind w:left="180" w:hanging="180"/>
        <w:jc w:val="both"/>
      </w:pPr>
      <w:r>
        <w:rPr>
          <w:rStyle w:val="FootnoteReference"/>
        </w:rPr>
        <w:footnoteRef/>
      </w:r>
      <w:r w:rsidRPr="00D24DCA">
        <w:rPr>
          <w:lang w:val="en-GB"/>
        </w:rPr>
        <w:t xml:space="preserve"> Reeves, R. and </w:t>
      </w:r>
      <w:proofErr w:type="spellStart"/>
      <w:r w:rsidRPr="00D24DCA">
        <w:rPr>
          <w:lang w:val="en-GB"/>
        </w:rPr>
        <w:t>Horokou</w:t>
      </w:r>
      <w:proofErr w:type="spellEnd"/>
      <w:r w:rsidRPr="00D24DCA">
        <w:rPr>
          <w:lang w:val="en-GB"/>
        </w:rPr>
        <w:t xml:space="preserve">, J. 2008. </w:t>
      </w:r>
      <w:bookmarkStart w:id="11" w:name="OLE_LINK17"/>
      <w:bookmarkStart w:id="12" w:name="OLE_LINK18"/>
      <w:r w:rsidRPr="00D24DCA">
        <w:rPr>
          <w:i/>
          <w:lang w:val="en-GB"/>
        </w:rPr>
        <w:t>Non-detriment finding for</w:t>
      </w:r>
      <w:r w:rsidRPr="00D24DCA">
        <w:rPr>
          <w:lang w:val="en-GB"/>
        </w:rPr>
        <w:t xml:space="preserve"> </w:t>
      </w:r>
      <w:r w:rsidRPr="00D24DCA">
        <w:rPr>
          <w:i/>
          <w:lang w:val="en-GB"/>
        </w:rPr>
        <w:t>in the Solomon Islands</w:t>
      </w:r>
      <w:bookmarkEnd w:id="11"/>
      <w:bookmarkEnd w:id="12"/>
      <w:r w:rsidRPr="00D24DCA">
        <w:rPr>
          <w:lang w:val="en-GB"/>
        </w:rPr>
        <w:t xml:space="preserve">. NDF Workshop Case Studies, </w:t>
      </w:r>
      <w:bookmarkStart w:id="13" w:name="OLE_LINK15"/>
      <w:bookmarkStart w:id="14" w:name="OLE_LINK16"/>
      <w:r w:rsidRPr="00D24DCA">
        <w:rPr>
          <w:lang w:val="en-GB"/>
        </w:rPr>
        <w:t xml:space="preserve">WG 5 – Mammals, Case Study 2, </w:t>
      </w:r>
      <w:proofErr w:type="spellStart"/>
      <w:r w:rsidRPr="00D24DCA">
        <w:rPr>
          <w:i/>
          <w:lang w:val="en-GB"/>
        </w:rPr>
        <w:t>Tursiops</w:t>
      </w:r>
      <w:proofErr w:type="spellEnd"/>
      <w:r w:rsidRPr="00D24DCA">
        <w:rPr>
          <w:i/>
          <w:lang w:val="en-GB"/>
        </w:rPr>
        <w:t xml:space="preserve"> </w:t>
      </w:r>
      <w:proofErr w:type="spellStart"/>
      <w:r w:rsidRPr="00D24DCA">
        <w:rPr>
          <w:i/>
          <w:lang w:val="en-GB"/>
        </w:rPr>
        <w:t>aduncus</w:t>
      </w:r>
      <w:bookmarkEnd w:id="13"/>
      <w:bookmarkEnd w:id="14"/>
      <w:proofErr w:type="spellEnd"/>
      <w:r w:rsidRPr="00D24DCA">
        <w:rPr>
          <w:lang w:val="en-GB"/>
        </w:rPr>
        <w:t>.</w:t>
      </w:r>
    </w:p>
  </w:footnote>
  <w:footnote w:id="6">
    <w:p w:rsidR="002E0718" w:rsidRPr="00F720BB" w:rsidRDefault="002E0718" w:rsidP="00462D8F">
      <w:pPr>
        <w:pStyle w:val="FootnoteText"/>
        <w:ind w:left="180" w:hanging="180"/>
        <w:jc w:val="both"/>
      </w:pPr>
      <w:r>
        <w:rPr>
          <w:rStyle w:val="FootnoteReference"/>
        </w:rPr>
        <w:footnoteRef/>
      </w:r>
      <w:r w:rsidRPr="00D24DCA">
        <w:rPr>
          <w:lang w:val="en-GB"/>
        </w:rPr>
        <w:t xml:space="preserve"> See: International Whaling Commission. 1992. </w:t>
      </w:r>
      <w:r w:rsidRPr="00D24DCA">
        <w:rPr>
          <w:i/>
          <w:lang w:val="en-GB"/>
        </w:rPr>
        <w:t xml:space="preserve">Report of the Sub-Committee on Small Cetaceans, </w:t>
      </w:r>
      <w:r w:rsidRPr="00D24DCA">
        <w:rPr>
          <w:lang w:val="en-GB"/>
        </w:rPr>
        <w:t xml:space="preserve">IWC/44/4 Annex G; </w:t>
      </w:r>
      <w:proofErr w:type="spellStart"/>
      <w:r w:rsidRPr="00D24DCA">
        <w:rPr>
          <w:lang w:val="en-GB"/>
        </w:rPr>
        <w:t>Kishiro</w:t>
      </w:r>
      <w:proofErr w:type="spellEnd"/>
      <w:r w:rsidRPr="00D24DCA">
        <w:rPr>
          <w:lang w:val="en-GB"/>
        </w:rPr>
        <w:t xml:space="preserve">, T. and </w:t>
      </w:r>
      <w:proofErr w:type="spellStart"/>
      <w:r w:rsidRPr="00D24DCA">
        <w:rPr>
          <w:lang w:val="en-GB"/>
        </w:rPr>
        <w:t>Kasuya</w:t>
      </w:r>
      <w:proofErr w:type="spellEnd"/>
      <w:r w:rsidRPr="00D24DCA">
        <w:rPr>
          <w:lang w:val="en-GB"/>
        </w:rPr>
        <w:t xml:space="preserve">. T. 1993. </w:t>
      </w:r>
      <w:r w:rsidRPr="00D24DCA">
        <w:rPr>
          <w:i/>
          <w:lang w:val="en-GB"/>
        </w:rPr>
        <w:t xml:space="preserve">Review of Japanese Dolphin Drive Fisheries and Their Status. </w:t>
      </w:r>
      <w:r w:rsidRPr="00D24DCA">
        <w:rPr>
          <w:lang w:val="en-GB"/>
        </w:rPr>
        <w:t xml:space="preserve">Report of the International Whaling Commission 43; </w:t>
      </w:r>
      <w:proofErr w:type="gramStart"/>
      <w:r w:rsidRPr="00D24DCA">
        <w:rPr>
          <w:lang w:val="en-GB"/>
        </w:rPr>
        <w:t>The</w:t>
      </w:r>
      <w:proofErr w:type="gramEnd"/>
      <w:r w:rsidRPr="00D24DCA">
        <w:rPr>
          <w:lang w:val="en-GB"/>
        </w:rPr>
        <w:t xml:space="preserve"> IUCN Red List of Threatened Species. 2012. </w:t>
      </w:r>
      <w:proofErr w:type="spellStart"/>
      <w:r w:rsidRPr="00D24DCA">
        <w:rPr>
          <w:i/>
          <w:lang w:val="en-GB"/>
        </w:rPr>
        <w:t>Tursiops</w:t>
      </w:r>
      <w:proofErr w:type="spellEnd"/>
      <w:r w:rsidRPr="00D24DCA">
        <w:rPr>
          <w:i/>
          <w:lang w:val="en-GB"/>
        </w:rPr>
        <w:t xml:space="preserve"> </w:t>
      </w:r>
      <w:proofErr w:type="spellStart"/>
      <w:r w:rsidRPr="00D24DCA">
        <w:rPr>
          <w:i/>
          <w:lang w:val="en-GB"/>
        </w:rPr>
        <w:t>truncatus</w:t>
      </w:r>
      <w:proofErr w:type="spellEnd"/>
      <w:r w:rsidRPr="00D24DCA">
        <w:rPr>
          <w:i/>
          <w:lang w:val="en-GB"/>
        </w:rPr>
        <w:t xml:space="preserve">: </w:t>
      </w:r>
      <w:r w:rsidRPr="00D24DCA">
        <w:rPr>
          <w:lang w:val="en-GB"/>
        </w:rPr>
        <w:t xml:space="preserve">“acute conservation problems are known or suspected in Japan”; Wells, R. 2012 </w:t>
      </w:r>
      <w:r w:rsidRPr="00D24DCA">
        <w:rPr>
          <w:i/>
          <w:lang w:val="en-GB"/>
        </w:rPr>
        <w:t>Letter to Japanese Government Regarding Dolphin and Small Whale Hunts</w:t>
      </w:r>
      <w:r w:rsidRPr="00D24DCA">
        <w:rPr>
          <w:lang w:val="en-GB"/>
        </w:rPr>
        <w:t xml:space="preserve">. Presidential Letters, </w:t>
      </w:r>
      <w:proofErr w:type="gramStart"/>
      <w:r w:rsidRPr="00D24DCA">
        <w:rPr>
          <w:lang w:val="en-GB"/>
        </w:rPr>
        <w:t>The</w:t>
      </w:r>
      <w:proofErr w:type="gramEnd"/>
      <w:r w:rsidRPr="00D24DCA">
        <w:rPr>
          <w:lang w:val="en-GB"/>
        </w:rPr>
        <w:t xml:space="preserve"> Society for Marine </w:t>
      </w:r>
      <w:proofErr w:type="spellStart"/>
      <w:r w:rsidRPr="00D24DCA">
        <w:rPr>
          <w:lang w:val="en-GB"/>
        </w:rPr>
        <w:t>Mammalogy</w:t>
      </w:r>
      <w:proofErr w:type="spellEnd"/>
      <w:r w:rsidRPr="00D24DCA">
        <w:rPr>
          <w:lang w:val="en-GB"/>
        </w:rPr>
        <w:t xml:space="preserve">; Marsh, H. 2013. </w:t>
      </w:r>
      <w:r w:rsidRPr="00D24DCA">
        <w:rPr>
          <w:i/>
          <w:lang w:val="en-GB"/>
        </w:rPr>
        <w:t xml:space="preserve">Additional Letter to Japanese Government Regarding Dolphin and Small Whale Hunts. </w:t>
      </w:r>
      <w:r w:rsidRPr="00D24DCA">
        <w:rPr>
          <w:lang w:val="en-GB"/>
        </w:rPr>
        <w:t xml:space="preserve">Presidential Letters, </w:t>
      </w:r>
      <w:proofErr w:type="gramStart"/>
      <w:r w:rsidRPr="00D24DCA">
        <w:rPr>
          <w:lang w:val="en-GB"/>
        </w:rPr>
        <w:t>The</w:t>
      </w:r>
      <w:proofErr w:type="gramEnd"/>
      <w:r w:rsidRPr="00D24DCA">
        <w:rPr>
          <w:lang w:val="en-GB"/>
        </w:rPr>
        <w:t xml:space="preserve"> Society for Marine </w:t>
      </w:r>
      <w:proofErr w:type="spellStart"/>
      <w:r w:rsidRPr="00D24DCA">
        <w:rPr>
          <w:lang w:val="en-GB"/>
        </w:rPr>
        <w:t>Mammalogy</w:t>
      </w:r>
      <w:proofErr w:type="spellEnd"/>
      <w:r w:rsidRPr="00D24DCA">
        <w:rPr>
          <w:lang w:val="en-GB"/>
        </w:rPr>
        <w:t xml:space="preserve">. </w:t>
      </w:r>
    </w:p>
  </w:footnote>
  <w:footnote w:id="7">
    <w:p w:rsidR="002E0718" w:rsidRPr="00F720BB" w:rsidRDefault="002E0718" w:rsidP="00462D8F">
      <w:pPr>
        <w:pStyle w:val="FootnoteText"/>
        <w:ind w:left="180" w:hanging="180"/>
        <w:jc w:val="both"/>
      </w:pPr>
      <w:r>
        <w:rPr>
          <w:rStyle w:val="FootnoteReference"/>
        </w:rPr>
        <w:footnoteRef/>
      </w:r>
      <w:r w:rsidRPr="00D24DCA">
        <w:rPr>
          <w:lang w:val="en-GB"/>
        </w:rPr>
        <w:t xml:space="preserve"> Japan Fisheries Agency Fisheries Reports. 2000 – 2013. Available at: http://www.jfa.maff.go.jp/e/</w:t>
      </w:r>
    </w:p>
  </w:footnote>
  <w:footnote w:id="8">
    <w:p w:rsidR="002E0718" w:rsidRPr="00F720BB" w:rsidRDefault="002E0718" w:rsidP="00462D8F">
      <w:pPr>
        <w:pStyle w:val="FootnoteText"/>
        <w:ind w:left="180" w:hanging="180"/>
        <w:jc w:val="both"/>
      </w:pPr>
      <w:r>
        <w:rPr>
          <w:rStyle w:val="FootnoteReference"/>
        </w:rPr>
        <w:footnoteRef/>
      </w:r>
      <w:r w:rsidRPr="00D24DCA">
        <w:rPr>
          <w:lang w:val="en-GB"/>
        </w:rPr>
        <w:t xml:space="preserve"> Report of the Scientific Committee. Bled, Slovenia, 12-24 May 2014. Available at: http://iwc.int/scientifc-committee-reports</w:t>
      </w:r>
    </w:p>
  </w:footnote>
  <w:footnote w:id="9">
    <w:p w:rsidR="002E0718" w:rsidRPr="00F720BB" w:rsidRDefault="002E0718" w:rsidP="00462D8F">
      <w:pPr>
        <w:pStyle w:val="FootnoteText"/>
        <w:ind w:left="180" w:hanging="180"/>
        <w:jc w:val="both"/>
      </w:pPr>
      <w:r>
        <w:rPr>
          <w:rStyle w:val="FootnoteReference"/>
        </w:rPr>
        <w:footnoteRef/>
      </w:r>
      <w:r w:rsidRPr="00D24DCA">
        <w:rPr>
          <w:lang w:val="en-GB"/>
        </w:rPr>
        <w:t xml:space="preserve"> Report of the Scientific Committee Annual Meeting 2013, Held on </w:t>
      </w:r>
      <w:proofErr w:type="spellStart"/>
      <w:r w:rsidRPr="00D24DCA">
        <w:rPr>
          <w:lang w:val="en-GB"/>
        </w:rPr>
        <w:t>Jeju</w:t>
      </w:r>
      <w:proofErr w:type="spellEnd"/>
      <w:r w:rsidRPr="00D24DCA">
        <w:rPr>
          <w:lang w:val="en-GB"/>
        </w:rPr>
        <w:t xml:space="preserve"> Island, Republic of Korea from 3-15 June 2013. International Whaling Commission, Cambridge, UK. Available at: http://iwc.int/scientifc-committee-reports</w:t>
      </w:r>
    </w:p>
  </w:footnote>
  <w:footnote w:id="10">
    <w:p w:rsidR="002E0718" w:rsidRPr="00F720BB" w:rsidRDefault="002E0718" w:rsidP="00462D8F">
      <w:pPr>
        <w:pStyle w:val="FootnoteText"/>
        <w:ind w:left="180" w:hanging="180"/>
        <w:jc w:val="both"/>
      </w:pPr>
      <w:r>
        <w:rPr>
          <w:rStyle w:val="FootnoteReference"/>
        </w:rPr>
        <w:footnoteRef/>
      </w:r>
      <w:r w:rsidRPr="00D24DCA">
        <w:rPr>
          <w:lang w:val="en-GB"/>
        </w:rPr>
        <w:t xml:space="preserve"> Report of the Scientific Committee. Bled, Slovenia, 12-24 May 2014. Available at: http://iwc.int/scientifc-committee-reports</w:t>
      </w:r>
    </w:p>
  </w:footnote>
  <w:footnote w:id="11">
    <w:p w:rsidR="002E0718" w:rsidRPr="00F720BB" w:rsidRDefault="002E0718" w:rsidP="00462D8F">
      <w:pPr>
        <w:pStyle w:val="FootnoteText"/>
        <w:ind w:left="180" w:hanging="180"/>
        <w:jc w:val="both"/>
      </w:pPr>
      <w:r>
        <w:rPr>
          <w:rStyle w:val="FootnoteReference"/>
        </w:rPr>
        <w:footnoteRef/>
      </w:r>
      <w:r w:rsidRPr="00D24DCA">
        <w:rPr>
          <w:lang w:val="en-GB"/>
        </w:rPr>
        <w:t xml:space="preserve"> Report of the Scientific Committee. Bled, Slovenia, 12-24 May 2014. Available at: http://iwc.int/scientifc-committee-reports</w:t>
      </w:r>
    </w:p>
  </w:footnote>
  <w:footnote w:id="12">
    <w:p w:rsidR="002E0718" w:rsidRPr="00F720BB" w:rsidRDefault="002E0718" w:rsidP="00462D8F">
      <w:pPr>
        <w:pStyle w:val="FootnoteText"/>
        <w:ind w:left="270" w:hanging="270"/>
        <w:jc w:val="both"/>
      </w:pPr>
      <w:r>
        <w:rPr>
          <w:rStyle w:val="FootnoteReference"/>
        </w:rPr>
        <w:footnoteRef/>
      </w:r>
      <w:r w:rsidRPr="00D24DCA">
        <w:rPr>
          <w:lang w:val="en-GB"/>
        </w:rPr>
        <w:t xml:space="preserve"> </w:t>
      </w:r>
      <w:proofErr w:type="spellStart"/>
      <w:r w:rsidRPr="00D24DCA">
        <w:rPr>
          <w:lang w:val="en-GB"/>
        </w:rPr>
        <w:t>Filotova</w:t>
      </w:r>
      <w:proofErr w:type="spellEnd"/>
      <w:r w:rsidRPr="00D24DCA">
        <w:rPr>
          <w:lang w:val="en-GB"/>
        </w:rPr>
        <w:t xml:space="preserve">. O. A., </w:t>
      </w:r>
      <w:proofErr w:type="spellStart"/>
      <w:r w:rsidRPr="00D24DCA">
        <w:rPr>
          <w:lang w:val="en-GB"/>
        </w:rPr>
        <w:t>Shpak</w:t>
      </w:r>
      <w:proofErr w:type="spellEnd"/>
      <w:r w:rsidRPr="00D24DCA">
        <w:rPr>
          <w:lang w:val="en-GB"/>
        </w:rPr>
        <w:t xml:space="preserve">, O.V., </w:t>
      </w:r>
      <w:proofErr w:type="spellStart"/>
      <w:r w:rsidRPr="00D24DCA">
        <w:rPr>
          <w:lang w:val="en-GB"/>
        </w:rPr>
        <w:t>Ivkovich</w:t>
      </w:r>
      <w:proofErr w:type="spellEnd"/>
      <w:r w:rsidRPr="00D24DCA">
        <w:rPr>
          <w:lang w:val="en-GB"/>
        </w:rPr>
        <w:t xml:space="preserve">, T.V., </w:t>
      </w:r>
      <w:proofErr w:type="spellStart"/>
      <w:r w:rsidRPr="00D24DCA">
        <w:rPr>
          <w:lang w:val="en-GB"/>
        </w:rPr>
        <w:t>Borisova</w:t>
      </w:r>
      <w:proofErr w:type="spellEnd"/>
      <w:r w:rsidRPr="00D24DCA">
        <w:rPr>
          <w:lang w:val="en-GB"/>
        </w:rPr>
        <w:t xml:space="preserve">, E.A., </w:t>
      </w:r>
      <w:proofErr w:type="spellStart"/>
      <w:r w:rsidRPr="00D24DCA">
        <w:rPr>
          <w:lang w:val="en-GB"/>
        </w:rPr>
        <w:t>Burdin</w:t>
      </w:r>
      <w:proofErr w:type="spellEnd"/>
      <w:r w:rsidRPr="00D24DCA">
        <w:rPr>
          <w:lang w:val="en-GB"/>
        </w:rPr>
        <w:t>, A.M. and Hoyt, E. 2014</w:t>
      </w:r>
      <w:r w:rsidRPr="00D24DCA">
        <w:rPr>
          <w:i/>
          <w:lang w:val="en-GB"/>
        </w:rPr>
        <w:t>. Killer whale status and live-captures in the waters of the Russian Far East</w:t>
      </w:r>
      <w:r w:rsidRPr="00D24DCA">
        <w:rPr>
          <w:lang w:val="en-GB"/>
        </w:rPr>
        <w:t>. SC/65b/SM07</w:t>
      </w:r>
    </w:p>
  </w:footnote>
  <w:footnote w:id="13">
    <w:p w:rsidR="002E0718" w:rsidRPr="00F720BB" w:rsidRDefault="002E0718" w:rsidP="00462D8F">
      <w:pPr>
        <w:pStyle w:val="FootnoteText"/>
        <w:ind w:left="270" w:hanging="270"/>
        <w:jc w:val="both"/>
      </w:pPr>
      <w:r>
        <w:rPr>
          <w:rStyle w:val="FootnoteReference"/>
        </w:rPr>
        <w:footnoteRef/>
      </w:r>
      <w:r w:rsidRPr="00D24DCA">
        <w:rPr>
          <w:lang w:val="en-GB"/>
        </w:rPr>
        <w:t xml:space="preserve"> Report of the Scientific Committee. Bled, Slovenia, 12-24 May 2014. Available at: http://iwc.int/scientifc-committee-reports</w:t>
      </w:r>
    </w:p>
  </w:footnote>
  <w:footnote w:id="14">
    <w:p w:rsidR="002E0718" w:rsidRPr="00F720BB" w:rsidRDefault="002E0718" w:rsidP="00462D8F">
      <w:pPr>
        <w:pStyle w:val="FootnoteText"/>
        <w:ind w:left="270" w:hanging="270"/>
        <w:jc w:val="both"/>
      </w:pPr>
      <w:r>
        <w:rPr>
          <w:rStyle w:val="FootnoteReference"/>
        </w:rPr>
        <w:footnoteRef/>
      </w:r>
      <w:r w:rsidRPr="00D24DCA">
        <w:rPr>
          <w:lang w:val="en-GB"/>
        </w:rPr>
        <w:t xml:space="preserve"> </w:t>
      </w:r>
      <w:proofErr w:type="spellStart"/>
      <w:r w:rsidRPr="00D24DCA">
        <w:rPr>
          <w:lang w:val="en-GB"/>
        </w:rPr>
        <w:t>Oremus</w:t>
      </w:r>
      <w:proofErr w:type="spellEnd"/>
      <w:r w:rsidRPr="00D24DCA">
        <w:rPr>
          <w:lang w:val="en-GB"/>
        </w:rPr>
        <w:t xml:space="preserve">, M., </w:t>
      </w:r>
      <w:proofErr w:type="spellStart"/>
      <w:r w:rsidRPr="00D24DCA">
        <w:rPr>
          <w:lang w:val="en-GB"/>
        </w:rPr>
        <w:t>Leqata</w:t>
      </w:r>
      <w:proofErr w:type="spellEnd"/>
      <w:r w:rsidRPr="00D24DCA">
        <w:rPr>
          <w:lang w:val="en-GB"/>
        </w:rPr>
        <w:t xml:space="preserve">, J., </w:t>
      </w:r>
      <w:proofErr w:type="spellStart"/>
      <w:r w:rsidRPr="00D24DCA">
        <w:rPr>
          <w:lang w:val="en-GB"/>
        </w:rPr>
        <w:t>Hurutarau</w:t>
      </w:r>
      <w:proofErr w:type="spellEnd"/>
      <w:r w:rsidRPr="00D24DCA">
        <w:rPr>
          <w:lang w:val="en-GB"/>
        </w:rPr>
        <w:t xml:space="preserve">, J., </w:t>
      </w:r>
      <w:proofErr w:type="spellStart"/>
      <w:r w:rsidRPr="00D24DCA">
        <w:rPr>
          <w:lang w:val="en-GB"/>
        </w:rPr>
        <w:t>Taei</w:t>
      </w:r>
      <w:proofErr w:type="spellEnd"/>
      <w:r w:rsidRPr="00D24DCA">
        <w:rPr>
          <w:lang w:val="en-GB"/>
        </w:rPr>
        <w:t xml:space="preserve">, S., Donoghue, M. and Baker, C.S. 2013. </w:t>
      </w:r>
      <w:r w:rsidRPr="00D24DCA">
        <w:rPr>
          <w:i/>
          <w:lang w:val="en-GB"/>
        </w:rPr>
        <w:t>Population status of Indo-Pacific bottlenose dolphins,</w:t>
      </w:r>
      <w:r w:rsidRPr="00D24DCA">
        <w:rPr>
          <w:lang w:val="en-GB"/>
        </w:rPr>
        <w:t xml:space="preserve"> </w:t>
      </w:r>
      <w:proofErr w:type="spellStart"/>
      <w:r w:rsidRPr="00D24DCA">
        <w:rPr>
          <w:lang w:val="en-GB"/>
        </w:rPr>
        <w:t>Tursiops</w:t>
      </w:r>
      <w:proofErr w:type="spellEnd"/>
      <w:r w:rsidRPr="00D24DCA">
        <w:rPr>
          <w:lang w:val="en-GB"/>
        </w:rPr>
        <w:t xml:space="preserve"> </w:t>
      </w:r>
      <w:proofErr w:type="spellStart"/>
      <w:r w:rsidRPr="00D24DCA">
        <w:rPr>
          <w:lang w:val="en-GB"/>
        </w:rPr>
        <w:t>aduncus</w:t>
      </w:r>
      <w:proofErr w:type="spellEnd"/>
      <w:r w:rsidRPr="00D24DCA">
        <w:rPr>
          <w:lang w:val="en-GB"/>
        </w:rPr>
        <w:t xml:space="preserve">, </w:t>
      </w:r>
      <w:r w:rsidRPr="00D24DCA">
        <w:rPr>
          <w:i/>
          <w:lang w:val="en-GB"/>
        </w:rPr>
        <w:t>in the Solomon Islands and assessment of live-capture sustainability</w:t>
      </w:r>
      <w:r w:rsidRPr="00D24DCA">
        <w:rPr>
          <w:lang w:val="en-GB"/>
        </w:rPr>
        <w:t>. South Pacific Whale Research Consortium.</w:t>
      </w:r>
    </w:p>
  </w:footnote>
  <w:footnote w:id="15">
    <w:p w:rsidR="002E0718" w:rsidRPr="002E0718" w:rsidRDefault="002E0718" w:rsidP="00462D8F">
      <w:pPr>
        <w:pStyle w:val="FootnoteText"/>
        <w:ind w:left="270" w:hanging="270"/>
        <w:jc w:val="both"/>
        <w:rPr>
          <w:lang w:val="es-ES"/>
        </w:rPr>
      </w:pPr>
      <w:r>
        <w:rPr>
          <w:rStyle w:val="FootnoteReference"/>
        </w:rPr>
        <w:footnoteRef/>
      </w:r>
      <w:r w:rsidRPr="00D24DCA">
        <w:rPr>
          <w:lang w:val="en-GB"/>
        </w:rPr>
        <w:t xml:space="preserve"> See footnote 6 and Van </w:t>
      </w:r>
      <w:proofErr w:type="spellStart"/>
      <w:r w:rsidRPr="00D24DCA">
        <w:rPr>
          <w:lang w:val="en-GB"/>
        </w:rPr>
        <w:t>Waerebeek</w:t>
      </w:r>
      <w:proofErr w:type="spellEnd"/>
      <w:r w:rsidRPr="00D24DCA">
        <w:rPr>
          <w:lang w:val="en-GB"/>
        </w:rPr>
        <w:t xml:space="preserve">, K., </w:t>
      </w:r>
      <w:proofErr w:type="spellStart"/>
      <w:r w:rsidRPr="00D24DCA">
        <w:rPr>
          <w:lang w:val="en-GB"/>
        </w:rPr>
        <w:t>Sequeira</w:t>
      </w:r>
      <w:proofErr w:type="spellEnd"/>
      <w:r w:rsidRPr="00D24DCA">
        <w:rPr>
          <w:lang w:val="en-GB"/>
        </w:rPr>
        <w:t xml:space="preserve">, M., Williamson, C., </w:t>
      </w:r>
      <w:proofErr w:type="spellStart"/>
      <w:r w:rsidRPr="00D24DCA">
        <w:rPr>
          <w:lang w:val="en-GB"/>
        </w:rPr>
        <w:t>Sanino</w:t>
      </w:r>
      <w:proofErr w:type="spellEnd"/>
      <w:r w:rsidRPr="00D24DCA">
        <w:rPr>
          <w:lang w:val="en-GB"/>
        </w:rPr>
        <w:t xml:space="preserve">, G.P., </w:t>
      </w:r>
      <w:proofErr w:type="spellStart"/>
      <w:r w:rsidRPr="00D24DCA">
        <w:rPr>
          <w:lang w:val="en-GB"/>
        </w:rPr>
        <w:t>Gallego</w:t>
      </w:r>
      <w:proofErr w:type="spellEnd"/>
      <w:r w:rsidRPr="00D24DCA">
        <w:rPr>
          <w:lang w:val="en-GB"/>
        </w:rPr>
        <w:t xml:space="preserve">, P. and </w:t>
      </w:r>
      <w:proofErr w:type="spellStart"/>
      <w:r w:rsidRPr="00D24DCA">
        <w:rPr>
          <w:lang w:val="en-GB"/>
        </w:rPr>
        <w:t>Carmo</w:t>
      </w:r>
      <w:proofErr w:type="spellEnd"/>
      <w:r w:rsidRPr="00D24DCA">
        <w:rPr>
          <w:lang w:val="en-GB"/>
        </w:rPr>
        <w:t xml:space="preserve">, P. 2006. </w:t>
      </w:r>
      <w:r w:rsidRPr="00D24DCA">
        <w:rPr>
          <w:i/>
          <w:lang w:val="en-GB"/>
        </w:rPr>
        <w:t xml:space="preserve">Live-captures of common bottlenose dolphins </w:t>
      </w:r>
      <w:proofErr w:type="spellStart"/>
      <w:r w:rsidRPr="00D24DCA">
        <w:rPr>
          <w:lang w:val="en-GB"/>
        </w:rPr>
        <w:t>Tursiops</w:t>
      </w:r>
      <w:proofErr w:type="spellEnd"/>
      <w:r w:rsidRPr="00D24DCA">
        <w:rPr>
          <w:lang w:val="en-GB"/>
        </w:rPr>
        <w:t xml:space="preserve"> </w:t>
      </w:r>
      <w:proofErr w:type="spellStart"/>
      <w:r w:rsidRPr="00D24DCA">
        <w:rPr>
          <w:lang w:val="en-GB"/>
        </w:rPr>
        <w:t>truncatus</w:t>
      </w:r>
      <w:proofErr w:type="spellEnd"/>
      <w:r w:rsidRPr="00D24DCA">
        <w:rPr>
          <w:i/>
          <w:lang w:val="en-GB"/>
        </w:rPr>
        <w:t xml:space="preserve"> and unassessed </w:t>
      </w:r>
      <w:proofErr w:type="spellStart"/>
      <w:r w:rsidRPr="00D24DCA">
        <w:rPr>
          <w:i/>
          <w:lang w:val="en-GB"/>
        </w:rPr>
        <w:t>bycatch</w:t>
      </w:r>
      <w:proofErr w:type="spellEnd"/>
      <w:r w:rsidRPr="00D24DCA">
        <w:rPr>
          <w:i/>
          <w:lang w:val="en-GB"/>
        </w:rPr>
        <w:t xml:space="preserve"> in Cuban waters: evidence of sustainability found wanting</w:t>
      </w:r>
      <w:r w:rsidRPr="00D24DCA">
        <w:rPr>
          <w:lang w:val="en-GB"/>
        </w:rPr>
        <w:t xml:space="preserve"> in Latin American Journal of Aquatic Mammals, 5(1): 39-48; </w:t>
      </w:r>
      <w:r w:rsidRPr="00D24DCA">
        <w:rPr>
          <w:i/>
          <w:lang w:val="en-GB"/>
        </w:rPr>
        <w:t>Report of the Scientific Committee Annual Meeting 2013</w:t>
      </w:r>
      <w:r w:rsidRPr="00D24DCA">
        <w:rPr>
          <w:lang w:val="en-GB"/>
        </w:rPr>
        <w:t xml:space="preserve">, Held on </w:t>
      </w:r>
      <w:proofErr w:type="spellStart"/>
      <w:r w:rsidRPr="00D24DCA">
        <w:rPr>
          <w:lang w:val="en-GB"/>
        </w:rPr>
        <w:t>Jeju</w:t>
      </w:r>
      <w:proofErr w:type="spellEnd"/>
      <w:r w:rsidRPr="00D24DCA">
        <w:rPr>
          <w:lang w:val="en-GB"/>
        </w:rPr>
        <w:t xml:space="preserve"> Island, Republic of Korea from 3-15 June 2013. </w:t>
      </w:r>
      <w:r w:rsidRPr="002E0718">
        <w:rPr>
          <w:lang w:val="es-ES"/>
        </w:rPr>
        <w:t xml:space="preserve">International </w:t>
      </w:r>
      <w:proofErr w:type="spellStart"/>
      <w:r w:rsidRPr="002E0718">
        <w:rPr>
          <w:lang w:val="es-ES"/>
        </w:rPr>
        <w:t>Whaling</w:t>
      </w:r>
      <w:proofErr w:type="spellEnd"/>
      <w:r w:rsidRPr="002E0718">
        <w:rPr>
          <w:lang w:val="es-ES"/>
        </w:rPr>
        <w:t xml:space="preserve"> </w:t>
      </w:r>
      <w:proofErr w:type="spellStart"/>
      <w:r w:rsidRPr="002E0718">
        <w:rPr>
          <w:lang w:val="es-ES"/>
        </w:rPr>
        <w:t>Commission</w:t>
      </w:r>
      <w:proofErr w:type="spellEnd"/>
      <w:r w:rsidRPr="002E0718">
        <w:rPr>
          <w:lang w:val="es-ES"/>
        </w:rPr>
        <w:t xml:space="preserve">, Cambridge, UK: </w:t>
      </w:r>
      <w:r w:rsidR="008B133C">
        <w:fldChar w:fldCharType="begin"/>
      </w:r>
      <w:r w:rsidR="008B133C" w:rsidRPr="008B133C">
        <w:rPr>
          <w:lang w:val="es-ES"/>
        </w:rPr>
        <w:instrText xml:space="preserve"> HYPERLINK "http://iwc.int/scientifc-committee-reports" \h </w:instrText>
      </w:r>
      <w:r w:rsidR="008B133C">
        <w:fldChar w:fldCharType="separate"/>
      </w:r>
      <w:r w:rsidRPr="002E0718">
        <w:rPr>
          <w:rStyle w:val="Hyperlink"/>
          <w:lang w:val="es-ES"/>
        </w:rPr>
        <w:t>http://iwc.int/scientifc-committee-reports</w:t>
      </w:r>
      <w:r w:rsidR="008B133C">
        <w:rPr>
          <w:rStyle w:val="Hyperlink"/>
          <w:lang w:val="es-ES"/>
        </w:rPr>
        <w:fldChar w:fldCharType="end"/>
      </w:r>
      <w:r w:rsidRPr="002E0718">
        <w:rPr>
          <w:lang w:val="es-ES"/>
        </w:rPr>
        <w:t xml:space="preserve"> ((El Comité expresó su preocupación por el hecho de que probablemente el cupo interno de Rusia para la región donde se concentran las operaciones de captura de ejemplares vivos es por lo menos de seis a ocho veces superior al nivel sostenible); </w:t>
      </w:r>
      <w:proofErr w:type="spellStart"/>
      <w:r w:rsidRPr="002E0718">
        <w:rPr>
          <w:i/>
          <w:lang w:val="es-ES"/>
        </w:rPr>
        <w:t>Report</w:t>
      </w:r>
      <w:proofErr w:type="spellEnd"/>
      <w:r w:rsidRPr="002E0718">
        <w:rPr>
          <w:i/>
          <w:lang w:val="es-ES"/>
        </w:rPr>
        <w:t xml:space="preserve"> of </w:t>
      </w:r>
      <w:proofErr w:type="spellStart"/>
      <w:r w:rsidRPr="002E0718">
        <w:rPr>
          <w:i/>
          <w:lang w:val="es-ES"/>
        </w:rPr>
        <w:t>the</w:t>
      </w:r>
      <w:proofErr w:type="spellEnd"/>
      <w:r w:rsidRPr="002E0718">
        <w:rPr>
          <w:i/>
          <w:lang w:val="es-ES"/>
        </w:rPr>
        <w:t xml:space="preserve"> </w:t>
      </w:r>
      <w:proofErr w:type="spellStart"/>
      <w:r w:rsidRPr="002E0718">
        <w:rPr>
          <w:i/>
          <w:lang w:val="es-ES"/>
        </w:rPr>
        <w:t>Scientific</w:t>
      </w:r>
      <w:proofErr w:type="spellEnd"/>
      <w:r w:rsidRPr="002E0718">
        <w:rPr>
          <w:i/>
          <w:lang w:val="es-ES"/>
        </w:rPr>
        <w:t xml:space="preserve"> </w:t>
      </w:r>
      <w:proofErr w:type="spellStart"/>
      <w:r w:rsidRPr="002E0718">
        <w:rPr>
          <w:i/>
          <w:lang w:val="es-ES"/>
        </w:rPr>
        <w:t>Committee</w:t>
      </w:r>
      <w:proofErr w:type="spellEnd"/>
      <w:r w:rsidRPr="002E0718">
        <w:rPr>
          <w:i/>
          <w:lang w:val="es-ES"/>
        </w:rPr>
        <w:t xml:space="preserve"> </w:t>
      </w:r>
      <w:proofErr w:type="spellStart"/>
      <w:r w:rsidRPr="002E0718">
        <w:rPr>
          <w:i/>
          <w:lang w:val="es-ES"/>
        </w:rPr>
        <w:t>Annual</w:t>
      </w:r>
      <w:proofErr w:type="spellEnd"/>
      <w:r w:rsidRPr="002E0718">
        <w:rPr>
          <w:i/>
          <w:lang w:val="es-ES"/>
        </w:rPr>
        <w:t xml:space="preserve"> Meeting 2004, </w:t>
      </w:r>
      <w:proofErr w:type="spellStart"/>
      <w:r w:rsidRPr="002E0718">
        <w:rPr>
          <w:lang w:val="es-ES"/>
        </w:rPr>
        <w:t>Held</w:t>
      </w:r>
      <w:proofErr w:type="spellEnd"/>
      <w:r w:rsidRPr="002E0718">
        <w:rPr>
          <w:lang w:val="es-ES"/>
        </w:rPr>
        <w:t xml:space="preserve"> in Sorrento, </w:t>
      </w:r>
      <w:proofErr w:type="spellStart"/>
      <w:r w:rsidRPr="002E0718">
        <w:rPr>
          <w:lang w:val="es-ES"/>
        </w:rPr>
        <w:t>Italy</w:t>
      </w:r>
      <w:proofErr w:type="spellEnd"/>
      <w:r w:rsidRPr="002E0718">
        <w:rPr>
          <w:lang w:val="es-ES"/>
        </w:rPr>
        <w:t xml:space="preserve"> </w:t>
      </w:r>
      <w:proofErr w:type="spellStart"/>
      <w:r w:rsidRPr="002E0718">
        <w:rPr>
          <w:lang w:val="es-ES"/>
        </w:rPr>
        <w:t>from</w:t>
      </w:r>
      <w:proofErr w:type="spellEnd"/>
      <w:r w:rsidRPr="002E0718">
        <w:rPr>
          <w:lang w:val="es-ES"/>
        </w:rPr>
        <w:t xml:space="preserve"> 29 June to 10 </w:t>
      </w:r>
      <w:proofErr w:type="spellStart"/>
      <w:r w:rsidRPr="002E0718">
        <w:rPr>
          <w:lang w:val="es-ES"/>
        </w:rPr>
        <w:t>July</w:t>
      </w:r>
      <w:proofErr w:type="spellEnd"/>
      <w:r w:rsidRPr="002E0718">
        <w:rPr>
          <w:lang w:val="es-ES"/>
        </w:rPr>
        <w:t xml:space="preserve"> 2004. International </w:t>
      </w:r>
      <w:proofErr w:type="spellStart"/>
      <w:r w:rsidRPr="002E0718">
        <w:rPr>
          <w:lang w:val="es-ES"/>
        </w:rPr>
        <w:t>Whaling</w:t>
      </w:r>
      <w:proofErr w:type="spellEnd"/>
      <w:r w:rsidRPr="002E0718">
        <w:rPr>
          <w:lang w:val="es-ES"/>
        </w:rPr>
        <w:t xml:space="preserve"> </w:t>
      </w:r>
      <w:proofErr w:type="spellStart"/>
      <w:r w:rsidRPr="002E0718">
        <w:rPr>
          <w:lang w:val="es-ES"/>
        </w:rPr>
        <w:t>Commission</w:t>
      </w:r>
      <w:proofErr w:type="spellEnd"/>
      <w:r w:rsidRPr="002E0718">
        <w:rPr>
          <w:lang w:val="es-ES"/>
        </w:rPr>
        <w:t xml:space="preserve">, Cambridge UK: </w:t>
      </w:r>
      <w:r w:rsidR="008B133C">
        <w:fldChar w:fldCharType="begin"/>
      </w:r>
      <w:r w:rsidR="008B133C" w:rsidRPr="008B133C">
        <w:rPr>
          <w:lang w:val="es-ES"/>
        </w:rPr>
        <w:instrText xml:space="preserve"> HYPERLINK "http://iwc.int/scientifc-committee-reports" \h </w:instrText>
      </w:r>
      <w:r w:rsidR="008B133C">
        <w:fldChar w:fldCharType="separate"/>
      </w:r>
      <w:r w:rsidRPr="002E0718">
        <w:rPr>
          <w:rStyle w:val="Hyperlink"/>
          <w:lang w:val="es-ES"/>
        </w:rPr>
        <w:t>http://iwc.int/scientifc-committee-reports</w:t>
      </w:r>
      <w:r w:rsidR="008B133C">
        <w:rPr>
          <w:rStyle w:val="Hyperlink"/>
          <w:lang w:val="es-ES"/>
        </w:rPr>
        <w:fldChar w:fldCharType="end"/>
      </w:r>
      <w:r w:rsidRPr="002E0718">
        <w:rPr>
          <w:lang w:val="es-ES"/>
        </w:rPr>
        <w:t xml:space="preserve"> (En respuesta a las capturas en vivo de orcas residentes en el sureste de Kamchatka, el Comité recomendó que toda captura en vivo debería ir precedida por una evaluación completa del estado de la población). </w:t>
      </w:r>
    </w:p>
  </w:footnote>
  <w:footnote w:id="16">
    <w:p w:rsidR="002E0718" w:rsidRPr="00F720BB" w:rsidRDefault="002E0718" w:rsidP="00462D8F">
      <w:pPr>
        <w:pStyle w:val="FootnoteText"/>
        <w:ind w:left="270" w:hanging="270"/>
        <w:jc w:val="both"/>
      </w:pPr>
      <w:r>
        <w:rPr>
          <w:rStyle w:val="FootnoteReference"/>
        </w:rPr>
        <w:footnoteRef/>
      </w:r>
      <w:r w:rsidRPr="00D24DCA">
        <w:rPr>
          <w:lang w:val="en-GB"/>
        </w:rPr>
        <w:t xml:space="preserve"> Van </w:t>
      </w:r>
      <w:proofErr w:type="spellStart"/>
      <w:r w:rsidRPr="00D24DCA">
        <w:rPr>
          <w:lang w:val="en-GB"/>
        </w:rPr>
        <w:t>Waerebeek</w:t>
      </w:r>
      <w:proofErr w:type="spellEnd"/>
      <w:r w:rsidRPr="00D24DCA">
        <w:rPr>
          <w:lang w:val="en-GB"/>
        </w:rPr>
        <w:t xml:space="preserve">, K., </w:t>
      </w:r>
      <w:proofErr w:type="spellStart"/>
      <w:r w:rsidRPr="00D24DCA">
        <w:rPr>
          <w:lang w:val="en-GB"/>
        </w:rPr>
        <w:t>Sequeira</w:t>
      </w:r>
      <w:proofErr w:type="spellEnd"/>
      <w:r w:rsidRPr="00D24DCA">
        <w:rPr>
          <w:lang w:val="en-GB"/>
        </w:rPr>
        <w:t xml:space="preserve">, M., Williamson, C., </w:t>
      </w:r>
      <w:proofErr w:type="spellStart"/>
      <w:r w:rsidRPr="00D24DCA">
        <w:rPr>
          <w:lang w:val="en-GB"/>
        </w:rPr>
        <w:t>Sanino</w:t>
      </w:r>
      <w:proofErr w:type="spellEnd"/>
      <w:r w:rsidRPr="00D24DCA">
        <w:rPr>
          <w:lang w:val="en-GB"/>
        </w:rPr>
        <w:t xml:space="preserve">, G.P., </w:t>
      </w:r>
      <w:proofErr w:type="spellStart"/>
      <w:r w:rsidRPr="00D24DCA">
        <w:rPr>
          <w:lang w:val="en-GB"/>
        </w:rPr>
        <w:t>Gallego</w:t>
      </w:r>
      <w:proofErr w:type="spellEnd"/>
      <w:r w:rsidRPr="00D24DCA">
        <w:rPr>
          <w:lang w:val="en-GB"/>
        </w:rPr>
        <w:t xml:space="preserve">, P. and </w:t>
      </w:r>
      <w:proofErr w:type="spellStart"/>
      <w:r w:rsidRPr="00D24DCA">
        <w:rPr>
          <w:lang w:val="en-GB"/>
        </w:rPr>
        <w:t>Carmo</w:t>
      </w:r>
      <w:proofErr w:type="spellEnd"/>
      <w:r w:rsidRPr="00D24DCA">
        <w:rPr>
          <w:lang w:val="en-GB"/>
        </w:rPr>
        <w:t xml:space="preserve">, P. 2006. </w:t>
      </w:r>
      <w:r w:rsidRPr="00D24DCA">
        <w:rPr>
          <w:i/>
          <w:lang w:val="en-GB"/>
        </w:rPr>
        <w:t xml:space="preserve">Live-captures of common bottlenose dolphins </w:t>
      </w:r>
      <w:proofErr w:type="spellStart"/>
      <w:r w:rsidRPr="00D24DCA">
        <w:rPr>
          <w:lang w:val="en-GB"/>
        </w:rPr>
        <w:t>Tursiops</w:t>
      </w:r>
      <w:proofErr w:type="spellEnd"/>
      <w:r w:rsidRPr="00D24DCA">
        <w:rPr>
          <w:lang w:val="en-GB"/>
        </w:rPr>
        <w:t xml:space="preserve"> </w:t>
      </w:r>
      <w:proofErr w:type="spellStart"/>
      <w:r w:rsidRPr="00D24DCA">
        <w:rPr>
          <w:lang w:val="en-GB"/>
        </w:rPr>
        <w:t>truncatus</w:t>
      </w:r>
      <w:proofErr w:type="spellEnd"/>
      <w:r w:rsidRPr="00D24DCA">
        <w:rPr>
          <w:i/>
          <w:lang w:val="en-GB"/>
        </w:rPr>
        <w:t xml:space="preserve"> and unassessed </w:t>
      </w:r>
      <w:proofErr w:type="spellStart"/>
      <w:r w:rsidRPr="00D24DCA">
        <w:rPr>
          <w:i/>
          <w:lang w:val="en-GB"/>
        </w:rPr>
        <w:t>bycatch</w:t>
      </w:r>
      <w:proofErr w:type="spellEnd"/>
      <w:r w:rsidRPr="00D24DCA">
        <w:rPr>
          <w:i/>
          <w:lang w:val="en-GB"/>
        </w:rPr>
        <w:t xml:space="preserve"> in Cuban waters: evidence of sustainability found wanting</w:t>
      </w:r>
      <w:r w:rsidRPr="00D24DCA">
        <w:rPr>
          <w:lang w:val="en-GB"/>
        </w:rPr>
        <w:t xml:space="preserve"> in Latin American Journal of Aquatic Mammals, 5(1): 39-48.</w:t>
      </w:r>
    </w:p>
  </w:footnote>
  <w:footnote w:id="17">
    <w:p w:rsidR="002E0718" w:rsidRPr="00F720BB" w:rsidRDefault="002E0718" w:rsidP="00462D8F">
      <w:pPr>
        <w:pStyle w:val="FootnoteText"/>
        <w:ind w:left="270" w:hanging="270"/>
        <w:jc w:val="both"/>
      </w:pPr>
      <w:r>
        <w:rPr>
          <w:rStyle w:val="FootnoteReference"/>
        </w:rPr>
        <w:footnoteRef/>
      </w:r>
      <w:r w:rsidRPr="00D24DCA">
        <w:rPr>
          <w:lang w:val="en-GB"/>
        </w:rPr>
        <w:t xml:space="preserve"> Report of the Scientific Committee. St Kitts and Nevis, 2006. Available at: http://iwc.int/scientifc-committee-reports</w:t>
      </w:r>
    </w:p>
  </w:footnote>
  <w:footnote w:id="18">
    <w:p w:rsidR="002E0718" w:rsidRPr="00F720BB" w:rsidRDefault="002E0718" w:rsidP="00462D8F">
      <w:pPr>
        <w:pStyle w:val="FootnoteText"/>
        <w:ind w:left="270" w:hanging="270"/>
        <w:jc w:val="both"/>
      </w:pPr>
      <w:r>
        <w:rPr>
          <w:rStyle w:val="FootnoteReference"/>
        </w:rPr>
        <w:footnoteRef/>
      </w:r>
      <w:r w:rsidRPr="00D24DCA">
        <w:rPr>
          <w:lang w:val="en-GB"/>
        </w:rPr>
        <w:t xml:space="preserve"> See: Curry, B. 1999. </w:t>
      </w:r>
      <w:r w:rsidRPr="00D24DCA">
        <w:rPr>
          <w:i/>
          <w:lang w:val="en-GB"/>
        </w:rPr>
        <w:t xml:space="preserve">Stress in mammals: The potential influence of fishery induced stress on dolphins in the eastern tropical Pacific Ocean. </w:t>
      </w:r>
      <w:r w:rsidRPr="00D24DCA">
        <w:rPr>
          <w:lang w:val="en-GB"/>
        </w:rPr>
        <w:t xml:space="preserve">NOAA Technical Memorandum 260; Romero, L.M. and Butler, L.K. 2007. </w:t>
      </w:r>
      <w:r w:rsidRPr="00D24DCA">
        <w:rPr>
          <w:i/>
          <w:lang w:val="en-GB"/>
        </w:rPr>
        <w:t xml:space="preserve">Endocrinology of stress </w:t>
      </w:r>
      <w:r w:rsidRPr="00D24DCA">
        <w:rPr>
          <w:lang w:val="en-GB"/>
        </w:rPr>
        <w:t xml:space="preserve">in International Journal of Comparative Psychology 20: 89-95; Fair, P. and Becker, P.R. 2000. </w:t>
      </w:r>
      <w:r w:rsidRPr="00D24DCA">
        <w:rPr>
          <w:i/>
          <w:lang w:val="en-GB"/>
        </w:rPr>
        <w:t xml:space="preserve">Review of stress in marine mammals </w:t>
      </w:r>
      <w:r w:rsidRPr="00D24DCA">
        <w:rPr>
          <w:lang w:val="en-GB"/>
        </w:rPr>
        <w:t>in Journal of Aquatic Ecosystem Stress and Recovery 7: 335-354.</w:t>
      </w:r>
    </w:p>
  </w:footnote>
  <w:footnote w:id="19">
    <w:p w:rsidR="002E0718" w:rsidRPr="00F720BB" w:rsidRDefault="002E0718" w:rsidP="00462D8F">
      <w:pPr>
        <w:pStyle w:val="FootnoteText"/>
        <w:ind w:left="270" w:hanging="270"/>
        <w:jc w:val="both"/>
      </w:pPr>
      <w:r>
        <w:rPr>
          <w:rStyle w:val="FootnoteReference"/>
        </w:rPr>
        <w:footnoteRef/>
      </w:r>
      <w:r w:rsidRPr="00D24DCA">
        <w:rPr>
          <w:lang w:val="en-GB"/>
        </w:rPr>
        <w:t xml:space="preserve"> Small, R.J. and </w:t>
      </w:r>
      <w:proofErr w:type="spellStart"/>
      <w:r w:rsidRPr="00D24DCA">
        <w:rPr>
          <w:lang w:val="en-GB"/>
        </w:rPr>
        <w:t>DeMaster</w:t>
      </w:r>
      <w:proofErr w:type="spellEnd"/>
      <w:r w:rsidRPr="00D24DCA">
        <w:rPr>
          <w:lang w:val="en-GB"/>
        </w:rPr>
        <w:t xml:space="preserve">, D.P. 1995. </w:t>
      </w:r>
      <w:r w:rsidRPr="00D24DCA">
        <w:rPr>
          <w:i/>
          <w:lang w:val="en-GB"/>
        </w:rPr>
        <w:t xml:space="preserve">Acclimation to captivity: A quantitative estimate based on survival of bottlenose dolphins and California sea lions </w:t>
      </w:r>
      <w:r w:rsidRPr="00D24DCA">
        <w:rPr>
          <w:lang w:val="en-GB"/>
        </w:rPr>
        <w:t>in Marine Mammal Science 11: 510-519.</w:t>
      </w:r>
    </w:p>
  </w:footnote>
  <w:footnote w:id="20">
    <w:p w:rsidR="002E0718" w:rsidRPr="00F720BB" w:rsidRDefault="002E0718" w:rsidP="00462D8F">
      <w:pPr>
        <w:pStyle w:val="FootnoteText"/>
        <w:ind w:left="270" w:hanging="270"/>
        <w:jc w:val="both"/>
      </w:pPr>
      <w:r>
        <w:rPr>
          <w:rStyle w:val="FootnoteReference"/>
        </w:rPr>
        <w:footnoteRef/>
      </w:r>
      <w:r w:rsidRPr="00D24DCA">
        <w:rPr>
          <w:lang w:val="en-GB"/>
        </w:rPr>
        <w:t xml:space="preserve"> Small, R.J. and </w:t>
      </w:r>
      <w:proofErr w:type="spellStart"/>
      <w:r w:rsidRPr="00D24DCA">
        <w:rPr>
          <w:lang w:val="en-GB"/>
        </w:rPr>
        <w:t>DeMaster</w:t>
      </w:r>
      <w:proofErr w:type="spellEnd"/>
      <w:r w:rsidRPr="00D24DCA">
        <w:rPr>
          <w:lang w:val="en-GB"/>
        </w:rPr>
        <w:t xml:space="preserve">, D.P. 1995. </w:t>
      </w:r>
      <w:r w:rsidRPr="00D24DCA">
        <w:rPr>
          <w:i/>
          <w:lang w:val="en-GB"/>
        </w:rPr>
        <w:t>Acclimation to captivity: A quantitative estimate based on survival of bottlenose dolphins and California sea lions</w:t>
      </w:r>
      <w:r w:rsidRPr="00D24DCA">
        <w:rPr>
          <w:lang w:val="en-GB"/>
        </w:rPr>
        <w:t xml:space="preserve"> in Marine Mammal Science 11: 510-519.</w:t>
      </w:r>
    </w:p>
  </w:footnote>
  <w:footnote w:id="21">
    <w:p w:rsidR="002E0718" w:rsidRPr="00F720BB" w:rsidRDefault="002E0718" w:rsidP="00462D8F">
      <w:pPr>
        <w:pStyle w:val="FootnoteText"/>
        <w:ind w:left="270" w:hanging="270"/>
        <w:jc w:val="both"/>
      </w:pPr>
      <w:r>
        <w:rPr>
          <w:rStyle w:val="FootnoteReference"/>
        </w:rPr>
        <w:footnoteRef/>
      </w:r>
      <w:r w:rsidRPr="00D24DCA">
        <w:rPr>
          <w:lang w:val="en-GB"/>
        </w:rPr>
        <w:t xml:space="preserve"> Curry, B. 1999. </w:t>
      </w:r>
      <w:r w:rsidRPr="00D24DCA">
        <w:rPr>
          <w:i/>
          <w:lang w:val="en-GB"/>
        </w:rPr>
        <w:t>Stress in mammals: The potential influence of fishery induced stress on dolphins in the eastern tropical Pacific Ocean</w:t>
      </w:r>
      <w:r w:rsidRPr="00D24DCA">
        <w:rPr>
          <w:lang w:val="en-GB"/>
        </w:rPr>
        <w:t xml:space="preserve">. NOAA Technical Memorandum 260; Romero, L.M. and Butler, L.K. 2007. </w:t>
      </w:r>
      <w:r w:rsidRPr="00D24DCA">
        <w:rPr>
          <w:i/>
          <w:lang w:val="en-GB"/>
        </w:rPr>
        <w:t>Endocrinology of stress</w:t>
      </w:r>
      <w:r w:rsidRPr="00D24DCA">
        <w:rPr>
          <w:lang w:val="en-GB"/>
        </w:rPr>
        <w:t xml:space="preserve"> in International Journal of Comparative Psychology 20: 89-95; Fair, P. and Becker, P.R. 2000. </w:t>
      </w:r>
      <w:r w:rsidRPr="00D24DCA">
        <w:rPr>
          <w:i/>
          <w:lang w:val="en-GB"/>
        </w:rPr>
        <w:t xml:space="preserve">Review of stress in marine mammals </w:t>
      </w:r>
      <w:r w:rsidRPr="00D24DCA">
        <w:rPr>
          <w:lang w:val="en-GB"/>
        </w:rPr>
        <w:t>in Journal of Aquatic Ecosystem Stress and Recovery 7: 335-354.</w:t>
      </w:r>
    </w:p>
  </w:footnote>
  <w:footnote w:id="22">
    <w:p w:rsidR="002E0718" w:rsidRPr="00F720BB" w:rsidRDefault="002E0718" w:rsidP="00462D8F">
      <w:pPr>
        <w:pStyle w:val="FootnoteText"/>
        <w:ind w:left="270" w:hanging="270"/>
        <w:jc w:val="both"/>
      </w:pPr>
      <w:r>
        <w:rPr>
          <w:rStyle w:val="FootnoteReference"/>
        </w:rPr>
        <w:footnoteRef/>
      </w:r>
      <w:r w:rsidRPr="00D24DCA">
        <w:rPr>
          <w:lang w:val="en-GB"/>
        </w:rPr>
        <w:t xml:space="preserve"> Forney, K.A., St. </w:t>
      </w:r>
      <w:proofErr w:type="spellStart"/>
      <w:r w:rsidRPr="00D24DCA">
        <w:rPr>
          <w:lang w:val="en-GB"/>
        </w:rPr>
        <w:t>Aubin</w:t>
      </w:r>
      <w:proofErr w:type="spellEnd"/>
      <w:r w:rsidRPr="00D24DCA">
        <w:rPr>
          <w:lang w:val="en-GB"/>
        </w:rPr>
        <w:t xml:space="preserve">, D.J. and </w:t>
      </w:r>
      <w:proofErr w:type="spellStart"/>
      <w:r w:rsidRPr="00D24DCA">
        <w:rPr>
          <w:lang w:val="en-GB"/>
        </w:rPr>
        <w:t>Chivers</w:t>
      </w:r>
      <w:proofErr w:type="spellEnd"/>
      <w:r w:rsidRPr="00D24DCA">
        <w:rPr>
          <w:lang w:val="en-GB"/>
        </w:rPr>
        <w:t xml:space="preserve">, S.J. 2002. </w:t>
      </w:r>
      <w:r w:rsidRPr="00D24DCA">
        <w:rPr>
          <w:i/>
          <w:lang w:val="en-GB"/>
        </w:rPr>
        <w:t>Chase encirclement stress studies on dolphins involved in eastern tropical Pacific Ocean purse-seine operations during 2001</w:t>
      </w:r>
      <w:r w:rsidRPr="00D24DCA">
        <w:rPr>
          <w:lang w:val="en-GB"/>
        </w:rPr>
        <w:t xml:space="preserve">. Southwest Fisheries Science </w:t>
      </w:r>
      <w:proofErr w:type="spellStart"/>
      <w:r w:rsidRPr="00D24DCA">
        <w:rPr>
          <w:lang w:val="en-GB"/>
        </w:rPr>
        <w:t>Center</w:t>
      </w:r>
      <w:proofErr w:type="spellEnd"/>
      <w:r w:rsidRPr="00D24DCA">
        <w:rPr>
          <w:lang w:val="en-GB"/>
        </w:rPr>
        <w:t xml:space="preserve"> Administrative Report LJ-02-32, La Jolla, California.</w:t>
      </w:r>
    </w:p>
  </w:footnote>
  <w:footnote w:id="23">
    <w:p w:rsidR="002E0718" w:rsidRPr="00F720BB" w:rsidRDefault="002E0718" w:rsidP="00462D8F">
      <w:pPr>
        <w:pStyle w:val="FootnoteText"/>
        <w:ind w:left="270" w:hanging="270"/>
        <w:jc w:val="both"/>
      </w:pPr>
      <w:r>
        <w:rPr>
          <w:rStyle w:val="FootnoteReference"/>
        </w:rPr>
        <w:footnoteRef/>
      </w:r>
      <w:r w:rsidRPr="00D24DCA">
        <w:rPr>
          <w:lang w:val="en-GB"/>
        </w:rPr>
        <w:t xml:space="preserve"> Report of the Scientific Committee. Bled, Slovenia, 12-24 May 2014. Available at: http://iwc.int/scientifc-committee-reports</w:t>
      </w:r>
    </w:p>
  </w:footnote>
  <w:footnote w:id="24">
    <w:p w:rsidR="002E0718" w:rsidRPr="00F720BB" w:rsidRDefault="002E0718" w:rsidP="00462D8F">
      <w:pPr>
        <w:pStyle w:val="FootnoteText"/>
        <w:ind w:left="270" w:hanging="270"/>
        <w:jc w:val="both"/>
      </w:pPr>
      <w:r>
        <w:rPr>
          <w:rStyle w:val="FootnoteReference"/>
        </w:rPr>
        <w:footnoteRef/>
      </w:r>
      <w:r w:rsidRPr="00D24DCA">
        <w:rPr>
          <w:lang w:val="en-GB"/>
        </w:rPr>
        <w:t xml:space="preserve"> Resolution 5.14 on “Live removals of bottlenose dolphins in the Black Sea (</w:t>
      </w:r>
      <w:proofErr w:type="spellStart"/>
      <w:r w:rsidRPr="00D24DCA">
        <w:rPr>
          <w:i/>
          <w:lang w:val="en-GB"/>
        </w:rPr>
        <w:t>Tursiops</w:t>
      </w:r>
      <w:proofErr w:type="spellEnd"/>
      <w:r w:rsidRPr="00D24DCA">
        <w:rPr>
          <w:i/>
          <w:lang w:val="en-GB"/>
        </w:rPr>
        <w:t xml:space="preserve"> </w:t>
      </w:r>
      <w:proofErr w:type="spellStart"/>
      <w:r w:rsidRPr="00D24DCA">
        <w:rPr>
          <w:i/>
          <w:lang w:val="en-GB"/>
        </w:rPr>
        <w:t>truncatus</w:t>
      </w:r>
      <w:proofErr w:type="spellEnd"/>
      <w:r w:rsidRPr="00D24DCA">
        <w:rPr>
          <w:lang w:val="en-GB"/>
        </w:rPr>
        <w:t xml:space="preserve">)”; Resolution 3.13 on “Dolphin Interaction Programmes”; Resolution 2.17 on “The release of cetaceans into the wild”; Resolution 1.12 on the “Conservation of the Black Sea </w:t>
      </w:r>
      <w:proofErr w:type="spellStart"/>
      <w:r w:rsidRPr="00D24DCA">
        <w:rPr>
          <w:i/>
          <w:lang w:val="en-GB"/>
        </w:rPr>
        <w:t>Tursiops</w:t>
      </w:r>
      <w:proofErr w:type="spellEnd"/>
      <w:r w:rsidRPr="00D24DCA">
        <w:rPr>
          <w:i/>
          <w:lang w:val="en-GB"/>
        </w:rPr>
        <w:t xml:space="preserve"> </w:t>
      </w:r>
      <w:proofErr w:type="spellStart"/>
      <w:r w:rsidRPr="00D24DCA">
        <w:rPr>
          <w:i/>
          <w:lang w:val="en-GB"/>
        </w:rPr>
        <w:t>truncatus</w:t>
      </w:r>
      <w:proofErr w:type="spellEnd"/>
      <w:r w:rsidRPr="00D24DCA">
        <w:rPr>
          <w:lang w:val="en-GB"/>
        </w:rPr>
        <w:t xml:space="preserve">: Bottlenose dolphin”;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3" w:rsidRPr="00C33083" w:rsidRDefault="00C33083" w:rsidP="00C33083">
    <w:pPr>
      <w:pStyle w:val="Heading1"/>
      <w:keepNext w:val="0"/>
      <w:pBdr>
        <w:bottom w:val="single" w:sz="4" w:space="1" w:color="auto"/>
      </w:pBdr>
      <w:spacing w:before="0" w:after="0"/>
      <w:ind w:left="261" w:right="-2" w:hanging="261"/>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sidR="00192F30">
      <w:rPr>
        <w:rFonts w:ascii="Times New Roman" w:hAnsi="Times New Roman"/>
        <w:b w:val="0"/>
        <w:i/>
        <w:sz w:val="20"/>
        <w:szCs w:val="20"/>
        <w:lang w:val="pt-PT"/>
      </w:rPr>
      <w:t>/Anexo:2</w:t>
    </w:r>
  </w:p>
  <w:p w:rsidR="00C33083" w:rsidRPr="00C33083" w:rsidRDefault="00C33083" w:rsidP="00C33083">
    <w:pPr>
      <w:rPr>
        <w:i/>
        <w:szCs w:val="20"/>
        <w:lang w:val="pt-PT"/>
      </w:rPr>
    </w:pPr>
  </w:p>
  <w:p w:rsidR="00C33083" w:rsidRDefault="00C33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3" w:rsidRPr="00C33083" w:rsidRDefault="00C33083" w:rsidP="00C33083">
    <w:pPr>
      <w:pStyle w:val="Heading1"/>
      <w:keepNext w:val="0"/>
      <w:pBdr>
        <w:bottom w:val="single" w:sz="4" w:space="1" w:color="auto"/>
      </w:pBdr>
      <w:spacing w:before="0" w:after="0"/>
      <w:ind w:left="261" w:right="-2" w:hanging="261"/>
      <w:jc w:val="right"/>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sidR="00192F30">
      <w:rPr>
        <w:rFonts w:ascii="Times New Roman" w:hAnsi="Times New Roman"/>
        <w:b w:val="0"/>
        <w:i/>
        <w:sz w:val="20"/>
        <w:szCs w:val="20"/>
        <w:lang w:val="pt-PT"/>
      </w:rPr>
      <w:t>/Anexo:2</w:t>
    </w:r>
  </w:p>
  <w:p w:rsidR="00C33083" w:rsidRPr="00C33083" w:rsidRDefault="00C33083" w:rsidP="00C33083">
    <w:pPr>
      <w:rPr>
        <w:i/>
        <w:szCs w:val="20"/>
        <w:lang w:val="pt-PT"/>
      </w:rPr>
    </w:pPr>
  </w:p>
  <w:p w:rsidR="00C33083" w:rsidRDefault="00C3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Pr="00C33083" w:rsidRDefault="00877009" w:rsidP="00031FF2">
    <w:pPr>
      <w:pStyle w:val="Heading1"/>
      <w:keepNext w:val="0"/>
      <w:pBdr>
        <w:bottom w:val="single" w:sz="4" w:space="1" w:color="auto"/>
      </w:pBdr>
      <w:spacing w:before="0" w:after="0"/>
      <w:ind w:left="261" w:right="-2" w:hanging="261"/>
      <w:rPr>
        <w:rFonts w:ascii="Times New Roman" w:hAnsi="Times New Roman"/>
        <w:b w:val="0"/>
        <w:i/>
        <w:sz w:val="20"/>
        <w:szCs w:val="20"/>
        <w:lang w:val="pt-PT"/>
      </w:rPr>
    </w:pPr>
    <w:r w:rsidRPr="00C33083">
      <w:rPr>
        <w:rFonts w:ascii="Times New Roman" w:hAnsi="Times New Roman"/>
        <w:b w:val="0"/>
        <w:i/>
        <w:sz w:val="20"/>
        <w:szCs w:val="20"/>
        <w:lang w:val="pt-PT"/>
      </w:rPr>
      <w:t>PNUMA</w:t>
    </w:r>
    <w:r w:rsidR="001D1094" w:rsidRPr="00C33083">
      <w:rPr>
        <w:rFonts w:ascii="Times New Roman" w:hAnsi="Times New Roman"/>
        <w:b w:val="0"/>
        <w:i/>
        <w:sz w:val="20"/>
        <w:szCs w:val="20"/>
        <w:lang w:val="pt-PT"/>
      </w:rPr>
      <w:t>/</w:t>
    </w:r>
    <w:r w:rsidRPr="00C33083">
      <w:rPr>
        <w:rFonts w:ascii="Times New Roman" w:hAnsi="Times New Roman"/>
        <w:b w:val="0"/>
        <w:i/>
        <w:sz w:val="20"/>
        <w:szCs w:val="20"/>
        <w:lang w:val="pt-PT"/>
      </w:rPr>
      <w:t>CMS/COP11/</w:t>
    </w:r>
    <w:r w:rsidR="00C33083" w:rsidRPr="00C33083">
      <w:rPr>
        <w:rFonts w:ascii="Times New Roman" w:hAnsi="Times New Roman"/>
        <w:b w:val="0"/>
        <w:i/>
        <w:sz w:val="20"/>
        <w:szCs w:val="20"/>
        <w:lang w:val="pt-PT"/>
      </w:rPr>
      <w:t>Doc.23.2.3</w:t>
    </w:r>
    <w:r w:rsidR="008B133C">
      <w:rPr>
        <w:rFonts w:ascii="Times New Roman" w:hAnsi="Times New Roman"/>
        <w:b w:val="0"/>
        <w:i/>
        <w:sz w:val="20"/>
        <w:szCs w:val="20"/>
        <w:lang w:val="pt-PT"/>
      </w:rPr>
      <w:t>/Rev.1</w:t>
    </w:r>
  </w:p>
  <w:p w:rsidR="008239DA" w:rsidRPr="00C33083" w:rsidRDefault="008239DA" w:rsidP="00256304">
    <w:pPr>
      <w:rPr>
        <w:i/>
        <w:szCs w:val="20"/>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30" w:rsidRPr="00C33083" w:rsidRDefault="00192F30" w:rsidP="00C33083">
    <w:pPr>
      <w:pStyle w:val="Heading1"/>
      <w:keepNext w:val="0"/>
      <w:pBdr>
        <w:bottom w:val="single" w:sz="4" w:space="1" w:color="auto"/>
      </w:pBdr>
      <w:spacing w:before="0" w:after="0"/>
      <w:ind w:left="261" w:right="-2" w:hanging="261"/>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Pr>
        <w:rFonts w:ascii="Times New Roman" w:hAnsi="Times New Roman"/>
        <w:b w:val="0"/>
        <w:i/>
        <w:sz w:val="20"/>
        <w:szCs w:val="20"/>
        <w:lang w:val="pt-PT"/>
      </w:rPr>
      <w:t>/</w:t>
    </w:r>
    <w:r w:rsidR="008B133C">
      <w:rPr>
        <w:rFonts w:ascii="Times New Roman" w:hAnsi="Times New Roman"/>
        <w:b w:val="0"/>
        <w:i/>
        <w:sz w:val="20"/>
        <w:szCs w:val="20"/>
        <w:lang w:val="pt-PT"/>
      </w:rPr>
      <w:t>Rev.1/</w:t>
    </w:r>
    <w:r>
      <w:rPr>
        <w:rFonts w:ascii="Times New Roman" w:hAnsi="Times New Roman"/>
        <w:b w:val="0"/>
        <w:i/>
        <w:sz w:val="20"/>
        <w:szCs w:val="20"/>
        <w:lang w:val="pt-PT"/>
      </w:rPr>
      <w:t>Anexo:1</w:t>
    </w:r>
  </w:p>
  <w:p w:rsidR="00192F30" w:rsidRPr="00C33083" w:rsidRDefault="00192F30" w:rsidP="00C33083">
    <w:pPr>
      <w:rPr>
        <w:i/>
        <w:szCs w:val="20"/>
        <w:lang w:val="pt-PT"/>
      </w:rPr>
    </w:pPr>
  </w:p>
  <w:p w:rsidR="00192F30" w:rsidRDefault="00192F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30" w:rsidRPr="00C33083" w:rsidRDefault="00192F30" w:rsidP="00C33083">
    <w:pPr>
      <w:pStyle w:val="Heading1"/>
      <w:keepNext w:val="0"/>
      <w:pBdr>
        <w:bottom w:val="single" w:sz="4" w:space="1" w:color="auto"/>
      </w:pBdr>
      <w:spacing w:before="0" w:after="0"/>
      <w:ind w:left="261" w:right="-2" w:hanging="261"/>
      <w:jc w:val="right"/>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Pr>
        <w:rFonts w:ascii="Times New Roman" w:hAnsi="Times New Roman"/>
        <w:b w:val="0"/>
        <w:i/>
        <w:sz w:val="20"/>
        <w:szCs w:val="20"/>
        <w:lang w:val="pt-PT"/>
      </w:rPr>
      <w:t>/</w:t>
    </w:r>
    <w:r w:rsidR="008B133C">
      <w:rPr>
        <w:rFonts w:ascii="Times New Roman" w:hAnsi="Times New Roman"/>
        <w:b w:val="0"/>
        <w:i/>
        <w:sz w:val="20"/>
        <w:szCs w:val="20"/>
        <w:lang w:val="pt-PT"/>
      </w:rPr>
      <w:t>Rev.1/</w:t>
    </w:r>
    <w:r>
      <w:rPr>
        <w:rFonts w:ascii="Times New Roman" w:hAnsi="Times New Roman"/>
        <w:b w:val="0"/>
        <w:i/>
        <w:sz w:val="20"/>
        <w:szCs w:val="20"/>
        <w:lang w:val="pt-PT"/>
      </w:rPr>
      <w:t>Anexo:1</w:t>
    </w:r>
  </w:p>
  <w:p w:rsidR="00192F30" w:rsidRPr="00C33083" w:rsidRDefault="00192F30" w:rsidP="00C33083">
    <w:pPr>
      <w:rPr>
        <w:i/>
        <w:szCs w:val="20"/>
        <w:lang w:val="pt-PT"/>
      </w:rPr>
    </w:pPr>
  </w:p>
  <w:p w:rsidR="00192F30" w:rsidRDefault="00192F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30" w:rsidRPr="00C33083" w:rsidRDefault="00192F30" w:rsidP="00B537E0">
    <w:pPr>
      <w:pStyle w:val="Heading1"/>
      <w:keepNext w:val="0"/>
      <w:pBdr>
        <w:bottom w:val="single" w:sz="4" w:space="1" w:color="auto"/>
      </w:pBdr>
      <w:spacing w:before="0" w:after="0"/>
      <w:ind w:left="261" w:right="-2" w:hanging="261"/>
      <w:jc w:val="right"/>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sidR="008B133C">
      <w:rPr>
        <w:rFonts w:ascii="Times New Roman" w:hAnsi="Times New Roman"/>
        <w:b w:val="0"/>
        <w:i/>
        <w:sz w:val="20"/>
        <w:szCs w:val="20"/>
        <w:lang w:val="pt-PT"/>
      </w:rPr>
      <w:t>/Rev.1</w:t>
    </w:r>
    <w:r>
      <w:rPr>
        <w:rFonts w:ascii="Times New Roman" w:hAnsi="Times New Roman"/>
        <w:b w:val="0"/>
        <w:i/>
        <w:sz w:val="20"/>
        <w:szCs w:val="20"/>
        <w:lang w:val="pt-PT"/>
      </w:rPr>
      <w:t>/Anexo:1</w:t>
    </w:r>
  </w:p>
  <w:p w:rsidR="00192F30" w:rsidRPr="00C33083" w:rsidRDefault="00192F30" w:rsidP="00256304">
    <w:pPr>
      <w:rPr>
        <w:i/>
        <w:szCs w:val="20"/>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30" w:rsidRPr="00C33083" w:rsidRDefault="00192F30" w:rsidP="00C33083">
    <w:pPr>
      <w:pStyle w:val="Heading1"/>
      <w:keepNext w:val="0"/>
      <w:pBdr>
        <w:bottom w:val="single" w:sz="4" w:space="1" w:color="auto"/>
      </w:pBdr>
      <w:spacing w:before="0" w:after="0"/>
      <w:ind w:left="261" w:right="-2" w:hanging="261"/>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Pr>
        <w:rFonts w:ascii="Times New Roman" w:hAnsi="Times New Roman"/>
        <w:b w:val="0"/>
        <w:i/>
        <w:sz w:val="20"/>
        <w:szCs w:val="20"/>
        <w:lang w:val="pt-PT"/>
      </w:rPr>
      <w:t>/</w:t>
    </w:r>
    <w:r w:rsidR="008B133C">
      <w:rPr>
        <w:rFonts w:ascii="Times New Roman" w:hAnsi="Times New Roman"/>
        <w:b w:val="0"/>
        <w:i/>
        <w:sz w:val="20"/>
        <w:szCs w:val="20"/>
        <w:lang w:val="pt-PT"/>
      </w:rPr>
      <w:t>Rev.1/</w:t>
    </w:r>
    <w:r>
      <w:rPr>
        <w:rFonts w:ascii="Times New Roman" w:hAnsi="Times New Roman"/>
        <w:b w:val="0"/>
        <w:i/>
        <w:sz w:val="20"/>
        <w:szCs w:val="20"/>
        <w:lang w:val="pt-PT"/>
      </w:rPr>
      <w:t>Anexo:2</w:t>
    </w:r>
  </w:p>
  <w:p w:rsidR="00192F30" w:rsidRPr="00C33083" w:rsidRDefault="00192F30" w:rsidP="00C33083">
    <w:pPr>
      <w:rPr>
        <w:i/>
        <w:szCs w:val="20"/>
        <w:lang w:val="pt-PT"/>
      </w:rPr>
    </w:pPr>
  </w:p>
  <w:p w:rsidR="00192F30" w:rsidRDefault="00192F3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30" w:rsidRPr="00C33083" w:rsidRDefault="00192F30" w:rsidP="00C33083">
    <w:pPr>
      <w:pStyle w:val="Heading1"/>
      <w:keepNext w:val="0"/>
      <w:pBdr>
        <w:bottom w:val="single" w:sz="4" w:space="1" w:color="auto"/>
      </w:pBdr>
      <w:spacing w:before="0" w:after="0"/>
      <w:ind w:left="261" w:right="-2" w:hanging="261"/>
      <w:jc w:val="right"/>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Pr>
        <w:rFonts w:ascii="Times New Roman" w:hAnsi="Times New Roman"/>
        <w:b w:val="0"/>
        <w:i/>
        <w:sz w:val="20"/>
        <w:szCs w:val="20"/>
        <w:lang w:val="pt-PT"/>
      </w:rPr>
      <w:t>/</w:t>
    </w:r>
    <w:r w:rsidR="008B133C">
      <w:rPr>
        <w:rFonts w:ascii="Times New Roman" w:hAnsi="Times New Roman"/>
        <w:b w:val="0"/>
        <w:i/>
        <w:sz w:val="20"/>
        <w:szCs w:val="20"/>
        <w:lang w:val="pt-PT"/>
      </w:rPr>
      <w:t>Rev.1/</w:t>
    </w:r>
    <w:r>
      <w:rPr>
        <w:rFonts w:ascii="Times New Roman" w:hAnsi="Times New Roman"/>
        <w:b w:val="0"/>
        <w:i/>
        <w:sz w:val="20"/>
        <w:szCs w:val="20"/>
        <w:lang w:val="pt-PT"/>
      </w:rPr>
      <w:t>Anexo:2</w:t>
    </w:r>
  </w:p>
  <w:p w:rsidR="00192F30" w:rsidRPr="00C33083" w:rsidRDefault="00192F30" w:rsidP="00C33083">
    <w:pPr>
      <w:rPr>
        <w:i/>
        <w:szCs w:val="20"/>
        <w:lang w:val="pt-PT"/>
      </w:rPr>
    </w:pPr>
  </w:p>
  <w:p w:rsidR="00192F30" w:rsidRDefault="00192F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30" w:rsidRPr="00C33083" w:rsidRDefault="00192F30" w:rsidP="00B537E0">
    <w:pPr>
      <w:pStyle w:val="Heading1"/>
      <w:keepNext w:val="0"/>
      <w:pBdr>
        <w:bottom w:val="single" w:sz="4" w:space="1" w:color="auto"/>
      </w:pBdr>
      <w:spacing w:before="0" w:after="0"/>
      <w:ind w:left="261" w:right="-2" w:hanging="261"/>
      <w:jc w:val="right"/>
      <w:rPr>
        <w:rFonts w:ascii="Times New Roman" w:hAnsi="Times New Roman"/>
        <w:b w:val="0"/>
        <w:i/>
        <w:sz w:val="20"/>
        <w:szCs w:val="20"/>
        <w:lang w:val="pt-PT"/>
      </w:rPr>
    </w:pPr>
    <w:r w:rsidRPr="00C33083">
      <w:rPr>
        <w:rFonts w:ascii="Times New Roman" w:hAnsi="Times New Roman"/>
        <w:b w:val="0"/>
        <w:i/>
        <w:sz w:val="20"/>
        <w:szCs w:val="20"/>
        <w:lang w:val="pt-PT"/>
      </w:rPr>
      <w:t>PNUMA/CMS/COP11/Doc.23.2.3</w:t>
    </w:r>
    <w:r>
      <w:rPr>
        <w:rFonts w:ascii="Times New Roman" w:hAnsi="Times New Roman"/>
        <w:b w:val="0"/>
        <w:i/>
        <w:sz w:val="20"/>
        <w:szCs w:val="20"/>
        <w:lang w:val="pt-PT"/>
      </w:rPr>
      <w:t>/</w:t>
    </w:r>
    <w:r w:rsidR="008B133C">
      <w:rPr>
        <w:rFonts w:ascii="Times New Roman" w:hAnsi="Times New Roman"/>
        <w:b w:val="0"/>
        <w:i/>
        <w:sz w:val="20"/>
        <w:szCs w:val="20"/>
        <w:lang w:val="pt-PT"/>
      </w:rPr>
      <w:t>Rev.1/</w:t>
    </w:r>
    <w:r>
      <w:rPr>
        <w:rFonts w:ascii="Times New Roman" w:hAnsi="Times New Roman"/>
        <w:b w:val="0"/>
        <w:i/>
        <w:sz w:val="20"/>
        <w:szCs w:val="20"/>
        <w:lang w:val="pt-PT"/>
      </w:rPr>
      <w:t>Anexo:2</w:t>
    </w:r>
  </w:p>
  <w:p w:rsidR="00192F30" w:rsidRPr="00C33083" w:rsidRDefault="00192F30" w:rsidP="00256304">
    <w:pPr>
      <w:rPr>
        <w:i/>
        <w:szCs w:val="20"/>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8041AF"/>
    <w:multiLevelType w:val="hybridMultilevel"/>
    <w:tmpl w:val="243C7A5A"/>
    <w:lvl w:ilvl="0" w:tplc="8176148A">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34BA7DCF"/>
    <w:multiLevelType w:val="hybridMultilevel"/>
    <w:tmpl w:val="61B6F18C"/>
    <w:lvl w:ilvl="0" w:tplc="8176148A">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8BD5D80"/>
    <w:multiLevelType w:val="hybridMultilevel"/>
    <w:tmpl w:val="F500CC36"/>
    <w:lvl w:ilvl="0" w:tplc="8176148A">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D2DD5"/>
    <w:multiLevelType w:val="hybridMultilevel"/>
    <w:tmpl w:val="EF0413F0"/>
    <w:lvl w:ilvl="0" w:tplc="5532E7CA">
      <w:start w:val="1"/>
      <w:numFmt w:val="decimal"/>
      <w:lvlText w:val="%1."/>
      <w:lvlJc w:val="left"/>
      <w:pPr>
        <w:tabs>
          <w:tab w:val="num" w:pos="1080"/>
        </w:tabs>
        <w:ind w:left="1080" w:hanging="72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5"/>
  </w:num>
  <w:num w:numId="4">
    <w:abstractNumId w:val="2"/>
  </w:num>
  <w:num w:numId="5">
    <w:abstractNumId w:val="13"/>
  </w:num>
  <w:num w:numId="6">
    <w:abstractNumId w:val="3"/>
  </w:num>
  <w:num w:numId="7">
    <w:abstractNumId w:val="4"/>
  </w:num>
  <w:num w:numId="8">
    <w:abstractNumId w:val="0"/>
  </w:num>
  <w:num w:numId="9">
    <w:abstractNumId w:val="11"/>
  </w:num>
  <w:num w:numId="10">
    <w:abstractNumId w:val="10"/>
  </w:num>
  <w:num w:numId="11">
    <w:abstractNumId w:val="7"/>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18"/>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90D70"/>
    <w:rsid w:val="00192F30"/>
    <w:rsid w:val="001956D7"/>
    <w:rsid w:val="001A0800"/>
    <w:rsid w:val="001A1228"/>
    <w:rsid w:val="001C226F"/>
    <w:rsid w:val="001D1094"/>
    <w:rsid w:val="001D1130"/>
    <w:rsid w:val="00225DDF"/>
    <w:rsid w:val="0023227B"/>
    <w:rsid w:val="00234976"/>
    <w:rsid w:val="002355CF"/>
    <w:rsid w:val="00241D3F"/>
    <w:rsid w:val="00246F24"/>
    <w:rsid w:val="00256304"/>
    <w:rsid w:val="00256897"/>
    <w:rsid w:val="002823B0"/>
    <w:rsid w:val="00286D1D"/>
    <w:rsid w:val="002C4FB2"/>
    <w:rsid w:val="002E0718"/>
    <w:rsid w:val="002F16CB"/>
    <w:rsid w:val="002F7638"/>
    <w:rsid w:val="003172D0"/>
    <w:rsid w:val="00325D81"/>
    <w:rsid w:val="003328D4"/>
    <w:rsid w:val="003550B6"/>
    <w:rsid w:val="003555C8"/>
    <w:rsid w:val="003A2E64"/>
    <w:rsid w:val="003B756F"/>
    <w:rsid w:val="003D0718"/>
    <w:rsid w:val="003F74EF"/>
    <w:rsid w:val="004152EC"/>
    <w:rsid w:val="0042255A"/>
    <w:rsid w:val="00462D8F"/>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B133C"/>
    <w:rsid w:val="008C424F"/>
    <w:rsid w:val="008E31EA"/>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537E0"/>
    <w:rsid w:val="00B72D13"/>
    <w:rsid w:val="00B73B41"/>
    <w:rsid w:val="00B742E3"/>
    <w:rsid w:val="00B9461C"/>
    <w:rsid w:val="00B96483"/>
    <w:rsid w:val="00BD42FF"/>
    <w:rsid w:val="00BE365E"/>
    <w:rsid w:val="00BE4807"/>
    <w:rsid w:val="00BF61F3"/>
    <w:rsid w:val="00C15FDB"/>
    <w:rsid w:val="00C208F8"/>
    <w:rsid w:val="00C2540B"/>
    <w:rsid w:val="00C25BBA"/>
    <w:rsid w:val="00C33083"/>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styleId="Hyperlink">
    <w:name w:val="Hyperlink"/>
    <w:uiPriority w:val="99"/>
    <w:rsid w:val="002E0718"/>
    <w:rPr>
      <w:rFonts w:cs="Times New Roman"/>
      <w:color w:val="0000FF"/>
      <w:u w:val="single"/>
    </w:rPr>
  </w:style>
  <w:style w:type="character" w:customStyle="1" w:styleId="FootnoteTextChar1">
    <w:name w:val="Footnote Text Char1"/>
    <w:uiPriority w:val="99"/>
    <w:semiHidden/>
    <w:locked/>
    <w:rsid w:val="002E0718"/>
    <w:rPr>
      <w:sz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styleId="Hyperlink">
    <w:name w:val="Hyperlink"/>
    <w:uiPriority w:val="99"/>
    <w:rsid w:val="002E0718"/>
    <w:rPr>
      <w:rFonts w:cs="Times New Roman"/>
      <w:color w:val="0000FF"/>
      <w:u w:val="single"/>
    </w:rPr>
  </w:style>
  <w:style w:type="character" w:customStyle="1" w:styleId="FootnoteTextChar1">
    <w:name w:val="Footnote Text Char1"/>
    <w:uiPriority w:val="99"/>
    <w:semiHidden/>
    <w:locked/>
    <w:rsid w:val="002E0718"/>
    <w:rPr>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4C91-1DE8-4348-9FA4-9A6F8097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11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2014-09-09T11:03:00Z</cp:lastPrinted>
  <dcterms:created xsi:type="dcterms:W3CDTF">2014-10-23T11:57:00Z</dcterms:created>
  <dcterms:modified xsi:type="dcterms:W3CDTF">2014-10-23T11:57:00Z</dcterms:modified>
</cp:coreProperties>
</file>