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570"/>
        <w:gridCol w:w="3552"/>
      </w:tblGrid>
      <w:tr w:rsidR="00A77C5C" w:rsidRPr="002A5898" w14:paraId="3670DEA2" w14:textId="77777777" w:rsidTr="00ED18A0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478F244" w14:textId="77777777" w:rsidR="00A77C5C" w:rsidRPr="002A5898" w:rsidRDefault="00A77C5C" w:rsidP="00ED18A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 w:cs="Arial"/>
              </w:rPr>
            </w:pPr>
            <w:r w:rsidRPr="002A5898">
              <w:rPr>
                <w:rFonts w:eastAsia="Times New Roman" w:cs="Arial"/>
                <w:noProof/>
              </w:rPr>
              <w:drawing>
                <wp:inline distT="0" distB="0" distL="0" distR="0" wp14:anchorId="2319B7B5" wp14:editId="2CA95FD7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EF30302" w14:textId="77777777" w:rsidR="00A77C5C" w:rsidRPr="000B15B3" w:rsidRDefault="00A77C5C" w:rsidP="00ED18A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15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1BC71136" w14:textId="77777777" w:rsidR="00A77C5C" w:rsidRPr="000B15B3" w:rsidRDefault="00A77C5C" w:rsidP="00ED18A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3EEC01E9" w14:textId="77777777" w:rsidR="00A77C5C" w:rsidRPr="002A5898" w:rsidRDefault="00A77C5C" w:rsidP="00ED18A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Calibri" w:cs="Arial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SPECIES</w:t>
            </w:r>
            <w:r w:rsidRPr="002A589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3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F121172" w14:textId="3947CAB1" w:rsidR="00A77C5C" w:rsidRDefault="00A77C5C" w:rsidP="00ED18A0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2A5898">
              <w:rPr>
                <w:rFonts w:eastAsia="Times New Roman" w:cs="Arial"/>
              </w:rPr>
              <w:t>UNEP/CMS/COP13/Report</w:t>
            </w:r>
          </w:p>
          <w:p w14:paraId="1237C464" w14:textId="27E148F3" w:rsidR="00BC0771" w:rsidRPr="002A5898" w:rsidRDefault="00BC0771" w:rsidP="00ED18A0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>ANNEX 2</w:t>
            </w:r>
          </w:p>
          <w:p w14:paraId="73343F64" w14:textId="77777777" w:rsidR="00A77C5C" w:rsidRPr="002A5898" w:rsidRDefault="00A77C5C" w:rsidP="00ED18A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2A5898">
              <w:rPr>
                <w:rFonts w:eastAsia="Times New Roman" w:cs="Arial"/>
              </w:rPr>
              <w:t>Original: English</w:t>
            </w:r>
          </w:p>
        </w:tc>
      </w:tr>
    </w:tbl>
    <w:p w14:paraId="378C9D95" w14:textId="77777777" w:rsidR="00A77C5C" w:rsidRPr="002A5898" w:rsidRDefault="00A77C5C" w:rsidP="00A77C5C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before="120" w:after="0" w:line="240" w:lineRule="auto"/>
        <w:textAlignment w:val="baseline"/>
        <w:rPr>
          <w:rFonts w:eastAsia="Calibri" w:cs="Arial"/>
        </w:rPr>
      </w:pPr>
      <w:r w:rsidRPr="002A5898">
        <w:rPr>
          <w:rFonts w:eastAsia="Times New Roman" w:cs="Arial"/>
        </w:rPr>
        <w:t>13</w:t>
      </w:r>
      <w:r w:rsidRPr="002A5898">
        <w:rPr>
          <w:rFonts w:eastAsia="Times New Roman" w:cs="Arial"/>
          <w:vertAlign w:val="superscript"/>
        </w:rPr>
        <w:t>th</w:t>
      </w:r>
      <w:r w:rsidRPr="002A5898">
        <w:rPr>
          <w:rFonts w:eastAsia="Times New Roman" w:cs="Arial"/>
        </w:rPr>
        <w:t xml:space="preserve"> MEETING OF THE CONFERENCE OF THE PARTIES</w:t>
      </w:r>
    </w:p>
    <w:p w14:paraId="288620A4" w14:textId="77777777" w:rsidR="00A77C5C" w:rsidRPr="002A5898" w:rsidRDefault="00A77C5C" w:rsidP="00A77C5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A5898">
        <w:rPr>
          <w:rFonts w:eastAsia="Times New Roman" w:cs="Arial"/>
          <w:bCs/>
        </w:rPr>
        <w:t>Gandhinagar, India</w:t>
      </w:r>
      <w:r w:rsidRPr="002A5898">
        <w:rPr>
          <w:rFonts w:eastAsia="Times New Roman" w:cs="Arial"/>
          <w:bCs/>
          <w:lang w:val="pt-PT"/>
        </w:rPr>
        <w:t>, 17 - 22 February 2020</w:t>
      </w:r>
    </w:p>
    <w:p w14:paraId="2155C368" w14:textId="4B2D50F4" w:rsidR="00BC0771" w:rsidRDefault="00BC0771" w:rsidP="00BC0771">
      <w:pPr>
        <w:spacing w:after="0" w:line="240" w:lineRule="auto"/>
        <w:rPr>
          <w:rFonts w:cs="Arial"/>
        </w:rPr>
      </w:pPr>
    </w:p>
    <w:p w14:paraId="2487819A" w14:textId="77777777" w:rsidR="00BC0771" w:rsidRDefault="00BC0771" w:rsidP="00BC0771">
      <w:pPr>
        <w:spacing w:after="0" w:line="240" w:lineRule="auto"/>
        <w:rPr>
          <w:rFonts w:cs="Arial"/>
        </w:rPr>
      </w:pPr>
    </w:p>
    <w:p w14:paraId="574E685F" w14:textId="7D83A611" w:rsidR="00BC0771" w:rsidRDefault="00BC0771" w:rsidP="00BC0771">
      <w:pPr>
        <w:tabs>
          <w:tab w:val="left" w:pos="9356"/>
        </w:tabs>
        <w:spacing w:after="0" w:line="240" w:lineRule="auto"/>
        <w:ind w:left="709" w:right="225" w:hanging="567"/>
        <w:jc w:val="center"/>
        <w:rPr>
          <w:rFonts w:cs="Arial"/>
          <w:b/>
        </w:rPr>
      </w:pPr>
      <w:r w:rsidRPr="002A5898">
        <w:rPr>
          <w:rFonts w:cs="Arial"/>
          <w:b/>
        </w:rPr>
        <w:t>DOCUMENTS ADOPTED BY CMS COP13</w:t>
      </w:r>
    </w:p>
    <w:p w14:paraId="3E86D210" w14:textId="77777777" w:rsidR="00BC0771" w:rsidRPr="002A5898" w:rsidRDefault="00BC0771" w:rsidP="00BC0771">
      <w:pPr>
        <w:tabs>
          <w:tab w:val="left" w:pos="9356"/>
        </w:tabs>
        <w:spacing w:after="0" w:line="240" w:lineRule="auto"/>
        <w:ind w:left="709" w:right="225" w:hanging="567"/>
        <w:jc w:val="center"/>
        <w:rPr>
          <w:rFonts w:cs="Arial"/>
          <w:b/>
        </w:rPr>
      </w:pPr>
    </w:p>
    <w:p w14:paraId="7606F055" w14:textId="77777777" w:rsidR="00BC0771" w:rsidRPr="002A5898" w:rsidRDefault="00BC0771" w:rsidP="00BC0771">
      <w:pPr>
        <w:tabs>
          <w:tab w:val="left" w:pos="9356"/>
        </w:tabs>
        <w:spacing w:after="0" w:line="240" w:lineRule="auto"/>
        <w:ind w:left="709" w:right="225" w:hanging="567"/>
        <w:jc w:val="center"/>
        <w:rPr>
          <w:rFonts w:cs="Arial"/>
          <w:b/>
        </w:rPr>
      </w:pPr>
    </w:p>
    <w:p w14:paraId="033ED555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  <w:bCs/>
        </w:rPr>
        <w:t>UNEP/CMS/COP13/Doc</w:t>
      </w:r>
      <w:r w:rsidRPr="002A5898">
        <w:rPr>
          <w:rFonts w:cs="Arial"/>
        </w:rPr>
        <w:t xml:space="preserve">.13.1 </w:t>
      </w:r>
      <w:r w:rsidRPr="002A5898">
        <w:rPr>
          <w:rFonts w:cs="Arial"/>
          <w:i/>
        </w:rPr>
        <w:t>Execution of the CMS Budget 2018-2020*</w:t>
      </w:r>
    </w:p>
    <w:p w14:paraId="1C8AD973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  <w:bCs/>
        </w:rPr>
        <w:t>UNEP/CMS/COP13/</w:t>
      </w:r>
      <w:r w:rsidRPr="002A5898">
        <w:rPr>
          <w:rFonts w:cs="Arial"/>
        </w:rPr>
        <w:t xml:space="preserve">CRP.13.2 </w:t>
      </w:r>
      <w:r w:rsidRPr="002A5898">
        <w:rPr>
          <w:rFonts w:cs="Arial"/>
          <w:i/>
        </w:rPr>
        <w:t xml:space="preserve">Financial and Administrative Matters </w:t>
      </w:r>
      <w:r w:rsidRPr="002A5898">
        <w:rPr>
          <w:rFonts w:cs="Arial"/>
          <w:iCs/>
        </w:rPr>
        <w:t>and its six annexes</w:t>
      </w:r>
    </w:p>
    <w:p w14:paraId="15C4D3C5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  <w:bCs/>
        </w:rPr>
        <w:t>UNEP/CMS/COP13/</w:t>
      </w:r>
      <w:r w:rsidRPr="002A5898">
        <w:rPr>
          <w:rFonts w:cs="Arial"/>
        </w:rPr>
        <w:t xml:space="preserve">CRP.13.2/Annex 6. </w:t>
      </w:r>
      <w:r w:rsidRPr="002A5898">
        <w:rPr>
          <w:rFonts w:cs="Arial"/>
          <w:i/>
        </w:rPr>
        <w:t>Proposed Programme of Work for the Intersessional Period between COP13 and COP 14</w:t>
      </w:r>
    </w:p>
    <w:p w14:paraId="3AFCDF85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UNEP/CMS/COP13/CRP14.1 </w:t>
      </w:r>
      <w:r w:rsidRPr="002A5898">
        <w:rPr>
          <w:rFonts w:cs="Arial"/>
          <w:i/>
          <w:iCs/>
        </w:rPr>
        <w:t>Strategic Plan</w:t>
      </w:r>
    </w:p>
    <w:p w14:paraId="1217B894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  <w:bCs/>
        </w:rPr>
        <w:t xml:space="preserve">UNEP/CMS/COP13CRP14.2/Rev.2 </w:t>
      </w:r>
      <w:r w:rsidRPr="002A5898">
        <w:rPr>
          <w:rFonts w:cs="Arial"/>
          <w:bCs/>
          <w:i/>
        </w:rPr>
        <w:t>Options for a Follow-up to the Strategic Plan for Migratory Species 2015</w:t>
      </w:r>
    </w:p>
    <w:p w14:paraId="3310AF47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UNEP/CMS/COP13/CRP17</w:t>
      </w:r>
      <w:r w:rsidRPr="002A5898">
        <w:rPr>
          <w:rFonts w:cs="Arial"/>
          <w:i/>
        </w:rPr>
        <w:t xml:space="preserve"> CMS Contribution to the Post-2020 Global Biodiversity Strategy</w:t>
      </w:r>
    </w:p>
    <w:p w14:paraId="22210266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UNEP/CMS/COP13/CRP18</w:t>
      </w:r>
      <w:r w:rsidRPr="002A5898">
        <w:rPr>
          <w:rFonts w:cs="Arial"/>
          <w:i/>
        </w:rPr>
        <w:t xml:space="preserve"> Synergies and Partnerships</w:t>
      </w:r>
    </w:p>
    <w:p w14:paraId="6765C11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UNEP/CMS/COP13/CRP18.1/Rev.1</w:t>
      </w:r>
      <w:r w:rsidRPr="002A5898">
        <w:rPr>
          <w:rFonts w:cs="Arial"/>
          <w:i/>
        </w:rPr>
        <w:t xml:space="preserve"> Cooperation between the Intergovernmental Science-Policy Platform on Biodiversity and Ecosystem Services (IPBES) and CMS</w:t>
      </w:r>
    </w:p>
    <w:p w14:paraId="45AD9ED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UNEP/CMS/COP13/CRP18.2 </w:t>
      </w:r>
      <w:r w:rsidRPr="002A5898">
        <w:rPr>
          <w:rFonts w:cs="Arial"/>
          <w:i/>
        </w:rPr>
        <w:t>World Migratory Bird Day</w:t>
      </w:r>
    </w:p>
    <w:p w14:paraId="30B3983D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UNEP/CMS/COP13/CRP20 </w:t>
      </w:r>
      <w:r w:rsidRPr="002A5898">
        <w:rPr>
          <w:rFonts w:cs="Arial"/>
          <w:i/>
        </w:rPr>
        <w:t>National Reports</w:t>
      </w:r>
    </w:p>
    <w:p w14:paraId="74E438D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UNEP/CMS/COP13/CRP21 </w:t>
      </w:r>
      <w:r w:rsidRPr="002A5898">
        <w:rPr>
          <w:rFonts w:cs="Arial"/>
          <w:i/>
        </w:rPr>
        <w:t>Application of Article III of the Convention regarding international trade in Appendix-listed Species</w:t>
      </w:r>
    </w:p>
    <w:p w14:paraId="7265AAC1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UNEP/CMS/COP13/CRP22 </w:t>
      </w:r>
      <w:r w:rsidRPr="002A5898">
        <w:rPr>
          <w:rFonts w:cs="Arial"/>
          <w:i/>
        </w:rPr>
        <w:t>Review Mechanism and National Legislation Programme</w:t>
      </w:r>
    </w:p>
    <w:p w14:paraId="4154AAB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UNEP/CMS/COP13/Doc.23.2 </w:t>
      </w:r>
      <w:r w:rsidRPr="002A5898">
        <w:rPr>
          <w:rFonts w:cs="Arial"/>
          <w:i/>
        </w:rPr>
        <w:t>Review of Resolutions: Decisions 12.11 and 12.12*</w:t>
      </w:r>
    </w:p>
    <w:p w14:paraId="68263161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UNEP/CMS/COP13/CRP24 </w:t>
      </w:r>
      <w:r w:rsidRPr="002A5898">
        <w:rPr>
          <w:rFonts w:cs="Arial"/>
          <w:i/>
        </w:rPr>
        <w:t>Review of the Conservation Status of Migratory Species</w:t>
      </w:r>
    </w:p>
    <w:p w14:paraId="1C413C9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UNEP/CMS/COP13/Doc.25 </w:t>
      </w:r>
      <w:r w:rsidRPr="002A5898">
        <w:rPr>
          <w:rFonts w:cs="Arial"/>
          <w:i/>
        </w:rPr>
        <w:t>Progress towards the Development of an Atlas on Animal Migration*</w:t>
      </w:r>
      <w:r w:rsidRPr="002A5898">
        <w:rPr>
          <w:rFonts w:cs="Arial"/>
        </w:rPr>
        <w:t xml:space="preserve"> </w:t>
      </w:r>
    </w:p>
    <w:p w14:paraId="0DBE4B5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UNEP/CMS/COP13/CRP26.1.1 </w:t>
      </w:r>
      <w:r w:rsidRPr="002A5898">
        <w:rPr>
          <w:rFonts w:cs="Arial"/>
          <w:i/>
        </w:rPr>
        <w:t>The Prevention of Illegal Killing, Taking and Trade of Migratory Birds</w:t>
      </w:r>
    </w:p>
    <w:p w14:paraId="585D2451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UNEP/CMS/COP13/CRP26.1.2 </w:t>
      </w:r>
      <w:r w:rsidRPr="002A5898">
        <w:rPr>
          <w:rFonts w:cs="Arial"/>
          <w:i/>
        </w:rPr>
        <w:t xml:space="preserve">Action Plan for Migratory </w:t>
      </w:r>
      <w:proofErr w:type="spellStart"/>
      <w:r w:rsidRPr="002A5898">
        <w:rPr>
          <w:rFonts w:cs="Arial"/>
          <w:i/>
        </w:rPr>
        <w:t>Landbirds</w:t>
      </w:r>
      <w:proofErr w:type="spellEnd"/>
      <w:r w:rsidRPr="002A5898">
        <w:rPr>
          <w:rFonts w:cs="Arial"/>
          <w:i/>
        </w:rPr>
        <w:t xml:space="preserve"> in the African-Eurasian Region (AEMLAP)</w:t>
      </w:r>
    </w:p>
    <w:p w14:paraId="08471DDB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UNEP/CMS/COP13/CRP26.1.3 </w:t>
      </w:r>
      <w:r w:rsidRPr="002A5898">
        <w:rPr>
          <w:rFonts w:cs="Arial"/>
          <w:i/>
        </w:rPr>
        <w:t>Preventing Poisoning of Migratory Birds</w:t>
      </w:r>
    </w:p>
    <w:p w14:paraId="2B5119A6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UNEP/CMS/COP13/CRP26.1.4/Rev.1 </w:t>
      </w:r>
      <w:r w:rsidRPr="002A5898">
        <w:rPr>
          <w:rFonts w:cs="Arial"/>
          <w:i/>
        </w:rPr>
        <w:t>Flyways</w:t>
      </w:r>
    </w:p>
    <w:p w14:paraId="6151CCE5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UNEP/CMS/COP13/CRP26.1.5 </w:t>
      </w:r>
      <w:r w:rsidRPr="002A5898">
        <w:rPr>
          <w:rFonts w:cs="Arial"/>
          <w:i/>
        </w:rPr>
        <w:t>Action Plans for Birds</w:t>
      </w:r>
    </w:p>
    <w:p w14:paraId="1A2E53FF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UNEP/CMS/COP13/CRP26.2.1 </w:t>
      </w:r>
      <w:r w:rsidRPr="002A5898">
        <w:rPr>
          <w:rFonts w:cs="Arial"/>
          <w:i/>
        </w:rPr>
        <w:t>Conservation Measures Relevant for CMS-listed Species Evident from Identification of Important Marine Mammal Areas (IMMAs)</w:t>
      </w:r>
    </w:p>
    <w:p w14:paraId="7E591934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lang w:val="fr-FR"/>
        </w:rPr>
      </w:pPr>
      <w:r w:rsidRPr="002A5898">
        <w:rPr>
          <w:rFonts w:cs="Arial"/>
          <w:lang w:val="fr-FR"/>
        </w:rPr>
        <w:t xml:space="preserve">UNEP/CMS/COP13/CRP26.2.2 </w:t>
      </w:r>
      <w:r w:rsidRPr="002A5898">
        <w:rPr>
          <w:rFonts w:cs="Arial"/>
          <w:i/>
          <w:lang w:val="fr-FR"/>
        </w:rPr>
        <w:t>Marine Noise</w:t>
      </w:r>
    </w:p>
    <w:p w14:paraId="3B28C93E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UNEP/CMS/COP13/CRP26.2.3 </w:t>
      </w:r>
      <w:r w:rsidRPr="002A5898">
        <w:rPr>
          <w:rFonts w:cs="Arial"/>
          <w:i/>
        </w:rPr>
        <w:t>Bycatch</w:t>
      </w:r>
    </w:p>
    <w:p w14:paraId="26BD11FD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UNEP/CMS/COP13/Doc.26.2.4/Rev.1 </w:t>
      </w:r>
      <w:r w:rsidRPr="002A5898">
        <w:rPr>
          <w:rFonts w:cs="Arial"/>
          <w:i/>
        </w:rPr>
        <w:t>Aquatic Wild Meat*</w:t>
      </w:r>
    </w:p>
    <w:p w14:paraId="3E67CECF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UNEP/CMS/COP13/CRP26.2.5</w:t>
      </w:r>
      <w:r w:rsidRPr="002A5898">
        <w:rPr>
          <w:rFonts w:cs="Arial"/>
          <w:i/>
        </w:rPr>
        <w:t xml:space="preserve"> Marine Wildlife Watching</w:t>
      </w:r>
    </w:p>
    <w:p w14:paraId="2F75A202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lastRenderedPageBreak/>
        <w:t>UNEP/CMS/COP13/CRP26.2.6</w:t>
      </w:r>
      <w:r w:rsidRPr="002A5898">
        <w:rPr>
          <w:rFonts w:cs="Arial"/>
          <w:i/>
        </w:rPr>
        <w:t xml:space="preserve"> Marine Turtles</w:t>
      </w:r>
    </w:p>
    <w:p w14:paraId="4ED4F327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UNEP/CMS/COP13/CRP26.2.7 </w:t>
      </w:r>
      <w:r w:rsidRPr="002A5898">
        <w:rPr>
          <w:rFonts w:cs="Arial"/>
          <w:i/>
        </w:rPr>
        <w:t>Chondrichthyan Species (Sharks, Rays, Skates and Chimaeras)</w:t>
      </w:r>
    </w:p>
    <w:p w14:paraId="5A81037F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UNEP/CMS/COP13/CRP26.2.8</w:t>
      </w:r>
      <w:r w:rsidRPr="002A5898">
        <w:rPr>
          <w:rFonts w:cs="Arial"/>
          <w:i/>
        </w:rPr>
        <w:t xml:space="preserve"> Live Capture of Cetaceans from the Wild for Commercial Purposes</w:t>
      </w:r>
    </w:p>
    <w:p w14:paraId="2270014B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UNEP/CMS/COP13/CRP26.2.9</w:t>
      </w:r>
      <w:r w:rsidRPr="002A5898">
        <w:rPr>
          <w:rFonts w:cs="Arial"/>
          <w:i/>
        </w:rPr>
        <w:t xml:space="preserve"> European Eel</w:t>
      </w:r>
    </w:p>
    <w:p w14:paraId="3DEE7223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>UNEP/CMS/COP13/CRP26.2.10</w:t>
      </w:r>
      <w:r w:rsidRPr="002A5898">
        <w:rPr>
          <w:rFonts w:cs="Arial"/>
          <w:i/>
        </w:rPr>
        <w:t xml:space="preserve"> Global Programme of Work for Cetaceans</w:t>
      </w:r>
    </w:p>
    <w:p w14:paraId="7F9D8506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UNEP/CMS/COP13/CRP26.3.1 </w:t>
      </w:r>
      <w:r w:rsidRPr="002A5898">
        <w:rPr>
          <w:rFonts w:cs="Arial"/>
          <w:i/>
        </w:rPr>
        <w:t>Joint CITES-CMS African Carnivores Initiative</w:t>
      </w:r>
    </w:p>
    <w:p w14:paraId="59052EFD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UNEP/CMS/COP13/CRP26.3.2 </w:t>
      </w:r>
      <w:r w:rsidRPr="002A5898">
        <w:rPr>
          <w:rFonts w:cs="Arial"/>
          <w:i/>
        </w:rPr>
        <w:t>Conservation of the African Wild Ass</w:t>
      </w:r>
      <w:r w:rsidRPr="002A5898">
        <w:rPr>
          <w:rFonts w:cs="Arial"/>
        </w:rPr>
        <w:t xml:space="preserve"> (Equus africanus)</w:t>
      </w:r>
    </w:p>
    <w:p w14:paraId="36E88AD5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UNEP/CMS/COP13/CRP26.3.3 </w:t>
      </w:r>
      <w:r w:rsidRPr="002A5898">
        <w:rPr>
          <w:rFonts w:cs="Arial"/>
          <w:i/>
        </w:rPr>
        <w:t>African Elephant Action Plan</w:t>
      </w:r>
    </w:p>
    <w:p w14:paraId="1222EEF0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lang w:val="es-ES"/>
        </w:rPr>
      </w:pPr>
      <w:r w:rsidRPr="002A5898">
        <w:rPr>
          <w:rFonts w:cs="Arial"/>
          <w:lang w:val="es-ES"/>
        </w:rPr>
        <w:t xml:space="preserve">UNEP/CMS/COP13/CRP26.3.4 </w:t>
      </w:r>
      <w:proofErr w:type="spellStart"/>
      <w:r w:rsidRPr="002A5898">
        <w:rPr>
          <w:rFonts w:cs="Arial"/>
          <w:i/>
          <w:lang w:val="es-ES"/>
        </w:rPr>
        <w:t>Sahelo-Saharan</w:t>
      </w:r>
      <w:proofErr w:type="spellEnd"/>
      <w:r w:rsidRPr="002A5898">
        <w:rPr>
          <w:rFonts w:cs="Arial"/>
          <w:i/>
          <w:lang w:val="es-ES"/>
        </w:rPr>
        <w:t xml:space="preserve"> Megafauna</w:t>
      </w:r>
    </w:p>
    <w:p w14:paraId="613533B1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UNEP/CMS/COP13/CRP26.3.5 </w:t>
      </w:r>
      <w:r w:rsidRPr="002A5898">
        <w:rPr>
          <w:rFonts w:cs="Arial"/>
          <w:i/>
        </w:rPr>
        <w:t>Central Asian Mammals Initiative (CAMI)</w:t>
      </w:r>
    </w:p>
    <w:p w14:paraId="510D0A95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UNEP/CMS/COP13/Doc.26.4.1/Rev.1 </w:t>
      </w:r>
      <w:r w:rsidRPr="002A5898">
        <w:rPr>
          <w:rFonts w:cs="Arial"/>
          <w:i/>
        </w:rPr>
        <w:t>Conservation Implications of Animal Culture and Social Complexity*</w:t>
      </w:r>
    </w:p>
    <w:p w14:paraId="7C5BC493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UNEP/CMS/COP13/CRP26.4.2.1 </w:t>
      </w:r>
      <w:r w:rsidRPr="002A5898">
        <w:rPr>
          <w:rFonts w:cs="Arial"/>
          <w:i/>
        </w:rPr>
        <w:t>Renewable Energy and Migratory Species</w:t>
      </w:r>
    </w:p>
    <w:p w14:paraId="6791426C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UNEP/CMS/COP13/CRP26.4.2.2 </w:t>
      </w:r>
      <w:r w:rsidRPr="002A5898">
        <w:rPr>
          <w:rFonts w:cs="Arial"/>
          <w:i/>
        </w:rPr>
        <w:t>Power Lines and Migratory Birds</w:t>
      </w:r>
    </w:p>
    <w:p w14:paraId="4AAE0F5C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UNEP/CMS/COP13/CRP26.4.3/Rev.1 </w:t>
      </w:r>
      <w:r w:rsidRPr="002A5898">
        <w:rPr>
          <w:rFonts w:cs="Arial"/>
          <w:i/>
        </w:rPr>
        <w:t>Addressing Unsustainable Use of Terrestrial and Avian Wild Meat of Migratory Species of Wild Animals</w:t>
      </w:r>
    </w:p>
    <w:p w14:paraId="12902C5E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UNEP/CMS/COP13/CRP26.4.4 </w:t>
      </w:r>
      <w:r w:rsidRPr="002A5898">
        <w:rPr>
          <w:rFonts w:cs="Arial"/>
          <w:i/>
        </w:rPr>
        <w:t>Improving Ways of Addressing Connectivity in the Conservation of Migratory Species</w:t>
      </w:r>
    </w:p>
    <w:p w14:paraId="4002D3DC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UNEP/CMS/COP13/CRP26.4.5 </w:t>
      </w:r>
      <w:proofErr w:type="spellStart"/>
      <w:r w:rsidRPr="002A5898">
        <w:rPr>
          <w:rFonts w:cs="Arial"/>
          <w:i/>
        </w:rPr>
        <w:t>Transfrontier</w:t>
      </w:r>
      <w:proofErr w:type="spellEnd"/>
      <w:r w:rsidRPr="002A5898">
        <w:rPr>
          <w:rFonts w:cs="Arial"/>
          <w:i/>
        </w:rPr>
        <w:t xml:space="preserve"> Conservation Area for Migratory Species</w:t>
      </w:r>
    </w:p>
    <w:p w14:paraId="4786843A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UNEP/CMS/COP13/CRP26.4.6 </w:t>
      </w:r>
      <w:r w:rsidRPr="002A5898">
        <w:rPr>
          <w:rFonts w:cs="Arial"/>
          <w:i/>
        </w:rPr>
        <w:t>Community Participation and Livelihoods</w:t>
      </w:r>
    </w:p>
    <w:p w14:paraId="0E8B6EBA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UNEP/CMS/COP13/CRP26.4.7 </w:t>
      </w:r>
      <w:r w:rsidRPr="002A5898">
        <w:rPr>
          <w:rFonts w:cs="Arial"/>
          <w:i/>
        </w:rPr>
        <w:t>Impacts of Plastic Pollution on Aquatic, Terrestrial and Avian Species</w:t>
      </w:r>
    </w:p>
    <w:p w14:paraId="16239E41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UNEP/CMS/COP13/CRP26.4.8 </w:t>
      </w:r>
      <w:r w:rsidRPr="002A5898">
        <w:rPr>
          <w:rFonts w:cs="Arial"/>
          <w:i/>
        </w:rPr>
        <w:t>Climate Change and Migratory Species</w:t>
      </w:r>
    </w:p>
    <w:p w14:paraId="6F7ADE6E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UNEP/CMS/COP13/CRP26.4.9 </w:t>
      </w:r>
      <w:r w:rsidRPr="002A5898">
        <w:rPr>
          <w:rFonts w:cs="Arial"/>
          <w:i/>
        </w:rPr>
        <w:t>Light Pollution Guidelines for Wildlife including Marine Turtles, Seabirds and Migratory Shorebirds</w:t>
      </w:r>
    </w:p>
    <w:p w14:paraId="57B4125A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UNEP/CMS/COP13/CRP26.4.10 </w:t>
      </w:r>
      <w:r w:rsidRPr="002A5898">
        <w:rPr>
          <w:rFonts w:cs="Arial"/>
          <w:i/>
        </w:rPr>
        <w:t xml:space="preserve">Insect Decline and its threat to migratory insectivorous animal populations** </w:t>
      </w:r>
    </w:p>
    <w:p w14:paraId="3230F238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UNEP/CMS/COP13/CRP26.4.11 </w:t>
      </w:r>
      <w:r w:rsidRPr="002A5898">
        <w:rPr>
          <w:rFonts w:cs="Arial"/>
          <w:i/>
        </w:rPr>
        <w:t>Infrastructure Development and Migratory Species</w:t>
      </w:r>
    </w:p>
    <w:p w14:paraId="1AC91AEC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UNEP/CMS/COP13/CRP27.2 </w:t>
      </w:r>
      <w:r w:rsidRPr="002A5898">
        <w:rPr>
          <w:rFonts w:cs="Arial"/>
          <w:i/>
        </w:rPr>
        <w:t>Guidelines for Preparing and Assessing Proposals for the Amendment of CMS Appendices</w:t>
      </w:r>
    </w:p>
    <w:p w14:paraId="301A9BA3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  <w:i/>
        </w:rPr>
      </w:pPr>
      <w:r w:rsidRPr="002A5898">
        <w:rPr>
          <w:rFonts w:cs="Arial"/>
        </w:rPr>
        <w:t xml:space="preserve">UNEP/CMS/COP13/Doc.27.3 </w:t>
      </w:r>
      <w:r w:rsidRPr="002A5898">
        <w:rPr>
          <w:rFonts w:cs="Arial"/>
          <w:i/>
        </w:rPr>
        <w:t xml:space="preserve">Disaggregation of Bird Families and Genera Listed Under Appendix II* </w:t>
      </w:r>
    </w:p>
    <w:p w14:paraId="07D19622" w14:textId="77777777" w:rsidR="00BC0771" w:rsidRPr="002A5898" w:rsidRDefault="00BC0771" w:rsidP="00BC0771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709" w:right="225" w:hanging="567"/>
        <w:jc w:val="both"/>
        <w:rPr>
          <w:rFonts w:cs="Arial"/>
        </w:rPr>
      </w:pPr>
      <w:r w:rsidRPr="002A5898">
        <w:rPr>
          <w:rFonts w:cs="Arial"/>
        </w:rPr>
        <w:t xml:space="preserve">UNEP/CMS/COP13/CRP27.4 </w:t>
      </w:r>
      <w:r w:rsidRPr="002A5898">
        <w:rPr>
          <w:rFonts w:cs="Arial"/>
          <w:i/>
        </w:rPr>
        <w:t>Reservations with respect to Amendments to Appendices I and II of the Convention</w:t>
      </w:r>
    </w:p>
    <w:p w14:paraId="0E7948A2" w14:textId="77777777" w:rsidR="00BC0771" w:rsidRPr="002A5898" w:rsidRDefault="00BC0771" w:rsidP="00BC0771">
      <w:pPr>
        <w:tabs>
          <w:tab w:val="left" w:pos="9356"/>
        </w:tabs>
        <w:spacing w:after="0" w:line="240" w:lineRule="auto"/>
        <w:ind w:left="709" w:right="225" w:hanging="567"/>
        <w:jc w:val="both"/>
        <w:rPr>
          <w:rFonts w:cs="Arial"/>
        </w:rPr>
      </w:pPr>
    </w:p>
    <w:p w14:paraId="5DE41DC1" w14:textId="77777777" w:rsidR="00BC0771" w:rsidRPr="002A5898" w:rsidRDefault="00BC0771" w:rsidP="00BC0771">
      <w:pPr>
        <w:tabs>
          <w:tab w:val="left" w:pos="9356"/>
        </w:tabs>
        <w:spacing w:after="80" w:line="240" w:lineRule="auto"/>
        <w:ind w:left="709" w:right="227" w:hanging="567"/>
        <w:jc w:val="both"/>
        <w:rPr>
          <w:rFonts w:cs="Arial"/>
        </w:rPr>
      </w:pPr>
      <w:r w:rsidRPr="002A5898">
        <w:rPr>
          <w:rFonts w:cs="Arial"/>
        </w:rPr>
        <w:t xml:space="preserve">* </w:t>
      </w:r>
      <w:r w:rsidRPr="002A5898">
        <w:rPr>
          <w:rFonts w:cs="Arial"/>
          <w:i/>
        </w:rPr>
        <w:t>These documents were endorsed without amendment by the COW; and were adopted by the COP without being considered as CRPs</w:t>
      </w:r>
    </w:p>
    <w:p w14:paraId="13566A14" w14:textId="77777777" w:rsidR="00BC0771" w:rsidRPr="002A5898" w:rsidRDefault="00BC0771" w:rsidP="00BC0771">
      <w:pPr>
        <w:tabs>
          <w:tab w:val="left" w:pos="9356"/>
        </w:tabs>
        <w:spacing w:after="0" w:line="240" w:lineRule="auto"/>
        <w:ind w:right="225"/>
        <w:jc w:val="both"/>
        <w:rPr>
          <w:rFonts w:cs="Arial"/>
          <w:i/>
        </w:rPr>
      </w:pPr>
      <w:r w:rsidRPr="002A5898">
        <w:rPr>
          <w:rFonts w:cs="Arial"/>
          <w:i/>
        </w:rPr>
        <w:t>** As revised and recommended by the COW session of 22</w:t>
      </w:r>
      <w:r w:rsidRPr="002A5898">
        <w:rPr>
          <w:rFonts w:cs="Arial"/>
          <w:i/>
          <w:vertAlign w:val="superscript"/>
        </w:rPr>
        <w:t xml:space="preserve"> </w:t>
      </w:r>
      <w:r w:rsidRPr="002A5898">
        <w:rPr>
          <w:rFonts w:cs="Arial"/>
          <w:i/>
        </w:rPr>
        <w:t>February 2020</w:t>
      </w:r>
    </w:p>
    <w:p w14:paraId="2493F237" w14:textId="77777777" w:rsidR="00BC0771" w:rsidRPr="00A77C5C" w:rsidRDefault="00BC0771">
      <w:pPr>
        <w:rPr>
          <w:rFonts w:cs="Arial"/>
        </w:rPr>
      </w:pPr>
      <w:bookmarkStart w:id="0" w:name="_GoBack"/>
      <w:bookmarkEnd w:id="0"/>
    </w:p>
    <w:sectPr w:rsidR="00BC0771" w:rsidRPr="00A77C5C" w:rsidSect="00BC077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F304" w14:textId="77777777" w:rsidR="00A77C5C" w:rsidRDefault="00A77C5C" w:rsidP="00A77C5C">
      <w:pPr>
        <w:spacing w:after="0" w:line="240" w:lineRule="auto"/>
      </w:pPr>
      <w:r>
        <w:separator/>
      </w:r>
    </w:p>
  </w:endnote>
  <w:endnote w:type="continuationSeparator" w:id="0">
    <w:p w14:paraId="08FD9888" w14:textId="77777777" w:rsidR="00A77C5C" w:rsidRDefault="00A77C5C" w:rsidP="00A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306905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000B0" w14:textId="3027BBC5" w:rsidR="00BC0771" w:rsidRPr="00BC0771" w:rsidRDefault="00BC0771" w:rsidP="00BC0771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C0771">
          <w:rPr>
            <w:rFonts w:ascii="Arial" w:hAnsi="Arial" w:cs="Arial"/>
            <w:sz w:val="18"/>
            <w:szCs w:val="18"/>
          </w:rPr>
          <w:fldChar w:fldCharType="begin"/>
        </w:r>
        <w:r w:rsidRPr="00BC077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C0771">
          <w:rPr>
            <w:rFonts w:ascii="Arial" w:hAnsi="Arial" w:cs="Arial"/>
            <w:sz w:val="18"/>
            <w:szCs w:val="18"/>
          </w:rPr>
          <w:fldChar w:fldCharType="separate"/>
        </w:r>
        <w:r w:rsidRPr="00BC0771">
          <w:rPr>
            <w:rFonts w:ascii="Arial" w:hAnsi="Arial" w:cs="Arial"/>
            <w:noProof/>
            <w:sz w:val="18"/>
            <w:szCs w:val="18"/>
          </w:rPr>
          <w:t>2</w:t>
        </w:r>
        <w:r w:rsidRPr="00BC077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FE27" w14:textId="77777777" w:rsidR="00A77C5C" w:rsidRDefault="00A77C5C" w:rsidP="00A77C5C">
      <w:pPr>
        <w:spacing w:after="0" w:line="240" w:lineRule="auto"/>
      </w:pPr>
      <w:r>
        <w:separator/>
      </w:r>
    </w:p>
  </w:footnote>
  <w:footnote w:type="continuationSeparator" w:id="0">
    <w:p w14:paraId="314B8101" w14:textId="77777777" w:rsidR="00A77C5C" w:rsidRDefault="00A77C5C" w:rsidP="00A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6728" w14:textId="462226BE" w:rsidR="00A77C5C" w:rsidRPr="00BC0771" w:rsidRDefault="00BC0771" w:rsidP="00BC0771">
    <w:pPr>
      <w:pStyle w:val="Header"/>
      <w:pBdr>
        <w:bottom w:val="single" w:sz="4" w:space="1" w:color="auto"/>
      </w:pBdr>
      <w:rPr>
        <w:rFonts w:ascii="Arial" w:hAnsi="Arial" w:cs="Arial"/>
        <w:i/>
        <w:iCs/>
        <w:sz w:val="18"/>
        <w:szCs w:val="18"/>
      </w:rPr>
    </w:pPr>
    <w:r w:rsidRPr="00BC0771">
      <w:rPr>
        <w:rFonts w:ascii="Arial" w:hAnsi="Arial" w:cs="Arial"/>
        <w:i/>
        <w:iCs/>
        <w:sz w:val="18"/>
        <w:szCs w:val="18"/>
      </w:rPr>
      <w:t>UNEP/CMS/</w:t>
    </w:r>
    <w:r>
      <w:rPr>
        <w:rFonts w:ascii="Arial" w:hAnsi="Arial" w:cs="Arial"/>
        <w:i/>
        <w:iCs/>
        <w:sz w:val="18"/>
        <w:szCs w:val="18"/>
      </w:rPr>
      <w:t>C</w:t>
    </w:r>
    <w:r w:rsidRPr="00BC0771">
      <w:rPr>
        <w:rFonts w:ascii="Arial" w:hAnsi="Arial" w:cs="Arial"/>
        <w:i/>
        <w:iCs/>
        <w:sz w:val="18"/>
        <w:szCs w:val="18"/>
      </w:rPr>
      <w:t>OP13/Report/Annex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0E66" w14:textId="77777777" w:rsidR="00BC0771" w:rsidRPr="002E0DE9" w:rsidRDefault="00BC0771" w:rsidP="00BC0771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34436" wp14:editId="1DEC8756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28650" cy="552450"/>
          <wp:effectExtent l="0" t="0" r="0" b="0"/>
          <wp:wrapTight wrapText="bothSides">
            <wp:wrapPolygon edited="0">
              <wp:start x="0" y="0"/>
              <wp:lineTo x="0" y="20855"/>
              <wp:lineTo x="20945" y="20855"/>
              <wp:lineTo x="20945" y="0"/>
              <wp:lineTo x="0" y="0"/>
            </wp:wrapPolygon>
          </wp:wrapTight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49" cy="55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1610BF2B" wp14:editId="1B828EB1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63360" behindDoc="0" locked="0" layoutInCell="1" allowOverlap="1" wp14:anchorId="7AA8ED5F" wp14:editId="3DA743E2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750DB26" w14:textId="77777777" w:rsidR="00BC0771" w:rsidRDefault="00BC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108"/>
    <w:multiLevelType w:val="hybridMultilevel"/>
    <w:tmpl w:val="7AA2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C"/>
    <w:rsid w:val="00017598"/>
    <w:rsid w:val="00036CBA"/>
    <w:rsid w:val="00A77C5C"/>
    <w:rsid w:val="00BC0771"/>
    <w:rsid w:val="00DC366B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89878"/>
  <w15:chartTrackingRefBased/>
  <w15:docId w15:val="{6577AD50-C9B8-428C-ABE2-D64C3F2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C5C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5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77C5C"/>
  </w:style>
  <w:style w:type="paragraph" w:styleId="Footer">
    <w:name w:val="footer"/>
    <w:basedOn w:val="Normal"/>
    <w:link w:val="FooterChar"/>
    <w:uiPriority w:val="99"/>
    <w:unhideWhenUsed/>
    <w:rsid w:val="00A77C5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7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2020-05-26T07:58:00Z</dcterms:created>
  <dcterms:modified xsi:type="dcterms:W3CDTF">2020-05-26T07:58:00Z</dcterms:modified>
</cp:coreProperties>
</file>