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306E74"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2BE79AE" wp14:editId="704EF1D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306E74"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306E74">
              <w:rPr>
                <w:rFonts w:eastAsia="Times New Roman" w:cs="Arial"/>
                <w:szCs w:val="24"/>
                <w:lang w:eastAsia="es-ES"/>
              </w:rPr>
              <w:t>UNEP/CMS/COP13/Doc.</w:t>
            </w:r>
            <w:r w:rsidR="00306E74" w:rsidRPr="00306E74">
              <w:rPr>
                <w:rFonts w:eastAsia="Times New Roman" w:cs="Arial"/>
                <w:szCs w:val="24"/>
                <w:lang w:eastAsia="es-ES"/>
              </w:rPr>
              <w:t>26.2.4/Rev</w:t>
            </w:r>
            <w:r w:rsidR="00306E74">
              <w:rPr>
                <w:rFonts w:eastAsia="Times New Roman" w:cs="Arial"/>
                <w:szCs w:val="24"/>
                <w:lang w:eastAsia="es-ES"/>
              </w:rPr>
              <w:t>.1/Anexo 3</w:t>
            </w:r>
          </w:p>
          <w:p w:rsidR="00002A97" w:rsidRPr="00306E74" w:rsidRDefault="00306E74"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21 de noviembre</w:t>
            </w:r>
            <w:r w:rsidR="00EF1D13" w:rsidRPr="00306E74">
              <w:rPr>
                <w:rFonts w:eastAsia="Times New Roman" w:cs="Arial"/>
                <w:szCs w:val="24"/>
                <w:lang w:val="es-ES" w:eastAsia="es-ES"/>
              </w:rPr>
              <w:t xml:space="preserve"> </w:t>
            </w:r>
            <w:r w:rsidR="00002A97" w:rsidRPr="00306E74">
              <w:rPr>
                <w:rFonts w:eastAsia="Times New Roman" w:cs="Arial"/>
                <w:szCs w:val="24"/>
                <w:lang w:val="es-ES" w:eastAsia="es-ES"/>
              </w:rPr>
              <w:t>2019</w:t>
            </w:r>
          </w:p>
          <w:p w:rsidR="00002A97" w:rsidRPr="00002A97" w:rsidRDefault="00002A97" w:rsidP="00306E74">
            <w:pPr>
              <w:widowControl w:val="0"/>
              <w:suppressAutoHyphens/>
              <w:autoSpaceDE w:val="0"/>
              <w:autoSpaceDN w:val="0"/>
              <w:spacing w:after="12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rsidR="00002A97" w:rsidRPr="00306E74"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13ª REUNIÓN DE LA CONFERENCIA DE LAS PARTES</w:t>
      </w:r>
    </w:p>
    <w:p w:rsidR="00002A97" w:rsidRPr="00002A97" w:rsidRDefault="00002A97"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02A97">
        <w:rPr>
          <w:rFonts w:eastAsia="Times New Roman" w:cs="Arial"/>
          <w:bCs/>
          <w:szCs w:val="24"/>
          <w:lang w:val="es-ES" w:eastAsia="es-ES"/>
        </w:rPr>
        <w:t>Gand</w:t>
      </w:r>
      <w:r w:rsidR="00BF7838">
        <w:rPr>
          <w:rFonts w:eastAsia="Times New Roman" w:cs="Arial"/>
          <w:bCs/>
          <w:szCs w:val="24"/>
          <w:lang w:val="es-ES" w:eastAsia="es-ES"/>
        </w:rPr>
        <w:t>h</w:t>
      </w:r>
      <w:r w:rsidRPr="00002A97">
        <w:rPr>
          <w:rFonts w:eastAsia="Times New Roman" w:cs="Arial"/>
          <w:bCs/>
          <w:szCs w:val="24"/>
          <w:lang w:val="es-ES" w:eastAsia="es-ES"/>
        </w:rPr>
        <w:t>inagar. India, 17 – 22 de febrero 2020</w:t>
      </w:r>
    </w:p>
    <w:p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306E74">
        <w:rPr>
          <w:rFonts w:eastAsia="Times New Roman" w:cs="Arial"/>
          <w:szCs w:val="24"/>
          <w:lang w:val="es-ES" w:eastAsia="es-ES"/>
        </w:rPr>
        <w:t>26.2</w:t>
      </w:r>
      <w:r w:rsidRPr="00002A97">
        <w:rPr>
          <w:rFonts w:eastAsia="Times New Roman" w:cs="Arial"/>
          <w:szCs w:val="24"/>
          <w:lang w:val="es-ES" w:eastAsia="es-ES"/>
        </w:rPr>
        <w:t xml:space="preserve"> del orden del día</w:t>
      </w:r>
    </w:p>
    <w:p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306E74" w:rsidRPr="00306E74" w:rsidRDefault="00306E74" w:rsidP="00306E74">
      <w:pPr>
        <w:widowControl w:val="0"/>
        <w:tabs>
          <w:tab w:val="left" w:pos="-720"/>
          <w:tab w:val="left" w:pos="310"/>
          <w:tab w:val="left" w:pos="835"/>
        </w:tabs>
        <w:spacing w:after="120" w:line="240" w:lineRule="auto"/>
        <w:ind w:left="-86" w:right="-360"/>
        <w:jc w:val="center"/>
        <w:outlineLvl w:val="1"/>
        <w:rPr>
          <w:rFonts w:eastAsia="Times New Roman" w:cs="Arial"/>
          <w:b/>
          <w:bCs/>
          <w:snapToGrid w:val="0"/>
          <w:lang w:val="es-ES"/>
        </w:rPr>
      </w:pPr>
      <w:bookmarkStart w:id="0" w:name="_Hlk21518852"/>
      <w:r w:rsidRPr="00306E74">
        <w:rPr>
          <w:rFonts w:eastAsia="Times New Roman" w:cs="Times New Roman"/>
          <w:b/>
          <w:bCs/>
          <w:snapToGrid w:val="0"/>
          <w:lang w:val="es-ES"/>
        </w:rPr>
        <w:t>DETERMINACIÓN DEL ALCANCE DE LA INTERACCIÓN ENTRE LA CAPTURA INCIDENTAL Y LA CAZA DE CARNE DE ANIMALES SALVAJES ACUÁTICOS</w:t>
      </w:r>
      <w:bookmarkEnd w:id="0"/>
    </w:p>
    <w:p w:rsidR="00002A97" w:rsidRPr="00002A97" w:rsidRDefault="00306E74" w:rsidP="00306E74">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w:t>
      </w:r>
      <w:r w:rsidRPr="00B30862">
        <w:rPr>
          <w:rFonts w:cs="Arial"/>
          <w:i/>
          <w:lang w:val="es-ES"/>
        </w:rPr>
        <w:t>Preparado por Grupo de Trabajo sobre la carne de animales salvajes acuáticos y el Grupo de Trabajo sobre captura incidental</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rsidR="00002A97" w:rsidRPr="00002A97" w:rsidRDefault="00002A97" w:rsidP="00002A97">
      <w:pPr>
        <w:widowControl w:val="0"/>
        <w:suppressAutoHyphens/>
        <w:autoSpaceDE w:val="0"/>
        <w:autoSpaceDN w:val="0"/>
        <w:spacing w:after="0" w:line="240" w:lineRule="auto"/>
        <w:jc w:val="right"/>
        <w:textAlignment w:val="baseline"/>
        <w:rPr>
          <w:rFonts w:eastAsia="Times New Roman" w:cs="Arial"/>
          <w:i/>
          <w:lang w:val="es-ES" w:eastAsia="es-ES"/>
        </w:rPr>
      </w:pPr>
    </w:p>
    <w:p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noProof/>
        </w:rPr>
        <mc:AlternateContent>
          <mc:Choice Requires="wps">
            <w:drawing>
              <wp:anchor distT="0" distB="0" distL="114300" distR="114300" simplePos="0" relativeHeight="251659264" behindDoc="0" locked="0" layoutInCell="1" allowOverlap="1" wp14:anchorId="1FA1631C" wp14:editId="0D63E917">
                <wp:simplePos x="0" y="0"/>
                <wp:positionH relativeFrom="column">
                  <wp:posOffset>622935</wp:posOffset>
                </wp:positionH>
                <wp:positionV relativeFrom="paragraph">
                  <wp:posOffset>149224</wp:posOffset>
                </wp:positionV>
                <wp:extent cx="4591050" cy="164782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591050" cy="1647825"/>
                        </a:xfrm>
                        <a:prstGeom prst="rect">
                          <a:avLst/>
                        </a:prstGeom>
                        <a:solidFill>
                          <a:srgbClr val="FFFFFF"/>
                        </a:solidFill>
                        <a:ln w="3172">
                          <a:solidFill>
                            <a:srgbClr val="000000"/>
                          </a:solidFill>
                          <a:prstDash val="solid"/>
                        </a:ln>
                      </wps:spPr>
                      <wps:txbx>
                        <w:txbxContent>
                          <w:p w:rsidR="00002A97" w:rsidRDefault="00002A97" w:rsidP="00002A97">
                            <w:pPr>
                              <w:spacing w:after="0" w:line="240" w:lineRule="auto"/>
                              <w:rPr>
                                <w:rFonts w:cs="Arial"/>
                                <w:lang w:val="es-ES"/>
                              </w:rPr>
                            </w:pPr>
                            <w:r>
                              <w:rPr>
                                <w:rFonts w:cs="Arial"/>
                                <w:lang w:val="es-ES"/>
                              </w:rPr>
                              <w:t>Resumen:</w:t>
                            </w:r>
                          </w:p>
                          <w:p w:rsidR="00002A97" w:rsidRDefault="00002A97" w:rsidP="00002A97">
                            <w:pPr>
                              <w:spacing w:after="0" w:line="240" w:lineRule="auto"/>
                              <w:rPr>
                                <w:rFonts w:cs="Arial"/>
                                <w:lang w:val="es-ES"/>
                              </w:rPr>
                            </w:pPr>
                          </w:p>
                          <w:p w:rsidR="00306E74" w:rsidRPr="00306E74" w:rsidRDefault="00306E74" w:rsidP="00306E74">
                            <w:pPr>
                              <w:spacing w:after="0" w:line="240" w:lineRule="auto"/>
                              <w:jc w:val="both"/>
                              <w:rPr>
                                <w:lang w:val="es-ES"/>
                              </w:rPr>
                            </w:pPr>
                            <w:r w:rsidRPr="00306E74">
                              <w:rPr>
                                <w:lang w:val="es-ES"/>
                              </w:rPr>
                              <w:t xml:space="preserve">Este documento constituye un Anexo al Documento </w:t>
                            </w:r>
                          </w:p>
                          <w:p w:rsidR="00306E74" w:rsidRPr="00306E74" w:rsidRDefault="00306E74" w:rsidP="00306E74">
                            <w:pPr>
                              <w:spacing w:after="0" w:line="240" w:lineRule="auto"/>
                              <w:jc w:val="both"/>
                              <w:rPr>
                                <w:lang w:val="es-ES"/>
                              </w:rPr>
                            </w:pPr>
                            <w:r w:rsidRPr="00306E74">
                              <w:rPr>
                                <w:lang w:val="es-ES"/>
                              </w:rPr>
                              <w:t>UNEP/CMS/COP13/Doc.26.2.4</w:t>
                            </w:r>
                            <w:r>
                              <w:rPr>
                                <w:lang w:val="es-ES"/>
                              </w:rPr>
                              <w:t>/Rev.1</w:t>
                            </w:r>
                            <w:r w:rsidRPr="00306E74">
                              <w:rPr>
                                <w:lang w:val="es-ES"/>
                              </w:rPr>
                              <w:t xml:space="preserve"> </w:t>
                            </w:r>
                            <w:r w:rsidRPr="00306E74">
                              <w:rPr>
                                <w:i/>
                                <w:lang w:val="es-ES"/>
                              </w:rPr>
                              <w:t>Carne silvestre acuática</w:t>
                            </w:r>
                            <w:r w:rsidRPr="00306E74">
                              <w:rPr>
                                <w:lang w:val="es-ES"/>
                              </w:rPr>
                              <w:t>.</w:t>
                            </w:r>
                          </w:p>
                          <w:p w:rsidR="00306E74" w:rsidRPr="00306E74" w:rsidRDefault="00306E74" w:rsidP="00306E74">
                            <w:pPr>
                              <w:spacing w:after="0" w:line="240" w:lineRule="auto"/>
                              <w:jc w:val="both"/>
                              <w:rPr>
                                <w:lang w:val="es-ES"/>
                              </w:rPr>
                            </w:pPr>
                          </w:p>
                          <w:p w:rsidR="009A510F" w:rsidRPr="006F22B0" w:rsidRDefault="00306E74" w:rsidP="00306E74">
                            <w:pPr>
                              <w:spacing w:after="0" w:line="240" w:lineRule="auto"/>
                              <w:jc w:val="both"/>
                              <w:rPr>
                                <w:lang w:val="es-ES"/>
                              </w:rPr>
                            </w:pPr>
                            <w:r w:rsidRPr="00306E74">
                              <w:rPr>
                                <w:lang w:val="es-ES"/>
                              </w:rPr>
                              <w:t xml:space="preserve">Ha sido desarrollado por el Grupo de Trabajo sobre Carne Silvestre Acuática en cooperación con el Grupo de Trabajo sobre Captura Incidental, en respuesta a las actividades contenidas en la Decisión 12.46.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A1631C" id="_x0000_t202" coordsize="21600,21600" o:spt="202" path="m,l,21600r21600,l21600,xe">
                <v:stroke joinstyle="miter"/>
                <v:path gradientshapeok="t" o:connecttype="rect"/>
              </v:shapetype>
              <v:shape id="Text Box 4" o:spid="_x0000_s1026" type="#_x0000_t202" style="position:absolute;margin-left:49.05pt;margin-top:11.75pt;width:36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" strokeweight=".08811mm">
                <v:textbox>
                  <w:txbxContent>
                    <w:p w:rsidR="00002A97" w:rsidRDefault="00002A97" w:rsidP="00002A97">
                      <w:pPr>
                        <w:spacing w:after="0" w:line="240" w:lineRule="auto"/>
                        <w:rPr>
                          <w:rFonts w:cs="Arial"/>
                          <w:lang w:val="es-ES"/>
                        </w:rPr>
                      </w:pPr>
                      <w:r>
                        <w:rPr>
                          <w:rFonts w:cs="Arial"/>
                          <w:lang w:val="es-ES"/>
                        </w:rPr>
                        <w:t>Resumen:</w:t>
                      </w:r>
                    </w:p>
                    <w:p w:rsidR="00002A97" w:rsidRDefault="00002A97" w:rsidP="00002A97">
                      <w:pPr>
                        <w:spacing w:after="0" w:line="240" w:lineRule="auto"/>
                        <w:rPr>
                          <w:rFonts w:cs="Arial"/>
                          <w:lang w:val="es-ES"/>
                        </w:rPr>
                      </w:pPr>
                    </w:p>
                    <w:p w:rsidR="00306E74" w:rsidRPr="00306E74" w:rsidRDefault="00306E74" w:rsidP="00306E74">
                      <w:pPr>
                        <w:spacing w:after="0" w:line="240" w:lineRule="auto"/>
                        <w:jc w:val="both"/>
                        <w:rPr>
                          <w:lang w:val="es-ES"/>
                        </w:rPr>
                      </w:pPr>
                      <w:r w:rsidRPr="00306E74">
                        <w:rPr>
                          <w:lang w:val="es-ES"/>
                        </w:rPr>
                        <w:t xml:space="preserve">Este documento constituye un Anexo al Documento </w:t>
                      </w:r>
                    </w:p>
                    <w:p w:rsidR="00306E74" w:rsidRPr="00306E74" w:rsidRDefault="00306E74" w:rsidP="00306E74">
                      <w:pPr>
                        <w:spacing w:after="0" w:line="240" w:lineRule="auto"/>
                        <w:jc w:val="both"/>
                        <w:rPr>
                          <w:lang w:val="es-ES"/>
                        </w:rPr>
                      </w:pPr>
                      <w:r w:rsidRPr="00306E74">
                        <w:rPr>
                          <w:lang w:val="es-ES"/>
                        </w:rPr>
                        <w:t>UNEP/CMS/COP13/Doc.26.2.4</w:t>
                      </w:r>
                      <w:r>
                        <w:rPr>
                          <w:lang w:val="es-ES"/>
                        </w:rPr>
                        <w:t>/Rev.1</w:t>
                      </w:r>
                      <w:r w:rsidRPr="00306E74">
                        <w:rPr>
                          <w:lang w:val="es-ES"/>
                        </w:rPr>
                        <w:t xml:space="preserve"> </w:t>
                      </w:r>
                      <w:r w:rsidRPr="00306E74">
                        <w:rPr>
                          <w:i/>
                          <w:lang w:val="es-ES"/>
                        </w:rPr>
                        <w:t>Carne silvestre acuática</w:t>
                      </w:r>
                      <w:r w:rsidRPr="00306E74">
                        <w:rPr>
                          <w:lang w:val="es-ES"/>
                        </w:rPr>
                        <w:t>.</w:t>
                      </w:r>
                    </w:p>
                    <w:p w:rsidR="00306E74" w:rsidRPr="00306E74" w:rsidRDefault="00306E74" w:rsidP="00306E74">
                      <w:pPr>
                        <w:spacing w:after="0" w:line="240" w:lineRule="auto"/>
                        <w:jc w:val="both"/>
                        <w:rPr>
                          <w:lang w:val="es-ES"/>
                        </w:rPr>
                      </w:pPr>
                    </w:p>
                    <w:p w:rsidR="009A510F" w:rsidRPr="006F22B0" w:rsidRDefault="00306E74" w:rsidP="00306E74">
                      <w:pPr>
                        <w:spacing w:after="0" w:line="240" w:lineRule="auto"/>
                        <w:jc w:val="both"/>
                        <w:rPr>
                          <w:lang w:val="es-ES"/>
                        </w:rPr>
                      </w:pPr>
                      <w:r w:rsidRPr="00306E74">
                        <w:rPr>
                          <w:lang w:val="es-ES"/>
                        </w:rPr>
                        <w:t xml:space="preserve">Ha sido desarrollado por el Grupo de Trabajo sobre Carne Silvestre Acuática en cooperación con el Grupo de Trabajo sobre Captura Incidental, en respuesta a las actividades contenidas en la Decisión 12.46.  </w:t>
                      </w:r>
                    </w:p>
                  </w:txbxContent>
                </v:textbox>
              </v:shape>
            </w:pict>
          </mc:Fallback>
        </mc:AlternateContent>
      </w: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306E74" w:rsidRPr="00306E74" w:rsidRDefault="00306E74" w:rsidP="00306E74">
      <w:pPr>
        <w:spacing w:after="0" w:line="240" w:lineRule="auto"/>
        <w:jc w:val="center"/>
        <w:rPr>
          <w:rFonts w:eastAsia="Times New Roman" w:cs="Arial"/>
          <w:lang w:val="es-PE"/>
        </w:rPr>
      </w:pPr>
      <w:r w:rsidRPr="00306E74">
        <w:rPr>
          <w:rFonts w:eastAsia="Times New Roman" w:cs="Arial"/>
          <w:b/>
          <w:bCs/>
          <w:snapToGrid w:val="0"/>
          <w:lang w:val="es-ES"/>
        </w:rPr>
        <w:t>DETERMINACIÓN DEL ALCANCE DE LA INTERACCIÓN ENTRE LA CAPTURA INCIDENTAL Y LA CAZA DE CARNE DE ANIMALES SALVAJES ACUÁTICOS</w:t>
      </w:r>
    </w:p>
    <w:p w:rsidR="00306E74" w:rsidRPr="00306E74" w:rsidRDefault="00306E74" w:rsidP="00306E74">
      <w:pPr>
        <w:spacing w:after="0" w:line="240" w:lineRule="auto"/>
        <w:rPr>
          <w:rFonts w:cs="Arial"/>
          <w:noProof/>
          <w:u w:val="single"/>
          <w:lang w:val="es-ES"/>
        </w:rPr>
      </w:pPr>
    </w:p>
    <w:p w:rsidR="00306E74" w:rsidRPr="00306E74" w:rsidRDefault="00306E74" w:rsidP="00306E74">
      <w:pPr>
        <w:spacing w:after="0" w:line="240" w:lineRule="auto"/>
        <w:rPr>
          <w:rFonts w:cs="Arial"/>
          <w:noProof/>
          <w:u w:val="single"/>
          <w:lang w:val="es-ES"/>
        </w:rPr>
      </w:pPr>
    </w:p>
    <w:p w:rsidR="00306E74" w:rsidRPr="00306E74" w:rsidRDefault="00306E74" w:rsidP="00306E74">
      <w:pPr>
        <w:spacing w:after="0" w:line="240" w:lineRule="auto"/>
        <w:rPr>
          <w:rFonts w:cs="Arial"/>
          <w:noProof/>
          <w:u w:val="single"/>
          <w:lang w:val="es-ES"/>
        </w:rPr>
      </w:pPr>
      <w:r w:rsidRPr="00306E74">
        <w:rPr>
          <w:rFonts w:cs="Arial"/>
          <w:noProof/>
          <w:u w:val="single"/>
          <w:lang w:val="es-ES"/>
        </w:rPr>
        <w:t>Antecedentes</w:t>
      </w:r>
    </w:p>
    <w:p w:rsidR="00306E74" w:rsidRPr="00306E74" w:rsidRDefault="00306E74" w:rsidP="00306E74">
      <w:pPr>
        <w:spacing w:after="0" w:line="240" w:lineRule="auto"/>
        <w:ind w:left="540"/>
        <w:contextualSpacing/>
        <w:jc w:val="both"/>
        <w:rPr>
          <w:rFonts w:cs="Arial"/>
          <w:lang w:val="es-ES"/>
        </w:rPr>
      </w:pPr>
    </w:p>
    <w:p w:rsidR="00306E74" w:rsidRPr="00306E74" w:rsidRDefault="00306E74" w:rsidP="00306E74">
      <w:pPr>
        <w:pStyle w:val="Firstnumbering1"/>
        <w:rPr>
          <w:rFonts w:eastAsiaTheme="minorHAnsi"/>
        </w:rPr>
      </w:pPr>
      <w:bookmarkStart w:id="1" w:name="_Hlk8124564"/>
      <w:r w:rsidRPr="00306E74">
        <w:rPr>
          <w:rFonts w:eastAsiaTheme="minorHAnsi"/>
        </w:rPr>
        <w:t xml:space="preserve">La Convención sobre Especies Migratorias (CMS) define la carne de animales salvajes acuáticos como los productos derivados de los mamíferos, aves y reptiles acuáticos que se utilizan para la alimentación de subsistencia y para usos tradicionales, incluida la carne, caparazones, huesos, órganos y como cebo para pesquerías. Se obtiene de manera oportunista (p. ej., por captura incidental o encallamiento) o mediante cazas no reglamentadas y, a veces, ilegales. </w:t>
      </w:r>
    </w:p>
    <w:p w:rsidR="00306E74" w:rsidRPr="00306E74" w:rsidRDefault="00306E74" w:rsidP="00306E74">
      <w:pPr>
        <w:spacing w:after="0" w:line="240" w:lineRule="auto"/>
        <w:ind w:left="540"/>
        <w:contextualSpacing/>
        <w:jc w:val="both"/>
        <w:rPr>
          <w:rFonts w:cs="Arial"/>
          <w:lang w:val="es-ES"/>
        </w:rPr>
      </w:pPr>
    </w:p>
    <w:p w:rsidR="00306E74" w:rsidRPr="00306E74" w:rsidRDefault="00306E74" w:rsidP="00306E74">
      <w:pPr>
        <w:pStyle w:val="Firstnumbering1"/>
        <w:rPr>
          <w:rFonts w:eastAsiaTheme="minorHAnsi"/>
        </w:rPr>
      </w:pPr>
      <w:r w:rsidRPr="00306E74">
        <w:rPr>
          <w:rFonts w:eastAsiaTheme="minorHAnsi"/>
        </w:rPr>
        <w:t>La 12</w:t>
      </w:r>
      <w:r w:rsidRPr="00306E74">
        <w:rPr>
          <w:rFonts w:eastAsiaTheme="minorHAnsi"/>
          <w:vertAlign w:val="superscript"/>
        </w:rPr>
        <w:t>ª</w:t>
      </w:r>
      <w:r w:rsidRPr="00306E74">
        <w:rPr>
          <w:rFonts w:eastAsiaTheme="minorHAnsi"/>
        </w:rPr>
        <w:t xml:space="preserve"> Conferencia de las Partes (COP) de la CMS expresó su preocupación acerca del hecho de que están cazando a las especies que figuran en la lista de la CMS, incluidos los mamíferos acuáticos, las tortugas, las aves acuáticas y los elasmobranquios, como carne de animales salvajes acuáticos en muchas regiones del mundo, y que existe evidencia que demuestra que la demanda está aumentando (</w:t>
      </w:r>
      <w:proofErr w:type="spellStart"/>
      <w:r w:rsidRPr="00306E74">
        <w:rPr>
          <w:rFonts w:eastAsiaTheme="minorHAnsi"/>
        </w:rPr>
        <w:t>Robards</w:t>
      </w:r>
      <w:proofErr w:type="spellEnd"/>
      <w:r w:rsidRPr="00306E74">
        <w:rPr>
          <w:rFonts w:eastAsiaTheme="minorHAnsi"/>
        </w:rPr>
        <w:t xml:space="preserve"> &amp; Reeves, 2011). La </w:t>
      </w:r>
      <w:hyperlink r:id="rId8" w:history="1">
        <w:r w:rsidRPr="00306E74">
          <w:rPr>
            <w:rFonts w:eastAsiaTheme="minorHAnsi"/>
          </w:rPr>
          <w:t>Resolución 12.15</w:t>
        </w:r>
      </w:hyperlink>
      <w:r w:rsidRPr="00306E74">
        <w:rPr>
          <w:rFonts w:eastAsiaTheme="minorHAnsi"/>
        </w:rPr>
        <w:t xml:space="preserve"> solicitó el establecimiento de un Grupo de Trabajo temático del Consejo Científico sobre la carne de animales salvajes acuáticos y elaboró un programa de trabajo (</w:t>
      </w:r>
      <w:hyperlink r:id="rId9" w:anchor="12.46" w:history="1">
        <w:r w:rsidRPr="00306E74">
          <w:rPr>
            <w:rFonts w:eastAsiaTheme="minorHAnsi"/>
          </w:rPr>
          <w:t>Decisión 12.46</w:t>
        </w:r>
      </w:hyperlink>
      <w:r w:rsidRPr="00306E74">
        <w:rPr>
          <w:rFonts w:eastAsiaTheme="minorHAnsi"/>
        </w:rPr>
        <w:t xml:space="preserve">) para que lo pusiese en marcha este grupo. </w:t>
      </w:r>
    </w:p>
    <w:p w:rsidR="00306E74" w:rsidRPr="00306E74" w:rsidRDefault="00306E74" w:rsidP="00306E74">
      <w:pPr>
        <w:pStyle w:val="Firstnumbering1"/>
        <w:rPr>
          <w:rFonts w:eastAsiaTheme="minorHAnsi"/>
        </w:rPr>
      </w:pPr>
    </w:p>
    <w:p w:rsidR="00306E74" w:rsidRPr="00306E74" w:rsidRDefault="00306E74" w:rsidP="00306E74">
      <w:pPr>
        <w:spacing w:after="0" w:line="240" w:lineRule="auto"/>
        <w:ind w:left="567" w:hanging="567"/>
        <w:contextualSpacing/>
        <w:jc w:val="both"/>
        <w:rPr>
          <w:rFonts w:cs="Arial"/>
          <w:szCs w:val="24"/>
          <w:lang w:val="es-PE"/>
        </w:rPr>
      </w:pPr>
      <w:r w:rsidRPr="00306E74">
        <w:rPr>
          <w:rFonts w:cs="Arial"/>
          <w:szCs w:val="24"/>
          <w:lang w:val="es-PE"/>
        </w:rPr>
        <w:t>La misión del Grupo de Trabajo es la de asesorar al Consejo Científico y las Partes sobre nuevas cuestiones que tengan relación con la carne de animales salvajes acuáticos. Este estudio tiene la finalidad de instigar un debate y proporcionar una recomendación preliminar para su evaluación por parte del Consejo Científico acerca de la interacción entre la captura incidental y la caza de carne de animales salvajes acuáticos.</w:t>
      </w:r>
    </w:p>
    <w:p w:rsidR="00306E74" w:rsidRPr="00306E74" w:rsidRDefault="00306E74" w:rsidP="00306E74">
      <w:pPr>
        <w:spacing w:after="0" w:line="240" w:lineRule="auto"/>
        <w:ind w:left="1429"/>
        <w:contextualSpacing/>
        <w:jc w:val="both"/>
        <w:rPr>
          <w:rFonts w:cs="Arial"/>
          <w:lang w:val="es-ES"/>
        </w:rPr>
      </w:pPr>
    </w:p>
    <w:bookmarkEnd w:id="1"/>
    <w:p w:rsidR="00306E74" w:rsidRPr="00306E74" w:rsidRDefault="00306E74" w:rsidP="00306E74">
      <w:pPr>
        <w:spacing w:after="0" w:line="240" w:lineRule="auto"/>
        <w:rPr>
          <w:rFonts w:cs="Arial"/>
          <w:noProof/>
          <w:u w:val="single"/>
          <w:lang w:val="es-ES"/>
        </w:rPr>
      </w:pPr>
      <w:r w:rsidRPr="00306E74">
        <w:rPr>
          <w:rFonts w:cs="Arial"/>
          <w:noProof/>
          <w:u w:val="single"/>
          <w:lang w:val="es-ES"/>
        </w:rPr>
        <w:t>Captura incidental</w:t>
      </w:r>
    </w:p>
    <w:p w:rsidR="00306E74" w:rsidRPr="00306E74" w:rsidRDefault="00306E74" w:rsidP="00306E74">
      <w:pPr>
        <w:spacing w:after="0" w:line="240" w:lineRule="auto"/>
        <w:rPr>
          <w:rFonts w:cs="Arial"/>
          <w:noProof/>
          <w:u w:val="single"/>
          <w:lang w:val="es-ES"/>
        </w:rPr>
      </w:pPr>
    </w:p>
    <w:p w:rsidR="00306E74" w:rsidRPr="00306E74" w:rsidRDefault="00306E74" w:rsidP="00306E74">
      <w:pPr>
        <w:pStyle w:val="Firstnumbering1"/>
        <w:rPr>
          <w:rFonts w:eastAsiaTheme="minorHAnsi"/>
        </w:rPr>
      </w:pPr>
      <w:r w:rsidRPr="00306E74">
        <w:rPr>
          <w:rFonts w:eastAsiaTheme="minorHAnsi"/>
        </w:rPr>
        <w:t>La captura incidental se define como la captura de especies no seleccionadas o de cantidades no deseadas de especies seleccionadas (</w:t>
      </w:r>
      <w:proofErr w:type="spellStart"/>
      <w:r w:rsidRPr="00306E74">
        <w:rPr>
          <w:rFonts w:eastAsiaTheme="minorHAnsi"/>
        </w:rPr>
        <w:t>Lewison</w:t>
      </w:r>
      <w:proofErr w:type="spellEnd"/>
      <w:r w:rsidRPr="00306E74">
        <w:rPr>
          <w:rFonts w:eastAsiaTheme="minorHAnsi"/>
        </w:rPr>
        <w:t xml:space="preserve"> et al., 2004). La captura incidental se encuentra entre las mayores amenazas a las que se enfrentan las aves acuáticas y los mamíferos marinos en todo el mundo, y provoca declives en poblaciones de otra megafauna migratoria, como las de las tortugas y elasmobranquios (</w:t>
      </w:r>
      <w:proofErr w:type="spellStart"/>
      <w:r w:rsidRPr="00306E74">
        <w:rPr>
          <w:rFonts w:eastAsiaTheme="minorHAnsi"/>
        </w:rPr>
        <w:t>Peckahm</w:t>
      </w:r>
      <w:proofErr w:type="spellEnd"/>
      <w:r w:rsidRPr="00306E74">
        <w:rPr>
          <w:rFonts w:eastAsiaTheme="minorHAnsi"/>
        </w:rPr>
        <w:t xml:space="preserve"> et al., 2007; Comisión de los EE. UU. sobre política de océanos, 2004; </w:t>
      </w:r>
      <w:proofErr w:type="spellStart"/>
      <w:r w:rsidRPr="00306E74">
        <w:rPr>
          <w:rFonts w:eastAsiaTheme="minorHAnsi"/>
        </w:rPr>
        <w:t>Read</w:t>
      </w:r>
      <w:proofErr w:type="spellEnd"/>
      <w:r w:rsidRPr="00306E74">
        <w:rPr>
          <w:rFonts w:eastAsiaTheme="minorHAnsi"/>
        </w:rPr>
        <w:t xml:space="preserve"> et al., 2006; Phillips et al., 2016). La mortalidad por captura incidental en pesquerías a pequeña escala, incluidas las pesquerías artesanales, tradicionales y de subsistencia, puede situarse entre las mayores amenazas actuales a las que se enfrenta la megafauna acuática, ya que las especies migratorias frecuentan las áreas costeras intensivas que se solapan con las pesquerías a pequeña escala o artesanales (James et al., 2005). </w:t>
      </w:r>
    </w:p>
    <w:p w:rsidR="00306E74" w:rsidRPr="00306E74" w:rsidRDefault="00306E74" w:rsidP="00306E74">
      <w:pPr>
        <w:spacing w:after="0" w:line="240" w:lineRule="auto"/>
        <w:ind w:left="540"/>
        <w:contextualSpacing/>
        <w:jc w:val="both"/>
        <w:rPr>
          <w:rFonts w:cs="Arial"/>
          <w:lang w:val="es-ES"/>
        </w:rPr>
      </w:pPr>
    </w:p>
    <w:p w:rsidR="00306E74" w:rsidRPr="00306E74" w:rsidRDefault="00306E74" w:rsidP="00306E74">
      <w:pPr>
        <w:pStyle w:val="Firstnumbering1"/>
        <w:rPr>
          <w:rFonts w:eastAsiaTheme="minorHAnsi"/>
        </w:rPr>
      </w:pPr>
      <w:r w:rsidRPr="00306E74">
        <w:rPr>
          <w:rFonts w:eastAsiaTheme="minorHAnsi"/>
        </w:rPr>
        <w:t>El efecto de la captura incidental en pesquerías de agua dulce en todo el mundo se ha ignorado aún más que el de las pesquerías costeras, a pesar de haber provocado impactos perjudiciales para algunas especies como los manatíes africanos (</w:t>
      </w:r>
      <w:proofErr w:type="spellStart"/>
      <w:r w:rsidRPr="00306E74">
        <w:rPr>
          <w:rFonts w:eastAsiaTheme="minorHAnsi"/>
        </w:rPr>
        <w:t>Raby</w:t>
      </w:r>
      <w:proofErr w:type="spellEnd"/>
      <w:r w:rsidRPr="00306E74">
        <w:rPr>
          <w:rFonts w:eastAsiaTheme="minorHAnsi"/>
        </w:rPr>
        <w:t xml:space="preserve"> et al., 2011; </w:t>
      </w:r>
      <w:proofErr w:type="spellStart"/>
      <w:r w:rsidRPr="00306E74">
        <w:rPr>
          <w:rFonts w:eastAsiaTheme="minorHAnsi"/>
        </w:rPr>
        <w:t>Mayaka</w:t>
      </w:r>
      <w:proofErr w:type="spellEnd"/>
      <w:r w:rsidRPr="00306E74">
        <w:rPr>
          <w:rFonts w:eastAsiaTheme="minorHAnsi"/>
        </w:rPr>
        <w:t xml:space="preserve"> et al., 2015). La mayoría de la captura incidental en agua dulce continental ocurre en países en desarrollo. Según unas estadísticas, más del 90 % de la captura incidental en agua dulce tenía lugar en Asia y África (</w:t>
      </w:r>
      <w:proofErr w:type="spellStart"/>
      <w:r w:rsidRPr="00306E74">
        <w:rPr>
          <w:rFonts w:eastAsiaTheme="minorHAnsi"/>
        </w:rPr>
        <w:t>Raby</w:t>
      </w:r>
      <w:proofErr w:type="spellEnd"/>
      <w:r w:rsidRPr="00306E74">
        <w:rPr>
          <w:rFonts w:eastAsiaTheme="minorHAnsi"/>
        </w:rPr>
        <w:t xml:space="preserve"> et al., 2011). Hasta la fecha, sin embargo, las evaluaciones de la captura incidental y los procesos de mitigación se han centrado principalmente en las pesquerías marinas industriales, mientras que a las pesquerías a pequeña escala se les suele prestar poca atención por parte de las autoridades nacionales e internacionales (</w:t>
      </w:r>
      <w:proofErr w:type="spellStart"/>
      <w:r w:rsidRPr="00306E74">
        <w:rPr>
          <w:rFonts w:eastAsiaTheme="minorHAnsi"/>
        </w:rPr>
        <w:t>Lewison</w:t>
      </w:r>
      <w:proofErr w:type="spellEnd"/>
      <w:r w:rsidRPr="00306E74">
        <w:rPr>
          <w:rFonts w:eastAsiaTheme="minorHAnsi"/>
        </w:rPr>
        <w:t xml:space="preserve"> et al., 2004; </w:t>
      </w:r>
      <w:proofErr w:type="spellStart"/>
      <w:r w:rsidRPr="00306E74">
        <w:rPr>
          <w:rFonts w:eastAsiaTheme="minorHAnsi"/>
        </w:rPr>
        <w:t>Lewison</w:t>
      </w:r>
      <w:proofErr w:type="spellEnd"/>
      <w:r w:rsidRPr="00306E74">
        <w:rPr>
          <w:rFonts w:eastAsiaTheme="minorHAnsi"/>
        </w:rPr>
        <w:t xml:space="preserve"> &amp; Crowder, 2007). Como resultado, tanto los esfuerzos de pesca como la captura incidental de estas pesquerías no se conocen en gran medida o se han centrado principalmente en aves acuáticas. Además, las pesquerías a pequeña escala están sujetas a la pesca ilegal, no reglamentada o no denunciadas (IUU) (</w:t>
      </w:r>
      <w:proofErr w:type="spellStart"/>
      <w:r w:rsidRPr="00306E74">
        <w:rPr>
          <w:rFonts w:eastAsiaTheme="minorHAnsi"/>
        </w:rPr>
        <w:t>Panayotou</w:t>
      </w:r>
      <w:proofErr w:type="spellEnd"/>
      <w:r w:rsidRPr="00306E74">
        <w:rPr>
          <w:rFonts w:eastAsiaTheme="minorHAnsi"/>
        </w:rPr>
        <w:t xml:space="preserve">, 1982; Pauly, 2006), lo que impide aún más comprender los impactos de las pesquerías sobre la megafauna </w:t>
      </w:r>
      <w:r w:rsidRPr="00306E74">
        <w:rPr>
          <w:rFonts w:eastAsiaTheme="minorHAnsi"/>
        </w:rPr>
        <w:lastRenderedPageBreak/>
        <w:t xml:space="preserve">migratoria en aguas costeras. </w:t>
      </w:r>
    </w:p>
    <w:p w:rsidR="00306E74" w:rsidRPr="00306E74" w:rsidRDefault="00306E74" w:rsidP="00306E74">
      <w:pPr>
        <w:spacing w:after="0" w:line="240" w:lineRule="auto"/>
        <w:ind w:left="360"/>
        <w:jc w:val="both"/>
        <w:rPr>
          <w:rFonts w:cs="Arial"/>
          <w:bCs/>
          <w:u w:val="single"/>
          <w:lang w:val="es-ES"/>
        </w:rPr>
      </w:pPr>
    </w:p>
    <w:p w:rsidR="00306E74" w:rsidRPr="00306E74" w:rsidRDefault="00306E74" w:rsidP="00306E74">
      <w:pPr>
        <w:spacing w:after="0" w:line="240" w:lineRule="auto"/>
        <w:jc w:val="both"/>
        <w:rPr>
          <w:rFonts w:cs="Arial"/>
          <w:noProof/>
          <w:u w:val="single"/>
          <w:lang w:val="es-ES"/>
        </w:rPr>
      </w:pPr>
      <w:r w:rsidRPr="00306E74">
        <w:rPr>
          <w:rFonts w:cs="Arial"/>
          <w:noProof/>
          <w:u w:val="single"/>
          <w:lang w:val="es-ES"/>
        </w:rPr>
        <w:t>Carne de animales salvajes acuáticos y captura incidental</w:t>
      </w:r>
    </w:p>
    <w:p w:rsidR="00306E74" w:rsidRPr="00306E74" w:rsidRDefault="00306E74" w:rsidP="00306E74">
      <w:pPr>
        <w:spacing w:after="0" w:line="240" w:lineRule="auto"/>
        <w:jc w:val="both"/>
        <w:rPr>
          <w:rFonts w:cs="Arial"/>
          <w:lang w:val="es-ES"/>
        </w:rPr>
      </w:pPr>
    </w:p>
    <w:p w:rsidR="00306E74" w:rsidRPr="00306E74" w:rsidRDefault="00306E74" w:rsidP="00306E74">
      <w:pPr>
        <w:pStyle w:val="Firstnumbering1"/>
        <w:rPr>
          <w:rFonts w:eastAsiaTheme="minorHAnsi"/>
        </w:rPr>
      </w:pPr>
      <w:r w:rsidRPr="00306E74">
        <w:rPr>
          <w:rFonts w:eastAsiaTheme="minorHAnsi"/>
        </w:rPr>
        <w:t xml:space="preserve">En pesquerías comerciales o industriales, se suele descartar la captura incidental, a excepción de los tiburones. La captura incidental en pesquerías a pequeña escala o artesanales se suele contener. Por ejemplo, se suele matar mediante captura incidental a una amplia gama de pequeños cetáceos (p. ej., </w:t>
      </w:r>
      <w:proofErr w:type="spellStart"/>
      <w:r w:rsidRPr="00306E74">
        <w:rPr>
          <w:rFonts w:eastAsiaTheme="minorHAnsi"/>
          <w:i/>
        </w:rPr>
        <w:t>Stenella</w:t>
      </w:r>
      <w:proofErr w:type="spellEnd"/>
      <w:r w:rsidRPr="00306E74">
        <w:rPr>
          <w:rFonts w:eastAsiaTheme="minorHAnsi"/>
        </w:rPr>
        <w:t xml:space="preserve"> </w:t>
      </w:r>
      <w:proofErr w:type="spellStart"/>
      <w:r w:rsidRPr="00306E74">
        <w:rPr>
          <w:rFonts w:eastAsiaTheme="minorHAnsi"/>
        </w:rPr>
        <w:t>spp</w:t>
      </w:r>
      <w:proofErr w:type="spellEnd"/>
      <w:r w:rsidRPr="00306E74">
        <w:rPr>
          <w:rFonts w:eastAsiaTheme="minorHAnsi"/>
        </w:rPr>
        <w:t xml:space="preserve">., </w:t>
      </w:r>
      <w:proofErr w:type="spellStart"/>
      <w:r w:rsidRPr="00306E74">
        <w:rPr>
          <w:rFonts w:eastAsiaTheme="minorHAnsi"/>
          <w:i/>
        </w:rPr>
        <w:t>Tursiops</w:t>
      </w:r>
      <w:proofErr w:type="spellEnd"/>
      <w:r w:rsidRPr="00306E74">
        <w:rPr>
          <w:rFonts w:eastAsiaTheme="minorHAnsi"/>
          <w:i/>
        </w:rPr>
        <w:t xml:space="preserve"> </w:t>
      </w:r>
      <w:proofErr w:type="spellStart"/>
      <w:r w:rsidRPr="00306E74">
        <w:rPr>
          <w:rFonts w:eastAsiaTheme="minorHAnsi"/>
          <w:i/>
        </w:rPr>
        <w:t>truncatus</w:t>
      </w:r>
      <w:proofErr w:type="spellEnd"/>
      <w:r w:rsidRPr="00306E74">
        <w:rPr>
          <w:rFonts w:eastAsiaTheme="minorHAnsi"/>
        </w:rPr>
        <w:t>), albatros de las Galápagos (</w:t>
      </w:r>
      <w:proofErr w:type="spellStart"/>
      <w:r w:rsidRPr="00306E74">
        <w:rPr>
          <w:rFonts w:eastAsiaTheme="minorHAnsi"/>
          <w:i/>
        </w:rPr>
        <w:t>Phoebastria</w:t>
      </w:r>
      <w:proofErr w:type="spellEnd"/>
      <w:r w:rsidRPr="00306E74">
        <w:rPr>
          <w:rFonts w:eastAsiaTheme="minorHAnsi"/>
          <w:i/>
        </w:rPr>
        <w:t xml:space="preserve"> </w:t>
      </w:r>
      <w:proofErr w:type="spellStart"/>
      <w:r w:rsidRPr="00306E74">
        <w:rPr>
          <w:rFonts w:eastAsiaTheme="minorHAnsi"/>
          <w:i/>
        </w:rPr>
        <w:t>irrorata</w:t>
      </w:r>
      <w:proofErr w:type="spellEnd"/>
      <w:r w:rsidRPr="00306E74">
        <w:rPr>
          <w:rFonts w:eastAsiaTheme="minorHAnsi"/>
        </w:rPr>
        <w:t>) tortugas bobas (</w:t>
      </w:r>
      <w:proofErr w:type="spellStart"/>
      <w:r w:rsidRPr="00306E74">
        <w:rPr>
          <w:rFonts w:eastAsiaTheme="minorHAnsi"/>
          <w:i/>
        </w:rPr>
        <w:t>Caretta</w:t>
      </w:r>
      <w:proofErr w:type="spellEnd"/>
      <w:r w:rsidRPr="00306E74">
        <w:rPr>
          <w:rFonts w:eastAsiaTheme="minorHAnsi"/>
          <w:i/>
        </w:rPr>
        <w:t xml:space="preserve"> </w:t>
      </w:r>
      <w:proofErr w:type="spellStart"/>
      <w:r w:rsidRPr="00306E74">
        <w:rPr>
          <w:rFonts w:eastAsiaTheme="minorHAnsi"/>
          <w:i/>
        </w:rPr>
        <w:t>caretta</w:t>
      </w:r>
      <w:proofErr w:type="spellEnd"/>
      <w:r w:rsidRPr="00306E74">
        <w:rPr>
          <w:rFonts w:eastAsiaTheme="minorHAnsi"/>
        </w:rPr>
        <w:t>), y varios tiburones martillo (</w:t>
      </w:r>
      <w:proofErr w:type="spellStart"/>
      <w:r w:rsidRPr="00306E74">
        <w:rPr>
          <w:rFonts w:eastAsiaTheme="minorHAnsi"/>
          <w:i/>
        </w:rPr>
        <w:t>Sphyrna</w:t>
      </w:r>
      <w:r w:rsidRPr="00306E74">
        <w:rPr>
          <w:rFonts w:eastAsiaTheme="minorHAnsi"/>
        </w:rPr>
        <w:t>spp</w:t>
      </w:r>
      <w:proofErr w:type="spellEnd"/>
      <w:r w:rsidRPr="00306E74">
        <w:rPr>
          <w:rFonts w:eastAsiaTheme="minorHAnsi"/>
        </w:rPr>
        <w:t>.), que se utilizan como carne de animales salvajes acuáticos (</w:t>
      </w:r>
      <w:proofErr w:type="spellStart"/>
      <w:r w:rsidRPr="00306E74">
        <w:rPr>
          <w:rFonts w:eastAsiaTheme="minorHAnsi"/>
        </w:rPr>
        <w:t>Peckham</w:t>
      </w:r>
      <w:proofErr w:type="spellEnd"/>
      <w:r w:rsidRPr="00306E74">
        <w:rPr>
          <w:rFonts w:eastAsiaTheme="minorHAnsi"/>
        </w:rPr>
        <w:t xml:space="preserve"> et al., 2007; </w:t>
      </w:r>
      <w:proofErr w:type="spellStart"/>
      <w:r w:rsidRPr="00306E74">
        <w:rPr>
          <w:rFonts w:eastAsiaTheme="minorHAnsi"/>
        </w:rPr>
        <w:t>Mangel</w:t>
      </w:r>
      <w:proofErr w:type="spellEnd"/>
      <w:r w:rsidRPr="00306E74">
        <w:rPr>
          <w:rFonts w:eastAsiaTheme="minorHAnsi"/>
        </w:rPr>
        <w:t xml:space="preserve"> et al., 2010; Alfaro-</w:t>
      </w:r>
      <w:proofErr w:type="spellStart"/>
      <w:r w:rsidRPr="00306E74">
        <w:rPr>
          <w:rFonts w:eastAsiaTheme="minorHAnsi"/>
        </w:rPr>
        <w:t>Shigueto</w:t>
      </w:r>
      <w:proofErr w:type="spellEnd"/>
      <w:r w:rsidRPr="00306E74">
        <w:rPr>
          <w:rFonts w:eastAsiaTheme="minorHAnsi"/>
        </w:rPr>
        <w:t xml:space="preserve"> 2011; </w:t>
      </w:r>
      <w:proofErr w:type="spellStart"/>
      <w:r w:rsidRPr="00306E74">
        <w:rPr>
          <w:rFonts w:eastAsiaTheme="minorHAnsi"/>
        </w:rPr>
        <w:t>Glaus</w:t>
      </w:r>
      <w:proofErr w:type="spellEnd"/>
      <w:r w:rsidRPr="00306E74">
        <w:rPr>
          <w:rFonts w:eastAsiaTheme="minorHAnsi"/>
        </w:rPr>
        <w:t xml:space="preserve"> et al., 2015). Los seres humanos han cazado animales silvestres durante más de 100.000 años. Sin embargo, el consumo y el crecimiento de la población humana ha aumentado considerablemente durante las últimas décadas (</w:t>
      </w:r>
      <w:proofErr w:type="spellStart"/>
      <w:r w:rsidRPr="00306E74">
        <w:rPr>
          <w:rFonts w:eastAsiaTheme="minorHAnsi"/>
        </w:rPr>
        <w:t>Milner-Gulland</w:t>
      </w:r>
      <w:proofErr w:type="spellEnd"/>
      <w:r w:rsidRPr="00306E74">
        <w:rPr>
          <w:rFonts w:eastAsiaTheme="minorHAnsi"/>
        </w:rPr>
        <w:t xml:space="preserve"> &amp; Bennett, 2003). A modo de ejemplo ilustrativo, los informes estiman que la caza de carne de animales salvajes en África Central se sitúa en torno a 3,4 millones de toneladas al año (Wilkie &amp; </w:t>
      </w:r>
      <w:proofErr w:type="spellStart"/>
      <w:r w:rsidRPr="00306E74">
        <w:rPr>
          <w:rFonts w:eastAsiaTheme="minorHAnsi"/>
        </w:rPr>
        <w:t>Carpenter</w:t>
      </w:r>
      <w:proofErr w:type="spellEnd"/>
      <w:r w:rsidRPr="00306E74">
        <w:rPr>
          <w:rFonts w:eastAsiaTheme="minorHAnsi"/>
        </w:rPr>
        <w:t>, 1999; Fa et al., 2001). Se debería destacar que la demanda de carne de animales salvajes acuáticos, tanto para su consumo como su comercio, pueden convertir la captura incidental que ocurre de manera oportunista en un componente deseable de la captura que deba mantenerse porque constituye una valiosa fuente de alimentos e ingresos (</w:t>
      </w:r>
      <w:bookmarkStart w:id="2" w:name="_Hlk10552978"/>
      <w:r w:rsidRPr="00306E74">
        <w:rPr>
          <w:rFonts w:eastAsiaTheme="minorHAnsi"/>
        </w:rPr>
        <w:t>White et al., 2006</w:t>
      </w:r>
      <w:bookmarkEnd w:id="2"/>
      <w:r w:rsidRPr="00306E74">
        <w:rPr>
          <w:rFonts w:eastAsiaTheme="minorHAnsi"/>
        </w:rPr>
        <w:t>). Por lo tanto, lo que anteriormente se consideraba como captura incidental puede evolucionar hasta convertirse en capturas directas porque se busque de manera intencionada.</w:t>
      </w:r>
    </w:p>
    <w:p w:rsidR="00306E74" w:rsidRPr="00306E74" w:rsidRDefault="00306E74" w:rsidP="00306E74">
      <w:pPr>
        <w:spacing w:after="0" w:line="240" w:lineRule="auto"/>
        <w:ind w:left="504"/>
        <w:contextualSpacing/>
        <w:jc w:val="both"/>
        <w:rPr>
          <w:rFonts w:cs="Arial"/>
          <w:lang w:val="es-ES"/>
        </w:rPr>
      </w:pPr>
    </w:p>
    <w:p w:rsidR="00306E74" w:rsidRPr="00306E74" w:rsidRDefault="00306E74" w:rsidP="00306E74">
      <w:pPr>
        <w:pStyle w:val="Firstnumbering1"/>
        <w:rPr>
          <w:rFonts w:eastAsiaTheme="minorHAnsi"/>
        </w:rPr>
      </w:pPr>
      <w:r w:rsidRPr="00306E74">
        <w:rPr>
          <w:rFonts w:eastAsiaTheme="minorHAnsi"/>
        </w:rPr>
        <w:t xml:space="preserve">La captura incidental registrada puede ser, de hecho, una captura directa.  Sin embargo, a menudo es complicado distinguirlas, y estas pueden cambiar cada día (Temple et al., 2018). Declarar de manera errónea la captura directa como incidental puede generar obstáculos para la gestión. Una de las razones de ello es que la captura incidental parece ser difícil de prevenir; una percepción que obstaculiza la voluntad de personas y organismos de gestión a actuar para mitigar la captura incidental. Asimismo, y a pesar de que existan estudios sobre técnicas de pesca que reducen la captura incidental, estos tipos de conocimientos o de herramientas no se encuentran a menudo disponibles o no son viables para los pescadores a pequeña escala. Otro aspecto de la pesca incidental que se debe considerar es lo que se denomina captura incidental «críptica», es decir, animales que se matan o resultan heridos de gravedad por una actividad pesquera, pero que se pierden antes de arrastrar las redes o que no se suben a bordo del barco pesquero y, por lo tanto, no se incluyen entre las capturas de las que informan los observadores de pesquerías. Sucesos como estos constituyen un componente importante de la captura incidental de las grandes ballenas, aunque los mamíferos marinos más pequeños, las aves acuáticas, las tortugas y los peces descartados también resultan a menudo heridos y mueren tras la captura, la huida o la liberación de las operaciones de pesca (Davis ,2002; Campana et al., 2009; </w:t>
      </w:r>
      <w:proofErr w:type="spellStart"/>
      <w:r w:rsidRPr="00306E74">
        <w:rPr>
          <w:rFonts w:eastAsiaTheme="minorHAnsi"/>
        </w:rPr>
        <w:t>Debski</w:t>
      </w:r>
      <w:proofErr w:type="spellEnd"/>
      <w:r w:rsidRPr="00306E74">
        <w:rPr>
          <w:rFonts w:eastAsiaTheme="minorHAnsi"/>
        </w:rPr>
        <w:t xml:space="preserve"> &amp; Pierre, 2014)</w:t>
      </w:r>
      <w:bookmarkStart w:id="3" w:name="article1.body1.sec1.p2"/>
      <w:bookmarkEnd w:id="3"/>
    </w:p>
    <w:p w:rsidR="00306E74" w:rsidRPr="00306E74" w:rsidRDefault="00306E74" w:rsidP="00306E74">
      <w:pPr>
        <w:adjustRightInd w:val="0"/>
        <w:spacing w:after="0" w:line="240" w:lineRule="auto"/>
        <w:ind w:left="360"/>
        <w:jc w:val="both"/>
        <w:rPr>
          <w:rFonts w:cs="Arial"/>
          <w:u w:val="single"/>
          <w:lang w:val="es-ES"/>
        </w:rPr>
      </w:pPr>
    </w:p>
    <w:p w:rsidR="00306E74" w:rsidRPr="00306E74" w:rsidRDefault="00306E74" w:rsidP="00306E74">
      <w:pPr>
        <w:spacing w:after="0" w:line="240" w:lineRule="auto"/>
        <w:jc w:val="both"/>
        <w:rPr>
          <w:rFonts w:cs="Arial"/>
          <w:noProof/>
          <w:u w:val="single"/>
          <w:lang w:val="es-ES"/>
        </w:rPr>
      </w:pPr>
      <w:r w:rsidRPr="00306E74">
        <w:rPr>
          <w:rFonts w:cs="Arial"/>
          <w:noProof/>
          <w:u w:val="single"/>
          <w:lang w:val="es-ES"/>
        </w:rPr>
        <w:t>Especies que figuran en la lista de la CMS afectadas</w:t>
      </w:r>
    </w:p>
    <w:p w:rsidR="00306E74" w:rsidRPr="00306E74" w:rsidRDefault="00306E74" w:rsidP="00306E74">
      <w:pPr>
        <w:adjustRightInd w:val="0"/>
        <w:spacing w:after="0" w:line="240" w:lineRule="auto"/>
        <w:ind w:left="360"/>
        <w:jc w:val="both"/>
        <w:rPr>
          <w:rFonts w:cs="Arial"/>
          <w:bCs/>
          <w:u w:val="single"/>
          <w:lang w:val="es-ES"/>
        </w:rPr>
      </w:pPr>
    </w:p>
    <w:p w:rsidR="00306E74" w:rsidRPr="00306E74" w:rsidRDefault="00306E74" w:rsidP="00306E74">
      <w:pPr>
        <w:pStyle w:val="Firstnumbering1"/>
      </w:pPr>
      <w:r w:rsidRPr="00306E74">
        <w:t>Algunas de las especies afectadas figuran en los apéndices de la CMS. Los pequeños cetáceos, reptiles, aves acuáticas y especies de elasmobranquios que se sabe que se han usado o se podrían haber usado como carne de animales salvajes acuáticos derivado de la captura incidental (Alfaro-</w:t>
      </w:r>
      <w:proofErr w:type="spellStart"/>
      <w:r w:rsidRPr="00306E74">
        <w:t>Shigueto</w:t>
      </w:r>
      <w:proofErr w:type="spellEnd"/>
      <w:r w:rsidRPr="00306E74">
        <w:t xml:space="preserve"> et al., 2011; </w:t>
      </w:r>
      <w:proofErr w:type="spellStart"/>
      <w:r w:rsidRPr="00306E74">
        <w:t>Glaus</w:t>
      </w:r>
      <w:proofErr w:type="spellEnd"/>
      <w:r w:rsidRPr="00306E74">
        <w:t xml:space="preserve"> et al., 2015; Alves &amp; van </w:t>
      </w:r>
      <w:proofErr w:type="spellStart"/>
      <w:r w:rsidRPr="00306E74">
        <w:t>Vliet</w:t>
      </w:r>
      <w:proofErr w:type="spellEnd"/>
      <w:r w:rsidRPr="00306E74">
        <w:t xml:space="preserve">, 2018), así como su estado de protección en los apéndices de la CMS (Apéndice I y II) se incluyen a continuación. Nota: Esta lista no está completa y solo incluye a aquellas especies cuyo uso como carne de animales salvajes acuáticos derivada de la captura incidental esté documentado. Además, no se encontró ningún informe para algunos países y, dado que el uso de mamíferos marinos es ilegal en muchos países, la caza de estas especies probablemente se oculte y, por lo tanto, los números no sean precisos. De esta manera, se recomienda que se adopte un enfoque preventivo y no se asuma que la captura incidental y su uso como carne de animales salvajes acuáticos no exista. Sin embargo, es necesario destacar que, de todos los reptiles, las tortugas han sido las más gravemente explotadas por los seres humanos para comida, situación que se ha atribuido directamente al estado de </w:t>
      </w:r>
      <w:r w:rsidRPr="00306E74">
        <w:lastRenderedPageBreak/>
        <w:t>conservación precario de muchas de estas especies (</w:t>
      </w:r>
      <w:proofErr w:type="spellStart"/>
      <w:r w:rsidRPr="00306E74">
        <w:t>Klemens</w:t>
      </w:r>
      <w:proofErr w:type="spellEnd"/>
      <w:r w:rsidRPr="00306E74">
        <w:t xml:space="preserve"> &amp; </w:t>
      </w:r>
      <w:proofErr w:type="spellStart"/>
      <w:r w:rsidRPr="00306E74">
        <w:t>Thorbjarnarson</w:t>
      </w:r>
      <w:proofErr w:type="spellEnd"/>
      <w:r w:rsidRPr="00306E74">
        <w:t xml:space="preserve">, 1995; Mancini &amp; Koch, 2009; Hoffmann &amp; </w:t>
      </w:r>
      <w:proofErr w:type="spellStart"/>
      <w:r w:rsidRPr="00306E74">
        <w:t>Cawthorn</w:t>
      </w:r>
      <w:proofErr w:type="spellEnd"/>
      <w:r w:rsidRPr="00306E74">
        <w:t>, 2012), razón por la que se pueden encontrar en la siguiente lista las ocho tortugas que figuran en la lista del Apéndice I de la CMS.</w:t>
      </w:r>
    </w:p>
    <w:p w:rsidR="00306E74" w:rsidRPr="00306E74" w:rsidRDefault="00306E74" w:rsidP="00306E74">
      <w:pPr>
        <w:suppressAutoHyphens/>
        <w:autoSpaceDE w:val="0"/>
        <w:autoSpaceDN w:val="0"/>
        <w:adjustRightInd w:val="0"/>
        <w:spacing w:after="0" w:line="240" w:lineRule="auto"/>
        <w:jc w:val="both"/>
        <w:rPr>
          <w:rFonts w:eastAsia="Times New Roman" w:cs="Arial"/>
          <w:lang w:val="es-ES"/>
        </w:rPr>
      </w:pPr>
    </w:p>
    <w:p w:rsidR="00306E74" w:rsidRPr="00306E74" w:rsidRDefault="00306E74" w:rsidP="00306E74">
      <w:pPr>
        <w:suppressAutoHyphens/>
        <w:autoSpaceDE w:val="0"/>
        <w:autoSpaceDN w:val="0"/>
        <w:adjustRightInd w:val="0"/>
        <w:spacing w:after="0" w:line="240" w:lineRule="auto"/>
        <w:ind w:left="360"/>
        <w:jc w:val="both"/>
        <w:rPr>
          <w:rFonts w:cs="Arial"/>
          <w:b/>
          <w:color w:val="000000"/>
          <w:lang w:val="en-GB"/>
        </w:rPr>
      </w:pPr>
      <w:r w:rsidRPr="00306E74">
        <w:rPr>
          <w:rFonts w:cs="Arial"/>
          <w:b/>
          <w:color w:val="000000"/>
          <w:lang w:val="en-GB"/>
        </w:rPr>
        <w:t>Appendix I</w:t>
      </w:r>
    </w:p>
    <w:p w:rsidR="00306E74" w:rsidRPr="00306E74" w:rsidRDefault="00306E74" w:rsidP="00306E74">
      <w:pPr>
        <w:suppressAutoHyphens/>
        <w:autoSpaceDE w:val="0"/>
        <w:autoSpaceDN w:val="0"/>
        <w:adjustRightInd w:val="0"/>
        <w:spacing w:after="0" w:line="240" w:lineRule="auto"/>
        <w:ind w:left="360"/>
        <w:jc w:val="both"/>
        <w:rPr>
          <w:rFonts w:cs="Arial"/>
          <w:b/>
          <w:color w:val="000000"/>
          <w:lang w:val="en-GB"/>
        </w:rPr>
      </w:pPr>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lang w:val="en-GB"/>
        </w:rPr>
      </w:pPr>
      <w:r w:rsidRPr="00306E74">
        <w:rPr>
          <w:rFonts w:cs="Arial"/>
          <w:color w:val="000000"/>
        </w:rPr>
        <w:t>SIRENIOS Y CETÁCEOS</w:t>
      </w:r>
      <w:r w:rsidRPr="00306E74">
        <w:rPr>
          <w:rFonts w:cs="Arial"/>
          <w:color w:val="000000"/>
          <w:lang w:val="en-GB"/>
        </w:rPr>
        <w:tab/>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r w:rsidRPr="00306E74">
        <w:rPr>
          <w:rFonts w:cs="Arial"/>
          <w:i/>
          <w:color w:val="000000"/>
        </w:rPr>
        <w:t>Trichechus senegalensis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r w:rsidRPr="00306E74">
        <w:rPr>
          <w:rFonts w:cs="Arial"/>
          <w:i/>
          <w:color w:val="000000"/>
        </w:rPr>
        <w:t xml:space="preserve">Tursiops </w:t>
      </w:r>
      <w:proofErr w:type="spellStart"/>
      <w:r w:rsidRPr="00306E74">
        <w:rPr>
          <w:rFonts w:cs="Arial"/>
          <w:i/>
          <w:color w:val="000000"/>
        </w:rPr>
        <w:t>truncatus</w:t>
      </w:r>
      <w:proofErr w:type="spellEnd"/>
      <w:r w:rsidRPr="00306E74">
        <w:rPr>
          <w:rFonts w:cs="Arial"/>
          <w:i/>
          <w:color w:val="000000"/>
        </w:rPr>
        <w:t xml:space="preserve"> </w:t>
      </w:r>
      <w:proofErr w:type="spellStart"/>
      <w:r w:rsidRPr="00306E74">
        <w:rPr>
          <w:rFonts w:cs="Arial"/>
          <w:i/>
          <w:color w:val="000000"/>
        </w:rPr>
        <w:t>ponticus</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r w:rsidRPr="00306E74">
        <w:rPr>
          <w:rFonts w:cs="Arial"/>
          <w:i/>
          <w:color w:val="000000"/>
        </w:rPr>
        <w:t xml:space="preserve">Sousa </w:t>
      </w:r>
      <w:proofErr w:type="spellStart"/>
      <w:r w:rsidRPr="00306E74">
        <w:rPr>
          <w:rFonts w:cs="Arial"/>
          <w:i/>
          <w:color w:val="000000"/>
        </w:rPr>
        <w:t>teuszii</w:t>
      </w:r>
      <w:proofErr w:type="spellEnd"/>
      <w:r w:rsidRPr="00306E74">
        <w:rPr>
          <w:rFonts w:cs="Arial"/>
          <w:i/>
          <w:color w:val="000000"/>
        </w:rPr>
        <w:t xml:space="preserve"> </w:t>
      </w:r>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rPr>
      </w:pPr>
      <w:r w:rsidRPr="00306E74">
        <w:rPr>
          <w:rFonts w:cs="Arial"/>
          <w:color w:val="000000"/>
        </w:rPr>
        <w:t>REPTILES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r w:rsidRPr="00306E74">
        <w:rPr>
          <w:rFonts w:cs="Arial"/>
          <w:i/>
          <w:color w:val="000000"/>
        </w:rPr>
        <w:t xml:space="preserve">Caretta </w:t>
      </w:r>
      <w:proofErr w:type="spellStart"/>
      <w:r w:rsidRPr="00306E74">
        <w:rPr>
          <w:rFonts w:cs="Arial"/>
          <w:i/>
          <w:color w:val="000000"/>
        </w:rPr>
        <w:t>caretta</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contextualSpacing/>
        <w:jc w:val="both"/>
        <w:rPr>
          <w:rFonts w:cs="Arial"/>
          <w:color w:val="000000"/>
        </w:rPr>
      </w:pPr>
      <w:r w:rsidRPr="00306E74">
        <w:rPr>
          <w:rFonts w:cs="Arial"/>
          <w:i/>
          <w:iCs/>
          <w:color w:val="000000"/>
        </w:rPr>
        <w:t xml:space="preserve">Chelonia mydas </w:t>
      </w:r>
    </w:p>
    <w:p w:rsidR="00306E74" w:rsidRPr="00306E74" w:rsidRDefault="00306E74" w:rsidP="00306E74">
      <w:pPr>
        <w:numPr>
          <w:ilvl w:val="2"/>
          <w:numId w:val="13"/>
        </w:numPr>
        <w:suppressAutoHyphens/>
        <w:autoSpaceDE w:val="0"/>
        <w:autoSpaceDN w:val="0"/>
        <w:adjustRightInd w:val="0"/>
        <w:spacing w:after="0" w:line="240" w:lineRule="auto"/>
        <w:contextualSpacing/>
        <w:jc w:val="both"/>
        <w:rPr>
          <w:rFonts w:cs="Arial"/>
          <w:color w:val="000000"/>
        </w:rPr>
      </w:pPr>
      <w:r w:rsidRPr="00306E74">
        <w:rPr>
          <w:rFonts w:cs="Arial"/>
          <w:i/>
          <w:iCs/>
          <w:color w:val="000000"/>
        </w:rPr>
        <w:t xml:space="preserve">Dermochelys </w:t>
      </w:r>
      <w:proofErr w:type="spellStart"/>
      <w:r w:rsidRPr="00306E74">
        <w:rPr>
          <w:rFonts w:cs="Arial"/>
          <w:i/>
          <w:iCs/>
          <w:color w:val="000000"/>
        </w:rPr>
        <w:t>coriacea</w:t>
      </w:r>
      <w:proofErr w:type="spellEnd"/>
      <w:r w:rsidRPr="00306E74">
        <w:rPr>
          <w:rFonts w:cs="Arial"/>
          <w:i/>
          <w:iCs/>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contextualSpacing/>
        <w:jc w:val="both"/>
        <w:rPr>
          <w:rFonts w:cs="Arial"/>
          <w:i/>
          <w:iCs/>
          <w:color w:val="000000"/>
        </w:rPr>
      </w:pPr>
      <w:r w:rsidRPr="00306E74">
        <w:rPr>
          <w:rFonts w:cs="Arial"/>
          <w:i/>
          <w:iCs/>
          <w:color w:val="000000"/>
        </w:rPr>
        <w:t xml:space="preserve">Eretmochelys </w:t>
      </w:r>
      <w:proofErr w:type="spellStart"/>
      <w:r w:rsidRPr="00306E74">
        <w:rPr>
          <w:rFonts w:cs="Arial"/>
          <w:i/>
          <w:iCs/>
          <w:color w:val="000000"/>
        </w:rPr>
        <w:t>imbricata</w:t>
      </w:r>
      <w:proofErr w:type="spellEnd"/>
      <w:r w:rsidRPr="00306E74">
        <w:rPr>
          <w:rFonts w:cs="Arial"/>
          <w:i/>
          <w:iCs/>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contextualSpacing/>
        <w:jc w:val="both"/>
        <w:rPr>
          <w:rFonts w:cs="Arial"/>
          <w:i/>
        </w:rPr>
      </w:pPr>
      <w:hyperlink r:id="rId10" w:history="1">
        <w:proofErr w:type="spellStart"/>
        <w:r w:rsidRPr="00306E74">
          <w:rPr>
            <w:rFonts w:cs="Arial"/>
            <w:i/>
            <w:color w:val="0000FF"/>
            <w:u w:val="single"/>
          </w:rPr>
          <w:t>Gavialis</w:t>
        </w:r>
        <w:proofErr w:type="spellEnd"/>
        <w:r w:rsidRPr="00306E74">
          <w:rPr>
            <w:rFonts w:cs="Arial"/>
            <w:i/>
            <w:color w:val="0000FF"/>
            <w:u w:val="single"/>
          </w:rPr>
          <w:t xml:space="preserve"> </w:t>
        </w:r>
        <w:proofErr w:type="spellStart"/>
        <w:r w:rsidRPr="00306E74">
          <w:rPr>
            <w:rFonts w:cs="Arial"/>
            <w:i/>
            <w:color w:val="0000FF"/>
            <w:u w:val="single"/>
          </w:rPr>
          <w:t>gangeticus</w:t>
        </w:r>
        <w:proofErr w:type="spellEnd"/>
      </w:hyperlink>
    </w:p>
    <w:p w:rsidR="00306E74" w:rsidRPr="00306E74" w:rsidRDefault="00306E74" w:rsidP="00306E74">
      <w:pPr>
        <w:numPr>
          <w:ilvl w:val="2"/>
          <w:numId w:val="13"/>
        </w:numPr>
        <w:suppressAutoHyphens/>
        <w:autoSpaceDE w:val="0"/>
        <w:autoSpaceDN w:val="0"/>
        <w:adjustRightInd w:val="0"/>
        <w:spacing w:after="0" w:line="240" w:lineRule="auto"/>
        <w:contextualSpacing/>
        <w:jc w:val="both"/>
        <w:rPr>
          <w:rFonts w:cs="Arial"/>
          <w:i/>
        </w:rPr>
      </w:pPr>
      <w:proofErr w:type="spellStart"/>
      <w:r w:rsidRPr="00306E74">
        <w:rPr>
          <w:rFonts w:cs="Arial"/>
          <w:i/>
          <w:iCs/>
        </w:rPr>
        <w:t>Lepidochelys</w:t>
      </w:r>
      <w:proofErr w:type="spellEnd"/>
      <w:r w:rsidRPr="00306E74">
        <w:rPr>
          <w:rFonts w:cs="Arial"/>
          <w:i/>
          <w:iCs/>
        </w:rPr>
        <w:t xml:space="preserve"> kempii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iCs/>
        </w:rPr>
      </w:pPr>
      <w:proofErr w:type="spellStart"/>
      <w:r w:rsidRPr="00306E74">
        <w:rPr>
          <w:rFonts w:cs="Arial"/>
          <w:i/>
          <w:iCs/>
        </w:rPr>
        <w:t>Lepidochelys</w:t>
      </w:r>
      <w:proofErr w:type="spellEnd"/>
      <w:r w:rsidRPr="00306E74">
        <w:rPr>
          <w:rFonts w:cs="Arial"/>
          <w:i/>
          <w:iCs/>
        </w:rPr>
        <w:t xml:space="preserve"> </w:t>
      </w:r>
      <w:proofErr w:type="spellStart"/>
      <w:r w:rsidRPr="00306E74">
        <w:rPr>
          <w:rFonts w:cs="Arial"/>
          <w:i/>
          <w:iCs/>
        </w:rPr>
        <w:t>olivacea</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rPr>
      </w:pPr>
      <w:hyperlink r:id="rId11" w:history="1">
        <w:proofErr w:type="spellStart"/>
        <w:r w:rsidRPr="00306E74">
          <w:rPr>
            <w:rFonts w:cs="Arial"/>
            <w:i/>
            <w:u w:val="single"/>
          </w:rPr>
          <w:t>Podocnemis</w:t>
        </w:r>
        <w:proofErr w:type="spellEnd"/>
        <w:r w:rsidRPr="00306E74">
          <w:rPr>
            <w:rFonts w:cs="Arial"/>
            <w:i/>
            <w:u w:val="single"/>
          </w:rPr>
          <w:t xml:space="preserve"> </w:t>
        </w:r>
        <w:proofErr w:type="spellStart"/>
        <w:r w:rsidRPr="00306E74">
          <w:rPr>
            <w:rFonts w:cs="Arial"/>
            <w:i/>
            <w:u w:val="single"/>
          </w:rPr>
          <w:t>expansa</w:t>
        </w:r>
        <w:proofErr w:type="spellEnd"/>
      </w:hyperlink>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rPr>
      </w:pPr>
      <w:r w:rsidRPr="00306E74">
        <w:rPr>
          <w:rFonts w:cs="Arial"/>
          <w:color w:val="000000"/>
        </w:rPr>
        <w:t>ELASMOBRANQUIOS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Pristis</w:t>
      </w:r>
      <w:proofErr w:type="spellEnd"/>
      <w:r w:rsidRPr="00306E74">
        <w:rPr>
          <w:rFonts w:cs="Arial"/>
          <w:i/>
          <w:color w:val="000000"/>
        </w:rPr>
        <w:t xml:space="preserve"> </w:t>
      </w:r>
      <w:proofErr w:type="spellStart"/>
      <w:r w:rsidRPr="00306E74">
        <w:rPr>
          <w:rFonts w:cs="Arial"/>
          <w:i/>
          <w:color w:val="000000"/>
        </w:rPr>
        <w:t>clavata</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Pristis</w:t>
      </w:r>
      <w:proofErr w:type="spellEnd"/>
      <w:r w:rsidRPr="00306E74">
        <w:rPr>
          <w:rFonts w:cs="Arial"/>
          <w:i/>
          <w:color w:val="000000"/>
        </w:rPr>
        <w:t xml:space="preserve"> </w:t>
      </w:r>
      <w:proofErr w:type="spellStart"/>
      <w:r w:rsidRPr="00306E74">
        <w:rPr>
          <w:rFonts w:cs="Arial"/>
          <w:i/>
          <w:color w:val="000000"/>
        </w:rPr>
        <w:t>pectinata</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Pristis</w:t>
      </w:r>
      <w:proofErr w:type="spellEnd"/>
      <w:r w:rsidRPr="00306E74">
        <w:rPr>
          <w:rFonts w:cs="Arial"/>
          <w:i/>
          <w:color w:val="000000"/>
        </w:rPr>
        <w:t xml:space="preserve"> </w:t>
      </w:r>
      <w:proofErr w:type="spellStart"/>
      <w:r w:rsidRPr="00306E74">
        <w:rPr>
          <w:rFonts w:cs="Arial"/>
          <w:i/>
          <w:color w:val="000000"/>
        </w:rPr>
        <w:t>zijsron</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Pristis</w:t>
      </w:r>
      <w:proofErr w:type="spellEnd"/>
      <w:r w:rsidRPr="00306E74">
        <w:rPr>
          <w:rFonts w:cs="Arial"/>
          <w:i/>
          <w:color w:val="000000"/>
        </w:rPr>
        <w:t xml:space="preserve"> </w:t>
      </w:r>
      <w:proofErr w:type="spellStart"/>
      <w:r w:rsidRPr="00306E74">
        <w:rPr>
          <w:rFonts w:cs="Arial"/>
          <w:i/>
          <w:color w:val="000000"/>
        </w:rPr>
        <w:t>pristis</w:t>
      </w:r>
      <w:proofErr w:type="spellEnd"/>
    </w:p>
    <w:p w:rsidR="00306E74" w:rsidRPr="00306E74" w:rsidRDefault="00306E74" w:rsidP="00306E74">
      <w:pPr>
        <w:suppressAutoHyphens/>
        <w:autoSpaceDE w:val="0"/>
        <w:autoSpaceDN w:val="0"/>
        <w:adjustRightInd w:val="0"/>
        <w:spacing w:after="0" w:line="240" w:lineRule="auto"/>
        <w:ind w:left="708" w:hanging="282"/>
        <w:jc w:val="both"/>
        <w:rPr>
          <w:rFonts w:cs="Arial"/>
          <w:b/>
          <w:color w:val="000000"/>
        </w:rPr>
      </w:pPr>
    </w:p>
    <w:p w:rsidR="00306E74" w:rsidRPr="00306E74" w:rsidRDefault="00306E74" w:rsidP="00306E74">
      <w:pPr>
        <w:suppressAutoHyphens/>
        <w:autoSpaceDE w:val="0"/>
        <w:autoSpaceDN w:val="0"/>
        <w:adjustRightInd w:val="0"/>
        <w:spacing w:after="0" w:line="240" w:lineRule="auto"/>
        <w:ind w:left="708" w:hanging="282"/>
        <w:jc w:val="both"/>
        <w:rPr>
          <w:rFonts w:cs="Arial"/>
          <w:b/>
          <w:color w:val="000000"/>
        </w:rPr>
      </w:pPr>
      <w:r w:rsidRPr="00306E74">
        <w:rPr>
          <w:rFonts w:cs="Arial"/>
          <w:b/>
          <w:color w:val="000000"/>
        </w:rPr>
        <w:t>Appendix II</w:t>
      </w:r>
    </w:p>
    <w:p w:rsidR="00306E74" w:rsidRPr="00306E74" w:rsidRDefault="00306E74" w:rsidP="00306E74">
      <w:pPr>
        <w:suppressAutoHyphens/>
        <w:autoSpaceDE w:val="0"/>
        <w:autoSpaceDN w:val="0"/>
        <w:adjustRightInd w:val="0"/>
        <w:spacing w:after="0" w:line="240" w:lineRule="auto"/>
        <w:ind w:left="708" w:hanging="282"/>
        <w:jc w:val="both"/>
        <w:rPr>
          <w:rFonts w:cs="Arial"/>
          <w:b/>
          <w:color w:val="000000"/>
        </w:rPr>
      </w:pPr>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rPr>
      </w:pPr>
      <w:r w:rsidRPr="00306E74">
        <w:rPr>
          <w:rFonts w:cs="Arial"/>
          <w:color w:val="000000"/>
        </w:rPr>
        <w:t>a</w:t>
      </w:r>
      <w:r w:rsidRPr="00306E74">
        <w:rPr>
          <w:rFonts w:cs="Arial"/>
          <w:color w:val="000000"/>
        </w:rPr>
        <w:tab/>
        <w:t>SIRENIOS Y CETÁCEOS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r w:rsidRPr="00306E74">
        <w:rPr>
          <w:rFonts w:cs="Arial"/>
          <w:i/>
          <w:color w:val="000000"/>
        </w:rPr>
        <w:t xml:space="preserve">Dugong </w:t>
      </w:r>
      <w:proofErr w:type="spellStart"/>
      <w:r w:rsidRPr="00306E74">
        <w:rPr>
          <w:rFonts w:cs="Arial"/>
          <w:i/>
          <w:color w:val="000000"/>
        </w:rPr>
        <w:t>dugon</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Lagenorhynchus</w:t>
      </w:r>
      <w:proofErr w:type="spellEnd"/>
      <w:r w:rsidRPr="00306E74">
        <w:rPr>
          <w:rFonts w:cs="Arial"/>
          <w:i/>
          <w:color w:val="000000"/>
        </w:rPr>
        <w:t xml:space="preserve"> obscurus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Lagenorhynchus</w:t>
      </w:r>
      <w:proofErr w:type="spellEnd"/>
      <w:r w:rsidRPr="00306E74">
        <w:rPr>
          <w:rFonts w:cs="Arial"/>
          <w:i/>
          <w:color w:val="000000"/>
        </w:rPr>
        <w:t xml:space="preserve"> </w:t>
      </w:r>
      <w:proofErr w:type="spellStart"/>
      <w:r w:rsidRPr="00306E74">
        <w:rPr>
          <w:rFonts w:cs="Arial"/>
          <w:i/>
          <w:color w:val="000000"/>
        </w:rPr>
        <w:t>australis</w:t>
      </w:r>
      <w:proofErr w:type="spellEnd"/>
      <w:r w:rsidRPr="00306E74">
        <w:rPr>
          <w:rFonts w:cs="Arial"/>
          <w:i/>
          <w:color w:val="000000"/>
        </w:rPr>
        <w:t xml:space="preserve"> </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color w:val="000000"/>
        </w:rPr>
      </w:pPr>
      <w:proofErr w:type="spellStart"/>
      <w:r w:rsidRPr="00306E74">
        <w:rPr>
          <w:rFonts w:cs="Arial"/>
          <w:i/>
          <w:color w:val="000000"/>
        </w:rPr>
        <w:t>Stenella</w:t>
      </w:r>
      <w:proofErr w:type="spellEnd"/>
      <w:r w:rsidRPr="00306E74">
        <w:rPr>
          <w:rFonts w:cs="Arial"/>
          <w:i/>
          <w:color w:val="000000"/>
        </w:rPr>
        <w:t xml:space="preserve"> </w:t>
      </w:r>
      <w:proofErr w:type="spellStart"/>
      <w:r w:rsidRPr="00306E74">
        <w:rPr>
          <w:rFonts w:cs="Arial"/>
          <w:i/>
          <w:color w:val="000000"/>
        </w:rPr>
        <w:t>attenuata</w:t>
      </w:r>
      <w:proofErr w:type="spellEnd"/>
      <w:r w:rsidRPr="00306E74">
        <w:rPr>
          <w:rFonts w:cs="Arial"/>
          <w:color w:val="000000"/>
        </w:rPr>
        <w:t xml:space="preserve"> (eastern tropical Pacific population, Southeast Asian populations)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color w:val="000000"/>
        </w:rPr>
      </w:pPr>
      <w:proofErr w:type="spellStart"/>
      <w:r w:rsidRPr="00306E74">
        <w:rPr>
          <w:rFonts w:cs="Arial"/>
          <w:i/>
          <w:color w:val="000000"/>
        </w:rPr>
        <w:t>Stenella</w:t>
      </w:r>
      <w:proofErr w:type="spellEnd"/>
      <w:r w:rsidRPr="00306E74">
        <w:rPr>
          <w:rFonts w:cs="Arial"/>
          <w:i/>
          <w:color w:val="000000"/>
        </w:rPr>
        <w:t xml:space="preserve"> </w:t>
      </w:r>
      <w:proofErr w:type="spellStart"/>
      <w:r w:rsidRPr="00306E74">
        <w:rPr>
          <w:rFonts w:cs="Arial"/>
          <w:i/>
          <w:color w:val="000000"/>
        </w:rPr>
        <w:t>longirostris</w:t>
      </w:r>
      <w:proofErr w:type="spellEnd"/>
      <w:r w:rsidRPr="00306E74">
        <w:rPr>
          <w:rFonts w:cs="Arial"/>
          <w:color w:val="000000"/>
        </w:rPr>
        <w:t xml:space="preserve"> (eastern tropical Pacific populations, Southeast Asian populations)</w:t>
      </w:r>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rPr>
      </w:pPr>
      <w:r w:rsidRPr="00306E74">
        <w:rPr>
          <w:rFonts w:cs="Arial"/>
          <w:color w:val="000000"/>
        </w:rPr>
        <w:t>AVES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rPr>
      </w:pPr>
      <w:proofErr w:type="spellStart"/>
      <w:r w:rsidRPr="00306E74">
        <w:rPr>
          <w:rFonts w:cs="Arial"/>
          <w:i/>
          <w:color w:val="000000"/>
        </w:rPr>
        <w:t>Phoebastria</w:t>
      </w:r>
      <w:proofErr w:type="spellEnd"/>
      <w:r w:rsidRPr="00306E74">
        <w:rPr>
          <w:rFonts w:cs="Arial"/>
          <w:i/>
          <w:color w:val="000000"/>
        </w:rPr>
        <w:t xml:space="preserve"> </w:t>
      </w:r>
      <w:proofErr w:type="spellStart"/>
      <w:r w:rsidRPr="00306E74">
        <w:rPr>
          <w:rFonts w:cs="Arial"/>
          <w:i/>
          <w:color w:val="000000"/>
        </w:rPr>
        <w:t>irrorata</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iCs/>
          <w:shd w:val="clear" w:color="auto" w:fill="FFFFFF"/>
          <w:lang w:val="en-GB"/>
        </w:rPr>
      </w:pPr>
      <w:proofErr w:type="spellStart"/>
      <w:r w:rsidRPr="00306E74">
        <w:rPr>
          <w:rFonts w:cs="Arial"/>
          <w:i/>
          <w:iCs/>
          <w:shd w:val="clear" w:color="auto" w:fill="FFFFFF"/>
          <w:lang w:val="en-GB"/>
        </w:rPr>
        <w:t>Thalassarche</w:t>
      </w:r>
      <w:proofErr w:type="spellEnd"/>
      <w:r w:rsidRPr="00306E74">
        <w:rPr>
          <w:rFonts w:cs="Arial"/>
          <w:i/>
          <w:iCs/>
          <w:shd w:val="clear" w:color="auto" w:fill="FFFFFF"/>
          <w:lang w:val="en-GB"/>
        </w:rPr>
        <w:t xml:space="preserve"> </w:t>
      </w:r>
      <w:proofErr w:type="spellStart"/>
      <w:r w:rsidRPr="00306E74">
        <w:rPr>
          <w:rFonts w:cs="Arial"/>
          <w:i/>
          <w:iCs/>
          <w:shd w:val="clear" w:color="auto" w:fill="FFFFFF"/>
          <w:lang w:val="en-GB"/>
        </w:rPr>
        <w:t>melanophris</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lang w:val="en-GB"/>
        </w:rPr>
      </w:pPr>
      <w:proofErr w:type="spellStart"/>
      <w:r w:rsidRPr="00306E74">
        <w:rPr>
          <w:rFonts w:cs="Arial"/>
          <w:i/>
          <w:shd w:val="clear" w:color="auto" w:fill="FFFFFF"/>
          <w:lang w:val="en-GB"/>
        </w:rPr>
        <w:t>Diomedea</w:t>
      </w:r>
      <w:proofErr w:type="spellEnd"/>
      <w:r w:rsidRPr="00306E74">
        <w:rPr>
          <w:rFonts w:cs="Arial"/>
          <w:i/>
          <w:shd w:val="clear" w:color="auto" w:fill="FFFFFF"/>
          <w:lang w:val="en-GB"/>
        </w:rPr>
        <w:t xml:space="preserve"> </w:t>
      </w:r>
      <w:proofErr w:type="spellStart"/>
      <w:r w:rsidRPr="00306E74">
        <w:rPr>
          <w:rFonts w:cs="Arial"/>
          <w:i/>
          <w:shd w:val="clear" w:color="auto" w:fill="FFFFFF"/>
          <w:lang w:val="en-GB"/>
        </w:rPr>
        <w:t>sanfordi</w:t>
      </w:r>
      <w:proofErr w:type="spellEnd"/>
      <w:r w:rsidRPr="00306E74">
        <w:rPr>
          <w:rFonts w:cs="Arial"/>
          <w:i/>
          <w:lang w:val="en-GB"/>
        </w:rPr>
        <w:t xml:space="preserve"> (harvested from colonies in the Chatham Islands)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lang w:val="en-GB"/>
        </w:rPr>
      </w:pPr>
      <w:proofErr w:type="spellStart"/>
      <w:r w:rsidRPr="00306E74">
        <w:rPr>
          <w:rFonts w:cs="Arial"/>
          <w:i/>
          <w:shd w:val="clear" w:color="auto" w:fill="FFFFFF"/>
          <w:lang w:val="en-GB"/>
        </w:rPr>
        <w:t>Thalassarche</w:t>
      </w:r>
      <w:proofErr w:type="spellEnd"/>
      <w:r w:rsidRPr="00306E74">
        <w:rPr>
          <w:rFonts w:cs="Arial"/>
          <w:i/>
          <w:shd w:val="clear" w:color="auto" w:fill="FFFFFF"/>
          <w:lang w:val="en-GB"/>
        </w:rPr>
        <w:t xml:space="preserve"> </w:t>
      </w:r>
      <w:proofErr w:type="spellStart"/>
      <w:r w:rsidRPr="00306E74">
        <w:rPr>
          <w:rFonts w:cs="Arial"/>
          <w:i/>
          <w:shd w:val="clear" w:color="auto" w:fill="FFFFFF"/>
          <w:lang w:val="en-GB"/>
        </w:rPr>
        <w:t>bulleri</w:t>
      </w:r>
      <w:proofErr w:type="spellEnd"/>
      <w:r w:rsidRPr="00306E74">
        <w:rPr>
          <w:rFonts w:cs="Arial"/>
          <w:i/>
          <w:lang w:val="en-GB"/>
        </w:rPr>
        <w:t xml:space="preserve"> </w:t>
      </w:r>
      <w:r w:rsidRPr="00306E74">
        <w:rPr>
          <w:rFonts w:cs="Arial"/>
          <w:i/>
          <w:color w:val="000000"/>
          <w:lang w:val="en-GB"/>
        </w:rPr>
        <w:t>(harvested from colonies in the Chatham Islands)</w:t>
      </w:r>
    </w:p>
    <w:p w:rsidR="00306E74" w:rsidRPr="00306E74" w:rsidRDefault="00306E74" w:rsidP="00306E74">
      <w:pPr>
        <w:numPr>
          <w:ilvl w:val="1"/>
          <w:numId w:val="13"/>
        </w:numPr>
        <w:suppressAutoHyphens/>
        <w:autoSpaceDE w:val="0"/>
        <w:autoSpaceDN w:val="0"/>
        <w:adjustRightInd w:val="0"/>
        <w:spacing w:after="0" w:line="240" w:lineRule="auto"/>
        <w:jc w:val="both"/>
        <w:rPr>
          <w:rFonts w:cs="Arial"/>
          <w:color w:val="000000"/>
          <w:lang w:val="en-GB"/>
        </w:rPr>
      </w:pPr>
      <w:r w:rsidRPr="00306E74">
        <w:rPr>
          <w:rFonts w:cs="Arial"/>
          <w:color w:val="000000"/>
          <w:lang w:val="en-GB"/>
        </w:rPr>
        <w:t>ELASMOBRANQUIOS</w:t>
      </w:r>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lang w:val="en-GB"/>
        </w:rPr>
      </w:pPr>
      <w:r w:rsidRPr="00306E74">
        <w:rPr>
          <w:rFonts w:cs="Arial"/>
          <w:i/>
          <w:color w:val="000000"/>
          <w:lang w:val="en-GB"/>
        </w:rPr>
        <w:t xml:space="preserve">Carcharhinus </w:t>
      </w:r>
      <w:proofErr w:type="spellStart"/>
      <w:r w:rsidRPr="00306E74">
        <w:rPr>
          <w:rFonts w:cs="Arial"/>
          <w:i/>
          <w:color w:val="000000"/>
          <w:lang w:val="en-GB"/>
        </w:rPr>
        <w:t>falciformis</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lang w:val="en-GB"/>
        </w:rPr>
      </w:pPr>
      <w:r w:rsidRPr="00306E74">
        <w:rPr>
          <w:rFonts w:cs="Arial"/>
          <w:i/>
          <w:color w:val="000000"/>
          <w:lang w:val="en-GB"/>
        </w:rPr>
        <w:t xml:space="preserve">Sphyrna </w:t>
      </w:r>
      <w:proofErr w:type="spellStart"/>
      <w:r w:rsidRPr="00306E74">
        <w:rPr>
          <w:rFonts w:cs="Arial"/>
          <w:i/>
          <w:color w:val="000000"/>
          <w:lang w:val="en-GB"/>
        </w:rPr>
        <w:t>lewini</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lang w:val="en-GB"/>
        </w:rPr>
      </w:pPr>
      <w:r w:rsidRPr="00306E74">
        <w:rPr>
          <w:rFonts w:cs="Arial"/>
          <w:i/>
          <w:color w:val="000000"/>
          <w:lang w:val="en-GB"/>
        </w:rPr>
        <w:t xml:space="preserve">Sphyrna </w:t>
      </w:r>
      <w:proofErr w:type="spellStart"/>
      <w:r w:rsidRPr="00306E74">
        <w:rPr>
          <w:rFonts w:cs="Arial"/>
          <w:i/>
          <w:color w:val="000000"/>
          <w:lang w:val="en-GB"/>
        </w:rPr>
        <w:t>mokarran</w:t>
      </w:r>
      <w:proofErr w:type="spellEnd"/>
    </w:p>
    <w:p w:rsidR="00306E74" w:rsidRPr="00306E74" w:rsidRDefault="00306E74" w:rsidP="00306E74">
      <w:pPr>
        <w:numPr>
          <w:ilvl w:val="2"/>
          <w:numId w:val="13"/>
        </w:numPr>
        <w:suppressAutoHyphens/>
        <w:autoSpaceDE w:val="0"/>
        <w:autoSpaceDN w:val="0"/>
        <w:adjustRightInd w:val="0"/>
        <w:spacing w:after="0" w:line="240" w:lineRule="auto"/>
        <w:jc w:val="both"/>
        <w:rPr>
          <w:rFonts w:cs="Arial"/>
          <w:i/>
          <w:color w:val="000000"/>
          <w:lang w:val="en-GB"/>
        </w:rPr>
      </w:pPr>
      <w:proofErr w:type="spellStart"/>
      <w:r w:rsidRPr="00306E74">
        <w:rPr>
          <w:rFonts w:cs="Arial"/>
          <w:i/>
          <w:color w:val="000000"/>
          <w:lang w:val="en-GB"/>
        </w:rPr>
        <w:t>Rhynchobatus</w:t>
      </w:r>
      <w:proofErr w:type="spellEnd"/>
      <w:r w:rsidRPr="00306E74">
        <w:rPr>
          <w:rFonts w:cs="Arial"/>
          <w:i/>
          <w:color w:val="000000"/>
          <w:lang w:val="en-GB"/>
        </w:rPr>
        <w:t xml:space="preserve"> </w:t>
      </w:r>
      <w:proofErr w:type="spellStart"/>
      <w:r w:rsidRPr="00306E74">
        <w:rPr>
          <w:rFonts w:cs="Arial"/>
          <w:i/>
          <w:color w:val="000000"/>
          <w:lang w:val="en-GB"/>
        </w:rPr>
        <w:t>australiae</w:t>
      </w:r>
      <w:proofErr w:type="spellEnd"/>
    </w:p>
    <w:p w:rsidR="00306E74" w:rsidRPr="00306E74" w:rsidRDefault="00306E74" w:rsidP="00306E74">
      <w:pPr>
        <w:suppressAutoHyphens/>
        <w:autoSpaceDE w:val="0"/>
        <w:autoSpaceDN w:val="0"/>
        <w:adjustRightInd w:val="0"/>
        <w:spacing w:after="0" w:line="240" w:lineRule="auto"/>
        <w:jc w:val="both"/>
        <w:rPr>
          <w:rFonts w:eastAsia="Times New Roman" w:cs="Arial"/>
          <w:lang w:val="es-ES"/>
        </w:rPr>
      </w:pPr>
    </w:p>
    <w:p w:rsidR="00306E74" w:rsidRPr="00306E74" w:rsidRDefault="00306E74" w:rsidP="00306E74">
      <w:pPr>
        <w:suppressAutoHyphens/>
        <w:autoSpaceDE w:val="0"/>
        <w:autoSpaceDN w:val="0"/>
        <w:adjustRightInd w:val="0"/>
        <w:spacing w:after="0" w:line="240" w:lineRule="auto"/>
        <w:jc w:val="both"/>
        <w:rPr>
          <w:rFonts w:eastAsia="Times New Roman" w:cs="Arial"/>
          <w:lang w:val="es-ES"/>
        </w:rPr>
      </w:pPr>
    </w:p>
    <w:p w:rsidR="00306E74" w:rsidRPr="00306E74" w:rsidRDefault="00306E74" w:rsidP="00306E74">
      <w:pPr>
        <w:rPr>
          <w:rFonts w:eastAsia="Times New Roman" w:cs="Arial"/>
          <w:lang w:val="es-ES"/>
        </w:rPr>
      </w:pPr>
      <w:r w:rsidRPr="00306E74">
        <w:rPr>
          <w:rFonts w:eastAsia="Times New Roman" w:cs="Arial"/>
          <w:lang w:val="es-ES"/>
        </w:rPr>
        <w:br w:type="page"/>
      </w:r>
    </w:p>
    <w:p w:rsidR="00306E74" w:rsidRPr="00306E74" w:rsidRDefault="00306E74" w:rsidP="00306E74">
      <w:pPr>
        <w:suppressAutoHyphens/>
        <w:autoSpaceDE w:val="0"/>
        <w:autoSpaceDN w:val="0"/>
        <w:adjustRightInd w:val="0"/>
        <w:spacing w:after="0" w:line="240" w:lineRule="auto"/>
        <w:jc w:val="both"/>
        <w:rPr>
          <w:rFonts w:eastAsia="Times New Roman" w:cs="Arial"/>
          <w:lang w:val="es-ES"/>
        </w:rPr>
      </w:pPr>
    </w:p>
    <w:p w:rsidR="00306E74" w:rsidRPr="00306E74" w:rsidRDefault="00306E74" w:rsidP="00306E74">
      <w:pPr>
        <w:suppressAutoHyphens/>
        <w:autoSpaceDE w:val="0"/>
        <w:autoSpaceDN w:val="0"/>
        <w:adjustRightInd w:val="0"/>
        <w:spacing w:after="0" w:line="240" w:lineRule="auto"/>
        <w:jc w:val="both"/>
        <w:rPr>
          <w:rFonts w:cs="Arial"/>
          <w:b/>
          <w:color w:val="000000"/>
          <w:lang w:val="es-ES"/>
        </w:rPr>
      </w:pPr>
    </w:p>
    <w:p w:rsidR="00306E74" w:rsidRPr="00306E74" w:rsidRDefault="00306E74" w:rsidP="00306E74">
      <w:pPr>
        <w:suppressAutoHyphens/>
        <w:autoSpaceDE w:val="0"/>
        <w:autoSpaceDN w:val="0"/>
        <w:adjustRightInd w:val="0"/>
        <w:spacing w:after="0" w:line="240" w:lineRule="auto"/>
        <w:jc w:val="both"/>
        <w:rPr>
          <w:rFonts w:eastAsia="Times New Roman" w:cs="Arial"/>
          <w:noProof/>
          <w:u w:val="single"/>
          <w:lang w:val="en-GB"/>
        </w:rPr>
      </w:pPr>
      <w:r w:rsidRPr="00306E74">
        <w:rPr>
          <w:rFonts w:eastAsia="Times New Roman" w:cs="Arial"/>
          <w:noProof/>
          <w:u w:val="single"/>
          <w:lang w:val="es-ES"/>
        </w:rPr>
        <w:t>Acciones recomendadas</w:t>
      </w:r>
    </w:p>
    <w:p w:rsidR="00306E74" w:rsidRPr="00306E74" w:rsidRDefault="00306E74" w:rsidP="00306E74">
      <w:pPr>
        <w:suppressAutoHyphens/>
        <w:autoSpaceDE w:val="0"/>
        <w:autoSpaceDN w:val="0"/>
        <w:adjustRightInd w:val="0"/>
        <w:spacing w:after="0" w:line="240" w:lineRule="auto"/>
        <w:ind w:left="504"/>
        <w:jc w:val="both"/>
        <w:rPr>
          <w:rFonts w:eastAsia="Times New Roman" w:cs="Arial"/>
          <w:lang w:val="en-GB"/>
        </w:rPr>
      </w:pPr>
    </w:p>
    <w:p w:rsidR="00306E74" w:rsidRPr="00306E74" w:rsidRDefault="00306E74" w:rsidP="00306E74">
      <w:pPr>
        <w:pStyle w:val="Firstnumbering1"/>
      </w:pPr>
      <w:r w:rsidRPr="00306E74">
        <w:t xml:space="preserve">Se conoce que la transición de la captura incidental hacia una captura intencional como carne de animales salvajes acuáticos tiene lugar en pesquerías que no cuentan con las características de las pesquerías gestionadas y reglamentadas. Debido a que la captura de carne de animales salvajes acuáticos no se gestiona por organismos de pesquerías a nivel local o regional, son los organismos para las especies silvestres y la conservación los que se deben ocupar de esta. </w:t>
      </w:r>
    </w:p>
    <w:p w:rsidR="00306E74" w:rsidRPr="00306E74" w:rsidRDefault="00306E74" w:rsidP="00306E74">
      <w:pPr>
        <w:suppressAutoHyphens/>
        <w:autoSpaceDE w:val="0"/>
        <w:autoSpaceDN w:val="0"/>
        <w:adjustRightInd w:val="0"/>
        <w:spacing w:after="0" w:line="240" w:lineRule="auto"/>
        <w:ind w:left="504"/>
        <w:jc w:val="both"/>
        <w:rPr>
          <w:rFonts w:cs="Arial"/>
          <w:color w:val="000000"/>
          <w:lang w:val="es-ES"/>
        </w:rPr>
      </w:pPr>
    </w:p>
    <w:p w:rsidR="00306E74" w:rsidRPr="00306E74" w:rsidRDefault="00306E74" w:rsidP="00306E74">
      <w:pPr>
        <w:pStyle w:val="Firstnumbering1"/>
      </w:pPr>
      <w:r w:rsidRPr="00306E74">
        <w:t xml:space="preserve">Es necesario ser prudentes a la hora de evaluar estas dinámicas. </w:t>
      </w:r>
      <w:bookmarkStart w:id="4" w:name="_Hlk16250688"/>
      <w:r w:rsidRPr="00306E74">
        <w:t xml:space="preserve">El uso oportuno de la captura incidental como carne de animales salvajes acuáticos puede ser el resultado de la demanda local por fuentes de alimentos alternativas debido a la pérdida de existencias tradicionales de peces (Juncker et al., 2006). </w:t>
      </w:r>
      <w:bookmarkEnd w:id="4"/>
      <w:r w:rsidRPr="00306E74">
        <w:t>Igualmente, los ingresos de subsistencia derivados de la venta de carne de animales salvajes acuáticos pueden motivar a los pescadores a centrarse de manera intencionada en animales más grandes que, a menudo, resultan ser más vulnerables a la explotación, de los que derivan productos más útiles y valiosos. Por consiguiente, es crucial comprender los factores socioeconómicos de las especies que capturan los pescadores, así como el futuro de la captura incidental. Si se pone a disposición suficientes datos para comprender los niveles de captura incidental en áreas costeras intensivas y se trabaja en estrecha colaboración con los pescadores a pequeña escala y artesanales, se podría mitigar la captura incidental y, como consecuencia, la transición hacia nuevos tipos de caza de carne de animales salvajes acuáticos. Esto podría proporcionar un camino para llegar a garantizar la permanencia de megafauna migratoria vulnerable. Sin este tipo de información, la disminución de las poblaciones probablemente no se detectará ni se documentará, y las autoridades locales dispondrán de información inadecuada para la elaboración de planes de gestión y para su ejecución de manera oportuna. Ignorar el potencial de la captura incidental como desencadenante para el aumento de la caza de carne de animales salvajes acuáticos solo servirá para subestimar las medidas de conservación de los organismos para las pesquerías y especies silvestres.</w:t>
      </w:r>
    </w:p>
    <w:p w:rsidR="00306E74" w:rsidRPr="00306E74" w:rsidRDefault="00306E74" w:rsidP="00306E74">
      <w:pPr>
        <w:spacing w:after="0" w:line="240" w:lineRule="auto"/>
        <w:jc w:val="both"/>
        <w:rPr>
          <w:rFonts w:cs="Arial"/>
          <w:lang w:val="es-ES"/>
        </w:rPr>
      </w:pPr>
    </w:p>
    <w:p w:rsidR="00306E74" w:rsidRPr="00306E74" w:rsidRDefault="00306E74" w:rsidP="00306E74">
      <w:pPr>
        <w:rPr>
          <w:rFonts w:eastAsia="Times New Roman" w:cs="Arial"/>
          <w:lang w:val="es-ES"/>
        </w:rPr>
      </w:pPr>
      <w:bookmarkStart w:id="5" w:name="_GoBack"/>
      <w:bookmarkEnd w:id="5"/>
      <w:r w:rsidRPr="00306E74">
        <w:rPr>
          <w:rFonts w:eastAsia="Times New Roman" w:cs="Arial"/>
          <w:lang w:val="es-ES"/>
        </w:rPr>
        <w:br w:type="page"/>
      </w:r>
    </w:p>
    <w:p w:rsidR="00306E74" w:rsidRPr="00306E74" w:rsidRDefault="00306E74" w:rsidP="00306E74">
      <w:pPr>
        <w:suppressAutoHyphens/>
        <w:autoSpaceDE w:val="0"/>
        <w:autoSpaceDN w:val="0"/>
        <w:adjustRightInd w:val="0"/>
        <w:spacing w:after="0" w:line="240" w:lineRule="auto"/>
        <w:ind w:left="504"/>
        <w:jc w:val="both"/>
        <w:rPr>
          <w:rFonts w:eastAsia="Times New Roman" w:cs="Arial"/>
          <w:lang w:val="es-ES"/>
        </w:rPr>
      </w:pPr>
    </w:p>
    <w:p w:rsidR="00306E74" w:rsidRPr="00306E74" w:rsidRDefault="00306E74" w:rsidP="00306E74">
      <w:pPr>
        <w:spacing w:after="0" w:line="240" w:lineRule="auto"/>
        <w:jc w:val="both"/>
        <w:rPr>
          <w:rFonts w:cs="Arial"/>
          <w:b/>
          <w:bCs/>
        </w:rPr>
      </w:pPr>
      <w:proofErr w:type="spellStart"/>
      <w:r w:rsidRPr="00306E74">
        <w:rPr>
          <w:rFonts w:cs="Arial"/>
          <w:b/>
          <w:bCs/>
        </w:rPr>
        <w:t>Referencias</w:t>
      </w:r>
      <w:proofErr w:type="spellEnd"/>
    </w:p>
    <w:p w:rsidR="00306E74" w:rsidRPr="00306E74" w:rsidRDefault="00306E74" w:rsidP="00306E74">
      <w:pPr>
        <w:spacing w:after="0" w:line="240" w:lineRule="auto"/>
        <w:jc w:val="both"/>
        <w:rPr>
          <w:rFonts w:cs="Arial"/>
        </w:rPr>
      </w:pP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bookmarkStart w:id="6" w:name="_Hlk18921232"/>
      <w:r w:rsidRPr="00306E74">
        <w:rPr>
          <w:rFonts w:cs="Arial"/>
          <w:lang w:val="es-ES"/>
        </w:rPr>
        <w:t xml:space="preserve">Alves, R. R. N., &amp; van </w:t>
      </w:r>
      <w:proofErr w:type="spellStart"/>
      <w:r w:rsidRPr="00306E74">
        <w:rPr>
          <w:rFonts w:cs="Arial"/>
          <w:lang w:val="es-ES"/>
        </w:rPr>
        <w:t>Vliet</w:t>
      </w:r>
      <w:proofErr w:type="spellEnd"/>
      <w:r w:rsidRPr="00306E74">
        <w:rPr>
          <w:rFonts w:cs="Arial"/>
          <w:lang w:val="es-ES"/>
        </w:rPr>
        <w:t xml:space="preserve">, N. (2018). </w:t>
      </w:r>
      <w:r w:rsidRPr="00306E74">
        <w:rPr>
          <w:rFonts w:cs="Arial"/>
        </w:rPr>
        <w:t xml:space="preserve">Wild fauna on the menu. </w:t>
      </w:r>
      <w:r w:rsidRPr="00306E74">
        <w:rPr>
          <w:rFonts w:cs="Arial"/>
          <w:lang w:val="en-GB"/>
        </w:rPr>
        <w:t xml:space="preserve">In </w:t>
      </w:r>
      <w:r w:rsidRPr="00306E74">
        <w:rPr>
          <w:rFonts w:cs="Arial"/>
          <w:i/>
          <w:iCs/>
          <w:lang w:val="en-GB"/>
        </w:rPr>
        <w:t>Ethnozoology</w:t>
      </w:r>
      <w:r w:rsidRPr="00306E74">
        <w:rPr>
          <w:rFonts w:cs="Arial"/>
          <w:lang w:val="en-GB"/>
        </w:rPr>
        <w:t xml:space="preserve"> (pp. 167-194). Academic Press.</w:t>
      </w:r>
    </w:p>
    <w:bookmarkEnd w:id="6"/>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proofErr w:type="spellStart"/>
      <w:r w:rsidRPr="00306E74">
        <w:rPr>
          <w:rFonts w:cs="Arial"/>
          <w:lang w:val="en-GB"/>
        </w:rPr>
        <w:t>Awkerman</w:t>
      </w:r>
      <w:proofErr w:type="spellEnd"/>
      <w:r w:rsidRPr="00306E74">
        <w:rPr>
          <w:rFonts w:cs="Arial"/>
          <w:lang w:val="en-GB"/>
        </w:rPr>
        <w:t xml:space="preserve">, J.A., </w:t>
      </w:r>
      <w:proofErr w:type="spellStart"/>
      <w:r w:rsidRPr="00306E74">
        <w:rPr>
          <w:rFonts w:cs="Arial"/>
          <w:lang w:val="en-GB"/>
        </w:rPr>
        <w:t>Huyvaert</w:t>
      </w:r>
      <w:proofErr w:type="spellEnd"/>
      <w:r w:rsidRPr="00306E74">
        <w:rPr>
          <w:rFonts w:cs="Arial"/>
          <w:lang w:val="en-GB"/>
        </w:rPr>
        <w:t xml:space="preserve">, K.P., </w:t>
      </w:r>
      <w:proofErr w:type="spellStart"/>
      <w:r w:rsidRPr="00306E74">
        <w:rPr>
          <w:rFonts w:cs="Arial"/>
          <w:lang w:val="en-GB"/>
        </w:rPr>
        <w:t>Mangel</w:t>
      </w:r>
      <w:proofErr w:type="spellEnd"/>
      <w:r w:rsidRPr="00306E74">
        <w:rPr>
          <w:rFonts w:cs="Arial"/>
          <w:lang w:val="en-GB"/>
        </w:rPr>
        <w:t xml:space="preserve">, J., Alfaro </w:t>
      </w:r>
      <w:proofErr w:type="spellStart"/>
      <w:r w:rsidRPr="00306E74">
        <w:rPr>
          <w:rFonts w:cs="Arial"/>
          <w:lang w:val="en-GB"/>
        </w:rPr>
        <w:t>Shigueto</w:t>
      </w:r>
      <w:proofErr w:type="spellEnd"/>
      <w:r w:rsidRPr="00306E74">
        <w:rPr>
          <w:rFonts w:cs="Arial"/>
          <w:lang w:val="en-GB"/>
        </w:rPr>
        <w:t>, J., Anderson, D.J. 2006. Incidental and intentional catch threatens Galapagos waved albatross. Biological Conservation doi:10.1016/j.biocon.2006.07.010</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it-IT"/>
        </w:rPr>
        <w:t xml:space="preserve">Alfaro-Shigueto, J., Mangel, J. C., Pajuelo, M., Dutton, P. H., Seminoff, J. A., &amp; Godley, B. J. (2010). </w:t>
      </w:r>
      <w:r w:rsidRPr="00306E74">
        <w:rPr>
          <w:rFonts w:cs="Arial"/>
          <w:lang w:val="en-GB"/>
        </w:rPr>
        <w:t xml:space="preserve">Where small can have a large impact: structure and characterization of small-scale fisheries in Peru. </w:t>
      </w:r>
      <w:r w:rsidRPr="00306E74">
        <w:rPr>
          <w:rFonts w:cs="Arial"/>
          <w:i/>
          <w:iCs/>
          <w:lang w:val="en-GB"/>
        </w:rPr>
        <w:t>Fisheries Research</w:t>
      </w:r>
      <w:r w:rsidRPr="00306E74">
        <w:rPr>
          <w:rFonts w:cs="Arial"/>
          <w:lang w:val="en-GB"/>
        </w:rPr>
        <w:t xml:space="preserve">, </w:t>
      </w:r>
      <w:r w:rsidRPr="00306E74">
        <w:rPr>
          <w:rFonts w:cs="Arial"/>
          <w:i/>
          <w:iCs/>
          <w:lang w:val="en-GB"/>
        </w:rPr>
        <w:t>106</w:t>
      </w:r>
      <w:r w:rsidRPr="00306E74">
        <w:rPr>
          <w:rFonts w:cs="Arial"/>
          <w:lang w:val="en-GB"/>
        </w:rPr>
        <w:t>(1), 8-17.</w:t>
      </w:r>
    </w:p>
    <w:p w:rsidR="00306E74" w:rsidRPr="00306E74" w:rsidRDefault="00306E74" w:rsidP="00306E74">
      <w:pPr>
        <w:widowControl w:val="0"/>
        <w:numPr>
          <w:ilvl w:val="0"/>
          <w:numId w:val="12"/>
        </w:numPr>
        <w:suppressAutoHyphens/>
        <w:autoSpaceDE w:val="0"/>
        <w:autoSpaceDN w:val="0"/>
        <w:adjustRightInd w:val="0"/>
        <w:spacing w:after="0" w:line="240" w:lineRule="auto"/>
        <w:ind w:left="426" w:hanging="426"/>
        <w:contextualSpacing/>
        <w:jc w:val="both"/>
        <w:textAlignment w:val="baseline"/>
        <w:rPr>
          <w:rFonts w:cs="Arial"/>
        </w:rPr>
      </w:pPr>
      <w:r w:rsidRPr="00306E74">
        <w:rPr>
          <w:rFonts w:cs="Arial"/>
        </w:rPr>
        <w:t>Alfaro-</w:t>
      </w:r>
      <w:proofErr w:type="spellStart"/>
      <w:r w:rsidRPr="00306E74">
        <w:rPr>
          <w:rFonts w:cs="Arial"/>
        </w:rPr>
        <w:t>Shigueto</w:t>
      </w:r>
      <w:proofErr w:type="spellEnd"/>
      <w:r w:rsidRPr="00306E74">
        <w:rPr>
          <w:rFonts w:cs="Arial"/>
        </w:rPr>
        <w:t xml:space="preserve">, </w:t>
      </w:r>
      <w:r w:rsidRPr="00306E74">
        <w:rPr>
          <w:rFonts w:cs="Arial"/>
          <w:lang w:val="en-GB"/>
        </w:rPr>
        <w:t>J.</w:t>
      </w:r>
      <w:proofErr w:type="gramStart"/>
      <w:r w:rsidRPr="00306E74">
        <w:rPr>
          <w:rFonts w:cs="Arial"/>
          <w:lang w:val="en-GB"/>
        </w:rPr>
        <w:t xml:space="preserve">, </w:t>
      </w:r>
      <w:r w:rsidRPr="00306E74">
        <w:rPr>
          <w:rFonts w:cs="Arial"/>
        </w:rPr>
        <w:t xml:space="preserve"> </w:t>
      </w:r>
      <w:proofErr w:type="spellStart"/>
      <w:r w:rsidRPr="00306E74">
        <w:rPr>
          <w:rFonts w:cs="Arial"/>
        </w:rPr>
        <w:t>Mangel</w:t>
      </w:r>
      <w:proofErr w:type="spellEnd"/>
      <w:proofErr w:type="gramEnd"/>
      <w:r w:rsidRPr="00306E74">
        <w:rPr>
          <w:rFonts w:cs="Arial"/>
        </w:rPr>
        <w:t xml:space="preserve">, J.C, </w:t>
      </w:r>
      <w:proofErr w:type="spellStart"/>
      <w:r w:rsidRPr="00306E74">
        <w:rPr>
          <w:rFonts w:cs="Arial"/>
        </w:rPr>
        <w:t>Bernedo</w:t>
      </w:r>
      <w:proofErr w:type="spellEnd"/>
      <w:r w:rsidRPr="00306E74">
        <w:rPr>
          <w:rFonts w:cs="Arial"/>
        </w:rPr>
        <w:t xml:space="preserve">, F., Dutton, P.H., </w:t>
      </w:r>
      <w:proofErr w:type="spellStart"/>
      <w:r w:rsidRPr="00306E74">
        <w:rPr>
          <w:rFonts w:cs="Arial"/>
        </w:rPr>
        <w:t>Seminoff</w:t>
      </w:r>
      <w:proofErr w:type="spellEnd"/>
      <w:r w:rsidRPr="00306E74">
        <w:rPr>
          <w:rFonts w:cs="Arial"/>
        </w:rPr>
        <w:t xml:space="preserve">, J.A. &amp; Brendan J. Godley. (2011). Small-scale fisheries of Peru: a major sink for marine turtles in the Pacific. </w:t>
      </w:r>
      <w:r w:rsidRPr="00306E74">
        <w:rPr>
          <w:rFonts w:eastAsia="AdvTimes-i" w:cs="Arial"/>
          <w:i/>
          <w:iCs/>
        </w:rPr>
        <w:t>Journal of Applied Ecology</w:t>
      </w:r>
      <w:r w:rsidRPr="00306E74">
        <w:rPr>
          <w:rFonts w:eastAsia="AdvTimes-i" w:cs="Arial"/>
        </w:rPr>
        <w:t xml:space="preserve"> 48: 1432–1440.</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Campana, S.E., Joyce, W., &amp; Manning, M.J. (2009). Bycatch and discard mortality in commercially caught blue sharks </w:t>
      </w:r>
      <w:r w:rsidRPr="00306E74">
        <w:rPr>
          <w:rFonts w:cs="Arial"/>
          <w:i/>
          <w:iCs/>
        </w:rPr>
        <w:t>Prionace glauca</w:t>
      </w:r>
      <w:r w:rsidRPr="00306E74">
        <w:rPr>
          <w:rFonts w:cs="Arial"/>
        </w:rPr>
        <w:t xml:space="preserve"> assessed using archival satellite pop-up tags. Mar </w:t>
      </w:r>
      <w:proofErr w:type="spellStart"/>
      <w:r w:rsidRPr="00306E74">
        <w:rPr>
          <w:rFonts w:cs="Arial"/>
        </w:rPr>
        <w:t>Ecol</w:t>
      </w:r>
      <w:proofErr w:type="spellEnd"/>
      <w:r w:rsidRPr="00306E74">
        <w:rPr>
          <w:rFonts w:cs="Arial"/>
        </w:rPr>
        <w:t xml:space="preserve"> Prog Ser 387:241-253. </w:t>
      </w:r>
      <w:hyperlink r:id="rId12" w:history="1">
        <w:r w:rsidRPr="00306E74">
          <w:rPr>
            <w:rFonts w:cs="Arial"/>
            <w:color w:val="0000FF"/>
            <w:u w:val="single"/>
          </w:rPr>
          <w:t xml:space="preserve">https://doi.org/10.3354/meps08109 </w:t>
        </w:r>
      </w:hyperlink>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Davis, M.W. (2002). Key principles for understanding fish bycatch discard mortality. </w:t>
      </w:r>
      <w:r w:rsidRPr="00306E74">
        <w:rPr>
          <w:rFonts w:cs="Arial"/>
          <w:i/>
          <w:iCs/>
        </w:rPr>
        <w:t xml:space="preserve">Can. J. Fish. </w:t>
      </w:r>
      <w:proofErr w:type="spellStart"/>
      <w:r w:rsidRPr="00306E74">
        <w:rPr>
          <w:rFonts w:cs="Arial"/>
          <w:i/>
          <w:iCs/>
        </w:rPr>
        <w:t>Aquat</w:t>
      </w:r>
      <w:proofErr w:type="spellEnd"/>
      <w:r w:rsidRPr="00306E74">
        <w:rPr>
          <w:rFonts w:cs="Arial"/>
          <w:i/>
          <w:iCs/>
        </w:rPr>
        <w:t>. Sci.</w:t>
      </w:r>
      <w:r w:rsidRPr="00306E74">
        <w:rPr>
          <w:rFonts w:cs="Arial"/>
        </w:rPr>
        <w:t xml:space="preserve"> 59: 1834–1843.</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lang w:val="it-IT"/>
        </w:rPr>
        <w:t xml:space="preserve">Debski, I., &amp; Pierre, J. (2014, August). </w:t>
      </w:r>
      <w:r w:rsidRPr="00306E74">
        <w:rPr>
          <w:rFonts w:cs="Arial"/>
        </w:rPr>
        <w:t xml:space="preserve">Seabird cryptic mortality and risk from fisheries. In </w:t>
      </w:r>
      <w:r w:rsidRPr="00306E74">
        <w:rPr>
          <w:rFonts w:cs="Arial"/>
          <w:i/>
          <w:iCs/>
        </w:rPr>
        <w:t>2nd Meeting of the Scientific Committee Honolulu, Hawaii, USA</w:t>
      </w:r>
      <w:r w:rsidRPr="00306E74">
        <w:rPr>
          <w:rFonts w:cs="Arial"/>
        </w:rPr>
        <w:t xml:space="preserve"> (pp. 1-7).</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Fa, J. E., C. A. Peres, and J. </w:t>
      </w:r>
      <w:proofErr w:type="spellStart"/>
      <w:r w:rsidRPr="00306E74">
        <w:rPr>
          <w:rFonts w:cs="Arial"/>
        </w:rPr>
        <w:t>Meeuwig</w:t>
      </w:r>
      <w:proofErr w:type="spellEnd"/>
      <w:r w:rsidRPr="00306E74">
        <w:rPr>
          <w:rFonts w:cs="Arial"/>
        </w:rPr>
        <w:t xml:space="preserve">. 2001. Bushmeat exploitation in tropical forests: an intercontinental comparison. </w:t>
      </w:r>
      <w:proofErr w:type="spellStart"/>
      <w:r w:rsidRPr="00306E74">
        <w:rPr>
          <w:rFonts w:cs="Arial"/>
        </w:rPr>
        <w:t>Conserv</w:t>
      </w:r>
      <w:proofErr w:type="spellEnd"/>
      <w:r w:rsidRPr="00306E74">
        <w:rPr>
          <w:rFonts w:cs="Arial"/>
        </w:rPr>
        <w:t>. Biol. 16:232–237.</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de-DE"/>
        </w:rPr>
        <w:t xml:space="preserve">Glaus, K. B., Adrian-Kalchhauser, I., Burkhardt-Holm, P., White, W. T., &amp; Brunnschweiler, J. M. (2015). </w:t>
      </w:r>
      <w:r w:rsidRPr="00306E74">
        <w:rPr>
          <w:rFonts w:cs="Arial"/>
          <w:lang w:val="en-GB"/>
        </w:rPr>
        <w:t xml:space="preserve">Characteristics of the shark fisheries of Fiji. </w:t>
      </w:r>
      <w:r w:rsidRPr="00306E74">
        <w:rPr>
          <w:rFonts w:cs="Arial"/>
          <w:i/>
          <w:iCs/>
          <w:lang w:val="en-GB"/>
        </w:rPr>
        <w:t>Scientific reports</w:t>
      </w:r>
      <w:r w:rsidRPr="00306E74">
        <w:rPr>
          <w:rFonts w:cs="Arial"/>
          <w:lang w:val="en-GB"/>
        </w:rPr>
        <w:t xml:space="preserve">, </w:t>
      </w:r>
      <w:r w:rsidRPr="00306E74">
        <w:rPr>
          <w:rFonts w:cs="Arial"/>
          <w:i/>
          <w:iCs/>
          <w:lang w:val="en-GB"/>
        </w:rPr>
        <w:t>5</w:t>
      </w:r>
      <w:r w:rsidRPr="00306E74">
        <w:rPr>
          <w:rFonts w:cs="Arial"/>
          <w:lang w:val="en-GB"/>
        </w:rPr>
        <w:t>, 17556.</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rPr>
        <w:t xml:space="preserve">Hoffman, L. C., &amp; </w:t>
      </w:r>
      <w:proofErr w:type="spellStart"/>
      <w:r w:rsidRPr="00306E74">
        <w:rPr>
          <w:rFonts w:cs="Arial"/>
        </w:rPr>
        <w:t>Cawthorn</w:t>
      </w:r>
      <w:proofErr w:type="spellEnd"/>
      <w:r w:rsidRPr="00306E74">
        <w:rPr>
          <w:rFonts w:cs="Arial"/>
        </w:rPr>
        <w:t xml:space="preserve">, D. M. (2012). What is the role and contribution of meat from wildlife in providing high quality protein for consumption? </w:t>
      </w:r>
      <w:r w:rsidRPr="00306E74">
        <w:rPr>
          <w:rFonts w:cs="Arial"/>
          <w:i/>
          <w:iCs/>
        </w:rPr>
        <w:t>Animal frontiers</w:t>
      </w:r>
      <w:r w:rsidRPr="00306E74">
        <w:rPr>
          <w:rFonts w:cs="Arial"/>
        </w:rPr>
        <w:t xml:space="preserve">, </w:t>
      </w:r>
      <w:r w:rsidRPr="00306E74">
        <w:rPr>
          <w:rFonts w:cs="Arial"/>
          <w:i/>
          <w:iCs/>
        </w:rPr>
        <w:t>2</w:t>
      </w:r>
      <w:r w:rsidRPr="00306E74">
        <w:rPr>
          <w:rFonts w:cs="Arial"/>
        </w:rPr>
        <w:t>(4), 40-53.</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James MC, </w:t>
      </w:r>
      <w:proofErr w:type="spellStart"/>
      <w:r w:rsidRPr="00306E74">
        <w:rPr>
          <w:rFonts w:cs="Arial"/>
          <w:lang w:val="en-GB"/>
        </w:rPr>
        <w:t>Ottensmeyer</w:t>
      </w:r>
      <w:proofErr w:type="spellEnd"/>
      <w:r w:rsidRPr="00306E74">
        <w:rPr>
          <w:rFonts w:cs="Arial"/>
          <w:lang w:val="en-GB"/>
        </w:rPr>
        <w:t xml:space="preserve"> CA, Myers RA (2005) Identification of high-use habitat and threats to leatherback sea turtles in northern waters: new directions for conservation. Ecology Letters 8: 195–201.</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lang w:val="de-DE"/>
        </w:rPr>
        <w:t xml:space="preserve">Juncker, M. K., Robert, M. &amp; Clua, E (2006). </w:t>
      </w:r>
      <w:r w:rsidRPr="00306E74">
        <w:rPr>
          <w:rFonts w:cs="Arial"/>
        </w:rPr>
        <w:t xml:space="preserve">Coastal shark fisheries in the Pacific: a brief overview of current knowledge: </w:t>
      </w:r>
      <w:hyperlink r:id="rId13" w:history="1">
        <w:r w:rsidRPr="00306E74">
          <w:rPr>
            <w:rFonts w:cs="Arial"/>
            <w:color w:val="0000FF"/>
            <w:u w:val="single"/>
          </w:rPr>
          <w:t>http://www.spc.int/DigitalLibrary/Doc/FAME/Reports/CRISP/ENG_2006_Coastal_Shark_Fisheries_Pacific.pdf</w:t>
        </w:r>
      </w:hyperlink>
      <w:r w:rsidRPr="00306E74">
        <w:rPr>
          <w:rFonts w:cs="Arial"/>
        </w:rPr>
        <w:t>. (Accessed: 11th of July 2019)</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proofErr w:type="spellStart"/>
      <w:r w:rsidRPr="00306E74">
        <w:rPr>
          <w:rFonts w:cs="Arial"/>
        </w:rPr>
        <w:t>Klemens</w:t>
      </w:r>
      <w:proofErr w:type="spellEnd"/>
      <w:r w:rsidRPr="00306E74">
        <w:rPr>
          <w:rFonts w:cs="Arial"/>
        </w:rPr>
        <w:t xml:space="preserve">, M. W., &amp; </w:t>
      </w:r>
      <w:proofErr w:type="spellStart"/>
      <w:r w:rsidRPr="00306E74">
        <w:rPr>
          <w:rFonts w:cs="Arial"/>
        </w:rPr>
        <w:t>Thorbjarnarson</w:t>
      </w:r>
      <w:proofErr w:type="spellEnd"/>
      <w:r w:rsidRPr="00306E74">
        <w:rPr>
          <w:rFonts w:cs="Arial"/>
        </w:rPr>
        <w:t xml:space="preserve">, J. B. (1995). Reptiles as a food resource. </w:t>
      </w:r>
      <w:r w:rsidRPr="00306E74">
        <w:rPr>
          <w:rFonts w:cs="Arial"/>
          <w:i/>
          <w:iCs/>
        </w:rPr>
        <w:t>Biodiversity &amp; Conservation</w:t>
      </w:r>
      <w:r w:rsidRPr="00306E74">
        <w:rPr>
          <w:rFonts w:cs="Arial"/>
        </w:rPr>
        <w:t xml:space="preserve">, </w:t>
      </w:r>
      <w:r w:rsidRPr="00306E74">
        <w:rPr>
          <w:rFonts w:cs="Arial"/>
          <w:i/>
          <w:iCs/>
        </w:rPr>
        <w:t>4</w:t>
      </w:r>
      <w:r w:rsidRPr="00306E74">
        <w:rPr>
          <w:rFonts w:cs="Arial"/>
        </w:rPr>
        <w:t>(3), 281-298.</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Lewison, R. L., Crowder, L. B., Read, A. J., &amp; Freeman, S. A. (2004). Understanding impacts of fisheries bycatch on marine megafauna. </w:t>
      </w:r>
      <w:r w:rsidRPr="00306E74">
        <w:rPr>
          <w:rFonts w:cs="Arial"/>
          <w:i/>
          <w:iCs/>
        </w:rPr>
        <w:t>Trends in ecology &amp; evolution</w:t>
      </w:r>
      <w:r w:rsidRPr="00306E74">
        <w:rPr>
          <w:rFonts w:cs="Arial"/>
        </w:rPr>
        <w:t xml:space="preserve">, </w:t>
      </w:r>
      <w:r w:rsidRPr="00306E74">
        <w:rPr>
          <w:rFonts w:cs="Arial"/>
          <w:i/>
          <w:iCs/>
        </w:rPr>
        <w:t>19</w:t>
      </w:r>
      <w:r w:rsidRPr="00306E74">
        <w:rPr>
          <w:rFonts w:cs="Arial"/>
        </w:rPr>
        <w:t>(11), 598-604.</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Lewison, R. L., &amp; Crowder, L. B. (2007). Putting longline bycatch of sea turtles into perspective. </w:t>
      </w:r>
      <w:r w:rsidRPr="00306E74">
        <w:rPr>
          <w:rFonts w:cs="Arial"/>
          <w:i/>
          <w:iCs/>
        </w:rPr>
        <w:t>Conservation biology</w:t>
      </w:r>
      <w:r w:rsidRPr="00306E74">
        <w:rPr>
          <w:rFonts w:cs="Arial"/>
        </w:rPr>
        <w:t xml:space="preserve">, </w:t>
      </w:r>
      <w:r w:rsidRPr="00306E74">
        <w:rPr>
          <w:rFonts w:cs="Arial"/>
          <w:i/>
          <w:iCs/>
        </w:rPr>
        <w:t>21</w:t>
      </w:r>
      <w:r w:rsidRPr="00306E74">
        <w:rPr>
          <w:rFonts w:cs="Arial"/>
        </w:rPr>
        <w:t>(1), 79-86.</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rPr>
      </w:pPr>
      <w:r w:rsidRPr="00306E74">
        <w:rPr>
          <w:rFonts w:cs="Arial"/>
        </w:rPr>
        <w:t xml:space="preserve">Mancini, A., and V. Koch. (2009). Sea turtle consumption and </w:t>
      </w:r>
      <w:proofErr w:type="gramStart"/>
      <w:r w:rsidRPr="00306E74">
        <w:rPr>
          <w:rFonts w:cs="Arial"/>
        </w:rPr>
        <w:t>black market</w:t>
      </w:r>
      <w:proofErr w:type="gramEnd"/>
      <w:r w:rsidRPr="00306E74">
        <w:rPr>
          <w:rFonts w:cs="Arial"/>
        </w:rPr>
        <w:t xml:space="preserve"> trade in Baja California Sur, Mexico. Endangered Species Res. 7:1–10</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proofErr w:type="spellStart"/>
      <w:r w:rsidRPr="00306E74">
        <w:rPr>
          <w:rFonts w:cs="Arial"/>
          <w:lang w:val="en-GB"/>
        </w:rPr>
        <w:t>Mangel</w:t>
      </w:r>
      <w:proofErr w:type="spellEnd"/>
      <w:r w:rsidRPr="00306E74">
        <w:rPr>
          <w:rFonts w:cs="Arial"/>
          <w:lang w:val="en-GB"/>
        </w:rPr>
        <w:t>, J. C., Alfaro-</w:t>
      </w:r>
      <w:proofErr w:type="spellStart"/>
      <w:r w:rsidRPr="00306E74">
        <w:rPr>
          <w:rFonts w:cs="Arial"/>
          <w:lang w:val="en-GB"/>
        </w:rPr>
        <w:t>Shigueto</w:t>
      </w:r>
      <w:proofErr w:type="spellEnd"/>
      <w:r w:rsidRPr="00306E74">
        <w:rPr>
          <w:rFonts w:cs="Arial"/>
          <w:lang w:val="en-GB"/>
        </w:rPr>
        <w:t xml:space="preserve">, J., Van </w:t>
      </w:r>
      <w:proofErr w:type="spellStart"/>
      <w:r w:rsidRPr="00306E74">
        <w:rPr>
          <w:rFonts w:cs="Arial"/>
          <w:lang w:val="en-GB"/>
        </w:rPr>
        <w:t>Waerebeek</w:t>
      </w:r>
      <w:proofErr w:type="spellEnd"/>
      <w:r w:rsidRPr="00306E74">
        <w:rPr>
          <w:rFonts w:cs="Arial"/>
          <w:lang w:val="en-GB"/>
        </w:rPr>
        <w:t xml:space="preserve">, K., </w:t>
      </w:r>
      <w:proofErr w:type="spellStart"/>
      <w:r w:rsidRPr="00306E74">
        <w:rPr>
          <w:rFonts w:cs="Arial"/>
          <w:lang w:val="en-GB"/>
        </w:rPr>
        <w:t>Cáceres</w:t>
      </w:r>
      <w:proofErr w:type="spellEnd"/>
      <w:r w:rsidRPr="00306E74">
        <w:rPr>
          <w:rFonts w:cs="Arial"/>
          <w:lang w:val="en-GB"/>
        </w:rPr>
        <w:t xml:space="preserve">, C., </w:t>
      </w:r>
      <w:proofErr w:type="spellStart"/>
      <w:r w:rsidRPr="00306E74">
        <w:rPr>
          <w:rFonts w:cs="Arial"/>
          <w:lang w:val="en-GB"/>
        </w:rPr>
        <w:t>Bearhop</w:t>
      </w:r>
      <w:proofErr w:type="spellEnd"/>
      <w:r w:rsidRPr="00306E74">
        <w:rPr>
          <w:rFonts w:cs="Arial"/>
          <w:lang w:val="en-GB"/>
        </w:rPr>
        <w:t xml:space="preserve">, S., Witt, M. J., &amp; Godley, B. J. (2010). Small cetacean captures in Peruvian artisanal fisheries: high despite protective legislation. </w:t>
      </w:r>
      <w:r w:rsidRPr="00306E74">
        <w:rPr>
          <w:rFonts w:cs="Arial"/>
          <w:i/>
          <w:iCs/>
          <w:lang w:val="en-GB"/>
        </w:rPr>
        <w:t>Biological Conservation</w:t>
      </w:r>
      <w:r w:rsidRPr="00306E74">
        <w:rPr>
          <w:rFonts w:cs="Arial"/>
          <w:lang w:val="en-GB"/>
        </w:rPr>
        <w:t xml:space="preserve">, </w:t>
      </w:r>
      <w:r w:rsidRPr="00306E74">
        <w:rPr>
          <w:rFonts w:cs="Arial"/>
          <w:i/>
          <w:iCs/>
          <w:lang w:val="en-GB"/>
        </w:rPr>
        <w:t>143</w:t>
      </w:r>
      <w:r w:rsidRPr="00306E74">
        <w:rPr>
          <w:rFonts w:cs="Arial"/>
          <w:lang w:val="en-GB"/>
        </w:rPr>
        <w:t>(1), 136-143</w:t>
      </w:r>
    </w:p>
    <w:p w:rsidR="00306E74" w:rsidRPr="00306E74" w:rsidRDefault="00306E74" w:rsidP="00306E74">
      <w:pPr>
        <w:widowControl w:val="0"/>
        <w:numPr>
          <w:ilvl w:val="0"/>
          <w:numId w:val="12"/>
        </w:numPr>
        <w:suppressAutoHyphens/>
        <w:autoSpaceDE w:val="0"/>
        <w:autoSpaceDN w:val="0"/>
        <w:adjustRightInd w:val="0"/>
        <w:spacing w:after="0" w:line="240" w:lineRule="auto"/>
        <w:ind w:left="426" w:hanging="426"/>
        <w:contextualSpacing/>
        <w:jc w:val="both"/>
        <w:textAlignment w:val="baseline"/>
        <w:rPr>
          <w:rFonts w:cs="Arial"/>
        </w:rPr>
      </w:pPr>
      <w:proofErr w:type="spellStart"/>
      <w:r w:rsidRPr="00306E74">
        <w:rPr>
          <w:rFonts w:cs="Arial"/>
        </w:rPr>
        <w:t>Mayaka</w:t>
      </w:r>
      <w:proofErr w:type="spellEnd"/>
      <w:r w:rsidRPr="00306E74">
        <w:rPr>
          <w:rFonts w:cs="Arial"/>
        </w:rPr>
        <w:t xml:space="preserve">, T.B., </w:t>
      </w:r>
      <w:proofErr w:type="spellStart"/>
      <w:r w:rsidRPr="00306E74">
        <w:rPr>
          <w:rFonts w:cs="Arial"/>
        </w:rPr>
        <w:t>Takoukam</w:t>
      </w:r>
      <w:proofErr w:type="spellEnd"/>
      <w:r w:rsidRPr="00306E74">
        <w:rPr>
          <w:rFonts w:cs="Arial"/>
        </w:rPr>
        <w:t xml:space="preserve"> A.K., &amp; Self-Sullivan, C. (2015). Using Pooled Local Expert Opinions (PLEO) to Discern Patterns in Sightings of Live and Dead Manatees (</w:t>
      </w:r>
      <w:r w:rsidRPr="00306E74">
        <w:rPr>
          <w:rFonts w:cs="Arial"/>
          <w:i/>
          <w:iCs/>
        </w:rPr>
        <w:t>Trichechus senegalensis</w:t>
      </w:r>
      <w:r w:rsidRPr="00306E74">
        <w:rPr>
          <w:rFonts w:cs="Arial"/>
        </w:rPr>
        <w:t xml:space="preserve">, Link 1785) in Lower </w:t>
      </w:r>
      <w:proofErr w:type="spellStart"/>
      <w:r w:rsidRPr="00306E74">
        <w:rPr>
          <w:rFonts w:cs="Arial"/>
        </w:rPr>
        <w:t>Sanaga</w:t>
      </w:r>
      <w:proofErr w:type="spellEnd"/>
      <w:r w:rsidRPr="00306E74">
        <w:rPr>
          <w:rFonts w:cs="Arial"/>
        </w:rPr>
        <w:t xml:space="preserve"> Basin, Cameroon. </w:t>
      </w:r>
      <w:proofErr w:type="spellStart"/>
      <w:r w:rsidRPr="00306E74">
        <w:rPr>
          <w:rFonts w:cs="Arial"/>
          <w:i/>
          <w:iCs/>
        </w:rPr>
        <w:t>PLoS</w:t>
      </w:r>
      <w:proofErr w:type="spellEnd"/>
      <w:r w:rsidRPr="00306E74">
        <w:rPr>
          <w:rFonts w:cs="Arial"/>
          <w:i/>
          <w:iCs/>
        </w:rPr>
        <w:t xml:space="preserve"> One</w:t>
      </w:r>
      <w:r w:rsidRPr="00306E74">
        <w:rPr>
          <w:rFonts w:cs="Arial"/>
        </w:rPr>
        <w:t xml:space="preserve"> 10(7): e0128579. </w:t>
      </w:r>
      <w:proofErr w:type="gramStart"/>
      <w:r w:rsidRPr="00306E74">
        <w:rPr>
          <w:rFonts w:cs="Arial"/>
        </w:rPr>
        <w:t>doi:10.1371/journal.pone</w:t>
      </w:r>
      <w:proofErr w:type="gramEnd"/>
      <w:r w:rsidRPr="00306E74">
        <w:rPr>
          <w:rFonts w:cs="Arial"/>
        </w:rPr>
        <w:t>.0128579</w:t>
      </w:r>
    </w:p>
    <w:p w:rsidR="00306E74" w:rsidRPr="00306E74" w:rsidRDefault="00306E74" w:rsidP="00306E74">
      <w:pPr>
        <w:widowControl w:val="0"/>
        <w:numPr>
          <w:ilvl w:val="0"/>
          <w:numId w:val="12"/>
        </w:numPr>
        <w:suppressAutoHyphens/>
        <w:autoSpaceDE w:val="0"/>
        <w:autoSpaceDN w:val="0"/>
        <w:adjustRightInd w:val="0"/>
        <w:spacing w:after="0" w:line="240" w:lineRule="auto"/>
        <w:ind w:left="426" w:hanging="426"/>
        <w:contextualSpacing/>
        <w:jc w:val="both"/>
        <w:textAlignment w:val="baseline"/>
        <w:rPr>
          <w:rFonts w:cs="Arial"/>
        </w:rPr>
      </w:pPr>
      <w:r w:rsidRPr="00306E74">
        <w:rPr>
          <w:rFonts w:cs="Arial"/>
          <w:lang w:val="de-DE"/>
        </w:rPr>
        <w:t xml:space="preserve">Milner-Gulland, E. J., and E. L. Bennett. </w:t>
      </w:r>
      <w:r w:rsidRPr="00306E74">
        <w:rPr>
          <w:rFonts w:cs="Arial"/>
        </w:rPr>
        <w:t xml:space="preserve">2003. Wild meat: the bigger picture. Trends Ecol. </w:t>
      </w:r>
      <w:proofErr w:type="spellStart"/>
      <w:r w:rsidRPr="00306E74">
        <w:rPr>
          <w:rFonts w:cs="Arial"/>
        </w:rPr>
        <w:t>Evol</w:t>
      </w:r>
      <w:proofErr w:type="spellEnd"/>
      <w:r w:rsidRPr="00306E74">
        <w:rPr>
          <w:rFonts w:cs="Arial"/>
        </w:rPr>
        <w:t>. 18:351–357.</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proofErr w:type="spellStart"/>
      <w:r w:rsidRPr="00306E74">
        <w:rPr>
          <w:rFonts w:cs="Arial"/>
          <w:lang w:val="en-GB"/>
        </w:rPr>
        <w:t>Panayotou</w:t>
      </w:r>
      <w:proofErr w:type="spellEnd"/>
      <w:r w:rsidRPr="00306E74">
        <w:rPr>
          <w:rFonts w:cs="Arial"/>
          <w:lang w:val="en-GB"/>
        </w:rPr>
        <w:t>, T. (1982) Management concepts for small-scale fisheries: economic and social aspects. Rome, Italy: Food and Agriculture Organization.</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Pauly, D. (2006) Major trends in small-scale marine fisheries, with emphasis on developing countries, and some implications for the social sciences. Maritime Studies 4: 7–22</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Peckham, S. H., Diaz, D. M., </w:t>
      </w:r>
      <w:proofErr w:type="spellStart"/>
      <w:r w:rsidRPr="00306E74">
        <w:rPr>
          <w:rFonts w:cs="Arial"/>
          <w:lang w:val="en-GB"/>
        </w:rPr>
        <w:t>Walli</w:t>
      </w:r>
      <w:proofErr w:type="spellEnd"/>
      <w:r w:rsidRPr="00306E74">
        <w:rPr>
          <w:rFonts w:cs="Arial"/>
          <w:lang w:val="en-GB"/>
        </w:rPr>
        <w:t xml:space="preserve">, A., Ruiz, G., Crowder, L. B., &amp; Nichols, W. J. (2007). Small-scale fisheries bycatch jeopardizes endangered Pacific loggerhead turtles. </w:t>
      </w:r>
      <w:proofErr w:type="spellStart"/>
      <w:r w:rsidRPr="00306E74">
        <w:rPr>
          <w:rFonts w:cs="Arial"/>
          <w:i/>
          <w:iCs/>
          <w:lang w:val="en-GB"/>
        </w:rPr>
        <w:t>PloS</w:t>
      </w:r>
      <w:proofErr w:type="spellEnd"/>
      <w:r w:rsidRPr="00306E74">
        <w:rPr>
          <w:rFonts w:cs="Arial"/>
          <w:i/>
          <w:iCs/>
          <w:lang w:val="en-GB"/>
        </w:rPr>
        <w:t xml:space="preserve"> one</w:t>
      </w:r>
      <w:r w:rsidRPr="00306E74">
        <w:rPr>
          <w:rFonts w:cs="Arial"/>
          <w:lang w:val="en-GB"/>
        </w:rPr>
        <w:t xml:space="preserve">, </w:t>
      </w:r>
      <w:r w:rsidRPr="00306E74">
        <w:rPr>
          <w:rFonts w:cs="Arial"/>
          <w:i/>
          <w:iCs/>
          <w:lang w:val="en-GB"/>
        </w:rPr>
        <w:t>2</w:t>
      </w:r>
      <w:r w:rsidRPr="00306E74">
        <w:rPr>
          <w:rFonts w:cs="Arial"/>
          <w:lang w:val="en-GB"/>
        </w:rPr>
        <w:t xml:space="preserve">(10), </w:t>
      </w:r>
      <w:r w:rsidRPr="00306E74">
        <w:rPr>
          <w:rFonts w:cs="Arial"/>
          <w:lang w:val="en-GB"/>
        </w:rPr>
        <w:lastRenderedPageBreak/>
        <w:t>e1041.</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Phillips, R.A., Gales, R., Baker, G.B., Double, M.C., </w:t>
      </w:r>
      <w:proofErr w:type="spellStart"/>
      <w:r w:rsidRPr="00306E74">
        <w:rPr>
          <w:rFonts w:cs="Arial"/>
          <w:lang w:val="en-GB"/>
        </w:rPr>
        <w:t>Favero</w:t>
      </w:r>
      <w:proofErr w:type="spellEnd"/>
      <w:r w:rsidRPr="00306E74">
        <w:rPr>
          <w:rFonts w:cs="Arial"/>
          <w:lang w:val="en-GB"/>
        </w:rPr>
        <w:t xml:space="preserve">, M., Quintana, F., Tasker, M.L., </w:t>
      </w:r>
      <w:proofErr w:type="spellStart"/>
      <w:r w:rsidRPr="00306E74">
        <w:rPr>
          <w:rFonts w:cs="Arial"/>
          <w:lang w:val="en-GB"/>
        </w:rPr>
        <w:t>Weimerskirch</w:t>
      </w:r>
      <w:proofErr w:type="spellEnd"/>
      <w:r w:rsidRPr="00306E74">
        <w:rPr>
          <w:rFonts w:cs="Arial"/>
          <w:lang w:val="en-GB"/>
        </w:rPr>
        <w:t xml:space="preserve">, H., </w:t>
      </w:r>
      <w:proofErr w:type="spellStart"/>
      <w:r w:rsidRPr="00306E74">
        <w:rPr>
          <w:rFonts w:cs="Arial"/>
          <w:lang w:val="en-GB"/>
        </w:rPr>
        <w:t>Uhart</w:t>
      </w:r>
      <w:proofErr w:type="spellEnd"/>
      <w:r w:rsidRPr="00306E74">
        <w:rPr>
          <w:rFonts w:cs="Arial"/>
          <w:lang w:val="en-GB"/>
        </w:rPr>
        <w:t xml:space="preserve">, M., and </w:t>
      </w:r>
      <w:proofErr w:type="spellStart"/>
      <w:r w:rsidRPr="00306E74">
        <w:rPr>
          <w:rFonts w:cs="Arial"/>
          <w:lang w:val="en-GB"/>
        </w:rPr>
        <w:t>Wolfaardt</w:t>
      </w:r>
      <w:proofErr w:type="spellEnd"/>
      <w:r w:rsidRPr="00306E74">
        <w:rPr>
          <w:rFonts w:cs="Arial"/>
          <w:lang w:val="en-GB"/>
        </w:rPr>
        <w:t>, A. 2016. A global assessment of the conservation status, threats and priorities for albatrosses and large petrels. Biological Conservation 201, 169-183.</w:t>
      </w:r>
    </w:p>
    <w:p w:rsidR="00306E74" w:rsidRPr="00306E74" w:rsidRDefault="00306E74" w:rsidP="00306E74">
      <w:pPr>
        <w:widowControl w:val="0"/>
        <w:numPr>
          <w:ilvl w:val="0"/>
          <w:numId w:val="12"/>
        </w:numPr>
        <w:suppressAutoHyphens/>
        <w:autoSpaceDE w:val="0"/>
        <w:autoSpaceDN w:val="0"/>
        <w:adjustRightInd w:val="0"/>
        <w:spacing w:after="0" w:line="240" w:lineRule="auto"/>
        <w:ind w:left="426" w:hanging="426"/>
        <w:contextualSpacing/>
        <w:jc w:val="both"/>
        <w:textAlignment w:val="baseline"/>
        <w:rPr>
          <w:rFonts w:cs="Arial"/>
        </w:rPr>
      </w:pPr>
      <w:r w:rsidRPr="00306E74">
        <w:rPr>
          <w:rFonts w:cs="Arial"/>
          <w:lang w:val="en-GB"/>
        </w:rPr>
        <w:t xml:space="preserve">Raby, G.D., </w:t>
      </w:r>
      <w:proofErr w:type="spellStart"/>
      <w:r w:rsidRPr="00306E74">
        <w:rPr>
          <w:rFonts w:cs="Arial"/>
        </w:rPr>
        <w:t>Colotelo</w:t>
      </w:r>
      <w:proofErr w:type="spellEnd"/>
      <w:r w:rsidRPr="00306E74">
        <w:rPr>
          <w:rFonts w:cs="Arial"/>
        </w:rPr>
        <w:t>, A.H., Blouin-Demers, G., &amp; Cooke, S.J. (2011). Freshwater Commercial Bycatch: An Understated Conservation Problem.</w:t>
      </w:r>
      <w:r w:rsidRPr="00306E74">
        <w:rPr>
          <w:rFonts w:cs="Arial"/>
          <w:lang w:val="en-GB"/>
        </w:rPr>
        <w:t xml:space="preserve"> </w:t>
      </w:r>
      <w:proofErr w:type="spellStart"/>
      <w:r w:rsidRPr="00306E74">
        <w:rPr>
          <w:rFonts w:cs="Arial"/>
          <w:i/>
          <w:iCs/>
        </w:rPr>
        <w:t>BioScience</w:t>
      </w:r>
      <w:proofErr w:type="spellEnd"/>
      <w:r w:rsidRPr="00306E74">
        <w:rPr>
          <w:rFonts w:cs="Arial"/>
          <w:i/>
          <w:iCs/>
        </w:rPr>
        <w:t xml:space="preserve"> </w:t>
      </w:r>
      <w:r w:rsidRPr="00306E74">
        <w:rPr>
          <w:rFonts w:cs="Arial"/>
        </w:rPr>
        <w:t>61: 271–280.</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Read, A. J., Drinker, P., &amp; Northridge, S. (2006). Bycatch of marine mammals in US and global fisheries. </w:t>
      </w:r>
      <w:r w:rsidRPr="00306E74">
        <w:rPr>
          <w:rFonts w:cs="Arial"/>
          <w:i/>
          <w:iCs/>
          <w:lang w:val="en-GB"/>
        </w:rPr>
        <w:t>Conservation biology</w:t>
      </w:r>
      <w:r w:rsidRPr="00306E74">
        <w:rPr>
          <w:rFonts w:cs="Arial"/>
          <w:lang w:val="en-GB"/>
        </w:rPr>
        <w:t xml:space="preserve">, </w:t>
      </w:r>
      <w:r w:rsidRPr="00306E74">
        <w:rPr>
          <w:rFonts w:cs="Arial"/>
          <w:i/>
          <w:iCs/>
          <w:lang w:val="en-GB"/>
        </w:rPr>
        <w:t>20</w:t>
      </w:r>
      <w:r w:rsidRPr="00306E74">
        <w:rPr>
          <w:rFonts w:cs="Arial"/>
          <w:lang w:val="en-GB"/>
        </w:rPr>
        <w:t>(1), 163-169.</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rPr>
        <w:t xml:space="preserve">Robards, M.D. and Reeves, R.R., 2011. The global extent and character of marine mammal consumption by humans: 1970–2009. </w:t>
      </w:r>
      <w:r w:rsidRPr="00306E74">
        <w:rPr>
          <w:rFonts w:cs="Arial"/>
          <w:i/>
          <w:iCs/>
        </w:rPr>
        <w:t>Biological Conservation</w:t>
      </w:r>
      <w:r w:rsidRPr="00306E74">
        <w:rPr>
          <w:rFonts w:cs="Arial"/>
        </w:rPr>
        <w:t>, 144(12), pp.2770-2786.</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Temple, A. J., </w:t>
      </w:r>
      <w:proofErr w:type="spellStart"/>
      <w:r w:rsidRPr="00306E74">
        <w:rPr>
          <w:rFonts w:cs="Arial"/>
          <w:lang w:val="en-GB"/>
        </w:rPr>
        <w:t>Kiszka</w:t>
      </w:r>
      <w:proofErr w:type="spellEnd"/>
      <w:r w:rsidRPr="00306E74">
        <w:rPr>
          <w:rFonts w:cs="Arial"/>
          <w:lang w:val="en-GB"/>
        </w:rPr>
        <w:t xml:space="preserve">, J. J., Stead, S. M., </w:t>
      </w:r>
      <w:proofErr w:type="spellStart"/>
      <w:r w:rsidRPr="00306E74">
        <w:rPr>
          <w:rFonts w:cs="Arial"/>
          <w:lang w:val="en-GB"/>
        </w:rPr>
        <w:t>Wambiji</w:t>
      </w:r>
      <w:proofErr w:type="spellEnd"/>
      <w:r w:rsidRPr="00306E74">
        <w:rPr>
          <w:rFonts w:cs="Arial"/>
          <w:lang w:val="en-GB"/>
        </w:rPr>
        <w:t xml:space="preserve">, N., Brito, A., </w:t>
      </w:r>
      <w:proofErr w:type="spellStart"/>
      <w:r w:rsidRPr="00306E74">
        <w:rPr>
          <w:rFonts w:cs="Arial"/>
          <w:lang w:val="en-GB"/>
        </w:rPr>
        <w:t>Poonian</w:t>
      </w:r>
      <w:proofErr w:type="spellEnd"/>
      <w:r w:rsidRPr="00306E74">
        <w:rPr>
          <w:rFonts w:cs="Arial"/>
          <w:lang w:val="en-GB"/>
        </w:rPr>
        <w:t xml:space="preserve">, C. N., . &amp; Berggren, P. (2018). Marine megafauna interactions with small-scale fisheries in the southwestern Indian Ocean: a review of status and challenges for research and management. </w:t>
      </w:r>
      <w:r w:rsidRPr="00306E74">
        <w:rPr>
          <w:rFonts w:cs="Arial"/>
          <w:i/>
          <w:iCs/>
          <w:lang w:val="en-GB"/>
        </w:rPr>
        <w:t>Reviews in fish biology and fisheries</w:t>
      </w:r>
      <w:r w:rsidRPr="00306E74">
        <w:rPr>
          <w:rFonts w:cs="Arial"/>
          <w:lang w:val="en-GB"/>
        </w:rPr>
        <w:t xml:space="preserve">, </w:t>
      </w:r>
      <w:r w:rsidRPr="00306E74">
        <w:rPr>
          <w:rFonts w:cs="Arial"/>
          <w:i/>
          <w:iCs/>
          <w:lang w:val="en-GB"/>
        </w:rPr>
        <w:t>28</w:t>
      </w:r>
      <w:r w:rsidRPr="00306E74">
        <w:rPr>
          <w:rFonts w:cs="Arial"/>
          <w:lang w:val="en-GB"/>
        </w:rPr>
        <w:t>(1), 89-115.</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r w:rsidRPr="00306E74">
        <w:rPr>
          <w:rFonts w:cs="Arial"/>
          <w:lang w:val="en-GB"/>
        </w:rPr>
        <w:t xml:space="preserve">US Commission on Ocean Policy. "An ocean blueprint for the 21st century." (2004): 40.White, W. T., Giles, J., </w:t>
      </w:r>
      <w:proofErr w:type="spellStart"/>
      <w:r w:rsidRPr="00306E74">
        <w:rPr>
          <w:rFonts w:cs="Arial"/>
          <w:lang w:val="en-GB"/>
        </w:rPr>
        <w:t>Dharmadi</w:t>
      </w:r>
      <w:proofErr w:type="spellEnd"/>
      <w:r w:rsidRPr="00306E74">
        <w:rPr>
          <w:rFonts w:cs="Arial"/>
          <w:lang w:val="en-GB"/>
        </w:rPr>
        <w:t xml:space="preserve"> &amp; Potter, I. C. </w:t>
      </w:r>
      <w:r w:rsidRPr="00306E74">
        <w:rPr>
          <w:rFonts w:cs="Arial"/>
          <w:i/>
          <w:iCs/>
          <w:lang w:val="en-GB"/>
        </w:rPr>
        <w:t xml:space="preserve">Data on the bycatch fishery and reproductive biology of </w:t>
      </w:r>
      <w:proofErr w:type="spellStart"/>
      <w:r w:rsidRPr="00306E74">
        <w:rPr>
          <w:rFonts w:cs="Arial"/>
          <w:i/>
          <w:iCs/>
          <w:lang w:val="en-GB"/>
        </w:rPr>
        <w:t>mobulid</w:t>
      </w:r>
      <w:proofErr w:type="spellEnd"/>
      <w:r w:rsidRPr="00306E74">
        <w:rPr>
          <w:rFonts w:cs="Arial"/>
          <w:i/>
          <w:iCs/>
          <w:lang w:val="en-GB"/>
        </w:rPr>
        <w:t xml:space="preserve"> rays (</w:t>
      </w:r>
      <w:proofErr w:type="spellStart"/>
      <w:r w:rsidRPr="00306E74">
        <w:rPr>
          <w:rFonts w:cs="Arial"/>
          <w:i/>
          <w:iCs/>
          <w:lang w:val="en-GB"/>
        </w:rPr>
        <w:t>Myliobatiformes</w:t>
      </w:r>
      <w:proofErr w:type="spellEnd"/>
      <w:r w:rsidRPr="00306E74">
        <w:rPr>
          <w:rFonts w:cs="Arial"/>
          <w:i/>
          <w:iCs/>
          <w:lang w:val="en-GB"/>
        </w:rPr>
        <w:t>) in Indonesia</w:t>
      </w:r>
      <w:r w:rsidRPr="00306E74">
        <w:rPr>
          <w:rFonts w:cs="Arial"/>
          <w:lang w:val="en-GB"/>
        </w:rPr>
        <w:t xml:space="preserve">. </w:t>
      </w:r>
      <w:r w:rsidRPr="00306E74">
        <w:rPr>
          <w:rFonts w:cs="Arial"/>
          <w:i/>
          <w:iCs/>
          <w:lang w:val="en-GB"/>
        </w:rPr>
        <w:t>Fish. Res.</w:t>
      </w:r>
      <w:r w:rsidRPr="00306E74">
        <w:rPr>
          <w:rFonts w:cs="Arial"/>
          <w:lang w:val="en-GB"/>
        </w:rPr>
        <w:t xml:space="preserve"> </w:t>
      </w:r>
      <w:r w:rsidRPr="00306E74">
        <w:rPr>
          <w:rFonts w:cs="Arial"/>
          <w:b/>
          <w:bCs/>
          <w:lang w:val="en-GB"/>
        </w:rPr>
        <w:t>82</w:t>
      </w:r>
      <w:r w:rsidRPr="00306E74">
        <w:rPr>
          <w:rFonts w:cs="Arial"/>
          <w:lang w:val="en-GB"/>
        </w:rPr>
        <w:t>, 65–73 (2006)</w:t>
      </w:r>
    </w:p>
    <w:p w:rsidR="00306E74" w:rsidRPr="00306E74" w:rsidRDefault="00306E74" w:rsidP="00306E74">
      <w:pPr>
        <w:widowControl w:val="0"/>
        <w:numPr>
          <w:ilvl w:val="0"/>
          <w:numId w:val="12"/>
        </w:numPr>
        <w:suppressAutoHyphens/>
        <w:autoSpaceDE w:val="0"/>
        <w:autoSpaceDN w:val="0"/>
        <w:spacing w:after="0" w:line="240" w:lineRule="auto"/>
        <w:ind w:left="426" w:hanging="426"/>
        <w:contextualSpacing/>
        <w:jc w:val="both"/>
        <w:textAlignment w:val="baseline"/>
        <w:rPr>
          <w:rFonts w:cs="Arial"/>
          <w:lang w:val="en-GB"/>
        </w:rPr>
      </w:pPr>
      <w:proofErr w:type="spellStart"/>
      <w:r w:rsidRPr="00306E74">
        <w:rPr>
          <w:rFonts w:cs="Arial"/>
        </w:rPr>
        <w:t>Wilkie</w:t>
      </w:r>
      <w:proofErr w:type="spellEnd"/>
      <w:r w:rsidRPr="00306E74">
        <w:rPr>
          <w:rFonts w:cs="Arial"/>
        </w:rPr>
        <w:t xml:space="preserve">, D. S., and J. F. Carpenter. 1999. Bushmeat hunting in the Congo Basin: an assessment of impacts and options for mitigation. </w:t>
      </w:r>
      <w:r w:rsidRPr="00306E74">
        <w:rPr>
          <w:rFonts w:cs="Arial"/>
          <w:lang w:val="en-GB"/>
        </w:rPr>
        <w:t xml:space="preserve">Biodiversity </w:t>
      </w:r>
      <w:proofErr w:type="spellStart"/>
      <w:r w:rsidRPr="00306E74">
        <w:rPr>
          <w:rFonts w:cs="Arial"/>
          <w:lang w:val="en-GB"/>
        </w:rPr>
        <w:t>Conserv</w:t>
      </w:r>
      <w:proofErr w:type="spellEnd"/>
      <w:r w:rsidRPr="00306E74">
        <w:rPr>
          <w:rFonts w:cs="Arial"/>
          <w:lang w:val="en-GB"/>
        </w:rPr>
        <w:t>. 8:927–955.</w:t>
      </w:r>
    </w:p>
    <w:p w:rsidR="00306E74" w:rsidRPr="00306E74" w:rsidRDefault="00306E74" w:rsidP="00306E74">
      <w:pPr>
        <w:spacing w:after="0" w:line="240" w:lineRule="auto"/>
        <w:jc w:val="both"/>
        <w:rPr>
          <w:rFonts w:cs="Arial"/>
          <w:b/>
          <w:bCs/>
          <w:lang w:val="en-GB"/>
        </w:rPr>
      </w:pPr>
    </w:p>
    <w:p w:rsidR="00002A97" w:rsidRPr="006F22B0" w:rsidRDefault="00002A97" w:rsidP="00306E74">
      <w:pPr>
        <w:widowControl w:val="0"/>
        <w:suppressAutoHyphens/>
        <w:autoSpaceDE w:val="0"/>
        <w:autoSpaceDN w:val="0"/>
        <w:spacing w:after="0" w:line="240" w:lineRule="auto"/>
        <w:textAlignment w:val="baseline"/>
      </w:pPr>
    </w:p>
    <w:sectPr w:rsidR="00002A97" w:rsidRPr="006F22B0" w:rsidSect="00B104EC">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97" w:rsidRDefault="00002A97" w:rsidP="00002A97">
      <w:pPr>
        <w:spacing w:after="0" w:line="240" w:lineRule="auto"/>
      </w:pPr>
      <w:r>
        <w:separator/>
      </w:r>
    </w:p>
  </w:endnote>
  <w:endnote w:type="continuationSeparator" w:id="0">
    <w:p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Times-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697900"/>
      <w:docPartObj>
        <w:docPartGallery w:val="Page Numbers (Bottom of Page)"/>
        <w:docPartUnique/>
      </w:docPartObj>
    </w:sdtPr>
    <w:sdtEndPr>
      <w:rPr>
        <w:noProof/>
        <w:sz w:val="18"/>
        <w:szCs w:val="18"/>
      </w:rPr>
    </w:sdtEndPr>
    <w:sdtContent>
      <w:p w:rsidR="00306E74" w:rsidRPr="00306E74" w:rsidRDefault="00306E74">
        <w:pPr>
          <w:pStyle w:val="Footer"/>
          <w:jc w:val="center"/>
          <w:rPr>
            <w:sz w:val="18"/>
            <w:szCs w:val="18"/>
          </w:rPr>
        </w:pPr>
        <w:r w:rsidRPr="00306E74">
          <w:rPr>
            <w:sz w:val="18"/>
            <w:szCs w:val="18"/>
          </w:rPr>
          <w:fldChar w:fldCharType="begin"/>
        </w:r>
        <w:r w:rsidRPr="00306E74">
          <w:rPr>
            <w:sz w:val="18"/>
            <w:szCs w:val="18"/>
          </w:rPr>
          <w:instrText xml:space="preserve"> PAGE   \* MERGEFORMAT </w:instrText>
        </w:r>
        <w:r w:rsidRPr="00306E74">
          <w:rPr>
            <w:sz w:val="18"/>
            <w:szCs w:val="18"/>
          </w:rPr>
          <w:fldChar w:fldCharType="separate"/>
        </w:r>
        <w:r w:rsidRPr="00306E74">
          <w:rPr>
            <w:noProof/>
            <w:sz w:val="18"/>
            <w:szCs w:val="18"/>
          </w:rPr>
          <w:t>2</w:t>
        </w:r>
        <w:r w:rsidRPr="00306E74">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744436"/>
      <w:docPartObj>
        <w:docPartGallery w:val="Page Numbers (Bottom of Page)"/>
        <w:docPartUnique/>
      </w:docPartObj>
    </w:sdtPr>
    <w:sdtEndPr>
      <w:rPr>
        <w:noProof/>
        <w:sz w:val="18"/>
        <w:szCs w:val="18"/>
      </w:rPr>
    </w:sdtEndPr>
    <w:sdtContent>
      <w:p w:rsidR="00306E74" w:rsidRPr="00306E74" w:rsidRDefault="00306E74">
        <w:pPr>
          <w:pStyle w:val="Footer"/>
          <w:jc w:val="center"/>
          <w:rPr>
            <w:sz w:val="18"/>
            <w:szCs w:val="18"/>
          </w:rPr>
        </w:pPr>
        <w:r w:rsidRPr="00306E74">
          <w:rPr>
            <w:sz w:val="18"/>
            <w:szCs w:val="18"/>
          </w:rPr>
          <w:fldChar w:fldCharType="begin"/>
        </w:r>
        <w:r w:rsidRPr="00306E74">
          <w:rPr>
            <w:sz w:val="18"/>
            <w:szCs w:val="18"/>
          </w:rPr>
          <w:instrText xml:space="preserve"> PAGE   \* MERGEFORMAT </w:instrText>
        </w:r>
        <w:r w:rsidRPr="00306E74">
          <w:rPr>
            <w:sz w:val="18"/>
            <w:szCs w:val="18"/>
          </w:rPr>
          <w:fldChar w:fldCharType="separate"/>
        </w:r>
        <w:r w:rsidRPr="00306E74">
          <w:rPr>
            <w:noProof/>
            <w:sz w:val="18"/>
            <w:szCs w:val="18"/>
          </w:rPr>
          <w:t>2</w:t>
        </w:r>
        <w:r w:rsidRPr="00306E74">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9419459"/>
      <w:docPartObj>
        <w:docPartGallery w:val="Page Numbers (Bottom of Page)"/>
        <w:docPartUnique/>
      </w:docPartObj>
    </w:sdtPr>
    <w:sdtEndPr>
      <w:rPr>
        <w:noProof/>
      </w:rPr>
    </w:sdtEndPr>
    <w:sdtContent>
      <w:p w:rsidR="00D70275" w:rsidRPr="00D70275" w:rsidRDefault="00306E74">
        <w:pPr>
          <w:pStyle w:val="Footer"/>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97" w:rsidRDefault="00002A97" w:rsidP="00002A97">
      <w:pPr>
        <w:spacing w:after="0" w:line="240" w:lineRule="auto"/>
      </w:pPr>
      <w:r>
        <w:separator/>
      </w:r>
    </w:p>
  </w:footnote>
  <w:footnote w:type="continuationSeparator" w:id="0">
    <w:p w:rsidR="00002A97" w:rsidRDefault="00002A97"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75" w:rsidRPr="00306E74" w:rsidRDefault="00D70275" w:rsidP="00002A97">
    <w:pPr>
      <w:pStyle w:val="Header"/>
      <w:pBdr>
        <w:bottom w:val="single" w:sz="4" w:space="1" w:color="auto"/>
      </w:pBdr>
      <w:rPr>
        <w:i/>
        <w:sz w:val="18"/>
        <w:szCs w:val="18"/>
      </w:rPr>
    </w:pPr>
    <w:r w:rsidRPr="00306E74">
      <w:rPr>
        <w:rFonts w:eastAsia="Times New Roman" w:cs="Arial"/>
        <w:i/>
        <w:sz w:val="18"/>
        <w:szCs w:val="18"/>
        <w:lang w:eastAsia="es-ES"/>
      </w:rPr>
      <w:t>UNEP/CMS/COP13/Doc.</w:t>
    </w:r>
    <w:r w:rsidR="00306E74" w:rsidRPr="00306E74">
      <w:rPr>
        <w:rFonts w:eastAsia="Times New Roman" w:cs="Arial"/>
        <w:i/>
        <w:sz w:val="18"/>
        <w:szCs w:val="18"/>
        <w:lang w:eastAsia="es-ES"/>
      </w:rPr>
      <w:t>26.2.4/Rev.</w:t>
    </w:r>
    <w:r w:rsidR="00306E74">
      <w:rPr>
        <w:rFonts w:eastAsia="Times New Roman" w:cs="Arial"/>
        <w:i/>
        <w:sz w:val="18"/>
        <w:szCs w:val="18"/>
        <w:lang w:eastAsia="es-ES"/>
      </w:rPr>
      <w:t>1/Anexo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E74" w:rsidRPr="00306E74" w:rsidRDefault="00306E74" w:rsidP="00306E74">
    <w:pPr>
      <w:pStyle w:val="Header"/>
      <w:pBdr>
        <w:bottom w:val="single" w:sz="4" w:space="1" w:color="auto"/>
      </w:pBdr>
      <w:jc w:val="right"/>
      <w:rPr>
        <w:i/>
        <w:sz w:val="18"/>
        <w:szCs w:val="18"/>
      </w:rPr>
    </w:pPr>
    <w:r w:rsidRPr="00306E74">
      <w:rPr>
        <w:rFonts w:eastAsia="Times New Roman" w:cs="Arial"/>
        <w:i/>
        <w:sz w:val="18"/>
        <w:szCs w:val="18"/>
        <w:lang w:eastAsia="es-ES"/>
      </w:rPr>
      <w:t>UNEP/CMS/COP13/Doc.26.2.4/Rev.</w:t>
    </w:r>
    <w:r>
      <w:rPr>
        <w:rFonts w:eastAsia="Times New Roman" w:cs="Arial"/>
        <w:i/>
        <w:sz w:val="18"/>
        <w:szCs w:val="18"/>
        <w:lang w:eastAsia="es-ES"/>
      </w:rPr>
      <w:t>1/Anexo 3</w:t>
    </w:r>
  </w:p>
  <w:p w:rsidR="00306E74" w:rsidRDefault="0030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B0" w:rsidRPr="00002A97" w:rsidRDefault="006F22B0"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sidRPr="00002A97">
      <w:rPr>
        <w:rFonts w:eastAsia="Times New Roman" w:cs="Times New Roman"/>
        <w:noProof/>
        <w:sz w:val="18"/>
        <w:szCs w:val="20"/>
      </w:rPr>
      <w:drawing>
        <wp:anchor distT="0" distB="0" distL="114300" distR="114300" simplePos="0" relativeHeight="251660288" behindDoc="0" locked="0" layoutInCell="1" allowOverlap="1" wp14:anchorId="17BBB0C2" wp14:editId="1678BAE7">
          <wp:simplePos x="0" y="0"/>
          <wp:positionH relativeFrom="column">
            <wp:posOffset>-123190</wp:posOffset>
          </wp:positionH>
          <wp:positionV relativeFrom="paragraph">
            <wp:posOffset>-56515</wp:posOffset>
          </wp:positionV>
          <wp:extent cx="938530" cy="506730"/>
          <wp:effectExtent l="0" t="0" r="0" b="0"/>
          <wp:wrapTight wrapText="bothSides">
            <wp:wrapPolygon edited="0">
              <wp:start x="2191" y="2436"/>
              <wp:lineTo x="1314" y="14616"/>
              <wp:lineTo x="1314" y="18677"/>
              <wp:lineTo x="19716" y="18677"/>
              <wp:lineTo x="19278" y="5684"/>
              <wp:lineTo x="18840" y="2436"/>
              <wp:lineTo x="2191" y="2436"/>
            </wp:wrapPolygon>
          </wp:wrapTight>
          <wp:docPr id="2" name="Picture 3" descr="UNEnvironment_Logo_Span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38530" cy="506730"/>
                  </a:xfrm>
                  <a:prstGeom prst="rect">
                    <a:avLst/>
                  </a:prstGeom>
                  <a:noFill/>
                  <a:ln>
                    <a:noFill/>
                    <a:prstDash/>
                  </a:ln>
                </pic:spPr>
              </pic:pic>
            </a:graphicData>
          </a:graphic>
          <wp14:sizeRelH relativeFrom="margin">
            <wp14:pctWidth>0</wp14:pctWidth>
          </wp14:sizeRelH>
        </wp:anchor>
      </w:drawing>
    </w:r>
    <w:r w:rsidRPr="00002A97">
      <w:rPr>
        <w:rFonts w:eastAsia="Times New Roman" w:cs="Times New Roman"/>
        <w:noProof/>
        <w:sz w:val="18"/>
        <w:szCs w:val="20"/>
        <w:lang w:val="es-ES" w:eastAsia="es-ES"/>
      </w:rPr>
      <w:drawing>
        <wp:anchor distT="0" distB="0" distL="114300" distR="114300" simplePos="0" relativeHeight="251661312" behindDoc="0" locked="0" layoutInCell="1" allowOverlap="1" wp14:anchorId="30A6DAC7" wp14:editId="0C23DA3D">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567816BF" wp14:editId="580D8D41">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rsidR="00B40E07" w:rsidRPr="006F22B0" w:rsidRDefault="00B40E07" w:rsidP="006F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BE2"/>
    <w:multiLevelType w:val="multilevel"/>
    <w:tmpl w:val="31529990"/>
    <w:lvl w:ilvl="0">
      <w:start w:val="1"/>
      <w:numFmt w:val="decimal"/>
      <w:lvlText w:val="%1)"/>
      <w:lvlJc w:val="left"/>
      <w:pPr>
        <w:ind w:left="360" w:hanging="360"/>
      </w:pPr>
      <w:rPr>
        <w:rFonts w:hint="default"/>
      </w:rPr>
    </w:lvl>
    <w:lvl w:ilvl="1">
      <w:start w:val="1"/>
      <w:numFmt w:val="lowerLetter"/>
      <w:lvlText w:val="%2"/>
      <w:lvlJc w:val="left"/>
      <w:pPr>
        <w:tabs>
          <w:tab w:val="num" w:pos="907"/>
        </w:tabs>
        <w:ind w:left="1134" w:hanging="283"/>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B34223"/>
    <w:multiLevelType w:val="hybridMultilevel"/>
    <w:tmpl w:val="F34E9EE6"/>
    <w:lvl w:ilvl="0" w:tplc="AF0AA700">
      <w:start w:val="1"/>
      <w:numFmt w:val="decimal"/>
      <w:lvlText w:val="%1."/>
      <w:lvlJc w:val="left"/>
      <w:pPr>
        <w:ind w:left="504" w:hanging="504"/>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7E7886"/>
    <w:multiLevelType w:val="hybridMultilevel"/>
    <w:tmpl w:val="206413DC"/>
    <w:lvl w:ilvl="0" w:tplc="2000000F">
      <w:start w:val="1"/>
      <w:numFmt w:val="decimal"/>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8"/>
  </w:num>
  <w:num w:numId="5">
    <w:abstractNumId w:val="5"/>
  </w:num>
  <w:num w:numId="6">
    <w:abstractNumId w:val="9"/>
  </w:num>
  <w:num w:numId="7">
    <w:abstractNumId w:val="11"/>
  </w:num>
  <w:num w:numId="8">
    <w:abstractNumId w:val="7"/>
  </w:num>
  <w:num w:numId="9">
    <w:abstractNumId w:val="6"/>
  </w:num>
  <w:num w:numId="10">
    <w:abstractNumId w:val="13"/>
  </w:num>
  <w:num w:numId="11">
    <w:abstractNumId w:val="10"/>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E192F"/>
    <w:rsid w:val="00127CCF"/>
    <w:rsid w:val="00192411"/>
    <w:rsid w:val="0024152C"/>
    <w:rsid w:val="002F7EC2"/>
    <w:rsid w:val="00306E74"/>
    <w:rsid w:val="004C7808"/>
    <w:rsid w:val="005330F7"/>
    <w:rsid w:val="00563598"/>
    <w:rsid w:val="006F22B0"/>
    <w:rsid w:val="00790422"/>
    <w:rsid w:val="00810C64"/>
    <w:rsid w:val="00943D15"/>
    <w:rsid w:val="009A0422"/>
    <w:rsid w:val="009A510F"/>
    <w:rsid w:val="00AC09AE"/>
    <w:rsid w:val="00B104EC"/>
    <w:rsid w:val="00B40E07"/>
    <w:rsid w:val="00BC5707"/>
    <w:rsid w:val="00BF7838"/>
    <w:rsid w:val="00D70275"/>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190"/>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int/sites/default/files/document/cms_cop12_res.12.15_aquatic_wild_meat_e.pdf" TargetMode="External"/><Relationship Id="rId13" Type="http://schemas.openxmlformats.org/officeDocument/2006/relationships/hyperlink" Target="http://www.spc.int/DigitalLibrary/Doc/FAME/Reports/CRISP/ENG_2006_Coastal_Shark_Fisheries_Pacific.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doi.org/10.3354/meps0810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int/en/species/podocnemis-expans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ms.int/en/species/gavialis-gangeticu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ms.int/en/documents/decisions/cop12/lis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dcterms:created xsi:type="dcterms:W3CDTF">2019-11-22T11:18:00Z</dcterms:created>
  <dcterms:modified xsi:type="dcterms:W3CDTF">2019-11-22T11:18:00Z</dcterms:modified>
</cp:coreProperties>
</file>