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9F1388"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9F1388"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9F1388">
              <w:rPr>
                <w:rFonts w:eastAsia="Times New Roman" w:cs="Arial"/>
                <w:noProof/>
                <w:szCs w:val="24"/>
                <w:lang w:val="es-ES"/>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9F1388"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9F1388"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9F1388">
              <w:rPr>
                <w:rFonts w:eastAsia="Times New Roman" w:cs="Arial"/>
                <w:b/>
                <w:bCs/>
                <w:sz w:val="32"/>
                <w:szCs w:val="24"/>
                <w:lang w:val="es-ES" w:eastAsia="es-ES"/>
              </w:rPr>
              <w:t>CONVENCIÓN SOBRE</w:t>
            </w:r>
          </w:p>
          <w:p w:rsidR="00002A97" w:rsidRPr="009F1388"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9F1388">
              <w:rPr>
                <w:rFonts w:eastAsia="Times New Roman" w:cs="Arial"/>
                <w:b/>
                <w:bCs/>
                <w:sz w:val="32"/>
                <w:szCs w:val="24"/>
                <w:lang w:val="es-ES" w:eastAsia="es-ES"/>
              </w:rPr>
              <w:t>LAS ESPECIES</w:t>
            </w:r>
          </w:p>
          <w:p w:rsidR="00002A97" w:rsidRPr="009F1388"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9F1388">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9F1388"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9F1388">
              <w:rPr>
                <w:rFonts w:eastAsia="Times New Roman" w:cs="Arial"/>
                <w:szCs w:val="24"/>
                <w:lang w:val="es-ES" w:eastAsia="es-ES"/>
              </w:rPr>
              <w:t>UNEP/CMS/COP13/Doc.</w:t>
            </w:r>
            <w:r w:rsidR="00BE6E08" w:rsidRPr="009F1388">
              <w:rPr>
                <w:rFonts w:eastAsia="Times New Roman" w:cs="Arial"/>
                <w:szCs w:val="24"/>
                <w:lang w:val="es-ES" w:eastAsia="es-ES"/>
              </w:rPr>
              <w:t>23.1</w:t>
            </w:r>
          </w:p>
          <w:p w:rsidR="00002A97" w:rsidRPr="009F1388" w:rsidRDefault="00BE6E08"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9F1388">
              <w:rPr>
                <w:rFonts w:eastAsia="Times New Roman" w:cs="Arial"/>
                <w:szCs w:val="24"/>
                <w:lang w:val="es-ES" w:eastAsia="es-ES"/>
              </w:rPr>
              <w:t>9 de diciembre</w:t>
            </w:r>
            <w:r w:rsidR="00EF1D13" w:rsidRPr="009F1388">
              <w:rPr>
                <w:rFonts w:eastAsia="Times New Roman" w:cs="Arial"/>
                <w:szCs w:val="24"/>
                <w:lang w:val="es-ES" w:eastAsia="es-ES"/>
              </w:rPr>
              <w:t xml:space="preserve"> </w:t>
            </w:r>
            <w:r w:rsidR="00002A97" w:rsidRPr="009F1388">
              <w:rPr>
                <w:rFonts w:eastAsia="Times New Roman" w:cs="Arial"/>
                <w:szCs w:val="24"/>
                <w:lang w:val="es-ES" w:eastAsia="es-ES"/>
              </w:rPr>
              <w:t>2019</w:t>
            </w:r>
          </w:p>
          <w:p w:rsidR="00002A97" w:rsidRPr="009F1388" w:rsidRDefault="00002A97" w:rsidP="00166A9C">
            <w:pPr>
              <w:widowControl w:val="0"/>
              <w:suppressAutoHyphens/>
              <w:autoSpaceDE w:val="0"/>
              <w:autoSpaceDN w:val="0"/>
              <w:spacing w:after="120" w:line="240" w:lineRule="auto"/>
              <w:textAlignment w:val="baseline"/>
              <w:rPr>
                <w:rFonts w:eastAsia="Times New Roman" w:cs="Arial"/>
                <w:szCs w:val="24"/>
                <w:lang w:val="es-ES" w:eastAsia="es-ES"/>
              </w:rPr>
            </w:pPr>
            <w:r w:rsidRPr="009F1388">
              <w:rPr>
                <w:rFonts w:eastAsia="Times New Roman" w:cs="Arial"/>
                <w:szCs w:val="24"/>
                <w:lang w:val="es-ES" w:eastAsia="es-ES"/>
              </w:rPr>
              <w:t>Español</w:t>
            </w:r>
          </w:p>
          <w:p w:rsidR="00002A97" w:rsidRPr="009F1388"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9F1388">
              <w:rPr>
                <w:rFonts w:eastAsia="Times New Roman" w:cs="Arial"/>
                <w:szCs w:val="24"/>
                <w:lang w:val="es-ES" w:eastAsia="es-ES"/>
              </w:rPr>
              <w:t xml:space="preserve">Original: </w:t>
            </w:r>
            <w:proofErr w:type="gramStart"/>
            <w:r w:rsidRPr="009F1388">
              <w:rPr>
                <w:rFonts w:eastAsia="Times New Roman" w:cs="Arial"/>
                <w:szCs w:val="24"/>
                <w:lang w:val="es-ES" w:eastAsia="es-ES"/>
              </w:rPr>
              <w:t>Inglés</w:t>
            </w:r>
            <w:proofErr w:type="gramEnd"/>
          </w:p>
          <w:p w:rsidR="00002A97" w:rsidRPr="009F1388"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9F1388"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9F1388"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9F1388">
        <w:rPr>
          <w:rFonts w:eastAsia="Times New Roman" w:cs="Arial"/>
          <w:szCs w:val="24"/>
          <w:lang w:val="es-ES" w:eastAsia="es-ES"/>
        </w:rPr>
        <w:t>13ª REUNIÓN DE LA CONFERENCIA DE LAS PARTES</w:t>
      </w:r>
    </w:p>
    <w:p w:rsidR="00002A97" w:rsidRPr="009F1388"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9F1388">
        <w:rPr>
          <w:rFonts w:eastAsia="Times New Roman" w:cs="Arial"/>
          <w:bCs/>
          <w:szCs w:val="24"/>
          <w:lang w:val="es-ES" w:eastAsia="es-ES"/>
        </w:rPr>
        <w:t>Gand</w:t>
      </w:r>
      <w:r w:rsidR="00BF7838" w:rsidRPr="009F1388">
        <w:rPr>
          <w:rFonts w:eastAsia="Times New Roman" w:cs="Arial"/>
          <w:bCs/>
          <w:szCs w:val="24"/>
          <w:lang w:val="es-ES" w:eastAsia="es-ES"/>
        </w:rPr>
        <w:t>h</w:t>
      </w:r>
      <w:r w:rsidRPr="009F1388">
        <w:rPr>
          <w:rFonts w:eastAsia="Times New Roman" w:cs="Arial"/>
          <w:bCs/>
          <w:szCs w:val="24"/>
          <w:lang w:val="es-ES" w:eastAsia="es-ES"/>
        </w:rPr>
        <w:t>inagar. India, 17 – 22 de febrero 2020</w:t>
      </w:r>
    </w:p>
    <w:p w:rsidR="00002A97" w:rsidRPr="009F1388"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9F1388">
        <w:rPr>
          <w:rFonts w:eastAsia="Times New Roman" w:cs="Arial"/>
          <w:szCs w:val="24"/>
          <w:lang w:val="es-ES" w:eastAsia="es-ES"/>
        </w:rPr>
        <w:t xml:space="preserve">Punto </w:t>
      </w:r>
      <w:r w:rsidR="00BE6E08" w:rsidRPr="009F1388">
        <w:rPr>
          <w:rFonts w:eastAsia="Times New Roman" w:cs="Arial"/>
          <w:szCs w:val="24"/>
          <w:lang w:val="es-ES" w:eastAsia="es-ES"/>
        </w:rPr>
        <w:t>23</w:t>
      </w:r>
      <w:r w:rsidRPr="009F1388">
        <w:rPr>
          <w:rFonts w:eastAsia="Times New Roman" w:cs="Arial"/>
          <w:szCs w:val="24"/>
          <w:lang w:val="es-ES" w:eastAsia="es-ES"/>
        </w:rPr>
        <w:t xml:space="preserve"> del orden del día</w:t>
      </w:r>
    </w:p>
    <w:p w:rsidR="00002A97" w:rsidRPr="009F1388"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9F1388"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002A97" w:rsidRPr="009F1388" w:rsidRDefault="00A914C6" w:rsidP="002F7E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sidRPr="009F1388">
        <w:rPr>
          <w:rFonts w:eastAsia="Times New Roman" w:cs="Arial"/>
          <w:b/>
          <w:bCs/>
          <w:lang w:val="es-ES"/>
        </w:rPr>
        <w:t>EXAMEN DE DECISIONES</w:t>
      </w:r>
    </w:p>
    <w:p w:rsidR="00002A97" w:rsidRPr="009F1388"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9F1388">
        <w:rPr>
          <w:rFonts w:eastAsia="Times New Roman" w:cs="Arial"/>
          <w:i/>
          <w:szCs w:val="24"/>
          <w:lang w:val="es-ES" w:eastAsia="es-ES"/>
        </w:rPr>
        <w:t>(Preparado por la Secretaría)</w:t>
      </w:r>
      <w:r w:rsidR="00002A97" w:rsidRPr="009F1388">
        <w:rPr>
          <w:rFonts w:eastAsia="Times New Roman" w:cs="Arial"/>
          <w:i/>
          <w:szCs w:val="24"/>
          <w:lang w:val="es-ES" w:eastAsia="es-ES"/>
        </w:rPr>
        <w:t xml:space="preserve"> </w:t>
      </w:r>
    </w:p>
    <w:p w:rsidR="00002A97" w:rsidRPr="009F1388"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9F1388"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9F1388">
        <w:rPr>
          <w:rFonts w:eastAsia="Times New Roman" w:cs="Arial"/>
          <w:noProof/>
          <w:lang w:val="es-ES"/>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146686</wp:posOffset>
                </wp:positionV>
                <wp:extent cx="4591050" cy="148590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1485900"/>
                        </a:xfrm>
                        <a:prstGeom prst="rect">
                          <a:avLst/>
                        </a:prstGeom>
                        <a:solidFill>
                          <a:srgbClr val="FFFFFF"/>
                        </a:solidFill>
                        <a:ln w="3172">
                          <a:solidFill>
                            <a:srgbClr val="000000"/>
                          </a:solidFill>
                          <a:prstDash val="solid"/>
                        </a:ln>
                      </wps:spPr>
                      <wps:txb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A914C6" w:rsidRDefault="00A914C6" w:rsidP="00A914C6">
                            <w:pPr>
                              <w:spacing w:after="0"/>
                              <w:jc w:val="both"/>
                              <w:rPr>
                                <w:rFonts w:cs="Arial"/>
                                <w:color w:val="000000"/>
                                <w:lang w:val="es-ES"/>
                              </w:rPr>
                            </w:pPr>
                            <w:r>
                              <w:rPr>
                                <w:rFonts w:cs="Arial"/>
                                <w:lang w:val="es-ES"/>
                              </w:rPr>
                              <w:t xml:space="preserve">El presente documento informa sobre la aplicación de las </w:t>
                            </w:r>
                            <w:r>
                              <w:rPr>
                                <w:rFonts w:cs="Arial"/>
                                <w:color w:val="000000"/>
                                <w:lang w:val="es-ES"/>
                              </w:rPr>
                              <w:t xml:space="preserve">Decisiones que no se abordan en ningún otro documento. </w:t>
                            </w:r>
                          </w:p>
                          <w:p w:rsidR="00A914C6" w:rsidRDefault="00A914C6" w:rsidP="00A914C6">
                            <w:pPr>
                              <w:spacing w:after="0"/>
                              <w:jc w:val="both"/>
                              <w:rPr>
                                <w:rFonts w:cs="Arial"/>
                                <w:color w:val="000000"/>
                                <w:lang w:val="es-ES"/>
                              </w:rPr>
                            </w:pPr>
                          </w:p>
                          <w:p w:rsidR="00A914C6" w:rsidRDefault="00A914C6" w:rsidP="00A914C6">
                            <w:pPr>
                              <w:spacing w:after="0"/>
                              <w:jc w:val="both"/>
                              <w:rPr>
                                <w:rFonts w:cs="Arial"/>
                                <w:lang w:val="es-ES"/>
                              </w:rPr>
                            </w:pPr>
                            <w:r>
                              <w:rPr>
                                <w:rFonts w:cs="Arial"/>
                                <w:lang w:val="es-ES" w:eastAsia="es-ES"/>
                              </w:rPr>
                              <w:t xml:space="preserve">Asimismo, el documento incluye recomendaciones para la Conferencia de las Partes sobre medidas adicionales que se deben tomar en relación con estas Decisiones. </w:t>
                            </w:r>
                          </w:p>
                          <w:p w:rsidR="00435D03" w:rsidRPr="006F22B0" w:rsidRDefault="00435D03">
                            <w:pPr>
                              <w:rPr>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55pt;width:361.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" strokeweight=".08811mm">
                <v:textbo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A914C6" w:rsidRDefault="00A914C6" w:rsidP="00A914C6">
                      <w:pPr>
                        <w:spacing w:after="0"/>
                        <w:jc w:val="both"/>
                        <w:rPr>
                          <w:rFonts w:cs="Arial"/>
                          <w:color w:val="000000"/>
                          <w:lang w:val="es-ES"/>
                        </w:rPr>
                      </w:pPr>
                      <w:r>
                        <w:rPr>
                          <w:rFonts w:cs="Arial"/>
                          <w:lang w:val="es-ES"/>
                        </w:rPr>
                        <w:t xml:space="preserve">El presente documento informa sobre la aplicación de las </w:t>
                      </w:r>
                      <w:r>
                        <w:rPr>
                          <w:rFonts w:cs="Arial"/>
                          <w:color w:val="000000"/>
                          <w:lang w:val="es-ES"/>
                        </w:rPr>
                        <w:t xml:space="preserve">Decisiones que no se abordan en ningún otro documento. </w:t>
                      </w:r>
                    </w:p>
                    <w:p w:rsidR="00A914C6" w:rsidRDefault="00A914C6" w:rsidP="00A914C6">
                      <w:pPr>
                        <w:spacing w:after="0"/>
                        <w:jc w:val="both"/>
                        <w:rPr>
                          <w:rFonts w:cs="Arial"/>
                          <w:color w:val="000000"/>
                          <w:lang w:val="es-ES"/>
                        </w:rPr>
                      </w:pPr>
                    </w:p>
                    <w:p w:rsidR="00A914C6" w:rsidRDefault="00A914C6" w:rsidP="00A914C6">
                      <w:pPr>
                        <w:spacing w:after="0"/>
                        <w:jc w:val="both"/>
                        <w:rPr>
                          <w:rFonts w:cs="Arial"/>
                          <w:lang w:val="es-ES"/>
                        </w:rPr>
                      </w:pPr>
                      <w:r>
                        <w:rPr>
                          <w:rFonts w:cs="Arial"/>
                          <w:lang w:val="es-ES" w:eastAsia="es-ES"/>
                        </w:rPr>
                        <w:t xml:space="preserve">Asimismo, el documento incluye recomendaciones para la Conferencia de las Partes sobre medidas adicionales que se deben tomar en relación con estas Decisiones. </w:t>
                      </w:r>
                    </w:p>
                    <w:p w:rsidR="00435D03" w:rsidRPr="006F22B0" w:rsidRDefault="00435D03">
                      <w:pPr>
                        <w:rPr>
                          <w:lang w:val="es-ES"/>
                        </w:rPr>
                      </w:pPr>
                    </w:p>
                  </w:txbxContent>
                </v:textbox>
              </v:shape>
            </w:pict>
          </mc:Fallback>
        </mc:AlternateContent>
      </w: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9F1388"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9F1388"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9F1388"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9F1388"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9F1388"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Pr="009F1388"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A914C6" w:rsidRPr="009F1388" w:rsidRDefault="00A914C6" w:rsidP="00A914C6">
      <w:pPr>
        <w:pStyle w:val="Title1"/>
      </w:pPr>
      <w:r w:rsidRPr="009F1388">
        <w:t>EXAMEN DE DECISIONES</w:t>
      </w:r>
    </w:p>
    <w:p w:rsidR="00A914C6" w:rsidRPr="009F1388" w:rsidRDefault="00A914C6" w:rsidP="00A914C6">
      <w:pPr>
        <w:suppressAutoHyphens/>
        <w:autoSpaceDN w:val="0"/>
        <w:spacing w:after="0" w:line="240" w:lineRule="auto"/>
        <w:textAlignment w:val="baseline"/>
        <w:rPr>
          <w:rFonts w:eastAsia="Calibri" w:cs="Arial"/>
          <w:lang w:val="es-ES"/>
        </w:rPr>
      </w:pPr>
    </w:p>
    <w:p w:rsidR="00A914C6" w:rsidRPr="009F1388" w:rsidRDefault="00A914C6" w:rsidP="00A914C6">
      <w:pPr>
        <w:suppressAutoHyphens/>
        <w:autoSpaceDN w:val="0"/>
        <w:spacing w:after="0" w:line="240" w:lineRule="auto"/>
        <w:textAlignment w:val="baseline"/>
        <w:rPr>
          <w:rFonts w:eastAsia="Calibri" w:cs="Arial"/>
          <w:u w:val="single"/>
          <w:lang w:val="es-ES"/>
        </w:rPr>
      </w:pPr>
      <w:r w:rsidRPr="009F1388">
        <w:rPr>
          <w:rFonts w:eastAsia="Calibri" w:cs="Arial"/>
          <w:u w:val="single"/>
          <w:lang w:val="es-ES"/>
        </w:rPr>
        <w:t>Antecedentes</w:t>
      </w:r>
    </w:p>
    <w:p w:rsidR="00A914C6" w:rsidRPr="009F1388" w:rsidRDefault="00A914C6" w:rsidP="00A914C6">
      <w:pPr>
        <w:spacing w:after="0" w:line="240" w:lineRule="auto"/>
        <w:rPr>
          <w:lang w:val="es-ES"/>
        </w:rPr>
      </w:pPr>
    </w:p>
    <w:p w:rsidR="00A914C6" w:rsidRPr="009F1388" w:rsidRDefault="00A914C6" w:rsidP="009F1388">
      <w:pPr>
        <w:pStyle w:val="Firstnumbering1"/>
      </w:pPr>
      <w:r w:rsidRPr="009F1388">
        <w:t xml:space="preserve">La Resolución 11.6 (Rev.COP12) </w:t>
      </w:r>
      <w:r w:rsidRPr="009F1388">
        <w:rPr>
          <w:i/>
        </w:rPr>
        <w:t>sobre el examen de las Decisiones</w:t>
      </w:r>
      <w:r w:rsidRPr="009F1388">
        <w:t xml:space="preserve"> incluye las siguientes disposiciones por las que encarga a la Secretaría que: </w:t>
      </w:r>
    </w:p>
    <w:p w:rsidR="00A914C6" w:rsidRPr="009F1388" w:rsidRDefault="00A914C6" w:rsidP="00A914C6">
      <w:pPr>
        <w:shd w:val="clear" w:color="auto" w:fill="FFFFFF" w:themeFill="background1"/>
        <w:autoSpaceDE w:val="0"/>
        <w:autoSpaceDN w:val="0"/>
        <w:adjustRightInd w:val="0"/>
        <w:spacing w:after="0" w:line="240" w:lineRule="auto"/>
        <w:contextualSpacing/>
        <w:jc w:val="both"/>
        <w:rPr>
          <w:rFonts w:cs="Arial"/>
          <w:color w:val="000000"/>
          <w:lang w:val="es-ES"/>
        </w:rPr>
      </w:pPr>
    </w:p>
    <w:p w:rsidR="00A914C6" w:rsidRPr="009F1388" w:rsidRDefault="00A914C6" w:rsidP="009F1388">
      <w:pPr>
        <w:shd w:val="clear" w:color="auto" w:fill="FFFFFF" w:themeFill="background1"/>
        <w:autoSpaceDE w:val="0"/>
        <w:autoSpaceDN w:val="0"/>
        <w:adjustRightInd w:val="0"/>
        <w:spacing w:after="0" w:line="240" w:lineRule="auto"/>
        <w:ind w:left="567"/>
        <w:contextualSpacing/>
        <w:jc w:val="both"/>
        <w:rPr>
          <w:i/>
          <w:sz w:val="20"/>
          <w:szCs w:val="20"/>
          <w:lang w:val="es-ES"/>
        </w:rPr>
      </w:pPr>
      <w:r w:rsidRPr="009F1388">
        <w:rPr>
          <w:i/>
          <w:sz w:val="20"/>
          <w:szCs w:val="20"/>
          <w:lang w:val="es-ES"/>
        </w:rPr>
        <w:t>3. c) se revise el registro de Decisiones en vigor después de cada reunión de la Conferencia de las Partes para incluir todas las recomendaciones (o decisiones de otro tipo) que no figuren en el registro de resoluciones y siguen en vigor. Las Decisiones se clasificarán por temas, para lo cual servirán de orientación los temas de las resoluciones, y dentro de la sección para cada tema estarán divididas según el órgano al que vayan dirigidas. La Secretaría enviará a las Partes una copia de las Decisiones actualizadas después de cada reunión de la Conferencia; y</w:t>
      </w:r>
    </w:p>
    <w:p w:rsidR="00A914C6" w:rsidRPr="009F1388" w:rsidRDefault="00A914C6" w:rsidP="009F1388">
      <w:pPr>
        <w:shd w:val="clear" w:color="auto" w:fill="FFFFFF" w:themeFill="background1"/>
        <w:autoSpaceDE w:val="0"/>
        <w:autoSpaceDN w:val="0"/>
        <w:adjustRightInd w:val="0"/>
        <w:spacing w:after="0" w:line="240" w:lineRule="auto"/>
        <w:ind w:left="567"/>
        <w:contextualSpacing/>
        <w:jc w:val="both"/>
        <w:rPr>
          <w:i/>
          <w:sz w:val="20"/>
          <w:szCs w:val="20"/>
          <w:lang w:val="es-ES"/>
        </w:rPr>
      </w:pPr>
    </w:p>
    <w:p w:rsidR="00A914C6" w:rsidRPr="009F1388" w:rsidRDefault="00A914C6" w:rsidP="009F1388">
      <w:pPr>
        <w:shd w:val="clear" w:color="auto" w:fill="FFFFFF" w:themeFill="background1"/>
        <w:autoSpaceDE w:val="0"/>
        <w:autoSpaceDN w:val="0"/>
        <w:adjustRightInd w:val="0"/>
        <w:spacing w:after="0" w:line="240" w:lineRule="auto"/>
        <w:ind w:left="567"/>
        <w:contextualSpacing/>
        <w:jc w:val="both"/>
        <w:rPr>
          <w:i/>
          <w:sz w:val="20"/>
          <w:szCs w:val="20"/>
          <w:lang w:val="es-ES"/>
        </w:rPr>
      </w:pPr>
      <w:r w:rsidRPr="009F1388">
        <w:rPr>
          <w:i/>
          <w:sz w:val="20"/>
          <w:szCs w:val="20"/>
          <w:lang w:val="es-ES"/>
        </w:rPr>
        <w:t>d) al revisar el registro de Decisiones en vigor con el propósito de proponer enmiendas, supresiones o continuidad, la Secretaría deberá proporcionar la justificación de cualesquiera cambios propuestos a una Decisión en cada reunión de la Conferencia de las Partes;</w:t>
      </w:r>
    </w:p>
    <w:p w:rsidR="00A914C6" w:rsidRPr="009F1388" w:rsidRDefault="00A914C6" w:rsidP="00A914C6">
      <w:pPr>
        <w:shd w:val="clear" w:color="auto" w:fill="FFFFFF" w:themeFill="background1"/>
        <w:autoSpaceDE w:val="0"/>
        <w:autoSpaceDN w:val="0"/>
        <w:adjustRightInd w:val="0"/>
        <w:spacing w:after="0" w:line="240" w:lineRule="auto"/>
        <w:contextualSpacing/>
        <w:jc w:val="both"/>
        <w:rPr>
          <w:rFonts w:cs="Arial"/>
          <w:color w:val="000000"/>
          <w:lang w:val="es-ES"/>
        </w:rPr>
      </w:pPr>
    </w:p>
    <w:p w:rsidR="00A914C6" w:rsidRPr="009F1388" w:rsidRDefault="00A914C6" w:rsidP="009F1388">
      <w:pPr>
        <w:pStyle w:val="Firstnumbering1"/>
      </w:pPr>
      <w:r w:rsidRPr="009F1388">
        <w:t xml:space="preserve">Con el fin de aplicar esta instrucción, tras cada reunión de la Conferencia de las Partes, la Secretaría elabora una lista de las Decisiones en vigor. </w:t>
      </w:r>
    </w:p>
    <w:p w:rsidR="00A914C6" w:rsidRPr="009F1388" w:rsidRDefault="00A914C6" w:rsidP="00A914C6">
      <w:pPr>
        <w:shd w:val="clear" w:color="auto" w:fill="FFFFFF" w:themeFill="background1"/>
        <w:autoSpaceDE w:val="0"/>
        <w:autoSpaceDN w:val="0"/>
        <w:adjustRightInd w:val="0"/>
        <w:spacing w:after="0" w:line="240" w:lineRule="auto"/>
        <w:ind w:left="360" w:hanging="360"/>
        <w:contextualSpacing/>
        <w:jc w:val="both"/>
        <w:rPr>
          <w:rFonts w:cs="Arial"/>
          <w:color w:val="000000"/>
          <w:lang w:val="es-ES"/>
        </w:rPr>
      </w:pPr>
    </w:p>
    <w:p w:rsidR="00A914C6" w:rsidRPr="009F1388" w:rsidRDefault="00A914C6" w:rsidP="009F1388">
      <w:pPr>
        <w:pStyle w:val="Firstnumbering1"/>
      </w:pPr>
      <w:r w:rsidRPr="009F1388">
        <w:t xml:space="preserve">La mayor parte de las Decisiones en vigor después de la COP12 se comunican en documentos sobre las reuniones y, por tanto, se incluyen en el orden del día de la presente reunión. Se espera abordar su renovación, enmienda o eliminación durante las conversaciones sobre los documentos correspondientes. </w:t>
      </w:r>
    </w:p>
    <w:p w:rsidR="00A914C6" w:rsidRPr="009F1388" w:rsidRDefault="00A914C6" w:rsidP="00A914C6">
      <w:pPr>
        <w:shd w:val="clear" w:color="auto" w:fill="FFFFFF" w:themeFill="background1"/>
        <w:autoSpaceDE w:val="0"/>
        <w:autoSpaceDN w:val="0"/>
        <w:adjustRightInd w:val="0"/>
        <w:spacing w:after="0" w:line="240" w:lineRule="auto"/>
        <w:ind w:left="360" w:hanging="360"/>
        <w:contextualSpacing/>
        <w:jc w:val="both"/>
        <w:rPr>
          <w:rFonts w:cs="Arial"/>
          <w:color w:val="000000"/>
          <w:lang w:val="es-ES"/>
        </w:rPr>
      </w:pPr>
    </w:p>
    <w:p w:rsidR="00A914C6" w:rsidRPr="009F1388" w:rsidRDefault="00A914C6" w:rsidP="009F1388">
      <w:pPr>
        <w:pStyle w:val="Firstnumbering1"/>
      </w:pPr>
      <w:r w:rsidRPr="009F1388">
        <w:t>Este documento trata las Decisiones que no se abordaron en otros documentos. Se incluyen en el Anexo I del presente documento, junto con un breve resumen del estado de implementación desde la COP12 y una recomendación de la Secretaría relativa a su renovación, enmienda o eliminación.</w:t>
      </w:r>
    </w:p>
    <w:p w:rsidR="00A914C6" w:rsidRDefault="00A914C6" w:rsidP="00A914C6">
      <w:pPr>
        <w:shd w:val="clear" w:color="auto" w:fill="FFFFFF" w:themeFill="background1"/>
        <w:autoSpaceDE w:val="0"/>
        <w:autoSpaceDN w:val="0"/>
        <w:adjustRightInd w:val="0"/>
        <w:spacing w:after="0" w:line="240" w:lineRule="auto"/>
        <w:contextualSpacing/>
        <w:jc w:val="both"/>
        <w:rPr>
          <w:rFonts w:cs="Arial"/>
          <w:color w:val="000000"/>
          <w:lang w:val="es-ES"/>
        </w:rPr>
      </w:pPr>
    </w:p>
    <w:p w:rsidR="009F1388" w:rsidRPr="009F1388" w:rsidRDefault="009F1388" w:rsidP="00A914C6">
      <w:pPr>
        <w:shd w:val="clear" w:color="auto" w:fill="FFFFFF" w:themeFill="background1"/>
        <w:autoSpaceDE w:val="0"/>
        <w:autoSpaceDN w:val="0"/>
        <w:adjustRightInd w:val="0"/>
        <w:spacing w:after="0" w:line="240" w:lineRule="auto"/>
        <w:contextualSpacing/>
        <w:jc w:val="both"/>
        <w:rPr>
          <w:rFonts w:cs="Arial"/>
          <w:color w:val="000000"/>
          <w:lang w:val="es-ES"/>
        </w:rPr>
      </w:pPr>
    </w:p>
    <w:p w:rsidR="00A914C6" w:rsidRPr="009F1388" w:rsidRDefault="00A914C6" w:rsidP="00A914C6">
      <w:pPr>
        <w:spacing w:after="0" w:line="240" w:lineRule="auto"/>
        <w:rPr>
          <w:rFonts w:cs="Arial"/>
          <w:lang w:val="es-ES"/>
        </w:rPr>
      </w:pPr>
      <w:r w:rsidRPr="009F1388">
        <w:rPr>
          <w:rFonts w:cs="Arial"/>
          <w:u w:val="single"/>
          <w:lang w:val="es-ES"/>
        </w:rPr>
        <w:t>Acciones recomendadas</w:t>
      </w:r>
    </w:p>
    <w:p w:rsidR="00A914C6" w:rsidRPr="009F1388" w:rsidRDefault="00A914C6" w:rsidP="00A914C6">
      <w:pPr>
        <w:spacing w:after="0" w:line="240" w:lineRule="auto"/>
        <w:rPr>
          <w:rFonts w:cs="Arial"/>
          <w:lang w:val="es-ES"/>
        </w:rPr>
      </w:pPr>
    </w:p>
    <w:p w:rsidR="00BE6E08" w:rsidRPr="009F1388" w:rsidRDefault="00A914C6" w:rsidP="009F1388">
      <w:pPr>
        <w:pStyle w:val="Firstnumbering1"/>
      </w:pPr>
      <w:r w:rsidRPr="009F1388">
        <w:t>Se recomienda a la Conferencia de las Partes que decida las medidas que deben adoptarse en relación con las Decisiones que figuran en el Anexo</w:t>
      </w:r>
      <w:r w:rsidR="009F1388">
        <w:t xml:space="preserve"> a</w:t>
      </w:r>
      <w:r w:rsidRPr="009F1388">
        <w:t xml:space="preserve"> este documento</w:t>
      </w:r>
    </w:p>
    <w:p w:rsidR="00BE6E08" w:rsidRPr="009F1388" w:rsidRDefault="00BE6E08" w:rsidP="00B40E07">
      <w:pPr>
        <w:pStyle w:val="Firstnumbering1"/>
        <w:numPr>
          <w:ilvl w:val="0"/>
          <w:numId w:val="0"/>
        </w:numPr>
        <w:ind w:left="567"/>
      </w:pPr>
    </w:p>
    <w:p w:rsidR="00BE6E08" w:rsidRPr="009F1388" w:rsidRDefault="00BE6E08" w:rsidP="00B40E07">
      <w:pPr>
        <w:pStyle w:val="Firstnumbering1"/>
        <w:numPr>
          <w:ilvl w:val="0"/>
          <w:numId w:val="0"/>
        </w:numPr>
        <w:ind w:left="567"/>
      </w:pPr>
    </w:p>
    <w:p w:rsidR="00BE6E08" w:rsidRPr="009F1388" w:rsidRDefault="00BE6E08" w:rsidP="00B40E07">
      <w:pPr>
        <w:pStyle w:val="Firstnumbering1"/>
        <w:numPr>
          <w:ilvl w:val="0"/>
          <w:numId w:val="0"/>
        </w:numPr>
        <w:ind w:left="567"/>
      </w:pPr>
    </w:p>
    <w:p w:rsidR="00BE6E08" w:rsidRPr="009F1388" w:rsidRDefault="00BE6E08" w:rsidP="00B40E07">
      <w:pPr>
        <w:pStyle w:val="Firstnumbering1"/>
        <w:numPr>
          <w:ilvl w:val="0"/>
          <w:numId w:val="0"/>
        </w:numPr>
        <w:ind w:left="567"/>
      </w:pPr>
    </w:p>
    <w:p w:rsidR="00BE6E08" w:rsidRPr="009F1388" w:rsidRDefault="00BE6E08" w:rsidP="00B40E07">
      <w:pPr>
        <w:pStyle w:val="Firstnumbering1"/>
        <w:numPr>
          <w:ilvl w:val="0"/>
          <w:numId w:val="0"/>
        </w:numPr>
        <w:ind w:left="567"/>
      </w:pPr>
    </w:p>
    <w:p w:rsidR="00BE6E08" w:rsidRPr="009F1388" w:rsidRDefault="00BE6E08" w:rsidP="00B40E07">
      <w:pPr>
        <w:pStyle w:val="Firstnumbering1"/>
        <w:numPr>
          <w:ilvl w:val="0"/>
          <w:numId w:val="0"/>
        </w:numPr>
        <w:ind w:left="567"/>
        <w:sectPr w:rsidR="00BE6E08" w:rsidRPr="009F1388" w:rsidSect="00B104E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titlePg/>
          <w:docGrid w:linePitch="360"/>
        </w:sectPr>
      </w:pPr>
    </w:p>
    <w:p w:rsidR="00A914C6" w:rsidRPr="009F1388" w:rsidRDefault="00A914C6" w:rsidP="00A914C6">
      <w:pPr>
        <w:tabs>
          <w:tab w:val="center" w:pos="4815"/>
          <w:tab w:val="right" w:pos="9630"/>
        </w:tabs>
        <w:spacing w:after="0" w:line="240" w:lineRule="auto"/>
        <w:jc w:val="right"/>
        <w:rPr>
          <w:rFonts w:eastAsia="Times New Roman" w:cs="Arial"/>
          <w:b/>
          <w:lang w:val="es-ES"/>
        </w:rPr>
      </w:pPr>
      <w:r w:rsidRPr="009F1388">
        <w:rPr>
          <w:rFonts w:eastAsia="Times New Roman" w:cs="Arial"/>
          <w:b/>
          <w:lang w:val="es-ES"/>
        </w:rPr>
        <w:lastRenderedPageBreak/>
        <w:t>ANEXO </w:t>
      </w:r>
    </w:p>
    <w:p w:rsidR="00A914C6" w:rsidRPr="009F1388" w:rsidRDefault="00A914C6" w:rsidP="00A914C6">
      <w:pPr>
        <w:tabs>
          <w:tab w:val="center" w:pos="4815"/>
          <w:tab w:val="right" w:pos="9630"/>
        </w:tabs>
        <w:spacing w:after="0" w:line="240" w:lineRule="auto"/>
        <w:jc w:val="center"/>
        <w:rPr>
          <w:rFonts w:eastAsia="Times New Roman" w:cs="Arial"/>
          <w:b/>
          <w:lang w:val="es-ES"/>
        </w:rPr>
      </w:pPr>
    </w:p>
    <w:p w:rsidR="00BE6E08" w:rsidRPr="009F1388" w:rsidRDefault="00A914C6" w:rsidP="00A914C6">
      <w:pPr>
        <w:pStyle w:val="Firstnumbering1"/>
        <w:numPr>
          <w:ilvl w:val="0"/>
          <w:numId w:val="0"/>
        </w:numPr>
        <w:ind w:left="567"/>
      </w:pPr>
      <w:r w:rsidRPr="009F1388">
        <w:rPr>
          <w:b/>
        </w:rPr>
        <w:t>LISTA DE DECISIONES QUE DEBEN RENOVARSE O ELIMINARSE Y QUE NO SE ABORDAN EN OTROS DOCUMENTOS DE LA COP13</w:t>
      </w:r>
    </w:p>
    <w:p w:rsidR="00BE6E08" w:rsidRPr="009F1388" w:rsidRDefault="00BE6E08" w:rsidP="00B40E07">
      <w:pPr>
        <w:pStyle w:val="Firstnumbering1"/>
        <w:numPr>
          <w:ilvl w:val="0"/>
          <w:numId w:val="0"/>
        </w:numPr>
        <w:ind w:left="567"/>
      </w:pPr>
    </w:p>
    <w:tbl>
      <w:tblPr>
        <w:tblW w:w="14580" w:type="dxa"/>
        <w:tblLayout w:type="fixed"/>
        <w:tblLook w:val="04A0" w:firstRow="1" w:lastRow="0" w:firstColumn="1" w:lastColumn="0" w:noHBand="0" w:noVBand="1"/>
      </w:tblPr>
      <w:tblGrid>
        <w:gridCol w:w="828"/>
        <w:gridCol w:w="1582"/>
        <w:gridCol w:w="1701"/>
        <w:gridCol w:w="4820"/>
        <w:gridCol w:w="3827"/>
        <w:gridCol w:w="1822"/>
      </w:tblGrid>
      <w:tr w:rsidR="00BE6E08" w:rsidRPr="00046151" w:rsidTr="000418F2">
        <w:trPr>
          <w:trHeight w:val="810"/>
        </w:trPr>
        <w:tc>
          <w:tcPr>
            <w:tcW w:w="8931" w:type="dxa"/>
            <w:gridSpan w:val="4"/>
            <w:tcBorders>
              <w:top w:val="nil"/>
              <w:left w:val="nil"/>
              <w:bottom w:val="nil"/>
              <w:right w:val="nil"/>
            </w:tcBorders>
            <w:shd w:val="clear" w:color="000000" w:fill="FFFFFF"/>
            <w:hideMark/>
          </w:tcPr>
          <w:p w:rsidR="00BE6E08" w:rsidRPr="009F1388" w:rsidRDefault="00BE6E08" w:rsidP="00BE6E08">
            <w:pPr>
              <w:spacing w:after="0" w:line="240" w:lineRule="auto"/>
              <w:jc w:val="center"/>
              <w:rPr>
                <w:rFonts w:eastAsia="Times New Roman" w:cs="Arial"/>
                <w:sz w:val="44"/>
                <w:szCs w:val="44"/>
                <w:lang w:val="es-ES"/>
              </w:rPr>
            </w:pP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E08" w:rsidRPr="009F1388" w:rsidRDefault="00A914C6" w:rsidP="00BE6E08">
            <w:pPr>
              <w:spacing w:after="0" w:line="240" w:lineRule="auto"/>
              <w:rPr>
                <w:rFonts w:eastAsia="Times New Roman" w:cs="Arial"/>
                <w:b/>
                <w:bCs/>
                <w:sz w:val="20"/>
                <w:szCs w:val="20"/>
                <w:lang w:val="es-ES"/>
              </w:rPr>
            </w:pPr>
            <w:r w:rsidRPr="009F1388">
              <w:rPr>
                <w:rFonts w:eastAsia="Times New Roman" w:cs="Arial"/>
                <w:b/>
                <w:bCs/>
                <w:color w:val="000000"/>
                <w:sz w:val="20"/>
                <w:szCs w:val="20"/>
                <w:lang w:val="es-ES"/>
              </w:rPr>
              <w:t>Estado o medidas adoptadas desde la COP12</w:t>
            </w:r>
          </w:p>
        </w:tc>
        <w:tc>
          <w:tcPr>
            <w:tcW w:w="1822" w:type="dxa"/>
            <w:tcBorders>
              <w:top w:val="single" w:sz="4" w:space="0" w:color="auto"/>
              <w:left w:val="nil"/>
              <w:bottom w:val="single" w:sz="4" w:space="0" w:color="auto"/>
              <w:right w:val="single" w:sz="4" w:space="0" w:color="auto"/>
            </w:tcBorders>
            <w:shd w:val="clear" w:color="000000" w:fill="FFFFFF"/>
            <w:vAlign w:val="center"/>
            <w:hideMark/>
          </w:tcPr>
          <w:p w:rsidR="00BE6E08" w:rsidRPr="009F1388" w:rsidRDefault="00A914C6" w:rsidP="00BE6E08">
            <w:pPr>
              <w:spacing w:after="0" w:line="240" w:lineRule="auto"/>
              <w:jc w:val="center"/>
              <w:rPr>
                <w:rFonts w:eastAsia="Times New Roman" w:cs="Arial"/>
                <w:b/>
                <w:bCs/>
                <w:sz w:val="20"/>
                <w:szCs w:val="20"/>
                <w:lang w:val="es-ES"/>
              </w:rPr>
            </w:pPr>
            <w:r w:rsidRPr="009F1388">
              <w:rPr>
                <w:rFonts w:eastAsia="Times New Roman" w:cs="Arial"/>
                <w:b/>
                <w:bCs/>
                <w:sz w:val="20"/>
                <w:szCs w:val="20"/>
                <w:lang w:val="es-ES"/>
              </w:rPr>
              <w:t>Recomendación de la Secretaría</w:t>
            </w:r>
            <w:r w:rsidRPr="009F1388">
              <w:rPr>
                <w:rFonts w:eastAsia="Times New Roman" w:cs="Arial"/>
                <w:b/>
                <w:bCs/>
                <w:sz w:val="20"/>
                <w:szCs w:val="20"/>
                <w:lang w:val="es-ES"/>
              </w:rPr>
              <w:br/>
              <w:t>(eliminar o renovar)</w:t>
            </w:r>
          </w:p>
        </w:tc>
      </w:tr>
      <w:tr w:rsidR="00BE6E08" w:rsidRPr="009F1388" w:rsidTr="00BE6E08">
        <w:trPr>
          <w:trHeight w:val="255"/>
        </w:trPr>
        <w:tc>
          <w:tcPr>
            <w:tcW w:w="14580" w:type="dxa"/>
            <w:gridSpan w:val="6"/>
            <w:tcBorders>
              <w:top w:val="single" w:sz="4" w:space="0" w:color="auto"/>
              <w:left w:val="single" w:sz="4" w:space="0" w:color="auto"/>
              <w:bottom w:val="single" w:sz="4" w:space="0" w:color="auto"/>
              <w:right w:val="single" w:sz="4" w:space="0" w:color="auto"/>
            </w:tcBorders>
            <w:shd w:val="clear" w:color="000000" w:fill="D0CECE"/>
            <w:vAlign w:val="center"/>
            <w:hideMark/>
          </w:tcPr>
          <w:p w:rsidR="00BE6E08" w:rsidRPr="009F1388" w:rsidRDefault="00BE6E08" w:rsidP="00BE6E08">
            <w:pPr>
              <w:spacing w:after="0" w:line="240" w:lineRule="auto"/>
              <w:rPr>
                <w:rFonts w:eastAsia="Times New Roman" w:cs="Arial"/>
                <w:b/>
                <w:bCs/>
                <w:sz w:val="20"/>
                <w:szCs w:val="20"/>
                <w:lang w:val="es-ES"/>
              </w:rPr>
            </w:pPr>
            <w:r w:rsidRPr="009F1388">
              <w:rPr>
                <w:rFonts w:eastAsia="Times New Roman" w:cs="Arial"/>
                <w:b/>
                <w:bCs/>
                <w:sz w:val="20"/>
                <w:szCs w:val="20"/>
                <w:lang w:val="es-ES"/>
              </w:rPr>
              <w:t>Asuntos Estratégicos e Institucionales</w:t>
            </w:r>
          </w:p>
        </w:tc>
      </w:tr>
      <w:tr w:rsidR="00BE6E08" w:rsidRPr="009F1388" w:rsidTr="000418F2">
        <w:trPr>
          <w:trHeight w:val="1399"/>
        </w:trPr>
        <w:tc>
          <w:tcPr>
            <w:tcW w:w="828" w:type="dxa"/>
            <w:tcBorders>
              <w:top w:val="nil"/>
              <w:left w:val="single" w:sz="4" w:space="0" w:color="auto"/>
              <w:bottom w:val="single" w:sz="4" w:space="0" w:color="auto"/>
              <w:right w:val="single" w:sz="4" w:space="0" w:color="auto"/>
            </w:tcBorders>
            <w:shd w:val="clear" w:color="000000" w:fill="FFFFFF"/>
            <w:hideMark/>
          </w:tcPr>
          <w:p w:rsidR="00BE6E08" w:rsidRPr="009F1388" w:rsidRDefault="00BE6E08" w:rsidP="000418F2">
            <w:pPr>
              <w:spacing w:before="40" w:after="40" w:line="240" w:lineRule="auto"/>
              <w:jc w:val="center"/>
              <w:rPr>
                <w:rFonts w:eastAsia="Times New Roman" w:cs="Arial"/>
                <w:b/>
                <w:bCs/>
                <w:sz w:val="20"/>
                <w:szCs w:val="20"/>
                <w:lang w:val="es-ES"/>
              </w:rPr>
            </w:pPr>
            <w:r w:rsidRPr="009F1388">
              <w:rPr>
                <w:rFonts w:eastAsia="Times New Roman" w:cs="Arial"/>
                <w:b/>
                <w:bCs/>
                <w:sz w:val="20"/>
                <w:szCs w:val="20"/>
                <w:lang w:val="es-ES"/>
              </w:rPr>
              <w:t>12.2</w:t>
            </w:r>
          </w:p>
        </w:tc>
        <w:tc>
          <w:tcPr>
            <w:tcW w:w="1582" w:type="dxa"/>
            <w:vMerge w:val="restart"/>
            <w:tcBorders>
              <w:top w:val="nil"/>
              <w:left w:val="single" w:sz="4" w:space="0" w:color="auto"/>
              <w:bottom w:val="single" w:sz="4" w:space="0" w:color="auto"/>
              <w:right w:val="single" w:sz="4" w:space="0" w:color="auto"/>
            </w:tcBorders>
            <w:shd w:val="clear" w:color="000000" w:fill="FFFFFF"/>
            <w:hideMark/>
          </w:tcPr>
          <w:p w:rsidR="00BE6E08" w:rsidRPr="009F1388" w:rsidRDefault="00BE6E08" w:rsidP="000418F2">
            <w:pPr>
              <w:spacing w:before="40" w:after="40" w:line="240" w:lineRule="auto"/>
              <w:rPr>
                <w:rFonts w:eastAsia="Times New Roman" w:cs="Arial"/>
                <w:b/>
                <w:bCs/>
                <w:sz w:val="20"/>
                <w:szCs w:val="20"/>
                <w:lang w:val="es-ES"/>
              </w:rPr>
            </w:pPr>
            <w:r w:rsidRPr="009F1388">
              <w:rPr>
                <w:rFonts w:eastAsia="Times New Roman" w:cs="Arial"/>
                <w:b/>
                <w:bCs/>
                <w:sz w:val="20"/>
                <w:szCs w:val="20"/>
                <w:lang w:val="es-ES"/>
              </w:rPr>
              <w:t>Consejo Científico</w:t>
            </w:r>
          </w:p>
        </w:tc>
        <w:tc>
          <w:tcPr>
            <w:tcW w:w="1701" w:type="dxa"/>
            <w:tcBorders>
              <w:top w:val="nil"/>
              <w:left w:val="nil"/>
              <w:bottom w:val="single" w:sz="4" w:space="0" w:color="auto"/>
              <w:right w:val="single" w:sz="4" w:space="0" w:color="auto"/>
            </w:tcBorders>
            <w:shd w:val="clear" w:color="000000" w:fill="FFFFFF"/>
            <w:hideMark/>
          </w:tcPr>
          <w:p w:rsidR="00BE6E08" w:rsidRPr="009F1388" w:rsidRDefault="00BE6E08" w:rsidP="000418F2">
            <w:pPr>
              <w:spacing w:before="40" w:after="40" w:line="240" w:lineRule="auto"/>
              <w:rPr>
                <w:rFonts w:eastAsia="Times New Roman" w:cs="Arial"/>
                <w:sz w:val="20"/>
                <w:szCs w:val="20"/>
                <w:lang w:val="es-ES"/>
              </w:rPr>
            </w:pPr>
            <w:r w:rsidRPr="009F1388">
              <w:rPr>
                <w:rFonts w:eastAsia="Times New Roman" w:cs="Arial"/>
                <w:sz w:val="20"/>
                <w:szCs w:val="20"/>
                <w:lang w:val="es-ES"/>
              </w:rPr>
              <w:t>Dirigido al Consejo Científico</w:t>
            </w:r>
          </w:p>
        </w:tc>
        <w:tc>
          <w:tcPr>
            <w:tcW w:w="4820" w:type="dxa"/>
            <w:tcBorders>
              <w:top w:val="nil"/>
              <w:left w:val="nil"/>
              <w:bottom w:val="single" w:sz="4" w:space="0" w:color="auto"/>
              <w:right w:val="single" w:sz="4" w:space="0" w:color="auto"/>
            </w:tcBorders>
            <w:shd w:val="clear" w:color="000000" w:fill="FFFFFF"/>
            <w:hideMark/>
          </w:tcPr>
          <w:p w:rsidR="00BE6E08" w:rsidRPr="009F1388" w:rsidRDefault="00BE6E08" w:rsidP="000418F2">
            <w:pPr>
              <w:spacing w:before="40" w:after="40" w:line="240" w:lineRule="auto"/>
              <w:jc w:val="both"/>
              <w:rPr>
                <w:rFonts w:eastAsia="Times New Roman" w:cs="Arial"/>
                <w:sz w:val="20"/>
                <w:szCs w:val="20"/>
                <w:lang w:val="es-ES"/>
              </w:rPr>
            </w:pPr>
            <w:r w:rsidRPr="009F1388">
              <w:rPr>
                <w:rFonts w:eastAsia="Times New Roman" w:cs="Arial"/>
                <w:sz w:val="20"/>
                <w:szCs w:val="20"/>
                <w:lang w:val="es-ES"/>
              </w:rPr>
              <w:t xml:space="preserve">El Consejo Científico, con el asesoramiento de la Secretaría elabora y aprueba una revisión de sus Reglas de Procedimiento y los elementos de su modus operandi, de acuerdo con la UNEP/CMS/Resolución 12.4 </w:t>
            </w:r>
            <w:r w:rsidRPr="009F1388">
              <w:rPr>
                <w:rFonts w:eastAsia="Times New Roman" w:cs="Arial"/>
                <w:i/>
                <w:sz w:val="20"/>
                <w:szCs w:val="20"/>
                <w:lang w:val="es-ES"/>
              </w:rPr>
              <w:t>Consejo Científico</w:t>
            </w:r>
            <w:r w:rsidRPr="009F1388">
              <w:rPr>
                <w:rFonts w:eastAsia="Times New Roman" w:cs="Arial"/>
                <w:sz w:val="20"/>
                <w:szCs w:val="20"/>
                <w:lang w:val="es-ES"/>
              </w:rPr>
              <w:t>.</w:t>
            </w:r>
          </w:p>
        </w:tc>
        <w:tc>
          <w:tcPr>
            <w:tcW w:w="3827" w:type="dxa"/>
            <w:tcBorders>
              <w:top w:val="nil"/>
              <w:left w:val="nil"/>
              <w:bottom w:val="single" w:sz="4" w:space="0" w:color="auto"/>
              <w:right w:val="single" w:sz="4" w:space="0" w:color="auto"/>
            </w:tcBorders>
            <w:shd w:val="clear" w:color="000000" w:fill="FFFFFF"/>
            <w:hideMark/>
          </w:tcPr>
          <w:p w:rsidR="00BE6E08" w:rsidRPr="009F1388" w:rsidRDefault="00A914C6" w:rsidP="000418F2">
            <w:pPr>
              <w:spacing w:before="40" w:after="40" w:line="240" w:lineRule="auto"/>
              <w:jc w:val="both"/>
              <w:rPr>
                <w:rFonts w:eastAsia="Times New Roman" w:cs="Arial"/>
                <w:sz w:val="20"/>
                <w:szCs w:val="20"/>
                <w:lang w:val="es-ES"/>
              </w:rPr>
            </w:pPr>
            <w:r w:rsidRPr="009F1388">
              <w:rPr>
                <w:rFonts w:eastAsia="Times New Roman" w:cs="Arial"/>
                <w:sz w:val="20"/>
                <w:szCs w:val="20"/>
                <w:lang w:val="es-ES"/>
              </w:rPr>
              <w:t>El ScC-SC3 consideró y acordó una revisión de las reglas de procedimiento del Consejo Científico y su Comité del Período de Sesiones, así como su modus operandi, que se presentó ante el StC48 para su adopción.</w:t>
            </w:r>
          </w:p>
        </w:tc>
        <w:tc>
          <w:tcPr>
            <w:tcW w:w="1822" w:type="dxa"/>
            <w:tcBorders>
              <w:top w:val="nil"/>
              <w:left w:val="nil"/>
              <w:bottom w:val="single" w:sz="4" w:space="0" w:color="auto"/>
              <w:right w:val="single" w:sz="4" w:space="0" w:color="auto"/>
            </w:tcBorders>
            <w:shd w:val="clear" w:color="000000" w:fill="FFFFFF"/>
            <w:vAlign w:val="center"/>
            <w:hideMark/>
          </w:tcPr>
          <w:p w:rsidR="00BE6E08" w:rsidRPr="009F1388" w:rsidRDefault="00A914C6" w:rsidP="000418F2">
            <w:pPr>
              <w:spacing w:before="40" w:after="40" w:line="240" w:lineRule="auto"/>
              <w:jc w:val="both"/>
              <w:rPr>
                <w:rFonts w:eastAsia="Times New Roman" w:cs="Arial"/>
                <w:sz w:val="20"/>
                <w:szCs w:val="20"/>
                <w:lang w:val="es-ES"/>
              </w:rPr>
            </w:pPr>
            <w:r w:rsidRPr="009F1388">
              <w:rPr>
                <w:rFonts w:eastAsia="Times New Roman" w:cs="Arial"/>
                <w:sz w:val="20"/>
                <w:szCs w:val="20"/>
                <w:lang w:val="es-ES"/>
              </w:rPr>
              <w:t>Eliminar Decisión</w:t>
            </w:r>
          </w:p>
        </w:tc>
      </w:tr>
      <w:tr w:rsidR="00BE6E08" w:rsidRPr="009F1388" w:rsidTr="000418F2">
        <w:trPr>
          <w:trHeight w:val="660"/>
        </w:trPr>
        <w:tc>
          <w:tcPr>
            <w:tcW w:w="828" w:type="dxa"/>
            <w:tcBorders>
              <w:top w:val="nil"/>
              <w:left w:val="single" w:sz="4" w:space="0" w:color="auto"/>
              <w:bottom w:val="single" w:sz="4" w:space="0" w:color="auto"/>
              <w:right w:val="single" w:sz="4" w:space="0" w:color="auto"/>
            </w:tcBorders>
            <w:shd w:val="clear" w:color="000000" w:fill="FFFFFF"/>
            <w:hideMark/>
          </w:tcPr>
          <w:p w:rsidR="00BE6E08" w:rsidRPr="009F1388" w:rsidRDefault="00BE6E08" w:rsidP="000418F2">
            <w:pPr>
              <w:spacing w:before="40" w:after="40" w:line="240" w:lineRule="auto"/>
              <w:jc w:val="center"/>
              <w:rPr>
                <w:rFonts w:eastAsia="Times New Roman" w:cs="Arial"/>
                <w:b/>
                <w:bCs/>
                <w:sz w:val="20"/>
                <w:szCs w:val="20"/>
                <w:lang w:val="es-ES"/>
              </w:rPr>
            </w:pPr>
            <w:r w:rsidRPr="009F1388">
              <w:rPr>
                <w:rFonts w:eastAsia="Times New Roman" w:cs="Arial"/>
                <w:b/>
                <w:bCs/>
                <w:sz w:val="20"/>
                <w:szCs w:val="20"/>
                <w:lang w:val="es-ES"/>
              </w:rPr>
              <w:t>12.3</w:t>
            </w:r>
          </w:p>
        </w:tc>
        <w:tc>
          <w:tcPr>
            <w:tcW w:w="1582" w:type="dxa"/>
            <w:vMerge/>
            <w:tcBorders>
              <w:top w:val="nil"/>
              <w:left w:val="single" w:sz="4" w:space="0" w:color="auto"/>
              <w:bottom w:val="single" w:sz="4" w:space="0" w:color="auto"/>
              <w:right w:val="single" w:sz="4" w:space="0" w:color="auto"/>
            </w:tcBorders>
            <w:vAlign w:val="center"/>
            <w:hideMark/>
          </w:tcPr>
          <w:p w:rsidR="00BE6E08" w:rsidRPr="009F1388" w:rsidRDefault="00BE6E08" w:rsidP="000418F2">
            <w:pPr>
              <w:spacing w:before="40" w:after="40" w:line="240" w:lineRule="auto"/>
              <w:rPr>
                <w:rFonts w:eastAsia="Times New Roman" w:cs="Arial"/>
                <w:b/>
                <w:bCs/>
                <w:sz w:val="20"/>
                <w:szCs w:val="20"/>
                <w:lang w:val="es-ES"/>
              </w:rPr>
            </w:pPr>
          </w:p>
        </w:tc>
        <w:tc>
          <w:tcPr>
            <w:tcW w:w="1701" w:type="dxa"/>
            <w:tcBorders>
              <w:top w:val="nil"/>
              <w:left w:val="nil"/>
              <w:bottom w:val="single" w:sz="4" w:space="0" w:color="auto"/>
              <w:right w:val="single" w:sz="4" w:space="0" w:color="auto"/>
            </w:tcBorders>
            <w:shd w:val="clear" w:color="000000" w:fill="FFFFFF"/>
            <w:hideMark/>
          </w:tcPr>
          <w:p w:rsidR="00BE6E08" w:rsidRPr="009F1388" w:rsidRDefault="00BE6E08" w:rsidP="000418F2">
            <w:pPr>
              <w:spacing w:before="40" w:after="40" w:line="240" w:lineRule="auto"/>
              <w:rPr>
                <w:rFonts w:eastAsia="Times New Roman" w:cs="Arial"/>
                <w:sz w:val="20"/>
                <w:szCs w:val="20"/>
                <w:lang w:val="es-ES"/>
              </w:rPr>
            </w:pPr>
            <w:r w:rsidRPr="009F1388">
              <w:rPr>
                <w:rFonts w:eastAsia="Times New Roman" w:cs="Arial"/>
                <w:sz w:val="20"/>
                <w:szCs w:val="20"/>
                <w:lang w:val="es-ES"/>
              </w:rPr>
              <w:t>Dirigido al Comité Permanente</w:t>
            </w:r>
          </w:p>
        </w:tc>
        <w:tc>
          <w:tcPr>
            <w:tcW w:w="4820" w:type="dxa"/>
            <w:tcBorders>
              <w:top w:val="nil"/>
              <w:left w:val="nil"/>
              <w:bottom w:val="single" w:sz="4" w:space="0" w:color="auto"/>
              <w:right w:val="single" w:sz="4" w:space="0" w:color="auto"/>
            </w:tcBorders>
            <w:shd w:val="clear" w:color="000000" w:fill="FFFFFF"/>
            <w:hideMark/>
          </w:tcPr>
          <w:p w:rsidR="00BE6E08" w:rsidRPr="009F1388" w:rsidRDefault="00BE6E08" w:rsidP="000418F2">
            <w:pPr>
              <w:spacing w:before="40" w:after="40" w:line="240" w:lineRule="auto"/>
              <w:jc w:val="both"/>
              <w:rPr>
                <w:rFonts w:eastAsia="Times New Roman" w:cs="Arial"/>
                <w:sz w:val="20"/>
                <w:szCs w:val="20"/>
                <w:lang w:val="es-ES"/>
              </w:rPr>
            </w:pPr>
            <w:r w:rsidRPr="009F1388">
              <w:rPr>
                <w:rFonts w:eastAsia="Times New Roman" w:cs="Arial"/>
                <w:sz w:val="20"/>
                <w:szCs w:val="20"/>
                <w:lang w:val="es-ES"/>
              </w:rPr>
              <w:t>El Comité Permanente aprueba las Reglas de Procedimiento revisadas del Consejo Científico.</w:t>
            </w:r>
          </w:p>
        </w:tc>
        <w:tc>
          <w:tcPr>
            <w:tcW w:w="3827" w:type="dxa"/>
            <w:tcBorders>
              <w:top w:val="nil"/>
              <w:left w:val="nil"/>
              <w:bottom w:val="single" w:sz="4" w:space="0" w:color="auto"/>
              <w:right w:val="single" w:sz="4" w:space="0" w:color="auto"/>
            </w:tcBorders>
            <w:shd w:val="clear" w:color="000000" w:fill="FFFFFF"/>
            <w:hideMark/>
          </w:tcPr>
          <w:p w:rsidR="00BE6E08" w:rsidRPr="009F1388" w:rsidRDefault="00A914C6" w:rsidP="000418F2">
            <w:pPr>
              <w:spacing w:before="40" w:after="40" w:line="240" w:lineRule="auto"/>
              <w:jc w:val="both"/>
              <w:rPr>
                <w:rFonts w:eastAsia="Times New Roman" w:cs="Arial"/>
                <w:sz w:val="20"/>
                <w:szCs w:val="20"/>
                <w:lang w:val="es-ES"/>
              </w:rPr>
            </w:pPr>
            <w:r w:rsidRPr="009F1388">
              <w:rPr>
                <w:rFonts w:eastAsia="Times New Roman" w:cs="Arial"/>
                <w:sz w:val="20"/>
                <w:szCs w:val="20"/>
                <w:lang w:val="es-ES"/>
              </w:rPr>
              <w:t>El StC48 aceptó debidamente las reglas de procedimiento</w:t>
            </w:r>
          </w:p>
        </w:tc>
        <w:tc>
          <w:tcPr>
            <w:tcW w:w="1822" w:type="dxa"/>
            <w:tcBorders>
              <w:top w:val="nil"/>
              <w:left w:val="nil"/>
              <w:bottom w:val="single" w:sz="4" w:space="0" w:color="auto"/>
              <w:right w:val="single" w:sz="4" w:space="0" w:color="auto"/>
            </w:tcBorders>
            <w:shd w:val="clear" w:color="000000" w:fill="FFFFFF"/>
            <w:vAlign w:val="center"/>
            <w:hideMark/>
          </w:tcPr>
          <w:p w:rsidR="00BE6E08" w:rsidRPr="009F1388" w:rsidRDefault="00A914C6" w:rsidP="000418F2">
            <w:pPr>
              <w:spacing w:before="40" w:after="40" w:line="240" w:lineRule="auto"/>
              <w:jc w:val="both"/>
              <w:rPr>
                <w:rFonts w:eastAsia="Times New Roman" w:cs="Arial"/>
                <w:sz w:val="20"/>
                <w:szCs w:val="20"/>
                <w:lang w:val="es-ES"/>
              </w:rPr>
            </w:pPr>
            <w:r w:rsidRPr="009F1388">
              <w:rPr>
                <w:rFonts w:eastAsia="Times New Roman" w:cs="Arial"/>
                <w:sz w:val="20"/>
                <w:szCs w:val="20"/>
                <w:lang w:val="es-ES"/>
              </w:rPr>
              <w:t>Eliminar Decisión</w:t>
            </w:r>
          </w:p>
        </w:tc>
      </w:tr>
      <w:tr w:rsidR="00BE6E08" w:rsidRPr="00046151" w:rsidTr="00BE6E08">
        <w:trPr>
          <w:trHeight w:val="255"/>
        </w:trPr>
        <w:tc>
          <w:tcPr>
            <w:tcW w:w="14580" w:type="dxa"/>
            <w:gridSpan w:val="6"/>
            <w:tcBorders>
              <w:top w:val="single" w:sz="4" w:space="0" w:color="auto"/>
              <w:left w:val="single" w:sz="4" w:space="0" w:color="auto"/>
              <w:bottom w:val="single" w:sz="4" w:space="0" w:color="auto"/>
              <w:right w:val="single" w:sz="4" w:space="0" w:color="auto"/>
            </w:tcBorders>
            <w:shd w:val="clear" w:color="000000" w:fill="D0CECE"/>
            <w:hideMark/>
          </w:tcPr>
          <w:p w:rsidR="00BE6E08" w:rsidRPr="009F1388" w:rsidRDefault="00BE6E08" w:rsidP="000418F2">
            <w:pPr>
              <w:spacing w:before="40" w:after="40" w:line="240" w:lineRule="auto"/>
              <w:jc w:val="both"/>
              <w:rPr>
                <w:rFonts w:eastAsia="Times New Roman" w:cs="Arial"/>
                <w:b/>
                <w:bCs/>
                <w:sz w:val="20"/>
                <w:szCs w:val="20"/>
                <w:lang w:val="es-ES"/>
              </w:rPr>
            </w:pPr>
            <w:r w:rsidRPr="009F1388">
              <w:rPr>
                <w:rFonts w:eastAsia="Times New Roman" w:cs="Arial"/>
                <w:b/>
                <w:bCs/>
                <w:sz w:val="20"/>
                <w:szCs w:val="20"/>
                <w:lang w:val="es-ES"/>
              </w:rPr>
              <w:t xml:space="preserve">Interpretación e Implementación de la Convención </w:t>
            </w:r>
            <w:r w:rsidRPr="009F1388">
              <w:rPr>
                <w:rFonts w:eastAsia="Times New Roman" w:cs="Arial"/>
                <w:sz w:val="20"/>
                <w:szCs w:val="20"/>
                <w:lang w:val="es-ES"/>
              </w:rPr>
              <w:t> </w:t>
            </w:r>
          </w:p>
        </w:tc>
      </w:tr>
      <w:tr w:rsidR="00BE6E08" w:rsidRPr="009F1388" w:rsidTr="000418F2">
        <w:trPr>
          <w:trHeight w:val="994"/>
        </w:trPr>
        <w:tc>
          <w:tcPr>
            <w:tcW w:w="828" w:type="dxa"/>
            <w:tcBorders>
              <w:top w:val="nil"/>
              <w:left w:val="single" w:sz="4" w:space="0" w:color="auto"/>
              <w:bottom w:val="single" w:sz="4" w:space="0" w:color="auto"/>
              <w:right w:val="single" w:sz="4" w:space="0" w:color="auto"/>
            </w:tcBorders>
            <w:shd w:val="clear" w:color="000000" w:fill="FFFFFF"/>
            <w:hideMark/>
          </w:tcPr>
          <w:p w:rsidR="00BE6E08" w:rsidRPr="009F1388" w:rsidRDefault="00BE6E08" w:rsidP="000418F2">
            <w:pPr>
              <w:spacing w:before="40" w:after="40" w:line="240" w:lineRule="auto"/>
              <w:jc w:val="center"/>
              <w:rPr>
                <w:rFonts w:eastAsia="Times New Roman" w:cs="Arial"/>
                <w:b/>
                <w:bCs/>
                <w:sz w:val="20"/>
                <w:szCs w:val="20"/>
                <w:lang w:val="es-ES"/>
              </w:rPr>
            </w:pPr>
            <w:r w:rsidRPr="009F1388">
              <w:rPr>
                <w:rFonts w:eastAsia="Times New Roman" w:cs="Arial"/>
                <w:b/>
                <w:bCs/>
                <w:sz w:val="20"/>
                <w:szCs w:val="20"/>
                <w:lang w:val="es-ES"/>
              </w:rPr>
              <w:t>12.15</w:t>
            </w:r>
          </w:p>
        </w:tc>
        <w:tc>
          <w:tcPr>
            <w:tcW w:w="1582" w:type="dxa"/>
            <w:tcBorders>
              <w:top w:val="nil"/>
              <w:left w:val="nil"/>
              <w:bottom w:val="single" w:sz="4" w:space="0" w:color="auto"/>
              <w:right w:val="single" w:sz="4" w:space="0" w:color="auto"/>
            </w:tcBorders>
            <w:shd w:val="clear" w:color="000000" w:fill="FFFFFF"/>
            <w:hideMark/>
          </w:tcPr>
          <w:p w:rsidR="00BE6E08" w:rsidRPr="009F1388" w:rsidRDefault="00BE6E08" w:rsidP="000418F2">
            <w:pPr>
              <w:spacing w:before="40" w:after="40" w:line="240" w:lineRule="auto"/>
              <w:rPr>
                <w:rFonts w:eastAsia="Times New Roman" w:cs="Arial"/>
                <w:b/>
                <w:bCs/>
                <w:sz w:val="20"/>
                <w:szCs w:val="20"/>
                <w:lang w:val="es-ES"/>
              </w:rPr>
            </w:pPr>
            <w:r w:rsidRPr="009F1388">
              <w:rPr>
                <w:rFonts w:eastAsia="Times New Roman" w:cs="Arial"/>
                <w:b/>
                <w:bCs/>
                <w:sz w:val="20"/>
                <w:szCs w:val="20"/>
                <w:lang w:val="es-ES"/>
              </w:rPr>
              <w:t>Plan de comunicación, información y difusión</w:t>
            </w:r>
          </w:p>
        </w:tc>
        <w:tc>
          <w:tcPr>
            <w:tcW w:w="1701" w:type="dxa"/>
            <w:tcBorders>
              <w:top w:val="nil"/>
              <w:left w:val="nil"/>
              <w:bottom w:val="single" w:sz="4" w:space="0" w:color="auto"/>
              <w:right w:val="single" w:sz="4" w:space="0" w:color="auto"/>
            </w:tcBorders>
            <w:shd w:val="clear" w:color="000000" w:fill="FFFFFF"/>
            <w:hideMark/>
          </w:tcPr>
          <w:p w:rsidR="00BE6E08" w:rsidRPr="009F1388" w:rsidRDefault="00BE6E08" w:rsidP="000418F2">
            <w:pPr>
              <w:spacing w:before="40" w:after="40" w:line="240" w:lineRule="auto"/>
              <w:rPr>
                <w:rFonts w:eastAsia="Times New Roman" w:cs="Arial"/>
                <w:sz w:val="20"/>
                <w:szCs w:val="20"/>
                <w:lang w:val="es-ES"/>
              </w:rPr>
            </w:pPr>
            <w:r w:rsidRPr="009F1388">
              <w:rPr>
                <w:rFonts w:eastAsia="Times New Roman" w:cs="Arial"/>
                <w:sz w:val="20"/>
                <w:szCs w:val="20"/>
                <w:lang w:val="es-ES"/>
              </w:rPr>
              <w:t>Dirigido a la Secretaría</w:t>
            </w:r>
          </w:p>
        </w:tc>
        <w:tc>
          <w:tcPr>
            <w:tcW w:w="4820" w:type="dxa"/>
            <w:tcBorders>
              <w:top w:val="nil"/>
              <w:left w:val="nil"/>
              <w:bottom w:val="single" w:sz="4" w:space="0" w:color="auto"/>
              <w:right w:val="single" w:sz="4" w:space="0" w:color="auto"/>
            </w:tcBorders>
            <w:shd w:val="clear" w:color="000000" w:fill="FFFFFF"/>
            <w:hideMark/>
          </w:tcPr>
          <w:p w:rsidR="00BE6E08" w:rsidRPr="009F1388" w:rsidRDefault="00BE6E08" w:rsidP="000418F2">
            <w:pPr>
              <w:spacing w:before="40" w:after="40" w:line="240" w:lineRule="auto"/>
              <w:jc w:val="both"/>
              <w:rPr>
                <w:rFonts w:eastAsia="Times New Roman" w:cs="Arial"/>
                <w:sz w:val="20"/>
                <w:szCs w:val="20"/>
                <w:lang w:val="es-ES"/>
              </w:rPr>
            </w:pPr>
            <w:r w:rsidRPr="009F1388">
              <w:rPr>
                <w:rFonts w:eastAsia="Times New Roman" w:cs="Arial"/>
                <w:sz w:val="20"/>
                <w:szCs w:val="20"/>
                <w:lang w:val="es-ES"/>
              </w:rPr>
              <w:t>Pide al Secretario Ejecutivo de la CMS que presente la estrategia de comunicación de la CMS para su consideración y Decisión durante la 48ª reunión del Comité Permanente de la CMS</w:t>
            </w:r>
          </w:p>
        </w:tc>
        <w:tc>
          <w:tcPr>
            <w:tcW w:w="3827" w:type="dxa"/>
            <w:tcBorders>
              <w:top w:val="nil"/>
              <w:left w:val="nil"/>
              <w:bottom w:val="single" w:sz="4" w:space="0" w:color="auto"/>
              <w:right w:val="single" w:sz="4" w:space="0" w:color="auto"/>
            </w:tcBorders>
            <w:shd w:val="clear" w:color="000000" w:fill="FFFFFF"/>
            <w:hideMark/>
          </w:tcPr>
          <w:p w:rsidR="00BE6E08" w:rsidRPr="009F1388" w:rsidRDefault="00A914C6" w:rsidP="000418F2">
            <w:pPr>
              <w:spacing w:before="40" w:after="40" w:line="240" w:lineRule="auto"/>
              <w:jc w:val="both"/>
              <w:rPr>
                <w:rFonts w:eastAsia="Times New Roman" w:cs="Arial"/>
                <w:sz w:val="20"/>
                <w:szCs w:val="20"/>
                <w:lang w:val="es-ES"/>
              </w:rPr>
            </w:pPr>
            <w:r w:rsidRPr="009F1388">
              <w:rPr>
                <w:rFonts w:eastAsia="Times New Roman" w:cs="Arial"/>
                <w:sz w:val="20"/>
                <w:szCs w:val="20"/>
                <w:lang w:val="es-ES"/>
              </w:rPr>
              <w:t>Decisión originada a partir de la Resolución 11.8. El equipo de comunicaciones y gestión de la información (IMCA) funciona actualmente a pleno rendimiento.</w:t>
            </w:r>
          </w:p>
        </w:tc>
        <w:tc>
          <w:tcPr>
            <w:tcW w:w="1822" w:type="dxa"/>
            <w:tcBorders>
              <w:top w:val="nil"/>
              <w:left w:val="nil"/>
              <w:bottom w:val="single" w:sz="4" w:space="0" w:color="auto"/>
              <w:right w:val="single" w:sz="4" w:space="0" w:color="auto"/>
            </w:tcBorders>
            <w:shd w:val="clear" w:color="000000" w:fill="FFFFFF"/>
            <w:vAlign w:val="center"/>
            <w:hideMark/>
          </w:tcPr>
          <w:p w:rsidR="00BE6E08" w:rsidRPr="009F1388" w:rsidRDefault="00A914C6" w:rsidP="000418F2">
            <w:pPr>
              <w:spacing w:before="40" w:after="40" w:line="240" w:lineRule="auto"/>
              <w:jc w:val="both"/>
              <w:rPr>
                <w:rFonts w:eastAsia="Times New Roman" w:cs="Arial"/>
                <w:sz w:val="20"/>
                <w:szCs w:val="20"/>
                <w:lang w:val="es-ES"/>
              </w:rPr>
            </w:pPr>
            <w:r w:rsidRPr="009F1388">
              <w:rPr>
                <w:rFonts w:eastAsia="Times New Roman" w:cs="Arial"/>
                <w:sz w:val="20"/>
                <w:szCs w:val="20"/>
                <w:lang w:val="es-ES"/>
              </w:rPr>
              <w:t>Eliminar Decisión</w:t>
            </w:r>
          </w:p>
        </w:tc>
      </w:tr>
      <w:tr w:rsidR="00BE6E08" w:rsidRPr="009F1388" w:rsidTr="00BE6E08">
        <w:trPr>
          <w:trHeight w:val="255"/>
        </w:trPr>
        <w:tc>
          <w:tcPr>
            <w:tcW w:w="14580" w:type="dxa"/>
            <w:gridSpan w:val="6"/>
            <w:tcBorders>
              <w:top w:val="single" w:sz="4" w:space="0" w:color="auto"/>
              <w:left w:val="single" w:sz="4" w:space="0" w:color="auto"/>
              <w:bottom w:val="single" w:sz="4" w:space="0" w:color="auto"/>
              <w:right w:val="single" w:sz="4" w:space="0" w:color="auto"/>
            </w:tcBorders>
            <w:shd w:val="clear" w:color="000000" w:fill="D0CECE"/>
            <w:hideMark/>
          </w:tcPr>
          <w:p w:rsidR="00BE6E08" w:rsidRPr="009F1388" w:rsidRDefault="00BE6E08" w:rsidP="000418F2">
            <w:pPr>
              <w:spacing w:before="40" w:after="40" w:line="240" w:lineRule="auto"/>
              <w:rPr>
                <w:rFonts w:eastAsia="Times New Roman" w:cs="Arial"/>
                <w:b/>
                <w:bCs/>
                <w:sz w:val="20"/>
                <w:szCs w:val="20"/>
                <w:lang w:val="es-ES"/>
              </w:rPr>
            </w:pPr>
            <w:r w:rsidRPr="009F1388">
              <w:rPr>
                <w:rFonts w:eastAsia="Times New Roman" w:cs="Arial"/>
                <w:b/>
                <w:bCs/>
                <w:sz w:val="20"/>
                <w:szCs w:val="20"/>
                <w:lang w:val="es-ES"/>
              </w:rPr>
              <w:t xml:space="preserve">Especies de aves  </w:t>
            </w:r>
          </w:p>
        </w:tc>
      </w:tr>
      <w:tr w:rsidR="00BE6E08" w:rsidRPr="009F1388" w:rsidTr="000418F2">
        <w:trPr>
          <w:trHeight w:val="2085"/>
        </w:trPr>
        <w:tc>
          <w:tcPr>
            <w:tcW w:w="828" w:type="dxa"/>
            <w:vMerge w:val="restart"/>
            <w:tcBorders>
              <w:top w:val="nil"/>
              <w:left w:val="single" w:sz="4" w:space="0" w:color="auto"/>
              <w:bottom w:val="single" w:sz="4" w:space="0" w:color="auto"/>
              <w:right w:val="single" w:sz="4" w:space="0" w:color="auto"/>
            </w:tcBorders>
            <w:shd w:val="clear" w:color="000000" w:fill="FFFFFF"/>
            <w:hideMark/>
          </w:tcPr>
          <w:p w:rsidR="00BE6E08" w:rsidRPr="009F1388" w:rsidRDefault="00BE6E08" w:rsidP="000418F2">
            <w:pPr>
              <w:spacing w:before="40" w:after="40" w:line="240" w:lineRule="auto"/>
              <w:jc w:val="center"/>
              <w:rPr>
                <w:rFonts w:eastAsia="Times New Roman" w:cs="Arial"/>
                <w:b/>
                <w:bCs/>
                <w:sz w:val="20"/>
                <w:szCs w:val="20"/>
                <w:lang w:val="es-ES"/>
              </w:rPr>
            </w:pPr>
            <w:r w:rsidRPr="009F1388">
              <w:rPr>
                <w:rFonts w:eastAsia="Times New Roman" w:cs="Arial"/>
                <w:b/>
                <w:bCs/>
                <w:sz w:val="20"/>
                <w:szCs w:val="20"/>
                <w:lang w:val="es-ES"/>
              </w:rPr>
              <w:t>12.36</w:t>
            </w:r>
          </w:p>
        </w:tc>
        <w:tc>
          <w:tcPr>
            <w:tcW w:w="1582" w:type="dxa"/>
            <w:vMerge w:val="restart"/>
            <w:tcBorders>
              <w:top w:val="nil"/>
              <w:left w:val="single" w:sz="4" w:space="0" w:color="auto"/>
              <w:bottom w:val="single" w:sz="4" w:space="0" w:color="auto"/>
              <w:right w:val="single" w:sz="4" w:space="0" w:color="auto"/>
            </w:tcBorders>
            <w:shd w:val="clear" w:color="000000" w:fill="FFFFFF"/>
            <w:hideMark/>
          </w:tcPr>
          <w:p w:rsidR="00BE6E08" w:rsidRPr="009F1388" w:rsidRDefault="00BE6E08" w:rsidP="000418F2">
            <w:pPr>
              <w:spacing w:before="40" w:after="40" w:line="240" w:lineRule="auto"/>
              <w:rPr>
                <w:rFonts w:eastAsia="Times New Roman" w:cs="Arial"/>
                <w:b/>
                <w:bCs/>
                <w:sz w:val="20"/>
                <w:szCs w:val="20"/>
                <w:lang w:val="es-ES"/>
              </w:rPr>
            </w:pPr>
            <w:r w:rsidRPr="009F1388">
              <w:rPr>
                <w:rFonts w:eastAsia="Times New Roman" w:cs="Arial"/>
                <w:b/>
                <w:bCs/>
                <w:sz w:val="20"/>
                <w:szCs w:val="20"/>
                <w:lang w:val="es-ES"/>
              </w:rPr>
              <w:t>Conservación de los buitres de África-Eurasia</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BE6E08" w:rsidRPr="009F1388" w:rsidRDefault="00BE6E08" w:rsidP="000418F2">
            <w:pPr>
              <w:spacing w:before="40" w:after="40" w:line="240" w:lineRule="auto"/>
              <w:rPr>
                <w:rFonts w:eastAsia="Times New Roman" w:cs="Arial"/>
                <w:sz w:val="20"/>
                <w:szCs w:val="20"/>
                <w:lang w:val="es-ES"/>
              </w:rPr>
            </w:pPr>
            <w:r w:rsidRPr="009F1388">
              <w:rPr>
                <w:rFonts w:eastAsia="Times New Roman" w:cs="Arial"/>
                <w:sz w:val="20"/>
                <w:szCs w:val="20"/>
                <w:lang w:val="es-ES"/>
              </w:rPr>
              <w:t>Dirigido a las Partes, las organizaciones intergubernamentales y no gubernamentales</w:t>
            </w:r>
          </w:p>
        </w:tc>
        <w:tc>
          <w:tcPr>
            <w:tcW w:w="4820" w:type="dxa"/>
            <w:tcBorders>
              <w:top w:val="nil"/>
              <w:left w:val="nil"/>
              <w:bottom w:val="single" w:sz="4" w:space="0" w:color="auto"/>
              <w:right w:val="single" w:sz="4" w:space="0" w:color="auto"/>
            </w:tcBorders>
            <w:shd w:val="clear" w:color="000000" w:fill="FFFFFF"/>
            <w:hideMark/>
          </w:tcPr>
          <w:p w:rsidR="00C263ED" w:rsidRPr="009F1388" w:rsidRDefault="00C263ED" w:rsidP="000418F2">
            <w:pPr>
              <w:spacing w:before="40" w:after="40" w:line="240" w:lineRule="auto"/>
              <w:jc w:val="both"/>
              <w:rPr>
                <w:rFonts w:eastAsia="Times New Roman" w:cs="Arial"/>
                <w:sz w:val="20"/>
                <w:szCs w:val="20"/>
                <w:lang w:val="es-ES"/>
              </w:rPr>
            </w:pPr>
            <w:r w:rsidRPr="009F1388">
              <w:rPr>
                <w:rFonts w:eastAsia="Times New Roman" w:cs="Arial"/>
                <w:sz w:val="20"/>
                <w:szCs w:val="20"/>
                <w:lang w:val="es-ES"/>
              </w:rPr>
              <w:t>Se alienta a las Partes, los Estados del área de distribución que no son Partes y a los interesados a:</w:t>
            </w:r>
          </w:p>
          <w:p w:rsidR="00BE6E08" w:rsidRPr="009F1388" w:rsidRDefault="00C263ED" w:rsidP="000418F2">
            <w:pPr>
              <w:spacing w:before="40" w:after="40" w:line="240" w:lineRule="auto"/>
              <w:jc w:val="both"/>
              <w:rPr>
                <w:rFonts w:eastAsia="Times New Roman" w:cs="Arial"/>
                <w:sz w:val="20"/>
                <w:szCs w:val="20"/>
                <w:lang w:val="es-ES"/>
              </w:rPr>
            </w:pPr>
            <w:r w:rsidRPr="009F1388">
              <w:rPr>
                <w:rFonts w:eastAsia="Times New Roman" w:cs="Arial"/>
                <w:sz w:val="20"/>
                <w:szCs w:val="20"/>
                <w:lang w:val="es-ES"/>
              </w:rPr>
              <w:t>a)</w:t>
            </w:r>
            <w:r w:rsidRPr="009F1388">
              <w:rPr>
                <w:rFonts w:eastAsia="Times New Roman" w:cs="Arial"/>
                <w:sz w:val="20"/>
                <w:szCs w:val="20"/>
                <w:lang w:val="es-ES"/>
              </w:rPr>
              <w:tab/>
              <w:t>Crear asociaciones con las iniciativas de lucha contra la caza furtiva y con los grupos de conservación que se ocupan del envenenamiento de otros grupos taxonómicos, incluida la elaboración de cursos de capacitación, la traducción y difusión de ejemplos de mejores prácticas, el intercambio de protocolos y reglamentos, la transferencia de tecnología, y el fomento del uso de instrumentos en línea para abordar cuestiones específicas que son pertinentes para el Plan de Acción Multi-Especie para el buitre;</w:t>
            </w:r>
          </w:p>
        </w:tc>
        <w:tc>
          <w:tcPr>
            <w:tcW w:w="3827" w:type="dxa"/>
            <w:vMerge w:val="restart"/>
            <w:tcBorders>
              <w:top w:val="nil"/>
              <w:left w:val="single" w:sz="4" w:space="0" w:color="auto"/>
              <w:bottom w:val="single" w:sz="4" w:space="0" w:color="auto"/>
              <w:right w:val="single" w:sz="4" w:space="0" w:color="auto"/>
            </w:tcBorders>
            <w:shd w:val="clear" w:color="000000" w:fill="FFFFFF"/>
            <w:hideMark/>
          </w:tcPr>
          <w:p w:rsidR="00BE6E08" w:rsidRPr="009F1388" w:rsidRDefault="00A914C6" w:rsidP="000418F2">
            <w:pPr>
              <w:spacing w:before="40" w:after="40" w:line="240" w:lineRule="auto"/>
              <w:jc w:val="both"/>
              <w:rPr>
                <w:rFonts w:eastAsia="Times New Roman" w:cs="Arial"/>
                <w:sz w:val="20"/>
                <w:szCs w:val="20"/>
                <w:lang w:val="es-ES"/>
              </w:rPr>
            </w:pPr>
            <w:r w:rsidRPr="009F1388">
              <w:rPr>
                <w:rFonts w:eastAsia="Times New Roman" w:cs="Arial"/>
                <w:sz w:val="20"/>
                <w:szCs w:val="20"/>
                <w:lang w:val="es-ES"/>
              </w:rPr>
              <w:t>Buen trabajo en curso en varios países de África oriental y austral. No obstante, los detalles aún están por determinar debido a que las Partes de la CMS hasta la fecha no han proporcionado recursos para coordinar adecuadamente la aplicación del PAME para el buitre</w:t>
            </w:r>
          </w:p>
        </w:tc>
        <w:tc>
          <w:tcPr>
            <w:tcW w:w="1822" w:type="dxa"/>
            <w:vMerge w:val="restart"/>
            <w:tcBorders>
              <w:top w:val="nil"/>
              <w:left w:val="single" w:sz="4" w:space="0" w:color="auto"/>
              <w:bottom w:val="single" w:sz="4" w:space="0" w:color="auto"/>
              <w:right w:val="single" w:sz="4" w:space="0" w:color="auto"/>
            </w:tcBorders>
            <w:shd w:val="clear" w:color="000000" w:fill="FFFFFF"/>
            <w:vAlign w:val="center"/>
            <w:hideMark/>
          </w:tcPr>
          <w:p w:rsidR="00BE6E08" w:rsidRPr="009F1388" w:rsidRDefault="00A914C6" w:rsidP="000418F2">
            <w:pPr>
              <w:spacing w:before="40" w:after="40" w:line="240" w:lineRule="auto"/>
              <w:rPr>
                <w:rFonts w:eastAsia="Times New Roman" w:cs="Arial"/>
                <w:sz w:val="20"/>
                <w:szCs w:val="20"/>
                <w:lang w:val="es-ES"/>
              </w:rPr>
            </w:pPr>
            <w:r w:rsidRPr="009F1388">
              <w:rPr>
                <w:rFonts w:eastAsia="Times New Roman" w:cs="Arial"/>
                <w:color w:val="000000"/>
                <w:sz w:val="20"/>
                <w:szCs w:val="20"/>
                <w:lang w:val="es-ES"/>
              </w:rPr>
              <w:t>Renovar Decisión</w:t>
            </w:r>
          </w:p>
        </w:tc>
      </w:tr>
      <w:tr w:rsidR="00BE6E08" w:rsidRPr="00046151" w:rsidTr="000418F2">
        <w:trPr>
          <w:trHeight w:val="2880"/>
        </w:trPr>
        <w:tc>
          <w:tcPr>
            <w:tcW w:w="828"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rPr>
                <w:rFonts w:eastAsia="Times New Roman" w:cs="Arial"/>
                <w:b/>
                <w:bCs/>
                <w:sz w:val="20"/>
                <w:szCs w:val="20"/>
                <w:lang w:val="es-ES"/>
              </w:rPr>
            </w:pPr>
          </w:p>
        </w:tc>
        <w:tc>
          <w:tcPr>
            <w:tcW w:w="1582"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rPr>
                <w:rFonts w:eastAsia="Times New Roman" w:cs="Arial"/>
                <w:b/>
                <w:bCs/>
                <w:sz w:val="20"/>
                <w:szCs w:val="20"/>
                <w:lang w:val="es-ES"/>
              </w:rPr>
            </w:pPr>
          </w:p>
        </w:tc>
        <w:tc>
          <w:tcPr>
            <w:tcW w:w="1701"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rPr>
                <w:rFonts w:eastAsia="Times New Roman" w:cs="Arial"/>
                <w:sz w:val="20"/>
                <w:szCs w:val="20"/>
                <w:lang w:val="es-ES"/>
              </w:rPr>
            </w:pPr>
          </w:p>
        </w:tc>
        <w:tc>
          <w:tcPr>
            <w:tcW w:w="4820" w:type="dxa"/>
            <w:tcBorders>
              <w:top w:val="nil"/>
              <w:left w:val="nil"/>
              <w:bottom w:val="single" w:sz="4" w:space="0" w:color="auto"/>
              <w:right w:val="single" w:sz="4" w:space="0" w:color="auto"/>
            </w:tcBorders>
            <w:shd w:val="clear" w:color="000000" w:fill="FFFFFF"/>
            <w:hideMark/>
          </w:tcPr>
          <w:p w:rsidR="00BE6E08" w:rsidRPr="009F1388" w:rsidRDefault="00C263ED" w:rsidP="00BE6E08">
            <w:pPr>
              <w:spacing w:after="0" w:line="240" w:lineRule="auto"/>
              <w:jc w:val="both"/>
              <w:rPr>
                <w:rFonts w:eastAsia="Times New Roman" w:cs="Arial"/>
                <w:sz w:val="20"/>
                <w:szCs w:val="20"/>
                <w:lang w:val="es-ES"/>
              </w:rPr>
            </w:pPr>
            <w:r w:rsidRPr="009F1388">
              <w:rPr>
                <w:rFonts w:eastAsia="Times New Roman" w:cs="Arial"/>
                <w:sz w:val="20"/>
                <w:szCs w:val="20"/>
                <w:lang w:val="es-ES"/>
              </w:rPr>
              <w:t>b)</w:t>
            </w:r>
            <w:r w:rsidRPr="009F1388">
              <w:rPr>
                <w:rFonts w:eastAsia="Times New Roman" w:cs="Arial"/>
                <w:sz w:val="20"/>
                <w:szCs w:val="20"/>
                <w:lang w:val="es-ES"/>
              </w:rPr>
              <w:tab/>
              <w:t>Contribuir, con el apoyo de la Secretaría, al taller propuesto acogido por la Convención de las Naciones Unidas de Lucha contra la Desertificación (UNCCD), a que se hace referencia en el documento UNEP/CMS/COP12/Doc.24.1.2 Conservación de las aves terrestres migratorias en la región de África y Eurasia (especialmente en relación con el uso sostenible de la tierra en África), a fin de asegurar que se tengan en cuenta las necesidades de los buitres en la elaboración de un plan (que habrá de ser propuesto para su adopción en la 13ª Reunión de la Conferencia de las Partes de la CMS en 2020) sobre la integración de las necesidades de biodiversidad, conforme se indica en relación con las aves silvestres, en el logro de la neutralidad de la degradación de la tierra a nivel nacional, con especial atención al África occidental (países del Sahel y la sabana de Guinea) y, potencialmente, también el noroeste de África (países del Magreb), sujeto a la disponibilidad de recursos</w:t>
            </w:r>
            <w:r w:rsidR="00BE6E08" w:rsidRPr="009F1388">
              <w:rPr>
                <w:rFonts w:eastAsia="Times New Roman" w:cs="Arial"/>
                <w:sz w:val="20"/>
                <w:szCs w:val="20"/>
                <w:lang w:val="es-ES"/>
              </w:rPr>
              <w:t>.</w:t>
            </w:r>
          </w:p>
        </w:tc>
        <w:tc>
          <w:tcPr>
            <w:tcW w:w="3827"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rPr>
                <w:rFonts w:eastAsia="Times New Roman" w:cs="Arial"/>
                <w:sz w:val="20"/>
                <w:szCs w:val="20"/>
                <w:lang w:val="es-ES"/>
              </w:rPr>
            </w:pPr>
          </w:p>
        </w:tc>
        <w:tc>
          <w:tcPr>
            <w:tcW w:w="1822"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rPr>
                <w:rFonts w:eastAsia="Times New Roman" w:cs="Arial"/>
                <w:sz w:val="20"/>
                <w:szCs w:val="20"/>
                <w:lang w:val="es-ES"/>
              </w:rPr>
            </w:pPr>
          </w:p>
        </w:tc>
      </w:tr>
      <w:tr w:rsidR="00BE6E08" w:rsidRPr="009F1388" w:rsidTr="000418F2">
        <w:trPr>
          <w:trHeight w:val="1350"/>
        </w:trPr>
        <w:tc>
          <w:tcPr>
            <w:tcW w:w="828" w:type="dxa"/>
            <w:tcBorders>
              <w:top w:val="nil"/>
              <w:left w:val="single" w:sz="4" w:space="0" w:color="auto"/>
              <w:bottom w:val="single" w:sz="4" w:space="0" w:color="auto"/>
              <w:right w:val="single" w:sz="4" w:space="0" w:color="auto"/>
            </w:tcBorders>
            <w:shd w:val="clear" w:color="000000" w:fill="FFFFFF"/>
            <w:hideMark/>
          </w:tcPr>
          <w:p w:rsidR="00BE6E08" w:rsidRPr="009F1388" w:rsidRDefault="00BE6E08" w:rsidP="00BE6E08">
            <w:pPr>
              <w:spacing w:after="0" w:line="240" w:lineRule="auto"/>
              <w:jc w:val="center"/>
              <w:rPr>
                <w:rFonts w:eastAsia="Times New Roman" w:cs="Arial"/>
                <w:b/>
                <w:bCs/>
                <w:sz w:val="20"/>
                <w:szCs w:val="20"/>
                <w:lang w:val="es-ES"/>
              </w:rPr>
            </w:pPr>
            <w:r w:rsidRPr="009F1388">
              <w:rPr>
                <w:rFonts w:eastAsia="Times New Roman" w:cs="Arial"/>
                <w:b/>
                <w:bCs/>
                <w:sz w:val="20"/>
                <w:szCs w:val="20"/>
                <w:lang w:val="es-ES"/>
              </w:rPr>
              <w:t>12.37</w:t>
            </w:r>
          </w:p>
        </w:tc>
        <w:tc>
          <w:tcPr>
            <w:tcW w:w="1582"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rPr>
                <w:rFonts w:eastAsia="Times New Roman" w:cs="Arial"/>
                <w:b/>
                <w:bCs/>
                <w:sz w:val="20"/>
                <w:szCs w:val="20"/>
                <w:lang w:val="es-ES"/>
              </w:rPr>
            </w:pPr>
          </w:p>
        </w:tc>
        <w:tc>
          <w:tcPr>
            <w:tcW w:w="1701" w:type="dxa"/>
            <w:tcBorders>
              <w:top w:val="nil"/>
              <w:left w:val="nil"/>
              <w:bottom w:val="single" w:sz="4" w:space="0" w:color="auto"/>
              <w:right w:val="single" w:sz="4" w:space="0" w:color="auto"/>
            </w:tcBorders>
            <w:shd w:val="clear" w:color="000000" w:fill="FFFFFF"/>
            <w:hideMark/>
          </w:tcPr>
          <w:p w:rsidR="00BE6E08" w:rsidRPr="009F1388" w:rsidRDefault="00C263ED" w:rsidP="00BE6E08">
            <w:pPr>
              <w:spacing w:after="0" w:line="240" w:lineRule="auto"/>
              <w:rPr>
                <w:rFonts w:eastAsia="Times New Roman" w:cs="Arial"/>
                <w:sz w:val="20"/>
                <w:szCs w:val="20"/>
                <w:lang w:val="es-ES"/>
              </w:rPr>
            </w:pPr>
            <w:r w:rsidRPr="009F1388">
              <w:rPr>
                <w:rFonts w:eastAsia="Times New Roman" w:cs="Arial"/>
                <w:sz w:val="20"/>
                <w:szCs w:val="20"/>
                <w:lang w:val="es-ES"/>
              </w:rPr>
              <w:t>Dirigido al Consejo Científico</w:t>
            </w:r>
          </w:p>
        </w:tc>
        <w:tc>
          <w:tcPr>
            <w:tcW w:w="4820" w:type="dxa"/>
            <w:tcBorders>
              <w:top w:val="nil"/>
              <w:left w:val="nil"/>
              <w:bottom w:val="single" w:sz="4" w:space="0" w:color="auto"/>
              <w:right w:val="single" w:sz="4" w:space="0" w:color="auto"/>
            </w:tcBorders>
            <w:shd w:val="clear" w:color="000000" w:fill="FFFFFF"/>
            <w:hideMark/>
          </w:tcPr>
          <w:p w:rsidR="00BE6E08" w:rsidRPr="009F1388" w:rsidRDefault="00C263ED" w:rsidP="00BE6E08">
            <w:pPr>
              <w:spacing w:after="0" w:line="240" w:lineRule="auto"/>
              <w:jc w:val="both"/>
              <w:rPr>
                <w:rFonts w:eastAsia="Times New Roman" w:cs="Arial"/>
                <w:sz w:val="20"/>
                <w:szCs w:val="20"/>
                <w:lang w:val="es-ES"/>
              </w:rPr>
            </w:pPr>
            <w:r w:rsidRPr="009F1388">
              <w:rPr>
                <w:rFonts w:eastAsia="Times New Roman" w:cs="Arial"/>
                <w:sz w:val="20"/>
                <w:szCs w:val="20"/>
                <w:lang w:val="es-ES"/>
              </w:rPr>
              <w:t xml:space="preserve">El Consejo Científico está autorizado para mantener el enlace con el Grupo de trabajo sobre el buitre y el Grupo de especialistas en buitres de la UICN, a través de la Unidad de Coordinación del </w:t>
            </w:r>
            <w:proofErr w:type="spellStart"/>
            <w:r w:rsidRPr="009F1388">
              <w:rPr>
                <w:rFonts w:eastAsia="Times New Roman" w:cs="Arial"/>
                <w:sz w:val="20"/>
                <w:szCs w:val="20"/>
                <w:lang w:val="es-ES"/>
              </w:rPr>
              <w:t>MdE</w:t>
            </w:r>
            <w:proofErr w:type="spellEnd"/>
            <w:r w:rsidRPr="009F1388">
              <w:rPr>
                <w:rFonts w:eastAsia="Times New Roman" w:cs="Arial"/>
                <w:sz w:val="20"/>
                <w:szCs w:val="20"/>
                <w:lang w:val="es-ES"/>
              </w:rPr>
              <w:t xml:space="preserve"> sobre las aves rapaces, para abordar las principales lagunas en los conocimientos como se destaca en el Plan de Acción Multi-Especie sobre el buitre, sujeto a la disponibilidad de recursos</w:t>
            </w:r>
            <w:r w:rsidR="00BE6E08" w:rsidRPr="009F1388">
              <w:rPr>
                <w:rFonts w:eastAsia="Times New Roman" w:cs="Arial"/>
                <w:sz w:val="20"/>
                <w:szCs w:val="20"/>
                <w:lang w:val="es-ES"/>
              </w:rPr>
              <w:t>.</w:t>
            </w:r>
          </w:p>
        </w:tc>
        <w:tc>
          <w:tcPr>
            <w:tcW w:w="3827" w:type="dxa"/>
            <w:tcBorders>
              <w:top w:val="nil"/>
              <w:left w:val="nil"/>
              <w:bottom w:val="single" w:sz="4" w:space="0" w:color="auto"/>
              <w:right w:val="single" w:sz="4" w:space="0" w:color="auto"/>
            </w:tcBorders>
            <w:shd w:val="clear" w:color="000000" w:fill="FFFFFF"/>
            <w:hideMark/>
          </w:tcPr>
          <w:p w:rsidR="00BE6E08" w:rsidRPr="009F1388" w:rsidRDefault="00A914C6" w:rsidP="00BE6E08">
            <w:pPr>
              <w:spacing w:after="0" w:line="240" w:lineRule="auto"/>
              <w:jc w:val="both"/>
              <w:rPr>
                <w:rFonts w:eastAsia="Times New Roman" w:cs="Arial"/>
                <w:sz w:val="20"/>
                <w:szCs w:val="20"/>
                <w:lang w:val="es-ES"/>
              </w:rPr>
            </w:pPr>
            <w:r w:rsidRPr="009F1388">
              <w:rPr>
                <w:rFonts w:eastAsia="Times New Roman" w:cs="Arial"/>
                <w:color w:val="000000"/>
                <w:sz w:val="20"/>
                <w:szCs w:val="20"/>
                <w:lang w:val="es-ES"/>
              </w:rPr>
              <w:t>Relación limitada hasta el momento debido a la falta de recursos; no obstante, el PAME para el buitre es un plan proyectado a 12 años.</w:t>
            </w:r>
            <w:r w:rsidR="00BE6E08" w:rsidRPr="009F1388">
              <w:rPr>
                <w:rFonts w:eastAsia="Times New Roman" w:cs="Arial"/>
                <w:sz w:val="20"/>
                <w:szCs w:val="20"/>
                <w:lang w:val="es-ES"/>
              </w:rPr>
              <w:t xml:space="preserve"> </w:t>
            </w:r>
          </w:p>
        </w:tc>
        <w:tc>
          <w:tcPr>
            <w:tcW w:w="1822" w:type="dxa"/>
            <w:tcBorders>
              <w:top w:val="nil"/>
              <w:left w:val="nil"/>
              <w:bottom w:val="single" w:sz="4" w:space="0" w:color="auto"/>
              <w:right w:val="single" w:sz="4" w:space="0" w:color="auto"/>
            </w:tcBorders>
            <w:shd w:val="clear" w:color="000000" w:fill="FFFFFF"/>
            <w:vAlign w:val="center"/>
            <w:hideMark/>
          </w:tcPr>
          <w:p w:rsidR="00BE6E08" w:rsidRPr="009F1388" w:rsidRDefault="00A914C6" w:rsidP="00BE6E08">
            <w:pPr>
              <w:spacing w:after="0" w:line="240" w:lineRule="auto"/>
              <w:rPr>
                <w:rFonts w:eastAsia="Times New Roman" w:cs="Arial"/>
                <w:sz w:val="20"/>
                <w:szCs w:val="20"/>
                <w:lang w:val="es-ES"/>
              </w:rPr>
            </w:pPr>
            <w:r w:rsidRPr="009F1388">
              <w:rPr>
                <w:rFonts w:eastAsia="Times New Roman" w:cs="Arial"/>
                <w:color w:val="000000"/>
                <w:sz w:val="20"/>
                <w:szCs w:val="20"/>
                <w:lang w:val="es-ES"/>
              </w:rPr>
              <w:t>Renovar Decisión</w:t>
            </w:r>
          </w:p>
        </w:tc>
      </w:tr>
      <w:tr w:rsidR="00BE6E08" w:rsidRPr="009F1388" w:rsidTr="000418F2">
        <w:trPr>
          <w:trHeight w:val="2040"/>
        </w:trPr>
        <w:tc>
          <w:tcPr>
            <w:tcW w:w="828" w:type="dxa"/>
            <w:tcBorders>
              <w:top w:val="nil"/>
              <w:left w:val="single" w:sz="4" w:space="0" w:color="auto"/>
              <w:bottom w:val="single" w:sz="4" w:space="0" w:color="auto"/>
              <w:right w:val="single" w:sz="4" w:space="0" w:color="auto"/>
            </w:tcBorders>
            <w:shd w:val="clear" w:color="000000" w:fill="FFFFFF"/>
            <w:hideMark/>
          </w:tcPr>
          <w:p w:rsidR="00BE6E08" w:rsidRPr="009F1388" w:rsidRDefault="00BE6E08" w:rsidP="00BE6E08">
            <w:pPr>
              <w:spacing w:after="0" w:line="240" w:lineRule="auto"/>
              <w:jc w:val="center"/>
              <w:rPr>
                <w:rFonts w:eastAsia="Times New Roman" w:cs="Arial"/>
                <w:b/>
                <w:bCs/>
                <w:sz w:val="20"/>
                <w:szCs w:val="20"/>
                <w:lang w:val="es-ES"/>
              </w:rPr>
            </w:pPr>
            <w:r w:rsidRPr="009F1388">
              <w:rPr>
                <w:rFonts w:eastAsia="Times New Roman" w:cs="Arial"/>
                <w:b/>
                <w:bCs/>
                <w:sz w:val="20"/>
                <w:szCs w:val="20"/>
                <w:lang w:val="es-ES"/>
              </w:rPr>
              <w:t>12.38</w:t>
            </w:r>
          </w:p>
        </w:tc>
        <w:tc>
          <w:tcPr>
            <w:tcW w:w="1582"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rPr>
                <w:rFonts w:eastAsia="Times New Roman" w:cs="Arial"/>
                <w:b/>
                <w:bCs/>
                <w:sz w:val="20"/>
                <w:szCs w:val="20"/>
                <w:lang w:val="es-ES"/>
              </w:rPr>
            </w:pPr>
          </w:p>
        </w:tc>
        <w:tc>
          <w:tcPr>
            <w:tcW w:w="1701" w:type="dxa"/>
            <w:tcBorders>
              <w:top w:val="nil"/>
              <w:left w:val="nil"/>
              <w:bottom w:val="single" w:sz="4" w:space="0" w:color="auto"/>
              <w:right w:val="single" w:sz="4" w:space="0" w:color="auto"/>
            </w:tcBorders>
            <w:shd w:val="clear" w:color="000000" w:fill="FFFFFF"/>
            <w:hideMark/>
          </w:tcPr>
          <w:p w:rsidR="00BE6E08" w:rsidRPr="009F1388" w:rsidRDefault="00C263ED" w:rsidP="00BE6E08">
            <w:pPr>
              <w:spacing w:after="0" w:line="240" w:lineRule="auto"/>
              <w:rPr>
                <w:rFonts w:eastAsia="Times New Roman" w:cs="Arial"/>
                <w:sz w:val="20"/>
                <w:szCs w:val="20"/>
                <w:lang w:val="es-ES"/>
              </w:rPr>
            </w:pPr>
            <w:r w:rsidRPr="009F1388">
              <w:rPr>
                <w:rFonts w:eastAsia="Times New Roman" w:cs="Arial"/>
                <w:sz w:val="20"/>
                <w:szCs w:val="20"/>
                <w:lang w:val="es-ES"/>
              </w:rPr>
              <w:t>Dirigido a la Secretaría</w:t>
            </w:r>
          </w:p>
        </w:tc>
        <w:tc>
          <w:tcPr>
            <w:tcW w:w="4820" w:type="dxa"/>
            <w:tcBorders>
              <w:top w:val="nil"/>
              <w:left w:val="nil"/>
              <w:bottom w:val="single" w:sz="4" w:space="0" w:color="auto"/>
              <w:right w:val="single" w:sz="4" w:space="0" w:color="auto"/>
            </w:tcBorders>
            <w:shd w:val="clear" w:color="000000" w:fill="FFFFFF"/>
            <w:hideMark/>
          </w:tcPr>
          <w:p w:rsidR="00BE6E08" w:rsidRPr="009F1388" w:rsidRDefault="00C263ED" w:rsidP="00BE6E08">
            <w:pPr>
              <w:spacing w:after="0" w:line="240" w:lineRule="auto"/>
              <w:jc w:val="both"/>
              <w:rPr>
                <w:rFonts w:eastAsia="Times New Roman" w:cs="Arial"/>
                <w:sz w:val="20"/>
                <w:szCs w:val="20"/>
                <w:lang w:val="es-ES"/>
              </w:rPr>
            </w:pPr>
            <w:r w:rsidRPr="009F1388">
              <w:rPr>
                <w:rFonts w:eastAsia="Times New Roman" w:cs="Arial"/>
                <w:sz w:val="20"/>
                <w:szCs w:val="20"/>
                <w:lang w:val="es-ES"/>
              </w:rPr>
              <w:t>La Secretaría deberá transmitir la presente Decisión a las secretarías de otros foros ambientales multilaterales, en particular con el Programa de Medio Ambiente de las Naciones Unidad, la Convenio sobre la Diversidad Biológica (CDB), la Convención sobre el comercio internacional de especies amenazadas de fauna y flora silvestres (CITES) y la Plataforma intergubernamental científico-normativa sobre diversidad biológica y servicios de los ecosistemas (IPBES), solicitando su apoyo, contribuciones, cooperación y colaboración en la aplicación del Plan de Acción Multi-Especie para el buitre, sujeta a la disponibilidad de recursos</w:t>
            </w:r>
          </w:p>
        </w:tc>
        <w:tc>
          <w:tcPr>
            <w:tcW w:w="3827" w:type="dxa"/>
            <w:tcBorders>
              <w:top w:val="nil"/>
              <w:left w:val="nil"/>
              <w:bottom w:val="single" w:sz="4" w:space="0" w:color="auto"/>
              <w:right w:val="single" w:sz="4" w:space="0" w:color="auto"/>
            </w:tcBorders>
            <w:shd w:val="clear" w:color="000000" w:fill="FFFFFF"/>
            <w:hideMark/>
          </w:tcPr>
          <w:p w:rsidR="00BE6E08" w:rsidRPr="009F1388" w:rsidRDefault="00A914C6" w:rsidP="00BE6E08">
            <w:pPr>
              <w:spacing w:after="0" w:line="240" w:lineRule="auto"/>
              <w:jc w:val="both"/>
              <w:rPr>
                <w:rFonts w:eastAsia="Times New Roman" w:cs="Arial"/>
                <w:sz w:val="20"/>
                <w:szCs w:val="20"/>
                <w:lang w:val="es-ES"/>
              </w:rPr>
            </w:pPr>
            <w:r w:rsidRPr="009F1388">
              <w:rPr>
                <w:rFonts w:eastAsia="Times New Roman" w:cs="Arial"/>
                <w:color w:val="000000"/>
                <w:sz w:val="20"/>
                <w:szCs w:val="20"/>
                <w:lang w:val="es-ES"/>
              </w:rPr>
              <w:t>El PAME para el buitre surgió en varias reuniones y actos, incluidas las reuniones organizadas por el CBD, la CLD de la ONU, el Convenio de los Cárpatos sobre medio ambiente de la ONU y la CITES.</w:t>
            </w:r>
          </w:p>
        </w:tc>
        <w:tc>
          <w:tcPr>
            <w:tcW w:w="1822" w:type="dxa"/>
            <w:tcBorders>
              <w:top w:val="nil"/>
              <w:left w:val="nil"/>
              <w:bottom w:val="single" w:sz="4" w:space="0" w:color="auto"/>
              <w:right w:val="single" w:sz="4" w:space="0" w:color="auto"/>
            </w:tcBorders>
            <w:shd w:val="clear" w:color="000000" w:fill="FFFFFF"/>
            <w:vAlign w:val="center"/>
            <w:hideMark/>
          </w:tcPr>
          <w:p w:rsidR="00BE6E08" w:rsidRPr="009F1388" w:rsidRDefault="00A914C6" w:rsidP="00BE6E08">
            <w:pPr>
              <w:spacing w:after="0" w:line="240" w:lineRule="auto"/>
              <w:rPr>
                <w:rFonts w:eastAsia="Times New Roman" w:cs="Arial"/>
                <w:sz w:val="20"/>
                <w:szCs w:val="20"/>
                <w:lang w:val="es-ES"/>
              </w:rPr>
            </w:pPr>
            <w:r w:rsidRPr="009F1388">
              <w:rPr>
                <w:rFonts w:eastAsia="Times New Roman" w:cs="Arial"/>
                <w:color w:val="000000"/>
                <w:sz w:val="20"/>
                <w:szCs w:val="20"/>
                <w:lang w:val="es-ES"/>
              </w:rPr>
              <w:t>Renovar Decisión</w:t>
            </w:r>
          </w:p>
        </w:tc>
      </w:tr>
      <w:tr w:rsidR="00BE6E08" w:rsidRPr="009F1388" w:rsidTr="000418F2">
        <w:trPr>
          <w:trHeight w:val="1185"/>
        </w:trPr>
        <w:tc>
          <w:tcPr>
            <w:tcW w:w="828" w:type="dxa"/>
            <w:tcBorders>
              <w:top w:val="nil"/>
              <w:left w:val="single" w:sz="4" w:space="0" w:color="auto"/>
              <w:bottom w:val="single" w:sz="4" w:space="0" w:color="auto"/>
              <w:right w:val="single" w:sz="4" w:space="0" w:color="auto"/>
            </w:tcBorders>
            <w:shd w:val="clear" w:color="000000" w:fill="FFFFFF"/>
            <w:hideMark/>
          </w:tcPr>
          <w:p w:rsidR="00BE6E08" w:rsidRPr="009F1388" w:rsidRDefault="00BE6E08" w:rsidP="00BE6E08">
            <w:pPr>
              <w:spacing w:after="0" w:line="240" w:lineRule="auto"/>
              <w:jc w:val="center"/>
              <w:rPr>
                <w:rFonts w:eastAsia="Times New Roman" w:cs="Arial"/>
                <w:b/>
                <w:bCs/>
                <w:sz w:val="20"/>
                <w:szCs w:val="20"/>
                <w:lang w:val="es-ES"/>
              </w:rPr>
            </w:pPr>
            <w:r w:rsidRPr="009F1388">
              <w:rPr>
                <w:rFonts w:eastAsia="Times New Roman" w:cs="Arial"/>
                <w:b/>
                <w:bCs/>
                <w:sz w:val="20"/>
                <w:szCs w:val="20"/>
                <w:lang w:val="es-ES"/>
              </w:rPr>
              <w:lastRenderedPageBreak/>
              <w:t>12.39</w:t>
            </w:r>
          </w:p>
        </w:tc>
        <w:tc>
          <w:tcPr>
            <w:tcW w:w="1582"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rPr>
                <w:rFonts w:eastAsia="Times New Roman" w:cs="Arial"/>
                <w:b/>
                <w:bCs/>
                <w:sz w:val="20"/>
                <w:szCs w:val="20"/>
                <w:lang w:val="es-ES"/>
              </w:rPr>
            </w:pPr>
          </w:p>
        </w:tc>
        <w:tc>
          <w:tcPr>
            <w:tcW w:w="1701" w:type="dxa"/>
            <w:tcBorders>
              <w:top w:val="nil"/>
              <w:left w:val="nil"/>
              <w:bottom w:val="single" w:sz="4" w:space="0" w:color="auto"/>
              <w:right w:val="single" w:sz="4" w:space="0" w:color="auto"/>
            </w:tcBorders>
            <w:shd w:val="clear" w:color="000000" w:fill="FFFFFF"/>
            <w:hideMark/>
          </w:tcPr>
          <w:p w:rsidR="00BE6E08" w:rsidRPr="009F1388" w:rsidRDefault="00C263ED" w:rsidP="00BE6E08">
            <w:pPr>
              <w:spacing w:after="0" w:line="240" w:lineRule="auto"/>
              <w:jc w:val="both"/>
              <w:rPr>
                <w:rFonts w:eastAsia="Times New Roman" w:cs="Arial"/>
                <w:sz w:val="20"/>
                <w:szCs w:val="20"/>
                <w:lang w:val="es-ES"/>
              </w:rPr>
            </w:pPr>
            <w:r w:rsidRPr="009F1388">
              <w:rPr>
                <w:rFonts w:eastAsia="Times New Roman" w:cs="Arial"/>
                <w:sz w:val="20"/>
                <w:szCs w:val="20"/>
                <w:lang w:val="es-ES"/>
              </w:rPr>
              <w:t>Dirigido a la Secretaría</w:t>
            </w:r>
          </w:p>
        </w:tc>
        <w:tc>
          <w:tcPr>
            <w:tcW w:w="4820" w:type="dxa"/>
            <w:tcBorders>
              <w:top w:val="nil"/>
              <w:left w:val="nil"/>
              <w:bottom w:val="single" w:sz="4" w:space="0" w:color="auto"/>
              <w:right w:val="single" w:sz="4" w:space="0" w:color="auto"/>
            </w:tcBorders>
            <w:shd w:val="clear" w:color="000000" w:fill="FFFFFF"/>
            <w:hideMark/>
          </w:tcPr>
          <w:p w:rsidR="00BE6E08" w:rsidRPr="009F1388" w:rsidRDefault="00C263ED" w:rsidP="00BE6E08">
            <w:pPr>
              <w:spacing w:after="0" w:line="240" w:lineRule="auto"/>
              <w:jc w:val="both"/>
              <w:rPr>
                <w:rFonts w:eastAsia="Times New Roman" w:cs="Arial"/>
                <w:sz w:val="20"/>
                <w:szCs w:val="20"/>
                <w:lang w:val="es-ES"/>
              </w:rPr>
            </w:pPr>
            <w:r w:rsidRPr="009F1388">
              <w:rPr>
                <w:rFonts w:eastAsia="Times New Roman" w:cs="Arial"/>
                <w:sz w:val="20"/>
                <w:szCs w:val="20"/>
                <w:lang w:val="es-ES"/>
              </w:rPr>
              <w:t xml:space="preserve">La Secretaría, a través de la Unidad de Coordinación del </w:t>
            </w:r>
            <w:proofErr w:type="spellStart"/>
            <w:r w:rsidRPr="009F1388">
              <w:rPr>
                <w:rFonts w:eastAsia="Times New Roman" w:cs="Arial"/>
                <w:sz w:val="20"/>
                <w:szCs w:val="20"/>
                <w:lang w:val="es-ES"/>
              </w:rPr>
              <w:t>MdE</w:t>
            </w:r>
            <w:proofErr w:type="spellEnd"/>
            <w:r w:rsidRPr="009F1388">
              <w:rPr>
                <w:rFonts w:eastAsia="Times New Roman" w:cs="Arial"/>
                <w:sz w:val="20"/>
                <w:szCs w:val="20"/>
                <w:lang w:val="es-ES"/>
              </w:rPr>
              <w:t xml:space="preserve"> sobre las aves rapaces, deberá presentar un informe a la siguiente reunión de Signatarios del </w:t>
            </w:r>
            <w:proofErr w:type="spellStart"/>
            <w:r w:rsidRPr="009F1388">
              <w:rPr>
                <w:rFonts w:eastAsia="Times New Roman" w:cs="Arial"/>
                <w:sz w:val="20"/>
                <w:szCs w:val="20"/>
                <w:lang w:val="es-ES"/>
              </w:rPr>
              <w:t>MdE</w:t>
            </w:r>
            <w:proofErr w:type="spellEnd"/>
            <w:r w:rsidRPr="009F1388">
              <w:rPr>
                <w:rFonts w:eastAsia="Times New Roman" w:cs="Arial"/>
                <w:sz w:val="20"/>
                <w:szCs w:val="20"/>
                <w:lang w:val="es-ES"/>
              </w:rPr>
              <w:t xml:space="preserve"> de la CMS sobre las aves rapaces y subsiguientes reuniones del Comité del período de sesiones del Consejo Científico de la CMS</w:t>
            </w:r>
            <w:r w:rsidR="00BE6E08" w:rsidRPr="009F1388">
              <w:rPr>
                <w:rFonts w:eastAsia="Times New Roman" w:cs="Arial"/>
                <w:sz w:val="20"/>
                <w:szCs w:val="20"/>
                <w:lang w:val="es-ES"/>
              </w:rPr>
              <w:t xml:space="preserve">. </w:t>
            </w:r>
          </w:p>
        </w:tc>
        <w:tc>
          <w:tcPr>
            <w:tcW w:w="3827" w:type="dxa"/>
            <w:tcBorders>
              <w:top w:val="nil"/>
              <w:left w:val="nil"/>
              <w:bottom w:val="single" w:sz="4" w:space="0" w:color="auto"/>
              <w:right w:val="single" w:sz="4" w:space="0" w:color="auto"/>
            </w:tcBorders>
            <w:shd w:val="clear" w:color="000000" w:fill="FFFFFF"/>
            <w:hideMark/>
          </w:tcPr>
          <w:p w:rsidR="00BE6E08" w:rsidRPr="009F1388" w:rsidRDefault="00A914C6" w:rsidP="00BE6E08">
            <w:pPr>
              <w:spacing w:after="0" w:line="240" w:lineRule="auto"/>
              <w:jc w:val="both"/>
              <w:rPr>
                <w:rFonts w:eastAsia="Times New Roman" w:cs="Arial"/>
                <w:sz w:val="20"/>
                <w:szCs w:val="20"/>
                <w:lang w:val="es-ES"/>
              </w:rPr>
            </w:pPr>
            <w:r w:rsidRPr="009F1388">
              <w:rPr>
                <w:rFonts w:eastAsia="Times New Roman" w:cs="Arial"/>
                <w:color w:val="000000"/>
                <w:sz w:val="20"/>
                <w:szCs w:val="20"/>
                <w:lang w:val="es-ES"/>
              </w:rPr>
              <w:t>Informe presentado ante el ScC-SC4 de la CMS como el documento informativo: UNEP/CMS/ScC-SC4/Inf.7</w:t>
            </w:r>
          </w:p>
        </w:tc>
        <w:tc>
          <w:tcPr>
            <w:tcW w:w="1822" w:type="dxa"/>
            <w:tcBorders>
              <w:top w:val="nil"/>
              <w:left w:val="nil"/>
              <w:bottom w:val="single" w:sz="4" w:space="0" w:color="auto"/>
              <w:right w:val="single" w:sz="4" w:space="0" w:color="auto"/>
            </w:tcBorders>
            <w:shd w:val="clear" w:color="000000" w:fill="FFFFFF"/>
            <w:vAlign w:val="center"/>
            <w:hideMark/>
          </w:tcPr>
          <w:p w:rsidR="00BE6E08" w:rsidRPr="009F1388" w:rsidRDefault="00A914C6" w:rsidP="00BE6E08">
            <w:pPr>
              <w:spacing w:after="0" w:line="240" w:lineRule="auto"/>
              <w:rPr>
                <w:rFonts w:eastAsia="Times New Roman" w:cs="Arial"/>
                <w:sz w:val="20"/>
                <w:szCs w:val="20"/>
                <w:lang w:val="es-ES"/>
              </w:rPr>
            </w:pPr>
            <w:r w:rsidRPr="009F1388">
              <w:rPr>
                <w:rFonts w:eastAsia="Times New Roman" w:cs="Arial"/>
                <w:color w:val="000000"/>
                <w:sz w:val="20"/>
                <w:szCs w:val="20"/>
                <w:lang w:val="es-ES"/>
              </w:rPr>
              <w:t>Renovar Decisión</w:t>
            </w:r>
          </w:p>
        </w:tc>
      </w:tr>
      <w:tr w:rsidR="00BE6E08" w:rsidRPr="009F1388" w:rsidTr="00BE6E08">
        <w:trPr>
          <w:trHeight w:val="255"/>
        </w:trPr>
        <w:tc>
          <w:tcPr>
            <w:tcW w:w="14580" w:type="dxa"/>
            <w:gridSpan w:val="6"/>
            <w:tcBorders>
              <w:top w:val="single" w:sz="4" w:space="0" w:color="auto"/>
              <w:left w:val="single" w:sz="4" w:space="0" w:color="auto"/>
              <w:bottom w:val="single" w:sz="4" w:space="0" w:color="auto"/>
              <w:right w:val="single" w:sz="4" w:space="0" w:color="auto"/>
            </w:tcBorders>
            <w:shd w:val="clear" w:color="000000" w:fill="D0CECE"/>
            <w:hideMark/>
          </w:tcPr>
          <w:p w:rsidR="00BE6E08" w:rsidRPr="009F1388" w:rsidRDefault="00C263ED" w:rsidP="00BE6E08">
            <w:pPr>
              <w:spacing w:after="0" w:line="240" w:lineRule="auto"/>
              <w:jc w:val="both"/>
              <w:rPr>
                <w:rFonts w:eastAsia="Times New Roman" w:cs="Arial"/>
                <w:b/>
                <w:bCs/>
                <w:sz w:val="20"/>
                <w:szCs w:val="20"/>
                <w:lang w:val="es-ES"/>
              </w:rPr>
            </w:pPr>
            <w:r w:rsidRPr="009F1388">
              <w:rPr>
                <w:rFonts w:eastAsia="Times New Roman" w:cs="Arial"/>
                <w:b/>
                <w:bCs/>
                <w:sz w:val="20"/>
                <w:szCs w:val="20"/>
                <w:lang w:val="es-ES"/>
              </w:rPr>
              <w:t xml:space="preserve">Especies acuáticas </w:t>
            </w:r>
          </w:p>
        </w:tc>
      </w:tr>
      <w:tr w:rsidR="00BE6E08" w:rsidRPr="009F1388" w:rsidTr="000418F2">
        <w:trPr>
          <w:trHeight w:val="960"/>
        </w:trPr>
        <w:tc>
          <w:tcPr>
            <w:tcW w:w="828" w:type="dxa"/>
            <w:vMerge w:val="restart"/>
            <w:tcBorders>
              <w:top w:val="nil"/>
              <w:left w:val="single" w:sz="4" w:space="0" w:color="auto"/>
              <w:bottom w:val="single" w:sz="4" w:space="0" w:color="auto"/>
              <w:right w:val="single" w:sz="4" w:space="0" w:color="auto"/>
            </w:tcBorders>
            <w:shd w:val="clear" w:color="000000" w:fill="FFFFFF"/>
            <w:hideMark/>
          </w:tcPr>
          <w:p w:rsidR="00BE6E08" w:rsidRPr="009F1388" w:rsidRDefault="00BE6E08" w:rsidP="00BE6E08">
            <w:pPr>
              <w:spacing w:after="0" w:line="240" w:lineRule="auto"/>
              <w:jc w:val="center"/>
              <w:rPr>
                <w:rFonts w:eastAsia="Times New Roman" w:cs="Arial"/>
                <w:b/>
                <w:bCs/>
                <w:sz w:val="20"/>
                <w:szCs w:val="20"/>
                <w:lang w:val="es-ES"/>
              </w:rPr>
            </w:pPr>
            <w:r w:rsidRPr="009F1388">
              <w:rPr>
                <w:rFonts w:eastAsia="Times New Roman" w:cs="Arial"/>
                <w:b/>
                <w:bCs/>
                <w:sz w:val="20"/>
                <w:szCs w:val="20"/>
                <w:lang w:val="es-ES"/>
              </w:rPr>
              <w:t>12.53</w:t>
            </w:r>
          </w:p>
        </w:tc>
        <w:tc>
          <w:tcPr>
            <w:tcW w:w="1582" w:type="dxa"/>
            <w:vMerge w:val="restart"/>
            <w:tcBorders>
              <w:top w:val="nil"/>
              <w:left w:val="single" w:sz="4" w:space="0" w:color="auto"/>
              <w:bottom w:val="single" w:sz="4" w:space="0" w:color="auto"/>
              <w:right w:val="single" w:sz="4" w:space="0" w:color="auto"/>
            </w:tcBorders>
            <w:shd w:val="clear" w:color="000000" w:fill="FFFFFF"/>
            <w:hideMark/>
          </w:tcPr>
          <w:p w:rsidR="00BE6E08" w:rsidRPr="009F1388" w:rsidRDefault="00C263ED" w:rsidP="00BE6E08">
            <w:pPr>
              <w:spacing w:after="0" w:line="240" w:lineRule="auto"/>
              <w:rPr>
                <w:rFonts w:eastAsia="Times New Roman" w:cs="Arial"/>
                <w:b/>
                <w:bCs/>
                <w:sz w:val="20"/>
                <w:szCs w:val="20"/>
                <w:lang w:val="es-ES"/>
              </w:rPr>
            </w:pPr>
            <w:r w:rsidRPr="009F1388">
              <w:rPr>
                <w:rFonts w:eastAsia="Times New Roman" w:cs="Arial"/>
                <w:b/>
                <w:bCs/>
                <w:sz w:val="20"/>
                <w:szCs w:val="20"/>
                <w:lang w:val="es-ES"/>
              </w:rPr>
              <w:t>Conservación y gestión de las ballenas y sus hábitats en la región del Atlántico Sur</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BE6E08" w:rsidRPr="009F1388" w:rsidRDefault="00C263ED" w:rsidP="00BE6E08">
            <w:pPr>
              <w:spacing w:after="0" w:line="240" w:lineRule="auto"/>
              <w:jc w:val="both"/>
              <w:rPr>
                <w:rFonts w:eastAsia="Times New Roman" w:cs="Arial"/>
                <w:sz w:val="20"/>
                <w:szCs w:val="20"/>
                <w:lang w:val="es-ES"/>
              </w:rPr>
            </w:pPr>
            <w:r w:rsidRPr="009F1388">
              <w:rPr>
                <w:rFonts w:eastAsia="Times New Roman" w:cs="Arial"/>
                <w:sz w:val="20"/>
                <w:szCs w:val="20"/>
                <w:lang w:val="es-ES"/>
              </w:rPr>
              <w:t>Dirigido a la Secretaría</w:t>
            </w:r>
          </w:p>
        </w:tc>
        <w:tc>
          <w:tcPr>
            <w:tcW w:w="4820" w:type="dxa"/>
            <w:tcBorders>
              <w:top w:val="nil"/>
              <w:left w:val="nil"/>
              <w:bottom w:val="single" w:sz="4" w:space="0" w:color="auto"/>
              <w:right w:val="single" w:sz="4" w:space="0" w:color="auto"/>
            </w:tcBorders>
            <w:shd w:val="clear" w:color="000000" w:fill="FFFFFF"/>
            <w:hideMark/>
          </w:tcPr>
          <w:p w:rsidR="00C263ED" w:rsidRPr="009F1388" w:rsidRDefault="00C263ED" w:rsidP="00C263ED">
            <w:pPr>
              <w:spacing w:after="0" w:line="240" w:lineRule="auto"/>
              <w:jc w:val="both"/>
              <w:rPr>
                <w:rFonts w:eastAsia="Times New Roman" w:cs="Arial"/>
                <w:sz w:val="20"/>
                <w:szCs w:val="20"/>
                <w:lang w:val="es-ES"/>
              </w:rPr>
            </w:pPr>
            <w:r w:rsidRPr="009F1388">
              <w:rPr>
                <w:rFonts w:eastAsia="Times New Roman" w:cs="Arial"/>
                <w:sz w:val="20"/>
                <w:szCs w:val="20"/>
                <w:lang w:val="es-ES"/>
              </w:rPr>
              <w:t>La Secretaría deberá, en colaboración con las Partes y las organizaciones internacionales pertinentes, en función de la disponibilidad de recursos externos:</w:t>
            </w:r>
          </w:p>
          <w:p w:rsidR="00BE6E08" w:rsidRPr="009F1388" w:rsidRDefault="00C263ED" w:rsidP="00C263ED">
            <w:pPr>
              <w:spacing w:after="0" w:line="240" w:lineRule="auto"/>
              <w:jc w:val="both"/>
              <w:rPr>
                <w:rFonts w:eastAsia="Times New Roman" w:cs="Arial"/>
                <w:sz w:val="20"/>
                <w:szCs w:val="20"/>
                <w:lang w:val="es-ES"/>
              </w:rPr>
            </w:pPr>
            <w:r w:rsidRPr="009F1388">
              <w:rPr>
                <w:rFonts w:eastAsia="Times New Roman" w:cs="Arial"/>
                <w:sz w:val="20"/>
                <w:szCs w:val="20"/>
                <w:lang w:val="es-ES"/>
              </w:rPr>
              <w:t>a)</w:t>
            </w:r>
            <w:r w:rsidRPr="009F1388">
              <w:rPr>
                <w:rFonts w:eastAsia="Times New Roman" w:cs="Arial"/>
                <w:sz w:val="20"/>
                <w:szCs w:val="20"/>
                <w:lang w:val="es-ES"/>
              </w:rPr>
              <w:tab/>
              <w:t>Apoyar las actividades de desarrollo de la capacidad relacionadas con la conservación de los cetáceos</w:t>
            </w:r>
            <w:r w:rsidR="00BE6E08" w:rsidRPr="009F1388">
              <w:rPr>
                <w:rFonts w:eastAsia="Times New Roman" w:cs="Arial"/>
                <w:sz w:val="20"/>
                <w:szCs w:val="20"/>
                <w:lang w:val="es-ES"/>
              </w:rPr>
              <w:t>;</w:t>
            </w:r>
          </w:p>
        </w:tc>
        <w:tc>
          <w:tcPr>
            <w:tcW w:w="3827" w:type="dxa"/>
            <w:vMerge w:val="restart"/>
            <w:tcBorders>
              <w:top w:val="nil"/>
              <w:left w:val="single" w:sz="4" w:space="0" w:color="auto"/>
              <w:bottom w:val="single" w:sz="4" w:space="0" w:color="auto"/>
              <w:right w:val="single" w:sz="4" w:space="0" w:color="auto"/>
            </w:tcBorders>
            <w:shd w:val="clear" w:color="000000" w:fill="FFFFFF"/>
            <w:hideMark/>
          </w:tcPr>
          <w:p w:rsidR="00A914C6" w:rsidRPr="009F1388" w:rsidRDefault="00A914C6" w:rsidP="00A914C6">
            <w:pPr>
              <w:spacing w:after="0" w:line="240" w:lineRule="auto"/>
              <w:rPr>
                <w:rFonts w:eastAsia="Times New Roman" w:cs="Arial"/>
                <w:color w:val="000000"/>
                <w:sz w:val="20"/>
                <w:szCs w:val="20"/>
                <w:lang w:val="es-ES"/>
              </w:rPr>
            </w:pPr>
            <w:r w:rsidRPr="00A914C6">
              <w:rPr>
                <w:rFonts w:eastAsia="Times New Roman" w:cs="Arial"/>
                <w:color w:val="000000"/>
                <w:sz w:val="20"/>
                <w:szCs w:val="20"/>
                <w:lang w:val="es-ES"/>
              </w:rPr>
              <w:t>a) Se han llevado a cabo una serie de actividades a nivel global (p. ej., elaboración conjunta del Manual para la observación de ballenas de la CBI y la CMS)</w:t>
            </w:r>
          </w:p>
          <w:p w:rsidR="00A914C6" w:rsidRPr="00A914C6" w:rsidRDefault="00A914C6" w:rsidP="00A914C6">
            <w:pPr>
              <w:spacing w:after="0" w:line="240" w:lineRule="auto"/>
              <w:rPr>
                <w:rFonts w:eastAsia="Times New Roman" w:cs="Arial"/>
                <w:color w:val="000000"/>
                <w:sz w:val="20"/>
                <w:szCs w:val="20"/>
                <w:lang w:val="es-ES"/>
              </w:rPr>
            </w:pPr>
          </w:p>
          <w:p w:rsidR="00BE6E08" w:rsidRPr="009F1388" w:rsidRDefault="00A914C6" w:rsidP="00A914C6">
            <w:pPr>
              <w:spacing w:after="0" w:line="240" w:lineRule="auto"/>
              <w:jc w:val="both"/>
              <w:rPr>
                <w:rFonts w:eastAsia="Times New Roman" w:cs="Arial"/>
                <w:sz w:val="20"/>
                <w:szCs w:val="20"/>
                <w:lang w:val="es-ES"/>
              </w:rPr>
            </w:pPr>
            <w:r w:rsidRPr="009F1388">
              <w:rPr>
                <w:rFonts w:eastAsia="Times New Roman" w:cs="Arial"/>
                <w:color w:val="000000"/>
                <w:sz w:val="20"/>
                <w:szCs w:val="20"/>
                <w:lang w:val="es-ES"/>
              </w:rPr>
              <w:t>b) No se ha tomado ninguna medida debido a la falta de financiación y de tiempo del personal.</w:t>
            </w:r>
          </w:p>
        </w:tc>
        <w:tc>
          <w:tcPr>
            <w:tcW w:w="1822" w:type="dxa"/>
            <w:vMerge w:val="restart"/>
            <w:tcBorders>
              <w:top w:val="nil"/>
              <w:left w:val="single" w:sz="4" w:space="0" w:color="auto"/>
              <w:bottom w:val="single" w:sz="4" w:space="0" w:color="auto"/>
              <w:right w:val="single" w:sz="4" w:space="0" w:color="auto"/>
            </w:tcBorders>
            <w:shd w:val="clear" w:color="000000" w:fill="FFFFFF"/>
            <w:vAlign w:val="center"/>
            <w:hideMark/>
          </w:tcPr>
          <w:p w:rsidR="00BE6E08" w:rsidRPr="009F1388" w:rsidRDefault="00A914C6" w:rsidP="00BE6E08">
            <w:pPr>
              <w:spacing w:after="0" w:line="240" w:lineRule="auto"/>
              <w:rPr>
                <w:rFonts w:eastAsia="Times New Roman" w:cs="Arial"/>
                <w:sz w:val="20"/>
                <w:szCs w:val="20"/>
                <w:lang w:val="es-ES"/>
              </w:rPr>
            </w:pPr>
            <w:r w:rsidRPr="009F1388">
              <w:rPr>
                <w:rFonts w:eastAsia="Times New Roman" w:cs="Arial"/>
                <w:color w:val="000000"/>
                <w:sz w:val="20"/>
                <w:szCs w:val="20"/>
                <w:lang w:val="es-ES"/>
              </w:rPr>
              <w:t>Renovar Decisión</w:t>
            </w:r>
          </w:p>
        </w:tc>
      </w:tr>
      <w:tr w:rsidR="00BE6E08" w:rsidRPr="00046151" w:rsidTr="000418F2">
        <w:trPr>
          <w:trHeight w:val="1170"/>
        </w:trPr>
        <w:tc>
          <w:tcPr>
            <w:tcW w:w="828"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rPr>
                <w:rFonts w:eastAsia="Times New Roman" w:cs="Arial"/>
                <w:b/>
                <w:bCs/>
                <w:sz w:val="20"/>
                <w:szCs w:val="20"/>
                <w:lang w:val="es-ES"/>
              </w:rPr>
            </w:pPr>
          </w:p>
        </w:tc>
        <w:tc>
          <w:tcPr>
            <w:tcW w:w="1582"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rPr>
                <w:rFonts w:eastAsia="Times New Roman" w:cs="Arial"/>
                <w:b/>
                <w:bCs/>
                <w:sz w:val="20"/>
                <w:szCs w:val="20"/>
                <w:lang w:val="es-ES"/>
              </w:rPr>
            </w:pPr>
          </w:p>
        </w:tc>
        <w:tc>
          <w:tcPr>
            <w:tcW w:w="1701"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jc w:val="both"/>
              <w:rPr>
                <w:rFonts w:eastAsia="Times New Roman" w:cs="Arial"/>
                <w:sz w:val="20"/>
                <w:szCs w:val="20"/>
                <w:lang w:val="es-ES"/>
              </w:rPr>
            </w:pPr>
          </w:p>
        </w:tc>
        <w:tc>
          <w:tcPr>
            <w:tcW w:w="4820" w:type="dxa"/>
            <w:tcBorders>
              <w:top w:val="nil"/>
              <w:left w:val="nil"/>
              <w:bottom w:val="single" w:sz="4" w:space="0" w:color="auto"/>
              <w:right w:val="single" w:sz="4" w:space="0" w:color="auto"/>
            </w:tcBorders>
            <w:shd w:val="clear" w:color="000000" w:fill="FFFFFF"/>
            <w:hideMark/>
          </w:tcPr>
          <w:p w:rsidR="00BE6E08" w:rsidRPr="009F1388" w:rsidRDefault="00C263ED" w:rsidP="00BE6E08">
            <w:pPr>
              <w:spacing w:after="0" w:line="240" w:lineRule="auto"/>
              <w:jc w:val="both"/>
              <w:rPr>
                <w:rFonts w:eastAsia="Times New Roman" w:cs="Arial"/>
                <w:sz w:val="20"/>
                <w:szCs w:val="20"/>
                <w:lang w:val="es-ES"/>
              </w:rPr>
            </w:pPr>
            <w:r w:rsidRPr="009F1388">
              <w:rPr>
                <w:rFonts w:eastAsia="Times New Roman" w:cs="Arial"/>
                <w:sz w:val="20"/>
                <w:szCs w:val="20"/>
                <w:lang w:val="es-ES"/>
              </w:rPr>
              <w:t>b)</w:t>
            </w:r>
            <w:r w:rsidRPr="009F1388">
              <w:rPr>
                <w:rFonts w:eastAsia="Times New Roman" w:cs="Arial"/>
                <w:sz w:val="20"/>
                <w:szCs w:val="20"/>
                <w:lang w:val="es-ES"/>
              </w:rPr>
              <w:tab/>
              <w:t>Organizar un taller regional para mejorar la capacidad para ejecutar el Plan de Acción para la Protección y Conservación de las Ballenas del Atlántico Sur (Anexo 1 a la UNEP/CMS/Resolución 12.17 sobre Conservación y Gestión de las Ballenas y sus Hábitats en la Región del Atlántico Sur ).</w:t>
            </w:r>
          </w:p>
        </w:tc>
        <w:tc>
          <w:tcPr>
            <w:tcW w:w="3827" w:type="dxa"/>
            <w:vMerge/>
            <w:tcBorders>
              <w:top w:val="nil"/>
              <w:left w:val="single" w:sz="4" w:space="0" w:color="auto"/>
              <w:bottom w:val="single" w:sz="4" w:space="0" w:color="auto"/>
              <w:right w:val="single" w:sz="4" w:space="0" w:color="auto"/>
            </w:tcBorders>
            <w:hideMark/>
          </w:tcPr>
          <w:p w:rsidR="00BE6E08" w:rsidRPr="009F1388" w:rsidRDefault="00BE6E08" w:rsidP="00BE6E08">
            <w:pPr>
              <w:spacing w:after="0" w:line="240" w:lineRule="auto"/>
              <w:jc w:val="both"/>
              <w:rPr>
                <w:rFonts w:eastAsia="Times New Roman" w:cs="Arial"/>
                <w:sz w:val="20"/>
                <w:szCs w:val="20"/>
                <w:lang w:val="es-ES"/>
              </w:rPr>
            </w:pPr>
          </w:p>
        </w:tc>
        <w:tc>
          <w:tcPr>
            <w:tcW w:w="1822"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rPr>
                <w:rFonts w:eastAsia="Times New Roman" w:cs="Arial"/>
                <w:sz w:val="20"/>
                <w:szCs w:val="20"/>
                <w:lang w:val="es-ES"/>
              </w:rPr>
            </w:pPr>
          </w:p>
        </w:tc>
      </w:tr>
      <w:tr w:rsidR="00BE6E08" w:rsidRPr="009F1388" w:rsidTr="000418F2">
        <w:trPr>
          <w:trHeight w:val="1620"/>
        </w:trPr>
        <w:tc>
          <w:tcPr>
            <w:tcW w:w="828" w:type="dxa"/>
            <w:tcBorders>
              <w:top w:val="nil"/>
              <w:left w:val="single" w:sz="4" w:space="0" w:color="auto"/>
              <w:bottom w:val="single" w:sz="4" w:space="0" w:color="auto"/>
              <w:right w:val="single" w:sz="4" w:space="0" w:color="auto"/>
            </w:tcBorders>
            <w:shd w:val="clear" w:color="000000" w:fill="FFFFFF"/>
            <w:hideMark/>
          </w:tcPr>
          <w:p w:rsidR="00BE6E08" w:rsidRPr="009F1388" w:rsidRDefault="00BE6E08" w:rsidP="00BE6E08">
            <w:pPr>
              <w:spacing w:after="0" w:line="240" w:lineRule="auto"/>
              <w:jc w:val="center"/>
              <w:rPr>
                <w:rFonts w:eastAsia="Times New Roman" w:cs="Arial"/>
                <w:b/>
                <w:bCs/>
                <w:sz w:val="20"/>
                <w:szCs w:val="20"/>
                <w:lang w:val="es-ES"/>
              </w:rPr>
            </w:pPr>
            <w:r w:rsidRPr="009F1388">
              <w:rPr>
                <w:rFonts w:eastAsia="Times New Roman" w:cs="Arial"/>
                <w:b/>
                <w:bCs/>
                <w:sz w:val="20"/>
                <w:szCs w:val="20"/>
                <w:lang w:val="es-ES"/>
              </w:rPr>
              <w:t>12.54</w:t>
            </w:r>
          </w:p>
        </w:tc>
        <w:tc>
          <w:tcPr>
            <w:tcW w:w="1582"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rPr>
                <w:rFonts w:eastAsia="Times New Roman" w:cs="Arial"/>
                <w:b/>
                <w:bCs/>
                <w:sz w:val="20"/>
                <w:szCs w:val="20"/>
                <w:lang w:val="es-ES"/>
              </w:rPr>
            </w:pPr>
          </w:p>
        </w:tc>
        <w:tc>
          <w:tcPr>
            <w:tcW w:w="1701" w:type="dxa"/>
            <w:tcBorders>
              <w:top w:val="nil"/>
              <w:left w:val="nil"/>
              <w:bottom w:val="single" w:sz="4" w:space="0" w:color="auto"/>
              <w:right w:val="single" w:sz="4" w:space="0" w:color="auto"/>
            </w:tcBorders>
            <w:shd w:val="clear" w:color="000000" w:fill="FFFFFF"/>
            <w:hideMark/>
          </w:tcPr>
          <w:p w:rsidR="00BE6E08" w:rsidRPr="009F1388" w:rsidRDefault="00C263ED" w:rsidP="00BE6E08">
            <w:pPr>
              <w:spacing w:after="0" w:line="240" w:lineRule="auto"/>
              <w:jc w:val="both"/>
              <w:rPr>
                <w:rFonts w:eastAsia="Times New Roman" w:cs="Arial"/>
                <w:sz w:val="20"/>
                <w:szCs w:val="20"/>
                <w:lang w:val="es-ES"/>
              </w:rPr>
            </w:pPr>
            <w:r w:rsidRPr="009F1388">
              <w:rPr>
                <w:rFonts w:eastAsia="Times New Roman" w:cs="Arial"/>
                <w:sz w:val="20"/>
                <w:szCs w:val="20"/>
                <w:lang w:val="es-ES"/>
              </w:rPr>
              <w:t>Dirigido a las Partes</w:t>
            </w:r>
          </w:p>
        </w:tc>
        <w:tc>
          <w:tcPr>
            <w:tcW w:w="4820" w:type="dxa"/>
            <w:tcBorders>
              <w:top w:val="nil"/>
              <w:left w:val="nil"/>
              <w:bottom w:val="single" w:sz="4" w:space="0" w:color="auto"/>
              <w:right w:val="single" w:sz="4" w:space="0" w:color="auto"/>
            </w:tcBorders>
            <w:shd w:val="clear" w:color="000000" w:fill="FFFFFF"/>
            <w:hideMark/>
          </w:tcPr>
          <w:p w:rsidR="00BE6E08" w:rsidRPr="009F1388" w:rsidRDefault="00C263ED" w:rsidP="00BE6E08">
            <w:pPr>
              <w:spacing w:after="0" w:line="240" w:lineRule="auto"/>
              <w:jc w:val="both"/>
              <w:rPr>
                <w:rFonts w:eastAsia="Times New Roman" w:cs="Arial"/>
                <w:sz w:val="20"/>
                <w:szCs w:val="20"/>
                <w:lang w:val="es-ES"/>
              </w:rPr>
            </w:pPr>
            <w:r w:rsidRPr="009F1388">
              <w:rPr>
                <w:rFonts w:eastAsia="Times New Roman" w:cs="Arial"/>
                <w:sz w:val="20"/>
                <w:szCs w:val="20"/>
                <w:lang w:val="es-ES"/>
              </w:rPr>
              <w:t>Se solicita a las Partes que informen sobre el progreso en la aplicación del Plan de Acción para la Protección y Conservación de las Ballenas del Atlántico Sur (Anexo 1 a la UNEP/CMS/Resolución 12.17 sobre Conservación y Gestión de las Ballenas y sus Hábitats en la Región del Atlántico Sur), así como sobre la supervisión y la eficacia de las medidas adoptadas, a la Conferencia de las Partes en cada una de sus reuniones</w:t>
            </w:r>
            <w:r w:rsidR="00BE6E08" w:rsidRPr="009F1388">
              <w:rPr>
                <w:rFonts w:eastAsia="Times New Roman" w:cs="Arial"/>
                <w:sz w:val="20"/>
                <w:szCs w:val="20"/>
                <w:lang w:val="es-ES"/>
              </w:rPr>
              <w:t>.</w:t>
            </w:r>
          </w:p>
        </w:tc>
        <w:tc>
          <w:tcPr>
            <w:tcW w:w="3827" w:type="dxa"/>
            <w:tcBorders>
              <w:top w:val="nil"/>
              <w:left w:val="nil"/>
              <w:bottom w:val="single" w:sz="4" w:space="0" w:color="auto"/>
              <w:right w:val="single" w:sz="4" w:space="0" w:color="auto"/>
            </w:tcBorders>
            <w:shd w:val="clear" w:color="000000" w:fill="FFFFFF"/>
            <w:hideMark/>
          </w:tcPr>
          <w:p w:rsidR="00BE6E08" w:rsidRPr="009F1388" w:rsidRDefault="00A914C6" w:rsidP="00BE6E08">
            <w:pPr>
              <w:spacing w:after="0" w:line="240" w:lineRule="auto"/>
              <w:jc w:val="both"/>
              <w:rPr>
                <w:rFonts w:eastAsia="Times New Roman" w:cs="Arial"/>
                <w:sz w:val="20"/>
                <w:szCs w:val="20"/>
                <w:lang w:val="es-ES"/>
              </w:rPr>
            </w:pPr>
            <w:r w:rsidRPr="009F1388">
              <w:rPr>
                <w:rFonts w:eastAsia="Times New Roman" w:cs="Arial"/>
                <w:color w:val="000000"/>
                <w:sz w:val="20"/>
                <w:szCs w:val="20"/>
                <w:lang w:val="es-ES"/>
              </w:rPr>
              <w:t>La Secretaría no ha recibido ningún informe de las Partes.  Dada la falta de medidas en virtud de 12.53b, la Secretaría no solicitó activamente dichos informes</w:t>
            </w:r>
            <w:r w:rsidR="00BE6E08" w:rsidRPr="009F1388">
              <w:rPr>
                <w:rFonts w:eastAsia="Times New Roman" w:cs="Arial"/>
                <w:sz w:val="20"/>
                <w:szCs w:val="20"/>
                <w:lang w:val="es-ES"/>
              </w:rPr>
              <w:t xml:space="preserve">. </w:t>
            </w:r>
          </w:p>
        </w:tc>
        <w:tc>
          <w:tcPr>
            <w:tcW w:w="1822" w:type="dxa"/>
            <w:tcBorders>
              <w:top w:val="nil"/>
              <w:left w:val="nil"/>
              <w:bottom w:val="single" w:sz="4" w:space="0" w:color="auto"/>
              <w:right w:val="single" w:sz="4" w:space="0" w:color="auto"/>
            </w:tcBorders>
            <w:shd w:val="clear" w:color="000000" w:fill="FFFFFF"/>
            <w:vAlign w:val="center"/>
            <w:hideMark/>
          </w:tcPr>
          <w:p w:rsidR="00BE6E08" w:rsidRPr="009F1388" w:rsidRDefault="00A914C6" w:rsidP="00BE6E08">
            <w:pPr>
              <w:spacing w:after="0" w:line="240" w:lineRule="auto"/>
              <w:rPr>
                <w:rFonts w:eastAsia="Times New Roman" w:cs="Arial"/>
                <w:sz w:val="20"/>
                <w:szCs w:val="20"/>
                <w:lang w:val="es-ES"/>
              </w:rPr>
            </w:pPr>
            <w:r w:rsidRPr="009F1388">
              <w:rPr>
                <w:rFonts w:eastAsia="Times New Roman" w:cs="Arial"/>
                <w:color w:val="000000"/>
                <w:sz w:val="20"/>
                <w:szCs w:val="20"/>
                <w:lang w:val="es-ES"/>
              </w:rPr>
              <w:t>Renovar Decisión</w:t>
            </w:r>
          </w:p>
        </w:tc>
      </w:tr>
    </w:tbl>
    <w:p w:rsidR="000418F2" w:rsidRDefault="000418F2">
      <w:r>
        <w:br w:type="page"/>
      </w:r>
    </w:p>
    <w:tbl>
      <w:tblPr>
        <w:tblW w:w="14580" w:type="dxa"/>
        <w:tblInd w:w="-5" w:type="dxa"/>
        <w:tblLayout w:type="fixed"/>
        <w:tblLook w:val="04A0" w:firstRow="1" w:lastRow="0" w:firstColumn="1" w:lastColumn="0" w:noHBand="0" w:noVBand="1"/>
      </w:tblPr>
      <w:tblGrid>
        <w:gridCol w:w="828"/>
        <w:gridCol w:w="1582"/>
        <w:gridCol w:w="1701"/>
        <w:gridCol w:w="4820"/>
        <w:gridCol w:w="3827"/>
        <w:gridCol w:w="1822"/>
      </w:tblGrid>
      <w:tr w:rsidR="00BE6E08" w:rsidRPr="009F1388" w:rsidTr="000418F2">
        <w:trPr>
          <w:trHeight w:val="255"/>
        </w:trPr>
        <w:tc>
          <w:tcPr>
            <w:tcW w:w="14580" w:type="dxa"/>
            <w:gridSpan w:val="6"/>
            <w:tcBorders>
              <w:top w:val="single" w:sz="4" w:space="0" w:color="auto"/>
              <w:left w:val="single" w:sz="4" w:space="0" w:color="auto"/>
              <w:bottom w:val="single" w:sz="4" w:space="0" w:color="auto"/>
              <w:right w:val="single" w:sz="4" w:space="0" w:color="auto"/>
            </w:tcBorders>
            <w:shd w:val="clear" w:color="000000" w:fill="C9C9C9"/>
            <w:hideMark/>
          </w:tcPr>
          <w:p w:rsidR="00BE6E08" w:rsidRPr="009F1388" w:rsidRDefault="00C263ED" w:rsidP="00BE6E08">
            <w:pPr>
              <w:spacing w:after="0" w:line="240" w:lineRule="auto"/>
              <w:rPr>
                <w:rFonts w:eastAsia="Times New Roman" w:cs="Arial"/>
                <w:b/>
                <w:bCs/>
                <w:sz w:val="20"/>
                <w:szCs w:val="20"/>
                <w:lang w:val="es-ES"/>
              </w:rPr>
            </w:pPr>
            <w:r w:rsidRPr="009F1388">
              <w:rPr>
                <w:rFonts w:eastAsia="Times New Roman" w:cs="Arial"/>
                <w:b/>
                <w:bCs/>
                <w:sz w:val="20"/>
                <w:szCs w:val="20"/>
                <w:lang w:val="es-ES"/>
              </w:rPr>
              <w:lastRenderedPageBreak/>
              <w:t>Temas Transversales de Conservación</w:t>
            </w:r>
          </w:p>
        </w:tc>
      </w:tr>
      <w:tr w:rsidR="00BE6E08" w:rsidRPr="009F1388" w:rsidTr="000418F2">
        <w:trPr>
          <w:trHeight w:val="3045"/>
        </w:trPr>
        <w:tc>
          <w:tcPr>
            <w:tcW w:w="828" w:type="dxa"/>
            <w:tcBorders>
              <w:top w:val="nil"/>
              <w:left w:val="single" w:sz="4" w:space="0" w:color="auto"/>
              <w:bottom w:val="single" w:sz="4" w:space="0" w:color="auto"/>
              <w:right w:val="single" w:sz="4" w:space="0" w:color="auto"/>
            </w:tcBorders>
            <w:shd w:val="clear" w:color="000000" w:fill="FFFFFF"/>
            <w:hideMark/>
          </w:tcPr>
          <w:p w:rsidR="00BE6E08" w:rsidRPr="009F1388" w:rsidRDefault="00BE6E08" w:rsidP="00BE6E08">
            <w:pPr>
              <w:spacing w:after="0" w:line="240" w:lineRule="auto"/>
              <w:jc w:val="center"/>
              <w:rPr>
                <w:rFonts w:eastAsia="Times New Roman" w:cs="Arial"/>
                <w:b/>
                <w:bCs/>
                <w:sz w:val="20"/>
                <w:szCs w:val="20"/>
                <w:lang w:val="es-ES"/>
              </w:rPr>
            </w:pPr>
            <w:r w:rsidRPr="009F1388">
              <w:rPr>
                <w:rFonts w:eastAsia="Times New Roman" w:cs="Arial"/>
                <w:b/>
                <w:bCs/>
                <w:sz w:val="20"/>
                <w:szCs w:val="20"/>
                <w:lang w:val="es-ES"/>
              </w:rPr>
              <w:t>12.89</w:t>
            </w:r>
          </w:p>
        </w:tc>
        <w:tc>
          <w:tcPr>
            <w:tcW w:w="1582" w:type="dxa"/>
            <w:vMerge w:val="restart"/>
            <w:tcBorders>
              <w:top w:val="nil"/>
              <w:left w:val="single" w:sz="4" w:space="0" w:color="auto"/>
              <w:bottom w:val="single" w:sz="4" w:space="0" w:color="auto"/>
              <w:right w:val="single" w:sz="4" w:space="0" w:color="auto"/>
            </w:tcBorders>
            <w:shd w:val="clear" w:color="000000" w:fill="FFFFFF"/>
            <w:hideMark/>
          </w:tcPr>
          <w:p w:rsidR="00BE6E08" w:rsidRPr="009F1388" w:rsidRDefault="00C263ED" w:rsidP="00BE6E08">
            <w:pPr>
              <w:spacing w:after="0" w:line="240" w:lineRule="auto"/>
              <w:rPr>
                <w:rFonts w:eastAsia="Times New Roman" w:cs="Arial"/>
                <w:b/>
                <w:bCs/>
                <w:sz w:val="20"/>
                <w:szCs w:val="20"/>
                <w:lang w:val="es-ES"/>
              </w:rPr>
            </w:pPr>
            <w:r w:rsidRPr="009F1388">
              <w:rPr>
                <w:rFonts w:eastAsia="Times New Roman" w:cs="Arial"/>
                <w:b/>
                <w:bCs/>
                <w:sz w:val="20"/>
                <w:szCs w:val="20"/>
                <w:lang w:val="es-ES"/>
              </w:rPr>
              <w:t>Turismo sostenible y especies migratorias</w:t>
            </w:r>
          </w:p>
        </w:tc>
        <w:tc>
          <w:tcPr>
            <w:tcW w:w="1701" w:type="dxa"/>
            <w:tcBorders>
              <w:top w:val="nil"/>
              <w:left w:val="nil"/>
              <w:bottom w:val="single" w:sz="4" w:space="0" w:color="auto"/>
              <w:right w:val="single" w:sz="4" w:space="0" w:color="auto"/>
            </w:tcBorders>
            <w:shd w:val="clear" w:color="000000" w:fill="FFFFFF"/>
            <w:hideMark/>
          </w:tcPr>
          <w:p w:rsidR="00BE6E08" w:rsidRPr="009F1388" w:rsidRDefault="00C263ED" w:rsidP="00BE6E08">
            <w:pPr>
              <w:spacing w:after="0" w:line="240" w:lineRule="auto"/>
              <w:rPr>
                <w:rFonts w:eastAsia="Times New Roman" w:cs="Arial"/>
                <w:sz w:val="20"/>
                <w:szCs w:val="20"/>
                <w:lang w:val="es-ES"/>
              </w:rPr>
            </w:pPr>
            <w:r w:rsidRPr="009F1388">
              <w:rPr>
                <w:rFonts w:eastAsia="Times New Roman" w:cs="Arial"/>
                <w:sz w:val="20"/>
                <w:szCs w:val="20"/>
                <w:lang w:val="es-ES"/>
              </w:rPr>
              <w:t>Dirigido a la Secretaría</w:t>
            </w:r>
          </w:p>
        </w:tc>
        <w:tc>
          <w:tcPr>
            <w:tcW w:w="4820" w:type="dxa"/>
            <w:tcBorders>
              <w:top w:val="nil"/>
              <w:left w:val="nil"/>
              <w:bottom w:val="single" w:sz="4" w:space="0" w:color="auto"/>
              <w:right w:val="single" w:sz="4" w:space="0" w:color="auto"/>
            </w:tcBorders>
            <w:shd w:val="clear" w:color="000000" w:fill="FFFFFF"/>
            <w:hideMark/>
          </w:tcPr>
          <w:p w:rsidR="00BE6E08" w:rsidRPr="009F1388" w:rsidRDefault="00C263ED" w:rsidP="00BE6E08">
            <w:pPr>
              <w:spacing w:after="0" w:line="240" w:lineRule="auto"/>
              <w:jc w:val="both"/>
              <w:rPr>
                <w:rFonts w:eastAsia="Times New Roman" w:cs="Arial"/>
                <w:color w:val="000000"/>
                <w:sz w:val="20"/>
                <w:szCs w:val="20"/>
                <w:lang w:val="es-ES"/>
              </w:rPr>
            </w:pPr>
            <w:r w:rsidRPr="009F1388">
              <w:rPr>
                <w:rFonts w:eastAsia="Times New Roman" w:cs="Arial"/>
                <w:color w:val="000000"/>
                <w:sz w:val="20"/>
                <w:szCs w:val="20"/>
                <w:lang w:val="es-ES"/>
              </w:rPr>
              <w:t>Promover y apoyar actividades de investigación para asignar, con sujeción a la disponibilidad de recursos y en consulta con las Partes, la recopilación de la información existente sobre las buenas prácticas y los efectos del turismo en la vida silvestre como base para elaborar directrices para el turismo sostenible en las interacciones de la vida silvestre. Elaborar y presentar un proyecto a la Conferencia de las Partes en su 13ª reunión</w:t>
            </w:r>
            <w:r w:rsidR="00BE6E08" w:rsidRPr="009F1388">
              <w:rPr>
                <w:rFonts w:eastAsia="Times New Roman" w:cs="Arial"/>
                <w:color w:val="000000"/>
                <w:sz w:val="20"/>
                <w:szCs w:val="20"/>
                <w:lang w:val="es-ES"/>
              </w:rPr>
              <w:t>.</w:t>
            </w:r>
          </w:p>
        </w:tc>
        <w:tc>
          <w:tcPr>
            <w:tcW w:w="3827" w:type="dxa"/>
            <w:tcBorders>
              <w:top w:val="nil"/>
              <w:left w:val="nil"/>
              <w:bottom w:val="single" w:sz="4" w:space="0" w:color="auto"/>
              <w:right w:val="single" w:sz="4" w:space="0" w:color="auto"/>
            </w:tcBorders>
            <w:shd w:val="clear" w:color="000000" w:fill="FFFFFF"/>
            <w:hideMark/>
          </w:tcPr>
          <w:p w:rsidR="00A914C6" w:rsidRPr="00A914C6" w:rsidRDefault="00A914C6" w:rsidP="00A914C6">
            <w:pPr>
              <w:spacing w:after="0" w:line="240" w:lineRule="auto"/>
              <w:rPr>
                <w:rFonts w:eastAsia="Times New Roman" w:cs="Arial"/>
                <w:sz w:val="20"/>
                <w:szCs w:val="20"/>
                <w:lang w:val="es-ES"/>
              </w:rPr>
            </w:pPr>
            <w:r w:rsidRPr="00A914C6">
              <w:rPr>
                <w:rFonts w:eastAsia="Times New Roman" w:cs="Arial"/>
                <w:sz w:val="20"/>
                <w:szCs w:val="20"/>
                <w:lang w:val="es-ES"/>
              </w:rPr>
              <w:t xml:space="preserve">Debido a la falta de capacidad y recursos, no se han realizado progresos en lo referente a la aplicación de la Decisión 12.89. </w:t>
            </w:r>
          </w:p>
          <w:p w:rsidR="00A914C6" w:rsidRPr="00A914C6" w:rsidRDefault="00A914C6" w:rsidP="00A914C6">
            <w:pPr>
              <w:spacing w:after="0" w:line="240" w:lineRule="auto"/>
              <w:rPr>
                <w:rFonts w:eastAsia="Times New Roman" w:cs="Arial"/>
                <w:sz w:val="20"/>
                <w:szCs w:val="20"/>
                <w:lang w:val="es-ES"/>
              </w:rPr>
            </w:pPr>
          </w:p>
          <w:p w:rsidR="00BE6E08" w:rsidRPr="009F1388" w:rsidRDefault="00A914C6" w:rsidP="00A914C6">
            <w:pPr>
              <w:spacing w:after="0" w:line="240" w:lineRule="auto"/>
              <w:jc w:val="both"/>
              <w:rPr>
                <w:rFonts w:eastAsia="Times New Roman" w:cs="Arial"/>
                <w:sz w:val="20"/>
                <w:szCs w:val="20"/>
                <w:lang w:val="es-ES"/>
              </w:rPr>
            </w:pPr>
            <w:r w:rsidRPr="009F1388">
              <w:rPr>
                <w:rFonts w:eastAsia="Times New Roman" w:cs="Arial"/>
                <w:sz w:val="20"/>
                <w:szCs w:val="20"/>
                <w:lang w:val="es-ES"/>
              </w:rPr>
              <w:t>Se recomienda proseguir con la acción y que se habilite financiación para contribuir a su aplicación</w:t>
            </w:r>
            <w:r w:rsidR="00BE6E08" w:rsidRPr="009F1388">
              <w:rPr>
                <w:rFonts w:eastAsia="Times New Roman" w:cs="Arial"/>
                <w:sz w:val="20"/>
                <w:szCs w:val="20"/>
                <w:lang w:val="es-ES"/>
              </w:rPr>
              <w:t>.</w:t>
            </w:r>
          </w:p>
        </w:tc>
        <w:tc>
          <w:tcPr>
            <w:tcW w:w="1822" w:type="dxa"/>
            <w:tcBorders>
              <w:top w:val="nil"/>
              <w:left w:val="nil"/>
              <w:bottom w:val="single" w:sz="4" w:space="0" w:color="auto"/>
              <w:right w:val="single" w:sz="4" w:space="0" w:color="auto"/>
            </w:tcBorders>
            <w:shd w:val="clear" w:color="000000" w:fill="FFFFFF"/>
            <w:vAlign w:val="center"/>
            <w:hideMark/>
          </w:tcPr>
          <w:p w:rsidR="00BE6E08" w:rsidRPr="009F1388" w:rsidRDefault="00A914C6" w:rsidP="00BE6E08">
            <w:pPr>
              <w:spacing w:after="0" w:line="240" w:lineRule="auto"/>
              <w:rPr>
                <w:rFonts w:eastAsia="Times New Roman" w:cs="Arial"/>
                <w:sz w:val="20"/>
                <w:szCs w:val="20"/>
                <w:lang w:val="es-ES"/>
              </w:rPr>
            </w:pPr>
            <w:r w:rsidRPr="009F1388">
              <w:rPr>
                <w:rFonts w:eastAsia="Times New Roman" w:cs="Arial"/>
                <w:color w:val="000000"/>
                <w:sz w:val="20"/>
                <w:szCs w:val="20"/>
                <w:lang w:val="es-ES"/>
              </w:rPr>
              <w:t>Renovar Decisión</w:t>
            </w:r>
          </w:p>
        </w:tc>
      </w:tr>
      <w:tr w:rsidR="00BE6E08" w:rsidRPr="009F1388" w:rsidTr="000418F2">
        <w:trPr>
          <w:trHeight w:val="3030"/>
        </w:trPr>
        <w:tc>
          <w:tcPr>
            <w:tcW w:w="828" w:type="dxa"/>
            <w:tcBorders>
              <w:top w:val="nil"/>
              <w:left w:val="single" w:sz="4" w:space="0" w:color="auto"/>
              <w:bottom w:val="single" w:sz="4" w:space="0" w:color="auto"/>
              <w:right w:val="single" w:sz="4" w:space="0" w:color="auto"/>
            </w:tcBorders>
            <w:shd w:val="clear" w:color="000000" w:fill="FFFFFF"/>
            <w:hideMark/>
          </w:tcPr>
          <w:p w:rsidR="00BE6E08" w:rsidRPr="009F1388" w:rsidRDefault="00BE6E08" w:rsidP="00BE6E08">
            <w:pPr>
              <w:spacing w:after="0" w:line="240" w:lineRule="auto"/>
              <w:jc w:val="center"/>
              <w:rPr>
                <w:rFonts w:eastAsia="Times New Roman" w:cs="Arial"/>
                <w:b/>
                <w:bCs/>
                <w:sz w:val="20"/>
                <w:szCs w:val="20"/>
                <w:lang w:val="es-ES"/>
              </w:rPr>
            </w:pPr>
            <w:r w:rsidRPr="009F1388">
              <w:rPr>
                <w:rFonts w:eastAsia="Times New Roman" w:cs="Arial"/>
                <w:b/>
                <w:bCs/>
                <w:sz w:val="20"/>
                <w:szCs w:val="20"/>
                <w:lang w:val="es-ES"/>
              </w:rPr>
              <w:t>12.90</w:t>
            </w:r>
          </w:p>
        </w:tc>
        <w:tc>
          <w:tcPr>
            <w:tcW w:w="1582"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rPr>
                <w:rFonts w:eastAsia="Times New Roman" w:cs="Arial"/>
                <w:b/>
                <w:bCs/>
                <w:sz w:val="20"/>
                <w:szCs w:val="20"/>
                <w:lang w:val="es-ES"/>
              </w:rPr>
            </w:pPr>
          </w:p>
        </w:tc>
        <w:tc>
          <w:tcPr>
            <w:tcW w:w="1701" w:type="dxa"/>
            <w:tcBorders>
              <w:top w:val="nil"/>
              <w:left w:val="nil"/>
              <w:bottom w:val="single" w:sz="4" w:space="0" w:color="auto"/>
              <w:right w:val="single" w:sz="4" w:space="0" w:color="auto"/>
            </w:tcBorders>
            <w:shd w:val="clear" w:color="000000" w:fill="FFFFFF"/>
            <w:hideMark/>
          </w:tcPr>
          <w:p w:rsidR="00BE6E08" w:rsidRPr="009F1388" w:rsidRDefault="00C263ED" w:rsidP="00BE6E08">
            <w:pPr>
              <w:spacing w:after="0" w:line="240" w:lineRule="auto"/>
              <w:rPr>
                <w:rFonts w:eastAsia="Times New Roman" w:cs="Arial"/>
                <w:sz w:val="20"/>
                <w:szCs w:val="20"/>
                <w:lang w:val="es-ES"/>
              </w:rPr>
            </w:pPr>
            <w:r w:rsidRPr="009F1388">
              <w:rPr>
                <w:rFonts w:eastAsia="Times New Roman" w:cs="Arial"/>
                <w:sz w:val="20"/>
                <w:szCs w:val="20"/>
                <w:lang w:val="es-ES"/>
              </w:rPr>
              <w:t>Dirigido al Consejo Científico</w:t>
            </w:r>
          </w:p>
        </w:tc>
        <w:tc>
          <w:tcPr>
            <w:tcW w:w="4820" w:type="dxa"/>
            <w:tcBorders>
              <w:top w:val="nil"/>
              <w:left w:val="nil"/>
              <w:bottom w:val="single" w:sz="4" w:space="0" w:color="auto"/>
              <w:right w:val="single" w:sz="4" w:space="0" w:color="auto"/>
            </w:tcBorders>
            <w:shd w:val="clear" w:color="000000" w:fill="FFFFFF"/>
            <w:hideMark/>
          </w:tcPr>
          <w:p w:rsidR="00BE6E08" w:rsidRPr="009F1388" w:rsidRDefault="00C263ED" w:rsidP="00BE6E08">
            <w:pPr>
              <w:spacing w:after="0" w:line="240" w:lineRule="auto"/>
              <w:jc w:val="both"/>
              <w:rPr>
                <w:rFonts w:eastAsia="Times New Roman" w:cs="Arial"/>
                <w:color w:val="000000"/>
                <w:sz w:val="20"/>
                <w:szCs w:val="20"/>
                <w:lang w:val="es-ES"/>
              </w:rPr>
            </w:pPr>
            <w:r w:rsidRPr="009F1388">
              <w:rPr>
                <w:rFonts w:eastAsia="Times New Roman" w:cs="Arial"/>
                <w:color w:val="000000"/>
                <w:sz w:val="20"/>
                <w:szCs w:val="20"/>
                <w:lang w:val="es-ES"/>
              </w:rPr>
              <w:t>Sujeto a la disponibilidad de recursos, el Consejo Científico realizará evaluaciones periódicas de las últimas pruebas científicas sobre los impactos de las actividades de ecoturismo en las especies migratorias y recomendará directrices más precisas, si es necesario. Elaborar y presentar un proyecto de informe a la Conferencia de las Partes en su 13ª reunión</w:t>
            </w:r>
            <w:r w:rsidR="00BE6E08" w:rsidRPr="009F1388">
              <w:rPr>
                <w:rFonts w:eastAsia="Times New Roman" w:cs="Arial"/>
                <w:color w:val="000000"/>
                <w:sz w:val="20"/>
                <w:szCs w:val="20"/>
                <w:lang w:val="es-ES"/>
              </w:rPr>
              <w:t xml:space="preserve">. </w:t>
            </w:r>
          </w:p>
        </w:tc>
        <w:tc>
          <w:tcPr>
            <w:tcW w:w="3827" w:type="dxa"/>
            <w:tcBorders>
              <w:top w:val="nil"/>
              <w:left w:val="nil"/>
              <w:bottom w:val="single" w:sz="4" w:space="0" w:color="auto"/>
              <w:right w:val="single" w:sz="4" w:space="0" w:color="auto"/>
            </w:tcBorders>
            <w:shd w:val="clear" w:color="000000" w:fill="FFFFFF"/>
            <w:hideMark/>
          </w:tcPr>
          <w:p w:rsidR="00A914C6" w:rsidRPr="00A914C6" w:rsidRDefault="00A914C6" w:rsidP="00A914C6">
            <w:pPr>
              <w:spacing w:after="0" w:line="240" w:lineRule="auto"/>
              <w:rPr>
                <w:rFonts w:eastAsia="Times New Roman" w:cs="Arial"/>
                <w:sz w:val="20"/>
                <w:szCs w:val="20"/>
                <w:lang w:val="es-ES"/>
              </w:rPr>
            </w:pPr>
            <w:r w:rsidRPr="00A914C6">
              <w:rPr>
                <w:rFonts w:eastAsia="Times New Roman" w:cs="Arial"/>
                <w:sz w:val="20"/>
                <w:szCs w:val="20"/>
                <w:lang w:val="es-ES"/>
              </w:rPr>
              <w:t xml:space="preserve">Debido a la falta de capacidad y recursos, no se han realizado progresos en lo referente a la aplicación de la Decisión 12.90. </w:t>
            </w:r>
          </w:p>
          <w:p w:rsidR="00A914C6" w:rsidRPr="00A914C6" w:rsidRDefault="00A914C6" w:rsidP="00A914C6">
            <w:pPr>
              <w:spacing w:after="0" w:line="240" w:lineRule="auto"/>
              <w:rPr>
                <w:rFonts w:eastAsia="Times New Roman" w:cs="Arial"/>
                <w:sz w:val="20"/>
                <w:szCs w:val="20"/>
                <w:lang w:val="es-ES"/>
              </w:rPr>
            </w:pPr>
          </w:p>
          <w:p w:rsidR="00BE6E08" w:rsidRPr="009F1388" w:rsidRDefault="00A914C6" w:rsidP="00A914C6">
            <w:pPr>
              <w:spacing w:after="0" w:line="240" w:lineRule="auto"/>
              <w:jc w:val="both"/>
              <w:rPr>
                <w:rFonts w:eastAsia="Times New Roman" w:cs="Arial"/>
                <w:sz w:val="20"/>
                <w:szCs w:val="20"/>
                <w:lang w:val="es-ES"/>
              </w:rPr>
            </w:pPr>
            <w:r w:rsidRPr="009F1388">
              <w:rPr>
                <w:rFonts w:eastAsia="Times New Roman" w:cs="Arial"/>
                <w:sz w:val="20"/>
                <w:szCs w:val="20"/>
                <w:lang w:val="es-ES"/>
              </w:rPr>
              <w:t>Se recomienda proseguir con la acción y que se habilite financiación para contribuir a su aplicación.</w:t>
            </w:r>
          </w:p>
        </w:tc>
        <w:tc>
          <w:tcPr>
            <w:tcW w:w="1822" w:type="dxa"/>
            <w:tcBorders>
              <w:top w:val="nil"/>
              <w:left w:val="nil"/>
              <w:bottom w:val="single" w:sz="4" w:space="0" w:color="auto"/>
              <w:right w:val="single" w:sz="4" w:space="0" w:color="auto"/>
            </w:tcBorders>
            <w:shd w:val="clear" w:color="000000" w:fill="FFFFFF"/>
            <w:vAlign w:val="center"/>
            <w:hideMark/>
          </w:tcPr>
          <w:p w:rsidR="00BE6E08" w:rsidRPr="009F1388" w:rsidRDefault="00A914C6" w:rsidP="00BE6E08">
            <w:pPr>
              <w:spacing w:after="0" w:line="240" w:lineRule="auto"/>
              <w:rPr>
                <w:rFonts w:eastAsia="Times New Roman" w:cs="Arial"/>
                <w:sz w:val="20"/>
                <w:szCs w:val="20"/>
                <w:lang w:val="es-ES"/>
              </w:rPr>
            </w:pPr>
            <w:r w:rsidRPr="009F1388">
              <w:rPr>
                <w:rFonts w:eastAsia="Times New Roman" w:cs="Arial"/>
                <w:color w:val="000000"/>
                <w:sz w:val="20"/>
                <w:szCs w:val="20"/>
                <w:lang w:val="es-ES"/>
              </w:rPr>
              <w:t>Renovar Decisión</w:t>
            </w:r>
          </w:p>
        </w:tc>
      </w:tr>
      <w:tr w:rsidR="00BE6E08" w:rsidRPr="00046151" w:rsidTr="000418F2">
        <w:trPr>
          <w:trHeight w:val="255"/>
        </w:trPr>
        <w:tc>
          <w:tcPr>
            <w:tcW w:w="14580" w:type="dxa"/>
            <w:gridSpan w:val="6"/>
            <w:tcBorders>
              <w:top w:val="single" w:sz="4" w:space="0" w:color="auto"/>
              <w:left w:val="single" w:sz="4" w:space="0" w:color="auto"/>
              <w:bottom w:val="single" w:sz="4" w:space="0" w:color="auto"/>
              <w:right w:val="single" w:sz="4" w:space="0" w:color="auto"/>
            </w:tcBorders>
            <w:shd w:val="clear" w:color="000000" w:fill="D0CECE"/>
            <w:noWrap/>
            <w:hideMark/>
          </w:tcPr>
          <w:p w:rsidR="00BE6E08" w:rsidRPr="009F1388" w:rsidRDefault="00C263ED" w:rsidP="00BE6E08">
            <w:pPr>
              <w:spacing w:after="0" w:line="240" w:lineRule="auto"/>
              <w:jc w:val="both"/>
              <w:rPr>
                <w:rFonts w:eastAsia="Times New Roman" w:cs="Arial"/>
                <w:b/>
                <w:bCs/>
                <w:color w:val="000000"/>
                <w:sz w:val="20"/>
                <w:szCs w:val="20"/>
                <w:lang w:val="es-ES"/>
              </w:rPr>
            </w:pPr>
            <w:r w:rsidRPr="009F1388">
              <w:rPr>
                <w:rFonts w:eastAsia="Times New Roman" w:cs="Arial"/>
                <w:b/>
                <w:bCs/>
                <w:color w:val="000000"/>
                <w:sz w:val="20"/>
                <w:szCs w:val="20"/>
                <w:lang w:val="es-ES"/>
              </w:rPr>
              <w:t>Enmienda de los Apéndices de la CMS</w:t>
            </w:r>
          </w:p>
        </w:tc>
      </w:tr>
      <w:tr w:rsidR="00BE6E08" w:rsidRPr="009F1388" w:rsidTr="000418F2">
        <w:trPr>
          <w:trHeight w:val="2025"/>
        </w:trPr>
        <w:tc>
          <w:tcPr>
            <w:tcW w:w="828" w:type="dxa"/>
            <w:tcBorders>
              <w:top w:val="nil"/>
              <w:left w:val="single" w:sz="4" w:space="0" w:color="auto"/>
              <w:bottom w:val="single" w:sz="4" w:space="0" w:color="auto"/>
              <w:right w:val="single" w:sz="4" w:space="0" w:color="auto"/>
            </w:tcBorders>
            <w:shd w:val="clear" w:color="000000" w:fill="FFFFFF"/>
            <w:hideMark/>
          </w:tcPr>
          <w:p w:rsidR="00BE6E08" w:rsidRPr="009F1388" w:rsidRDefault="00BE6E08" w:rsidP="00BE6E08">
            <w:pPr>
              <w:spacing w:after="0" w:line="240" w:lineRule="auto"/>
              <w:jc w:val="center"/>
              <w:rPr>
                <w:rFonts w:eastAsia="Times New Roman" w:cs="Arial"/>
                <w:b/>
                <w:bCs/>
                <w:sz w:val="20"/>
                <w:szCs w:val="20"/>
                <w:lang w:val="es-ES"/>
              </w:rPr>
            </w:pPr>
            <w:r w:rsidRPr="009F1388">
              <w:rPr>
                <w:rFonts w:eastAsia="Times New Roman" w:cs="Arial"/>
                <w:b/>
                <w:bCs/>
                <w:sz w:val="20"/>
                <w:szCs w:val="20"/>
                <w:lang w:val="es-ES"/>
              </w:rPr>
              <w:t>12.102</w:t>
            </w:r>
          </w:p>
        </w:tc>
        <w:tc>
          <w:tcPr>
            <w:tcW w:w="1582" w:type="dxa"/>
            <w:tcBorders>
              <w:top w:val="nil"/>
              <w:left w:val="nil"/>
              <w:bottom w:val="single" w:sz="4" w:space="0" w:color="auto"/>
              <w:right w:val="single" w:sz="4" w:space="0" w:color="auto"/>
            </w:tcBorders>
            <w:shd w:val="clear" w:color="000000" w:fill="FFFFFF"/>
            <w:hideMark/>
          </w:tcPr>
          <w:p w:rsidR="00BE6E08" w:rsidRPr="009F1388" w:rsidRDefault="00C263ED" w:rsidP="00BE6E08">
            <w:pPr>
              <w:spacing w:after="0" w:line="240" w:lineRule="auto"/>
              <w:rPr>
                <w:rFonts w:eastAsia="Times New Roman" w:cs="Arial"/>
                <w:b/>
                <w:bCs/>
                <w:sz w:val="20"/>
                <w:szCs w:val="20"/>
                <w:lang w:val="es-ES"/>
              </w:rPr>
            </w:pPr>
            <w:r w:rsidRPr="009F1388">
              <w:rPr>
                <w:rFonts w:eastAsia="Times New Roman" w:cs="Arial"/>
                <w:b/>
                <w:bCs/>
                <w:sz w:val="20"/>
                <w:szCs w:val="20"/>
                <w:lang w:val="es-ES"/>
              </w:rPr>
              <w:t>Taxonomía y Nomenclatura</w:t>
            </w:r>
          </w:p>
        </w:tc>
        <w:tc>
          <w:tcPr>
            <w:tcW w:w="1701" w:type="dxa"/>
            <w:tcBorders>
              <w:top w:val="nil"/>
              <w:left w:val="nil"/>
              <w:bottom w:val="single" w:sz="4" w:space="0" w:color="auto"/>
              <w:right w:val="single" w:sz="4" w:space="0" w:color="auto"/>
            </w:tcBorders>
            <w:shd w:val="clear" w:color="000000" w:fill="FFFFFF"/>
            <w:hideMark/>
          </w:tcPr>
          <w:p w:rsidR="00BE6E08" w:rsidRPr="009F1388" w:rsidRDefault="00C263ED" w:rsidP="00BE6E08">
            <w:pPr>
              <w:spacing w:after="0" w:line="240" w:lineRule="auto"/>
              <w:rPr>
                <w:rFonts w:eastAsia="Times New Roman" w:cs="Arial"/>
                <w:sz w:val="20"/>
                <w:szCs w:val="20"/>
                <w:lang w:val="es-ES"/>
              </w:rPr>
            </w:pPr>
            <w:r w:rsidRPr="009F1388">
              <w:rPr>
                <w:rFonts w:eastAsia="Times New Roman" w:cs="Arial"/>
                <w:sz w:val="20"/>
                <w:szCs w:val="20"/>
                <w:lang w:val="es-ES"/>
              </w:rPr>
              <w:t>Dirigido a la Secretaría</w:t>
            </w:r>
          </w:p>
        </w:tc>
        <w:tc>
          <w:tcPr>
            <w:tcW w:w="4820" w:type="dxa"/>
            <w:tcBorders>
              <w:top w:val="nil"/>
              <w:left w:val="nil"/>
              <w:bottom w:val="single" w:sz="4" w:space="0" w:color="auto"/>
              <w:right w:val="single" w:sz="4" w:space="0" w:color="auto"/>
            </w:tcBorders>
            <w:shd w:val="clear" w:color="000000" w:fill="FFFFFF"/>
            <w:hideMark/>
          </w:tcPr>
          <w:p w:rsidR="00BE6E08" w:rsidRPr="009F1388" w:rsidRDefault="00C263ED" w:rsidP="00BE6E08">
            <w:pPr>
              <w:spacing w:after="0" w:line="240" w:lineRule="auto"/>
              <w:jc w:val="both"/>
              <w:rPr>
                <w:rFonts w:eastAsia="Times New Roman" w:cs="Arial"/>
                <w:color w:val="000000"/>
                <w:sz w:val="20"/>
                <w:szCs w:val="20"/>
                <w:lang w:val="es-ES"/>
              </w:rPr>
            </w:pPr>
            <w:r w:rsidRPr="009F1388">
              <w:rPr>
                <w:rFonts w:eastAsia="Times New Roman" w:cs="Arial"/>
                <w:color w:val="000000"/>
                <w:sz w:val="20"/>
                <w:szCs w:val="20"/>
                <w:lang w:val="es-ES"/>
              </w:rPr>
              <w:t xml:space="preserve">La Secretaría deberá, en consulta con el Consejo Científico y el Depositario, adaptar los Apéndices de la CMS </w:t>
            </w:r>
            <w:proofErr w:type="gramStart"/>
            <w:r w:rsidRPr="009F1388">
              <w:rPr>
                <w:rFonts w:eastAsia="Times New Roman" w:cs="Arial"/>
                <w:color w:val="000000"/>
                <w:sz w:val="20"/>
                <w:szCs w:val="20"/>
                <w:lang w:val="es-ES"/>
              </w:rPr>
              <w:t>de acuerdo a</w:t>
            </w:r>
            <w:proofErr w:type="gramEnd"/>
            <w:r w:rsidRPr="009F1388">
              <w:rPr>
                <w:rFonts w:eastAsia="Times New Roman" w:cs="Arial"/>
                <w:color w:val="000000"/>
                <w:sz w:val="20"/>
                <w:szCs w:val="20"/>
                <w:lang w:val="es-ES"/>
              </w:rPr>
              <w:t xml:space="preserve"> la nueva referencia para aves adoptada y las reglas descritas en la UNEP/CMS/Resolución 12.27 sobre Taxonomía y Nomenclatura, incluyendo la publicación de la taxonomía del nivel superio</w:t>
            </w:r>
            <w:r w:rsidR="002A66D1" w:rsidRPr="009F1388">
              <w:rPr>
                <w:rFonts w:eastAsia="Times New Roman" w:cs="Arial"/>
                <w:color w:val="000000"/>
                <w:sz w:val="20"/>
                <w:szCs w:val="20"/>
                <w:lang w:val="es-ES"/>
              </w:rPr>
              <w:t>r</w:t>
            </w:r>
            <w:r w:rsidR="00BE6E08" w:rsidRPr="009F1388">
              <w:rPr>
                <w:rFonts w:eastAsia="Times New Roman" w:cs="Arial"/>
                <w:color w:val="000000"/>
                <w:sz w:val="20"/>
                <w:szCs w:val="20"/>
                <w:lang w:val="es-ES"/>
              </w:rPr>
              <w:t xml:space="preserve">. </w:t>
            </w:r>
          </w:p>
        </w:tc>
        <w:tc>
          <w:tcPr>
            <w:tcW w:w="3827" w:type="dxa"/>
            <w:tcBorders>
              <w:top w:val="nil"/>
              <w:left w:val="nil"/>
              <w:bottom w:val="single" w:sz="4" w:space="0" w:color="auto"/>
              <w:right w:val="single" w:sz="4" w:space="0" w:color="auto"/>
            </w:tcBorders>
            <w:shd w:val="clear" w:color="000000" w:fill="FFFFFF"/>
            <w:hideMark/>
          </w:tcPr>
          <w:p w:rsidR="00BE6E08" w:rsidRPr="009F1388" w:rsidRDefault="00A914C6" w:rsidP="00BE6E08">
            <w:pPr>
              <w:spacing w:after="0" w:line="240" w:lineRule="auto"/>
              <w:jc w:val="both"/>
              <w:rPr>
                <w:rFonts w:eastAsia="Times New Roman" w:cs="Arial"/>
                <w:color w:val="000000"/>
                <w:sz w:val="20"/>
                <w:szCs w:val="20"/>
                <w:lang w:val="es-ES"/>
              </w:rPr>
            </w:pPr>
            <w:r w:rsidRPr="009F1388">
              <w:rPr>
                <w:rFonts w:eastAsia="Times New Roman" w:cs="Arial"/>
                <w:color w:val="000000"/>
                <w:sz w:val="20"/>
                <w:szCs w:val="20"/>
                <w:lang w:val="es-ES"/>
              </w:rPr>
              <w:t>Inmediatamente después de la COP12, se adaptaron los Apéndices de la CMS conforme a la nueva referencia sobre aves en el marco de la revisión de los Apéndices de la CMS emitida en enero de 2018.</w:t>
            </w:r>
          </w:p>
        </w:tc>
        <w:tc>
          <w:tcPr>
            <w:tcW w:w="1822" w:type="dxa"/>
            <w:tcBorders>
              <w:top w:val="nil"/>
              <w:left w:val="nil"/>
              <w:bottom w:val="single" w:sz="4" w:space="0" w:color="auto"/>
              <w:right w:val="single" w:sz="4" w:space="0" w:color="auto"/>
            </w:tcBorders>
            <w:shd w:val="clear" w:color="000000" w:fill="FFFFFF"/>
            <w:vAlign w:val="center"/>
            <w:hideMark/>
          </w:tcPr>
          <w:p w:rsidR="00BE6E08" w:rsidRPr="009F1388" w:rsidRDefault="00A914C6" w:rsidP="00BE6E08">
            <w:pPr>
              <w:spacing w:after="0" w:line="240" w:lineRule="auto"/>
              <w:rPr>
                <w:rFonts w:eastAsia="Times New Roman" w:cs="Arial"/>
                <w:color w:val="000000"/>
                <w:sz w:val="20"/>
                <w:szCs w:val="20"/>
                <w:lang w:val="es-ES"/>
              </w:rPr>
            </w:pPr>
            <w:r w:rsidRPr="009F1388">
              <w:rPr>
                <w:rFonts w:eastAsia="Times New Roman" w:cs="Arial"/>
                <w:color w:val="000000"/>
                <w:sz w:val="20"/>
                <w:szCs w:val="20"/>
                <w:lang w:val="es-ES"/>
              </w:rPr>
              <w:t>Eliminar Decisión</w:t>
            </w:r>
          </w:p>
        </w:tc>
      </w:tr>
    </w:tbl>
    <w:p w:rsidR="000418F2" w:rsidRDefault="000418F2">
      <w:r>
        <w:br w:type="page"/>
      </w:r>
    </w:p>
    <w:tbl>
      <w:tblPr>
        <w:tblW w:w="14580" w:type="dxa"/>
        <w:tblInd w:w="-5" w:type="dxa"/>
        <w:tblLayout w:type="fixed"/>
        <w:tblLook w:val="04A0" w:firstRow="1" w:lastRow="0" w:firstColumn="1" w:lastColumn="0" w:noHBand="0" w:noVBand="1"/>
      </w:tblPr>
      <w:tblGrid>
        <w:gridCol w:w="828"/>
        <w:gridCol w:w="1582"/>
        <w:gridCol w:w="1701"/>
        <w:gridCol w:w="4820"/>
        <w:gridCol w:w="3827"/>
        <w:gridCol w:w="1822"/>
      </w:tblGrid>
      <w:tr w:rsidR="00BE6E08" w:rsidRPr="00046151" w:rsidTr="000418F2">
        <w:trPr>
          <w:trHeight w:val="255"/>
        </w:trPr>
        <w:tc>
          <w:tcPr>
            <w:tcW w:w="14580" w:type="dxa"/>
            <w:gridSpan w:val="6"/>
            <w:tcBorders>
              <w:top w:val="single" w:sz="4" w:space="0" w:color="auto"/>
              <w:left w:val="single" w:sz="4" w:space="0" w:color="auto"/>
              <w:bottom w:val="single" w:sz="4" w:space="0" w:color="auto"/>
              <w:right w:val="single" w:sz="4" w:space="0" w:color="auto"/>
            </w:tcBorders>
            <w:shd w:val="clear" w:color="000000" w:fill="D0CECE"/>
            <w:hideMark/>
          </w:tcPr>
          <w:p w:rsidR="00BE6E08" w:rsidRPr="009F1388" w:rsidRDefault="00C263ED" w:rsidP="00BE6E08">
            <w:pPr>
              <w:spacing w:after="0" w:line="240" w:lineRule="auto"/>
              <w:rPr>
                <w:rFonts w:eastAsia="Times New Roman" w:cs="Arial"/>
                <w:b/>
                <w:bCs/>
                <w:sz w:val="20"/>
                <w:szCs w:val="20"/>
                <w:lang w:val="es-ES"/>
              </w:rPr>
            </w:pPr>
            <w:r w:rsidRPr="009F1388">
              <w:rPr>
                <w:rFonts w:eastAsia="Times New Roman" w:cs="Arial"/>
                <w:b/>
                <w:bCs/>
                <w:sz w:val="20"/>
                <w:szCs w:val="20"/>
                <w:lang w:val="es-ES"/>
              </w:rPr>
              <w:lastRenderedPageBreak/>
              <w:t>Asuntos Formales y de Clausura</w:t>
            </w:r>
          </w:p>
        </w:tc>
      </w:tr>
      <w:tr w:rsidR="00BE6E08" w:rsidRPr="00046151" w:rsidTr="000418F2">
        <w:trPr>
          <w:trHeight w:val="1695"/>
        </w:trPr>
        <w:tc>
          <w:tcPr>
            <w:tcW w:w="828" w:type="dxa"/>
            <w:vMerge w:val="restart"/>
            <w:tcBorders>
              <w:top w:val="nil"/>
              <w:left w:val="single" w:sz="4" w:space="0" w:color="auto"/>
              <w:bottom w:val="single" w:sz="4" w:space="0" w:color="auto"/>
              <w:right w:val="single" w:sz="4" w:space="0" w:color="auto"/>
            </w:tcBorders>
            <w:shd w:val="clear" w:color="000000" w:fill="FFFFFF"/>
            <w:hideMark/>
          </w:tcPr>
          <w:p w:rsidR="00BE6E08" w:rsidRPr="009F1388" w:rsidRDefault="00BE6E08" w:rsidP="00BE6E08">
            <w:pPr>
              <w:spacing w:after="0" w:line="240" w:lineRule="auto"/>
              <w:jc w:val="center"/>
              <w:rPr>
                <w:rFonts w:eastAsia="Times New Roman" w:cs="Arial"/>
                <w:b/>
                <w:bCs/>
                <w:sz w:val="20"/>
                <w:szCs w:val="20"/>
                <w:lang w:val="es-ES"/>
              </w:rPr>
            </w:pPr>
            <w:r w:rsidRPr="009F1388">
              <w:rPr>
                <w:rFonts w:eastAsia="Times New Roman" w:cs="Arial"/>
                <w:b/>
                <w:bCs/>
                <w:sz w:val="20"/>
                <w:szCs w:val="20"/>
                <w:lang w:val="es-ES"/>
              </w:rPr>
              <w:t>12.105</w:t>
            </w:r>
          </w:p>
        </w:tc>
        <w:tc>
          <w:tcPr>
            <w:tcW w:w="1582" w:type="dxa"/>
            <w:vMerge w:val="restart"/>
            <w:tcBorders>
              <w:top w:val="nil"/>
              <w:left w:val="single" w:sz="4" w:space="0" w:color="auto"/>
              <w:bottom w:val="single" w:sz="4" w:space="0" w:color="auto"/>
              <w:right w:val="single" w:sz="4" w:space="0" w:color="auto"/>
            </w:tcBorders>
            <w:shd w:val="clear" w:color="000000" w:fill="FFFFFF"/>
            <w:hideMark/>
          </w:tcPr>
          <w:p w:rsidR="00BE6E08" w:rsidRPr="009F1388" w:rsidRDefault="002A66D1" w:rsidP="00BE6E08">
            <w:pPr>
              <w:spacing w:after="0" w:line="240" w:lineRule="auto"/>
              <w:rPr>
                <w:rFonts w:eastAsia="Times New Roman" w:cs="Arial"/>
                <w:b/>
                <w:bCs/>
                <w:sz w:val="20"/>
                <w:szCs w:val="20"/>
                <w:lang w:val="es-ES"/>
              </w:rPr>
            </w:pPr>
            <w:r w:rsidRPr="009F1388">
              <w:rPr>
                <w:rFonts w:eastAsia="Times New Roman" w:cs="Arial"/>
                <w:b/>
                <w:bCs/>
                <w:sz w:val="20"/>
                <w:szCs w:val="20"/>
                <w:lang w:val="es-ES"/>
              </w:rPr>
              <w:t>Desarrollo sostenible y especies migratorias</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BE6E08" w:rsidRPr="009F1388" w:rsidRDefault="002A66D1" w:rsidP="00BE6E08">
            <w:pPr>
              <w:spacing w:after="0" w:line="240" w:lineRule="auto"/>
              <w:rPr>
                <w:rFonts w:eastAsia="Times New Roman" w:cs="Arial"/>
                <w:sz w:val="20"/>
                <w:szCs w:val="20"/>
                <w:lang w:val="es-ES"/>
              </w:rPr>
            </w:pPr>
            <w:r w:rsidRPr="009F1388">
              <w:rPr>
                <w:rFonts w:eastAsia="Times New Roman" w:cs="Arial"/>
                <w:sz w:val="20"/>
                <w:szCs w:val="20"/>
                <w:lang w:val="es-ES"/>
              </w:rPr>
              <w:t>Dirigido a la Secretaría</w:t>
            </w:r>
          </w:p>
        </w:tc>
        <w:tc>
          <w:tcPr>
            <w:tcW w:w="4820" w:type="dxa"/>
            <w:tcBorders>
              <w:top w:val="nil"/>
              <w:left w:val="nil"/>
              <w:bottom w:val="single" w:sz="4" w:space="0" w:color="auto"/>
              <w:right w:val="single" w:sz="4" w:space="0" w:color="auto"/>
            </w:tcBorders>
            <w:shd w:val="clear" w:color="000000" w:fill="FFFFFF"/>
            <w:hideMark/>
          </w:tcPr>
          <w:p w:rsidR="00BE6E08" w:rsidRPr="009F1388" w:rsidRDefault="002A66D1" w:rsidP="00BE6E08">
            <w:pPr>
              <w:spacing w:after="0" w:line="240" w:lineRule="auto"/>
              <w:jc w:val="both"/>
              <w:rPr>
                <w:rFonts w:eastAsia="Times New Roman" w:cs="Arial"/>
                <w:color w:val="000000"/>
                <w:sz w:val="20"/>
                <w:szCs w:val="20"/>
                <w:lang w:val="es-ES"/>
              </w:rPr>
            </w:pPr>
            <w:r w:rsidRPr="009F1388">
              <w:rPr>
                <w:rFonts w:eastAsia="Times New Roman" w:cs="Arial"/>
                <w:color w:val="000000"/>
                <w:sz w:val="20"/>
                <w:szCs w:val="20"/>
                <w:lang w:val="es-ES"/>
              </w:rPr>
              <w:t>b)</w:t>
            </w:r>
            <w:r w:rsidRPr="009F1388">
              <w:rPr>
                <w:rFonts w:eastAsia="Times New Roman" w:cs="Arial"/>
                <w:color w:val="000000"/>
                <w:sz w:val="20"/>
                <w:szCs w:val="20"/>
                <w:lang w:val="es-ES"/>
              </w:rPr>
              <w:tab/>
              <w:t>Recopilar información y datos sobre los vínculos entre las especies migratorias y el desarrollo sostenible</w:t>
            </w:r>
            <w:r w:rsidR="00BE6E08" w:rsidRPr="009F1388">
              <w:rPr>
                <w:rFonts w:eastAsia="Times New Roman" w:cs="Arial"/>
                <w:color w:val="000000"/>
                <w:sz w:val="20"/>
                <w:szCs w:val="20"/>
                <w:lang w:val="es-ES"/>
              </w:rPr>
              <w:t>;</w:t>
            </w:r>
          </w:p>
        </w:tc>
        <w:tc>
          <w:tcPr>
            <w:tcW w:w="3827" w:type="dxa"/>
            <w:vMerge w:val="restart"/>
            <w:tcBorders>
              <w:top w:val="nil"/>
              <w:left w:val="single" w:sz="4" w:space="0" w:color="auto"/>
              <w:bottom w:val="single" w:sz="4" w:space="0" w:color="auto"/>
              <w:right w:val="single" w:sz="4" w:space="0" w:color="auto"/>
            </w:tcBorders>
            <w:shd w:val="clear" w:color="000000" w:fill="FFFFFF"/>
            <w:hideMark/>
          </w:tcPr>
          <w:p w:rsidR="000453D3" w:rsidRPr="009F1388" w:rsidRDefault="00A914C6" w:rsidP="000453D3">
            <w:pPr>
              <w:rPr>
                <w:rFonts w:eastAsia="Times New Roman" w:cs="Arial"/>
                <w:color w:val="0563C1" w:themeColor="hyperlink"/>
                <w:sz w:val="20"/>
                <w:szCs w:val="20"/>
                <w:u w:val="single"/>
                <w:lang w:val="es-ES"/>
              </w:rPr>
            </w:pPr>
            <w:r w:rsidRPr="009F1388">
              <w:rPr>
                <w:rFonts w:eastAsia="Times New Roman" w:cs="Arial"/>
                <w:color w:val="000000"/>
                <w:sz w:val="20"/>
                <w:szCs w:val="20"/>
                <w:lang w:val="es-ES"/>
              </w:rPr>
              <w:t xml:space="preserve">Las limitaciones de recursos no permitieron aplicar estos mandatos en su totalidad. Se pueden encontrar elementos pertinentes para estos mandatos en los documentos que informan sobre el progreso en la aplicación del Plan Estratégico para las Especies Migratorias (PEEM) 2015-2023.  Se puede encontrar información sobre los vínculos y la correspondencia entre los objetivos del PEEM y los ODS en </w:t>
            </w:r>
            <w:hyperlink r:id="rId14" w:history="1">
              <w:r w:rsidR="009F1388" w:rsidRPr="009F1388">
                <w:rPr>
                  <w:color w:val="0000FF"/>
                  <w:sz w:val="20"/>
                  <w:szCs w:val="20"/>
                  <w:u w:val="single"/>
                  <w:lang w:val="es-ES"/>
                </w:rPr>
                <w:t>https://www.cms.int/sites/default/files/basic_page_documents/HLS_concept_SDGs_sp.pdf</w:t>
              </w:r>
            </w:hyperlink>
          </w:p>
          <w:p w:rsidR="000453D3" w:rsidRPr="009F1388" w:rsidRDefault="000453D3" w:rsidP="000453D3">
            <w:pPr>
              <w:tabs>
                <w:tab w:val="left" w:pos="1005"/>
              </w:tabs>
              <w:rPr>
                <w:rFonts w:eastAsia="Times New Roman" w:cs="Arial"/>
                <w:sz w:val="20"/>
                <w:szCs w:val="20"/>
                <w:lang w:val="es-ES"/>
              </w:rPr>
            </w:pPr>
          </w:p>
        </w:tc>
        <w:tc>
          <w:tcPr>
            <w:tcW w:w="1822" w:type="dxa"/>
            <w:vMerge w:val="restart"/>
            <w:tcBorders>
              <w:top w:val="nil"/>
              <w:left w:val="single" w:sz="4" w:space="0" w:color="auto"/>
              <w:bottom w:val="single" w:sz="4" w:space="0" w:color="auto"/>
              <w:right w:val="single" w:sz="4" w:space="0" w:color="auto"/>
            </w:tcBorders>
            <w:shd w:val="clear" w:color="000000" w:fill="FFFFFF"/>
            <w:vAlign w:val="center"/>
            <w:hideMark/>
          </w:tcPr>
          <w:p w:rsidR="00BE6E08" w:rsidRPr="009F1388" w:rsidRDefault="00A914C6" w:rsidP="00BE6E08">
            <w:pPr>
              <w:spacing w:after="0" w:line="240" w:lineRule="auto"/>
              <w:jc w:val="both"/>
              <w:rPr>
                <w:rFonts w:eastAsia="Times New Roman" w:cs="Arial"/>
                <w:color w:val="000000"/>
                <w:sz w:val="20"/>
                <w:szCs w:val="20"/>
                <w:lang w:val="es-ES"/>
              </w:rPr>
            </w:pPr>
            <w:r w:rsidRPr="009F1388">
              <w:rPr>
                <w:rFonts w:eastAsia="Times New Roman" w:cs="Arial"/>
                <w:color w:val="000000"/>
                <w:sz w:val="20"/>
                <w:szCs w:val="20"/>
                <w:lang w:val="es-ES"/>
              </w:rPr>
              <w:t>Renovar Decisión</w:t>
            </w:r>
            <w:r w:rsidR="00BE6E08" w:rsidRPr="009F1388">
              <w:rPr>
                <w:rFonts w:eastAsia="Times New Roman" w:cs="Arial"/>
                <w:color w:val="000000"/>
                <w:sz w:val="20"/>
                <w:szCs w:val="20"/>
                <w:lang w:val="es-ES"/>
              </w:rPr>
              <w:t>.</w:t>
            </w:r>
          </w:p>
          <w:p w:rsidR="00BE6E08" w:rsidRPr="009F1388" w:rsidRDefault="00BE6E08" w:rsidP="00BE6E08">
            <w:pPr>
              <w:spacing w:after="0" w:line="240" w:lineRule="auto"/>
              <w:jc w:val="both"/>
              <w:rPr>
                <w:rFonts w:eastAsia="Times New Roman" w:cs="Arial"/>
                <w:color w:val="000000"/>
                <w:sz w:val="20"/>
                <w:szCs w:val="20"/>
                <w:lang w:val="es-ES"/>
              </w:rPr>
            </w:pPr>
          </w:p>
          <w:p w:rsidR="00BE6E08" w:rsidRPr="009F1388" w:rsidRDefault="00A914C6" w:rsidP="00BE6E08">
            <w:pPr>
              <w:spacing w:after="0" w:line="240" w:lineRule="auto"/>
              <w:jc w:val="both"/>
              <w:rPr>
                <w:rFonts w:eastAsia="Times New Roman" w:cs="Arial"/>
                <w:color w:val="000000"/>
                <w:sz w:val="20"/>
                <w:szCs w:val="20"/>
                <w:lang w:val="es-ES"/>
              </w:rPr>
            </w:pPr>
            <w:r w:rsidRPr="009F1388">
              <w:rPr>
                <w:rFonts w:eastAsia="Times New Roman" w:cs="Arial"/>
                <w:color w:val="000000"/>
                <w:sz w:val="20"/>
                <w:szCs w:val="20"/>
                <w:lang w:val="es-ES"/>
              </w:rPr>
              <w:t>Conforme a la disponibilidad de recursos, se podrá realizar un análisis más detallado de la contribución de la familia de la CMS para lograr los ODS, en correspondencia con la evaluación final de la aplicación del PEEM que se espera llevar a cabo en 2023</w:t>
            </w:r>
            <w:r w:rsidR="00BE6E08" w:rsidRPr="009F1388">
              <w:rPr>
                <w:rFonts w:eastAsia="Times New Roman" w:cs="Arial"/>
                <w:color w:val="000000"/>
                <w:sz w:val="20"/>
                <w:szCs w:val="20"/>
                <w:lang w:val="es-ES"/>
              </w:rPr>
              <w:t>.</w:t>
            </w:r>
          </w:p>
        </w:tc>
      </w:tr>
      <w:tr w:rsidR="00BE6E08" w:rsidRPr="00046151" w:rsidTr="000418F2">
        <w:trPr>
          <w:trHeight w:val="1830"/>
        </w:trPr>
        <w:tc>
          <w:tcPr>
            <w:tcW w:w="828"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rPr>
                <w:rFonts w:eastAsia="Times New Roman" w:cs="Arial"/>
                <w:b/>
                <w:bCs/>
                <w:sz w:val="20"/>
                <w:szCs w:val="20"/>
                <w:lang w:val="es-ES"/>
              </w:rPr>
            </w:pPr>
          </w:p>
        </w:tc>
        <w:tc>
          <w:tcPr>
            <w:tcW w:w="1582"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rPr>
                <w:rFonts w:eastAsia="Times New Roman" w:cs="Arial"/>
                <w:b/>
                <w:bCs/>
                <w:sz w:val="20"/>
                <w:szCs w:val="20"/>
                <w:lang w:val="es-ES"/>
              </w:rPr>
            </w:pPr>
          </w:p>
        </w:tc>
        <w:tc>
          <w:tcPr>
            <w:tcW w:w="1701"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rPr>
                <w:rFonts w:eastAsia="Times New Roman" w:cs="Arial"/>
                <w:sz w:val="20"/>
                <w:szCs w:val="20"/>
                <w:lang w:val="es-ES"/>
              </w:rPr>
            </w:pPr>
          </w:p>
        </w:tc>
        <w:tc>
          <w:tcPr>
            <w:tcW w:w="4820" w:type="dxa"/>
            <w:tcBorders>
              <w:top w:val="nil"/>
              <w:left w:val="nil"/>
              <w:bottom w:val="single" w:sz="4" w:space="0" w:color="auto"/>
              <w:right w:val="single" w:sz="4" w:space="0" w:color="auto"/>
            </w:tcBorders>
            <w:shd w:val="clear" w:color="000000" w:fill="FFFFFF"/>
            <w:hideMark/>
          </w:tcPr>
          <w:p w:rsidR="00BE6E08" w:rsidRPr="009F1388" w:rsidRDefault="002A66D1" w:rsidP="00BE6E08">
            <w:pPr>
              <w:spacing w:after="0" w:line="240" w:lineRule="auto"/>
              <w:jc w:val="both"/>
              <w:rPr>
                <w:rFonts w:eastAsia="Times New Roman" w:cs="Arial"/>
                <w:color w:val="000000"/>
                <w:sz w:val="20"/>
                <w:szCs w:val="20"/>
                <w:lang w:val="es-ES"/>
              </w:rPr>
            </w:pPr>
            <w:r w:rsidRPr="009F1388">
              <w:rPr>
                <w:rFonts w:eastAsia="Times New Roman" w:cs="Arial"/>
                <w:color w:val="000000"/>
                <w:sz w:val="20"/>
                <w:szCs w:val="20"/>
                <w:lang w:val="es-ES"/>
              </w:rPr>
              <w:t>c)</w:t>
            </w:r>
            <w:r w:rsidRPr="009F1388">
              <w:rPr>
                <w:rFonts w:eastAsia="Times New Roman" w:cs="Arial"/>
                <w:color w:val="000000"/>
                <w:sz w:val="20"/>
                <w:szCs w:val="20"/>
                <w:lang w:val="es-ES"/>
              </w:rPr>
              <w:tab/>
              <w:t>Realizar un informe sobre las contribuciones de la familia de la CMS a la consecución de los Objetivos de Desarrollo Sostenible, utilizando la información recabada de los informes nacionales y de otras fuentes</w:t>
            </w:r>
            <w:r w:rsidR="00BE6E08" w:rsidRPr="009F1388">
              <w:rPr>
                <w:rFonts w:eastAsia="Times New Roman" w:cs="Arial"/>
                <w:color w:val="000000"/>
                <w:sz w:val="20"/>
                <w:szCs w:val="20"/>
                <w:lang w:val="es-ES"/>
              </w:rPr>
              <w:t>;</w:t>
            </w:r>
          </w:p>
        </w:tc>
        <w:tc>
          <w:tcPr>
            <w:tcW w:w="3827"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jc w:val="both"/>
              <w:rPr>
                <w:rFonts w:eastAsia="Times New Roman" w:cs="Arial"/>
                <w:color w:val="000000"/>
                <w:sz w:val="20"/>
                <w:szCs w:val="20"/>
                <w:lang w:val="es-ES"/>
              </w:rPr>
            </w:pPr>
          </w:p>
        </w:tc>
        <w:tc>
          <w:tcPr>
            <w:tcW w:w="1822"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jc w:val="both"/>
              <w:rPr>
                <w:rFonts w:eastAsia="Times New Roman" w:cs="Arial"/>
                <w:color w:val="000000"/>
                <w:sz w:val="20"/>
                <w:szCs w:val="20"/>
                <w:lang w:val="es-ES"/>
              </w:rPr>
            </w:pPr>
          </w:p>
        </w:tc>
      </w:tr>
      <w:tr w:rsidR="00BE6E08" w:rsidRPr="00046151" w:rsidTr="000418F2">
        <w:trPr>
          <w:trHeight w:val="915"/>
        </w:trPr>
        <w:tc>
          <w:tcPr>
            <w:tcW w:w="828"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rPr>
                <w:rFonts w:eastAsia="Times New Roman" w:cs="Arial"/>
                <w:b/>
                <w:bCs/>
                <w:sz w:val="20"/>
                <w:szCs w:val="20"/>
                <w:lang w:val="es-ES"/>
              </w:rPr>
            </w:pPr>
          </w:p>
        </w:tc>
        <w:tc>
          <w:tcPr>
            <w:tcW w:w="1582"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rPr>
                <w:rFonts w:eastAsia="Times New Roman" w:cs="Arial"/>
                <w:b/>
                <w:bCs/>
                <w:sz w:val="20"/>
                <w:szCs w:val="20"/>
                <w:lang w:val="es-ES"/>
              </w:rPr>
            </w:pPr>
          </w:p>
        </w:tc>
        <w:tc>
          <w:tcPr>
            <w:tcW w:w="1701"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rPr>
                <w:rFonts w:eastAsia="Times New Roman" w:cs="Arial"/>
                <w:sz w:val="20"/>
                <w:szCs w:val="20"/>
                <w:lang w:val="es-ES"/>
              </w:rPr>
            </w:pPr>
          </w:p>
        </w:tc>
        <w:tc>
          <w:tcPr>
            <w:tcW w:w="4820" w:type="dxa"/>
            <w:tcBorders>
              <w:top w:val="nil"/>
              <w:left w:val="nil"/>
              <w:bottom w:val="single" w:sz="4" w:space="0" w:color="auto"/>
              <w:right w:val="single" w:sz="4" w:space="0" w:color="auto"/>
            </w:tcBorders>
            <w:shd w:val="clear" w:color="000000" w:fill="FFFFFF"/>
            <w:hideMark/>
          </w:tcPr>
          <w:p w:rsidR="00BE6E08" w:rsidRPr="009F1388" w:rsidRDefault="00BE6E08" w:rsidP="00BE6E08">
            <w:pPr>
              <w:spacing w:after="0" w:line="240" w:lineRule="auto"/>
              <w:jc w:val="both"/>
              <w:rPr>
                <w:rFonts w:eastAsia="Times New Roman" w:cs="Arial"/>
                <w:color w:val="000000"/>
                <w:sz w:val="20"/>
                <w:szCs w:val="20"/>
                <w:lang w:val="es-ES"/>
              </w:rPr>
            </w:pPr>
            <w:r w:rsidRPr="009F1388">
              <w:rPr>
                <w:rFonts w:eastAsia="Times New Roman" w:cs="Arial"/>
                <w:color w:val="000000"/>
                <w:sz w:val="20"/>
                <w:szCs w:val="20"/>
                <w:lang w:val="es-ES"/>
              </w:rPr>
              <w:t xml:space="preserve"> </w:t>
            </w:r>
            <w:r w:rsidR="002A66D1" w:rsidRPr="009F1388">
              <w:rPr>
                <w:rFonts w:eastAsia="Times New Roman" w:cs="Arial"/>
                <w:color w:val="000000"/>
                <w:sz w:val="20"/>
                <w:szCs w:val="20"/>
                <w:lang w:val="es-ES"/>
              </w:rPr>
              <w:t>d)</w:t>
            </w:r>
            <w:r w:rsidR="002A66D1" w:rsidRPr="009F1388">
              <w:rPr>
                <w:rFonts w:eastAsia="Times New Roman" w:cs="Arial"/>
                <w:color w:val="000000"/>
                <w:sz w:val="20"/>
                <w:szCs w:val="20"/>
                <w:lang w:val="es-ES"/>
              </w:rPr>
              <w:tab/>
              <w:t>Tener en cuenta la necesidad de evaluar la contribución a la consecución de los Objetivos de Desarrollo Sostenible mediante la aplicación de la CMS, al elaborar propuestas para la revisión del modelo de informe nacional</w:t>
            </w:r>
            <w:r w:rsidRPr="009F1388">
              <w:rPr>
                <w:rFonts w:eastAsia="Times New Roman" w:cs="Arial"/>
                <w:color w:val="000000"/>
                <w:sz w:val="20"/>
                <w:szCs w:val="20"/>
                <w:lang w:val="es-ES"/>
              </w:rPr>
              <w:t>;</w:t>
            </w:r>
          </w:p>
        </w:tc>
        <w:tc>
          <w:tcPr>
            <w:tcW w:w="3827"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jc w:val="both"/>
              <w:rPr>
                <w:rFonts w:eastAsia="Times New Roman" w:cs="Arial"/>
                <w:color w:val="000000"/>
                <w:sz w:val="20"/>
                <w:szCs w:val="20"/>
                <w:lang w:val="es-ES"/>
              </w:rPr>
            </w:pPr>
          </w:p>
        </w:tc>
        <w:tc>
          <w:tcPr>
            <w:tcW w:w="1822"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jc w:val="both"/>
              <w:rPr>
                <w:rFonts w:eastAsia="Times New Roman" w:cs="Arial"/>
                <w:color w:val="000000"/>
                <w:sz w:val="20"/>
                <w:szCs w:val="20"/>
                <w:lang w:val="es-ES"/>
              </w:rPr>
            </w:pPr>
          </w:p>
        </w:tc>
      </w:tr>
      <w:tr w:rsidR="00BE6E08" w:rsidRPr="009F1388" w:rsidTr="000418F2">
        <w:trPr>
          <w:trHeight w:val="720"/>
        </w:trPr>
        <w:tc>
          <w:tcPr>
            <w:tcW w:w="828" w:type="dxa"/>
            <w:tcBorders>
              <w:top w:val="nil"/>
              <w:left w:val="single" w:sz="4" w:space="0" w:color="auto"/>
              <w:bottom w:val="single" w:sz="4" w:space="0" w:color="auto"/>
              <w:right w:val="single" w:sz="4" w:space="0" w:color="auto"/>
            </w:tcBorders>
            <w:shd w:val="clear" w:color="auto" w:fill="auto"/>
            <w:hideMark/>
          </w:tcPr>
          <w:p w:rsidR="00BE6E08" w:rsidRPr="009F1388" w:rsidRDefault="00BE6E08" w:rsidP="00BE6E08">
            <w:pPr>
              <w:spacing w:after="0" w:line="240" w:lineRule="auto"/>
              <w:jc w:val="center"/>
              <w:rPr>
                <w:rFonts w:eastAsia="Times New Roman" w:cs="Arial"/>
                <w:b/>
                <w:bCs/>
                <w:sz w:val="20"/>
                <w:szCs w:val="20"/>
                <w:lang w:val="es-ES"/>
              </w:rPr>
            </w:pPr>
            <w:r w:rsidRPr="009F1388">
              <w:rPr>
                <w:rFonts w:eastAsia="Times New Roman" w:cs="Arial"/>
                <w:b/>
                <w:bCs/>
                <w:sz w:val="20"/>
                <w:szCs w:val="20"/>
                <w:lang w:val="es-ES"/>
              </w:rPr>
              <w:t>12.106</w:t>
            </w:r>
          </w:p>
        </w:tc>
        <w:tc>
          <w:tcPr>
            <w:tcW w:w="1582" w:type="dxa"/>
            <w:vMerge w:val="restart"/>
            <w:tcBorders>
              <w:top w:val="nil"/>
              <w:left w:val="single" w:sz="4" w:space="0" w:color="auto"/>
              <w:bottom w:val="single" w:sz="4" w:space="0" w:color="auto"/>
              <w:right w:val="single" w:sz="4" w:space="0" w:color="auto"/>
            </w:tcBorders>
            <w:shd w:val="clear" w:color="auto" w:fill="auto"/>
            <w:hideMark/>
          </w:tcPr>
          <w:p w:rsidR="00BE6E08" w:rsidRPr="009F1388" w:rsidRDefault="002A66D1" w:rsidP="00BE6E08">
            <w:pPr>
              <w:spacing w:after="0" w:line="240" w:lineRule="auto"/>
              <w:rPr>
                <w:rFonts w:eastAsia="Times New Roman" w:cs="Arial"/>
                <w:b/>
                <w:bCs/>
                <w:sz w:val="20"/>
                <w:szCs w:val="20"/>
                <w:lang w:val="es-ES"/>
              </w:rPr>
            </w:pPr>
            <w:r w:rsidRPr="009F1388">
              <w:rPr>
                <w:rFonts w:eastAsia="Times New Roman" w:cs="Arial"/>
                <w:b/>
                <w:bCs/>
                <w:sz w:val="20"/>
                <w:szCs w:val="20"/>
                <w:lang w:val="es-ES"/>
              </w:rPr>
              <w:t>Disposiciones para acoger la 13ª reunión de la Conferencia de las Partes</w:t>
            </w:r>
          </w:p>
        </w:tc>
        <w:tc>
          <w:tcPr>
            <w:tcW w:w="1701" w:type="dxa"/>
            <w:tcBorders>
              <w:top w:val="nil"/>
              <w:left w:val="nil"/>
              <w:bottom w:val="single" w:sz="4" w:space="0" w:color="auto"/>
              <w:right w:val="single" w:sz="4" w:space="0" w:color="auto"/>
            </w:tcBorders>
            <w:shd w:val="clear" w:color="auto" w:fill="auto"/>
            <w:hideMark/>
          </w:tcPr>
          <w:p w:rsidR="00BE6E08" w:rsidRPr="009F1388" w:rsidRDefault="002A66D1" w:rsidP="00BE6E08">
            <w:pPr>
              <w:spacing w:after="0" w:line="240" w:lineRule="auto"/>
              <w:rPr>
                <w:rFonts w:eastAsia="Times New Roman" w:cs="Arial"/>
                <w:sz w:val="20"/>
                <w:szCs w:val="20"/>
                <w:lang w:val="es-ES"/>
              </w:rPr>
            </w:pPr>
            <w:r w:rsidRPr="009F1388">
              <w:rPr>
                <w:rFonts w:eastAsia="Times New Roman" w:cs="Arial"/>
                <w:sz w:val="20"/>
                <w:szCs w:val="20"/>
                <w:lang w:val="es-ES"/>
              </w:rPr>
              <w:t>Dirigido a las Partes</w:t>
            </w:r>
          </w:p>
        </w:tc>
        <w:tc>
          <w:tcPr>
            <w:tcW w:w="4820" w:type="dxa"/>
            <w:tcBorders>
              <w:top w:val="nil"/>
              <w:left w:val="nil"/>
              <w:bottom w:val="single" w:sz="4" w:space="0" w:color="auto"/>
              <w:right w:val="single" w:sz="4" w:space="0" w:color="auto"/>
            </w:tcBorders>
            <w:shd w:val="clear" w:color="auto" w:fill="auto"/>
            <w:hideMark/>
          </w:tcPr>
          <w:p w:rsidR="00BE6E08" w:rsidRPr="009F1388" w:rsidRDefault="002A66D1" w:rsidP="00BE6E08">
            <w:pPr>
              <w:spacing w:after="0" w:line="240" w:lineRule="auto"/>
              <w:jc w:val="both"/>
              <w:rPr>
                <w:rFonts w:eastAsia="Times New Roman" w:cs="Arial"/>
                <w:color w:val="000000"/>
                <w:sz w:val="20"/>
                <w:szCs w:val="20"/>
                <w:lang w:val="es-ES"/>
              </w:rPr>
            </w:pPr>
            <w:r w:rsidRPr="009F1388">
              <w:rPr>
                <w:rFonts w:eastAsia="Times New Roman" w:cs="Arial"/>
                <w:color w:val="000000"/>
                <w:sz w:val="20"/>
                <w:szCs w:val="20"/>
                <w:lang w:val="es-ES"/>
              </w:rPr>
              <w:t>Las Partes deciden aceptar la oferta del Gobierno de India de acoger la 13ª reunión de la Conferencia de las Partes en el 2020</w:t>
            </w:r>
            <w:r w:rsidR="00BE6E08" w:rsidRPr="009F1388">
              <w:rPr>
                <w:rFonts w:eastAsia="Times New Roman" w:cs="Arial"/>
                <w:color w:val="000000"/>
                <w:sz w:val="20"/>
                <w:szCs w:val="20"/>
                <w:lang w:val="es-ES"/>
              </w:rPr>
              <w:t>.</w:t>
            </w:r>
          </w:p>
        </w:tc>
        <w:tc>
          <w:tcPr>
            <w:tcW w:w="3827" w:type="dxa"/>
            <w:tcBorders>
              <w:top w:val="nil"/>
              <w:left w:val="nil"/>
              <w:bottom w:val="single" w:sz="4" w:space="0" w:color="auto"/>
              <w:right w:val="single" w:sz="4" w:space="0" w:color="auto"/>
            </w:tcBorders>
            <w:shd w:val="clear" w:color="auto" w:fill="auto"/>
            <w:vAlign w:val="center"/>
            <w:hideMark/>
          </w:tcPr>
          <w:p w:rsidR="00BE6E08" w:rsidRPr="009F1388" w:rsidRDefault="00A914C6" w:rsidP="00BE6E08">
            <w:pPr>
              <w:spacing w:after="0" w:line="240" w:lineRule="auto"/>
              <w:jc w:val="both"/>
              <w:rPr>
                <w:rFonts w:eastAsia="Times New Roman" w:cs="Arial"/>
                <w:color w:val="000000"/>
                <w:sz w:val="20"/>
                <w:szCs w:val="20"/>
                <w:lang w:val="es-ES"/>
              </w:rPr>
            </w:pPr>
            <w:r w:rsidRPr="009F1388">
              <w:rPr>
                <w:rFonts w:eastAsia="Times New Roman" w:cs="Arial"/>
                <w:color w:val="000000"/>
                <w:sz w:val="20"/>
                <w:szCs w:val="20"/>
                <w:lang w:val="es-ES"/>
              </w:rPr>
              <w:t>Completado</w:t>
            </w:r>
          </w:p>
        </w:tc>
        <w:tc>
          <w:tcPr>
            <w:tcW w:w="1822" w:type="dxa"/>
            <w:tcBorders>
              <w:top w:val="nil"/>
              <w:left w:val="nil"/>
              <w:bottom w:val="single" w:sz="4" w:space="0" w:color="auto"/>
              <w:right w:val="single" w:sz="4" w:space="0" w:color="auto"/>
            </w:tcBorders>
            <w:shd w:val="clear" w:color="auto" w:fill="auto"/>
            <w:vAlign w:val="center"/>
            <w:hideMark/>
          </w:tcPr>
          <w:p w:rsidR="00BE6E08" w:rsidRPr="009F1388" w:rsidRDefault="002D4071" w:rsidP="00BE6E08">
            <w:pPr>
              <w:spacing w:after="0" w:line="240" w:lineRule="auto"/>
              <w:jc w:val="both"/>
              <w:rPr>
                <w:rFonts w:eastAsia="Times New Roman" w:cs="Arial"/>
                <w:color w:val="000000"/>
                <w:sz w:val="20"/>
                <w:szCs w:val="20"/>
                <w:lang w:val="es-ES"/>
              </w:rPr>
            </w:pPr>
            <w:r w:rsidRPr="009F1388">
              <w:rPr>
                <w:rFonts w:eastAsia="Times New Roman" w:cs="Arial"/>
                <w:color w:val="000000"/>
                <w:sz w:val="20"/>
                <w:szCs w:val="20"/>
                <w:lang w:val="es-ES"/>
              </w:rPr>
              <w:t>Eliminar Decisión</w:t>
            </w:r>
          </w:p>
        </w:tc>
      </w:tr>
      <w:tr w:rsidR="00BE6E08" w:rsidRPr="009F1388" w:rsidTr="000418F2">
        <w:trPr>
          <w:trHeight w:val="1185"/>
        </w:trPr>
        <w:tc>
          <w:tcPr>
            <w:tcW w:w="828" w:type="dxa"/>
            <w:tcBorders>
              <w:top w:val="nil"/>
              <w:left w:val="single" w:sz="4" w:space="0" w:color="auto"/>
              <w:bottom w:val="single" w:sz="4" w:space="0" w:color="auto"/>
              <w:right w:val="single" w:sz="4" w:space="0" w:color="auto"/>
            </w:tcBorders>
            <w:shd w:val="clear" w:color="auto" w:fill="auto"/>
            <w:hideMark/>
          </w:tcPr>
          <w:p w:rsidR="00BE6E08" w:rsidRPr="009F1388" w:rsidRDefault="00BE6E08" w:rsidP="00BE6E08">
            <w:pPr>
              <w:spacing w:after="0" w:line="240" w:lineRule="auto"/>
              <w:jc w:val="center"/>
              <w:rPr>
                <w:rFonts w:eastAsia="Times New Roman" w:cs="Arial"/>
                <w:b/>
                <w:bCs/>
                <w:sz w:val="20"/>
                <w:szCs w:val="20"/>
                <w:lang w:val="es-ES"/>
              </w:rPr>
            </w:pPr>
            <w:r w:rsidRPr="009F1388">
              <w:rPr>
                <w:rFonts w:eastAsia="Times New Roman" w:cs="Arial"/>
                <w:b/>
                <w:bCs/>
                <w:sz w:val="20"/>
                <w:szCs w:val="20"/>
                <w:lang w:val="es-ES"/>
              </w:rPr>
              <w:t>12.107</w:t>
            </w:r>
          </w:p>
        </w:tc>
        <w:tc>
          <w:tcPr>
            <w:tcW w:w="1582" w:type="dxa"/>
            <w:vMerge/>
            <w:tcBorders>
              <w:top w:val="nil"/>
              <w:left w:val="single" w:sz="4" w:space="0" w:color="auto"/>
              <w:bottom w:val="single" w:sz="4" w:space="0" w:color="auto"/>
              <w:right w:val="single" w:sz="4" w:space="0" w:color="auto"/>
            </w:tcBorders>
            <w:vAlign w:val="center"/>
            <w:hideMark/>
          </w:tcPr>
          <w:p w:rsidR="00BE6E08" w:rsidRPr="009F1388" w:rsidRDefault="00BE6E08" w:rsidP="00BE6E08">
            <w:pPr>
              <w:spacing w:after="0" w:line="240" w:lineRule="auto"/>
              <w:rPr>
                <w:rFonts w:eastAsia="Times New Roman" w:cs="Arial"/>
                <w:b/>
                <w:bCs/>
                <w:sz w:val="20"/>
                <w:szCs w:val="20"/>
                <w:lang w:val="es-ES"/>
              </w:rPr>
            </w:pPr>
          </w:p>
        </w:tc>
        <w:tc>
          <w:tcPr>
            <w:tcW w:w="1701" w:type="dxa"/>
            <w:tcBorders>
              <w:top w:val="nil"/>
              <w:left w:val="nil"/>
              <w:bottom w:val="single" w:sz="4" w:space="0" w:color="auto"/>
              <w:right w:val="single" w:sz="4" w:space="0" w:color="auto"/>
            </w:tcBorders>
            <w:shd w:val="clear" w:color="auto" w:fill="auto"/>
            <w:hideMark/>
          </w:tcPr>
          <w:p w:rsidR="00BE6E08" w:rsidRPr="009F1388" w:rsidRDefault="002A66D1" w:rsidP="00BE6E08">
            <w:pPr>
              <w:spacing w:after="0" w:line="240" w:lineRule="auto"/>
              <w:rPr>
                <w:rFonts w:eastAsia="Times New Roman" w:cs="Arial"/>
                <w:sz w:val="20"/>
                <w:szCs w:val="20"/>
                <w:lang w:val="es-ES"/>
              </w:rPr>
            </w:pPr>
            <w:r w:rsidRPr="009F1388">
              <w:rPr>
                <w:rFonts w:eastAsia="Times New Roman" w:cs="Arial"/>
                <w:sz w:val="20"/>
                <w:szCs w:val="20"/>
                <w:lang w:val="es-ES"/>
              </w:rPr>
              <w:t>Dirigido al Comité Permanente</w:t>
            </w:r>
          </w:p>
        </w:tc>
        <w:tc>
          <w:tcPr>
            <w:tcW w:w="4820" w:type="dxa"/>
            <w:tcBorders>
              <w:top w:val="nil"/>
              <w:left w:val="nil"/>
              <w:bottom w:val="single" w:sz="4" w:space="0" w:color="auto"/>
              <w:right w:val="single" w:sz="4" w:space="0" w:color="auto"/>
            </w:tcBorders>
            <w:shd w:val="clear" w:color="auto" w:fill="auto"/>
            <w:hideMark/>
          </w:tcPr>
          <w:p w:rsidR="00BE6E08" w:rsidRPr="009F1388" w:rsidRDefault="002A66D1" w:rsidP="00BE6E08">
            <w:pPr>
              <w:spacing w:after="0" w:line="240" w:lineRule="auto"/>
              <w:jc w:val="both"/>
              <w:rPr>
                <w:rFonts w:eastAsia="Times New Roman" w:cs="Arial"/>
                <w:color w:val="000000"/>
                <w:sz w:val="20"/>
                <w:szCs w:val="20"/>
                <w:lang w:val="es-ES"/>
              </w:rPr>
            </w:pPr>
            <w:r w:rsidRPr="009F1388">
              <w:rPr>
                <w:rFonts w:eastAsia="Times New Roman" w:cs="Arial"/>
                <w:color w:val="000000"/>
                <w:sz w:val="20"/>
                <w:szCs w:val="20"/>
                <w:lang w:val="es-ES"/>
              </w:rPr>
              <w:t>El Comité Permanente deberá colaborar con el gobierno anfitrión y la Secretaría para avanzar en la planificación de la 13ª reunión de la Conferencia de las Partes que será acogida por el gobierno de la India en el 2020.</w:t>
            </w:r>
            <w:r w:rsidR="00BE6E08" w:rsidRPr="009F1388">
              <w:rPr>
                <w:rFonts w:eastAsia="Times New Roman" w:cs="Arial"/>
                <w:color w:val="000000"/>
                <w:sz w:val="20"/>
                <w:szCs w:val="20"/>
                <w:lang w:val="es-ES"/>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BE6E08" w:rsidRPr="009F1388" w:rsidRDefault="00A914C6" w:rsidP="00BE6E08">
            <w:pPr>
              <w:spacing w:after="0" w:line="240" w:lineRule="auto"/>
              <w:jc w:val="both"/>
              <w:rPr>
                <w:rFonts w:eastAsia="Times New Roman" w:cs="Arial"/>
                <w:color w:val="000000"/>
                <w:sz w:val="20"/>
                <w:szCs w:val="20"/>
                <w:lang w:val="es-ES"/>
              </w:rPr>
            </w:pPr>
            <w:r w:rsidRPr="009F1388">
              <w:rPr>
                <w:rFonts w:eastAsia="Times New Roman" w:cs="Arial"/>
                <w:color w:val="000000"/>
                <w:sz w:val="20"/>
                <w:szCs w:val="20"/>
                <w:lang w:val="es-ES"/>
              </w:rPr>
              <w:t>Completado</w:t>
            </w:r>
          </w:p>
        </w:tc>
        <w:tc>
          <w:tcPr>
            <w:tcW w:w="1822" w:type="dxa"/>
            <w:tcBorders>
              <w:top w:val="nil"/>
              <w:left w:val="nil"/>
              <w:bottom w:val="single" w:sz="4" w:space="0" w:color="auto"/>
              <w:right w:val="single" w:sz="4" w:space="0" w:color="auto"/>
            </w:tcBorders>
            <w:shd w:val="clear" w:color="auto" w:fill="auto"/>
            <w:vAlign w:val="center"/>
            <w:hideMark/>
          </w:tcPr>
          <w:p w:rsidR="00BE6E08" w:rsidRPr="009F1388" w:rsidRDefault="002D4071" w:rsidP="00BE6E08">
            <w:pPr>
              <w:spacing w:after="0" w:line="240" w:lineRule="auto"/>
              <w:jc w:val="both"/>
              <w:rPr>
                <w:rFonts w:eastAsia="Times New Roman" w:cs="Arial"/>
                <w:color w:val="000000"/>
                <w:sz w:val="20"/>
                <w:szCs w:val="20"/>
                <w:lang w:val="es-ES"/>
              </w:rPr>
            </w:pPr>
            <w:r w:rsidRPr="009F1388">
              <w:rPr>
                <w:rFonts w:eastAsia="Times New Roman" w:cs="Arial"/>
                <w:color w:val="000000"/>
                <w:sz w:val="20"/>
                <w:szCs w:val="20"/>
                <w:lang w:val="es-ES"/>
              </w:rPr>
              <w:t>Eliminar Decisión</w:t>
            </w:r>
          </w:p>
        </w:tc>
      </w:tr>
    </w:tbl>
    <w:p w:rsidR="00BE6E08" w:rsidRPr="009F1388" w:rsidRDefault="00BE6E08" w:rsidP="00B40E07">
      <w:pPr>
        <w:pStyle w:val="Firstnumbering1"/>
        <w:numPr>
          <w:ilvl w:val="0"/>
          <w:numId w:val="0"/>
        </w:numPr>
        <w:ind w:left="567"/>
      </w:pPr>
    </w:p>
    <w:sectPr w:rsidR="00BE6E08" w:rsidRPr="009F1388" w:rsidSect="00BE6E08">
      <w:headerReference w:type="even" r:id="rId15"/>
      <w:footerReference w:type="even" r:id="rId16"/>
      <w:footerReference w:type="default" r:id="rId17"/>
      <w:headerReference w:type="first" r:id="rId18"/>
      <w:footerReference w:type="first" r:id="rId19"/>
      <w:pgSz w:w="16838" w:h="11906"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589275"/>
      <w:docPartObj>
        <w:docPartGallery w:val="Page Numbers (Bottom of Page)"/>
        <w:docPartUnique/>
      </w:docPartObj>
    </w:sdtPr>
    <w:sdtEndPr>
      <w:rPr>
        <w:noProof/>
        <w:sz w:val="18"/>
        <w:szCs w:val="18"/>
      </w:rPr>
    </w:sdtEndPr>
    <w:sdtContent>
      <w:p w:rsidR="000418F2" w:rsidRPr="000418F2" w:rsidRDefault="000418F2">
        <w:pPr>
          <w:pStyle w:val="Footer"/>
          <w:jc w:val="center"/>
          <w:rPr>
            <w:sz w:val="18"/>
            <w:szCs w:val="18"/>
          </w:rPr>
        </w:pPr>
        <w:r w:rsidRPr="000418F2">
          <w:rPr>
            <w:sz w:val="18"/>
            <w:szCs w:val="18"/>
          </w:rPr>
          <w:fldChar w:fldCharType="begin"/>
        </w:r>
        <w:r w:rsidRPr="000418F2">
          <w:rPr>
            <w:sz w:val="18"/>
            <w:szCs w:val="18"/>
          </w:rPr>
          <w:instrText xml:space="preserve"> PAGE   \* MERGEFORMAT </w:instrText>
        </w:r>
        <w:r w:rsidRPr="000418F2">
          <w:rPr>
            <w:sz w:val="18"/>
            <w:szCs w:val="18"/>
          </w:rPr>
          <w:fldChar w:fldCharType="separate"/>
        </w:r>
        <w:r w:rsidRPr="000418F2">
          <w:rPr>
            <w:noProof/>
            <w:sz w:val="18"/>
            <w:szCs w:val="18"/>
          </w:rPr>
          <w:t>2</w:t>
        </w:r>
        <w:r w:rsidRPr="000418F2">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8F2" w:rsidRDefault="00041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8F2" w:rsidRPr="000418F2" w:rsidRDefault="000418F2">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72113"/>
      <w:docPartObj>
        <w:docPartGallery w:val="Page Numbers (Bottom of Page)"/>
        <w:docPartUnique/>
      </w:docPartObj>
    </w:sdtPr>
    <w:sdtEndPr>
      <w:rPr>
        <w:noProof/>
        <w:sz w:val="18"/>
        <w:szCs w:val="18"/>
      </w:rPr>
    </w:sdtEndPr>
    <w:sdtContent>
      <w:p w:rsidR="000418F2" w:rsidRPr="000418F2" w:rsidRDefault="000418F2">
        <w:pPr>
          <w:pStyle w:val="Footer"/>
          <w:jc w:val="center"/>
          <w:rPr>
            <w:sz w:val="18"/>
            <w:szCs w:val="18"/>
          </w:rPr>
        </w:pPr>
        <w:r w:rsidRPr="000418F2">
          <w:rPr>
            <w:sz w:val="18"/>
            <w:szCs w:val="18"/>
          </w:rPr>
          <w:fldChar w:fldCharType="begin"/>
        </w:r>
        <w:r w:rsidRPr="000418F2">
          <w:rPr>
            <w:sz w:val="18"/>
            <w:szCs w:val="18"/>
          </w:rPr>
          <w:instrText xml:space="preserve"> PAGE   \* MERGEFORMAT </w:instrText>
        </w:r>
        <w:r w:rsidRPr="000418F2">
          <w:rPr>
            <w:sz w:val="18"/>
            <w:szCs w:val="18"/>
          </w:rPr>
          <w:fldChar w:fldCharType="separate"/>
        </w:r>
        <w:r w:rsidRPr="000418F2">
          <w:rPr>
            <w:noProof/>
            <w:sz w:val="18"/>
            <w:szCs w:val="18"/>
          </w:rPr>
          <w:t>2</w:t>
        </w:r>
        <w:r w:rsidRPr="000418F2">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129836"/>
      <w:docPartObj>
        <w:docPartGallery w:val="Page Numbers (Bottom of Page)"/>
        <w:docPartUnique/>
      </w:docPartObj>
    </w:sdtPr>
    <w:sdtEndPr>
      <w:rPr>
        <w:noProof/>
        <w:sz w:val="18"/>
        <w:szCs w:val="18"/>
      </w:rPr>
    </w:sdtEndPr>
    <w:sdtContent>
      <w:p w:rsidR="000418F2" w:rsidRPr="000418F2" w:rsidRDefault="000418F2">
        <w:pPr>
          <w:pStyle w:val="Footer"/>
          <w:jc w:val="center"/>
          <w:rPr>
            <w:sz w:val="18"/>
            <w:szCs w:val="18"/>
          </w:rPr>
        </w:pPr>
        <w:r w:rsidRPr="000418F2">
          <w:rPr>
            <w:sz w:val="18"/>
            <w:szCs w:val="18"/>
          </w:rPr>
          <w:fldChar w:fldCharType="begin"/>
        </w:r>
        <w:r w:rsidRPr="000418F2">
          <w:rPr>
            <w:sz w:val="18"/>
            <w:szCs w:val="18"/>
          </w:rPr>
          <w:instrText xml:space="preserve"> PAGE   \* MERGEFORMAT </w:instrText>
        </w:r>
        <w:r w:rsidRPr="000418F2">
          <w:rPr>
            <w:sz w:val="18"/>
            <w:szCs w:val="18"/>
          </w:rPr>
          <w:fldChar w:fldCharType="separate"/>
        </w:r>
        <w:r w:rsidRPr="000418F2">
          <w:rPr>
            <w:noProof/>
            <w:sz w:val="18"/>
            <w:szCs w:val="18"/>
          </w:rPr>
          <w:t>2</w:t>
        </w:r>
        <w:r w:rsidRPr="000418F2">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86733"/>
      <w:docPartObj>
        <w:docPartGallery w:val="Page Numbers (Bottom of Page)"/>
        <w:docPartUnique/>
      </w:docPartObj>
    </w:sdtPr>
    <w:sdtEndPr>
      <w:rPr>
        <w:noProof/>
        <w:sz w:val="18"/>
        <w:szCs w:val="18"/>
      </w:rPr>
    </w:sdtEndPr>
    <w:sdtContent>
      <w:p w:rsidR="00046151" w:rsidRPr="00046151" w:rsidRDefault="00046151">
        <w:pPr>
          <w:pStyle w:val="Footer"/>
          <w:jc w:val="center"/>
          <w:rPr>
            <w:sz w:val="18"/>
            <w:szCs w:val="18"/>
          </w:rPr>
        </w:pPr>
        <w:r w:rsidRPr="00046151">
          <w:rPr>
            <w:sz w:val="18"/>
            <w:szCs w:val="18"/>
          </w:rPr>
          <w:fldChar w:fldCharType="begin"/>
        </w:r>
        <w:r w:rsidRPr="00046151">
          <w:rPr>
            <w:sz w:val="18"/>
            <w:szCs w:val="18"/>
          </w:rPr>
          <w:instrText xml:space="preserve"> PAGE   \* MERGEFORMAT </w:instrText>
        </w:r>
        <w:r w:rsidRPr="00046151">
          <w:rPr>
            <w:sz w:val="18"/>
            <w:szCs w:val="18"/>
          </w:rPr>
          <w:fldChar w:fldCharType="separate"/>
        </w:r>
        <w:r w:rsidRPr="00046151">
          <w:rPr>
            <w:noProof/>
            <w:sz w:val="18"/>
            <w:szCs w:val="18"/>
          </w:rPr>
          <w:t>2</w:t>
        </w:r>
        <w:r w:rsidRPr="00046151">
          <w:rPr>
            <w:noProof/>
            <w:sz w:val="18"/>
            <w:szCs w:val="18"/>
          </w:rPr>
          <w:fldChar w:fldCharType="end"/>
        </w:r>
      </w:p>
    </w:sdtContent>
  </w:sdt>
  <w:bookmarkStart w:id="1" w:name="_GoBack" w:displacedByCustomXml="prev"/>
  <w:bookmarkEnd w:id="1"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002A97" w:rsidRDefault="00D70275"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BE6E08">
      <w:rPr>
        <w:rFonts w:eastAsia="Times New Roman" w:cs="Arial"/>
        <w:i/>
        <w:sz w:val="18"/>
        <w:szCs w:val="18"/>
        <w:lang w:val="fr-FR" w:eastAsia="es-ES"/>
      </w:rPr>
      <w:t>23.1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8F2" w:rsidRPr="00661875" w:rsidRDefault="000418F2" w:rsidP="000418F2">
    <w:pPr>
      <w:pStyle w:val="Header"/>
      <w:pBdr>
        <w:bottom w:val="single" w:sz="4" w:space="1" w:color="auto"/>
      </w:pBdr>
      <w:jc w:val="right"/>
      <w:rPr>
        <w:rFonts w:cs="Arial"/>
        <w:i/>
        <w:sz w:val="18"/>
        <w:szCs w:val="18"/>
        <w:lang w:val="de-DE"/>
      </w:rPr>
    </w:pPr>
    <w:r w:rsidRPr="00661875">
      <w:rPr>
        <w:rFonts w:cs="Arial"/>
        <w:i/>
        <w:sz w:val="18"/>
        <w:szCs w:val="18"/>
        <w:lang w:val="de-DE"/>
      </w:rPr>
      <w:t>UNEP/CMS/COP13/Doc</w:t>
    </w:r>
    <w:r>
      <w:rPr>
        <w:rFonts w:cs="Arial"/>
        <w:i/>
        <w:sz w:val="18"/>
        <w:szCs w:val="18"/>
        <w:lang w:val="de-DE"/>
      </w:rPr>
      <w:t>.23.1/Anexo</w:t>
    </w:r>
  </w:p>
  <w:p w:rsidR="000418F2" w:rsidRDefault="00041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8F2" w:rsidRPr="00661875" w:rsidRDefault="000418F2" w:rsidP="000418F2">
    <w:pPr>
      <w:pStyle w:val="Header"/>
      <w:pBdr>
        <w:bottom w:val="single" w:sz="4" w:space="1" w:color="auto"/>
      </w:pBdr>
      <w:rPr>
        <w:rFonts w:cs="Arial"/>
        <w:i/>
        <w:sz w:val="18"/>
        <w:szCs w:val="18"/>
        <w:lang w:val="de-DE"/>
      </w:rPr>
    </w:pPr>
    <w:bookmarkStart w:id="0" w:name="_Hlk27059678"/>
    <w:r w:rsidRPr="00661875">
      <w:rPr>
        <w:rFonts w:cs="Arial"/>
        <w:i/>
        <w:sz w:val="18"/>
        <w:szCs w:val="18"/>
        <w:lang w:val="de-DE"/>
      </w:rPr>
      <w:t>UNEP/CMS/COP13/Doc</w:t>
    </w:r>
    <w:r>
      <w:rPr>
        <w:rFonts w:cs="Arial"/>
        <w:i/>
        <w:sz w:val="18"/>
        <w:szCs w:val="18"/>
        <w:lang w:val="de-DE"/>
      </w:rPr>
      <w:t>.23.1/Anexo</w:t>
    </w:r>
  </w:p>
  <w:bookmarkEnd w:id="0"/>
  <w:p w:rsidR="000418F2" w:rsidRPr="000418F2" w:rsidRDefault="000418F2" w:rsidP="000418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E08" w:rsidRPr="00661875" w:rsidRDefault="00BE6E08" w:rsidP="00BE6E08">
    <w:pPr>
      <w:pStyle w:val="Header"/>
      <w:pBdr>
        <w:bottom w:val="single" w:sz="4" w:space="1" w:color="auto"/>
      </w:pBdr>
      <w:jc w:val="right"/>
      <w:rPr>
        <w:rFonts w:cs="Arial"/>
        <w:i/>
        <w:sz w:val="18"/>
        <w:szCs w:val="18"/>
        <w:lang w:val="de-DE"/>
      </w:rPr>
    </w:pPr>
    <w:r w:rsidRPr="00661875">
      <w:rPr>
        <w:rFonts w:cs="Arial"/>
        <w:i/>
        <w:sz w:val="18"/>
        <w:szCs w:val="18"/>
        <w:lang w:val="de-DE"/>
      </w:rPr>
      <w:t>UNEP/CMS/COP13/Doc</w:t>
    </w:r>
    <w:r>
      <w:rPr>
        <w:rFonts w:cs="Arial"/>
        <w:i/>
        <w:sz w:val="18"/>
        <w:szCs w:val="18"/>
        <w:lang w:val="de-DE"/>
      </w:rPr>
      <w:t>.23.1/Anexo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6"/>
  </w:num>
  <w:num w:numId="5">
    <w:abstractNumId w:val="3"/>
  </w:num>
  <w:num w:numId="6">
    <w:abstractNumId w:val="7"/>
  </w:num>
  <w:num w:numId="7">
    <w:abstractNumId w:val="9"/>
  </w:num>
  <w:num w:numId="8">
    <w:abstractNumId w:val="5"/>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418F2"/>
    <w:rsid w:val="000453D3"/>
    <w:rsid w:val="00046151"/>
    <w:rsid w:val="000E192F"/>
    <w:rsid w:val="00127CCF"/>
    <w:rsid w:val="00166A9C"/>
    <w:rsid w:val="00192411"/>
    <w:rsid w:val="0024152C"/>
    <w:rsid w:val="002A66D1"/>
    <w:rsid w:val="002D4071"/>
    <w:rsid w:val="002F7EC2"/>
    <w:rsid w:val="00435D03"/>
    <w:rsid w:val="004C7808"/>
    <w:rsid w:val="005330F7"/>
    <w:rsid w:val="00563598"/>
    <w:rsid w:val="006C5926"/>
    <w:rsid w:val="006F22B0"/>
    <w:rsid w:val="00790422"/>
    <w:rsid w:val="00810C64"/>
    <w:rsid w:val="00943D15"/>
    <w:rsid w:val="009F1388"/>
    <w:rsid w:val="00A914C6"/>
    <w:rsid w:val="00AC09AE"/>
    <w:rsid w:val="00B104EC"/>
    <w:rsid w:val="00B40E07"/>
    <w:rsid w:val="00BC5707"/>
    <w:rsid w:val="00BE6E08"/>
    <w:rsid w:val="00BF7838"/>
    <w:rsid w:val="00C263ED"/>
    <w:rsid w:val="00D70275"/>
    <w:rsid w:val="00E607BD"/>
    <w:rsid w:val="00E77A9F"/>
    <w:rsid w:val="00E81B4A"/>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364144">
      <w:bodyDiv w:val="1"/>
      <w:marLeft w:val="0"/>
      <w:marRight w:val="0"/>
      <w:marTop w:val="0"/>
      <w:marBottom w:val="0"/>
      <w:divBdr>
        <w:top w:val="none" w:sz="0" w:space="0" w:color="auto"/>
        <w:left w:val="none" w:sz="0" w:space="0" w:color="auto"/>
        <w:bottom w:val="none" w:sz="0" w:space="0" w:color="auto"/>
        <w:right w:val="none" w:sz="0" w:space="0" w:color="auto"/>
      </w:divBdr>
    </w:div>
    <w:div w:id="940526617">
      <w:bodyDiv w:val="1"/>
      <w:marLeft w:val="0"/>
      <w:marRight w:val="0"/>
      <w:marTop w:val="0"/>
      <w:marBottom w:val="0"/>
      <w:divBdr>
        <w:top w:val="none" w:sz="0" w:space="0" w:color="auto"/>
        <w:left w:val="none" w:sz="0" w:space="0" w:color="auto"/>
        <w:bottom w:val="none" w:sz="0" w:space="0" w:color="auto"/>
        <w:right w:val="none" w:sz="0" w:space="0" w:color="auto"/>
      </w:divBdr>
    </w:div>
    <w:div w:id="12508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cms.int/sites/default/files/basic_page_documents/HLS_concept_SDGs_sp.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2132</Words>
  <Characters>11284</Characters>
  <Application>Microsoft Office Word</Application>
  <DocSecurity>0</DocSecurity>
  <Lines>512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2019-12-12T15:16:00Z</dcterms:created>
  <dcterms:modified xsi:type="dcterms:W3CDTF">2019-12-12T15:17:00Z</dcterms:modified>
</cp:coreProperties>
</file>