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rsidTr="00E32AFC">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bookmarkStart w:id="0" w:name="_GoBack"/>
            <w:bookmarkEnd w:id="0"/>
            <w:r w:rsidRPr="002E0DE9">
              <w:rPr>
                <w:rFonts w:eastAsia="Times New Roman" w:cs="Arial"/>
                <w:noProof/>
              </w:rPr>
              <w:drawing>
                <wp:inline distT="0" distB="0" distL="0" distR="0" wp14:anchorId="3915110C" wp14:editId="783BC795">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rsidR="00A34291" w:rsidRPr="00EC4F04"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2E0DE9">
              <w:rPr>
                <w:rFonts w:eastAsia="Times New Roman" w:cs="Arial"/>
              </w:rPr>
              <w:t>UNEP/CMS/COP13/Doc.</w:t>
            </w:r>
            <w:r w:rsidR="00E32AFC">
              <w:rPr>
                <w:rFonts w:eastAsia="Times New Roman" w:cs="Arial"/>
              </w:rPr>
              <w:t>13.1</w:t>
            </w:r>
          </w:p>
          <w:p w:rsidR="002E0DE9" w:rsidRPr="00EC4F04" w:rsidRDefault="00E32AFC"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rPr>
            </w:pPr>
            <w:r>
              <w:rPr>
                <w:rFonts w:eastAsia="Times New Roman" w:cs="Arial"/>
              </w:rPr>
              <w:t>16 December 2</w:t>
            </w:r>
            <w:r w:rsidR="002E0DE9" w:rsidRPr="002E0DE9">
              <w:rPr>
                <w:rFonts w:eastAsia="Times New Roman" w:cs="Arial"/>
              </w:rPr>
              <w:t>019</w:t>
            </w:r>
          </w:p>
          <w:p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13</w:t>
      </w:r>
      <w:r w:rsidRPr="002E0DE9">
        <w:rPr>
          <w:rFonts w:eastAsia="Times New Roman" w:cs="Arial"/>
          <w:vertAlign w:val="superscript"/>
        </w:rPr>
        <w:t>th</w:t>
      </w:r>
      <w:r w:rsidRPr="002E0DE9">
        <w:rPr>
          <w:rFonts w:eastAsia="Times New Roman" w:cs="Arial"/>
        </w:rPr>
        <w:t xml:space="preserve"> MEETING OF THE CONFERENCE OF THE PARTIES</w:t>
      </w:r>
    </w:p>
    <w:p w:rsidR="002E0DE9" w:rsidRPr="002E0DE9" w:rsidRDefault="002E0DE9"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2E0DE9">
        <w:rPr>
          <w:rFonts w:eastAsia="Times New Roman" w:cs="Arial"/>
          <w:bCs/>
        </w:rPr>
        <w:t>Gand</w:t>
      </w:r>
      <w:r w:rsidR="00C2719B">
        <w:rPr>
          <w:rFonts w:eastAsia="Times New Roman" w:cs="Arial"/>
          <w:bCs/>
        </w:rPr>
        <w:t>h</w:t>
      </w:r>
      <w:r w:rsidRPr="002E0DE9">
        <w:rPr>
          <w:rFonts w:eastAsia="Times New Roman" w:cs="Arial"/>
          <w:bCs/>
        </w:rPr>
        <w:t>inagar, India</w:t>
      </w:r>
      <w:r w:rsidRPr="002E0DE9">
        <w:rPr>
          <w:rFonts w:eastAsia="Times New Roman" w:cs="Arial"/>
          <w:bCs/>
          <w:lang w:val="pt-PT"/>
        </w:rPr>
        <w:t>, 17 - 22 February 2020</w:t>
      </w:r>
    </w:p>
    <w:p w:rsidR="002E0DE9" w:rsidRDefault="002E0DE9" w:rsidP="00E32AFC">
      <w:pPr>
        <w:widowControl w:val="0"/>
        <w:tabs>
          <w:tab w:val="left" w:pos="7020"/>
        </w:tabs>
        <w:suppressAutoHyphens/>
        <w:autoSpaceDE w:val="0"/>
        <w:autoSpaceDN w:val="0"/>
        <w:spacing w:after="0" w:line="240" w:lineRule="auto"/>
        <w:textAlignment w:val="baseline"/>
        <w:rPr>
          <w:rFonts w:eastAsia="Times New Roman" w:cs="Arial"/>
          <w:iCs/>
          <w:lang w:val="pt-PT"/>
        </w:rPr>
      </w:pPr>
      <w:r w:rsidRPr="002E0DE9">
        <w:rPr>
          <w:rFonts w:eastAsia="Times New Roman" w:cs="Arial"/>
          <w:iCs/>
          <w:lang w:val="pt-PT"/>
        </w:rPr>
        <w:t xml:space="preserve">Agenda Item </w:t>
      </w:r>
      <w:r w:rsidR="00E32AFC">
        <w:rPr>
          <w:rFonts w:eastAsia="Times New Roman" w:cs="Arial"/>
          <w:iCs/>
          <w:lang w:val="pt-PT"/>
        </w:rPr>
        <w:t>13</w:t>
      </w:r>
    </w:p>
    <w:p w:rsidR="00E32AFC" w:rsidRPr="002E0DE9" w:rsidRDefault="00E32AFC" w:rsidP="00E32AFC">
      <w:pPr>
        <w:widowControl w:val="0"/>
        <w:tabs>
          <w:tab w:val="left" w:pos="7020"/>
        </w:tabs>
        <w:suppressAutoHyphens/>
        <w:autoSpaceDE w:val="0"/>
        <w:autoSpaceDN w:val="0"/>
        <w:spacing w:after="0" w:line="240" w:lineRule="auto"/>
        <w:textAlignment w:val="baseline"/>
        <w:rPr>
          <w:rFonts w:eastAsia="Times New Roman" w:cs="Arial"/>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rsidR="00E32AFC" w:rsidRPr="002E0DE9" w:rsidRDefault="00E32AFC" w:rsidP="00E32AF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eastAsia="Times New Roman" w:cs="Arial"/>
          <w:b/>
          <w:bCs/>
        </w:rPr>
        <w:t>EXECUTION OF THE CMS BUDGET 2018-2020</w:t>
      </w:r>
    </w:p>
    <w:p w:rsidR="00E32AFC" w:rsidRPr="002E0DE9" w:rsidRDefault="00E32AFC" w:rsidP="00E32AFC">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(as at 30 November 2019 / Prepared by the Secretariat)</w:t>
      </w:r>
    </w:p>
    <w:p w:rsidR="002E0DE9" w:rsidRPr="002E0DE9" w:rsidRDefault="002E0DE9" w:rsidP="00EC4F04">
      <w:pPr>
        <w:widowControl w:val="0"/>
        <w:suppressAutoHyphens/>
        <w:autoSpaceDE w:val="0"/>
        <w:autoSpaceDN w:val="0"/>
        <w:spacing w:after="0" w:line="240" w:lineRule="auto"/>
        <w:jc w:val="both"/>
        <w:textAlignment w:val="baseline"/>
        <w:rPr>
          <w:rFonts w:eastAsia="Times New Roman" w:cs="Arial"/>
          <w:sz w:val="21"/>
          <w:szCs w:val="21"/>
        </w:rPr>
      </w:pPr>
    </w:p>
    <w:p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rsidR="002E0DE9" w:rsidRPr="002E0DE9" w:rsidRDefault="0069797E"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9264" behindDoc="0" locked="0" layoutInCell="1" allowOverlap="1" wp14:anchorId="2864913F" wp14:editId="3524E9F1">
                <wp:simplePos x="0" y="0"/>
                <wp:positionH relativeFrom="column">
                  <wp:posOffset>1003935</wp:posOffset>
                </wp:positionH>
                <wp:positionV relativeFrom="paragraph">
                  <wp:posOffset>61596</wp:posOffset>
                </wp:positionV>
                <wp:extent cx="4304666" cy="148590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1485900"/>
                        </a:xfrm>
                        <a:prstGeom prst="rect">
                          <a:avLst/>
                        </a:prstGeom>
                        <a:solidFill>
                          <a:srgbClr val="FFFFFF"/>
                        </a:solidFill>
                        <a:ln w="3172">
                          <a:solidFill>
                            <a:srgbClr val="000000"/>
                          </a:solidFill>
                          <a:prstDash val="solid"/>
                        </a:ln>
                      </wps:spPr>
                      <wps:txbx>
                        <w:txbxContent>
                          <w:p w:rsidR="00E32AFC" w:rsidRDefault="00E32AFC" w:rsidP="002E0DE9">
                            <w:pPr>
                              <w:spacing w:after="0"/>
                              <w:rPr>
                                <w:rFonts w:cs="Arial"/>
                              </w:rPr>
                            </w:pPr>
                            <w:r>
                              <w:rPr>
                                <w:rFonts w:cs="Arial"/>
                              </w:rPr>
                              <w:t>Summary:</w:t>
                            </w:r>
                          </w:p>
                          <w:p w:rsidR="00E32AFC" w:rsidRDefault="00E32AFC" w:rsidP="002E0DE9">
                            <w:pPr>
                              <w:spacing w:after="0"/>
                              <w:rPr>
                                <w:rFonts w:cs="Arial"/>
                              </w:rPr>
                            </w:pPr>
                          </w:p>
                          <w:p w:rsidR="00E32AFC" w:rsidRDefault="00E32AFC" w:rsidP="00E32AFC">
                            <w:pPr>
                              <w:spacing w:after="0" w:line="240" w:lineRule="auto"/>
                              <w:jc w:val="both"/>
                              <w:rPr>
                                <w:rFonts w:cs="Arial"/>
                              </w:rPr>
                            </w:pPr>
                            <w:r>
                              <w:t xml:space="preserve">This document provides the status of contributions to the Trust Fund as of 30 November 2019. Additionally, it provides an overview of the implementation of the CMS budget for 2018 and for the period January to November 2019 with projected expenditure until the end of December 2019, as requested by Resolution 12.2 </w:t>
                            </w:r>
                            <w:r w:rsidRPr="0091150A">
                              <w:rPr>
                                <w:i/>
                              </w:rPr>
                              <w:t>Financial and Administrative Matters</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2864913F" id="_x0000_t202" coordsize="21600,21600" o:spt="202" path="m,l,21600r21600,l21600,xe">
                <v:stroke joinstyle="miter"/>
                <v:path gradientshapeok="t" o:connecttype="rect"/>
              </v:shapetype>
              <v:shape id="Text Box 4" o:spid="_x0000_s1026" type="#_x0000_t202" style="position:absolute;margin-left:79.05pt;margin-top:4.85pt;width:338.95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" strokeweight=".08811mm">
                <v:textbox>
                  <w:txbxContent>
                    <w:p w:rsidR="00E32AFC" w:rsidRDefault="00E32AFC" w:rsidP="002E0DE9">
                      <w:pPr>
                        <w:spacing w:after="0"/>
                        <w:rPr>
                          <w:rFonts w:cs="Arial"/>
                        </w:rPr>
                      </w:pPr>
                      <w:r>
                        <w:rPr>
                          <w:rFonts w:cs="Arial"/>
                        </w:rPr>
                        <w:t>Summary:</w:t>
                      </w:r>
                    </w:p>
                    <w:p w:rsidR="00E32AFC" w:rsidRDefault="00E32AFC" w:rsidP="002E0DE9">
                      <w:pPr>
                        <w:spacing w:after="0"/>
                        <w:rPr>
                          <w:rFonts w:cs="Arial"/>
                        </w:rPr>
                      </w:pPr>
                    </w:p>
                    <w:p w:rsidR="00E32AFC" w:rsidRDefault="00E32AFC" w:rsidP="00E32AFC">
                      <w:pPr>
                        <w:spacing w:after="0" w:line="240" w:lineRule="auto"/>
                        <w:jc w:val="both"/>
                        <w:rPr>
                          <w:rFonts w:cs="Arial"/>
                        </w:rPr>
                      </w:pPr>
                      <w:r>
                        <w:t xml:space="preserve">This document provides the status of contributions to the Trust Fund as of 30 November 2019. Additionally, it provides an overview of the implementation of the CMS budget for 2018 and for the period January to November 2019 with projected expenditure until the end of December 2019, as requested by Resolution 12.2 </w:t>
                      </w:r>
                      <w:r w:rsidRPr="0091150A">
                        <w:rPr>
                          <w:i/>
                        </w:rPr>
                        <w:t>Financial and Administrative Matters</w:t>
                      </w:r>
                    </w:p>
                  </w:txbxContent>
                </v:textbox>
              </v:shape>
            </w:pict>
          </mc:Fallback>
        </mc:AlternateContent>
      </w: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rsidR="005330F7" w:rsidRDefault="005330F7"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B57E93" w:rsidRDefault="00B57E93" w:rsidP="00EC4F04">
      <w:pPr>
        <w:spacing w:after="0" w:line="240" w:lineRule="auto"/>
      </w:pPr>
    </w:p>
    <w:p w:rsidR="00B57E93" w:rsidRDefault="00B57E93" w:rsidP="00EC4F04">
      <w:pPr>
        <w:spacing w:after="0" w:line="240" w:lineRule="auto"/>
      </w:pPr>
    </w:p>
    <w:p w:rsidR="00B57E93" w:rsidRDefault="00B57E93" w:rsidP="00EC4F04">
      <w:pPr>
        <w:spacing w:after="0" w:line="240" w:lineRule="auto"/>
      </w:pPr>
    </w:p>
    <w:p w:rsidR="002E0DE9" w:rsidRDefault="002E0DE9" w:rsidP="00EC4F04">
      <w:pPr>
        <w:spacing w:after="0" w:line="240" w:lineRule="auto"/>
      </w:pPr>
    </w:p>
    <w:p w:rsidR="00A34291" w:rsidRDefault="00A34291" w:rsidP="00EC4F04">
      <w:pPr>
        <w:spacing w:after="0" w:line="240" w:lineRule="auto"/>
      </w:pPr>
    </w:p>
    <w:p w:rsidR="00A34291" w:rsidRDefault="00A34291" w:rsidP="00EC4F04">
      <w:pPr>
        <w:spacing w:after="0" w:line="240" w:lineRule="auto"/>
      </w:pPr>
    </w:p>
    <w:p w:rsidR="00A34291" w:rsidRDefault="00A34291" w:rsidP="00EC4F04">
      <w:pPr>
        <w:spacing w:after="0" w:line="240" w:lineRule="auto"/>
      </w:pPr>
    </w:p>
    <w:p w:rsidR="002E0DE9" w:rsidRPr="00DD3E44" w:rsidRDefault="002E0DE9" w:rsidP="00DD3E4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caps/>
        </w:rPr>
      </w:pPr>
    </w:p>
    <w:p w:rsidR="00DD3E44" w:rsidRDefault="00DD3E44" w:rsidP="00DD3E4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Times New Roman" w:cs="Arial"/>
          <w:b/>
          <w:caps/>
        </w:rPr>
      </w:pPr>
    </w:p>
    <w:p w:rsidR="002E0DE9" w:rsidRPr="002E0DE9" w:rsidRDefault="00E32AFC" w:rsidP="00E32AFC">
      <w:pPr>
        <w:suppressAutoHyphens/>
        <w:autoSpaceDN w:val="0"/>
        <w:spacing w:after="0" w:line="240" w:lineRule="auto"/>
        <w:jc w:val="center"/>
        <w:textAlignment w:val="baseline"/>
        <w:rPr>
          <w:rFonts w:eastAsia="Calibri" w:cs="Arial"/>
        </w:rPr>
      </w:pPr>
      <w:r>
        <w:rPr>
          <w:rFonts w:eastAsia="Times New Roman" w:cs="Arial"/>
          <w:b/>
          <w:bCs/>
        </w:rPr>
        <w:t>EXECUTION OF THE CMS BUDGET DURING 2018-2020 TRIENNIUM</w:t>
      </w:r>
    </w:p>
    <w:p w:rsidR="002E0DE9" w:rsidRDefault="002E0DE9" w:rsidP="00EC4F04">
      <w:pPr>
        <w:suppressAutoHyphens/>
        <w:autoSpaceDN w:val="0"/>
        <w:spacing w:after="0" w:line="240" w:lineRule="auto"/>
        <w:textAlignment w:val="baseline"/>
        <w:rPr>
          <w:rFonts w:eastAsia="Calibri" w:cs="Arial"/>
        </w:rPr>
      </w:pPr>
    </w:p>
    <w:p w:rsidR="00E32AFC" w:rsidRPr="002E0DE9" w:rsidRDefault="00E32AFC" w:rsidP="00EC4F04">
      <w:pPr>
        <w:suppressAutoHyphens/>
        <w:autoSpaceDN w:val="0"/>
        <w:spacing w:after="0" w:line="240" w:lineRule="auto"/>
        <w:textAlignment w:val="baseline"/>
        <w:rPr>
          <w:rFonts w:eastAsia="Calibri" w:cs="Arial"/>
        </w:rPr>
      </w:pPr>
    </w:p>
    <w:p w:rsidR="002E0DE9" w:rsidRPr="002E0DE9" w:rsidRDefault="002E0DE9" w:rsidP="00E32AFC">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rsidR="002E0DE9" w:rsidRDefault="002E0DE9" w:rsidP="00E32AFC">
      <w:pPr>
        <w:spacing w:after="0" w:line="240" w:lineRule="auto"/>
      </w:pPr>
    </w:p>
    <w:p w:rsidR="00E32AFC" w:rsidRPr="00E32AFC" w:rsidRDefault="00E32AFC" w:rsidP="00E32AFC">
      <w:pPr>
        <w:pStyle w:val="Firstnumbering"/>
        <w:rPr>
          <w:lang w:val="en-US"/>
        </w:rPr>
      </w:pPr>
      <w:r w:rsidRPr="00E32AFC">
        <w:rPr>
          <w:lang w:val="en-US"/>
        </w:rPr>
        <w:t xml:space="preserve">At its twelfth meeting (COP12, Manila, 2017), the Conference of the Parties adopted the budget for the Convention for the triennium 2018-2020 through Resolution 12.2 </w:t>
      </w:r>
      <w:r w:rsidRPr="00E32AFC">
        <w:rPr>
          <w:i/>
          <w:lang w:val="en-US"/>
        </w:rPr>
        <w:t>Financial and Administrative Matters</w:t>
      </w:r>
      <w:r w:rsidRPr="00E32AFC">
        <w:rPr>
          <w:lang w:val="en-US"/>
        </w:rPr>
        <w:t>. The present report provides the COP with details of the status of contributions to the Trust Fund as of 30 November 2019. It also provides an overview of the implementation of the budget for the year 2018 and the period January to November 2019 with projected expenditure until the end of December 2019.</w:t>
      </w:r>
    </w:p>
    <w:p w:rsidR="00E32AFC" w:rsidRPr="00E32AFC" w:rsidRDefault="00E32AFC" w:rsidP="00E32AFC">
      <w:pPr>
        <w:spacing w:after="0" w:line="240" w:lineRule="auto"/>
        <w:ind w:left="720"/>
        <w:contextualSpacing/>
        <w:jc w:val="both"/>
        <w:rPr>
          <w:lang w:val="en-US"/>
        </w:rPr>
      </w:pPr>
    </w:p>
    <w:p w:rsidR="00E32AFC" w:rsidRPr="00E32AFC" w:rsidRDefault="00E32AFC" w:rsidP="00E32AFC">
      <w:pPr>
        <w:pStyle w:val="Firstnumbering"/>
        <w:rPr>
          <w:lang w:val="en-US"/>
        </w:rPr>
      </w:pPr>
      <w:r w:rsidRPr="00E32AFC">
        <w:rPr>
          <w:lang w:val="en-US"/>
        </w:rPr>
        <w:t xml:space="preserve">The overview shows that overall expenditure is on track.  However, there are significant outstanding assessed contributions attributable to the previous budget period. </w:t>
      </w:r>
    </w:p>
    <w:p w:rsidR="00E32AFC" w:rsidRPr="00E32AFC" w:rsidRDefault="00E32AFC" w:rsidP="00E32AFC">
      <w:pPr>
        <w:spacing w:after="0" w:line="240" w:lineRule="auto"/>
        <w:ind w:left="720"/>
        <w:contextualSpacing/>
        <w:rPr>
          <w:lang w:val="en-US"/>
        </w:rPr>
      </w:pPr>
    </w:p>
    <w:p w:rsidR="00E32AFC" w:rsidRPr="00E32AFC" w:rsidRDefault="00E32AFC" w:rsidP="00E32AFC">
      <w:pPr>
        <w:pStyle w:val="Firstnumbering"/>
        <w:rPr>
          <w:lang w:val="en-US"/>
        </w:rPr>
      </w:pPr>
      <w:r w:rsidRPr="00E32AFC">
        <w:rPr>
          <w:lang w:val="en-US"/>
        </w:rPr>
        <w:t xml:space="preserve">The Secretariat is closely monitoring expenditure to ensure that it is within available resources.  The Secretariat has also taken steps, including with respect to filling vacancies, consistent with a more conservative approach to expenditure.  </w:t>
      </w:r>
    </w:p>
    <w:p w:rsidR="00E32AFC" w:rsidRPr="00E32AFC" w:rsidRDefault="00E32AFC" w:rsidP="00E32AFC">
      <w:pPr>
        <w:spacing w:after="0" w:line="240" w:lineRule="auto"/>
        <w:ind w:left="720"/>
        <w:contextualSpacing/>
        <w:rPr>
          <w:rFonts w:cs="Arial"/>
          <w:lang w:val="en-US"/>
        </w:rPr>
      </w:pPr>
    </w:p>
    <w:p w:rsidR="00E32AFC" w:rsidRPr="00E32AFC" w:rsidRDefault="00E32AFC" w:rsidP="00E32AFC">
      <w:pPr>
        <w:spacing w:after="0" w:line="240" w:lineRule="auto"/>
        <w:contextualSpacing/>
        <w:jc w:val="both"/>
        <w:rPr>
          <w:rFonts w:cs="Arial"/>
          <w:u w:val="single"/>
          <w:lang w:val="en-US"/>
        </w:rPr>
      </w:pPr>
      <w:r w:rsidRPr="00E32AFC">
        <w:rPr>
          <w:rFonts w:cs="Arial"/>
          <w:u w:val="single"/>
          <w:lang w:val="en-US"/>
        </w:rPr>
        <w:t xml:space="preserve">Status of the Trust Fund for Assessed Contributions </w:t>
      </w:r>
    </w:p>
    <w:p w:rsidR="00E32AFC" w:rsidRPr="00E32AFC" w:rsidRDefault="00E32AFC" w:rsidP="00E32AFC">
      <w:pPr>
        <w:spacing w:after="0" w:line="240" w:lineRule="auto"/>
        <w:contextualSpacing/>
        <w:jc w:val="both"/>
        <w:rPr>
          <w:rFonts w:cs="Times New Roman"/>
          <w:lang w:val="en-US"/>
        </w:rPr>
      </w:pPr>
    </w:p>
    <w:p w:rsidR="00E32AFC" w:rsidRPr="00E32AFC" w:rsidRDefault="00E32AFC" w:rsidP="00E32AFC">
      <w:pPr>
        <w:pStyle w:val="Firstnumbering"/>
        <w:rPr>
          <w:lang w:val="en-US"/>
        </w:rPr>
      </w:pPr>
      <w:r w:rsidRPr="00E32AFC">
        <w:rPr>
          <w:lang w:val="en-US"/>
        </w:rPr>
        <w:t>Article VII, paragraph 4 of the Convention requires each Party to contribute to the budget adopted by the COP for a given financial period according to the United Nations scale of assessment. As per Resolution 12.2</w:t>
      </w:r>
      <w:r w:rsidRPr="00E32AFC">
        <w:t xml:space="preserve">, assessed contributions approved by COP12 for 2018 and 2019 stand at €2,559,888 and €2,611,087, respectively. </w:t>
      </w:r>
    </w:p>
    <w:p w:rsidR="00E32AFC" w:rsidRPr="00E32AFC" w:rsidRDefault="00E32AFC" w:rsidP="00E32AFC">
      <w:pPr>
        <w:widowControl w:val="0"/>
        <w:autoSpaceDE w:val="0"/>
        <w:autoSpaceDN w:val="0"/>
        <w:adjustRightInd w:val="0"/>
        <w:spacing w:after="0" w:line="240" w:lineRule="auto"/>
        <w:ind w:left="720"/>
        <w:contextualSpacing/>
        <w:jc w:val="both"/>
        <w:rPr>
          <w:lang w:val="en-US"/>
        </w:rPr>
      </w:pPr>
    </w:p>
    <w:p w:rsidR="00E32AFC" w:rsidRPr="00E32AFC" w:rsidRDefault="00E32AFC" w:rsidP="00E32AFC">
      <w:pPr>
        <w:pStyle w:val="Firstnumbering"/>
        <w:rPr>
          <w:lang w:val="en-US"/>
        </w:rPr>
      </w:pPr>
      <w:r w:rsidRPr="00E32AFC">
        <w:rPr>
          <w:lang w:val="en-US"/>
        </w:rPr>
        <w:t xml:space="preserve">As at 30 November 2019, 81.4 per cent of assessed contributions for 2019, which amounts to €2,125,476 had been paid by 62 of the 126 Parties. The total unpaid pledges as at 30 November 2019 amounted to €1,167,365 (€485,611 for 2019, €391,866 for 2018, </w:t>
      </w:r>
      <w:bookmarkStart w:id="1" w:name="_Hlk26352751"/>
      <w:r w:rsidRPr="00E32AFC">
        <w:rPr>
          <w:lang w:val="en-US"/>
        </w:rPr>
        <w:t>€</w:t>
      </w:r>
      <w:bookmarkEnd w:id="1"/>
      <w:r w:rsidRPr="00E32AFC">
        <w:rPr>
          <w:lang w:val="en-US"/>
        </w:rPr>
        <w:t xml:space="preserve">206,675 for the previous triennium 2015-2017 and €83,213 for prior years). As shown in the table in Annex 1, of a total of 126 Parties, 45 have not fully paid their assessed contributions to the Trust Fund for 2018 and 30 Parties are due to pay their contributions attributed to the previous triennium 2015-2017. Fourteen Parties still have outstanding dues related to the period before 2015. </w:t>
      </w:r>
    </w:p>
    <w:p w:rsidR="00E32AFC" w:rsidRPr="00E32AFC" w:rsidRDefault="00E32AFC" w:rsidP="00E32AFC">
      <w:pPr>
        <w:spacing w:after="0" w:line="240" w:lineRule="auto"/>
        <w:ind w:left="720"/>
        <w:contextualSpacing/>
        <w:rPr>
          <w:lang w:val="en-US"/>
        </w:rPr>
      </w:pPr>
    </w:p>
    <w:p w:rsidR="00E32AFC" w:rsidRPr="00E32AFC" w:rsidRDefault="00E32AFC" w:rsidP="00E32AFC">
      <w:pPr>
        <w:pStyle w:val="Firstnumbering"/>
        <w:rPr>
          <w:lang w:val="en-US"/>
        </w:rPr>
      </w:pPr>
      <w:r w:rsidRPr="00E32AFC">
        <w:rPr>
          <w:lang w:val="en-US"/>
        </w:rPr>
        <w:t>Apart from annual assessed contribution for 2019, the Government of Norway provided an additional contribution amounting to €14,855.90 to the CMS Trust Fund in 2019.</w:t>
      </w:r>
    </w:p>
    <w:p w:rsidR="00E32AFC" w:rsidRPr="00E32AFC" w:rsidRDefault="00E32AFC" w:rsidP="00E32AFC">
      <w:pPr>
        <w:spacing w:after="0" w:line="240" w:lineRule="auto"/>
        <w:ind w:left="720"/>
        <w:contextualSpacing/>
        <w:rPr>
          <w:lang w:val="en-US"/>
        </w:rPr>
      </w:pPr>
    </w:p>
    <w:p w:rsidR="00E32AFC" w:rsidRPr="00E32AFC" w:rsidRDefault="00E32AFC" w:rsidP="00E32AFC">
      <w:pPr>
        <w:pStyle w:val="Firstnumbering"/>
        <w:rPr>
          <w:lang w:val="en-US"/>
        </w:rPr>
      </w:pPr>
      <w:r w:rsidRPr="00E32AFC">
        <w:rPr>
          <w:lang w:val="en-US"/>
        </w:rPr>
        <w:t xml:space="preserve">Four new Parties (Trinidad and Tobago in December 2018, Lebanon in June 2019,  Malawi in September 2019 and the Maldives in November 2019) acceded to the Convention during the period 2018-2019. The total new assessed contributions attributable to the four new Parties amount to €3,556 for the period 2018-2019. </w:t>
      </w:r>
    </w:p>
    <w:p w:rsidR="00E32AFC" w:rsidRPr="00E32AFC" w:rsidRDefault="00E32AFC" w:rsidP="00E32AFC">
      <w:pPr>
        <w:spacing w:after="0" w:line="240" w:lineRule="auto"/>
        <w:ind w:left="720"/>
        <w:contextualSpacing/>
        <w:rPr>
          <w:lang w:val="en-US"/>
        </w:rPr>
      </w:pPr>
    </w:p>
    <w:p w:rsidR="00E32AFC" w:rsidRPr="00E32AFC" w:rsidRDefault="00E32AFC" w:rsidP="00E32AFC">
      <w:pPr>
        <w:pStyle w:val="Firstnumbering"/>
        <w:rPr>
          <w:lang w:val="en-US"/>
        </w:rPr>
      </w:pPr>
      <w:r w:rsidRPr="00E32AFC">
        <w:rPr>
          <w:lang w:val="en-US"/>
        </w:rPr>
        <w:t>In order to address arrears, the Secretariat sent personalized letters in September 2019 to the Parties that had contributions outstanding at that time. The Secretariat sent separate reminders to 24 Parties that had arrears of more than three years, drawing their attention to  paragraph 9 of Resolution 12.2, by which they would not be able to vote at the Thirteenth Meeting of the Conference of the Parties (COP13) and they would</w:t>
      </w:r>
      <w:r w:rsidRPr="00E32AFC">
        <w:rPr>
          <w:rFonts w:cs="Arial"/>
          <w:lang w:val="en-US"/>
        </w:rPr>
        <w:t xml:space="preserve"> not be able to hold office in any of the Convention bodies</w:t>
      </w:r>
      <w:r w:rsidRPr="00E32AFC">
        <w:rPr>
          <w:lang w:val="en-US"/>
        </w:rPr>
        <w:t>, if payments were not received. In line with the guidance of the 48</w:t>
      </w:r>
      <w:r w:rsidRPr="00E32AFC">
        <w:rPr>
          <w:vertAlign w:val="superscript"/>
          <w:lang w:val="en-US"/>
        </w:rPr>
        <w:t xml:space="preserve">th </w:t>
      </w:r>
      <w:r w:rsidRPr="00E32AFC">
        <w:rPr>
          <w:lang w:val="en-US"/>
        </w:rPr>
        <w:t xml:space="preserve">meeting of the Standing Committee, the Secretariat advised these 24 Parties that a payment plan could be developed, if the Party was not </w:t>
      </w:r>
      <w:proofErr w:type="gramStart"/>
      <w:r w:rsidRPr="00E32AFC">
        <w:rPr>
          <w:lang w:val="en-US"/>
        </w:rPr>
        <w:t>in a position</w:t>
      </w:r>
      <w:proofErr w:type="gramEnd"/>
      <w:r w:rsidRPr="00E32AFC">
        <w:rPr>
          <w:lang w:val="en-US"/>
        </w:rPr>
        <w:t xml:space="preserve"> to pay its total outstanding contributions in one settlement.   </w:t>
      </w:r>
    </w:p>
    <w:p w:rsidR="00E32AFC" w:rsidRPr="00E32AFC" w:rsidRDefault="00E32AFC" w:rsidP="00E32AFC">
      <w:pPr>
        <w:spacing w:after="0" w:line="240" w:lineRule="auto"/>
        <w:rPr>
          <w:lang w:val="en-US"/>
        </w:rPr>
      </w:pPr>
    </w:p>
    <w:p w:rsidR="00E32AFC" w:rsidRDefault="00E32AFC">
      <w:pPr>
        <w:rPr>
          <w:rFonts w:cs="Arial"/>
          <w:u w:val="single"/>
          <w:lang w:val="en-US"/>
        </w:rPr>
      </w:pPr>
      <w:r>
        <w:rPr>
          <w:rFonts w:cs="Arial"/>
          <w:u w:val="single"/>
          <w:lang w:val="en-US"/>
        </w:rPr>
        <w:br w:type="page"/>
      </w:r>
    </w:p>
    <w:p w:rsidR="00E32AFC" w:rsidRPr="00E32AFC" w:rsidRDefault="00E32AFC" w:rsidP="00E32AFC">
      <w:pPr>
        <w:spacing w:after="0" w:line="240" w:lineRule="auto"/>
        <w:contextualSpacing/>
        <w:jc w:val="both"/>
        <w:rPr>
          <w:rFonts w:cs="Arial"/>
          <w:u w:val="single"/>
          <w:lang w:val="en-US"/>
        </w:rPr>
      </w:pPr>
      <w:r w:rsidRPr="00E32AFC">
        <w:rPr>
          <w:rFonts w:cs="Arial"/>
          <w:u w:val="single"/>
          <w:lang w:val="en-US"/>
        </w:rPr>
        <w:lastRenderedPageBreak/>
        <w:t>Budget Implementation for the period 2018-2019</w:t>
      </w:r>
    </w:p>
    <w:p w:rsidR="00E32AFC" w:rsidRPr="00E32AFC" w:rsidRDefault="00E32AFC" w:rsidP="00E32AFC">
      <w:pPr>
        <w:spacing w:after="0" w:line="240" w:lineRule="auto"/>
        <w:contextualSpacing/>
        <w:jc w:val="both"/>
        <w:rPr>
          <w:rFonts w:cs="Arial"/>
          <w:u w:val="single"/>
          <w:lang w:val="en-US"/>
        </w:rPr>
      </w:pPr>
    </w:p>
    <w:p w:rsidR="00E32AFC" w:rsidRPr="00E32AFC" w:rsidRDefault="00E32AFC" w:rsidP="00E32AFC">
      <w:pPr>
        <w:pStyle w:val="Firstnumbering"/>
        <w:rPr>
          <w:lang w:val="en-US"/>
        </w:rPr>
      </w:pPr>
      <w:r w:rsidRPr="00E32AFC">
        <w:rPr>
          <w:lang w:val="en-US"/>
        </w:rPr>
        <w:t xml:space="preserve">COP12 adopted the budget amounting to €2,559,888 for 2018, including </w:t>
      </w:r>
      <w:proofErr w:type="spellStart"/>
      <w:r w:rsidRPr="00E32AFC">
        <w:rPr>
          <w:lang w:val="en-US"/>
        </w:rPr>
        <w:t>Programme</w:t>
      </w:r>
      <w:proofErr w:type="spellEnd"/>
      <w:r w:rsidRPr="00E32AFC">
        <w:rPr>
          <w:lang w:val="en-US"/>
        </w:rPr>
        <w:t xml:space="preserve"> Support Costs (PSC) of 13 per cent.  The Chair of the Standing Committee authorized the Secretariat in April 2018 to increase the 2018 budget for staff development by €14,085 from 2019-2020, without exceeding its overall budget for the triennium. This brings the total budget for 2018 to €2,573,973, including PSC. </w:t>
      </w:r>
    </w:p>
    <w:p w:rsidR="00E32AFC" w:rsidRPr="00E32AFC" w:rsidRDefault="00E32AFC" w:rsidP="00E32AFC">
      <w:pPr>
        <w:widowControl w:val="0"/>
        <w:autoSpaceDE w:val="0"/>
        <w:autoSpaceDN w:val="0"/>
        <w:adjustRightInd w:val="0"/>
        <w:spacing w:after="0" w:line="240" w:lineRule="auto"/>
        <w:ind w:left="567"/>
        <w:contextualSpacing/>
        <w:jc w:val="both"/>
        <w:rPr>
          <w:lang w:val="en-US"/>
        </w:rPr>
      </w:pPr>
    </w:p>
    <w:p w:rsidR="00E32AFC" w:rsidRPr="00E32AFC" w:rsidRDefault="00E32AFC" w:rsidP="00E32AFC">
      <w:pPr>
        <w:pStyle w:val="Firstnumbering"/>
        <w:rPr>
          <w:lang w:val="en-US"/>
        </w:rPr>
      </w:pPr>
      <w:r w:rsidRPr="00E32AFC">
        <w:rPr>
          <w:lang w:val="en-US"/>
        </w:rPr>
        <w:t xml:space="preserve">For 2019, COP12 adopted a budget amounting to </w:t>
      </w:r>
      <w:bookmarkStart w:id="2" w:name="_Hlk21592472"/>
      <w:r w:rsidRPr="00E32AFC">
        <w:t>€2,611,087</w:t>
      </w:r>
      <w:r w:rsidRPr="00E32AFC">
        <w:rPr>
          <w:lang w:val="en-US"/>
        </w:rPr>
        <w:t>, including PSC</w:t>
      </w:r>
      <w:bookmarkEnd w:id="2"/>
      <w:r w:rsidRPr="00E32AFC">
        <w:rPr>
          <w:lang w:val="en-US"/>
        </w:rPr>
        <w:t xml:space="preserve">. After the above-mentioned redeployment of the funds of </w:t>
      </w:r>
      <w:r w:rsidRPr="00E32AFC">
        <w:t xml:space="preserve">€11,758 </w:t>
      </w:r>
      <w:r w:rsidRPr="00E32AFC">
        <w:rPr>
          <w:lang w:val="en-US"/>
        </w:rPr>
        <w:t xml:space="preserve">from 2019 to 2018 for staff development, the 2019 budget was reduced to </w:t>
      </w:r>
      <w:r w:rsidRPr="00E32AFC">
        <w:t>€2,599,329</w:t>
      </w:r>
      <w:r w:rsidRPr="00E32AFC">
        <w:rPr>
          <w:lang w:val="en-US"/>
        </w:rPr>
        <w:t xml:space="preserve">, including PSC. Due to the decision to hold COP13 in February 2020, the Chair of the Standing Committee authorized the Secretariat in September 2019 to increase the 2019 budget for the financial commitment related to servicing COP13 by €113,000 from the 2020 budget. This brings the total budget for 2019 to €2,712,329, including PSC. </w:t>
      </w:r>
    </w:p>
    <w:p w:rsidR="00E32AFC" w:rsidRPr="00E32AFC" w:rsidRDefault="00E32AFC" w:rsidP="00E32AFC">
      <w:pPr>
        <w:spacing w:after="0" w:line="240" w:lineRule="auto"/>
        <w:ind w:left="720"/>
        <w:contextualSpacing/>
        <w:rPr>
          <w:lang w:val="en-US"/>
        </w:rPr>
      </w:pPr>
    </w:p>
    <w:p w:rsidR="00E32AFC" w:rsidRPr="00E32AFC" w:rsidRDefault="00E32AFC" w:rsidP="00E32AFC">
      <w:pPr>
        <w:pStyle w:val="Firstnumbering"/>
        <w:rPr>
          <w:lang w:val="en-US"/>
        </w:rPr>
      </w:pPr>
      <w:r w:rsidRPr="00E32AFC">
        <w:rPr>
          <w:lang w:val="en-US"/>
        </w:rPr>
        <w:t xml:space="preserve">Details of expenditure incurred in 2018 and during the period January to November 2019 with projected expenditure for December 2019 are provided in the table in Annex 2. </w:t>
      </w:r>
    </w:p>
    <w:p w:rsidR="00E32AFC" w:rsidRPr="00E32AFC" w:rsidRDefault="00E32AFC" w:rsidP="00E32AFC">
      <w:pPr>
        <w:spacing w:after="0" w:line="240" w:lineRule="auto"/>
        <w:ind w:left="567" w:hanging="567"/>
        <w:contextualSpacing/>
        <w:rPr>
          <w:lang w:val="en-US"/>
        </w:rPr>
      </w:pPr>
    </w:p>
    <w:p w:rsidR="00E32AFC" w:rsidRDefault="00E32AFC" w:rsidP="00E32AFC">
      <w:pPr>
        <w:pStyle w:val="Firstnumbering"/>
        <w:rPr>
          <w:lang w:val="en-US"/>
        </w:rPr>
      </w:pPr>
      <w:r w:rsidRPr="00E32AFC">
        <w:rPr>
          <w:lang w:val="en-US"/>
        </w:rPr>
        <w:t>In 2018, the Secretariat incurred total expenditure amounting to €2,067,590 (an implementation rate of 80 per cent), which represents estimated savings of €506,383, including PSC, compared with the total budget approved by COP12 with redeployment of the funds for staff development. This was mainly achieved through:</w:t>
      </w:r>
    </w:p>
    <w:p w:rsidR="00E32AFC" w:rsidRPr="00E32AFC" w:rsidRDefault="00E32AFC" w:rsidP="00E32AFC">
      <w:pPr>
        <w:pStyle w:val="Firstnumbering"/>
        <w:numPr>
          <w:ilvl w:val="0"/>
          <w:numId w:val="0"/>
        </w:numPr>
        <w:rPr>
          <w:lang w:val="en-US"/>
        </w:rPr>
      </w:pPr>
    </w:p>
    <w:p w:rsidR="00E32AFC" w:rsidRPr="00E32AFC" w:rsidRDefault="00E32AFC" w:rsidP="00E32AFC">
      <w:pPr>
        <w:widowControl w:val="0"/>
        <w:numPr>
          <w:ilvl w:val="0"/>
          <w:numId w:val="9"/>
        </w:numPr>
        <w:autoSpaceDE w:val="0"/>
        <w:autoSpaceDN w:val="0"/>
        <w:adjustRightInd w:val="0"/>
        <w:spacing w:after="0" w:line="240" w:lineRule="auto"/>
        <w:contextualSpacing/>
        <w:jc w:val="both"/>
        <w:rPr>
          <w:lang w:val="en-US"/>
        </w:rPr>
      </w:pPr>
      <w:r w:rsidRPr="00E32AFC">
        <w:rPr>
          <w:lang w:val="en-US"/>
        </w:rPr>
        <w:t xml:space="preserve">Savings in staff costs of €417,216 due to vacant position of Deputy Executive Secretary and delayed recruitment of a Capacity-building Officer as well as Associate </w:t>
      </w:r>
      <w:proofErr w:type="spellStart"/>
      <w:r w:rsidRPr="00E32AFC">
        <w:rPr>
          <w:lang w:val="en-US"/>
        </w:rPr>
        <w:t>Programme</w:t>
      </w:r>
      <w:proofErr w:type="spellEnd"/>
      <w:r w:rsidRPr="00E32AFC">
        <w:rPr>
          <w:lang w:val="en-US"/>
        </w:rPr>
        <w:t xml:space="preserve"> Officers of the Secretariat. </w:t>
      </w:r>
    </w:p>
    <w:p w:rsidR="00E32AFC" w:rsidRPr="00E32AFC" w:rsidRDefault="00E32AFC" w:rsidP="00E32AFC">
      <w:pPr>
        <w:widowControl w:val="0"/>
        <w:numPr>
          <w:ilvl w:val="0"/>
          <w:numId w:val="9"/>
        </w:numPr>
        <w:autoSpaceDE w:val="0"/>
        <w:autoSpaceDN w:val="0"/>
        <w:adjustRightInd w:val="0"/>
        <w:spacing w:after="0" w:line="240" w:lineRule="auto"/>
        <w:contextualSpacing/>
        <w:jc w:val="both"/>
        <w:rPr>
          <w:lang w:val="en-US"/>
        </w:rPr>
      </w:pPr>
      <w:r w:rsidRPr="00E32AFC">
        <w:rPr>
          <w:lang w:val="en-US"/>
        </w:rPr>
        <w:t xml:space="preserve">Further savings amounting to €43,430 were achieved in the operating costs of the Secretariat due to a) reduced amount of </w:t>
      </w:r>
      <w:proofErr w:type="spellStart"/>
      <w:r w:rsidRPr="00E32AFC">
        <w:rPr>
          <w:lang w:val="en-US"/>
        </w:rPr>
        <w:t>colour</w:t>
      </w:r>
      <w:proofErr w:type="spellEnd"/>
      <w:r w:rsidRPr="00E32AFC">
        <w:rPr>
          <w:lang w:val="en-US"/>
        </w:rPr>
        <w:t xml:space="preserve"> printing; b) efficient use of courier services and c) utilization of the previous year’s balance for the communication services rendered in 2018. </w:t>
      </w:r>
    </w:p>
    <w:p w:rsidR="00E32AFC" w:rsidRPr="00E32AFC" w:rsidRDefault="00E32AFC" w:rsidP="00E32AFC">
      <w:pPr>
        <w:widowControl w:val="0"/>
        <w:numPr>
          <w:ilvl w:val="0"/>
          <w:numId w:val="9"/>
        </w:numPr>
        <w:autoSpaceDE w:val="0"/>
        <w:autoSpaceDN w:val="0"/>
        <w:adjustRightInd w:val="0"/>
        <w:spacing w:after="0" w:line="240" w:lineRule="auto"/>
        <w:contextualSpacing/>
        <w:jc w:val="both"/>
        <w:rPr>
          <w:lang w:val="en-US"/>
        </w:rPr>
      </w:pPr>
      <w:r w:rsidRPr="00E32AFC">
        <w:rPr>
          <w:lang w:val="en-US"/>
        </w:rPr>
        <w:t xml:space="preserve">In the category of travel, including staff travel, the Secretariat saved a total of €22,042 in 2018 through timely organization of the travel arrangements for the funded participants to meetings of governing bodies held in 2018. Additionally, the cost of official missions of Secretariat staff was reduced due to proper planning of the missions in advance resulting in savings in the cost of tickets and due to the use of other means of communication such as teleconferences and skype calls rather than missions. </w:t>
      </w:r>
    </w:p>
    <w:p w:rsidR="00E32AFC" w:rsidRPr="00E32AFC" w:rsidRDefault="00E32AFC" w:rsidP="00E32AFC">
      <w:pPr>
        <w:widowControl w:val="0"/>
        <w:numPr>
          <w:ilvl w:val="0"/>
          <w:numId w:val="9"/>
        </w:numPr>
        <w:autoSpaceDE w:val="0"/>
        <w:autoSpaceDN w:val="0"/>
        <w:adjustRightInd w:val="0"/>
        <w:spacing w:after="0" w:line="240" w:lineRule="auto"/>
        <w:contextualSpacing/>
        <w:jc w:val="both"/>
        <w:rPr>
          <w:lang w:val="en-US"/>
        </w:rPr>
      </w:pPr>
      <w:r w:rsidRPr="00E32AFC">
        <w:rPr>
          <w:lang w:val="en-US"/>
        </w:rPr>
        <w:t xml:space="preserve">However, expenditure on contractual services to provide support for the activities of the Scientific Advisor exceeded the allocated budget by €34,560, which was covered by the above-mentioned savings under staff costs of 2018. </w:t>
      </w:r>
    </w:p>
    <w:p w:rsidR="00E32AFC" w:rsidRPr="00E32AFC" w:rsidRDefault="00E32AFC" w:rsidP="00E32AFC">
      <w:pPr>
        <w:spacing w:after="0" w:line="240" w:lineRule="auto"/>
        <w:ind w:left="720"/>
        <w:contextualSpacing/>
        <w:rPr>
          <w:lang w:val="en-US"/>
        </w:rPr>
      </w:pPr>
    </w:p>
    <w:p w:rsidR="00E32AFC" w:rsidRDefault="00E32AFC" w:rsidP="00E32AFC">
      <w:pPr>
        <w:pStyle w:val="Firstnumbering"/>
        <w:rPr>
          <w:lang w:val="en-US"/>
        </w:rPr>
      </w:pPr>
      <w:r w:rsidRPr="00E32AFC">
        <w:rPr>
          <w:lang w:val="en-US"/>
        </w:rPr>
        <w:t xml:space="preserve">During January to November 2019, there was an overall expenditure of 75 per cent of the total budget, corresponding to €2,050,993, including PSC. The breakdown is as follows: </w:t>
      </w:r>
    </w:p>
    <w:p w:rsidR="00E32AFC" w:rsidRPr="00E32AFC" w:rsidRDefault="00E32AFC" w:rsidP="00E32AFC">
      <w:pPr>
        <w:pStyle w:val="Firstnumbering"/>
        <w:numPr>
          <w:ilvl w:val="0"/>
          <w:numId w:val="0"/>
        </w:numPr>
        <w:rPr>
          <w:lang w:val="en-US"/>
        </w:rPr>
      </w:pPr>
    </w:p>
    <w:p w:rsidR="00E32AFC" w:rsidRPr="00E32AFC" w:rsidRDefault="00E32AFC" w:rsidP="00E32AFC">
      <w:pPr>
        <w:widowControl w:val="0"/>
        <w:numPr>
          <w:ilvl w:val="0"/>
          <w:numId w:val="8"/>
        </w:numPr>
        <w:autoSpaceDE w:val="0"/>
        <w:autoSpaceDN w:val="0"/>
        <w:adjustRightInd w:val="0"/>
        <w:spacing w:after="0" w:line="240" w:lineRule="auto"/>
        <w:ind w:left="992" w:hanging="425"/>
        <w:contextualSpacing/>
        <w:jc w:val="both"/>
        <w:rPr>
          <w:lang w:val="en-US"/>
        </w:rPr>
      </w:pPr>
      <w:r w:rsidRPr="00E32AFC">
        <w:rPr>
          <w:lang w:val="en-US"/>
        </w:rPr>
        <w:t>Expenditure on staff (professional and general support staff) amounted to €1,436,651 against a budget of €1,923,096 having an implementation rate of 75 per cent;</w:t>
      </w:r>
    </w:p>
    <w:p w:rsidR="00E32AFC" w:rsidRPr="00E32AFC" w:rsidRDefault="00E32AFC" w:rsidP="00E32AFC">
      <w:pPr>
        <w:widowControl w:val="0"/>
        <w:numPr>
          <w:ilvl w:val="0"/>
          <w:numId w:val="8"/>
        </w:numPr>
        <w:autoSpaceDE w:val="0"/>
        <w:autoSpaceDN w:val="0"/>
        <w:adjustRightInd w:val="0"/>
        <w:spacing w:after="0" w:line="240" w:lineRule="auto"/>
        <w:ind w:left="992" w:hanging="425"/>
        <w:contextualSpacing/>
        <w:jc w:val="both"/>
        <w:rPr>
          <w:lang w:val="en-US"/>
        </w:rPr>
      </w:pPr>
      <w:r w:rsidRPr="00E32AFC">
        <w:rPr>
          <w:lang w:val="en-US"/>
        </w:rPr>
        <w:t>Expenditure on contractual services amounted to €146,702, covering all contractual commitments related to the translation and report writing of meeting documents as well as official correspondences of the Secretariat, having an implementation rate of 72 per cent;</w:t>
      </w:r>
    </w:p>
    <w:p w:rsidR="00E32AFC" w:rsidRDefault="00E32AFC" w:rsidP="00E32AFC">
      <w:pPr>
        <w:widowControl w:val="0"/>
        <w:numPr>
          <w:ilvl w:val="0"/>
          <w:numId w:val="8"/>
        </w:numPr>
        <w:autoSpaceDE w:val="0"/>
        <w:autoSpaceDN w:val="0"/>
        <w:adjustRightInd w:val="0"/>
        <w:spacing w:after="0" w:line="240" w:lineRule="auto"/>
        <w:ind w:left="992" w:hanging="425"/>
        <w:contextualSpacing/>
        <w:jc w:val="both"/>
        <w:rPr>
          <w:lang w:val="en-US"/>
        </w:rPr>
      </w:pPr>
      <w:r w:rsidRPr="00E32AFC">
        <w:rPr>
          <w:lang w:val="en-US"/>
        </w:rPr>
        <w:t xml:space="preserve">Expenditure for operating costs was €92,679 from January to November 2019. This mainly covered the 2019 annual cost of Information Technology Services provided by United Nations Volunteers as well as leasing contracts for four multifunctional printers. In addition, it includes the cost of communication of the Secretariat and maintenance of the CMS website. Additionally, the Secretariat procured office stationery amounting to €269 over this period.   </w:t>
      </w:r>
    </w:p>
    <w:p w:rsidR="00E32AFC" w:rsidRDefault="00E32AFC">
      <w:pPr>
        <w:rPr>
          <w:lang w:val="en-US"/>
        </w:rPr>
      </w:pPr>
      <w:r>
        <w:rPr>
          <w:lang w:val="en-US"/>
        </w:rPr>
        <w:br w:type="page"/>
      </w:r>
    </w:p>
    <w:p w:rsidR="00E32AFC" w:rsidRPr="00E32AFC" w:rsidRDefault="00E32AFC" w:rsidP="00E32AFC">
      <w:pPr>
        <w:widowControl w:val="0"/>
        <w:autoSpaceDE w:val="0"/>
        <w:autoSpaceDN w:val="0"/>
        <w:adjustRightInd w:val="0"/>
        <w:spacing w:after="0" w:line="240" w:lineRule="auto"/>
        <w:contextualSpacing/>
        <w:jc w:val="both"/>
        <w:rPr>
          <w:lang w:val="en-US"/>
        </w:rPr>
      </w:pPr>
    </w:p>
    <w:p w:rsidR="00E32AFC" w:rsidRDefault="00E32AFC" w:rsidP="00E32AFC">
      <w:pPr>
        <w:widowControl w:val="0"/>
        <w:numPr>
          <w:ilvl w:val="0"/>
          <w:numId w:val="8"/>
        </w:numPr>
        <w:autoSpaceDE w:val="0"/>
        <w:autoSpaceDN w:val="0"/>
        <w:adjustRightInd w:val="0"/>
        <w:spacing w:after="0" w:line="240" w:lineRule="auto"/>
        <w:ind w:left="992" w:hanging="425"/>
        <w:contextualSpacing/>
        <w:jc w:val="both"/>
        <w:rPr>
          <w:lang w:val="en-US"/>
        </w:rPr>
      </w:pPr>
      <w:r w:rsidRPr="00E32AFC">
        <w:rPr>
          <w:rFonts w:cs="Arial"/>
          <w:color w:val="333333"/>
          <w:shd w:val="clear" w:color="auto" w:fill="FFFFFF"/>
          <w:lang w:val="en-US"/>
        </w:rPr>
        <w:t xml:space="preserve">From January to November 2019, expenditure on travel amounted to </w:t>
      </w:r>
      <w:r w:rsidRPr="00E32AFC">
        <w:rPr>
          <w:lang w:val="en-US"/>
        </w:rPr>
        <w:t>€138,737 against a budget of €143,170. It largely covers Secretariat staff travel in addition to the travel costs of meeting participants attending the 49</w:t>
      </w:r>
      <w:r w:rsidRPr="00E32AFC">
        <w:rPr>
          <w:vertAlign w:val="superscript"/>
          <w:lang w:val="en-US"/>
        </w:rPr>
        <w:t>th</w:t>
      </w:r>
      <w:r w:rsidRPr="00E32AFC">
        <w:rPr>
          <w:lang w:val="en-US"/>
        </w:rPr>
        <w:t xml:space="preserve"> meeting of the Standing Committee and </w:t>
      </w:r>
      <w:r w:rsidR="000E58C1">
        <w:rPr>
          <w:lang w:val="en-US"/>
        </w:rPr>
        <w:t>4</w:t>
      </w:r>
      <w:r w:rsidR="000E58C1" w:rsidRPr="000E58C1">
        <w:rPr>
          <w:vertAlign w:val="superscript"/>
          <w:lang w:val="en-US"/>
        </w:rPr>
        <w:t>th</w:t>
      </w:r>
      <w:r w:rsidRPr="00E32AFC">
        <w:rPr>
          <w:lang w:val="en-US"/>
        </w:rPr>
        <w:t xml:space="preserve"> meeting of the Sessional Committee of the Scientific Council, which were held in November 2019.  It also includes travel undertaken by the Chair of Scientific Council and the COP-appointed </w:t>
      </w:r>
      <w:proofErr w:type="spellStart"/>
      <w:r w:rsidRPr="00E32AFC">
        <w:rPr>
          <w:lang w:val="en-US"/>
        </w:rPr>
        <w:t>Councillor</w:t>
      </w:r>
      <w:proofErr w:type="spellEnd"/>
      <w:r w:rsidRPr="00E32AFC">
        <w:rPr>
          <w:lang w:val="en-US"/>
        </w:rPr>
        <w:t xml:space="preserve"> for Bycatch to represent the Secretariat. </w:t>
      </w:r>
    </w:p>
    <w:p w:rsidR="00E32AFC" w:rsidRPr="00E32AFC" w:rsidRDefault="00E32AFC" w:rsidP="00E32AFC">
      <w:pPr>
        <w:widowControl w:val="0"/>
        <w:autoSpaceDE w:val="0"/>
        <w:autoSpaceDN w:val="0"/>
        <w:adjustRightInd w:val="0"/>
        <w:spacing w:after="0" w:line="240" w:lineRule="auto"/>
        <w:ind w:left="992"/>
        <w:contextualSpacing/>
        <w:jc w:val="both"/>
        <w:rPr>
          <w:lang w:val="en-US"/>
        </w:rPr>
      </w:pPr>
    </w:p>
    <w:p w:rsidR="00E32AFC" w:rsidRDefault="00E32AFC" w:rsidP="00E32AFC">
      <w:pPr>
        <w:pStyle w:val="Firstnumbering"/>
        <w:ind w:left="540"/>
        <w:contextualSpacing/>
        <w:rPr>
          <w:lang w:val="en-US"/>
        </w:rPr>
      </w:pPr>
      <w:r w:rsidRPr="00E32AFC">
        <w:rPr>
          <w:lang w:val="en-US"/>
        </w:rPr>
        <w:t>For the month of December 2019, it is projected that expenditure on staff amounting</w:t>
      </w:r>
      <w:r>
        <w:rPr>
          <w:lang w:val="en-US"/>
        </w:rPr>
        <w:t xml:space="preserve"> </w:t>
      </w:r>
      <w:r w:rsidRPr="00E32AFC">
        <w:rPr>
          <w:lang w:val="en-US"/>
        </w:rPr>
        <w:t xml:space="preserve">€152,891 will be incurred.  There are expected to be estimated savings of €333,554 at the end of December 2019 due to the vacant positions of the Secretariat such as the Head of Avian Species Team and Special Assistant to the Executive Secretary as well as reduced post occupancy of staff members of the Secretariat. </w:t>
      </w:r>
    </w:p>
    <w:p w:rsidR="00E32AFC" w:rsidRPr="00E32AFC" w:rsidRDefault="00E32AFC" w:rsidP="00E32AFC">
      <w:pPr>
        <w:pStyle w:val="Firstnumbering"/>
        <w:numPr>
          <w:ilvl w:val="0"/>
          <w:numId w:val="0"/>
        </w:numPr>
        <w:ind w:left="540"/>
        <w:contextualSpacing/>
        <w:rPr>
          <w:lang w:val="en-US"/>
        </w:rPr>
      </w:pPr>
    </w:p>
    <w:p w:rsidR="00E32AFC" w:rsidRPr="00E32AFC" w:rsidRDefault="00E32AFC" w:rsidP="00E32AFC">
      <w:pPr>
        <w:pStyle w:val="Firstnumbering"/>
        <w:rPr>
          <w:lang w:val="en-US"/>
        </w:rPr>
      </w:pPr>
      <w:r w:rsidRPr="00E32AFC">
        <w:rPr>
          <w:lang w:val="en-US"/>
        </w:rPr>
        <w:t xml:space="preserve">For non-staff budget items, it is projected that €13,855 will be incurred in December 2019 resulting in an estimated balance of €84,953. This brings the total estimated savings by the end of December 2019 to €472,913, including PSC. </w:t>
      </w:r>
    </w:p>
    <w:p w:rsidR="00E32AFC" w:rsidRPr="00E32AFC" w:rsidRDefault="00E32AFC" w:rsidP="00E32AFC">
      <w:pPr>
        <w:spacing w:after="0" w:line="240" w:lineRule="auto"/>
        <w:ind w:left="540"/>
        <w:jc w:val="both"/>
        <w:rPr>
          <w:lang w:val="en-US"/>
        </w:rPr>
      </w:pPr>
    </w:p>
    <w:p w:rsidR="00E32AFC" w:rsidRPr="00E32AFC" w:rsidRDefault="00E32AFC" w:rsidP="00E32AFC">
      <w:pPr>
        <w:pStyle w:val="Firstnumbering"/>
        <w:rPr>
          <w:lang w:val="en-US"/>
        </w:rPr>
      </w:pPr>
      <w:r w:rsidRPr="00E32AFC">
        <w:rPr>
          <w:lang w:val="en-US"/>
        </w:rPr>
        <w:t xml:space="preserve">Given the current situation regarding arrears, the Secretariat has not moved forward with initiating recruitment for </w:t>
      </w:r>
      <w:proofErr w:type="gramStart"/>
      <w:r w:rsidRPr="00E32AFC">
        <w:rPr>
          <w:lang w:val="en-US"/>
        </w:rPr>
        <w:t>a number of</w:t>
      </w:r>
      <w:proofErr w:type="gramEnd"/>
      <w:r w:rsidRPr="00E32AFC">
        <w:rPr>
          <w:lang w:val="en-US"/>
        </w:rPr>
        <w:t xml:space="preserve"> key vacant posts, including the P-4 officer for Head of Avian Species Team. The Secretariat will continue to cautiously monitor expenditure and to follow up with the Parties that are in arrears.  </w:t>
      </w:r>
    </w:p>
    <w:p w:rsidR="00E32AFC" w:rsidRPr="00E32AFC" w:rsidRDefault="00E32AFC" w:rsidP="00E32AFC">
      <w:pPr>
        <w:spacing w:after="0" w:line="240" w:lineRule="auto"/>
        <w:rPr>
          <w:lang w:val="en-US"/>
        </w:rPr>
      </w:pPr>
    </w:p>
    <w:p w:rsidR="00E32AFC" w:rsidRDefault="00E32AFC" w:rsidP="00E32AFC">
      <w:pPr>
        <w:spacing w:after="0" w:line="240" w:lineRule="auto"/>
        <w:contextualSpacing/>
        <w:jc w:val="both"/>
        <w:rPr>
          <w:rFonts w:cs="Arial"/>
          <w:u w:val="single"/>
          <w:lang w:val="en-US"/>
        </w:rPr>
      </w:pPr>
      <w:r w:rsidRPr="00E32AFC">
        <w:rPr>
          <w:rFonts w:cs="Arial"/>
          <w:u w:val="single"/>
          <w:lang w:val="en-US"/>
        </w:rPr>
        <w:t xml:space="preserve">Status of Trust Fund balance </w:t>
      </w:r>
    </w:p>
    <w:p w:rsidR="00E32AFC" w:rsidRPr="00E32AFC" w:rsidRDefault="00E32AFC" w:rsidP="00E32AFC">
      <w:pPr>
        <w:spacing w:after="0" w:line="240" w:lineRule="auto"/>
        <w:contextualSpacing/>
        <w:jc w:val="both"/>
        <w:rPr>
          <w:lang w:val="en-US"/>
        </w:rPr>
      </w:pPr>
    </w:p>
    <w:p w:rsidR="00E32AFC" w:rsidRPr="00E32AFC" w:rsidRDefault="00E32AFC" w:rsidP="00E32AFC">
      <w:pPr>
        <w:pStyle w:val="Firstnumbering"/>
        <w:rPr>
          <w:lang w:val="en-US"/>
        </w:rPr>
      </w:pPr>
      <w:r w:rsidRPr="00E32AFC">
        <w:rPr>
          <w:lang w:val="en-US"/>
        </w:rPr>
        <w:t>At the closure on the UNEP accounts on 31 December 2017, the total fund balance for the CMS Trust Fund for assessed contributions stood at €592,344, excluding an operating reserve of €418,500</w:t>
      </w:r>
      <w:r w:rsidRPr="00E32AFC">
        <w:rPr>
          <w:vertAlign w:val="superscript"/>
          <w:lang w:val="en-US"/>
        </w:rPr>
        <w:footnoteReference w:id="1"/>
      </w:r>
      <w:r w:rsidRPr="00E32AFC">
        <w:rPr>
          <w:lang w:val="en-US"/>
        </w:rPr>
        <w:t xml:space="preserve"> and the contributions paid in advance for future years. </w:t>
      </w:r>
    </w:p>
    <w:p w:rsidR="00E32AFC" w:rsidRPr="00E32AFC" w:rsidRDefault="00E32AFC" w:rsidP="00E32AFC">
      <w:pPr>
        <w:spacing w:after="0" w:line="240" w:lineRule="auto"/>
        <w:ind w:left="540"/>
        <w:contextualSpacing/>
        <w:jc w:val="both"/>
        <w:rPr>
          <w:lang w:val="en-US"/>
        </w:rPr>
      </w:pPr>
    </w:p>
    <w:p w:rsidR="00E32AFC" w:rsidRPr="00E32AFC" w:rsidRDefault="00E32AFC" w:rsidP="00E32AFC">
      <w:pPr>
        <w:pStyle w:val="Firstnumbering"/>
        <w:rPr>
          <w:lang w:val="en-US"/>
        </w:rPr>
      </w:pPr>
      <w:proofErr w:type="gramStart"/>
      <w:r w:rsidRPr="00E32AFC">
        <w:rPr>
          <w:lang w:val="en-US"/>
        </w:rPr>
        <w:t>Taking into account</w:t>
      </w:r>
      <w:proofErr w:type="gramEnd"/>
      <w:r w:rsidRPr="00E32AFC">
        <w:rPr>
          <w:lang w:val="en-US"/>
        </w:rPr>
        <w:t xml:space="preserve"> paid and due contributions as at 30 November 2019 and estimated expenditure for the biennium 2018-2019, the trust fund balance at the end of December 2019 is projected at the level of € 910,971 as shown in the table 1.</w:t>
      </w:r>
    </w:p>
    <w:p w:rsidR="00E32AFC" w:rsidRPr="00E32AFC" w:rsidRDefault="00E32AFC" w:rsidP="00E32AFC">
      <w:pPr>
        <w:spacing w:after="0" w:line="240" w:lineRule="auto"/>
        <w:rPr>
          <w:lang w:val="en-US"/>
        </w:rPr>
      </w:pPr>
    </w:p>
    <w:tbl>
      <w:tblPr>
        <w:tblW w:w="5002" w:type="pct"/>
        <w:tblInd w:w="-90" w:type="dxa"/>
        <w:tblLook w:val="04A0" w:firstRow="1" w:lastRow="0" w:firstColumn="1" w:lastColumn="0" w:noHBand="0" w:noVBand="1"/>
      </w:tblPr>
      <w:tblGrid>
        <w:gridCol w:w="7945"/>
        <w:gridCol w:w="1697"/>
      </w:tblGrid>
      <w:tr w:rsidR="00E32AFC" w:rsidRPr="00E32AFC" w:rsidTr="00E32AFC">
        <w:trPr>
          <w:trHeight w:val="95"/>
        </w:trPr>
        <w:tc>
          <w:tcPr>
            <w:tcW w:w="412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rPr>
                <w:rFonts w:ascii="Times New Roman" w:eastAsia="Times New Roman" w:hAnsi="Times New Roman" w:cs="Times New Roman"/>
                <w:sz w:val="24"/>
                <w:szCs w:val="24"/>
                <w:lang w:val="en-US"/>
              </w:rPr>
            </w:pPr>
            <w:r w:rsidRPr="00E32AFC">
              <w:rPr>
                <w:rFonts w:cs="Arial"/>
                <w:b/>
                <w:sz w:val="20"/>
                <w:szCs w:val="20"/>
                <w:lang w:val="en-US"/>
              </w:rPr>
              <w:t>Table 1. Status of Trust Fund as at 31 December 2019</w:t>
            </w:r>
          </w:p>
        </w:tc>
        <w:tc>
          <w:tcPr>
            <w:tcW w:w="88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jc w:val="right"/>
              <w:rPr>
                <w:rFonts w:eastAsia="Times New Roman" w:cs="Arial"/>
                <w:b/>
                <w:bCs/>
                <w:color w:val="000000"/>
                <w:sz w:val="20"/>
                <w:szCs w:val="20"/>
                <w:lang w:val="en-US"/>
              </w:rPr>
            </w:pPr>
            <w:r w:rsidRPr="00E32AFC">
              <w:rPr>
                <w:rFonts w:eastAsia="Times New Roman" w:cs="Arial"/>
                <w:b/>
                <w:bCs/>
                <w:color w:val="000000"/>
                <w:sz w:val="20"/>
                <w:szCs w:val="20"/>
                <w:lang w:val="en-US"/>
              </w:rPr>
              <w:t>EUR</w:t>
            </w:r>
          </w:p>
        </w:tc>
      </w:tr>
      <w:tr w:rsidR="00E32AFC" w:rsidRPr="00E32AFC" w:rsidTr="00E32AFC">
        <w:trPr>
          <w:trHeight w:val="556"/>
        </w:trPr>
        <w:tc>
          <w:tcPr>
            <w:tcW w:w="4120" w:type="pct"/>
            <w:tcBorders>
              <w:top w:val="single" w:sz="4" w:space="0" w:color="auto"/>
              <w:left w:val="nil"/>
              <w:bottom w:val="single" w:sz="4" w:space="0" w:color="auto"/>
              <w:right w:val="nil"/>
            </w:tcBorders>
            <w:shd w:val="clear" w:color="000000" w:fill="DDEBF7"/>
            <w:noWrap/>
            <w:vAlign w:val="center"/>
            <w:hideMark/>
          </w:tcPr>
          <w:p w:rsidR="00E32AFC" w:rsidRPr="00E32AFC" w:rsidRDefault="00E32AFC" w:rsidP="00E32AFC">
            <w:pPr>
              <w:spacing w:after="0" w:line="240" w:lineRule="auto"/>
              <w:rPr>
                <w:rFonts w:eastAsia="Times New Roman" w:cs="Arial"/>
                <w:b/>
                <w:bCs/>
                <w:color w:val="000000"/>
                <w:sz w:val="20"/>
                <w:szCs w:val="20"/>
                <w:lang w:val="en-US"/>
              </w:rPr>
            </w:pPr>
            <w:r w:rsidRPr="00E32AFC">
              <w:rPr>
                <w:rFonts w:eastAsia="Times New Roman" w:cs="Arial"/>
                <w:b/>
                <w:bCs/>
                <w:color w:val="000000"/>
                <w:sz w:val="20"/>
                <w:szCs w:val="20"/>
                <w:lang w:val="en-US"/>
              </w:rPr>
              <w:t>Opening trust fund balance as at 1 January 2018</w:t>
            </w:r>
          </w:p>
          <w:p w:rsidR="00E32AFC" w:rsidRPr="00E32AFC" w:rsidRDefault="00E32AFC" w:rsidP="00E32AFC">
            <w:pPr>
              <w:spacing w:after="0" w:line="240" w:lineRule="auto"/>
              <w:rPr>
                <w:rFonts w:eastAsia="Times New Roman" w:cs="Arial"/>
                <w:b/>
                <w:bCs/>
                <w:color w:val="000000"/>
                <w:sz w:val="20"/>
                <w:szCs w:val="20"/>
                <w:lang w:val="en-US"/>
              </w:rPr>
            </w:pPr>
          </w:p>
        </w:tc>
        <w:tc>
          <w:tcPr>
            <w:tcW w:w="880" w:type="pct"/>
            <w:tcBorders>
              <w:top w:val="single" w:sz="4" w:space="0" w:color="auto"/>
              <w:left w:val="nil"/>
              <w:bottom w:val="single" w:sz="4" w:space="0" w:color="auto"/>
              <w:right w:val="nil"/>
            </w:tcBorders>
            <w:shd w:val="clear" w:color="000000" w:fill="DDEBF7"/>
            <w:noWrap/>
            <w:vAlign w:val="center"/>
            <w:hideMark/>
          </w:tcPr>
          <w:p w:rsidR="00E32AFC" w:rsidRPr="00E32AFC" w:rsidRDefault="00E32AFC" w:rsidP="00E32AFC">
            <w:pPr>
              <w:spacing w:after="0" w:line="240" w:lineRule="auto"/>
              <w:jc w:val="right"/>
              <w:rPr>
                <w:rFonts w:eastAsia="Times New Roman" w:cs="Arial"/>
                <w:b/>
                <w:bCs/>
                <w:color w:val="000000"/>
                <w:sz w:val="20"/>
                <w:szCs w:val="20"/>
                <w:lang w:val="en-US"/>
              </w:rPr>
            </w:pPr>
            <w:r w:rsidRPr="00E32AFC">
              <w:rPr>
                <w:rFonts w:eastAsia="Times New Roman" w:cs="Arial"/>
                <w:b/>
                <w:bCs/>
                <w:color w:val="000000"/>
                <w:sz w:val="20"/>
                <w:szCs w:val="20"/>
                <w:lang w:val="en-US"/>
              </w:rPr>
              <w:t>592,344</w:t>
            </w:r>
          </w:p>
        </w:tc>
      </w:tr>
      <w:tr w:rsidR="00E32AFC" w:rsidRPr="00E32AFC" w:rsidTr="00E32AFC">
        <w:trPr>
          <w:trHeight w:val="443"/>
        </w:trPr>
        <w:tc>
          <w:tcPr>
            <w:tcW w:w="412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rPr>
                <w:rFonts w:eastAsia="Times New Roman" w:cs="Arial"/>
                <w:color w:val="000000"/>
                <w:sz w:val="20"/>
                <w:szCs w:val="20"/>
                <w:lang w:val="en-US"/>
              </w:rPr>
            </w:pPr>
            <w:r w:rsidRPr="00E32AFC">
              <w:rPr>
                <w:rFonts w:eastAsia="Times New Roman" w:cs="Arial"/>
                <w:color w:val="000000"/>
                <w:sz w:val="20"/>
                <w:szCs w:val="20"/>
                <w:lang w:val="en-US"/>
              </w:rPr>
              <w:t>Contributions for previous triennium(s) paid in 2018 - 2019</w:t>
            </w:r>
          </w:p>
        </w:tc>
        <w:tc>
          <w:tcPr>
            <w:tcW w:w="88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jc w:val="right"/>
              <w:rPr>
                <w:rFonts w:eastAsia="Times New Roman" w:cs="Arial"/>
                <w:color w:val="000000"/>
                <w:sz w:val="20"/>
                <w:szCs w:val="20"/>
                <w:lang w:val="en-US"/>
              </w:rPr>
            </w:pPr>
            <w:r w:rsidRPr="00E32AFC">
              <w:rPr>
                <w:rFonts w:eastAsia="Times New Roman" w:cs="Arial"/>
                <w:color w:val="000000"/>
                <w:sz w:val="20"/>
                <w:szCs w:val="20"/>
                <w:lang w:val="en-US"/>
              </w:rPr>
              <w:t>355,346</w:t>
            </w:r>
          </w:p>
        </w:tc>
      </w:tr>
      <w:tr w:rsidR="00E32AFC" w:rsidRPr="00E32AFC" w:rsidTr="00E32AFC">
        <w:trPr>
          <w:trHeight w:val="443"/>
        </w:trPr>
        <w:tc>
          <w:tcPr>
            <w:tcW w:w="412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rPr>
                <w:rFonts w:eastAsia="Times New Roman" w:cs="Arial"/>
                <w:color w:val="000000"/>
                <w:sz w:val="20"/>
                <w:szCs w:val="20"/>
                <w:lang w:val="en-US"/>
              </w:rPr>
            </w:pPr>
            <w:r w:rsidRPr="00E32AFC">
              <w:rPr>
                <w:rFonts w:eastAsia="Times New Roman" w:cs="Arial"/>
                <w:color w:val="000000"/>
                <w:sz w:val="20"/>
                <w:szCs w:val="20"/>
                <w:lang w:val="en-US"/>
              </w:rPr>
              <w:t>Paid contributions for the biennium 2018 - 2019 (paragraph 5 and Annex 1)</w:t>
            </w:r>
          </w:p>
        </w:tc>
        <w:tc>
          <w:tcPr>
            <w:tcW w:w="88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jc w:val="right"/>
              <w:rPr>
                <w:rFonts w:eastAsia="Times New Roman" w:cs="Arial"/>
                <w:color w:val="000000"/>
                <w:sz w:val="20"/>
                <w:szCs w:val="20"/>
                <w:lang w:val="en-US"/>
              </w:rPr>
            </w:pPr>
            <w:r w:rsidRPr="00E32AFC">
              <w:rPr>
                <w:rFonts w:eastAsia="Times New Roman" w:cs="Arial"/>
                <w:color w:val="000000"/>
                <w:sz w:val="20"/>
                <w:szCs w:val="20"/>
                <w:lang w:val="en-US"/>
              </w:rPr>
              <w:t>4,293,498</w:t>
            </w:r>
          </w:p>
        </w:tc>
      </w:tr>
      <w:tr w:rsidR="00E32AFC" w:rsidRPr="00E32AFC" w:rsidTr="00E32AFC">
        <w:trPr>
          <w:trHeight w:val="443"/>
        </w:trPr>
        <w:tc>
          <w:tcPr>
            <w:tcW w:w="412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rPr>
                <w:rFonts w:eastAsia="Times New Roman" w:cs="Arial"/>
                <w:color w:val="000000"/>
                <w:sz w:val="20"/>
                <w:szCs w:val="20"/>
                <w:lang w:val="en-US"/>
              </w:rPr>
            </w:pPr>
            <w:r w:rsidRPr="00E32AFC">
              <w:rPr>
                <w:rFonts w:eastAsia="Times New Roman" w:cs="Arial"/>
                <w:color w:val="000000"/>
                <w:sz w:val="20"/>
                <w:szCs w:val="20"/>
                <w:lang w:val="en-US"/>
              </w:rPr>
              <w:t>Additional contribution provided by the Government of Norway (paragraph 6)</w:t>
            </w:r>
          </w:p>
        </w:tc>
        <w:tc>
          <w:tcPr>
            <w:tcW w:w="88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jc w:val="right"/>
              <w:rPr>
                <w:rFonts w:eastAsia="Times New Roman" w:cs="Arial"/>
                <w:color w:val="000000"/>
                <w:sz w:val="20"/>
                <w:szCs w:val="20"/>
                <w:lang w:val="en-US"/>
              </w:rPr>
            </w:pPr>
            <w:r w:rsidRPr="00E32AFC">
              <w:rPr>
                <w:rFonts w:eastAsia="Times New Roman" w:cs="Arial"/>
                <w:color w:val="000000"/>
                <w:sz w:val="20"/>
                <w:szCs w:val="20"/>
                <w:lang w:val="en-US"/>
              </w:rPr>
              <w:t>14,856</w:t>
            </w:r>
          </w:p>
        </w:tc>
      </w:tr>
      <w:tr w:rsidR="00E32AFC" w:rsidRPr="00E32AFC" w:rsidTr="00E32AFC">
        <w:trPr>
          <w:trHeight w:val="443"/>
        </w:trPr>
        <w:tc>
          <w:tcPr>
            <w:tcW w:w="412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rPr>
                <w:rFonts w:eastAsia="Times New Roman" w:cs="Arial"/>
                <w:color w:val="000000"/>
                <w:sz w:val="20"/>
                <w:szCs w:val="20"/>
                <w:lang w:val="en-US"/>
              </w:rPr>
            </w:pPr>
            <w:r w:rsidRPr="00E32AFC">
              <w:rPr>
                <w:rFonts w:eastAsia="Times New Roman" w:cs="Arial"/>
                <w:color w:val="000000"/>
                <w:sz w:val="20"/>
                <w:szCs w:val="20"/>
                <w:lang w:val="en-US"/>
              </w:rPr>
              <w:t xml:space="preserve">Contributions reasonably expected to be received in December 2019 </w:t>
            </w:r>
          </w:p>
        </w:tc>
        <w:tc>
          <w:tcPr>
            <w:tcW w:w="88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jc w:val="right"/>
              <w:rPr>
                <w:rFonts w:eastAsia="Times New Roman" w:cs="Arial"/>
                <w:color w:val="000000"/>
                <w:sz w:val="20"/>
                <w:szCs w:val="20"/>
                <w:lang w:val="en-US"/>
              </w:rPr>
            </w:pPr>
            <w:r w:rsidRPr="00E32AFC">
              <w:rPr>
                <w:rFonts w:eastAsia="Times New Roman" w:cs="Arial"/>
                <w:color w:val="000000"/>
                <w:sz w:val="20"/>
                <w:szCs w:val="20"/>
                <w:lang w:val="en-US"/>
              </w:rPr>
              <w:t>37,642</w:t>
            </w:r>
          </w:p>
        </w:tc>
      </w:tr>
      <w:tr w:rsidR="00E32AFC" w:rsidRPr="00E32AFC" w:rsidTr="00E32AFC">
        <w:trPr>
          <w:trHeight w:val="443"/>
        </w:trPr>
        <w:tc>
          <w:tcPr>
            <w:tcW w:w="412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rPr>
                <w:rFonts w:eastAsia="Times New Roman" w:cs="Arial"/>
                <w:color w:val="000000"/>
                <w:sz w:val="20"/>
                <w:szCs w:val="20"/>
                <w:lang w:val="en-US"/>
              </w:rPr>
            </w:pPr>
            <w:r w:rsidRPr="00E32AFC">
              <w:rPr>
                <w:rFonts w:eastAsia="Times New Roman" w:cs="Arial"/>
                <w:color w:val="000000"/>
                <w:sz w:val="20"/>
                <w:szCs w:val="20"/>
                <w:lang w:val="en-US"/>
              </w:rPr>
              <w:t>Estimated expenditure for the biennium 2018-2019 (Annex 2)</w:t>
            </w:r>
          </w:p>
        </w:tc>
        <w:tc>
          <w:tcPr>
            <w:tcW w:w="88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jc w:val="right"/>
              <w:rPr>
                <w:rFonts w:eastAsia="Times New Roman" w:cs="Arial"/>
                <w:color w:val="000000"/>
                <w:sz w:val="20"/>
                <w:szCs w:val="20"/>
                <w:lang w:val="en-US"/>
              </w:rPr>
            </w:pPr>
            <w:r w:rsidRPr="00E32AFC">
              <w:rPr>
                <w:rFonts w:eastAsia="Times New Roman" w:cs="Arial"/>
                <w:color w:val="000000"/>
                <w:sz w:val="20"/>
                <w:szCs w:val="20"/>
                <w:lang w:val="en-US"/>
              </w:rPr>
              <w:t>(4,307,006)</w:t>
            </w:r>
          </w:p>
        </w:tc>
      </w:tr>
      <w:tr w:rsidR="00E32AFC" w:rsidRPr="00E32AFC" w:rsidTr="00E32AFC">
        <w:trPr>
          <w:trHeight w:val="443"/>
        </w:trPr>
        <w:tc>
          <w:tcPr>
            <w:tcW w:w="412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rPr>
                <w:rFonts w:eastAsia="Times New Roman" w:cs="Arial"/>
                <w:color w:val="000000"/>
                <w:sz w:val="20"/>
                <w:szCs w:val="20"/>
                <w:lang w:val="en-US"/>
              </w:rPr>
            </w:pPr>
            <w:r w:rsidRPr="00E32AFC">
              <w:rPr>
                <w:rFonts w:eastAsia="Times New Roman" w:cs="Arial"/>
                <w:color w:val="000000"/>
                <w:sz w:val="20"/>
                <w:szCs w:val="20"/>
                <w:lang w:val="en-US"/>
              </w:rPr>
              <w:t>Provision for exchange rate fluctuations</w:t>
            </w:r>
          </w:p>
        </w:tc>
        <w:tc>
          <w:tcPr>
            <w:tcW w:w="880" w:type="pct"/>
            <w:tcBorders>
              <w:top w:val="nil"/>
              <w:left w:val="nil"/>
              <w:bottom w:val="nil"/>
              <w:right w:val="nil"/>
            </w:tcBorders>
            <w:shd w:val="clear" w:color="auto" w:fill="auto"/>
            <w:noWrap/>
            <w:vAlign w:val="center"/>
            <w:hideMark/>
          </w:tcPr>
          <w:p w:rsidR="00E32AFC" w:rsidRPr="00E32AFC" w:rsidRDefault="00E32AFC" w:rsidP="00E32AFC">
            <w:pPr>
              <w:spacing w:after="0" w:line="240" w:lineRule="auto"/>
              <w:jc w:val="right"/>
              <w:rPr>
                <w:rFonts w:eastAsia="Times New Roman" w:cs="Arial"/>
                <w:color w:val="000000"/>
                <w:sz w:val="20"/>
                <w:szCs w:val="20"/>
                <w:lang w:val="en-US"/>
              </w:rPr>
            </w:pPr>
            <w:r w:rsidRPr="00E32AFC">
              <w:rPr>
                <w:rFonts w:eastAsia="Times New Roman" w:cs="Arial"/>
                <w:color w:val="000000"/>
                <w:sz w:val="20"/>
                <w:szCs w:val="20"/>
                <w:lang w:val="en-US"/>
              </w:rPr>
              <w:t>(75,709)</w:t>
            </w:r>
          </w:p>
        </w:tc>
      </w:tr>
      <w:tr w:rsidR="00E32AFC" w:rsidRPr="00E32AFC" w:rsidTr="00E32AFC">
        <w:trPr>
          <w:trHeight w:val="464"/>
        </w:trPr>
        <w:tc>
          <w:tcPr>
            <w:tcW w:w="4120" w:type="pct"/>
            <w:tcBorders>
              <w:top w:val="single" w:sz="4" w:space="0" w:color="auto"/>
              <w:left w:val="nil"/>
              <w:bottom w:val="single" w:sz="8" w:space="0" w:color="auto"/>
              <w:right w:val="nil"/>
            </w:tcBorders>
            <w:shd w:val="clear" w:color="000000" w:fill="DDEBF7"/>
            <w:noWrap/>
            <w:vAlign w:val="center"/>
            <w:hideMark/>
          </w:tcPr>
          <w:p w:rsidR="00E32AFC" w:rsidRPr="00E32AFC" w:rsidRDefault="00E32AFC" w:rsidP="00E32AFC">
            <w:pPr>
              <w:spacing w:after="0" w:line="240" w:lineRule="auto"/>
              <w:rPr>
                <w:rFonts w:eastAsia="Times New Roman" w:cs="Arial"/>
                <w:b/>
                <w:bCs/>
                <w:color w:val="000000"/>
                <w:sz w:val="20"/>
                <w:szCs w:val="20"/>
                <w:lang w:val="en-US"/>
              </w:rPr>
            </w:pPr>
            <w:r w:rsidRPr="00E32AFC">
              <w:rPr>
                <w:rFonts w:eastAsia="Times New Roman" w:cs="Arial"/>
                <w:b/>
                <w:bCs/>
                <w:color w:val="000000"/>
                <w:sz w:val="20"/>
                <w:szCs w:val="20"/>
                <w:lang w:val="en-US"/>
              </w:rPr>
              <w:t xml:space="preserve">Estimated Trust Fund balance as at 31 December 2019 </w:t>
            </w:r>
          </w:p>
        </w:tc>
        <w:tc>
          <w:tcPr>
            <w:tcW w:w="880" w:type="pct"/>
            <w:tcBorders>
              <w:top w:val="single" w:sz="4" w:space="0" w:color="auto"/>
              <w:left w:val="nil"/>
              <w:bottom w:val="single" w:sz="8" w:space="0" w:color="auto"/>
              <w:right w:val="nil"/>
            </w:tcBorders>
            <w:shd w:val="clear" w:color="000000" w:fill="DDEBF7"/>
            <w:noWrap/>
            <w:vAlign w:val="center"/>
            <w:hideMark/>
          </w:tcPr>
          <w:p w:rsidR="00E32AFC" w:rsidRPr="00E32AFC" w:rsidRDefault="00E32AFC" w:rsidP="00E32AFC">
            <w:pPr>
              <w:spacing w:after="0" w:line="240" w:lineRule="auto"/>
              <w:jc w:val="right"/>
              <w:rPr>
                <w:rFonts w:eastAsia="Times New Roman" w:cs="Arial"/>
                <w:b/>
                <w:bCs/>
                <w:color w:val="000000"/>
                <w:sz w:val="20"/>
                <w:szCs w:val="20"/>
                <w:lang w:val="en-US"/>
              </w:rPr>
            </w:pPr>
            <w:r w:rsidRPr="00E32AFC">
              <w:rPr>
                <w:rFonts w:eastAsia="Times New Roman" w:cs="Arial"/>
                <w:b/>
                <w:bCs/>
                <w:color w:val="000000"/>
                <w:sz w:val="20"/>
                <w:szCs w:val="20"/>
                <w:lang w:val="en-US"/>
              </w:rPr>
              <w:t>910,971</w:t>
            </w:r>
          </w:p>
        </w:tc>
      </w:tr>
    </w:tbl>
    <w:p w:rsidR="00E32AFC" w:rsidRPr="00E32AFC" w:rsidRDefault="00E32AFC" w:rsidP="00E32AFC">
      <w:pPr>
        <w:spacing w:after="0" w:line="240" w:lineRule="auto"/>
        <w:ind w:left="540"/>
        <w:contextualSpacing/>
        <w:jc w:val="both"/>
        <w:rPr>
          <w:lang w:val="en-US"/>
        </w:rPr>
      </w:pPr>
    </w:p>
    <w:p w:rsidR="00E32AFC" w:rsidRPr="00E32AFC" w:rsidRDefault="00E32AFC" w:rsidP="00E32AFC">
      <w:pPr>
        <w:pStyle w:val="Firstnumbering"/>
        <w:rPr>
          <w:lang w:val="en-US"/>
        </w:rPr>
      </w:pPr>
      <w:r w:rsidRPr="00E32AFC">
        <w:rPr>
          <w:lang w:val="en-US"/>
        </w:rPr>
        <w:t xml:space="preserve">However, the Trust fund still lacks unpaid contributions amounting to €1,167,365 as at 30 November 2019. With the implementation of Umoja since 2015, healthy financial Trust Funds have become prerequisites for continuing the operation of the Secretariat. Therefore, the Secretariat would like to urge the Parties with arrears to settle their contributions without further delay. </w:t>
      </w:r>
    </w:p>
    <w:p w:rsidR="00E32AFC" w:rsidRPr="00E32AFC" w:rsidRDefault="00E32AFC" w:rsidP="00E32AFC">
      <w:pPr>
        <w:spacing w:after="0" w:line="240" w:lineRule="auto"/>
        <w:rPr>
          <w:lang w:val="en-US"/>
        </w:rPr>
      </w:pPr>
    </w:p>
    <w:p w:rsidR="00E32AFC" w:rsidRPr="00E32AFC" w:rsidRDefault="00E32AFC" w:rsidP="00E32AFC">
      <w:pPr>
        <w:spacing w:after="0" w:line="240" w:lineRule="auto"/>
        <w:rPr>
          <w:u w:val="single"/>
          <w:lang w:val="en-US"/>
        </w:rPr>
      </w:pPr>
    </w:p>
    <w:p w:rsidR="00E32AFC" w:rsidRPr="00E32AFC" w:rsidRDefault="00E32AFC" w:rsidP="00E32AFC">
      <w:pPr>
        <w:spacing w:after="0" w:line="240" w:lineRule="auto"/>
        <w:rPr>
          <w:u w:val="single"/>
          <w:lang w:val="en-US"/>
        </w:rPr>
      </w:pPr>
    </w:p>
    <w:p w:rsidR="00E32AFC" w:rsidRDefault="00E32AFC" w:rsidP="00E32AFC">
      <w:pPr>
        <w:spacing w:after="0" w:line="240" w:lineRule="auto"/>
        <w:rPr>
          <w:u w:val="single"/>
          <w:lang w:val="en-US"/>
        </w:rPr>
      </w:pPr>
      <w:r w:rsidRPr="00E32AFC">
        <w:rPr>
          <w:u w:val="single"/>
          <w:lang w:val="en-US"/>
        </w:rPr>
        <w:t>Recommended actions</w:t>
      </w:r>
    </w:p>
    <w:p w:rsidR="00E32AFC" w:rsidRPr="00E32AFC" w:rsidRDefault="00E32AFC" w:rsidP="00E32AFC">
      <w:pPr>
        <w:spacing w:after="0" w:line="240" w:lineRule="auto"/>
        <w:rPr>
          <w:u w:val="single"/>
          <w:lang w:val="en-US"/>
        </w:rPr>
      </w:pPr>
    </w:p>
    <w:p w:rsidR="00360838" w:rsidRPr="00E32AFC" w:rsidRDefault="00E32AFC" w:rsidP="00E32AFC">
      <w:pPr>
        <w:pStyle w:val="Firstnumbering"/>
      </w:pPr>
      <w:r w:rsidRPr="00E32AFC">
        <w:rPr>
          <w:lang w:val="en-US"/>
        </w:rPr>
        <w:t>The Conference of the Parties is recommended to take note of this document and give comments and advice as necessary to the Secretariat</w:t>
      </w:r>
      <w:r>
        <w:rPr>
          <w:lang w:val="en-US"/>
        </w:rPr>
        <w:t>.</w:t>
      </w:r>
    </w:p>
    <w:p w:rsidR="00E32AFC" w:rsidRDefault="00E32AFC" w:rsidP="00E32AFC">
      <w:pPr>
        <w:pStyle w:val="Firstnumbering"/>
        <w:numPr>
          <w:ilvl w:val="0"/>
          <w:numId w:val="0"/>
        </w:numPr>
        <w:ind w:left="567" w:hanging="567"/>
        <w:rPr>
          <w:lang w:val="en-US"/>
        </w:rPr>
      </w:pPr>
    </w:p>
    <w:p w:rsidR="00E32AFC" w:rsidRDefault="00E32AFC" w:rsidP="00E32AFC">
      <w:pPr>
        <w:pStyle w:val="Firstnumbering"/>
        <w:numPr>
          <w:ilvl w:val="0"/>
          <w:numId w:val="0"/>
        </w:numPr>
        <w:ind w:left="567" w:hanging="567"/>
        <w:rPr>
          <w:lang w:val="en-US"/>
        </w:rPr>
      </w:pPr>
    </w:p>
    <w:p w:rsidR="00E32AFC" w:rsidRDefault="00E32AFC" w:rsidP="00E32AFC">
      <w:pPr>
        <w:pStyle w:val="Firstnumbering"/>
        <w:numPr>
          <w:ilvl w:val="0"/>
          <w:numId w:val="0"/>
        </w:numPr>
        <w:ind w:left="567" w:hanging="567"/>
        <w:rPr>
          <w:lang w:val="en-US"/>
        </w:rPr>
      </w:pPr>
    </w:p>
    <w:p w:rsidR="00E32AFC" w:rsidRDefault="00E32AFC" w:rsidP="00E32AFC">
      <w:pPr>
        <w:pStyle w:val="Firstnumbering"/>
        <w:numPr>
          <w:ilvl w:val="0"/>
          <w:numId w:val="0"/>
        </w:numPr>
        <w:ind w:left="567" w:hanging="567"/>
        <w:sectPr w:rsidR="00E32AFC" w:rsidSect="005C47BF">
          <w:headerReference w:type="even" r:id="rId9"/>
          <w:headerReference w:type="default" r:id="rId10"/>
          <w:footerReference w:type="even" r:id="rId11"/>
          <w:footerReference w:type="default" r:id="rId12"/>
          <w:headerReference w:type="first" r:id="rId13"/>
          <w:pgSz w:w="11906" w:h="16838" w:code="9"/>
          <w:pgMar w:top="1134" w:right="1134" w:bottom="1134" w:left="1134" w:header="720" w:footer="720" w:gutter="0"/>
          <w:cols w:space="720"/>
          <w:titlePg/>
          <w:docGrid w:linePitch="360"/>
        </w:sectPr>
      </w:pPr>
    </w:p>
    <w:p w:rsidR="00E32AFC" w:rsidRPr="00E32AFC" w:rsidRDefault="00E32AFC" w:rsidP="00E32AFC">
      <w:pPr>
        <w:widowControl w:val="0"/>
        <w:autoSpaceDE w:val="0"/>
        <w:autoSpaceDN w:val="0"/>
        <w:adjustRightInd w:val="0"/>
        <w:contextualSpacing/>
        <w:jc w:val="right"/>
        <w:rPr>
          <w:b/>
          <w:lang w:val="en-US"/>
        </w:rPr>
      </w:pPr>
      <w:r w:rsidRPr="00E32AFC">
        <w:rPr>
          <w:b/>
          <w:lang w:val="en-US"/>
        </w:rPr>
        <w:lastRenderedPageBreak/>
        <w:t>ANNEX 1</w:t>
      </w:r>
    </w:p>
    <w:p w:rsidR="00E32AFC" w:rsidRPr="00E32AFC" w:rsidRDefault="00E32AFC" w:rsidP="00E32AFC">
      <w:pPr>
        <w:widowControl w:val="0"/>
        <w:autoSpaceDE w:val="0"/>
        <w:autoSpaceDN w:val="0"/>
        <w:adjustRightInd w:val="0"/>
        <w:contextualSpacing/>
        <w:jc w:val="center"/>
        <w:rPr>
          <w:lang w:val="en-US"/>
        </w:rPr>
      </w:pPr>
      <w:r w:rsidRPr="00E32AFC">
        <w:rPr>
          <w:b/>
          <w:lang w:val="en-US"/>
        </w:rPr>
        <w:t>Trust Fund for the Convention on Migratory Species of Wild Animals</w:t>
      </w:r>
    </w:p>
    <w:p w:rsidR="00E32AFC" w:rsidRPr="00E32AFC" w:rsidRDefault="00E32AFC" w:rsidP="00E32AFC">
      <w:pPr>
        <w:widowControl w:val="0"/>
        <w:autoSpaceDE w:val="0"/>
        <w:autoSpaceDN w:val="0"/>
        <w:adjustRightInd w:val="0"/>
        <w:contextualSpacing/>
        <w:jc w:val="center"/>
        <w:rPr>
          <w:b/>
          <w:lang w:val="en-US"/>
        </w:rPr>
      </w:pPr>
      <w:r w:rsidRPr="00E32AFC">
        <w:rPr>
          <w:b/>
          <w:lang w:val="en-US"/>
        </w:rPr>
        <w:t>Status of Contributions as at 30 November 2019 (in Euros)</w:t>
      </w:r>
    </w:p>
    <w:p w:rsidR="00E32AFC" w:rsidRPr="00E32AFC" w:rsidRDefault="00E32AFC" w:rsidP="00E32AFC">
      <w:pPr>
        <w:widowControl w:val="0"/>
        <w:autoSpaceDE w:val="0"/>
        <w:autoSpaceDN w:val="0"/>
        <w:adjustRightInd w:val="0"/>
        <w:contextualSpacing/>
        <w:jc w:val="both"/>
        <w:rPr>
          <w:rFonts w:cs="Arial"/>
          <w: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018"/>
        <w:gridCol w:w="1200"/>
        <w:gridCol w:w="1170"/>
        <w:gridCol w:w="1386"/>
        <w:gridCol w:w="1187"/>
        <w:gridCol w:w="1383"/>
        <w:gridCol w:w="1187"/>
        <w:gridCol w:w="1170"/>
        <w:gridCol w:w="1171"/>
        <w:gridCol w:w="1171"/>
      </w:tblGrid>
      <w:tr w:rsidR="00E32AFC" w:rsidRPr="00E32AFC" w:rsidTr="000B40C8">
        <w:trPr>
          <w:trHeight w:val="962"/>
          <w:tblHeader/>
        </w:trPr>
        <w:tc>
          <w:tcPr>
            <w:tcW w:w="176" w:type="pct"/>
            <w:vMerge w:val="restart"/>
            <w:shd w:val="clear" w:color="auto" w:fill="BDD6EE" w:themeFill="accent5" w:themeFillTint="66"/>
            <w:vAlign w:val="bottom"/>
            <w:hideMark/>
          </w:tcPr>
          <w:p w:rsidR="00E32AFC" w:rsidRPr="00E32AFC" w:rsidRDefault="00E32AFC" w:rsidP="00E32AFC">
            <w:pPr>
              <w:tabs>
                <w:tab w:val="left" w:pos="8370"/>
              </w:tabs>
              <w:rPr>
                <w:rFonts w:cs="Arial"/>
                <w:b/>
                <w:bCs/>
                <w:sz w:val="18"/>
                <w:szCs w:val="18"/>
                <w:lang w:val="en-US"/>
              </w:rPr>
            </w:pPr>
            <w:r w:rsidRPr="00E32AFC">
              <w:rPr>
                <w:rFonts w:cs="Arial"/>
                <w:b/>
                <w:bCs/>
                <w:sz w:val="18"/>
                <w:szCs w:val="18"/>
                <w:lang w:val="en-US"/>
              </w:rPr>
              <w:t>No</w:t>
            </w:r>
          </w:p>
        </w:tc>
        <w:tc>
          <w:tcPr>
            <w:tcW w:w="1029" w:type="pct"/>
            <w:vMerge w:val="restart"/>
            <w:shd w:val="clear" w:color="auto" w:fill="BDD6EE" w:themeFill="accent5" w:themeFillTint="66"/>
            <w:vAlign w:val="bottom"/>
            <w:hideMark/>
          </w:tcPr>
          <w:p w:rsidR="00E32AFC" w:rsidRPr="00E32AFC" w:rsidRDefault="00E32AFC" w:rsidP="00E32AFC">
            <w:pPr>
              <w:tabs>
                <w:tab w:val="left" w:pos="8370"/>
              </w:tabs>
              <w:rPr>
                <w:rFonts w:cs="Arial"/>
                <w:b/>
                <w:bCs/>
                <w:sz w:val="18"/>
                <w:szCs w:val="18"/>
                <w:lang w:val="en-US"/>
              </w:rPr>
            </w:pPr>
            <w:r w:rsidRPr="00E32AFC">
              <w:rPr>
                <w:rFonts w:cs="Arial"/>
                <w:b/>
                <w:bCs/>
                <w:sz w:val="18"/>
                <w:szCs w:val="18"/>
                <w:lang w:val="en-US"/>
              </w:rPr>
              <w:t>Party</w:t>
            </w:r>
          </w:p>
        </w:tc>
        <w:tc>
          <w:tcPr>
            <w:tcW w:w="414" w:type="pct"/>
            <w:shd w:val="clear" w:color="auto" w:fill="BDD6EE" w:themeFill="accent5" w:themeFillTint="66"/>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Unpaid pledges for 2018 &amp; prior years</w:t>
            </w:r>
          </w:p>
        </w:tc>
        <w:tc>
          <w:tcPr>
            <w:tcW w:w="404" w:type="pct"/>
            <w:shd w:val="clear" w:color="auto" w:fill="BDD6EE" w:themeFill="accent5" w:themeFillTint="66"/>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Advanced payments for future years</w:t>
            </w:r>
          </w:p>
        </w:tc>
        <w:tc>
          <w:tcPr>
            <w:tcW w:w="478" w:type="pct"/>
            <w:shd w:val="clear" w:color="auto" w:fill="BDD6EE" w:themeFill="accent5" w:themeFillTint="66"/>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Pledges for 2019</w:t>
            </w:r>
          </w:p>
        </w:tc>
        <w:tc>
          <w:tcPr>
            <w:tcW w:w="405" w:type="pct"/>
            <w:shd w:val="clear" w:color="auto" w:fill="BDD6EE" w:themeFill="accent5" w:themeFillTint="66"/>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Collections in 2019 for 2018 &amp; Prior Years</w:t>
            </w:r>
          </w:p>
        </w:tc>
        <w:tc>
          <w:tcPr>
            <w:tcW w:w="477" w:type="pct"/>
            <w:shd w:val="clear" w:color="auto" w:fill="BDD6EE" w:themeFill="accent5" w:themeFillTint="66"/>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Collections in 2019 for 2019</w:t>
            </w:r>
          </w:p>
        </w:tc>
        <w:tc>
          <w:tcPr>
            <w:tcW w:w="405" w:type="pct"/>
            <w:shd w:val="clear" w:color="auto" w:fill="BDD6EE" w:themeFill="accent5" w:themeFillTint="66"/>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Collections in 2019 for Future Years</w:t>
            </w:r>
          </w:p>
        </w:tc>
        <w:tc>
          <w:tcPr>
            <w:tcW w:w="404" w:type="pct"/>
            <w:shd w:val="clear" w:color="auto" w:fill="BDD6EE" w:themeFill="accent5" w:themeFillTint="66"/>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Unpaid pledges for 2018 &amp; prior years</w:t>
            </w:r>
          </w:p>
        </w:tc>
        <w:tc>
          <w:tcPr>
            <w:tcW w:w="404" w:type="pct"/>
            <w:shd w:val="clear" w:color="auto" w:fill="BDD6EE" w:themeFill="accent5" w:themeFillTint="66"/>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Unpaid pledges for 2019</w:t>
            </w:r>
          </w:p>
        </w:tc>
        <w:tc>
          <w:tcPr>
            <w:tcW w:w="404" w:type="pct"/>
            <w:shd w:val="clear" w:color="auto" w:fill="BDD6EE" w:themeFill="accent5" w:themeFillTint="66"/>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Advanced payments for future years</w:t>
            </w:r>
          </w:p>
        </w:tc>
      </w:tr>
      <w:tr w:rsidR="00E32AFC" w:rsidRPr="00E32AFC" w:rsidTr="000B40C8">
        <w:trPr>
          <w:trHeight w:val="305"/>
          <w:tblHeader/>
        </w:trPr>
        <w:tc>
          <w:tcPr>
            <w:tcW w:w="176" w:type="pct"/>
            <w:vMerge/>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rPr>
                <w:rFonts w:cs="Arial"/>
                <w:b/>
                <w:bCs/>
                <w:sz w:val="18"/>
                <w:szCs w:val="18"/>
                <w:lang w:val="en-US"/>
              </w:rPr>
            </w:pPr>
          </w:p>
        </w:tc>
        <w:tc>
          <w:tcPr>
            <w:tcW w:w="1029" w:type="pct"/>
            <w:vMerge/>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rPr>
                <w:rFonts w:cs="Arial"/>
                <w:b/>
                <w:bCs/>
                <w:sz w:val="18"/>
                <w:szCs w:val="18"/>
                <w:lang w:val="en-US"/>
              </w:rPr>
            </w:pPr>
          </w:p>
        </w:tc>
        <w:tc>
          <w:tcPr>
            <w:tcW w:w="414" w:type="pct"/>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EUR</w:t>
            </w:r>
          </w:p>
        </w:tc>
        <w:tc>
          <w:tcPr>
            <w:tcW w:w="404" w:type="pct"/>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EUR</w:t>
            </w:r>
          </w:p>
        </w:tc>
        <w:tc>
          <w:tcPr>
            <w:tcW w:w="478" w:type="pct"/>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EUR</w:t>
            </w:r>
          </w:p>
        </w:tc>
        <w:tc>
          <w:tcPr>
            <w:tcW w:w="405" w:type="pct"/>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EUR</w:t>
            </w:r>
          </w:p>
        </w:tc>
        <w:tc>
          <w:tcPr>
            <w:tcW w:w="477" w:type="pct"/>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EUR</w:t>
            </w:r>
          </w:p>
        </w:tc>
        <w:tc>
          <w:tcPr>
            <w:tcW w:w="405" w:type="pct"/>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EUR</w:t>
            </w:r>
          </w:p>
        </w:tc>
        <w:tc>
          <w:tcPr>
            <w:tcW w:w="404" w:type="pct"/>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EUR</w:t>
            </w:r>
          </w:p>
        </w:tc>
        <w:tc>
          <w:tcPr>
            <w:tcW w:w="404" w:type="pct"/>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EUR</w:t>
            </w:r>
          </w:p>
        </w:tc>
        <w:tc>
          <w:tcPr>
            <w:tcW w:w="404" w:type="pct"/>
            <w:tcBorders>
              <w:bottom w:val="single" w:sz="4" w:space="0" w:color="auto"/>
            </w:tcBorders>
            <w:shd w:val="clear" w:color="auto" w:fill="BDD6EE" w:themeFill="accent5" w:themeFillTint="66"/>
            <w:vAlign w:val="center"/>
            <w:hideMark/>
          </w:tcPr>
          <w:p w:rsidR="00E32AFC" w:rsidRPr="00E32AFC" w:rsidRDefault="00E32AFC" w:rsidP="00E32AFC">
            <w:pPr>
              <w:tabs>
                <w:tab w:val="left" w:pos="8370"/>
              </w:tabs>
              <w:jc w:val="center"/>
              <w:rPr>
                <w:rFonts w:cs="Arial"/>
                <w:b/>
                <w:bCs/>
                <w:sz w:val="18"/>
                <w:szCs w:val="18"/>
                <w:lang w:val="en-US"/>
              </w:rPr>
            </w:pPr>
            <w:r w:rsidRPr="00E32AFC">
              <w:rPr>
                <w:rFonts w:cs="Arial"/>
                <w:b/>
                <w:bCs/>
                <w:sz w:val="18"/>
                <w:szCs w:val="18"/>
                <w:lang w:val="en-US"/>
              </w:rPr>
              <w:t>EUR</w:t>
            </w:r>
          </w:p>
        </w:tc>
      </w:tr>
      <w:tr w:rsidR="00E32AFC" w:rsidRPr="00E32AFC" w:rsidTr="000B40C8">
        <w:trPr>
          <w:trHeight w:val="256"/>
        </w:trPr>
        <w:tc>
          <w:tcPr>
            <w:tcW w:w="176" w:type="pct"/>
            <w:tcBorders>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p>
        </w:tc>
        <w:tc>
          <w:tcPr>
            <w:tcW w:w="1029" w:type="pct"/>
            <w:tcBorders>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Afghanistan</w:t>
            </w:r>
          </w:p>
        </w:tc>
        <w:tc>
          <w:tcPr>
            <w:tcW w:w="414" w:type="pct"/>
            <w:tcBorders>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330</w:t>
            </w:r>
          </w:p>
        </w:tc>
        <w:tc>
          <w:tcPr>
            <w:tcW w:w="405" w:type="pct"/>
            <w:tcBorders>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330</w:t>
            </w:r>
          </w:p>
        </w:tc>
        <w:tc>
          <w:tcPr>
            <w:tcW w:w="404" w:type="pct"/>
            <w:tcBorders>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Albania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440</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440</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Algeria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8,687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8,861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8,687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8,861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Angola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27</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523</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Antigua &amp; Barbuda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265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265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Argentina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48,130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49,092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48,130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49,092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Armenia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330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330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Australia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128,620</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128,620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147,049</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147,049</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Austria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39,626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39,626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Bangladesh</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Belarus</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3,082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3,082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Belgium</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12,007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48,707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48,707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12,007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Benin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198</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Bolivia (</w:t>
            </w:r>
            <w:proofErr w:type="spellStart"/>
            <w:r w:rsidRPr="00E32AFC">
              <w:rPr>
                <w:rFonts w:cs="Arial"/>
                <w:sz w:val="18"/>
                <w:szCs w:val="18"/>
                <w:lang w:val="en-US"/>
              </w:rPr>
              <w:t>Plurinational</w:t>
            </w:r>
            <w:proofErr w:type="spellEnd"/>
            <w:r w:rsidRPr="00E32AFC">
              <w:rPr>
                <w:rFonts w:cs="Arial"/>
                <w:sz w:val="18"/>
                <w:szCs w:val="18"/>
                <w:lang w:val="en-US"/>
              </w:rPr>
              <w:t xml:space="preserve"> State of)</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647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661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647</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661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Bosnia and Herzegovina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785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715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785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715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Brazil</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531,517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210,404</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222,165</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309,352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210,404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Bulgaria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2,477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2,477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Burkina Faso</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610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610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Burundi</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257</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202</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Cabo Verde</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137</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82</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Cameroon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2,498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2,498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Chad</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1,708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275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1,708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275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Chile</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3,276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21,959</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3,276</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21,959</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Congo (Brazzaville)</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324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330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324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330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Cook Islands</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Costa Rica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2,454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2,587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2,454</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1,262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1,325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lastRenderedPageBreak/>
              <w:t>27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Côte d’Ivoire</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21,652</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495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21,157</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Croatia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5,449</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5,449</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Cuba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20,177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3,577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20,177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3,577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Cyprus</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2,367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2,367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Czech Republic</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18,932</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18,932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Dem. Rep of the Congo (Kinshasa)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4,057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440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4,057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440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Denmark</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3,569</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32,141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28,572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Djibouti</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671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671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Dominican Republic</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2,927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2,532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2,927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2,532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Ecuador</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8,406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3,687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2,226</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6,180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3,687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Egypt</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23,058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8,366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23,058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8,366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Equatorial Guinea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3,446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3,446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Eritrea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Estonia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2,091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2,091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Eswatini</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599</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599</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Ethiopia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European Union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65,277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65,277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Fiji</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162</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Finland</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25,097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25,097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France</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267,421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267,421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Gabon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7,462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936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7,462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936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Gambia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69</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69</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Georgia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440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440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Germany</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351,626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351,626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Ghana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881</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1,396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1,396</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Greece</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25,414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25,922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25,922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25,414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Guinea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Guinea-Bissau</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1,954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1,954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Honduras</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440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440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Hungary</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8,861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8,861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lastRenderedPageBreak/>
              <w:t>57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India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39,766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40,562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39,766</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40,562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Iran (Islamic Republic of)</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46,419</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25,922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26,067</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20,352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25,922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Iraq</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12,457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7,100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12,457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7,100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Ireland</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18,437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18,437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Israel</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23,201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23,666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23,201</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23,666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Italy</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206,276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206,276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Jordan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1,951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1,951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Kazakhstan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10,512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10,512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Kenya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971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991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971</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991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Kyrgyzstan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99</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Latvia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2,752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2,752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Liberia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Libya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81,211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6,880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81,211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6,880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Liechtenstein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385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385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Lithuania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3,963</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3,963</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Luxembourg</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3,522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3,522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Madagascar</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142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142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Mali</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165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Malta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Mauritania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Mauritius</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661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661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Monaco</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Mongolia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275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265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Montenegro</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Morocco</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2,972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2,972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Mozambique</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Netherlands</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81,564</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81,564</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New Zealand</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14,750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14,750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Niger</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2,332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2,332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Nigeria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25,930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11,503</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25,930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11,503</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lastRenderedPageBreak/>
              <w:t>87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North Macedonia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378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385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378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385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Norway</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46,726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46,726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Pakistan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5,018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5,118</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3,091</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1,927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5,118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Palau</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4,266</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4,211</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Panama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1,871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1,871</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Paraguay</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771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771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Peru</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7,485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4,242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3,243</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Philippines</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6,182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9,081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9,081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6,182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Poland</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46,285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46,285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Portugal</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47,714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21,574</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26,563</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21,151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21,574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Republic of Moldova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Romania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10,127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10,127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99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Rwanda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108</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Samoa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72</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30</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Sao Tome &amp; Principe</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764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764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Saudi Arabia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63,072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63,072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Senegal</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537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275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537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275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Serbia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1,727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1,761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1,727</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1,761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Seychelles</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Slovakia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8,806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8,806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Slovenia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4,623</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4,623</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Somalia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1,954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1,954</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109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South Africa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20,033</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20,033</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Spain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134,454</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134,454</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Sri Lanka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1,706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1,706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Sweden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52,615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52,615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Switzerland</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62,741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62,741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Syrian Arab Republic</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11,443</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1,321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11,443</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1,321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Tajikistan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535</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315</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116</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Togo</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218</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lastRenderedPageBreak/>
              <w:t>117</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Tunisia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7,776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1,541</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7,776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1,541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118</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Uganda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486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495</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486</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495</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119</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Ukraine</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5,669</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5,669</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120</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United Arab Emirates</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33,242</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33,240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121</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United Kingdom</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245,627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245,627</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122</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United Republic of Tanzania</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123</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Uruguay</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4,348</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4,348</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124</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Uzbekistan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1,241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1,266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1,266</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1,241</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56"/>
        </w:trPr>
        <w:tc>
          <w:tcPr>
            <w:tcW w:w="176"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125</w:t>
            </w:r>
          </w:p>
        </w:tc>
        <w:tc>
          <w:tcPr>
            <w:tcW w:w="1029"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Yemen</w:t>
            </w:r>
          </w:p>
        </w:tc>
        <w:tc>
          <w:tcPr>
            <w:tcW w:w="41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2,887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bottom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2,887</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550</w:t>
            </w:r>
          </w:p>
        </w:tc>
        <w:tc>
          <w:tcPr>
            <w:tcW w:w="404" w:type="pct"/>
            <w:tcBorders>
              <w:top w:val="single" w:sz="4" w:space="0" w:color="A5A5A5" w:themeColor="accent3"/>
              <w:bottom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272"/>
        </w:trPr>
        <w:tc>
          <w:tcPr>
            <w:tcW w:w="176" w:type="pct"/>
            <w:tcBorders>
              <w:top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126</w:t>
            </w:r>
          </w:p>
        </w:tc>
        <w:tc>
          <w:tcPr>
            <w:tcW w:w="1029" w:type="pct"/>
            <w:tcBorders>
              <w:top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rPr>
                <w:rFonts w:cs="Arial"/>
                <w:sz w:val="18"/>
                <w:szCs w:val="18"/>
                <w:lang w:val="en-US"/>
              </w:rPr>
            </w:pPr>
            <w:r w:rsidRPr="00E32AFC">
              <w:rPr>
                <w:rFonts w:cs="Arial"/>
                <w:sz w:val="18"/>
                <w:szCs w:val="18"/>
                <w:lang w:val="en-US"/>
              </w:rPr>
              <w:t>Zimbabwe</w:t>
            </w:r>
          </w:p>
        </w:tc>
        <w:tc>
          <w:tcPr>
            <w:tcW w:w="414" w:type="pct"/>
            <w:tcBorders>
              <w:top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216</w:t>
            </w:r>
          </w:p>
        </w:tc>
        <w:tc>
          <w:tcPr>
            <w:tcW w:w="404" w:type="pct"/>
            <w:tcBorders>
              <w:top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8" w:type="pct"/>
            <w:tcBorders>
              <w:top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5" w:type="pct"/>
            <w:tcBorders>
              <w:top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77" w:type="pct"/>
            <w:tcBorders>
              <w:top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5" w:type="pct"/>
            <w:tcBorders>
              <w:top w:val="single" w:sz="4" w:space="0" w:color="A5A5A5" w:themeColor="accent3"/>
            </w:tcBorders>
            <w:shd w:val="clear" w:color="auto" w:fill="auto"/>
            <w:noWrap/>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c>
          <w:tcPr>
            <w:tcW w:w="404" w:type="pct"/>
            <w:tcBorders>
              <w:top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216</w:t>
            </w:r>
          </w:p>
        </w:tc>
        <w:tc>
          <w:tcPr>
            <w:tcW w:w="404" w:type="pct"/>
            <w:tcBorders>
              <w:top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220</w:t>
            </w:r>
          </w:p>
        </w:tc>
        <w:tc>
          <w:tcPr>
            <w:tcW w:w="404" w:type="pct"/>
            <w:tcBorders>
              <w:top w:val="single" w:sz="4" w:space="0" w:color="A5A5A5" w:themeColor="accent3"/>
            </w:tcBorders>
            <w:shd w:val="clear" w:color="auto" w:fill="auto"/>
            <w:vAlign w:val="center"/>
          </w:tcPr>
          <w:p w:rsidR="00E32AFC" w:rsidRPr="00E32AFC" w:rsidRDefault="00E32AFC" w:rsidP="00E32AFC">
            <w:pPr>
              <w:tabs>
                <w:tab w:val="left" w:pos="8370"/>
              </w:tabs>
              <w:spacing w:after="0" w:line="240" w:lineRule="auto"/>
              <w:jc w:val="right"/>
              <w:rPr>
                <w:rFonts w:cs="Arial"/>
                <w:sz w:val="18"/>
                <w:szCs w:val="18"/>
                <w:lang w:val="en-US"/>
              </w:rPr>
            </w:pPr>
            <w:r w:rsidRPr="00E32AFC">
              <w:rPr>
                <w:rFonts w:cs="Arial"/>
                <w:sz w:val="18"/>
                <w:szCs w:val="18"/>
                <w:lang w:val="en-US"/>
              </w:rPr>
              <w:t>-</w:t>
            </w:r>
          </w:p>
        </w:tc>
      </w:tr>
      <w:tr w:rsidR="00E32AFC" w:rsidRPr="00E32AFC" w:rsidTr="000B40C8">
        <w:trPr>
          <w:trHeight w:val="377"/>
        </w:trPr>
        <w:tc>
          <w:tcPr>
            <w:tcW w:w="176"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p>
        </w:tc>
        <w:tc>
          <w:tcPr>
            <w:tcW w:w="1029" w:type="pct"/>
            <w:shd w:val="clear" w:color="auto" w:fill="BDD6EE" w:themeFill="accent5" w:themeFillTint="66"/>
            <w:noWrap/>
            <w:vAlign w:val="center"/>
          </w:tcPr>
          <w:p w:rsidR="00E32AFC" w:rsidRPr="00E32AFC" w:rsidRDefault="00E32AFC" w:rsidP="00E32AFC">
            <w:pPr>
              <w:tabs>
                <w:tab w:val="left" w:pos="8370"/>
              </w:tabs>
              <w:rPr>
                <w:rFonts w:cs="Arial"/>
                <w:b/>
                <w:bCs/>
                <w:sz w:val="18"/>
                <w:szCs w:val="18"/>
                <w:lang w:val="en-US"/>
              </w:rPr>
            </w:pPr>
            <w:r w:rsidRPr="00E32AFC">
              <w:rPr>
                <w:rFonts w:cs="Arial"/>
                <w:b/>
                <w:bCs/>
                <w:sz w:val="18"/>
                <w:szCs w:val="18"/>
                <w:lang w:val="en-US"/>
              </w:rPr>
              <w:t>Total</w:t>
            </w:r>
          </w:p>
        </w:tc>
        <w:tc>
          <w:tcPr>
            <w:tcW w:w="414"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r w:rsidRPr="00E32AFC">
              <w:rPr>
                <w:rFonts w:cs="Arial"/>
                <w:b/>
                <w:bCs/>
                <w:sz w:val="18"/>
                <w:szCs w:val="18"/>
                <w:lang w:val="en-US"/>
              </w:rPr>
              <w:t xml:space="preserve"> 1,035,046 </w:t>
            </w:r>
          </w:p>
        </w:tc>
        <w:tc>
          <w:tcPr>
            <w:tcW w:w="404"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r w:rsidRPr="00E32AFC">
              <w:rPr>
                <w:rFonts w:cs="Arial"/>
                <w:b/>
                <w:bCs/>
                <w:sz w:val="18"/>
                <w:szCs w:val="18"/>
                <w:lang w:val="en-US"/>
              </w:rPr>
              <w:t xml:space="preserve"> 178,116 </w:t>
            </w:r>
          </w:p>
        </w:tc>
        <w:tc>
          <w:tcPr>
            <w:tcW w:w="478"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r w:rsidRPr="00E32AFC">
              <w:rPr>
                <w:rFonts w:cs="Arial"/>
                <w:b/>
                <w:bCs/>
                <w:sz w:val="18"/>
                <w:szCs w:val="18"/>
                <w:lang w:val="en-US"/>
              </w:rPr>
              <w:t xml:space="preserve"> 2,611,087 </w:t>
            </w:r>
          </w:p>
        </w:tc>
        <w:tc>
          <w:tcPr>
            <w:tcW w:w="405"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r w:rsidRPr="00E32AFC">
              <w:rPr>
                <w:rFonts w:cs="Arial"/>
                <w:b/>
                <w:bCs/>
                <w:sz w:val="18"/>
                <w:szCs w:val="18"/>
                <w:lang w:val="en-US"/>
              </w:rPr>
              <w:t xml:space="preserve"> 353,293 </w:t>
            </w:r>
          </w:p>
        </w:tc>
        <w:tc>
          <w:tcPr>
            <w:tcW w:w="477"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r w:rsidRPr="00E32AFC">
              <w:rPr>
                <w:rFonts w:cs="Arial"/>
                <w:b/>
                <w:bCs/>
                <w:sz w:val="18"/>
                <w:szCs w:val="18"/>
                <w:lang w:val="en-US"/>
              </w:rPr>
              <w:t xml:space="preserve"> 1,973,383 </w:t>
            </w:r>
          </w:p>
        </w:tc>
        <w:tc>
          <w:tcPr>
            <w:tcW w:w="405"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r w:rsidRPr="00E32AFC">
              <w:rPr>
                <w:rFonts w:cs="Arial"/>
                <w:b/>
                <w:bCs/>
                <w:sz w:val="18"/>
                <w:szCs w:val="18"/>
                <w:lang w:val="en-US"/>
              </w:rPr>
              <w:t xml:space="preserve"> 148,445 </w:t>
            </w:r>
          </w:p>
        </w:tc>
        <w:tc>
          <w:tcPr>
            <w:tcW w:w="404"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r w:rsidRPr="00E32AFC">
              <w:rPr>
                <w:rFonts w:cs="Arial"/>
                <w:b/>
                <w:bCs/>
                <w:sz w:val="18"/>
                <w:szCs w:val="18"/>
                <w:lang w:val="en-US"/>
              </w:rPr>
              <w:t xml:space="preserve"> 681,754 </w:t>
            </w:r>
          </w:p>
        </w:tc>
        <w:tc>
          <w:tcPr>
            <w:tcW w:w="404"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r w:rsidRPr="00E32AFC">
              <w:rPr>
                <w:rFonts w:cs="Arial"/>
                <w:b/>
                <w:bCs/>
                <w:sz w:val="18"/>
                <w:szCs w:val="18"/>
                <w:lang w:val="en-US"/>
              </w:rPr>
              <w:t xml:space="preserve"> 485,611 </w:t>
            </w:r>
          </w:p>
        </w:tc>
        <w:tc>
          <w:tcPr>
            <w:tcW w:w="404" w:type="pct"/>
            <w:shd w:val="clear" w:color="auto" w:fill="BDD6EE" w:themeFill="accent5" w:themeFillTint="66"/>
            <w:noWrap/>
            <w:vAlign w:val="center"/>
          </w:tcPr>
          <w:p w:rsidR="00E32AFC" w:rsidRPr="00E32AFC" w:rsidRDefault="00E32AFC" w:rsidP="00E32AFC">
            <w:pPr>
              <w:tabs>
                <w:tab w:val="left" w:pos="8370"/>
              </w:tabs>
              <w:jc w:val="right"/>
              <w:rPr>
                <w:rFonts w:cs="Arial"/>
                <w:b/>
                <w:bCs/>
                <w:sz w:val="18"/>
                <w:szCs w:val="18"/>
                <w:lang w:val="en-US"/>
              </w:rPr>
            </w:pPr>
            <w:r w:rsidRPr="00E32AFC">
              <w:rPr>
                <w:rFonts w:cs="Arial"/>
                <w:b/>
                <w:bCs/>
                <w:sz w:val="18"/>
                <w:szCs w:val="18"/>
                <w:lang w:val="en-US"/>
              </w:rPr>
              <w:t xml:space="preserve"> 174,467 </w:t>
            </w:r>
          </w:p>
        </w:tc>
      </w:tr>
    </w:tbl>
    <w:p w:rsidR="00E32AFC" w:rsidRPr="00E32AFC" w:rsidRDefault="00E32AFC" w:rsidP="00E32AFC">
      <w:pPr>
        <w:tabs>
          <w:tab w:val="left" w:pos="8370"/>
        </w:tabs>
        <w:rPr>
          <w:lang w:val="en-US"/>
        </w:rPr>
      </w:pPr>
    </w:p>
    <w:p w:rsidR="00E32AFC" w:rsidRPr="00E32AFC" w:rsidRDefault="00E32AFC" w:rsidP="00E32AFC">
      <w:pPr>
        <w:widowControl w:val="0"/>
        <w:autoSpaceDE w:val="0"/>
        <w:autoSpaceDN w:val="0"/>
        <w:adjustRightInd w:val="0"/>
        <w:contextualSpacing/>
        <w:jc w:val="right"/>
        <w:rPr>
          <w:b/>
          <w:lang w:val="en-US"/>
        </w:rPr>
      </w:pPr>
    </w:p>
    <w:p w:rsidR="00E32AFC" w:rsidRPr="00E32AFC" w:rsidRDefault="00E32AFC" w:rsidP="00E32AFC">
      <w:pPr>
        <w:widowControl w:val="0"/>
        <w:autoSpaceDE w:val="0"/>
        <w:autoSpaceDN w:val="0"/>
        <w:adjustRightInd w:val="0"/>
        <w:contextualSpacing/>
        <w:jc w:val="right"/>
        <w:rPr>
          <w:b/>
          <w:lang w:val="en-US"/>
        </w:rPr>
      </w:pPr>
    </w:p>
    <w:p w:rsidR="00E32AFC" w:rsidRPr="00E32AFC" w:rsidRDefault="00E32AFC" w:rsidP="00E32AFC">
      <w:pPr>
        <w:widowControl w:val="0"/>
        <w:autoSpaceDE w:val="0"/>
        <w:autoSpaceDN w:val="0"/>
        <w:adjustRightInd w:val="0"/>
        <w:contextualSpacing/>
        <w:jc w:val="right"/>
        <w:rPr>
          <w:b/>
          <w:lang w:val="en-US"/>
        </w:rPr>
      </w:pPr>
    </w:p>
    <w:p w:rsidR="00E32AFC" w:rsidRPr="00E32AFC" w:rsidRDefault="00E32AFC" w:rsidP="00E32AFC">
      <w:pPr>
        <w:widowControl w:val="0"/>
        <w:autoSpaceDE w:val="0"/>
        <w:autoSpaceDN w:val="0"/>
        <w:adjustRightInd w:val="0"/>
        <w:contextualSpacing/>
        <w:jc w:val="right"/>
        <w:rPr>
          <w:b/>
          <w:lang w:val="en-US"/>
        </w:rPr>
      </w:pPr>
    </w:p>
    <w:p w:rsidR="00E32AFC" w:rsidRPr="00E32AFC" w:rsidRDefault="00E32AFC" w:rsidP="00E32AFC">
      <w:pPr>
        <w:widowControl w:val="0"/>
        <w:autoSpaceDE w:val="0"/>
        <w:autoSpaceDN w:val="0"/>
        <w:adjustRightInd w:val="0"/>
        <w:contextualSpacing/>
        <w:jc w:val="right"/>
        <w:rPr>
          <w:b/>
          <w:lang w:val="en-US"/>
        </w:rPr>
      </w:pPr>
    </w:p>
    <w:p w:rsidR="00E32AFC" w:rsidRPr="00E32AFC" w:rsidRDefault="00E32AFC" w:rsidP="00E32AFC">
      <w:pPr>
        <w:widowControl w:val="0"/>
        <w:autoSpaceDE w:val="0"/>
        <w:autoSpaceDN w:val="0"/>
        <w:adjustRightInd w:val="0"/>
        <w:contextualSpacing/>
        <w:jc w:val="right"/>
        <w:rPr>
          <w:b/>
          <w:lang w:val="en-US"/>
        </w:rPr>
      </w:pPr>
    </w:p>
    <w:p w:rsidR="000B40C8" w:rsidRDefault="000B40C8" w:rsidP="00E32AFC">
      <w:pPr>
        <w:pStyle w:val="Firstnumbering"/>
        <w:numPr>
          <w:ilvl w:val="0"/>
          <w:numId w:val="0"/>
        </w:numPr>
        <w:ind w:left="567" w:hanging="567"/>
        <w:sectPr w:rsidR="000B40C8" w:rsidSect="00E32AFC">
          <w:headerReference w:type="even" r:id="rId14"/>
          <w:headerReference w:type="default" r:id="rId15"/>
          <w:headerReference w:type="first" r:id="rId16"/>
          <w:footerReference w:type="first" r:id="rId17"/>
          <w:pgSz w:w="16838" w:h="11906" w:orient="landscape" w:code="9"/>
          <w:pgMar w:top="1134" w:right="1134" w:bottom="1134" w:left="1134" w:header="720" w:footer="720" w:gutter="0"/>
          <w:cols w:space="720"/>
          <w:titlePg/>
          <w:docGrid w:linePitch="360"/>
        </w:sectPr>
      </w:pPr>
    </w:p>
    <w:p w:rsidR="000B40C8" w:rsidRDefault="000B40C8" w:rsidP="000B40C8">
      <w:pPr>
        <w:widowControl w:val="0"/>
        <w:autoSpaceDE w:val="0"/>
        <w:autoSpaceDN w:val="0"/>
        <w:adjustRightInd w:val="0"/>
        <w:contextualSpacing/>
        <w:jc w:val="right"/>
        <w:rPr>
          <w:b/>
        </w:rPr>
      </w:pPr>
      <w:r w:rsidRPr="00FD499C">
        <w:rPr>
          <w:b/>
        </w:rPr>
        <w:lastRenderedPageBreak/>
        <w:t xml:space="preserve">ANNEX </w:t>
      </w:r>
      <w:r>
        <w:rPr>
          <w:b/>
        </w:rPr>
        <w:t>2</w:t>
      </w:r>
    </w:p>
    <w:p w:rsidR="000B40C8" w:rsidRDefault="000B40C8" w:rsidP="000B40C8">
      <w:pPr>
        <w:widowControl w:val="0"/>
        <w:autoSpaceDE w:val="0"/>
        <w:autoSpaceDN w:val="0"/>
        <w:adjustRightInd w:val="0"/>
        <w:contextualSpacing/>
        <w:jc w:val="center"/>
        <w:rPr>
          <w:b/>
        </w:rPr>
      </w:pPr>
    </w:p>
    <w:p w:rsidR="000B40C8" w:rsidRDefault="000B40C8" w:rsidP="000B40C8">
      <w:pPr>
        <w:widowControl w:val="0"/>
        <w:autoSpaceDE w:val="0"/>
        <w:autoSpaceDN w:val="0"/>
        <w:adjustRightInd w:val="0"/>
        <w:contextualSpacing/>
        <w:jc w:val="center"/>
        <w:rPr>
          <w:b/>
        </w:rPr>
      </w:pPr>
      <w:r>
        <w:rPr>
          <w:b/>
        </w:rPr>
        <w:t>Implementation of the 2018-2019 budget</w:t>
      </w:r>
    </w:p>
    <w:p w:rsidR="000B40C8" w:rsidRDefault="000B40C8" w:rsidP="000B40C8">
      <w:pPr>
        <w:widowControl w:val="0"/>
        <w:autoSpaceDE w:val="0"/>
        <w:autoSpaceDN w:val="0"/>
        <w:adjustRightInd w:val="0"/>
        <w:contextualSpacing/>
        <w:jc w:val="center"/>
      </w:pPr>
      <w:r w:rsidRPr="00FD499C">
        <w:rPr>
          <w:b/>
        </w:rPr>
        <w:t xml:space="preserve"> as at 3</w:t>
      </w:r>
      <w:r>
        <w:rPr>
          <w:b/>
        </w:rPr>
        <w:t xml:space="preserve">0 November </w:t>
      </w:r>
      <w:r w:rsidRPr="003C43C4">
        <w:rPr>
          <w:b/>
        </w:rPr>
        <w:t>2019 (in Euros)</w:t>
      </w:r>
    </w:p>
    <w:p w:rsidR="000B40C8" w:rsidRDefault="000B40C8" w:rsidP="000B40C8">
      <w:pPr>
        <w:widowControl w:val="0"/>
        <w:autoSpaceDE w:val="0"/>
        <w:autoSpaceDN w:val="0"/>
        <w:adjustRightInd w:val="0"/>
        <w:contextualSpacing/>
        <w:jc w:val="center"/>
      </w:pPr>
    </w:p>
    <w:p w:rsidR="000B40C8" w:rsidRDefault="000B40C8" w:rsidP="000B40C8">
      <w:pPr>
        <w:widowControl w:val="0"/>
        <w:autoSpaceDE w:val="0"/>
        <w:autoSpaceDN w:val="0"/>
        <w:adjustRightInd w:val="0"/>
        <w:contextualSpacing/>
        <w:jc w:val="center"/>
      </w:pPr>
    </w:p>
    <w:tbl>
      <w:tblPr>
        <w:tblStyle w:val="TableGrid"/>
        <w:tblW w:w="14485" w:type="dxa"/>
        <w:tblLayout w:type="fixed"/>
        <w:tblLook w:val="04A0" w:firstRow="1" w:lastRow="0" w:firstColumn="1" w:lastColumn="0" w:noHBand="0" w:noVBand="1"/>
      </w:tblPr>
      <w:tblGrid>
        <w:gridCol w:w="4495"/>
        <w:gridCol w:w="1260"/>
        <w:gridCol w:w="1350"/>
        <w:gridCol w:w="1350"/>
        <w:gridCol w:w="1260"/>
        <w:gridCol w:w="1260"/>
        <w:gridCol w:w="1170"/>
        <w:gridCol w:w="1080"/>
        <w:gridCol w:w="1260"/>
      </w:tblGrid>
      <w:tr w:rsidR="000B40C8" w:rsidRPr="003C43C4" w:rsidTr="000B40C8">
        <w:trPr>
          <w:trHeight w:val="355"/>
          <w:tblHeader/>
        </w:trPr>
        <w:tc>
          <w:tcPr>
            <w:tcW w:w="4495" w:type="dxa"/>
            <w:vMerge w:val="restart"/>
            <w:shd w:val="clear" w:color="auto" w:fill="BDD6EE" w:themeFill="accent5" w:themeFillTint="66"/>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Object of expenditure</w:t>
            </w:r>
          </w:p>
        </w:tc>
        <w:tc>
          <w:tcPr>
            <w:tcW w:w="3960" w:type="dxa"/>
            <w:gridSpan w:val="3"/>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2018</w:t>
            </w:r>
          </w:p>
        </w:tc>
        <w:tc>
          <w:tcPr>
            <w:tcW w:w="6030" w:type="dxa"/>
            <w:gridSpan w:val="5"/>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2019</w:t>
            </w:r>
          </w:p>
        </w:tc>
      </w:tr>
      <w:tr w:rsidR="000B40C8" w:rsidRPr="003C43C4" w:rsidTr="000B40C8">
        <w:trPr>
          <w:trHeight w:val="332"/>
          <w:tblHeader/>
        </w:trPr>
        <w:tc>
          <w:tcPr>
            <w:tcW w:w="4495" w:type="dxa"/>
            <w:vMerge/>
            <w:shd w:val="clear" w:color="auto" w:fill="BDD6EE" w:themeFill="accent5" w:themeFillTint="66"/>
            <w:vAlign w:val="center"/>
            <w:hideMark/>
          </w:tcPr>
          <w:p w:rsidR="000B40C8" w:rsidRPr="003C43C4" w:rsidRDefault="000B40C8" w:rsidP="00745A87">
            <w:pPr>
              <w:tabs>
                <w:tab w:val="left" w:pos="8370"/>
              </w:tabs>
              <w:rPr>
                <w:rFonts w:ascii="Arial" w:hAnsi="Arial" w:cs="Arial"/>
                <w:b/>
                <w:bCs/>
                <w:sz w:val="18"/>
                <w:szCs w:val="18"/>
              </w:rPr>
            </w:pPr>
          </w:p>
        </w:tc>
        <w:tc>
          <w:tcPr>
            <w:tcW w:w="2610" w:type="dxa"/>
            <w:gridSpan w:val="2"/>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Budget</w:t>
            </w:r>
          </w:p>
        </w:tc>
        <w:tc>
          <w:tcPr>
            <w:tcW w:w="1350" w:type="dxa"/>
            <w:vMerge w:val="restart"/>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Expenditure</w:t>
            </w:r>
            <w:r w:rsidRPr="003C43C4">
              <w:rPr>
                <w:rStyle w:val="EndnoteReference"/>
                <w:rFonts w:ascii="Arial" w:hAnsi="Arial" w:cs="Arial"/>
                <w:sz w:val="18"/>
                <w:szCs w:val="18"/>
              </w:rPr>
              <w:endnoteReference w:id="1"/>
            </w:r>
          </w:p>
        </w:tc>
        <w:tc>
          <w:tcPr>
            <w:tcW w:w="2520" w:type="dxa"/>
            <w:gridSpan w:val="2"/>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Budget</w:t>
            </w:r>
          </w:p>
        </w:tc>
        <w:tc>
          <w:tcPr>
            <w:tcW w:w="3510" w:type="dxa"/>
            <w:gridSpan w:val="3"/>
            <w:shd w:val="clear" w:color="auto" w:fill="BDD6EE" w:themeFill="accent5" w:themeFillTint="66"/>
            <w:vAlign w:val="center"/>
            <w:hideMark/>
          </w:tcPr>
          <w:p w:rsidR="000B40C8" w:rsidRPr="003C43C4" w:rsidRDefault="000B40C8" w:rsidP="00745A87">
            <w:pPr>
              <w:tabs>
                <w:tab w:val="center" w:pos="1661"/>
                <w:tab w:val="left" w:pos="8370"/>
              </w:tabs>
              <w:jc w:val="center"/>
              <w:rPr>
                <w:rFonts w:ascii="Arial" w:hAnsi="Arial" w:cs="Arial"/>
                <w:b/>
                <w:bCs/>
                <w:sz w:val="18"/>
                <w:szCs w:val="18"/>
              </w:rPr>
            </w:pPr>
            <w:r w:rsidRPr="003C43C4">
              <w:rPr>
                <w:rFonts w:ascii="Arial" w:hAnsi="Arial" w:cs="Arial"/>
                <w:b/>
                <w:bCs/>
                <w:sz w:val="18"/>
                <w:szCs w:val="18"/>
              </w:rPr>
              <w:t xml:space="preserve">Expenditure </w:t>
            </w:r>
            <w:r w:rsidRPr="003C43C4">
              <w:rPr>
                <w:rStyle w:val="EndnoteReference"/>
                <w:rFonts w:ascii="Arial" w:hAnsi="Arial" w:cs="Arial"/>
                <w:sz w:val="18"/>
                <w:szCs w:val="18"/>
              </w:rPr>
              <w:endnoteReference w:id="2"/>
            </w:r>
          </w:p>
        </w:tc>
      </w:tr>
      <w:tr w:rsidR="000B40C8" w:rsidRPr="003C43C4" w:rsidTr="000B40C8">
        <w:trPr>
          <w:trHeight w:val="355"/>
          <w:tblHeader/>
        </w:trPr>
        <w:tc>
          <w:tcPr>
            <w:tcW w:w="4495" w:type="dxa"/>
            <w:vMerge/>
            <w:shd w:val="clear" w:color="auto" w:fill="BDD6EE" w:themeFill="accent5" w:themeFillTint="66"/>
            <w:vAlign w:val="center"/>
            <w:hideMark/>
          </w:tcPr>
          <w:p w:rsidR="000B40C8" w:rsidRPr="003C43C4" w:rsidRDefault="000B40C8" w:rsidP="00745A87">
            <w:pPr>
              <w:tabs>
                <w:tab w:val="left" w:pos="8370"/>
              </w:tabs>
              <w:rPr>
                <w:rFonts w:ascii="Arial" w:hAnsi="Arial" w:cs="Arial"/>
                <w:b/>
                <w:bCs/>
                <w:sz w:val="18"/>
                <w:szCs w:val="18"/>
              </w:rPr>
            </w:pPr>
          </w:p>
        </w:tc>
        <w:tc>
          <w:tcPr>
            <w:tcW w:w="1260" w:type="dxa"/>
            <w:vMerge w:val="restart"/>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Approved by COP12</w:t>
            </w:r>
          </w:p>
        </w:tc>
        <w:tc>
          <w:tcPr>
            <w:tcW w:w="1350" w:type="dxa"/>
            <w:vMerge w:val="restart"/>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Redeployed from 2019/20</w:t>
            </w:r>
          </w:p>
        </w:tc>
        <w:tc>
          <w:tcPr>
            <w:tcW w:w="1350" w:type="dxa"/>
            <w:vMerge/>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p>
        </w:tc>
        <w:tc>
          <w:tcPr>
            <w:tcW w:w="1260" w:type="dxa"/>
            <w:vMerge w:val="restart"/>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Approved</w:t>
            </w:r>
          </w:p>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by COP12</w:t>
            </w:r>
          </w:p>
        </w:tc>
        <w:tc>
          <w:tcPr>
            <w:tcW w:w="1260" w:type="dxa"/>
            <w:vMerge w:val="restart"/>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Redeployed</w:t>
            </w:r>
          </w:p>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from 2020</w:t>
            </w:r>
          </w:p>
        </w:tc>
        <w:tc>
          <w:tcPr>
            <w:tcW w:w="1170" w:type="dxa"/>
            <w:vMerge w:val="restart"/>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 xml:space="preserve">Jan </w:t>
            </w:r>
            <w:r>
              <w:rPr>
                <w:rFonts w:ascii="Arial" w:hAnsi="Arial" w:cs="Arial"/>
                <w:b/>
                <w:bCs/>
                <w:sz w:val="18"/>
                <w:szCs w:val="18"/>
              </w:rPr>
              <w:t>–</w:t>
            </w:r>
            <w:r w:rsidRPr="003C43C4">
              <w:rPr>
                <w:rFonts w:ascii="Arial" w:hAnsi="Arial" w:cs="Arial"/>
                <w:b/>
                <w:bCs/>
                <w:sz w:val="18"/>
                <w:szCs w:val="18"/>
              </w:rPr>
              <w:t xml:space="preserve"> </w:t>
            </w:r>
            <w:r>
              <w:rPr>
                <w:rFonts w:ascii="Arial" w:hAnsi="Arial" w:cs="Arial"/>
                <w:b/>
                <w:bCs/>
                <w:sz w:val="18"/>
                <w:szCs w:val="18"/>
              </w:rPr>
              <w:t>Nov</w:t>
            </w:r>
          </w:p>
        </w:tc>
        <w:tc>
          <w:tcPr>
            <w:tcW w:w="1080" w:type="dxa"/>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Dec</w:t>
            </w:r>
          </w:p>
        </w:tc>
        <w:tc>
          <w:tcPr>
            <w:tcW w:w="1260" w:type="dxa"/>
            <w:vMerge w:val="restart"/>
            <w:shd w:val="clear" w:color="auto" w:fill="BDD6EE" w:themeFill="accent5" w:themeFillTint="66"/>
            <w:vAlign w:val="center"/>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Total</w:t>
            </w:r>
          </w:p>
        </w:tc>
      </w:tr>
      <w:tr w:rsidR="000B40C8" w:rsidRPr="003C43C4" w:rsidTr="000B40C8">
        <w:trPr>
          <w:trHeight w:val="170"/>
          <w:tblHeader/>
        </w:trPr>
        <w:tc>
          <w:tcPr>
            <w:tcW w:w="4495" w:type="dxa"/>
            <w:vMerge/>
            <w:shd w:val="clear" w:color="auto" w:fill="BDD6EE" w:themeFill="accent5" w:themeFillTint="66"/>
            <w:vAlign w:val="center"/>
            <w:hideMark/>
          </w:tcPr>
          <w:p w:rsidR="000B40C8" w:rsidRPr="003C43C4" w:rsidRDefault="000B40C8" w:rsidP="00745A87">
            <w:pPr>
              <w:tabs>
                <w:tab w:val="left" w:pos="8370"/>
              </w:tabs>
              <w:rPr>
                <w:rFonts w:ascii="Arial" w:hAnsi="Arial" w:cs="Arial"/>
                <w:b/>
                <w:bCs/>
                <w:sz w:val="18"/>
                <w:szCs w:val="18"/>
              </w:rPr>
            </w:pPr>
          </w:p>
        </w:tc>
        <w:tc>
          <w:tcPr>
            <w:tcW w:w="1260" w:type="dxa"/>
            <w:vMerge/>
            <w:shd w:val="clear" w:color="auto" w:fill="BDD6EE" w:themeFill="accent5" w:themeFillTint="66"/>
            <w:hideMark/>
          </w:tcPr>
          <w:p w:rsidR="000B40C8" w:rsidRPr="003C43C4" w:rsidRDefault="000B40C8" w:rsidP="00745A87">
            <w:pPr>
              <w:tabs>
                <w:tab w:val="left" w:pos="8370"/>
              </w:tabs>
              <w:jc w:val="center"/>
              <w:rPr>
                <w:rFonts w:ascii="Arial" w:hAnsi="Arial" w:cs="Arial"/>
                <w:b/>
                <w:bCs/>
                <w:sz w:val="18"/>
                <w:szCs w:val="18"/>
              </w:rPr>
            </w:pPr>
          </w:p>
        </w:tc>
        <w:tc>
          <w:tcPr>
            <w:tcW w:w="1350" w:type="dxa"/>
            <w:vMerge/>
            <w:shd w:val="clear" w:color="auto" w:fill="BDD6EE" w:themeFill="accent5" w:themeFillTint="66"/>
            <w:hideMark/>
          </w:tcPr>
          <w:p w:rsidR="000B40C8" w:rsidRPr="003C43C4" w:rsidRDefault="000B40C8" w:rsidP="00745A87">
            <w:pPr>
              <w:tabs>
                <w:tab w:val="left" w:pos="8370"/>
              </w:tabs>
              <w:jc w:val="center"/>
              <w:rPr>
                <w:rFonts w:ascii="Arial" w:hAnsi="Arial" w:cs="Arial"/>
                <w:b/>
                <w:bCs/>
                <w:sz w:val="18"/>
                <w:szCs w:val="18"/>
              </w:rPr>
            </w:pPr>
          </w:p>
        </w:tc>
        <w:tc>
          <w:tcPr>
            <w:tcW w:w="1350" w:type="dxa"/>
            <w:vMerge/>
            <w:shd w:val="clear" w:color="auto" w:fill="BDD6EE" w:themeFill="accent5" w:themeFillTint="66"/>
            <w:hideMark/>
          </w:tcPr>
          <w:p w:rsidR="000B40C8" w:rsidRPr="003C43C4" w:rsidRDefault="000B40C8" w:rsidP="00745A87">
            <w:pPr>
              <w:tabs>
                <w:tab w:val="left" w:pos="8370"/>
              </w:tabs>
              <w:jc w:val="center"/>
              <w:rPr>
                <w:rFonts w:ascii="Arial" w:hAnsi="Arial" w:cs="Arial"/>
                <w:b/>
                <w:bCs/>
                <w:sz w:val="18"/>
                <w:szCs w:val="18"/>
              </w:rPr>
            </w:pPr>
          </w:p>
        </w:tc>
        <w:tc>
          <w:tcPr>
            <w:tcW w:w="1260" w:type="dxa"/>
            <w:vMerge/>
            <w:shd w:val="clear" w:color="auto" w:fill="BDD6EE" w:themeFill="accent5" w:themeFillTint="66"/>
            <w:hideMark/>
          </w:tcPr>
          <w:p w:rsidR="000B40C8" w:rsidRPr="003C43C4" w:rsidRDefault="000B40C8" w:rsidP="00745A87">
            <w:pPr>
              <w:tabs>
                <w:tab w:val="left" w:pos="8370"/>
              </w:tabs>
              <w:jc w:val="center"/>
              <w:rPr>
                <w:rFonts w:ascii="Arial" w:hAnsi="Arial" w:cs="Arial"/>
                <w:b/>
                <w:bCs/>
                <w:sz w:val="18"/>
                <w:szCs w:val="18"/>
              </w:rPr>
            </w:pPr>
          </w:p>
        </w:tc>
        <w:tc>
          <w:tcPr>
            <w:tcW w:w="1260" w:type="dxa"/>
            <w:vMerge/>
            <w:shd w:val="clear" w:color="auto" w:fill="BDD6EE" w:themeFill="accent5" w:themeFillTint="66"/>
            <w:hideMark/>
          </w:tcPr>
          <w:p w:rsidR="000B40C8" w:rsidRPr="003C43C4" w:rsidRDefault="000B40C8" w:rsidP="00745A87">
            <w:pPr>
              <w:tabs>
                <w:tab w:val="left" w:pos="8370"/>
              </w:tabs>
              <w:jc w:val="center"/>
              <w:rPr>
                <w:rFonts w:ascii="Arial" w:hAnsi="Arial" w:cs="Arial"/>
                <w:b/>
                <w:bCs/>
                <w:sz w:val="18"/>
                <w:szCs w:val="18"/>
              </w:rPr>
            </w:pPr>
          </w:p>
        </w:tc>
        <w:tc>
          <w:tcPr>
            <w:tcW w:w="1170" w:type="dxa"/>
            <w:vMerge/>
            <w:shd w:val="clear" w:color="auto" w:fill="BDD6EE" w:themeFill="accent5" w:themeFillTint="66"/>
            <w:hideMark/>
          </w:tcPr>
          <w:p w:rsidR="000B40C8" w:rsidRPr="003C43C4" w:rsidRDefault="000B40C8" w:rsidP="00745A87">
            <w:pPr>
              <w:tabs>
                <w:tab w:val="left" w:pos="8370"/>
              </w:tabs>
              <w:jc w:val="center"/>
              <w:rPr>
                <w:rFonts w:ascii="Arial" w:hAnsi="Arial" w:cs="Arial"/>
                <w:b/>
                <w:bCs/>
                <w:sz w:val="18"/>
                <w:szCs w:val="18"/>
              </w:rPr>
            </w:pPr>
          </w:p>
        </w:tc>
        <w:tc>
          <w:tcPr>
            <w:tcW w:w="1080" w:type="dxa"/>
            <w:shd w:val="clear" w:color="auto" w:fill="BDD6EE" w:themeFill="accent5" w:themeFillTint="66"/>
            <w:hideMark/>
          </w:tcPr>
          <w:p w:rsidR="000B40C8" w:rsidRPr="003C43C4" w:rsidRDefault="000B40C8" w:rsidP="00745A87">
            <w:pPr>
              <w:tabs>
                <w:tab w:val="left" w:pos="8370"/>
              </w:tabs>
              <w:jc w:val="center"/>
              <w:rPr>
                <w:rFonts w:ascii="Arial" w:hAnsi="Arial" w:cs="Arial"/>
                <w:b/>
                <w:bCs/>
                <w:sz w:val="18"/>
                <w:szCs w:val="18"/>
              </w:rPr>
            </w:pPr>
            <w:r w:rsidRPr="003C43C4">
              <w:rPr>
                <w:rFonts w:ascii="Arial" w:hAnsi="Arial" w:cs="Arial"/>
                <w:b/>
                <w:bCs/>
                <w:sz w:val="18"/>
                <w:szCs w:val="18"/>
              </w:rPr>
              <w:t>Projected</w:t>
            </w:r>
          </w:p>
        </w:tc>
        <w:tc>
          <w:tcPr>
            <w:tcW w:w="1260" w:type="dxa"/>
            <w:vMerge/>
            <w:shd w:val="clear" w:color="auto" w:fill="BDD6EE" w:themeFill="accent5" w:themeFillTint="66"/>
            <w:hideMark/>
          </w:tcPr>
          <w:p w:rsidR="000B40C8" w:rsidRPr="003C43C4" w:rsidRDefault="000B40C8" w:rsidP="00745A87">
            <w:pPr>
              <w:tabs>
                <w:tab w:val="left" w:pos="8370"/>
              </w:tabs>
              <w:jc w:val="center"/>
              <w:rPr>
                <w:rFonts w:ascii="Arial" w:hAnsi="Arial" w:cs="Arial"/>
                <w:b/>
                <w:bCs/>
                <w:sz w:val="18"/>
                <w:szCs w:val="18"/>
              </w:rPr>
            </w:pP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Staff Costs</w:t>
            </w: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17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08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 xml:space="preserve">Professional Staff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1,412,657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1,003,774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1,440,910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1,023,779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91,157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1,114,935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General Support Staff</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472,731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464,398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482,186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412,872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61,734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474,606 </w:t>
            </w:r>
          </w:p>
        </w:tc>
      </w:tr>
      <w:tr w:rsidR="000B40C8" w:rsidRPr="003C43C4" w:rsidTr="000B40C8">
        <w:trPr>
          <w:trHeight w:val="355"/>
        </w:trPr>
        <w:tc>
          <w:tcPr>
            <w:tcW w:w="4495" w:type="dxa"/>
            <w:shd w:val="clear" w:color="auto" w:fill="BDD6EE" w:themeFill="accent5" w:themeFillTint="66"/>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Sub-total</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1,885,388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1,468,172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1,923,096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17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1,436,651 </w:t>
            </w:r>
          </w:p>
        </w:tc>
        <w:tc>
          <w:tcPr>
            <w:tcW w:w="108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152,891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1,589,542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Contractual Services</w:t>
            </w: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17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08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Contractual services (general translations and document editing)</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90,168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124,728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91,971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75,174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2,355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77,529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Servicing of COP13 (interpretation, report writing)</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100,000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71,360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71,360 </w:t>
            </w:r>
          </w:p>
        </w:tc>
      </w:tr>
      <w:tr w:rsidR="000B40C8" w:rsidRPr="003C43C4" w:rsidTr="00745A87">
        <w:trPr>
          <w:trHeight w:val="355"/>
        </w:trPr>
        <w:tc>
          <w:tcPr>
            <w:tcW w:w="4495" w:type="dxa"/>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Information Material Production</w:t>
            </w:r>
          </w:p>
        </w:tc>
        <w:tc>
          <w:tcPr>
            <w:tcW w:w="126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12,750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2,904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13,005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168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6,000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6,168 </w:t>
            </w:r>
          </w:p>
        </w:tc>
      </w:tr>
      <w:tr w:rsidR="000B40C8" w:rsidRPr="003C43C4" w:rsidTr="000B40C8">
        <w:trPr>
          <w:trHeight w:val="355"/>
        </w:trPr>
        <w:tc>
          <w:tcPr>
            <w:tcW w:w="4495" w:type="dxa"/>
            <w:shd w:val="clear" w:color="auto" w:fill="BDD6EE" w:themeFill="accent5" w:themeFillTint="66"/>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Sub-total</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102,918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127,632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104,976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100,000 </w:t>
            </w:r>
          </w:p>
        </w:tc>
        <w:tc>
          <w:tcPr>
            <w:tcW w:w="117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146,702 </w:t>
            </w:r>
          </w:p>
        </w:tc>
        <w:tc>
          <w:tcPr>
            <w:tcW w:w="108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8,355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155,057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Operating Costs</w:t>
            </w: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17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08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ICT Tools, Website Development and Maintenance</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6,630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5,845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6,763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7,521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7,521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Staff Development (training, retreats etc.)</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10,200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12,465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20,827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439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439 </w:t>
            </w:r>
          </w:p>
        </w:tc>
      </w:tr>
      <w:tr w:rsidR="000B40C8" w:rsidRPr="003C43C4" w:rsidTr="00745A87">
        <w:trPr>
          <w:trHeight w:val="355"/>
        </w:trPr>
        <w:tc>
          <w:tcPr>
            <w:tcW w:w="4495" w:type="dxa"/>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Information Technology Services (UNV)</w:t>
            </w:r>
          </w:p>
        </w:tc>
        <w:tc>
          <w:tcPr>
            <w:tcW w:w="126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71,400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69,086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72,828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67,553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67,553 </w:t>
            </w:r>
          </w:p>
        </w:tc>
      </w:tr>
      <w:tr w:rsidR="000B40C8" w:rsidRPr="003C43C4" w:rsidTr="00745A87">
        <w:trPr>
          <w:trHeight w:val="355"/>
        </w:trPr>
        <w:tc>
          <w:tcPr>
            <w:tcW w:w="4495" w:type="dxa"/>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Office Automation Services (printer leases, hosting etc.)</w:t>
            </w:r>
          </w:p>
        </w:tc>
        <w:tc>
          <w:tcPr>
            <w:tcW w:w="126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10,200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3,267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10,404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8,947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8,947 </w:t>
            </w:r>
          </w:p>
        </w:tc>
      </w:tr>
      <w:tr w:rsidR="000B40C8" w:rsidRPr="003C43C4" w:rsidTr="00745A87">
        <w:trPr>
          <w:trHeight w:val="355"/>
        </w:trPr>
        <w:tc>
          <w:tcPr>
            <w:tcW w:w="4495" w:type="dxa"/>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Communication and Courier Services</w:t>
            </w:r>
          </w:p>
        </w:tc>
        <w:tc>
          <w:tcPr>
            <w:tcW w:w="126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17,850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3,221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18,207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7,895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7,895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Miscellaneous</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3,813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4,155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3,889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324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324 </w:t>
            </w:r>
          </w:p>
        </w:tc>
      </w:tr>
      <w:tr w:rsidR="000B40C8" w:rsidRPr="003C43C4" w:rsidTr="000B40C8">
        <w:trPr>
          <w:trHeight w:val="355"/>
        </w:trPr>
        <w:tc>
          <w:tcPr>
            <w:tcW w:w="4495" w:type="dxa"/>
            <w:shd w:val="clear" w:color="auto" w:fill="BDD6EE" w:themeFill="accent5" w:themeFillTint="66"/>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Sub-total</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120,093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12,465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106,400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112,091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17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92,679 </w:t>
            </w:r>
          </w:p>
        </w:tc>
        <w:tc>
          <w:tcPr>
            <w:tcW w:w="108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92,679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lastRenderedPageBreak/>
              <w:t>Supplies</w:t>
            </w: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17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08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r>
      <w:tr w:rsidR="000B40C8" w:rsidRPr="003C43C4" w:rsidTr="00745A87">
        <w:trPr>
          <w:trHeight w:val="355"/>
        </w:trPr>
        <w:tc>
          <w:tcPr>
            <w:tcW w:w="4495" w:type="dxa"/>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Office Supplies</w:t>
            </w:r>
          </w:p>
        </w:tc>
        <w:tc>
          <w:tcPr>
            <w:tcW w:w="126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5,916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5,620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6,034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269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3,000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3,269 </w:t>
            </w:r>
          </w:p>
        </w:tc>
      </w:tr>
      <w:tr w:rsidR="000B40C8" w:rsidRPr="003C43C4" w:rsidTr="000B40C8">
        <w:trPr>
          <w:trHeight w:val="355"/>
        </w:trPr>
        <w:tc>
          <w:tcPr>
            <w:tcW w:w="4495" w:type="dxa"/>
            <w:shd w:val="clear" w:color="auto" w:fill="BDD6EE" w:themeFill="accent5" w:themeFillTint="66"/>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Sub-total</w:t>
            </w:r>
          </w:p>
        </w:tc>
        <w:tc>
          <w:tcPr>
            <w:tcW w:w="1260" w:type="dxa"/>
            <w:shd w:val="clear" w:color="auto" w:fill="BDD6EE" w:themeFill="accent5" w:themeFillTint="66"/>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5,916 </w:t>
            </w:r>
          </w:p>
        </w:tc>
        <w:tc>
          <w:tcPr>
            <w:tcW w:w="1350" w:type="dxa"/>
            <w:shd w:val="clear" w:color="auto" w:fill="BDD6EE" w:themeFill="accent5" w:themeFillTint="66"/>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350" w:type="dxa"/>
            <w:shd w:val="clear" w:color="auto" w:fill="BDD6EE" w:themeFill="accent5" w:themeFillTint="66"/>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5,620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6,034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17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269 </w:t>
            </w:r>
          </w:p>
        </w:tc>
        <w:tc>
          <w:tcPr>
            <w:tcW w:w="108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3,000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3,269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Equipment</w:t>
            </w: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17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08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r>
      <w:tr w:rsidR="000B40C8" w:rsidRPr="003C43C4" w:rsidTr="00745A87">
        <w:trPr>
          <w:trHeight w:val="355"/>
        </w:trPr>
        <w:tc>
          <w:tcPr>
            <w:tcW w:w="4495" w:type="dxa"/>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Non-expendable Equipment</w:t>
            </w:r>
          </w:p>
        </w:tc>
        <w:tc>
          <w:tcPr>
            <w:tcW w:w="126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10,710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3,580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10,924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2,500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2,500 </w:t>
            </w:r>
          </w:p>
        </w:tc>
      </w:tr>
      <w:tr w:rsidR="000B40C8" w:rsidRPr="003C43C4" w:rsidTr="000B40C8">
        <w:trPr>
          <w:trHeight w:val="355"/>
        </w:trPr>
        <w:tc>
          <w:tcPr>
            <w:tcW w:w="4495" w:type="dxa"/>
            <w:shd w:val="clear" w:color="auto" w:fill="BDD6EE" w:themeFill="accent5" w:themeFillTint="66"/>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Sub-total</w:t>
            </w:r>
          </w:p>
        </w:tc>
        <w:tc>
          <w:tcPr>
            <w:tcW w:w="1260" w:type="dxa"/>
            <w:shd w:val="clear" w:color="auto" w:fill="BDD6EE" w:themeFill="accent5" w:themeFillTint="66"/>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10,710 </w:t>
            </w:r>
          </w:p>
        </w:tc>
        <w:tc>
          <w:tcPr>
            <w:tcW w:w="1350" w:type="dxa"/>
            <w:shd w:val="clear" w:color="auto" w:fill="BDD6EE" w:themeFill="accent5" w:themeFillTint="66"/>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350" w:type="dxa"/>
            <w:shd w:val="clear" w:color="auto" w:fill="BDD6EE" w:themeFill="accent5" w:themeFillTint="66"/>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3,580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10,924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17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08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2,500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2,500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Travel</w:t>
            </w: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17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08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Staff travel</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64,974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55,192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66,274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75,931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75,931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Standing Committee meetings</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22,965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18,291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23,424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13,611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13,611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Scientific Council meetings</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52,424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35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44,837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53,472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49,195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 49,195 </w:t>
            </w:r>
          </w:p>
        </w:tc>
      </w:tr>
      <w:tr w:rsidR="000B40C8" w:rsidRPr="003C43C4" w:rsidTr="000B40C8">
        <w:trPr>
          <w:trHeight w:val="355"/>
        </w:trPr>
        <w:tc>
          <w:tcPr>
            <w:tcW w:w="4495" w:type="dxa"/>
            <w:shd w:val="clear" w:color="auto" w:fill="BDD6EE" w:themeFill="accent5" w:themeFillTint="66"/>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Sub-total</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140,363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118,321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143,170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17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138,737 </w:t>
            </w:r>
          </w:p>
        </w:tc>
        <w:tc>
          <w:tcPr>
            <w:tcW w:w="108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 138,737 </w:t>
            </w:r>
          </w:p>
        </w:tc>
      </w:tr>
      <w:tr w:rsidR="000B40C8" w:rsidRPr="003C43C4" w:rsidTr="00745A87">
        <w:trPr>
          <w:trHeight w:val="355"/>
        </w:trPr>
        <w:tc>
          <w:tcPr>
            <w:tcW w:w="4495" w:type="dxa"/>
            <w:noWrap/>
            <w:vAlign w:val="center"/>
            <w:hideMark/>
          </w:tcPr>
          <w:p w:rsidR="000B40C8" w:rsidRPr="003C43C4" w:rsidRDefault="000B40C8" w:rsidP="00745A87">
            <w:pPr>
              <w:tabs>
                <w:tab w:val="left" w:pos="8370"/>
              </w:tabs>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35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17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080" w:type="dxa"/>
            <w:noWrap/>
            <w:vAlign w:val="center"/>
            <w:hideMark/>
          </w:tcPr>
          <w:p w:rsidR="000B40C8" w:rsidRPr="003C43C4" w:rsidRDefault="000B40C8" w:rsidP="00745A87">
            <w:pPr>
              <w:tabs>
                <w:tab w:val="left" w:pos="8370"/>
              </w:tabs>
              <w:jc w:val="right"/>
              <w:rPr>
                <w:rFonts w:ascii="Arial" w:hAnsi="Arial" w:cs="Arial"/>
                <w:b/>
                <w:bCs/>
                <w:sz w:val="18"/>
                <w:szCs w:val="18"/>
              </w:rPr>
            </w:pPr>
          </w:p>
        </w:tc>
        <w:tc>
          <w:tcPr>
            <w:tcW w:w="1260" w:type="dxa"/>
            <w:noWrap/>
            <w:vAlign w:val="center"/>
            <w:hideMark/>
          </w:tcPr>
          <w:p w:rsidR="000B40C8" w:rsidRPr="003C43C4" w:rsidRDefault="000B40C8" w:rsidP="00745A87">
            <w:pPr>
              <w:tabs>
                <w:tab w:val="left" w:pos="8370"/>
              </w:tabs>
              <w:jc w:val="right"/>
              <w:rPr>
                <w:rFonts w:ascii="Arial" w:hAnsi="Arial" w:cs="Arial"/>
                <w:b/>
                <w:bCs/>
                <w:sz w:val="18"/>
                <w:szCs w:val="18"/>
              </w:rPr>
            </w:pPr>
          </w:p>
        </w:tc>
      </w:tr>
      <w:tr w:rsidR="000B40C8" w:rsidRPr="003C43C4" w:rsidTr="000B40C8">
        <w:trPr>
          <w:trHeight w:val="355"/>
        </w:trPr>
        <w:tc>
          <w:tcPr>
            <w:tcW w:w="4495" w:type="dxa"/>
            <w:shd w:val="clear" w:color="auto" w:fill="BDD6EE" w:themeFill="accent5" w:themeFillTint="66"/>
            <w:noWrap/>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Total</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2,265,388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12,465 </w:t>
            </w:r>
          </w:p>
        </w:tc>
        <w:tc>
          <w:tcPr>
            <w:tcW w:w="135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1,829,726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2,300,291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100,000 </w:t>
            </w:r>
          </w:p>
        </w:tc>
        <w:tc>
          <w:tcPr>
            <w:tcW w:w="117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1,815,038 </w:t>
            </w:r>
          </w:p>
        </w:tc>
        <w:tc>
          <w:tcPr>
            <w:tcW w:w="108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166,746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1,981,784 </w:t>
            </w:r>
          </w:p>
        </w:tc>
      </w:tr>
      <w:tr w:rsidR="000B40C8" w:rsidRPr="003C43C4" w:rsidTr="00745A87">
        <w:trPr>
          <w:trHeight w:val="355"/>
        </w:trPr>
        <w:tc>
          <w:tcPr>
            <w:tcW w:w="4495" w:type="dxa"/>
            <w:vAlign w:val="center"/>
            <w:hideMark/>
          </w:tcPr>
          <w:p w:rsidR="000B40C8" w:rsidRPr="003C43C4" w:rsidRDefault="000B40C8" w:rsidP="00745A87">
            <w:pPr>
              <w:tabs>
                <w:tab w:val="left" w:pos="8370"/>
              </w:tabs>
              <w:rPr>
                <w:rFonts w:ascii="Arial" w:hAnsi="Arial" w:cs="Arial"/>
                <w:sz w:val="18"/>
                <w:szCs w:val="18"/>
              </w:rPr>
            </w:pPr>
            <w:r w:rsidRPr="003C43C4">
              <w:rPr>
                <w:rFonts w:ascii="Arial" w:hAnsi="Arial" w:cs="Arial"/>
                <w:sz w:val="18"/>
                <w:szCs w:val="18"/>
              </w:rPr>
              <w:t>Programme Support Costs</w:t>
            </w:r>
          </w:p>
        </w:tc>
        <w:tc>
          <w:tcPr>
            <w:tcW w:w="126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294,500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1,620 </w:t>
            </w:r>
          </w:p>
        </w:tc>
        <w:tc>
          <w:tcPr>
            <w:tcW w:w="1350" w:type="dxa"/>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237,864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299,038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13,000 </w:t>
            </w:r>
          </w:p>
        </w:tc>
        <w:tc>
          <w:tcPr>
            <w:tcW w:w="117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235,955 </w:t>
            </w:r>
          </w:p>
        </w:tc>
        <w:tc>
          <w:tcPr>
            <w:tcW w:w="108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21,677 </w:t>
            </w:r>
          </w:p>
        </w:tc>
        <w:tc>
          <w:tcPr>
            <w:tcW w:w="1260" w:type="dxa"/>
            <w:noWrap/>
            <w:vAlign w:val="center"/>
            <w:hideMark/>
          </w:tcPr>
          <w:p w:rsidR="000B40C8" w:rsidRPr="003C43C4" w:rsidRDefault="000B40C8" w:rsidP="00745A87">
            <w:pPr>
              <w:tabs>
                <w:tab w:val="left" w:pos="8370"/>
              </w:tabs>
              <w:jc w:val="right"/>
              <w:rPr>
                <w:rFonts w:ascii="Arial" w:hAnsi="Arial" w:cs="Arial"/>
                <w:bCs/>
                <w:sz w:val="18"/>
                <w:szCs w:val="18"/>
              </w:rPr>
            </w:pPr>
            <w:r w:rsidRPr="003C43C4">
              <w:rPr>
                <w:rFonts w:ascii="Arial" w:hAnsi="Arial" w:cs="Arial"/>
                <w:bCs/>
                <w:sz w:val="18"/>
                <w:szCs w:val="18"/>
              </w:rPr>
              <w:t xml:space="preserve">257,632 </w:t>
            </w:r>
          </w:p>
        </w:tc>
      </w:tr>
      <w:tr w:rsidR="000B40C8" w:rsidRPr="003C43C4" w:rsidTr="000B40C8">
        <w:trPr>
          <w:trHeight w:val="376"/>
        </w:trPr>
        <w:tc>
          <w:tcPr>
            <w:tcW w:w="4495" w:type="dxa"/>
            <w:shd w:val="clear" w:color="auto" w:fill="BDD6EE" w:themeFill="accent5" w:themeFillTint="66"/>
            <w:vAlign w:val="center"/>
            <w:hideMark/>
          </w:tcPr>
          <w:p w:rsidR="000B40C8" w:rsidRPr="003C43C4" w:rsidRDefault="000B40C8" w:rsidP="00745A87">
            <w:pPr>
              <w:tabs>
                <w:tab w:val="left" w:pos="8370"/>
              </w:tabs>
              <w:rPr>
                <w:rFonts w:ascii="Arial" w:hAnsi="Arial" w:cs="Arial"/>
                <w:b/>
                <w:bCs/>
                <w:sz w:val="18"/>
                <w:szCs w:val="18"/>
              </w:rPr>
            </w:pPr>
            <w:r w:rsidRPr="003C43C4">
              <w:rPr>
                <w:rFonts w:ascii="Arial" w:hAnsi="Arial" w:cs="Arial"/>
                <w:b/>
                <w:bCs/>
                <w:sz w:val="18"/>
                <w:szCs w:val="18"/>
              </w:rPr>
              <w:t>Grand total</w:t>
            </w:r>
          </w:p>
        </w:tc>
        <w:tc>
          <w:tcPr>
            <w:tcW w:w="1260" w:type="dxa"/>
            <w:shd w:val="clear" w:color="auto" w:fill="BDD6EE" w:themeFill="accent5" w:themeFillTint="66"/>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2,559,888 </w:t>
            </w:r>
          </w:p>
        </w:tc>
        <w:tc>
          <w:tcPr>
            <w:tcW w:w="1350" w:type="dxa"/>
            <w:shd w:val="clear" w:color="auto" w:fill="BDD6EE" w:themeFill="accent5" w:themeFillTint="66"/>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14,085 </w:t>
            </w:r>
          </w:p>
        </w:tc>
        <w:tc>
          <w:tcPr>
            <w:tcW w:w="1350" w:type="dxa"/>
            <w:shd w:val="clear" w:color="auto" w:fill="BDD6EE" w:themeFill="accent5" w:themeFillTint="66"/>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2,067,590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2,599,329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113,000 </w:t>
            </w:r>
          </w:p>
        </w:tc>
        <w:tc>
          <w:tcPr>
            <w:tcW w:w="117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2,050,993 </w:t>
            </w:r>
          </w:p>
        </w:tc>
        <w:tc>
          <w:tcPr>
            <w:tcW w:w="108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188,423 </w:t>
            </w:r>
          </w:p>
        </w:tc>
        <w:tc>
          <w:tcPr>
            <w:tcW w:w="1260" w:type="dxa"/>
            <w:shd w:val="clear" w:color="auto" w:fill="BDD6EE" w:themeFill="accent5" w:themeFillTint="66"/>
            <w:noWrap/>
            <w:vAlign w:val="center"/>
            <w:hideMark/>
          </w:tcPr>
          <w:p w:rsidR="000B40C8" w:rsidRPr="003C43C4" w:rsidRDefault="000B40C8" w:rsidP="00745A87">
            <w:pPr>
              <w:tabs>
                <w:tab w:val="left" w:pos="8370"/>
              </w:tabs>
              <w:jc w:val="right"/>
              <w:rPr>
                <w:rFonts w:ascii="Arial" w:hAnsi="Arial" w:cs="Arial"/>
                <w:b/>
                <w:bCs/>
                <w:sz w:val="18"/>
                <w:szCs w:val="18"/>
              </w:rPr>
            </w:pPr>
            <w:r w:rsidRPr="003C43C4">
              <w:rPr>
                <w:rFonts w:ascii="Arial" w:hAnsi="Arial" w:cs="Arial"/>
                <w:b/>
                <w:bCs/>
                <w:sz w:val="18"/>
                <w:szCs w:val="18"/>
              </w:rPr>
              <w:t xml:space="preserve">2,239,416 </w:t>
            </w:r>
          </w:p>
        </w:tc>
      </w:tr>
    </w:tbl>
    <w:p w:rsidR="000B40C8" w:rsidRDefault="000B40C8" w:rsidP="000B40C8">
      <w:pPr>
        <w:jc w:val="both"/>
        <w:rPr>
          <w:sz w:val="16"/>
          <w:szCs w:val="16"/>
        </w:rPr>
      </w:pPr>
    </w:p>
    <w:p w:rsidR="000B40C8" w:rsidRPr="001F56E8" w:rsidRDefault="000B40C8" w:rsidP="000B40C8">
      <w:pPr>
        <w:jc w:val="both"/>
      </w:pPr>
      <w:r w:rsidRPr="00F00869">
        <w:rPr>
          <w:vertAlign w:val="superscript"/>
        </w:rPr>
        <w:t xml:space="preserve"> </w:t>
      </w:r>
    </w:p>
    <w:p w:rsidR="00E32AFC" w:rsidRPr="00360838" w:rsidRDefault="00E32AFC" w:rsidP="00E32AFC">
      <w:pPr>
        <w:pStyle w:val="Firstnumbering"/>
        <w:numPr>
          <w:ilvl w:val="0"/>
          <w:numId w:val="0"/>
        </w:numPr>
        <w:ind w:left="567" w:hanging="567"/>
      </w:pPr>
    </w:p>
    <w:sectPr w:rsidR="00E32AFC" w:rsidRPr="00360838" w:rsidSect="00002BC2">
      <w:headerReference w:type="even" r:id="rId18"/>
      <w:headerReference w:type="default" r:id="rId19"/>
      <w:pgSz w:w="16838" w:h="11906" w:orient="landscape" w:code="9"/>
      <w:pgMar w:top="1080" w:right="1440" w:bottom="1440" w:left="9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AFC" w:rsidRDefault="00E32AFC" w:rsidP="002E0DE9">
      <w:pPr>
        <w:spacing w:after="0" w:line="240" w:lineRule="auto"/>
      </w:pPr>
      <w:r>
        <w:separator/>
      </w:r>
    </w:p>
  </w:endnote>
  <w:endnote w:type="continuationSeparator" w:id="0">
    <w:p w:rsidR="00E32AFC" w:rsidRDefault="00E32AFC" w:rsidP="002E0DE9">
      <w:pPr>
        <w:spacing w:after="0" w:line="240" w:lineRule="auto"/>
      </w:pPr>
      <w:r>
        <w:continuationSeparator/>
      </w:r>
    </w:p>
  </w:endnote>
  <w:endnote w:id="1">
    <w:p w:rsidR="000B40C8" w:rsidRDefault="000B40C8" w:rsidP="000B40C8">
      <w:pPr>
        <w:pStyle w:val="EndnoteText"/>
      </w:pPr>
      <w:r>
        <w:rPr>
          <w:rStyle w:val="EndnoteReference"/>
        </w:rPr>
        <w:endnoteRef/>
      </w:r>
      <w:r>
        <w:t xml:space="preserve"> </w:t>
      </w:r>
      <w:r w:rsidRPr="000717FB">
        <w:rPr>
          <w:sz w:val="16"/>
          <w:szCs w:val="16"/>
        </w:rPr>
        <w:t>UNEP’s official accounts are maintained in US dollars, however, for the purpose of this report, expenditure in Euros have been estimated by using an average of the monthly UN official exchange rates during the expenditure period</w:t>
      </w:r>
      <w:r>
        <w:rPr>
          <w:sz w:val="16"/>
          <w:szCs w:val="16"/>
        </w:rPr>
        <w:t xml:space="preserve"> – Jan-Dec 2018</w:t>
      </w:r>
      <w:r w:rsidRPr="000717FB">
        <w:rPr>
          <w:sz w:val="16"/>
          <w:szCs w:val="16"/>
        </w:rPr>
        <w:t xml:space="preserve"> (1 US</w:t>
      </w:r>
      <w:r>
        <w:rPr>
          <w:sz w:val="16"/>
          <w:szCs w:val="16"/>
        </w:rPr>
        <w:t>$</w:t>
      </w:r>
      <w:r w:rsidRPr="000717FB">
        <w:rPr>
          <w:sz w:val="16"/>
          <w:szCs w:val="16"/>
        </w:rPr>
        <w:t xml:space="preserve"> = </w:t>
      </w:r>
      <w:r>
        <w:rPr>
          <w:sz w:val="16"/>
          <w:szCs w:val="16"/>
        </w:rPr>
        <w:t>€</w:t>
      </w:r>
      <w:r w:rsidRPr="000717FB">
        <w:rPr>
          <w:sz w:val="16"/>
          <w:szCs w:val="16"/>
        </w:rPr>
        <w:t>0.8</w:t>
      </w:r>
      <w:r>
        <w:rPr>
          <w:sz w:val="16"/>
          <w:szCs w:val="16"/>
        </w:rPr>
        <w:t>46</w:t>
      </w:r>
      <w:r w:rsidRPr="000717FB">
        <w:rPr>
          <w:sz w:val="16"/>
          <w:szCs w:val="16"/>
        </w:rPr>
        <w:t>).</w:t>
      </w:r>
    </w:p>
  </w:endnote>
  <w:endnote w:id="2">
    <w:p w:rsidR="000B40C8" w:rsidRDefault="000B40C8" w:rsidP="000B40C8">
      <w:pPr>
        <w:pStyle w:val="EndnoteText"/>
      </w:pPr>
      <w:r>
        <w:rPr>
          <w:rStyle w:val="EndnoteReference"/>
        </w:rPr>
        <w:endnoteRef/>
      </w:r>
      <w:r>
        <w:t xml:space="preserve"> </w:t>
      </w:r>
      <w:r w:rsidRPr="000717FB">
        <w:rPr>
          <w:sz w:val="16"/>
          <w:szCs w:val="16"/>
        </w:rPr>
        <w:t>UNEP’s official accounts are maintained in US dollars, however, for the purpose of this report, expenditure in Euros have been estimated by using an average of the monthly UN official exchange rates during the expenditure period</w:t>
      </w:r>
      <w:r>
        <w:rPr>
          <w:sz w:val="16"/>
          <w:szCs w:val="16"/>
        </w:rPr>
        <w:t xml:space="preserve"> – Jan-Nov 2019</w:t>
      </w:r>
      <w:r w:rsidRPr="000717FB">
        <w:rPr>
          <w:sz w:val="16"/>
          <w:szCs w:val="16"/>
        </w:rPr>
        <w:t xml:space="preserve"> (1 US</w:t>
      </w:r>
      <w:r>
        <w:rPr>
          <w:sz w:val="16"/>
          <w:szCs w:val="16"/>
        </w:rPr>
        <w:t>$</w:t>
      </w:r>
      <w:r w:rsidRPr="000717FB">
        <w:rPr>
          <w:sz w:val="16"/>
          <w:szCs w:val="16"/>
        </w:rPr>
        <w:t xml:space="preserve"> = </w:t>
      </w:r>
      <w:r>
        <w:rPr>
          <w:sz w:val="16"/>
          <w:szCs w:val="16"/>
        </w:rPr>
        <w:t>€</w:t>
      </w:r>
      <w:r w:rsidRPr="000717FB">
        <w:rPr>
          <w:sz w:val="16"/>
          <w:szCs w:val="16"/>
        </w:rPr>
        <w:t>0.8</w:t>
      </w:r>
      <w:r>
        <w:rPr>
          <w:sz w:val="16"/>
          <w:szCs w:val="16"/>
        </w:rPr>
        <w:t>92</w:t>
      </w:r>
      <w:r w:rsidRPr="000717FB">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461583"/>
      <w:docPartObj>
        <w:docPartGallery w:val="Page Numbers (Bottom of Page)"/>
        <w:docPartUnique/>
      </w:docPartObj>
    </w:sdtPr>
    <w:sdtEndPr>
      <w:rPr>
        <w:noProof/>
        <w:sz w:val="18"/>
        <w:szCs w:val="18"/>
      </w:rPr>
    </w:sdtEndPr>
    <w:sdtContent>
      <w:p w:rsidR="00E32AFC" w:rsidRPr="002E0DE9" w:rsidRDefault="00E32AFC">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779640"/>
      <w:docPartObj>
        <w:docPartGallery w:val="Page Numbers (Bottom of Page)"/>
        <w:docPartUnique/>
      </w:docPartObj>
    </w:sdtPr>
    <w:sdtEndPr>
      <w:rPr>
        <w:noProof/>
        <w:sz w:val="18"/>
        <w:szCs w:val="18"/>
      </w:rPr>
    </w:sdtEndPr>
    <w:sdtContent>
      <w:p w:rsidR="000B40C8" w:rsidRPr="000B40C8" w:rsidRDefault="000B40C8">
        <w:pPr>
          <w:pStyle w:val="Footer"/>
          <w:jc w:val="center"/>
          <w:rPr>
            <w:sz w:val="18"/>
            <w:szCs w:val="18"/>
          </w:rPr>
        </w:pPr>
        <w:r w:rsidRPr="000B40C8">
          <w:rPr>
            <w:sz w:val="18"/>
            <w:szCs w:val="18"/>
          </w:rPr>
          <w:fldChar w:fldCharType="begin"/>
        </w:r>
        <w:r w:rsidRPr="000B40C8">
          <w:rPr>
            <w:sz w:val="18"/>
            <w:szCs w:val="18"/>
          </w:rPr>
          <w:instrText xml:space="preserve"> PAGE   \* MERGEFORMAT </w:instrText>
        </w:r>
        <w:r w:rsidRPr="000B40C8">
          <w:rPr>
            <w:sz w:val="18"/>
            <w:szCs w:val="18"/>
          </w:rPr>
          <w:fldChar w:fldCharType="separate"/>
        </w:r>
        <w:r w:rsidRPr="000B40C8">
          <w:rPr>
            <w:noProof/>
            <w:sz w:val="18"/>
            <w:szCs w:val="18"/>
          </w:rPr>
          <w:t>2</w:t>
        </w:r>
        <w:r w:rsidRPr="000B40C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43731"/>
      <w:docPartObj>
        <w:docPartGallery w:val="Page Numbers (Bottom of Page)"/>
        <w:docPartUnique/>
      </w:docPartObj>
    </w:sdtPr>
    <w:sdtEndPr>
      <w:rPr>
        <w:noProof/>
        <w:sz w:val="18"/>
        <w:szCs w:val="18"/>
      </w:rPr>
    </w:sdtEndPr>
    <w:sdtContent>
      <w:p w:rsidR="000B40C8" w:rsidRPr="000B40C8" w:rsidRDefault="000B40C8" w:rsidP="000B40C8">
        <w:pPr>
          <w:pStyle w:val="Footer"/>
          <w:jc w:val="center"/>
          <w:rPr>
            <w:sz w:val="18"/>
            <w:szCs w:val="18"/>
          </w:rPr>
        </w:pPr>
        <w:r w:rsidRPr="000B40C8">
          <w:rPr>
            <w:sz w:val="18"/>
            <w:szCs w:val="18"/>
          </w:rPr>
          <w:fldChar w:fldCharType="begin"/>
        </w:r>
        <w:r w:rsidRPr="000B40C8">
          <w:rPr>
            <w:sz w:val="18"/>
            <w:szCs w:val="18"/>
          </w:rPr>
          <w:instrText xml:space="preserve"> PAGE   \* MERGEFORMAT </w:instrText>
        </w:r>
        <w:r w:rsidRPr="000B40C8">
          <w:rPr>
            <w:sz w:val="18"/>
            <w:szCs w:val="18"/>
          </w:rPr>
          <w:fldChar w:fldCharType="separate"/>
        </w:r>
        <w:r w:rsidRPr="000B40C8">
          <w:rPr>
            <w:noProof/>
            <w:sz w:val="18"/>
            <w:szCs w:val="18"/>
          </w:rPr>
          <w:t>2</w:t>
        </w:r>
        <w:r w:rsidRPr="000B40C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AFC" w:rsidRDefault="00E32AFC" w:rsidP="002E0DE9">
      <w:pPr>
        <w:spacing w:after="0" w:line="240" w:lineRule="auto"/>
      </w:pPr>
      <w:r>
        <w:separator/>
      </w:r>
    </w:p>
  </w:footnote>
  <w:footnote w:type="continuationSeparator" w:id="0">
    <w:p w:rsidR="00E32AFC" w:rsidRDefault="00E32AFC" w:rsidP="002E0DE9">
      <w:pPr>
        <w:spacing w:after="0" w:line="240" w:lineRule="auto"/>
      </w:pPr>
      <w:r>
        <w:continuationSeparator/>
      </w:r>
    </w:p>
  </w:footnote>
  <w:footnote w:id="1">
    <w:p w:rsidR="00E32AFC" w:rsidRPr="00002BC2" w:rsidRDefault="00E32AFC" w:rsidP="00E32AFC">
      <w:pPr>
        <w:pStyle w:val="FootnoteText"/>
        <w:rPr>
          <w:highlight w:val="yellow"/>
        </w:rPr>
      </w:pPr>
      <w:r w:rsidRPr="00407783">
        <w:rPr>
          <w:rStyle w:val="FootnoteReference"/>
          <w:sz w:val="18"/>
        </w:rPr>
        <w:footnoteRef/>
      </w:r>
      <w:r w:rsidRPr="00407783">
        <w:rPr>
          <w:sz w:val="18"/>
        </w:rPr>
        <w:t xml:space="preserve"> </w:t>
      </w:r>
      <w:r w:rsidRPr="00407783">
        <w:rPr>
          <w:sz w:val="16"/>
          <w:szCs w:val="16"/>
        </w:rPr>
        <w:t>Equivalent to US</w:t>
      </w:r>
      <w:r w:rsidR="00D01EBD">
        <w:rPr>
          <w:sz w:val="16"/>
          <w:szCs w:val="16"/>
        </w:rPr>
        <w:t>$</w:t>
      </w:r>
      <w:r w:rsidRPr="00407783">
        <w:rPr>
          <w:sz w:val="16"/>
          <w:szCs w:val="16"/>
        </w:rPr>
        <w:t xml:space="preserve"> 500,000 converted at the United Nations’ operational rate of exchange on 31 December 201</w:t>
      </w:r>
      <w:r w:rsidR="00D01EBD">
        <w:rPr>
          <w:sz w:val="16"/>
          <w:szCs w:val="16"/>
        </w:rPr>
        <w:t>7</w:t>
      </w:r>
      <w:r w:rsidRPr="00407783">
        <w:rPr>
          <w:sz w:val="16"/>
          <w:szCs w:val="16"/>
        </w:rPr>
        <w:t xml:space="preserve"> of 1US$ = €0.837.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AFC" w:rsidRPr="002E0DE9" w:rsidRDefault="00E32AFC" w:rsidP="002E0DE9">
    <w:pPr>
      <w:pStyle w:val="Header"/>
      <w:pBdr>
        <w:bottom w:val="single" w:sz="4" w:space="1" w:color="auto"/>
      </w:pBdr>
      <w:rPr>
        <w:i/>
        <w:sz w:val="18"/>
        <w:szCs w:val="18"/>
      </w:rPr>
    </w:pPr>
    <w:r w:rsidRPr="002E0DE9">
      <w:rPr>
        <w:rFonts w:eastAsia="Times New Roman" w:cs="Arial"/>
        <w:i/>
        <w:sz w:val="18"/>
        <w:szCs w:val="18"/>
      </w:rPr>
      <w:t>UNEP/CMS/COP13/Doc</w:t>
    </w:r>
    <w:r>
      <w:rPr>
        <w:rFonts w:eastAsia="Times New Roman" w:cs="Arial"/>
        <w:i/>
        <w:sz w:val="18"/>
        <w:szCs w:val="18"/>
      </w:rPr>
      <w:t>.13.1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AFC" w:rsidRPr="002E0DE9" w:rsidRDefault="00E32AFC" w:rsidP="00E32AFC">
    <w:pPr>
      <w:pStyle w:val="Header"/>
      <w:pBdr>
        <w:bottom w:val="single" w:sz="4" w:space="1" w:color="auto"/>
      </w:pBdr>
      <w:jc w:val="right"/>
      <w:rPr>
        <w:i/>
        <w:sz w:val="18"/>
        <w:szCs w:val="18"/>
      </w:rPr>
    </w:pPr>
    <w:r w:rsidRPr="002E0DE9">
      <w:rPr>
        <w:rFonts w:eastAsia="Times New Roman" w:cs="Arial"/>
        <w:i/>
        <w:sz w:val="18"/>
        <w:szCs w:val="18"/>
      </w:rPr>
      <w:t>UNEP/CMS/COP13/Doc.</w:t>
    </w:r>
    <w:r>
      <w:rPr>
        <w:rFonts w:eastAsia="Times New Roman" w:cs="Arial"/>
        <w:i/>
        <w:sz w:val="18"/>
        <w:szCs w:val="18"/>
      </w:rPr>
      <w:t>13.1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AFC" w:rsidRPr="002E0DE9" w:rsidRDefault="00E32AFC"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61312" behindDoc="0" locked="0" layoutInCell="1" allowOverlap="1" wp14:anchorId="5B9B1324" wp14:editId="673A411D">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653" cy="260347"/>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9264" behindDoc="0" locked="0" layoutInCell="1" allowOverlap="1" wp14:anchorId="40E0EB19" wp14:editId="0FA7F7B3">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1326"/>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60288" behindDoc="0" locked="0" layoutInCell="1" allowOverlap="1" wp14:anchorId="39D64ACB" wp14:editId="6D00337F">
          <wp:simplePos x="0" y="0"/>
          <wp:positionH relativeFrom="column">
            <wp:posOffset>0</wp:posOffset>
          </wp:positionH>
          <wp:positionV relativeFrom="paragraph">
            <wp:posOffset>-38103</wp:posOffset>
          </wp:positionV>
          <wp:extent cx="742950" cy="485775"/>
          <wp:effectExtent l="0" t="0" r="0" b="0"/>
          <wp:wrapTight wrapText="bothSides">
            <wp:wrapPolygon edited="0">
              <wp:start x="1662" y="2541"/>
              <wp:lineTo x="1662" y="18635"/>
              <wp:lineTo x="19385" y="18635"/>
              <wp:lineTo x="19385" y="7624"/>
              <wp:lineTo x="18277" y="2541"/>
              <wp:lineTo x="1662" y="2541"/>
            </wp:wrapPolygon>
          </wp:wrapTight>
          <wp:docPr id="3" name="Picture 9" descr="UNEnvironment_Logo_Engl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742950" cy="485775"/>
                  </a:xfrm>
                  <a:prstGeom prst="rect">
                    <a:avLst/>
                  </a:prstGeom>
                  <a:noFill/>
                  <a:ln>
                    <a:noFill/>
                    <a:prstDash/>
                  </a:ln>
                </pic:spPr>
              </pic:pic>
            </a:graphicData>
          </a:graphic>
        </wp:anchor>
      </w:drawing>
    </w:r>
  </w:p>
  <w:p w:rsidR="00E32AFC" w:rsidRDefault="00E32A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0C8" w:rsidRPr="002E0DE9" w:rsidRDefault="000B40C8" w:rsidP="002E0DE9">
    <w:pPr>
      <w:pStyle w:val="Header"/>
      <w:pBdr>
        <w:bottom w:val="single" w:sz="4" w:space="1" w:color="auto"/>
      </w:pBdr>
      <w:rPr>
        <w:i/>
        <w:sz w:val="18"/>
        <w:szCs w:val="18"/>
      </w:rPr>
    </w:pPr>
    <w:r w:rsidRPr="002E0DE9">
      <w:rPr>
        <w:rFonts w:eastAsia="Times New Roman" w:cs="Arial"/>
        <w:i/>
        <w:sz w:val="18"/>
        <w:szCs w:val="18"/>
      </w:rPr>
      <w:t>UNEP/CMS/COP13/Doc</w:t>
    </w:r>
    <w:r>
      <w:rPr>
        <w:rFonts w:eastAsia="Times New Roman" w:cs="Arial"/>
        <w:i/>
        <w:sz w:val="18"/>
        <w:szCs w:val="18"/>
      </w:rPr>
      <w:t>.13.1/Annex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0C8" w:rsidRPr="002E0DE9" w:rsidRDefault="000B40C8" w:rsidP="00E32AFC">
    <w:pPr>
      <w:pStyle w:val="Header"/>
      <w:pBdr>
        <w:bottom w:val="single" w:sz="4" w:space="1" w:color="auto"/>
      </w:pBdr>
      <w:jc w:val="right"/>
      <w:rPr>
        <w:i/>
        <w:sz w:val="18"/>
        <w:szCs w:val="18"/>
      </w:rPr>
    </w:pPr>
    <w:r w:rsidRPr="002E0DE9">
      <w:rPr>
        <w:rFonts w:eastAsia="Times New Roman" w:cs="Arial"/>
        <w:i/>
        <w:sz w:val="18"/>
        <w:szCs w:val="18"/>
      </w:rPr>
      <w:t>UNEP/CMS/COP13/Doc.</w:t>
    </w:r>
    <w:r>
      <w:rPr>
        <w:rFonts w:eastAsia="Times New Roman" w:cs="Arial"/>
        <w:i/>
        <w:sz w:val="18"/>
        <w:szCs w:val="18"/>
      </w:rPr>
      <w:t>13.1/Annex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AFC" w:rsidRPr="002E0DE9" w:rsidRDefault="00E32AFC" w:rsidP="00E32AFC">
    <w:pPr>
      <w:pStyle w:val="Header"/>
      <w:pBdr>
        <w:bottom w:val="single" w:sz="4" w:space="1" w:color="auto"/>
      </w:pBdr>
      <w:rPr>
        <w:i/>
        <w:sz w:val="18"/>
        <w:szCs w:val="18"/>
      </w:rPr>
    </w:pPr>
    <w:r w:rsidRPr="002E0DE9">
      <w:rPr>
        <w:rFonts w:eastAsia="Times New Roman" w:cs="Arial"/>
        <w:i/>
        <w:sz w:val="18"/>
        <w:szCs w:val="18"/>
      </w:rPr>
      <w:t>UNEP/CMS/COP13/Doc.</w:t>
    </w:r>
    <w:r>
      <w:rPr>
        <w:rFonts w:eastAsia="Times New Roman" w:cs="Arial"/>
        <w:i/>
        <w:sz w:val="18"/>
        <w:szCs w:val="18"/>
      </w:rPr>
      <w:t>13.1/Annex 1</w:t>
    </w:r>
  </w:p>
  <w:p w:rsidR="00E32AFC" w:rsidRDefault="00E32A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0C8" w:rsidRPr="002E0DE9" w:rsidRDefault="000B40C8" w:rsidP="002E0DE9">
    <w:pPr>
      <w:pStyle w:val="Header"/>
      <w:pBdr>
        <w:bottom w:val="single" w:sz="4" w:space="1" w:color="auto"/>
      </w:pBdr>
      <w:rPr>
        <w:i/>
        <w:sz w:val="18"/>
        <w:szCs w:val="18"/>
      </w:rPr>
    </w:pPr>
    <w:r w:rsidRPr="002E0DE9">
      <w:rPr>
        <w:rFonts w:eastAsia="Times New Roman" w:cs="Arial"/>
        <w:i/>
        <w:sz w:val="18"/>
        <w:szCs w:val="18"/>
      </w:rPr>
      <w:t>UNEP/CMS/COP13/Doc</w:t>
    </w:r>
    <w:r>
      <w:rPr>
        <w:rFonts w:eastAsia="Times New Roman" w:cs="Arial"/>
        <w:i/>
        <w:sz w:val="18"/>
        <w:szCs w:val="18"/>
      </w:rPr>
      <w:t>.13.1/Annex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0C8" w:rsidRPr="002E0DE9" w:rsidRDefault="000B40C8" w:rsidP="00E32AFC">
    <w:pPr>
      <w:pStyle w:val="Header"/>
      <w:pBdr>
        <w:bottom w:val="single" w:sz="4" w:space="1" w:color="auto"/>
      </w:pBdr>
      <w:jc w:val="right"/>
      <w:rPr>
        <w:i/>
        <w:sz w:val="18"/>
        <w:szCs w:val="18"/>
      </w:rPr>
    </w:pPr>
    <w:r w:rsidRPr="002E0DE9">
      <w:rPr>
        <w:rFonts w:eastAsia="Times New Roman" w:cs="Arial"/>
        <w:i/>
        <w:sz w:val="18"/>
        <w:szCs w:val="18"/>
      </w:rPr>
      <w:t>UNEP/CMS/COP13/Doc.</w:t>
    </w:r>
    <w:r>
      <w:rPr>
        <w:rFonts w:eastAsia="Times New Roman" w:cs="Arial"/>
        <w:i/>
        <w:sz w:val="18"/>
        <w:szCs w:val="18"/>
      </w:rPr>
      <w:t>13.1/Annex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811"/>
    <w:multiLevelType w:val="hybridMultilevel"/>
    <w:tmpl w:val="14207250"/>
    <w:lvl w:ilvl="0" w:tplc="287C99C8">
      <w:start w:val="5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A73DA"/>
    <w:multiLevelType w:val="hybridMultilevel"/>
    <w:tmpl w:val="EF40078A"/>
    <w:lvl w:ilvl="0" w:tplc="7F1E1924">
      <w:start w:val="540"/>
      <w:numFmt w:val="bullet"/>
      <w:lvlText w:val=""/>
      <w:lvlJc w:val="left"/>
      <w:pPr>
        <w:ind w:left="720" w:hanging="360"/>
      </w:pPr>
      <w:rPr>
        <w:rFonts w:ascii="Symbol" w:eastAsiaTheme="minorHAnsi" w:hAnsi="Symbo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FF0250F"/>
    <w:multiLevelType w:val="hybridMultilevel"/>
    <w:tmpl w:val="87B4A796"/>
    <w:lvl w:ilvl="0" w:tplc="F92EF4BC">
      <w:numFmt w:val="bullet"/>
      <w:lvlText w:val="-"/>
      <w:lvlJc w:val="left"/>
      <w:pPr>
        <w:ind w:left="927" w:hanging="360"/>
      </w:pPr>
      <w:rPr>
        <w:rFonts w:ascii="Arial" w:eastAsiaTheme="minorHAnsi"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E3706CF"/>
    <w:multiLevelType w:val="hybridMultilevel"/>
    <w:tmpl w:val="F8AA1D36"/>
    <w:lvl w:ilvl="0" w:tplc="07A0D14C">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3845F6F"/>
    <w:multiLevelType w:val="hybridMultilevel"/>
    <w:tmpl w:val="0A34E070"/>
    <w:lvl w:ilvl="0" w:tplc="EB385B04">
      <w:start w:val="540"/>
      <w:numFmt w:val="bullet"/>
      <w:lvlText w:val=""/>
      <w:lvlJc w:val="left"/>
      <w:pPr>
        <w:ind w:left="720" w:hanging="360"/>
      </w:pPr>
      <w:rPr>
        <w:rFonts w:ascii="Symbol" w:eastAsiaTheme="minorHAnsi" w:hAnsi="Symbol" w:cs="Arial" w:hint="default"/>
        <w:color w:val="33333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2237E"/>
    <w:multiLevelType w:val="hybridMultilevel"/>
    <w:tmpl w:val="BE0EA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3F7345"/>
    <w:multiLevelType w:val="hybridMultilevel"/>
    <w:tmpl w:val="3868690A"/>
    <w:lvl w:ilvl="0" w:tplc="B9E03566">
      <w:start w:val="1"/>
      <w:numFmt w:val="decimal"/>
      <w:lvlText w:val="%1."/>
      <w:lvlJc w:val="left"/>
      <w:pPr>
        <w:ind w:left="36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630E2"/>
    <w:multiLevelType w:val="hybridMultilevel"/>
    <w:tmpl w:val="4F76D254"/>
    <w:lvl w:ilvl="0" w:tplc="CBD89298">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1"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15A0C"/>
    <w:multiLevelType w:val="hybridMultilevel"/>
    <w:tmpl w:val="9D8C8C64"/>
    <w:lvl w:ilvl="0" w:tplc="6CDA74E2">
      <w:start w:val="5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C1749"/>
    <w:multiLevelType w:val="hybridMultilevel"/>
    <w:tmpl w:val="16946978"/>
    <w:lvl w:ilvl="0" w:tplc="C672B958">
      <w:start w:val="19"/>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10"/>
  </w:num>
  <w:num w:numId="5">
    <w:abstractNumId w:val="2"/>
  </w:num>
  <w:num w:numId="6">
    <w:abstractNumId w:val="8"/>
  </w:num>
  <w:num w:numId="7">
    <w:abstractNumId w:val="9"/>
  </w:num>
  <w:num w:numId="8">
    <w:abstractNumId w:val="3"/>
  </w:num>
  <w:num w:numId="9">
    <w:abstractNumId w:val="5"/>
  </w:num>
  <w:num w:numId="10">
    <w:abstractNumId w:val="12"/>
  </w:num>
  <w:num w:numId="11">
    <w:abstractNumId w:val="0"/>
  </w:num>
  <w:num w:numId="12">
    <w:abstractNumId w:val="1"/>
  </w:num>
  <w:num w:numId="13">
    <w:abstractNumId w:val="6"/>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39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B40C8"/>
    <w:rsid w:val="000E58C1"/>
    <w:rsid w:val="0017266D"/>
    <w:rsid w:val="00261768"/>
    <w:rsid w:val="002E0DE9"/>
    <w:rsid w:val="00360838"/>
    <w:rsid w:val="00383651"/>
    <w:rsid w:val="004B7071"/>
    <w:rsid w:val="005330F7"/>
    <w:rsid w:val="00563598"/>
    <w:rsid w:val="005C47BF"/>
    <w:rsid w:val="0069797E"/>
    <w:rsid w:val="008156DF"/>
    <w:rsid w:val="008226C3"/>
    <w:rsid w:val="008B0AC3"/>
    <w:rsid w:val="008C3546"/>
    <w:rsid w:val="008D66E6"/>
    <w:rsid w:val="009C1079"/>
    <w:rsid w:val="00A34291"/>
    <w:rsid w:val="00B57E93"/>
    <w:rsid w:val="00C15971"/>
    <w:rsid w:val="00C2719B"/>
    <w:rsid w:val="00D01EBD"/>
    <w:rsid w:val="00DD3E44"/>
    <w:rsid w:val="00E32AFC"/>
    <w:rsid w:val="00E40B70"/>
    <w:rsid w:val="00EC4F04"/>
    <w:rsid w:val="00EC6EE1"/>
    <w:rsid w:val="00F8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9"/>
    <w:semiHidden/>
    <w:unhideWhenUsed/>
    <w:qFormat/>
    <w:rsid w:val="00E32AFC"/>
    <w:pPr>
      <w:keepNext/>
      <w:widowControl w:val="0"/>
      <w:tabs>
        <w:tab w:val="left" w:pos="-720"/>
        <w:tab w:val="left" w:pos="310"/>
        <w:tab w:val="left" w:pos="835"/>
      </w:tabs>
      <w:spacing w:after="0" w:line="240" w:lineRule="auto"/>
      <w:jc w:val="both"/>
      <w:outlineLvl w:val="1"/>
    </w:pPr>
    <w:rPr>
      <w:rFonts w:ascii="Times New Roman" w:eastAsia="Times New Roman" w:hAnsi="Times New Roman" w:cs="Times New Roman"/>
      <w:b/>
      <w:bCs/>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character" w:customStyle="1" w:styleId="ListParagraphChar">
    <w:name w:val="List Paragraph Char"/>
    <w:basedOn w:val="DefaultParagraphFont"/>
    <w:link w:val="ListParagraph"/>
    <w:uiPriority w:val="34"/>
    <w:rsid w:val="008C3546"/>
    <w:rPr>
      <w:lang w:val="en-GB"/>
    </w:rPr>
  </w:style>
  <w:style w:type="paragraph" w:customStyle="1" w:styleId="Firstnumbering">
    <w:name w:val="First numbering"/>
    <w:basedOn w:val="ListParagraph"/>
    <w:link w:val="FirstnumberingChar"/>
    <w:qFormat/>
    <w:rsid w:val="00E32AFC"/>
    <w:pPr>
      <w:numPr>
        <w:numId w:val="2"/>
      </w:numPr>
      <w:spacing w:after="0" w:line="240" w:lineRule="auto"/>
      <w:ind w:left="567" w:hanging="567"/>
      <w:contextualSpacing w:val="0"/>
      <w:jc w:val="both"/>
    </w:pPr>
  </w:style>
  <w:style w:type="character" w:customStyle="1" w:styleId="FirstnumberingChar">
    <w:name w:val="First numbering Char"/>
    <w:basedOn w:val="ListParagraphChar"/>
    <w:link w:val="Firstnumbering"/>
    <w:rsid w:val="00E32AFC"/>
    <w:rPr>
      <w:lang w:val="en-GB"/>
    </w:r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SecondnumberingChar">
    <w:name w:val="Second numbering Char"/>
    <w:basedOn w:val="FirstnumberingChar"/>
    <w:link w:val="Secondnumbering"/>
    <w:rsid w:val="00360838"/>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ThirdnumberingiChar">
    <w:name w:val="Third numbering i) Char"/>
    <w:basedOn w:val="SecondnumberingChar"/>
    <w:link w:val="Thirdnumberingi"/>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FourthnumberingAChar">
    <w:name w:val="Fourth numbering A. Char"/>
    <w:basedOn w:val="ThirdnumberingiChar"/>
    <w:link w:val="FourthnumberingA"/>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TITLEChar">
    <w:name w:val="TITLE Char"/>
    <w:basedOn w:val="DefaultParagraphFont"/>
    <w:link w:val="Title1"/>
    <w:rsid w:val="004B7071"/>
    <w:rPr>
      <w:rFonts w:eastAsia="Times New Roman" w:cs="Arial"/>
      <w:b/>
      <w:caps/>
      <w:lang w:val="en-GB"/>
    </w:rPr>
  </w:style>
  <w:style w:type="character" w:styleId="Hyperlink">
    <w:name w:val="Hyperlink"/>
    <w:basedOn w:val="DefaultParagraphFont"/>
    <w:uiPriority w:val="99"/>
    <w:semiHidden/>
    <w:unhideWhenUsed/>
    <w:rsid w:val="00E32AFC"/>
    <w:rPr>
      <w:color w:val="0563C1" w:themeColor="hyperlink"/>
      <w:u w:val="single"/>
    </w:rPr>
  </w:style>
  <w:style w:type="paragraph" w:styleId="FootnoteText">
    <w:name w:val="footnote text"/>
    <w:basedOn w:val="Normal"/>
    <w:link w:val="FootnoteTextChar"/>
    <w:uiPriority w:val="99"/>
    <w:semiHidden/>
    <w:unhideWhenUsed/>
    <w:rsid w:val="00E32AF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32AFC"/>
    <w:rPr>
      <w:sz w:val="20"/>
      <w:szCs w:val="20"/>
    </w:rPr>
  </w:style>
  <w:style w:type="character" w:styleId="FootnoteReference">
    <w:name w:val="footnote reference"/>
    <w:basedOn w:val="DefaultParagraphFont"/>
    <w:uiPriority w:val="99"/>
    <w:semiHidden/>
    <w:unhideWhenUsed/>
    <w:rsid w:val="00E32AFC"/>
    <w:rPr>
      <w:vertAlign w:val="superscript"/>
    </w:rPr>
  </w:style>
  <w:style w:type="character" w:customStyle="1" w:styleId="Heading2Char">
    <w:name w:val="Heading 2 Char"/>
    <w:basedOn w:val="DefaultParagraphFont"/>
    <w:link w:val="Heading2"/>
    <w:uiPriority w:val="99"/>
    <w:semiHidden/>
    <w:rsid w:val="00E32AFC"/>
    <w:rPr>
      <w:rFonts w:ascii="Times New Roman" w:eastAsia="Times New Roman" w:hAnsi="Times New Roman" w:cs="Times New Roman"/>
      <w:b/>
      <w:bCs/>
      <w:sz w:val="24"/>
      <w:szCs w:val="20"/>
      <w:lang w:val="de-DE"/>
    </w:rPr>
  </w:style>
  <w:style w:type="character" w:customStyle="1" w:styleId="EndnoteTextChar">
    <w:name w:val="Endnote Text Char"/>
    <w:basedOn w:val="DefaultParagraphFont"/>
    <w:link w:val="EndnoteText"/>
    <w:uiPriority w:val="99"/>
    <w:semiHidden/>
    <w:rsid w:val="00E32AFC"/>
    <w:rPr>
      <w:sz w:val="20"/>
      <w:szCs w:val="20"/>
    </w:rPr>
  </w:style>
  <w:style w:type="paragraph" w:styleId="EndnoteText">
    <w:name w:val="endnote text"/>
    <w:basedOn w:val="Normal"/>
    <w:link w:val="EndnoteTextChar"/>
    <w:uiPriority w:val="99"/>
    <w:semiHidden/>
    <w:unhideWhenUsed/>
    <w:rsid w:val="00E32AFC"/>
    <w:pPr>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E32AFC"/>
    <w:rPr>
      <w:sz w:val="20"/>
      <w:szCs w:val="20"/>
    </w:rPr>
  </w:style>
  <w:style w:type="paragraph" w:styleId="CommentText">
    <w:name w:val="annotation text"/>
    <w:basedOn w:val="Normal"/>
    <w:link w:val="CommentTextChar"/>
    <w:uiPriority w:val="99"/>
    <w:semiHidden/>
    <w:unhideWhenUsed/>
    <w:rsid w:val="00E32AFC"/>
    <w:pPr>
      <w:spacing w:after="0" w:line="240" w:lineRule="auto"/>
    </w:pPr>
    <w:rPr>
      <w:sz w:val="20"/>
      <w:szCs w:val="20"/>
      <w:lang w:val="en-US"/>
    </w:rPr>
  </w:style>
  <w:style w:type="character" w:customStyle="1" w:styleId="CommentSubjectChar">
    <w:name w:val="Comment Subject Char"/>
    <w:basedOn w:val="CommentTextChar"/>
    <w:link w:val="CommentSubject"/>
    <w:uiPriority w:val="99"/>
    <w:semiHidden/>
    <w:rsid w:val="00E32AFC"/>
    <w:rPr>
      <w:b/>
      <w:bCs/>
      <w:sz w:val="20"/>
      <w:szCs w:val="20"/>
    </w:rPr>
  </w:style>
  <w:style w:type="paragraph" w:styleId="CommentSubject">
    <w:name w:val="annotation subject"/>
    <w:basedOn w:val="CommentText"/>
    <w:next w:val="CommentText"/>
    <w:link w:val="CommentSubjectChar"/>
    <w:uiPriority w:val="99"/>
    <w:semiHidden/>
    <w:unhideWhenUsed/>
    <w:rsid w:val="00E32AFC"/>
    <w:rPr>
      <w:b/>
      <w:bCs/>
    </w:rPr>
  </w:style>
  <w:style w:type="character" w:styleId="EndnoteReference">
    <w:name w:val="endnote reference"/>
    <w:basedOn w:val="DefaultParagraphFont"/>
    <w:uiPriority w:val="99"/>
    <w:semiHidden/>
    <w:unhideWhenUsed/>
    <w:rsid w:val="000B40C8"/>
    <w:rPr>
      <w:vertAlign w:val="superscript"/>
    </w:rPr>
  </w:style>
  <w:style w:type="table" w:styleId="TableGrid">
    <w:name w:val="Table Grid"/>
    <w:basedOn w:val="TableNormal"/>
    <w:uiPriority w:val="39"/>
    <w:rsid w:val="000B40C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49D3-DA63-4CAD-A934-84569818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3640</Words>
  <Characters>15544</Characters>
  <Application>Microsoft Office Word</Application>
  <DocSecurity>0</DocSecurity>
  <Lines>2220</Lines>
  <Paragraphs>2131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Cancino</cp:lastModifiedBy>
  <cp:revision>2</cp:revision>
  <dcterms:created xsi:type="dcterms:W3CDTF">2019-12-18T10:17:00Z</dcterms:created>
  <dcterms:modified xsi:type="dcterms:W3CDTF">2019-12-18T10:17:00Z</dcterms:modified>
</cp:coreProperties>
</file>