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 w:rsidP="004D04EF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 w:rsidP="004D04EF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4D04EF">
      <w:pPr>
        <w:jc w:val="center"/>
        <w:rPr>
          <w:rFonts w:ascii="Arial" w:hAnsi="Arial" w:cs="Arial"/>
          <w:b/>
          <w:sz w:val="22"/>
          <w:szCs w:val="22"/>
        </w:rPr>
      </w:pPr>
    </w:p>
    <w:p w14:paraId="5EFF0047" w14:textId="7F691F03" w:rsidR="00D82C56" w:rsidRDefault="004D04EF" w:rsidP="004D04EF">
      <w:pPr>
        <w:jc w:val="center"/>
        <w:rPr>
          <w:rFonts w:ascii="Arial" w:hAnsi="Arial" w:cs="Arial"/>
          <w:b/>
          <w:sz w:val="22"/>
          <w:szCs w:val="22"/>
        </w:rPr>
      </w:pPr>
      <w:r w:rsidRPr="004D04EF">
        <w:rPr>
          <w:rFonts w:ascii="Arial" w:hAnsi="Arial" w:cs="Arial"/>
          <w:b/>
          <w:sz w:val="22"/>
          <w:szCs w:val="22"/>
          <w:lang w:val="en-GB"/>
        </w:rPr>
        <w:t xml:space="preserve">CONSERVATION MEASURES RELEVANT FOR CMS-LISTED SPECIES EVIDENT FROM THE </w:t>
      </w:r>
      <w:r w:rsidRPr="004D04EF">
        <w:rPr>
          <w:rFonts w:ascii="Arial" w:hAnsi="Arial" w:cs="Arial"/>
          <w:b/>
          <w:bCs/>
          <w:sz w:val="22"/>
          <w:szCs w:val="22"/>
          <w:lang w:val="en-GB"/>
        </w:rPr>
        <w:t>IDENTIFICATION OF IMPORTANT MARINE MAMMAL AREAS (IMMAS)</w:t>
      </w:r>
    </w:p>
    <w:p w14:paraId="77BA811D" w14:textId="50D808B5" w:rsidR="00D82C56" w:rsidRDefault="005D43E4" w:rsidP="004D04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UNEP/CMS/COP13/Doc.</w:t>
      </w:r>
      <w:r w:rsidR="004D04EF">
        <w:rPr>
          <w:rFonts w:ascii="Arial" w:hAnsi="Arial" w:cs="Arial"/>
          <w:sz w:val="22"/>
          <w:szCs w:val="22"/>
        </w:rPr>
        <w:t>26.2.1</w:t>
      </w:r>
    </w:p>
    <w:p w14:paraId="48F82B79" w14:textId="77777777" w:rsidR="00D82C56" w:rsidRDefault="00D82C56" w:rsidP="004D04EF">
      <w:pPr>
        <w:jc w:val="center"/>
        <w:rPr>
          <w:rFonts w:ascii="Arial" w:hAnsi="Arial" w:cs="Arial"/>
          <w:sz w:val="22"/>
          <w:szCs w:val="22"/>
        </w:rPr>
      </w:pPr>
    </w:p>
    <w:p w14:paraId="73A89732" w14:textId="0055A6DD" w:rsidR="00D82C56" w:rsidRDefault="005D43E4" w:rsidP="004D04EF">
      <w:pPr>
        <w:jc w:val="center"/>
        <w:rPr>
          <w:rFonts w:ascii="Arial" w:hAnsi="Arial" w:cs="Arial"/>
          <w:i/>
          <w:sz w:val="22"/>
          <w:szCs w:val="22"/>
        </w:rPr>
      </w:pPr>
      <w:r w:rsidRPr="00C47F14">
        <w:rPr>
          <w:rFonts w:ascii="Arial" w:hAnsi="Arial" w:cs="Arial"/>
          <w:i/>
          <w:sz w:val="22"/>
          <w:szCs w:val="22"/>
        </w:rPr>
        <w:t xml:space="preserve">(Prepared by </w:t>
      </w:r>
      <w:r w:rsidR="003E1E7D">
        <w:rPr>
          <w:rFonts w:ascii="Arial" w:hAnsi="Arial" w:cs="Arial"/>
          <w:i/>
          <w:sz w:val="22"/>
          <w:szCs w:val="22"/>
        </w:rPr>
        <w:t xml:space="preserve">the </w:t>
      </w:r>
      <w:r w:rsidR="003F6EBC">
        <w:rPr>
          <w:rFonts w:ascii="Arial" w:hAnsi="Arial" w:cs="Arial"/>
          <w:i/>
          <w:sz w:val="22"/>
          <w:szCs w:val="22"/>
        </w:rPr>
        <w:t>Aquatic Working Group</w:t>
      </w:r>
      <w:r w:rsidRPr="00C47F14">
        <w:rPr>
          <w:rFonts w:ascii="Arial" w:hAnsi="Arial" w:cs="Arial"/>
          <w:i/>
          <w:sz w:val="22"/>
          <w:szCs w:val="22"/>
        </w:rPr>
        <w:t>)</w:t>
      </w:r>
    </w:p>
    <w:p w14:paraId="25BD5BFE" w14:textId="77777777" w:rsidR="00D82C56" w:rsidRDefault="00D82C56" w:rsidP="004D04EF">
      <w:pPr>
        <w:rPr>
          <w:rFonts w:ascii="Arial" w:hAnsi="Arial" w:cs="Arial"/>
          <w:sz w:val="22"/>
          <w:szCs w:val="22"/>
        </w:rPr>
      </w:pPr>
    </w:p>
    <w:p w14:paraId="6C7ED871" w14:textId="77777777" w:rsidR="00D82C56" w:rsidRDefault="00D82C56" w:rsidP="004D04EF">
      <w:pPr>
        <w:rPr>
          <w:rFonts w:ascii="Arial" w:hAnsi="Arial" w:cs="Arial"/>
          <w:sz w:val="22"/>
          <w:szCs w:val="22"/>
        </w:rPr>
      </w:pPr>
    </w:p>
    <w:p w14:paraId="5CD49333" w14:textId="79C355B4" w:rsidR="00D82C56" w:rsidRDefault="005D43E4" w:rsidP="004D04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DECISION</w:t>
      </w:r>
      <w:r w:rsidR="004D04EF">
        <w:rPr>
          <w:rFonts w:ascii="Arial" w:hAnsi="Arial" w:cs="Arial"/>
          <w:sz w:val="22"/>
          <w:szCs w:val="22"/>
        </w:rPr>
        <w:t>S</w:t>
      </w:r>
    </w:p>
    <w:p w14:paraId="621FE7FD" w14:textId="77777777" w:rsidR="00D82C56" w:rsidRDefault="00D82C56" w:rsidP="004D04EF">
      <w:pPr>
        <w:rPr>
          <w:rFonts w:ascii="Arial" w:hAnsi="Arial" w:cs="Arial"/>
          <w:sz w:val="22"/>
          <w:szCs w:val="22"/>
        </w:rPr>
      </w:pPr>
    </w:p>
    <w:p w14:paraId="7D13B44A" w14:textId="77777777" w:rsidR="00D82C56" w:rsidRDefault="00D82C56" w:rsidP="004D04EF">
      <w:pPr>
        <w:rPr>
          <w:rFonts w:ascii="Arial" w:hAnsi="Arial" w:cs="Arial"/>
          <w:sz w:val="22"/>
          <w:szCs w:val="22"/>
        </w:rPr>
      </w:pPr>
    </w:p>
    <w:p w14:paraId="3CC287B8" w14:textId="77777777" w:rsidR="004D04EF" w:rsidRPr="004D04EF" w:rsidRDefault="004D04EF" w:rsidP="004D04EF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4D04EF">
        <w:rPr>
          <w:rFonts w:ascii="Arial" w:eastAsiaTheme="minorHAnsi" w:hAnsi="Arial" w:cs="Arial"/>
          <w:b/>
          <w:bCs/>
          <w:noProof/>
          <w:sz w:val="22"/>
          <w:szCs w:val="22"/>
          <w:lang w:val="en-GB"/>
        </w:rPr>
        <w:t>IMPORTANT MARINE MAMMAL AREAS (IMMAS)</w:t>
      </w:r>
    </w:p>
    <w:p w14:paraId="0DDD7763" w14:textId="2B23E55D" w:rsidR="004D04EF" w:rsidRDefault="004D04EF" w:rsidP="004D04EF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</w:p>
    <w:p w14:paraId="1B22E054" w14:textId="77777777" w:rsidR="003E1E7D" w:rsidRPr="004D04EF" w:rsidRDefault="003E1E7D" w:rsidP="004D04EF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</w:p>
    <w:p w14:paraId="0439C6C4" w14:textId="77777777" w:rsidR="004D04EF" w:rsidRPr="004D04EF" w:rsidRDefault="004D04EF" w:rsidP="004D04EF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  <w:r w:rsidRPr="004D04EF">
        <w:rPr>
          <w:rFonts w:ascii="Arial" w:eastAsiaTheme="minorHAnsi" w:hAnsi="Arial" w:cs="Arial"/>
          <w:b/>
          <w:i/>
          <w:sz w:val="22"/>
          <w:szCs w:val="22"/>
          <w:lang w:val="en-GB"/>
        </w:rPr>
        <w:t xml:space="preserve">Directed to Parties </w:t>
      </w:r>
    </w:p>
    <w:p w14:paraId="378B10B7" w14:textId="77777777" w:rsidR="004D04EF" w:rsidRPr="004D04EF" w:rsidRDefault="004D04EF" w:rsidP="004D04EF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</w:p>
    <w:p w14:paraId="6D0D0934" w14:textId="1A576663" w:rsidR="004D04EF" w:rsidRPr="004D04EF" w:rsidRDefault="004D04EF" w:rsidP="004D04EF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n-GB"/>
        </w:rPr>
      </w:pPr>
      <w:r w:rsidRPr="004D04EF">
        <w:rPr>
          <w:rFonts w:ascii="Arial" w:eastAsiaTheme="minorHAnsi" w:hAnsi="Arial" w:cs="Arial"/>
          <w:sz w:val="22"/>
          <w:szCs w:val="22"/>
          <w:lang w:val="en-GB"/>
        </w:rPr>
        <w:t>13.AA</w:t>
      </w:r>
      <w:r w:rsidRPr="004D04EF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4D04EF">
        <w:rPr>
          <w:rFonts w:ascii="Arial" w:eastAsiaTheme="minorHAnsi" w:hAnsi="Arial" w:cs="Arial"/>
          <w:iCs/>
          <w:sz w:val="22"/>
          <w:szCs w:val="22"/>
          <w:lang w:val="en-GB"/>
        </w:rPr>
        <w:t xml:space="preserve">Parties are requested to </w:t>
      </w:r>
      <w:r w:rsidR="00C47F14" w:rsidRPr="00C47F14">
        <w:rPr>
          <w:rFonts w:ascii="Arial" w:eastAsiaTheme="minorHAnsi" w:hAnsi="Arial" w:cs="Arial"/>
          <w:noProof/>
          <w:sz w:val="22"/>
          <w:szCs w:val="22"/>
          <w:lang w:val="en-GB"/>
        </w:rPr>
        <w:t>make use, as appropriate, of</w:t>
      </w:r>
      <w:r w:rsidR="00C47F14" w:rsidRPr="00C47F14" w:rsidDel="00C47F14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 </w:t>
      </w:r>
      <w:r w:rsidRPr="004D04EF">
        <w:rPr>
          <w:rFonts w:ascii="Arial" w:eastAsiaTheme="minorHAnsi" w:hAnsi="Arial" w:cs="Arial"/>
          <w:noProof/>
          <w:sz w:val="22"/>
          <w:szCs w:val="22"/>
          <w:lang w:val="en-GB"/>
        </w:rPr>
        <w:t>the identified Important Marine Mammal Areas (IMMAs) posted on the website of the IUCN Joint SSC/WCPA Marine Mammal Protected Areas Task Force (</w:t>
      </w:r>
      <w:hyperlink r:id="rId7" w:history="1">
        <w:r w:rsidRPr="004D04EF">
          <w:rPr>
            <w:rFonts w:ascii="Arial" w:eastAsiaTheme="minorHAnsi" w:hAnsi="Arial" w:cs="Arial"/>
            <w:noProof/>
            <w:color w:val="0563C1" w:themeColor="hyperlink"/>
            <w:sz w:val="22"/>
            <w:szCs w:val="22"/>
            <w:u w:val="single"/>
            <w:lang w:val="en-GB"/>
          </w:rPr>
          <w:t>www.marinemammalhabitat.org</w:t>
        </w:r>
      </w:hyperlink>
      <w:r w:rsidRPr="004D04EF">
        <w:rPr>
          <w:rFonts w:ascii="Arial" w:eastAsiaTheme="minorHAnsi" w:hAnsi="Arial" w:cs="Arial"/>
          <w:noProof/>
          <w:sz w:val="22"/>
          <w:szCs w:val="22"/>
          <w:lang w:val="en-GB"/>
        </w:rPr>
        <w:t>) when identifiying habitat at risk or designing threat mitgation measures</w:t>
      </w:r>
      <w:r w:rsidR="00C47F14">
        <w:rPr>
          <w:rFonts w:ascii="Arial" w:eastAsiaTheme="minorHAnsi" w:hAnsi="Arial" w:cs="Arial"/>
          <w:noProof/>
          <w:sz w:val="22"/>
          <w:szCs w:val="22"/>
          <w:lang w:val="en-GB"/>
        </w:rPr>
        <w:t>,</w:t>
      </w:r>
      <w:r w:rsidR="00C47F14" w:rsidRPr="00C47F14">
        <w:t xml:space="preserve"> </w:t>
      </w:r>
      <w:r w:rsidR="00C47F14" w:rsidRPr="00C47F14">
        <w:rPr>
          <w:rFonts w:ascii="Arial" w:eastAsiaTheme="minorHAnsi" w:hAnsi="Arial" w:cs="Arial"/>
          <w:noProof/>
          <w:sz w:val="22"/>
          <w:szCs w:val="22"/>
          <w:lang w:val="en-GB"/>
        </w:rPr>
        <w:t>and when designating marine protected areas, for marine spatial planning purposes,</w:t>
      </w:r>
      <w:r w:rsidRPr="004D04EF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 for CMS-listed pinnipeds, sirenians, otters, polar bears and cetaceans</w:t>
      </w:r>
      <w:r w:rsidR="00DD35DE">
        <w:rPr>
          <w:rFonts w:ascii="Arial" w:eastAsiaTheme="minorHAnsi" w:hAnsi="Arial" w:cs="Arial"/>
          <w:noProof/>
          <w:sz w:val="22"/>
          <w:szCs w:val="22"/>
          <w:lang w:val="en-GB"/>
        </w:rPr>
        <w:t>.</w:t>
      </w:r>
    </w:p>
    <w:p w14:paraId="28271018" w14:textId="77777777" w:rsidR="004D04EF" w:rsidRPr="004D04EF" w:rsidRDefault="004D04EF" w:rsidP="004D04EF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</w:p>
    <w:p w14:paraId="7DA13A76" w14:textId="77777777" w:rsidR="004D04EF" w:rsidRPr="004D04EF" w:rsidRDefault="004D04EF" w:rsidP="004D04EF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  <w:r w:rsidRPr="004D04EF">
        <w:rPr>
          <w:rFonts w:ascii="Arial" w:eastAsiaTheme="minorHAnsi" w:hAnsi="Arial" w:cs="Arial"/>
          <w:b/>
          <w:i/>
          <w:sz w:val="22"/>
          <w:szCs w:val="22"/>
          <w:lang w:val="en-GB"/>
        </w:rPr>
        <w:t>Directed to Parties that are Range States to the Dugong</w:t>
      </w:r>
    </w:p>
    <w:p w14:paraId="2D4CC797" w14:textId="77777777" w:rsidR="004D04EF" w:rsidRPr="004D04EF" w:rsidRDefault="004D04EF" w:rsidP="004D04EF">
      <w:pPr>
        <w:widowControl/>
        <w:suppressAutoHyphens w:val="0"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7591B61B" w14:textId="77777777" w:rsidR="004D04EF" w:rsidRPr="004D04EF" w:rsidRDefault="004D04EF" w:rsidP="004D04EF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4D04EF">
        <w:rPr>
          <w:rFonts w:ascii="Arial" w:eastAsiaTheme="minorHAnsi" w:hAnsi="Arial" w:cs="Arial"/>
          <w:sz w:val="22"/>
          <w:szCs w:val="22"/>
          <w:lang w:val="en-GB"/>
        </w:rPr>
        <w:t xml:space="preserve">13.BB </w:t>
      </w:r>
      <w:r w:rsidRPr="004D04EF">
        <w:rPr>
          <w:rFonts w:ascii="Arial" w:eastAsiaTheme="minorHAnsi" w:hAnsi="Arial" w:cs="Arial"/>
          <w:sz w:val="22"/>
          <w:szCs w:val="22"/>
          <w:lang w:val="en-GB"/>
        </w:rPr>
        <w:tab/>
        <w:t xml:space="preserve">Parties that are Range States to the Dugong are requested to consider, including consulting the Dugong MOU, whether their regional population of the species merits inclusion on Appendix I of CMS. </w:t>
      </w:r>
    </w:p>
    <w:p w14:paraId="72042A3C" w14:textId="77777777" w:rsidR="004D04EF" w:rsidRPr="004D04EF" w:rsidRDefault="004D04EF" w:rsidP="004D04EF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</w:p>
    <w:p w14:paraId="24D52687" w14:textId="77777777" w:rsidR="004D04EF" w:rsidRPr="004D04EF" w:rsidRDefault="004D04EF" w:rsidP="004D04EF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4D04EF">
        <w:rPr>
          <w:rFonts w:ascii="Arial" w:eastAsiaTheme="minorHAnsi" w:hAnsi="Arial" w:cs="Arial"/>
          <w:b/>
          <w:i/>
          <w:sz w:val="22"/>
          <w:szCs w:val="22"/>
          <w:lang w:val="en-GB"/>
        </w:rPr>
        <w:t xml:space="preserve">Directed to the Scientific Council </w:t>
      </w:r>
    </w:p>
    <w:p w14:paraId="2033BDB8" w14:textId="77777777" w:rsidR="004D04EF" w:rsidRPr="004D04EF" w:rsidRDefault="004D04EF" w:rsidP="004D04EF">
      <w:pPr>
        <w:widowControl/>
        <w:suppressAutoHyphens w:val="0"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7C0209EA" w14:textId="77777777" w:rsidR="004D04EF" w:rsidRPr="004D04EF" w:rsidRDefault="004D04EF" w:rsidP="004D04EF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4D04EF">
        <w:rPr>
          <w:rFonts w:ascii="Arial" w:eastAsiaTheme="minorHAnsi" w:hAnsi="Arial" w:cs="Arial"/>
          <w:sz w:val="22"/>
          <w:szCs w:val="22"/>
          <w:lang w:val="en-GB"/>
        </w:rPr>
        <w:t>13.CC</w:t>
      </w:r>
      <w:r w:rsidRPr="004D04EF">
        <w:rPr>
          <w:rFonts w:ascii="Arial" w:eastAsiaTheme="minorHAnsi" w:hAnsi="Arial" w:cs="Arial"/>
          <w:sz w:val="22"/>
          <w:szCs w:val="22"/>
          <w:lang w:val="en-GB"/>
        </w:rPr>
        <w:tab/>
      </w:r>
      <w:proofErr w:type="gramStart"/>
      <w:r w:rsidRPr="004D04EF">
        <w:rPr>
          <w:rFonts w:ascii="Arial" w:eastAsiaTheme="minorHAnsi" w:hAnsi="Arial" w:cs="Arial"/>
          <w:sz w:val="22"/>
          <w:szCs w:val="22"/>
          <w:lang w:val="en-GB"/>
        </w:rPr>
        <w:t>The</w:t>
      </w:r>
      <w:proofErr w:type="gramEnd"/>
      <w:r w:rsidRPr="004D04EF">
        <w:rPr>
          <w:rFonts w:ascii="Arial" w:eastAsiaTheme="minorHAnsi" w:hAnsi="Arial" w:cs="Arial"/>
          <w:sz w:val="22"/>
          <w:szCs w:val="22"/>
          <w:lang w:val="en-GB"/>
        </w:rPr>
        <w:t xml:space="preserve"> Scientific Council is requested, subject to the availability of resources:</w:t>
      </w:r>
    </w:p>
    <w:p w14:paraId="7543608C" w14:textId="77777777" w:rsidR="004D04EF" w:rsidRPr="004D04EF" w:rsidRDefault="004D04EF" w:rsidP="004D04EF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34DBD585" w14:textId="5C6F788B" w:rsidR="004D04EF" w:rsidRPr="004D04EF" w:rsidRDefault="004D04EF" w:rsidP="004D04EF">
      <w:pPr>
        <w:widowControl/>
        <w:numPr>
          <w:ilvl w:val="0"/>
          <w:numId w:val="1"/>
        </w:numPr>
        <w:suppressAutoHyphens w:val="0"/>
        <w:autoSpaceDE/>
        <w:autoSpaceDN/>
        <w:ind w:left="1276" w:hanging="425"/>
        <w:jc w:val="both"/>
        <w:textAlignment w:val="auto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4D04EF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upon request, support Parties to </w:t>
      </w:r>
      <w:r w:rsidR="00C47F14" w:rsidRPr="00C47F14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make use of </w:t>
      </w:r>
      <w:r w:rsidRPr="004D04EF">
        <w:rPr>
          <w:rFonts w:ascii="Arial" w:eastAsiaTheme="minorHAnsi" w:hAnsi="Arial" w:cs="Arial"/>
          <w:noProof/>
          <w:sz w:val="22"/>
          <w:szCs w:val="22"/>
          <w:lang w:val="en-GB"/>
        </w:rPr>
        <w:t>the identified Important Marine Mammal Areas (IMMAs) posted on the website of the IUCN Joint SSC/WCPA Marine Mammal Protected Areas Task Force (</w:t>
      </w:r>
      <w:hyperlink r:id="rId8" w:history="1">
        <w:r w:rsidRPr="004D04EF">
          <w:rPr>
            <w:rFonts w:ascii="Arial" w:eastAsiaTheme="minorHAnsi" w:hAnsi="Arial" w:cs="Arial"/>
            <w:noProof/>
            <w:color w:val="0563C1" w:themeColor="hyperlink"/>
            <w:sz w:val="22"/>
            <w:szCs w:val="22"/>
            <w:u w:val="single"/>
            <w:lang w:val="en-GB"/>
          </w:rPr>
          <w:t>www.marinemammalhabitat.org</w:t>
        </w:r>
      </w:hyperlink>
      <w:r w:rsidRPr="004D04EF">
        <w:rPr>
          <w:rFonts w:ascii="Arial" w:eastAsiaTheme="minorHAnsi" w:hAnsi="Arial" w:cs="Arial"/>
          <w:noProof/>
          <w:sz w:val="22"/>
          <w:szCs w:val="22"/>
          <w:lang w:val="en-GB"/>
        </w:rPr>
        <w:t>) when identifying habitat at risk or designing threat mitgation measures for CMS-listed pinnipeds, sirenians, otters, polar bears and cetaceans;</w:t>
      </w:r>
    </w:p>
    <w:p w14:paraId="709B1020" w14:textId="77777777" w:rsidR="004D04EF" w:rsidRPr="004D04EF" w:rsidRDefault="004D04EF" w:rsidP="004D04EF">
      <w:pPr>
        <w:widowControl/>
        <w:suppressAutoHyphens w:val="0"/>
        <w:autoSpaceDE/>
        <w:autoSpaceDN/>
        <w:ind w:left="1276" w:hanging="425"/>
        <w:jc w:val="both"/>
        <w:textAlignment w:val="auto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14:paraId="6A043DCC" w14:textId="3B7063DC" w:rsidR="004D04EF" w:rsidRPr="004D04EF" w:rsidRDefault="004D04EF" w:rsidP="003F6EBC">
      <w:pPr>
        <w:widowControl/>
        <w:tabs>
          <w:tab w:val="left" w:pos="1276"/>
        </w:tabs>
        <w:suppressAutoHyphens w:val="0"/>
        <w:autoSpaceDE/>
        <w:autoSpaceDN/>
        <w:ind w:left="1272" w:hanging="421"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4D04EF">
        <w:rPr>
          <w:rFonts w:ascii="Arial" w:hAnsi="Arial" w:cs="Arial"/>
          <w:sz w:val="22"/>
          <w:szCs w:val="22"/>
          <w:lang w:val="en-GB"/>
        </w:rPr>
        <w:t>b)</w:t>
      </w:r>
      <w:r w:rsidRPr="004D04EF">
        <w:rPr>
          <w:rFonts w:ascii="Arial" w:hAnsi="Arial" w:cs="Arial"/>
          <w:sz w:val="22"/>
          <w:szCs w:val="22"/>
          <w:lang w:val="en-GB"/>
        </w:rPr>
        <w:tab/>
        <w:t>collaborate with the IUCN Joint Species Survival Commission/World Commission on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4D04EF">
        <w:rPr>
          <w:rFonts w:ascii="Arial" w:hAnsi="Arial" w:cs="Arial"/>
          <w:sz w:val="22"/>
          <w:szCs w:val="22"/>
          <w:lang w:val="en-GB"/>
        </w:rPr>
        <w:t>Protected Areas (SSC/WCPA) Marine Mammal Protected Areas Task Force to include data on CMS-listed pinnipeds, sirenians, otters, polar bears and cetaceans in the identification of Important Marine Mammal Areas (IMMAs);</w:t>
      </w:r>
    </w:p>
    <w:p w14:paraId="3FC3A5A8" w14:textId="77777777" w:rsidR="004D04EF" w:rsidRPr="004D04EF" w:rsidRDefault="004D04EF" w:rsidP="004D04EF">
      <w:pPr>
        <w:widowControl/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szCs w:val="20"/>
          <w:lang w:val="en-GB"/>
        </w:rPr>
      </w:pPr>
    </w:p>
    <w:p w14:paraId="4FB7031C" w14:textId="45723D52" w:rsidR="004D04EF" w:rsidRPr="004D04EF" w:rsidRDefault="004D04EF" w:rsidP="004D04EF">
      <w:pPr>
        <w:widowControl/>
        <w:numPr>
          <w:ilvl w:val="0"/>
          <w:numId w:val="2"/>
        </w:numPr>
        <w:suppressAutoHyphens w:val="0"/>
        <w:autoSpaceDE/>
        <w:autoSpaceDN/>
        <w:adjustRightInd w:val="0"/>
        <w:ind w:left="1276" w:hanging="425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n-GB"/>
        </w:rPr>
      </w:pPr>
      <w:r w:rsidRPr="004D04EF">
        <w:rPr>
          <w:rFonts w:ascii="Arial" w:eastAsiaTheme="minorHAnsi" w:hAnsi="Arial" w:cs="Arial"/>
          <w:sz w:val="22"/>
          <w:szCs w:val="22"/>
          <w:lang w:val="en-GB"/>
        </w:rPr>
        <w:t>provide advice to Parties on request on the scientific merits of including</w:t>
      </w:r>
      <w:r w:rsidR="0099475F">
        <w:rPr>
          <w:rFonts w:ascii="Arial" w:eastAsiaTheme="minorHAnsi" w:hAnsi="Arial" w:cs="Arial"/>
          <w:sz w:val="22"/>
          <w:szCs w:val="22"/>
          <w:lang w:val="en-GB"/>
        </w:rPr>
        <w:t xml:space="preserve"> regional populations of</w:t>
      </w:r>
      <w:r w:rsidRPr="004D04EF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Pr="004D04EF">
        <w:rPr>
          <w:rFonts w:ascii="Arial" w:eastAsiaTheme="minorHAnsi" w:hAnsi="Arial" w:cs="Arial"/>
          <w:i/>
          <w:iCs/>
          <w:sz w:val="22"/>
          <w:szCs w:val="22"/>
          <w:lang w:val="en-GB"/>
        </w:rPr>
        <w:t xml:space="preserve">Dugong </w:t>
      </w:r>
      <w:proofErr w:type="spellStart"/>
      <w:r w:rsidRPr="004D04EF">
        <w:rPr>
          <w:rFonts w:ascii="Arial" w:eastAsiaTheme="minorHAnsi" w:hAnsi="Arial" w:cs="Arial"/>
          <w:i/>
          <w:iCs/>
          <w:sz w:val="22"/>
          <w:szCs w:val="22"/>
          <w:lang w:val="en-GB"/>
        </w:rPr>
        <w:t>dugon</w:t>
      </w:r>
      <w:proofErr w:type="spellEnd"/>
      <w:r w:rsidRPr="004D04EF">
        <w:rPr>
          <w:rFonts w:ascii="Arial" w:eastAsiaTheme="minorHAnsi" w:hAnsi="Arial" w:cs="Arial"/>
          <w:iCs/>
          <w:sz w:val="22"/>
          <w:szCs w:val="22"/>
          <w:lang w:val="en-GB"/>
        </w:rPr>
        <w:t xml:space="preserve"> on Appendix I of CMS</w:t>
      </w:r>
      <w:r w:rsidR="00DD35DE">
        <w:rPr>
          <w:rFonts w:ascii="Arial" w:eastAsiaTheme="minorHAnsi" w:hAnsi="Arial" w:cs="Arial"/>
          <w:sz w:val="22"/>
          <w:szCs w:val="22"/>
          <w:lang w:val="en-GB"/>
        </w:rPr>
        <w:t>.</w:t>
      </w:r>
    </w:p>
    <w:p w14:paraId="3AFF2449" w14:textId="622844E0" w:rsidR="003E1E7D" w:rsidRDefault="003E1E7D" w:rsidP="004D04EF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i/>
          <w:sz w:val="22"/>
          <w:szCs w:val="22"/>
          <w:lang w:val="en-GB"/>
        </w:rPr>
      </w:pPr>
      <w:r>
        <w:rPr>
          <w:rFonts w:ascii="Arial" w:eastAsiaTheme="minorHAnsi" w:hAnsi="Arial" w:cs="Arial"/>
          <w:i/>
          <w:sz w:val="22"/>
          <w:szCs w:val="22"/>
          <w:lang w:val="en-GB"/>
        </w:rPr>
        <w:br w:type="page"/>
      </w:r>
    </w:p>
    <w:p w14:paraId="3DE7298E" w14:textId="77777777" w:rsidR="004D04EF" w:rsidRPr="004D04EF" w:rsidRDefault="004D04EF" w:rsidP="004D04EF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i/>
          <w:sz w:val="22"/>
          <w:szCs w:val="22"/>
          <w:lang w:val="en-GB"/>
        </w:rPr>
      </w:pPr>
    </w:p>
    <w:p w14:paraId="691FD990" w14:textId="77777777" w:rsidR="004D04EF" w:rsidRPr="004D04EF" w:rsidRDefault="004D04EF" w:rsidP="004D04EF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  <w:r w:rsidRPr="004D04EF">
        <w:rPr>
          <w:rFonts w:ascii="Arial" w:eastAsiaTheme="minorHAnsi" w:hAnsi="Arial" w:cs="Arial"/>
          <w:b/>
          <w:i/>
          <w:sz w:val="22"/>
          <w:szCs w:val="22"/>
          <w:lang w:val="en-GB"/>
        </w:rPr>
        <w:t>Directed to the Secretariat</w:t>
      </w:r>
    </w:p>
    <w:p w14:paraId="05EA4960" w14:textId="77777777" w:rsidR="004D04EF" w:rsidRPr="004D04EF" w:rsidRDefault="004D04EF" w:rsidP="004D04EF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</w:p>
    <w:p w14:paraId="080D961C" w14:textId="77777777" w:rsidR="004D04EF" w:rsidRPr="004D04EF" w:rsidRDefault="004D04EF" w:rsidP="004D04EF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4D04EF">
        <w:rPr>
          <w:rFonts w:ascii="Arial" w:eastAsiaTheme="minorHAnsi" w:hAnsi="Arial" w:cs="Arial"/>
          <w:sz w:val="22"/>
          <w:szCs w:val="22"/>
          <w:lang w:val="en-GB"/>
        </w:rPr>
        <w:t>13.DD</w:t>
      </w:r>
      <w:r w:rsidRPr="004D04EF">
        <w:rPr>
          <w:rFonts w:ascii="Arial" w:eastAsiaTheme="minorHAnsi" w:hAnsi="Arial" w:cs="Arial"/>
          <w:sz w:val="22"/>
          <w:szCs w:val="22"/>
          <w:lang w:val="en-GB"/>
        </w:rPr>
        <w:tab/>
        <w:t>The Secretariat shall, subject to the availability of external resources,</w:t>
      </w:r>
    </w:p>
    <w:p w14:paraId="0C44666C" w14:textId="77777777" w:rsidR="004D04EF" w:rsidRPr="004D04EF" w:rsidRDefault="004D04EF" w:rsidP="004D04EF">
      <w:pPr>
        <w:widowControl/>
        <w:suppressAutoHyphens w:val="0"/>
        <w:autoSpaceDE/>
        <w:autoSpaceDN/>
        <w:ind w:left="1418" w:hanging="567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n-GB"/>
        </w:rPr>
      </w:pPr>
    </w:p>
    <w:p w14:paraId="371A0431" w14:textId="4AA73B2B" w:rsidR="004D04EF" w:rsidRPr="004D04EF" w:rsidRDefault="004D04EF" w:rsidP="003F6EBC">
      <w:pPr>
        <w:widowControl/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4D04EF">
        <w:rPr>
          <w:rFonts w:ascii="Arial" w:hAnsi="Arial" w:cs="Arial"/>
          <w:sz w:val="22"/>
          <w:szCs w:val="22"/>
          <w:lang w:val="en-GB"/>
        </w:rPr>
        <w:t>a)</w:t>
      </w:r>
      <w:r w:rsidRPr="004D04EF">
        <w:rPr>
          <w:rFonts w:ascii="Arial" w:hAnsi="Arial" w:cs="Arial"/>
          <w:sz w:val="22"/>
          <w:szCs w:val="22"/>
          <w:lang w:val="en-GB"/>
        </w:rPr>
        <w:tab/>
        <w:t>transfer information on newly identified IMMAs received from the IUCN Joint SSC/WCPA Marine Mammal Protected Areas Task Force to the Scientific Council and to the Parties and invite contributions from Parties and Range States;</w:t>
      </w:r>
    </w:p>
    <w:p w14:paraId="56FAA02A" w14:textId="77777777" w:rsidR="003E1E7D" w:rsidRPr="004D04EF" w:rsidRDefault="003E1E7D" w:rsidP="003E1E7D">
      <w:pPr>
        <w:widowControl/>
        <w:suppressAutoHyphens w:val="0"/>
        <w:autoSpaceDE/>
        <w:autoSpaceDN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65367558" w14:textId="77777777" w:rsidR="004D04EF" w:rsidRPr="004D04EF" w:rsidRDefault="004D04EF" w:rsidP="004D04EF">
      <w:pPr>
        <w:widowControl/>
        <w:numPr>
          <w:ilvl w:val="0"/>
          <w:numId w:val="1"/>
        </w:numPr>
        <w:suppressAutoHyphens w:val="0"/>
        <w:autoSpaceDE/>
        <w:autoSpaceDN/>
        <w:ind w:left="1276" w:hanging="425"/>
        <w:jc w:val="both"/>
        <w:textAlignment w:val="auto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4D04EF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support the engagement of national support for a new decade of scientific research about the habitats of marine mammals and other migratory species on the high seas; </w:t>
      </w:r>
    </w:p>
    <w:p w14:paraId="754093F2" w14:textId="77777777" w:rsidR="004D04EF" w:rsidRPr="004D04EF" w:rsidRDefault="004D04EF" w:rsidP="004D04EF">
      <w:pPr>
        <w:widowControl/>
        <w:suppressAutoHyphens w:val="0"/>
        <w:autoSpaceDE/>
        <w:autoSpaceDN/>
        <w:ind w:left="1276" w:hanging="425"/>
        <w:jc w:val="both"/>
        <w:textAlignment w:val="auto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14:paraId="403A6F9D" w14:textId="77777777" w:rsidR="003E1E7D" w:rsidRDefault="004D04EF" w:rsidP="004D04EF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ind w:left="1276" w:hanging="425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4D04EF">
        <w:rPr>
          <w:rFonts w:ascii="Arial" w:eastAsiaTheme="minorHAnsi" w:hAnsi="Arial" w:cs="Arial"/>
          <w:sz w:val="22"/>
          <w:szCs w:val="22"/>
          <w:lang w:val="en-GB"/>
        </w:rPr>
        <w:t xml:space="preserve">continue to engage in the negotiation process for and implementation of the BBNJ treaty, with a view to its relevance for marine mammals as well as other migratory </w:t>
      </w:r>
    </w:p>
    <w:p w14:paraId="4978A918" w14:textId="2D877258" w:rsidR="004D04EF" w:rsidRPr="004D04EF" w:rsidRDefault="004D04EF" w:rsidP="003E1E7D">
      <w:pPr>
        <w:widowControl/>
        <w:suppressAutoHyphens w:val="0"/>
        <w:autoSpaceDE/>
        <w:autoSpaceDN/>
        <w:adjustRightInd w:val="0"/>
        <w:ind w:left="1276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4D04EF">
        <w:rPr>
          <w:rFonts w:ascii="Arial" w:eastAsiaTheme="minorHAnsi" w:hAnsi="Arial" w:cs="Arial"/>
          <w:sz w:val="22"/>
          <w:szCs w:val="22"/>
          <w:lang w:val="en-GB"/>
        </w:rPr>
        <w:t xml:space="preserve">marine species.   </w:t>
      </w:r>
    </w:p>
    <w:p w14:paraId="2464D46F" w14:textId="77777777" w:rsidR="00D82C56" w:rsidRDefault="00D82C56" w:rsidP="004D04E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82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7CF55" w14:textId="77777777" w:rsidR="00304B2D" w:rsidRDefault="00304B2D">
      <w:r>
        <w:separator/>
      </w:r>
    </w:p>
  </w:endnote>
  <w:endnote w:type="continuationSeparator" w:id="0">
    <w:p w14:paraId="4DF254C4" w14:textId="77777777" w:rsidR="00304B2D" w:rsidRDefault="0030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6838C" w14:textId="77777777" w:rsidR="00304B2D" w:rsidRDefault="00304B2D">
      <w:r>
        <w:rPr>
          <w:color w:val="000000"/>
        </w:rPr>
        <w:separator/>
      </w:r>
    </w:p>
  </w:footnote>
  <w:footnote w:type="continuationSeparator" w:id="0">
    <w:p w14:paraId="4111D8B5" w14:textId="77777777" w:rsidR="00304B2D" w:rsidRDefault="0030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68723409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9E3F8A">
      <w:rPr>
        <w:rFonts w:ascii="Arial" w:hAnsi="Arial" w:cs="Arial"/>
        <w:i/>
        <w:szCs w:val="20"/>
        <w:lang w:val="en-GB"/>
      </w:rPr>
      <w:t>26.2.1</w:t>
    </w:r>
  </w:p>
  <w:p w14:paraId="50B9F4CC" w14:textId="77777777" w:rsidR="00A16E93" w:rsidRDefault="003E1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3E1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5128D832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4D04EF">
      <w:rPr>
        <w:rFonts w:ascii="Arial" w:hAnsi="Arial" w:cs="Arial"/>
        <w:bCs/>
        <w:i/>
        <w:iCs/>
        <w:szCs w:val="20"/>
        <w:lang w:val="en-GB"/>
      </w:rPr>
      <w:t>26.2.1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351"/>
    <w:multiLevelType w:val="hybridMultilevel"/>
    <w:tmpl w:val="3D6263BA"/>
    <w:lvl w:ilvl="0" w:tplc="7948258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7D8F"/>
    <w:multiLevelType w:val="hybridMultilevel"/>
    <w:tmpl w:val="0F1E3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1648A3"/>
    <w:rsid w:val="001C6604"/>
    <w:rsid w:val="00212830"/>
    <w:rsid w:val="002223BB"/>
    <w:rsid w:val="0024798C"/>
    <w:rsid w:val="00304B2D"/>
    <w:rsid w:val="003E1E7D"/>
    <w:rsid w:val="003F1AD8"/>
    <w:rsid w:val="003F6EBC"/>
    <w:rsid w:val="0043102F"/>
    <w:rsid w:val="00487D0A"/>
    <w:rsid w:val="004D04EF"/>
    <w:rsid w:val="005645C4"/>
    <w:rsid w:val="005D43E4"/>
    <w:rsid w:val="005F0639"/>
    <w:rsid w:val="007A1066"/>
    <w:rsid w:val="00863B35"/>
    <w:rsid w:val="00910B27"/>
    <w:rsid w:val="0099475F"/>
    <w:rsid w:val="009E3F8A"/>
    <w:rsid w:val="00C32FF1"/>
    <w:rsid w:val="00C47F14"/>
    <w:rsid w:val="00D82C56"/>
    <w:rsid w:val="00DD35DE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emammalhabita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rinemammalhabita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2020-02-18T15:26:00Z</dcterms:created>
  <dcterms:modified xsi:type="dcterms:W3CDTF">2020-02-18T15:26:00Z</dcterms:modified>
</cp:coreProperties>
</file>