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8323D3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8323D3" w:rsidRDefault="00BF42FC" w:rsidP="00BF42FC">
      <w:pPr>
        <w:rPr>
          <w:sz w:val="22"/>
          <w:szCs w:val="22"/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323D3" w:rsidRDefault="008323D3" w:rsidP="00DF38F9">
      <w:pPr>
        <w:jc w:val="center"/>
        <w:rPr>
          <w:b/>
          <w:sz w:val="22"/>
          <w:szCs w:val="22"/>
          <w:lang w:val="en-GB"/>
        </w:rPr>
      </w:pPr>
      <w:r w:rsidRPr="008C0071">
        <w:rPr>
          <w:b/>
          <w:sz w:val="22"/>
          <w:szCs w:val="22"/>
          <w:lang w:val="en-GB"/>
        </w:rPr>
        <w:t xml:space="preserve">PROPOSAL FOR INCLUSION OF THE LAPPET-FACED VULTURE </w:t>
      </w:r>
    </w:p>
    <w:p w:rsidR="00DF38F9" w:rsidRDefault="008323D3" w:rsidP="00DF38F9">
      <w:pPr>
        <w:jc w:val="center"/>
        <w:rPr>
          <w:b/>
          <w:sz w:val="22"/>
          <w:szCs w:val="22"/>
          <w:lang w:val="en-GB"/>
        </w:rPr>
      </w:pPr>
      <w:r w:rsidRPr="008C0071">
        <w:rPr>
          <w:b/>
          <w:sz w:val="22"/>
          <w:szCs w:val="22"/>
          <w:lang w:val="en-GB"/>
        </w:rPr>
        <w:t>(</w:t>
      </w:r>
      <w:proofErr w:type="spellStart"/>
      <w:r>
        <w:rPr>
          <w:b/>
          <w:i/>
          <w:iCs/>
          <w:sz w:val="22"/>
          <w:szCs w:val="22"/>
          <w:lang w:val="en-GB"/>
        </w:rPr>
        <w:t>T</w:t>
      </w:r>
      <w:r w:rsidRPr="00897695">
        <w:rPr>
          <w:b/>
          <w:i/>
          <w:iCs/>
          <w:sz w:val="22"/>
          <w:szCs w:val="22"/>
          <w:lang w:val="en-GB"/>
        </w:rPr>
        <w:t>orgos</w:t>
      </w:r>
      <w:proofErr w:type="spellEnd"/>
      <w:r w:rsidRPr="00897695">
        <w:rPr>
          <w:b/>
          <w:i/>
          <w:iCs/>
          <w:sz w:val="22"/>
          <w:szCs w:val="22"/>
          <w:lang w:val="en-GB"/>
        </w:rPr>
        <w:t xml:space="preserve"> tracheliotos</w:t>
      </w:r>
      <w:r w:rsidRPr="008C0071">
        <w:rPr>
          <w:b/>
          <w:sz w:val="22"/>
          <w:szCs w:val="22"/>
          <w:lang w:val="en-GB"/>
        </w:rPr>
        <w:t>) ON APPENDIX 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Pr="008C0071">
        <w:rPr>
          <w:rFonts w:cs="Arial"/>
          <w:sz w:val="22"/>
          <w:szCs w:val="22"/>
          <w:lang w:val="en-GB"/>
        </w:rPr>
        <w:t>DOC.</w:t>
      </w:r>
      <w:r w:rsidR="008C0071" w:rsidRPr="008C0071">
        <w:rPr>
          <w:rFonts w:cs="Arial"/>
          <w:sz w:val="22"/>
          <w:szCs w:val="22"/>
          <w:lang w:val="en-GB"/>
        </w:rPr>
        <w:t>25.1.16 (a) and (b)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8323D3" w:rsidRPr="008323D3" w:rsidRDefault="008323D3" w:rsidP="008323D3">
      <w:pPr>
        <w:tabs>
          <w:tab w:val="left" w:pos="567"/>
          <w:tab w:val="left" w:pos="1020"/>
        </w:tabs>
        <w:jc w:val="both"/>
        <w:rPr>
          <w:rFonts w:cs="Arial"/>
          <w:bCs/>
          <w:sz w:val="22"/>
          <w:szCs w:val="22"/>
        </w:rPr>
      </w:pPr>
    </w:p>
    <w:p w:rsidR="008323D3" w:rsidRDefault="00897695" w:rsidP="008323D3">
      <w:pPr>
        <w:pStyle w:val="ListParagraph"/>
        <w:numPr>
          <w:ilvl w:val="0"/>
          <w:numId w:val="48"/>
        </w:numPr>
        <w:tabs>
          <w:tab w:val="left" w:pos="567"/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8323D3">
        <w:rPr>
          <w:rFonts w:cs="Arial"/>
          <w:bCs/>
          <w:sz w:val="22"/>
          <w:szCs w:val="22"/>
        </w:rPr>
        <w:t>The Chair of the Avian Working Group noted that two similar</w:t>
      </w:r>
      <w:r w:rsidR="00B054C0" w:rsidRPr="008323D3">
        <w:rPr>
          <w:rFonts w:cs="Arial"/>
          <w:bCs/>
          <w:sz w:val="22"/>
          <w:szCs w:val="22"/>
        </w:rPr>
        <w:t>,</w:t>
      </w:r>
      <w:r w:rsidRPr="008323D3">
        <w:rPr>
          <w:rFonts w:cs="Arial"/>
          <w:bCs/>
          <w:sz w:val="22"/>
          <w:szCs w:val="22"/>
        </w:rPr>
        <w:t xml:space="preserve"> but separate</w:t>
      </w:r>
      <w:r w:rsidR="00B054C0" w:rsidRPr="008323D3">
        <w:rPr>
          <w:rFonts w:cs="Arial"/>
          <w:bCs/>
          <w:sz w:val="22"/>
          <w:szCs w:val="22"/>
        </w:rPr>
        <w:t>,</w:t>
      </w:r>
      <w:r w:rsidRPr="008323D3">
        <w:rPr>
          <w:rFonts w:cs="Arial"/>
          <w:bCs/>
          <w:sz w:val="22"/>
          <w:szCs w:val="22"/>
        </w:rPr>
        <w:t xml:space="preserve"> species listing proposals relating to the Lappet-faced Vulture had been submitted independently by two CMS Parties – Israel and Saudi Arabia.  Both documents were reviewed simultaneously by the Working Group.</w:t>
      </w:r>
    </w:p>
    <w:p w:rsidR="008323D3" w:rsidRDefault="008323D3" w:rsidP="008323D3">
      <w:pPr>
        <w:pStyle w:val="ListParagraph"/>
        <w:tabs>
          <w:tab w:val="left" w:pos="567"/>
          <w:tab w:val="left" w:pos="1020"/>
        </w:tabs>
        <w:ind w:left="567"/>
        <w:jc w:val="both"/>
        <w:rPr>
          <w:rFonts w:cs="Arial"/>
          <w:bCs/>
          <w:sz w:val="22"/>
          <w:szCs w:val="22"/>
        </w:rPr>
      </w:pPr>
    </w:p>
    <w:p w:rsidR="008323D3" w:rsidRDefault="00897695" w:rsidP="008323D3">
      <w:pPr>
        <w:pStyle w:val="ListParagraph"/>
        <w:numPr>
          <w:ilvl w:val="0"/>
          <w:numId w:val="48"/>
        </w:numPr>
        <w:tabs>
          <w:tab w:val="left" w:pos="567"/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8323D3">
        <w:rPr>
          <w:rFonts w:cs="Arial"/>
          <w:bCs/>
          <w:sz w:val="22"/>
          <w:szCs w:val="22"/>
        </w:rPr>
        <w:t>Both proposals were</w:t>
      </w:r>
      <w:r w:rsidR="00B054C0" w:rsidRPr="008323D3">
        <w:rPr>
          <w:rFonts w:cs="Arial"/>
          <w:bCs/>
          <w:sz w:val="22"/>
          <w:szCs w:val="22"/>
        </w:rPr>
        <w:t xml:space="preserve"> recognized as very similar in content.  They </w:t>
      </w:r>
      <w:proofErr w:type="gramStart"/>
      <w:r w:rsidR="00B054C0" w:rsidRPr="008323D3">
        <w:rPr>
          <w:rFonts w:cs="Arial"/>
          <w:bCs/>
          <w:sz w:val="22"/>
          <w:szCs w:val="22"/>
        </w:rPr>
        <w:t>were considered to be</w:t>
      </w:r>
      <w:proofErr w:type="gramEnd"/>
      <w:r w:rsidR="00B054C0" w:rsidRPr="008323D3">
        <w:rPr>
          <w:rFonts w:cs="Arial"/>
          <w:bCs/>
          <w:sz w:val="22"/>
          <w:szCs w:val="22"/>
        </w:rPr>
        <w:t xml:space="preserve"> </w:t>
      </w:r>
      <w:r w:rsidRPr="008323D3">
        <w:rPr>
          <w:rFonts w:cs="Arial"/>
          <w:bCs/>
          <w:sz w:val="22"/>
          <w:szCs w:val="22"/>
        </w:rPr>
        <w:t xml:space="preserve">comprehensive </w:t>
      </w:r>
      <w:r w:rsidR="00B054C0" w:rsidRPr="008323D3">
        <w:rPr>
          <w:rFonts w:cs="Arial"/>
          <w:bCs/>
          <w:sz w:val="22"/>
          <w:szCs w:val="22"/>
        </w:rPr>
        <w:t>and convincingly presented the case for the species to be listed on CMS Appendix 1.</w:t>
      </w:r>
    </w:p>
    <w:p w:rsidR="008323D3" w:rsidRPr="008323D3" w:rsidRDefault="008323D3" w:rsidP="008323D3">
      <w:pPr>
        <w:pStyle w:val="ListParagraph"/>
        <w:rPr>
          <w:rFonts w:cs="Arial"/>
          <w:bCs/>
          <w:sz w:val="22"/>
          <w:szCs w:val="22"/>
        </w:rPr>
      </w:pPr>
    </w:p>
    <w:p w:rsidR="00897695" w:rsidRPr="008323D3" w:rsidRDefault="00897695" w:rsidP="008323D3">
      <w:pPr>
        <w:pStyle w:val="ListParagraph"/>
        <w:numPr>
          <w:ilvl w:val="0"/>
          <w:numId w:val="48"/>
        </w:numPr>
        <w:tabs>
          <w:tab w:val="left" w:pos="567"/>
          <w:tab w:val="left" w:pos="1020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8323D3">
        <w:rPr>
          <w:rFonts w:cs="Arial"/>
          <w:bCs/>
          <w:sz w:val="22"/>
          <w:szCs w:val="22"/>
        </w:rPr>
        <w:t>It was</w:t>
      </w:r>
      <w:r w:rsidR="00B054C0" w:rsidRPr="008323D3">
        <w:rPr>
          <w:rFonts w:cs="Arial"/>
          <w:bCs/>
          <w:sz w:val="22"/>
          <w:szCs w:val="22"/>
        </w:rPr>
        <w:t xml:space="preserve"> noted that the Lappet-faced Vulture is</w:t>
      </w:r>
      <w:r w:rsidRPr="008323D3">
        <w:rPr>
          <w:rFonts w:cs="Arial"/>
          <w:bCs/>
          <w:sz w:val="22"/>
          <w:szCs w:val="22"/>
        </w:rPr>
        <w:t xml:space="preserve"> already covered by the Memorandum of Understanding on the Conservation of the Migratory Birds of Prey in Africa and Eurasia (Raptors MOU) and</w:t>
      </w:r>
      <w:r w:rsidR="00B054C0" w:rsidRPr="008323D3">
        <w:rPr>
          <w:rFonts w:cs="Arial"/>
          <w:bCs/>
          <w:sz w:val="22"/>
          <w:szCs w:val="22"/>
        </w:rPr>
        <w:t xml:space="preserve"> is included</w:t>
      </w:r>
      <w:r w:rsidRPr="008323D3">
        <w:rPr>
          <w:rFonts w:cs="Arial"/>
          <w:bCs/>
          <w:sz w:val="22"/>
          <w:szCs w:val="22"/>
        </w:rPr>
        <w:t xml:space="preserve"> within the Draft Multi-</w:t>
      </w:r>
      <w:proofErr w:type="gramStart"/>
      <w:r w:rsidRPr="008323D3">
        <w:rPr>
          <w:rFonts w:cs="Arial"/>
          <w:bCs/>
          <w:sz w:val="22"/>
          <w:szCs w:val="22"/>
        </w:rPr>
        <w:t>species</w:t>
      </w:r>
      <w:proofErr w:type="gramEnd"/>
      <w:r w:rsidRPr="008323D3">
        <w:rPr>
          <w:rFonts w:cs="Arial"/>
          <w:bCs/>
          <w:sz w:val="22"/>
          <w:szCs w:val="22"/>
        </w:rPr>
        <w:t xml:space="preserve"> Action Plan on the Conservation of African-Eurasian Vultures (Vulture </w:t>
      </w:r>
      <w:proofErr w:type="spellStart"/>
      <w:r w:rsidRPr="008323D3">
        <w:rPr>
          <w:rFonts w:cs="Arial"/>
          <w:bCs/>
          <w:sz w:val="22"/>
          <w:szCs w:val="22"/>
        </w:rPr>
        <w:t>MsAP</w:t>
      </w:r>
      <w:proofErr w:type="spellEnd"/>
      <w:r w:rsidRPr="008323D3">
        <w:rPr>
          <w:rFonts w:cs="Arial"/>
          <w:bCs/>
          <w:sz w:val="22"/>
          <w:szCs w:val="22"/>
        </w:rPr>
        <w:t>) – UNEP/CMS/COP12/Doc.24.1.4 (Rev.1) Annex 3.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8323D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323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323D3">
        <w:rPr>
          <w:rFonts w:cs="Arial"/>
          <w:b/>
          <w:sz w:val="22"/>
          <w:szCs w:val="22"/>
        </w:rPr>
        <w:t>COMMENTS ON SPECIFIC SECTIONS</w:t>
      </w:r>
      <w:r w:rsidR="008F20D3" w:rsidRPr="008323D3">
        <w:rPr>
          <w:rFonts w:cs="Arial"/>
          <w:b/>
          <w:sz w:val="22"/>
          <w:szCs w:val="22"/>
        </w:rPr>
        <w:t xml:space="preserve">/ </w:t>
      </w:r>
      <w:r w:rsidR="008C0071" w:rsidRPr="008323D3">
        <w:rPr>
          <w:rFonts w:cs="Arial"/>
          <w:b/>
          <w:sz w:val="22"/>
          <w:szCs w:val="22"/>
        </w:rPr>
        <w:t xml:space="preserve">INCLUDING </w:t>
      </w:r>
      <w:r w:rsidR="008F20D3" w:rsidRPr="008323D3">
        <w:rPr>
          <w:rFonts w:cs="Arial"/>
          <w:b/>
          <w:sz w:val="22"/>
          <w:szCs w:val="22"/>
        </w:rPr>
        <w:t>PROPOSALS FOR TEXT REVISION</w:t>
      </w:r>
    </w:p>
    <w:p w:rsidR="006356C5" w:rsidRPr="008323D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8323D3" w:rsidRDefault="008C0071" w:rsidP="008323D3">
      <w:pPr>
        <w:pStyle w:val="ListParagraph"/>
        <w:numPr>
          <w:ilvl w:val="0"/>
          <w:numId w:val="48"/>
        </w:numPr>
        <w:tabs>
          <w:tab w:val="left" w:pos="1020"/>
        </w:tabs>
        <w:ind w:left="567" w:hanging="567"/>
        <w:rPr>
          <w:rFonts w:cs="Arial"/>
          <w:bCs/>
          <w:sz w:val="22"/>
          <w:szCs w:val="22"/>
        </w:rPr>
      </w:pPr>
      <w:r w:rsidRPr="008323D3">
        <w:rPr>
          <w:rFonts w:cs="Arial"/>
          <w:bCs/>
          <w:sz w:val="22"/>
          <w:szCs w:val="22"/>
        </w:rPr>
        <w:t>No amendments proposed.</w:t>
      </w:r>
    </w:p>
    <w:p w:rsidR="008C0071" w:rsidRPr="008323D3" w:rsidRDefault="008C0071" w:rsidP="00DF4423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8C0071" w:rsidRPr="008323D3" w:rsidRDefault="008C0071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8323D3" w:rsidRDefault="000F1354" w:rsidP="000F1354">
      <w:pPr>
        <w:jc w:val="center"/>
        <w:rPr>
          <w:rFonts w:cs="Arial"/>
          <w:sz w:val="22"/>
          <w:szCs w:val="22"/>
        </w:rPr>
      </w:pPr>
    </w:p>
    <w:p w:rsidR="00397D2C" w:rsidRPr="008323D3" w:rsidRDefault="00897695" w:rsidP="008323D3">
      <w:pPr>
        <w:pStyle w:val="ListParagraph"/>
        <w:numPr>
          <w:ilvl w:val="0"/>
          <w:numId w:val="48"/>
        </w:numPr>
        <w:ind w:left="567" w:hanging="567"/>
        <w:rPr>
          <w:rFonts w:cs="Arial"/>
          <w:sz w:val="22"/>
          <w:szCs w:val="22"/>
        </w:rPr>
      </w:pPr>
      <w:r w:rsidRPr="008323D3">
        <w:rPr>
          <w:rFonts w:cs="Arial"/>
          <w:sz w:val="22"/>
          <w:szCs w:val="22"/>
        </w:rPr>
        <w:t>The Avian Working Group unanimously supported the proposal</w:t>
      </w:r>
      <w:r w:rsidR="00A80A51" w:rsidRPr="008323D3">
        <w:rPr>
          <w:rFonts w:cs="Arial"/>
          <w:sz w:val="22"/>
          <w:szCs w:val="22"/>
        </w:rPr>
        <w:t>s</w:t>
      </w:r>
      <w:r w:rsidRPr="008323D3">
        <w:rPr>
          <w:rFonts w:cs="Arial"/>
          <w:sz w:val="22"/>
          <w:szCs w:val="22"/>
        </w:rPr>
        <w:t xml:space="preserve"> to list the Lappet-faced Vu</w:t>
      </w:r>
      <w:bookmarkStart w:id="0" w:name="_GoBack"/>
      <w:bookmarkEnd w:id="0"/>
      <w:r w:rsidRPr="008323D3">
        <w:rPr>
          <w:rFonts w:cs="Arial"/>
          <w:sz w:val="22"/>
          <w:szCs w:val="22"/>
        </w:rPr>
        <w:t>lture on CMS Appendix 1.</w:t>
      </w:r>
    </w:p>
    <w:sectPr w:rsidR="00397D2C" w:rsidRPr="008323D3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5C" w:rsidRDefault="0007315C">
      <w:r>
        <w:separator/>
      </w:r>
    </w:p>
  </w:endnote>
  <w:endnote w:type="continuationSeparator" w:id="0">
    <w:p w:rsidR="0007315C" w:rsidRDefault="000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5C" w:rsidRDefault="0007315C">
      <w:r>
        <w:separator/>
      </w:r>
    </w:p>
  </w:footnote>
  <w:footnote w:type="continuationSeparator" w:id="0">
    <w:p w:rsidR="0007315C" w:rsidRDefault="0007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8323D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323D3">
      <w:rPr>
        <w:rFonts w:cs="Arial"/>
        <w:i/>
        <w:szCs w:val="18"/>
      </w:rPr>
      <w:t>UNEP/CMS/COP12/Doc.</w:t>
    </w:r>
    <w:r w:rsidR="008323D3">
      <w:rPr>
        <w:rFonts w:cs="Arial"/>
        <w:i/>
        <w:szCs w:val="18"/>
      </w:rPr>
      <w:t>25.1.16(a)(b)/</w:t>
    </w:r>
    <w:r w:rsidRPr="008323D3">
      <w:rPr>
        <w:rFonts w:cs="Arial"/>
        <w:i/>
        <w:szCs w:val="18"/>
      </w:rPr>
      <w:t>Add.In-S.1</w:t>
    </w:r>
    <w:r w:rsidR="008323D3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EBF76A6"/>
    <w:multiLevelType w:val="hybridMultilevel"/>
    <w:tmpl w:val="F790D07A"/>
    <w:lvl w:ilvl="0" w:tplc="EA36D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D57CB3"/>
    <w:multiLevelType w:val="hybridMultilevel"/>
    <w:tmpl w:val="1B3C337C"/>
    <w:lvl w:ilvl="0" w:tplc="9148F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19258ED"/>
    <w:multiLevelType w:val="hybridMultilevel"/>
    <w:tmpl w:val="882EDB7A"/>
    <w:lvl w:ilvl="0" w:tplc="EA36D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42E752D"/>
    <w:multiLevelType w:val="hybridMultilevel"/>
    <w:tmpl w:val="9AD2EA6C"/>
    <w:lvl w:ilvl="0" w:tplc="44F60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268545E"/>
    <w:multiLevelType w:val="hybridMultilevel"/>
    <w:tmpl w:val="B8449F76"/>
    <w:lvl w:ilvl="0" w:tplc="0662214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3"/>
  </w:num>
  <w:num w:numId="4">
    <w:abstractNumId w:val="26"/>
  </w:num>
  <w:num w:numId="5">
    <w:abstractNumId w:val="14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9"/>
  </w:num>
  <w:num w:numId="10">
    <w:abstractNumId w:val="25"/>
  </w:num>
  <w:num w:numId="11">
    <w:abstractNumId w:val="40"/>
  </w:num>
  <w:num w:numId="12">
    <w:abstractNumId w:val="3"/>
  </w:num>
  <w:num w:numId="13">
    <w:abstractNumId w:val="22"/>
  </w:num>
  <w:num w:numId="14">
    <w:abstractNumId w:val="38"/>
  </w:num>
  <w:num w:numId="15">
    <w:abstractNumId w:val="2"/>
  </w:num>
  <w:num w:numId="16">
    <w:abstractNumId w:val="12"/>
  </w:num>
  <w:num w:numId="17">
    <w:abstractNumId w:val="41"/>
  </w:num>
  <w:num w:numId="18">
    <w:abstractNumId w:val="24"/>
  </w:num>
  <w:num w:numId="19">
    <w:abstractNumId w:val="39"/>
  </w:num>
  <w:num w:numId="20">
    <w:abstractNumId w:val="46"/>
  </w:num>
  <w:num w:numId="21">
    <w:abstractNumId w:val="4"/>
  </w:num>
  <w:num w:numId="22">
    <w:abstractNumId w:val="20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3"/>
  </w:num>
  <w:num w:numId="28">
    <w:abstractNumId w:val="7"/>
  </w:num>
  <w:num w:numId="29">
    <w:abstractNumId w:val="23"/>
  </w:num>
  <w:num w:numId="30">
    <w:abstractNumId w:val="15"/>
  </w:num>
  <w:num w:numId="31">
    <w:abstractNumId w:val="30"/>
  </w:num>
  <w:num w:numId="32">
    <w:abstractNumId w:val="29"/>
  </w:num>
  <w:num w:numId="33">
    <w:abstractNumId w:val="6"/>
  </w:num>
  <w:num w:numId="34">
    <w:abstractNumId w:val="21"/>
  </w:num>
  <w:num w:numId="35">
    <w:abstractNumId w:val="17"/>
  </w:num>
  <w:num w:numId="36">
    <w:abstractNumId w:val="33"/>
  </w:num>
  <w:num w:numId="37">
    <w:abstractNumId w:val="37"/>
  </w:num>
  <w:num w:numId="38">
    <w:abstractNumId w:val="11"/>
  </w:num>
  <w:num w:numId="39">
    <w:abstractNumId w:val="31"/>
  </w:num>
  <w:num w:numId="40">
    <w:abstractNumId w:val="44"/>
  </w:num>
  <w:num w:numId="41">
    <w:abstractNumId w:val="27"/>
  </w:num>
  <w:num w:numId="42">
    <w:abstractNumId w:val="10"/>
  </w:num>
  <w:num w:numId="43">
    <w:abstractNumId w:val="16"/>
  </w:num>
  <w:num w:numId="44">
    <w:abstractNumId w:val="8"/>
  </w:num>
  <w:num w:numId="45">
    <w:abstractNumId w:val="36"/>
  </w:num>
  <w:num w:numId="46">
    <w:abstractNumId w:val="5"/>
  </w:num>
  <w:num w:numId="47">
    <w:abstractNumId w:val="1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15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00B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323D3"/>
    <w:rsid w:val="008441F9"/>
    <w:rsid w:val="00846A99"/>
    <w:rsid w:val="008641D1"/>
    <w:rsid w:val="008648EB"/>
    <w:rsid w:val="00872F67"/>
    <w:rsid w:val="00893346"/>
    <w:rsid w:val="00897695"/>
    <w:rsid w:val="008A0D8D"/>
    <w:rsid w:val="008B1A69"/>
    <w:rsid w:val="008C0071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0A51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054C0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B71DB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A21FB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1507B3"/>
  <w15:docId w15:val="{E1D03C3A-4AA6-41DE-A6E7-CEA4AD9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siri.quade@cms.int</dc:creator>
  <cp:lastModifiedBy>CMS Secretariat</cp:lastModifiedBy>
  <cp:revision>2</cp:revision>
  <cp:lastPrinted>2017-07-07T11:51:00Z</cp:lastPrinted>
  <dcterms:created xsi:type="dcterms:W3CDTF">2017-07-12T13:36:00Z</dcterms:created>
  <dcterms:modified xsi:type="dcterms:W3CDTF">2017-07-12T13:36:00Z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