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2BA" w:rsidRPr="00682B31" w:rsidRDefault="007302BA" w:rsidP="00682B31">
      <w:pPr>
        <w:tabs>
          <w:tab w:val="left" w:pos="-1057"/>
          <w:tab w:val="left" w:pos="-720"/>
        </w:tabs>
        <w:ind w:left="-90"/>
        <w:rPr>
          <w:rFonts w:cs="Arial"/>
          <w:spacing w:val="-8"/>
          <w:sz w:val="12"/>
          <w:szCs w:val="12"/>
        </w:rPr>
      </w:pPr>
    </w:p>
    <w:p w:rsidR="007302BA" w:rsidRPr="00420040" w:rsidRDefault="007302BA" w:rsidP="009E72D7">
      <w:pPr>
        <w:tabs>
          <w:tab w:val="left" w:pos="-1057"/>
          <w:tab w:val="left" w:pos="-720"/>
        </w:tabs>
        <w:rPr>
          <w:rFonts w:cs="Arial"/>
          <w:sz w:val="22"/>
          <w:szCs w:val="22"/>
        </w:rPr>
      </w:pPr>
      <w:r>
        <w:rPr>
          <w:sz w:val="22"/>
        </w:rPr>
        <w:t>12ª REUNIÓN DE LA CONFERENCIA DE LAS PARTES</w:t>
      </w:r>
    </w:p>
    <w:p w:rsidR="007302BA" w:rsidRPr="00420040" w:rsidRDefault="007302BA" w:rsidP="009E72D7">
      <w:pPr>
        <w:pStyle w:val="Heading2"/>
        <w:keepNext w:val="0"/>
        <w:spacing w:line="228" w:lineRule="auto"/>
        <w:rPr>
          <w:rFonts w:cs="Arial"/>
          <w:b w:val="0"/>
          <w:bCs w:val="0"/>
          <w:sz w:val="22"/>
          <w:szCs w:val="22"/>
        </w:rPr>
      </w:pPr>
      <w:r>
        <w:rPr>
          <w:b w:val="0"/>
          <w:sz w:val="22"/>
        </w:rPr>
        <w:t>Manila (Filipinas), 23 - 28 de octubre de 2017</w:t>
      </w:r>
    </w:p>
    <w:p w:rsidR="007302BA" w:rsidRPr="00420040" w:rsidRDefault="007302BA" w:rsidP="009E72D7">
      <w:pPr>
        <w:spacing w:line="228" w:lineRule="auto"/>
        <w:rPr>
          <w:rFonts w:cs="Arial"/>
          <w:iCs/>
          <w:sz w:val="22"/>
          <w:szCs w:val="22"/>
        </w:rPr>
      </w:pPr>
      <w:r>
        <w:rPr>
          <w:sz w:val="22"/>
        </w:rPr>
        <w:t>Punto 24.4.6 del orden del día</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7302BA" w:rsidRPr="002F6F9B"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7302BA" w:rsidRPr="00FA61AF" w:rsidRDefault="007302BA" w:rsidP="00EB2285">
            <w:pPr>
              <w:tabs>
                <w:tab w:val="left" w:pos="-1057"/>
                <w:tab w:val="left" w:pos="-720"/>
                <w:tab w:val="left" w:pos="0"/>
                <w:tab w:val="left" w:pos="141"/>
                <w:tab w:val="left" w:pos="720"/>
                <w:tab w:val="left" w:pos="1155"/>
                <w:tab w:val="right" w:pos="9072"/>
                <w:tab w:val="right" w:pos="9432"/>
              </w:tabs>
              <w:rPr>
                <w:rFonts w:cs="Arial"/>
                <w:sz w:val="22"/>
              </w:rPr>
            </w:pPr>
            <w:r>
              <w:tab/>
            </w:r>
            <w:r>
              <w:tab/>
            </w:r>
            <w:r>
              <w:tab/>
            </w:r>
            <w:r>
              <w:tab/>
            </w:r>
            <w:r>
              <w:rPr>
                <w:b/>
                <w:sz w:val="28"/>
              </w:rPr>
              <w:t>CMS</w:t>
            </w:r>
          </w:p>
          <w:p w:rsidR="007302BA" w:rsidRPr="002F6F9B" w:rsidRDefault="007302BA" w:rsidP="00972D36">
            <w:pPr>
              <w:tabs>
                <w:tab w:val="left" w:pos="-1057"/>
                <w:tab w:val="left" w:pos="-720"/>
                <w:tab w:val="left" w:pos="0"/>
                <w:tab w:val="left" w:pos="141"/>
                <w:tab w:val="left" w:pos="720"/>
                <w:tab w:val="right" w:pos="9072"/>
              </w:tabs>
              <w:rPr>
                <w:rFonts w:cs="Arial"/>
                <w:sz w:val="22"/>
              </w:rPr>
            </w:pPr>
          </w:p>
        </w:tc>
      </w:tr>
      <w:tr w:rsidR="007302BA" w:rsidRPr="00682B31"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7302BA" w:rsidRPr="00682B31" w:rsidRDefault="003F3DCD">
            <w:pPr>
              <w:rPr>
                <w:rFonts w:cs="Arial"/>
                <w:sz w:val="22"/>
              </w:rPr>
            </w:pPr>
            <w:r>
              <w:rPr>
                <w:rFonts w:cs="Arial"/>
                <w:noProof/>
                <w:sz w:val="22"/>
                <w:lang w:val="en-US" w:eastAsia="en-US"/>
              </w:rPr>
              <w:drawing>
                <wp:inline distT="0" distB="0" distL="0" distR="0">
                  <wp:extent cx="733425" cy="771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63" t="-740" r="-2563" b="-740"/>
                          <a:stretch>
                            <a:fillRect/>
                          </a:stretch>
                        </pic:blipFill>
                        <pic:spPr bwMode="auto">
                          <a:xfrm>
                            <a:off x="0" y="0"/>
                            <a:ext cx="733425" cy="771525"/>
                          </a:xfrm>
                          <a:prstGeom prst="rect">
                            <a:avLst/>
                          </a:prstGeom>
                          <a:noFill/>
                          <a:ln>
                            <a:noFill/>
                          </a:ln>
                        </pic:spPr>
                      </pic:pic>
                    </a:graphicData>
                  </a:graphic>
                </wp:inline>
              </w:drawing>
            </w:r>
          </w:p>
          <w:p w:rsidR="007302BA" w:rsidRPr="00682B31" w:rsidRDefault="007302BA">
            <w:pPr>
              <w:rPr>
                <w:rFonts w:cs="Arial"/>
                <w:sz w:val="22"/>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7302BA" w:rsidRPr="00682B31" w:rsidRDefault="007302BA" w:rsidP="006B1037">
            <w:pPr>
              <w:pStyle w:val="Heading2"/>
              <w:pBdr>
                <w:top w:val="none" w:sz="0" w:space="0" w:color="auto"/>
                <w:left w:val="none" w:sz="0" w:space="0" w:color="auto"/>
                <w:bottom w:val="none" w:sz="0" w:space="0" w:color="auto"/>
                <w:right w:val="none" w:sz="0" w:space="0" w:color="auto"/>
              </w:pBdr>
              <w:ind w:left="-108"/>
              <w:rPr>
                <w:rFonts w:cs="Arial"/>
                <w:b w:val="0"/>
                <w:bCs w:val="0"/>
                <w:sz w:val="12"/>
                <w:szCs w:val="12"/>
              </w:rPr>
            </w:pPr>
          </w:p>
          <w:p w:rsidR="007302BA" w:rsidRPr="00972D36" w:rsidRDefault="007302BA" w:rsidP="006B1037">
            <w:pPr>
              <w:pStyle w:val="Heading2"/>
              <w:pBdr>
                <w:top w:val="none" w:sz="0" w:space="0" w:color="auto"/>
                <w:left w:val="none" w:sz="0" w:space="0" w:color="auto"/>
                <w:bottom w:val="none" w:sz="0" w:space="0" w:color="auto"/>
                <w:right w:val="none" w:sz="0" w:space="0" w:color="auto"/>
              </w:pBdr>
              <w:ind w:left="-108"/>
              <w:rPr>
                <w:rFonts w:cs="Arial"/>
                <w:bCs w:val="0"/>
                <w:sz w:val="32"/>
                <w:szCs w:val="32"/>
              </w:rPr>
            </w:pPr>
            <w:r>
              <w:rPr>
                <w:sz w:val="32"/>
              </w:rPr>
              <w:t>CONVENCIÓN SOBRE</w:t>
            </w:r>
          </w:p>
          <w:p w:rsidR="007302BA" w:rsidRPr="00972D36" w:rsidRDefault="007302BA" w:rsidP="006B1037">
            <w:pPr>
              <w:pStyle w:val="Heading2"/>
              <w:pBdr>
                <w:top w:val="none" w:sz="0" w:space="0" w:color="auto"/>
                <w:left w:val="none" w:sz="0" w:space="0" w:color="auto"/>
                <w:bottom w:val="none" w:sz="0" w:space="0" w:color="auto"/>
                <w:right w:val="none" w:sz="0" w:space="0" w:color="auto"/>
              </w:pBdr>
              <w:ind w:left="-108"/>
              <w:rPr>
                <w:rFonts w:cs="Arial"/>
                <w:bCs w:val="0"/>
                <w:sz w:val="32"/>
                <w:szCs w:val="32"/>
              </w:rPr>
            </w:pPr>
            <w:r>
              <w:rPr>
                <w:sz w:val="32"/>
              </w:rPr>
              <w:t>LAS ESPECIES</w:t>
            </w:r>
          </w:p>
          <w:p w:rsidR="007302BA" w:rsidRPr="00682B31" w:rsidRDefault="007302BA" w:rsidP="006B1037">
            <w:pPr>
              <w:pStyle w:val="Heading2"/>
              <w:pBdr>
                <w:top w:val="none" w:sz="0" w:space="0" w:color="auto"/>
                <w:left w:val="none" w:sz="0" w:space="0" w:color="auto"/>
                <w:bottom w:val="none" w:sz="0" w:space="0" w:color="auto"/>
                <w:right w:val="none" w:sz="0" w:space="0" w:color="auto"/>
              </w:pBdr>
              <w:ind w:left="-108"/>
              <w:rPr>
                <w:rFonts w:cs="Arial"/>
                <w:b w:val="0"/>
                <w:bCs w:val="0"/>
                <w:sz w:val="22"/>
              </w:rPr>
            </w:pPr>
            <w:r>
              <w:rPr>
                <w:sz w:val="32"/>
              </w:rPr>
              <w:t>MIGRATORIAS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7302BA" w:rsidRPr="00682B31" w:rsidRDefault="007302BA" w:rsidP="000C21B1">
            <w:pPr>
              <w:tabs>
                <w:tab w:val="left" w:pos="5040"/>
                <w:tab w:val="left" w:pos="5760"/>
                <w:tab w:val="left" w:pos="6008"/>
                <w:tab w:val="left" w:pos="6480"/>
                <w:tab w:val="left" w:pos="7200"/>
                <w:tab w:val="left" w:pos="7920"/>
                <w:tab w:val="left" w:pos="8640"/>
              </w:tabs>
              <w:rPr>
                <w:rFonts w:cs="Arial"/>
                <w:sz w:val="12"/>
                <w:szCs w:val="12"/>
              </w:rPr>
            </w:pPr>
          </w:p>
          <w:p w:rsidR="007302BA" w:rsidRPr="00420040" w:rsidRDefault="007302BA" w:rsidP="000C21B1">
            <w:pPr>
              <w:tabs>
                <w:tab w:val="left" w:pos="5040"/>
                <w:tab w:val="left" w:pos="5760"/>
                <w:tab w:val="left" w:pos="6008"/>
                <w:tab w:val="left" w:pos="6480"/>
                <w:tab w:val="left" w:pos="7200"/>
                <w:tab w:val="left" w:pos="7920"/>
                <w:tab w:val="left" w:pos="8640"/>
              </w:tabs>
              <w:rPr>
                <w:rFonts w:cs="Arial"/>
                <w:sz w:val="22"/>
              </w:rPr>
            </w:pPr>
            <w:r>
              <w:rPr>
                <w:sz w:val="22"/>
              </w:rPr>
              <w:t>Distribución: General</w:t>
            </w:r>
          </w:p>
          <w:p w:rsidR="007302BA" w:rsidRPr="00420040" w:rsidRDefault="007302BA" w:rsidP="000C21B1">
            <w:pPr>
              <w:tabs>
                <w:tab w:val="left" w:pos="-1057"/>
                <w:tab w:val="left" w:pos="-720"/>
                <w:tab w:val="left" w:pos="5040"/>
                <w:tab w:val="left" w:pos="5760"/>
                <w:tab w:val="left" w:pos="6008"/>
                <w:tab w:val="left" w:pos="6480"/>
                <w:tab w:val="left" w:pos="7200"/>
                <w:tab w:val="left" w:pos="7920"/>
                <w:tab w:val="left" w:pos="8640"/>
              </w:tabs>
              <w:rPr>
                <w:rFonts w:cs="Arial"/>
                <w:sz w:val="12"/>
                <w:szCs w:val="12"/>
              </w:rPr>
            </w:pPr>
          </w:p>
          <w:p w:rsidR="007302BA" w:rsidRPr="00420040" w:rsidRDefault="007302BA" w:rsidP="000C21B1">
            <w:pPr>
              <w:tabs>
                <w:tab w:val="left" w:pos="5040"/>
                <w:tab w:val="left" w:pos="5760"/>
                <w:tab w:val="left" w:pos="6008"/>
                <w:tab w:val="left" w:pos="6480"/>
                <w:tab w:val="left" w:pos="7200"/>
                <w:tab w:val="left" w:pos="7920"/>
                <w:tab w:val="left" w:pos="8640"/>
              </w:tabs>
              <w:rPr>
                <w:rFonts w:cs="Arial"/>
                <w:sz w:val="22"/>
              </w:rPr>
            </w:pPr>
            <w:r>
              <w:rPr>
                <w:sz w:val="22"/>
              </w:rPr>
              <w:t>UNEP/CMS/COP12/Doc.24.4.6</w:t>
            </w:r>
          </w:p>
          <w:p w:rsidR="007302BA" w:rsidRPr="00EC6FC3" w:rsidRDefault="007302BA" w:rsidP="00E8776E">
            <w:pPr>
              <w:tabs>
                <w:tab w:val="left" w:pos="5040"/>
                <w:tab w:val="left" w:pos="5760"/>
                <w:tab w:val="left" w:pos="6008"/>
                <w:tab w:val="left" w:pos="6480"/>
                <w:tab w:val="left" w:pos="7200"/>
                <w:tab w:val="left" w:pos="7920"/>
                <w:tab w:val="left" w:pos="8640"/>
              </w:tabs>
              <w:rPr>
                <w:rFonts w:cs="Arial"/>
                <w:sz w:val="22"/>
              </w:rPr>
            </w:pPr>
            <w:r>
              <w:rPr>
                <w:sz w:val="22"/>
              </w:rPr>
              <w:t>7 de junio de 2017</w:t>
            </w:r>
          </w:p>
          <w:p w:rsidR="007302BA" w:rsidRPr="00420040" w:rsidRDefault="007302BA" w:rsidP="000C21B1">
            <w:pPr>
              <w:rPr>
                <w:rFonts w:cs="Arial"/>
                <w:sz w:val="12"/>
                <w:szCs w:val="12"/>
              </w:rPr>
            </w:pPr>
          </w:p>
          <w:p w:rsidR="007302BA" w:rsidRPr="00A53416" w:rsidRDefault="007302BA" w:rsidP="000C21B1">
            <w:pPr>
              <w:rPr>
                <w:sz w:val="22"/>
                <w:lang w:val="es-ES_tradnl"/>
              </w:rPr>
            </w:pPr>
            <w:proofErr w:type="spellStart"/>
            <w:r>
              <w:rPr>
                <w:sz w:val="22"/>
              </w:rPr>
              <w:t>Espa</w:t>
            </w:r>
            <w:r>
              <w:rPr>
                <w:sz w:val="22"/>
                <w:lang w:val="es-ES_tradnl"/>
              </w:rPr>
              <w:t>ñol</w:t>
            </w:r>
            <w:proofErr w:type="spellEnd"/>
          </w:p>
          <w:p w:rsidR="007302BA" w:rsidRPr="00420040" w:rsidRDefault="007302BA" w:rsidP="000C21B1">
            <w:pPr>
              <w:rPr>
                <w:rFonts w:cs="Arial"/>
                <w:sz w:val="22"/>
              </w:rPr>
            </w:pPr>
            <w:r>
              <w:rPr>
                <w:sz w:val="22"/>
              </w:rPr>
              <w:t xml:space="preserve">Original: </w:t>
            </w:r>
            <w:proofErr w:type="gramStart"/>
            <w:r>
              <w:rPr>
                <w:sz w:val="22"/>
              </w:rPr>
              <w:t>Inglés</w:t>
            </w:r>
            <w:proofErr w:type="gramEnd"/>
          </w:p>
          <w:p w:rsidR="007302BA" w:rsidRPr="00682B31" w:rsidRDefault="007302BA" w:rsidP="000C21B1">
            <w:pPr>
              <w:rPr>
                <w:rFonts w:cs="Arial"/>
                <w:sz w:val="12"/>
                <w:szCs w:val="12"/>
              </w:rPr>
            </w:pPr>
          </w:p>
        </w:tc>
      </w:tr>
    </w:tbl>
    <w:p w:rsidR="007302BA" w:rsidRPr="00682B31" w:rsidRDefault="007302BA" w:rsidP="00E8776E">
      <w:pPr>
        <w:tabs>
          <w:tab w:val="left" w:pos="7020"/>
        </w:tabs>
        <w:rPr>
          <w:rFonts w:cs="Arial"/>
          <w:sz w:val="22"/>
          <w:szCs w:val="22"/>
        </w:rPr>
      </w:pPr>
    </w:p>
    <w:p w:rsidR="007302BA" w:rsidRPr="00682B31" w:rsidRDefault="007302BA" w:rsidP="00922791">
      <w:pPr>
        <w:tabs>
          <w:tab w:val="left" w:pos="7020"/>
        </w:tabs>
        <w:rPr>
          <w:rFonts w:cs="Arial"/>
          <w:sz w:val="22"/>
          <w:szCs w:val="22"/>
        </w:rPr>
      </w:pPr>
    </w:p>
    <w:p w:rsidR="007302BA" w:rsidRPr="00682B31" w:rsidRDefault="007302BA" w:rsidP="00354A9C">
      <w:pPr>
        <w:rPr>
          <w:rFonts w:cs="Arial"/>
          <w:sz w:val="22"/>
          <w:szCs w:val="22"/>
        </w:rPr>
      </w:pPr>
    </w:p>
    <w:p w:rsidR="007302BA" w:rsidRPr="00420040" w:rsidRDefault="007302BA" w:rsidP="00056DC1">
      <w:pPr>
        <w:pStyle w:val="Heading2"/>
        <w:keepNext w:val="0"/>
        <w:ind w:left="-90" w:right="-367"/>
        <w:jc w:val="center"/>
        <w:rPr>
          <w:rFonts w:cs="Arial"/>
          <w:sz w:val="22"/>
          <w:szCs w:val="22"/>
        </w:rPr>
      </w:pPr>
      <w:r>
        <w:rPr>
          <w:sz w:val="22"/>
        </w:rPr>
        <w:t xml:space="preserve">ENERGÍA Y ESPECIES MIGRATORIAS </w:t>
      </w:r>
    </w:p>
    <w:p w:rsidR="007302BA" w:rsidRPr="004D0936" w:rsidRDefault="007302BA" w:rsidP="00593736">
      <w:pPr>
        <w:rPr>
          <w:sz w:val="8"/>
          <w:szCs w:val="8"/>
        </w:rPr>
      </w:pPr>
    </w:p>
    <w:p w:rsidR="007302BA" w:rsidRDefault="007302BA" w:rsidP="00B64904">
      <w:pPr>
        <w:jc w:val="center"/>
        <w:rPr>
          <w:rFonts w:cs="Arial"/>
          <w:i/>
          <w:sz w:val="22"/>
          <w:szCs w:val="22"/>
        </w:rPr>
      </w:pPr>
      <w:r>
        <w:rPr>
          <w:i/>
          <w:sz w:val="22"/>
        </w:rPr>
        <w:t xml:space="preserve">(Preparado por la Secretaría) </w:t>
      </w:r>
    </w:p>
    <w:p w:rsidR="007302BA" w:rsidRPr="004D0936" w:rsidRDefault="007302BA" w:rsidP="00870FB9">
      <w:pPr>
        <w:rPr>
          <w:sz w:val="8"/>
          <w:szCs w:val="8"/>
        </w:rPr>
      </w:pPr>
    </w:p>
    <w:p w:rsidR="007302BA" w:rsidRPr="00420040" w:rsidRDefault="007302BA" w:rsidP="00B64904">
      <w:pPr>
        <w:jc w:val="center"/>
        <w:rPr>
          <w:rFonts w:cs="Arial"/>
          <w:i/>
          <w:sz w:val="22"/>
          <w:szCs w:val="22"/>
        </w:rPr>
      </w:pPr>
    </w:p>
    <w:p w:rsidR="007302BA" w:rsidRPr="00C169ED" w:rsidRDefault="007302BA" w:rsidP="001764E6">
      <w:pPr>
        <w:jc w:val="both"/>
        <w:rPr>
          <w:rFonts w:cs="Arial"/>
          <w:sz w:val="21"/>
          <w:szCs w:val="21"/>
        </w:rPr>
      </w:pPr>
    </w:p>
    <w:p w:rsidR="007302BA" w:rsidRPr="00C169ED" w:rsidRDefault="003F3DCD" w:rsidP="00D605A4">
      <w:pPr>
        <w:tabs>
          <w:tab w:val="left" w:pos="8295"/>
        </w:tabs>
        <w:jc w:val="both"/>
        <w:rPr>
          <w:rFonts w:cs="Arial"/>
          <w:sz w:val="21"/>
          <w:szCs w:val="21"/>
        </w:rPr>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799465</wp:posOffset>
                </wp:positionH>
                <wp:positionV relativeFrom="paragraph">
                  <wp:posOffset>69215</wp:posOffset>
                </wp:positionV>
                <wp:extent cx="4305300" cy="3639820"/>
                <wp:effectExtent l="0" t="0" r="19050"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3639820"/>
                        </a:xfrm>
                        <a:prstGeom prst="rect">
                          <a:avLst/>
                        </a:prstGeom>
                        <a:solidFill>
                          <a:srgbClr val="FFFFFF"/>
                        </a:solidFill>
                        <a:ln w="3175">
                          <a:solidFill>
                            <a:srgbClr val="000000"/>
                          </a:solidFill>
                          <a:miter lim="800000"/>
                          <a:headEnd/>
                          <a:tailEnd/>
                        </a:ln>
                      </wps:spPr>
                      <wps:txbx>
                        <w:txbxContent>
                          <w:p w:rsidR="007302BA" w:rsidRPr="00420040" w:rsidRDefault="007302BA" w:rsidP="00E475D4">
                            <w:pPr>
                              <w:rPr>
                                <w:rFonts w:cs="Arial"/>
                                <w:sz w:val="22"/>
                                <w:szCs w:val="22"/>
                              </w:rPr>
                            </w:pPr>
                            <w:r>
                              <w:rPr>
                                <w:sz w:val="22"/>
                              </w:rPr>
                              <w:t>Resumen:</w:t>
                            </w:r>
                          </w:p>
                          <w:p w:rsidR="007302BA" w:rsidRDefault="007302BA" w:rsidP="00E8776E">
                            <w:pPr>
                              <w:rPr>
                                <w:rFonts w:cs="Arial"/>
                                <w:i/>
                                <w:sz w:val="22"/>
                                <w:szCs w:val="22"/>
                              </w:rPr>
                            </w:pPr>
                          </w:p>
                          <w:p w:rsidR="007302BA" w:rsidRPr="007B026E" w:rsidRDefault="007302BA" w:rsidP="007954BD">
                            <w:pPr>
                              <w:jc w:val="both"/>
                              <w:rPr>
                                <w:rFonts w:cs="Arial"/>
                                <w:sz w:val="22"/>
                                <w:szCs w:val="22"/>
                              </w:rPr>
                            </w:pPr>
                            <w:r>
                              <w:rPr>
                                <w:sz w:val="22"/>
                              </w:rPr>
                              <w:t>Mediante las Resoluciones 11.27 y 10.11, la Conferencia de las Partes en la CMS estableció políticas y mandatos en relación con el sector de la energía. En particular, en la Resolución.11.27 se dieron instrucciones a la Secretaría para que estableciera un Equipo de tareas de múltiples partes interesadas sobre la conciliación de determinados desarrollos del sector energético con la conservación de las especies migratorias (Equipo de tareas sobre la energía), y presentara informe sobre los progresos realizados respecto del Equipo de tareas sobre la energía (ETF) a la Conferencia de las Partes en su 12ª reunión (COP12).</w:t>
                            </w:r>
                          </w:p>
                          <w:p w:rsidR="007302BA" w:rsidRDefault="007302BA" w:rsidP="007954BD">
                            <w:pPr>
                              <w:jc w:val="both"/>
                              <w:rPr>
                                <w:rFonts w:cs="Arial"/>
                                <w:sz w:val="21"/>
                                <w:szCs w:val="21"/>
                              </w:rPr>
                            </w:pPr>
                          </w:p>
                          <w:p w:rsidR="007302BA" w:rsidRDefault="007302BA" w:rsidP="00C44D89">
                            <w:pPr>
                              <w:jc w:val="both"/>
                              <w:rPr>
                                <w:rFonts w:cs="Arial"/>
                                <w:sz w:val="22"/>
                                <w:szCs w:val="22"/>
                              </w:rPr>
                            </w:pPr>
                            <w:r>
                              <w:rPr>
                                <w:sz w:val="22"/>
                              </w:rPr>
                              <w:t xml:space="preserve">En el presente informe se resume el estado de las actividades realizadas a mayo de 2017. </w:t>
                            </w:r>
                          </w:p>
                          <w:p w:rsidR="007302BA" w:rsidRPr="00291D46" w:rsidRDefault="007302BA" w:rsidP="007954BD">
                            <w:pPr>
                              <w:jc w:val="both"/>
                              <w:rPr>
                                <w:rFonts w:cs="Arial"/>
                                <w:sz w:val="21"/>
                                <w:szCs w:val="21"/>
                              </w:rPr>
                            </w:pPr>
                          </w:p>
                          <w:p w:rsidR="007302BA" w:rsidRPr="00291D46" w:rsidRDefault="007302BA" w:rsidP="007954BD">
                            <w:pPr>
                              <w:jc w:val="both"/>
                              <w:rPr>
                                <w:rFonts w:cs="Arial"/>
                                <w:sz w:val="22"/>
                                <w:szCs w:val="22"/>
                              </w:rPr>
                            </w:pPr>
                            <w:r>
                              <w:rPr>
                                <w:sz w:val="22"/>
                              </w:rPr>
                              <w:t xml:space="preserve">La aplicación de las actividades que se describen en este informe y que se han emprendido de conformidad con las resoluciones antes mencionadas contribuirá a la aplicación de las Metas 1, 3, 4, 5, 7, 8, 9, 10, 11 y15 del Plan Estratégico 2015 – 2023 para las especies migratorias. </w:t>
                            </w:r>
                          </w:p>
                          <w:p w:rsidR="007302BA" w:rsidRPr="00291D46" w:rsidRDefault="007302BA" w:rsidP="007954BD">
                            <w:pPr>
                              <w:jc w:val="both"/>
                              <w:rPr>
                                <w:rFonts w:cs="Arial"/>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2.95pt;margin-top:5.45pt;width:339pt;height:28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gtfKgIAAFEEAAAOAAAAZHJzL2Uyb0RvYy54bWysVNtu2zAMfR+wfxD0vti5takRp+jSZRjQ&#10;XYB2HyDLsi1MEjVJiZ19/Sg5zYJuexnmB0ESqUPyHNLr20ErchDOSzAlnU5ySoThUEvTlvTr0+7N&#10;ihIfmKmZAiNKehSe3m5ev1r3thAz6EDVwhEEMb7obUm7EGyRZZ53QjM/ASsMGhtwmgU8ujarHesR&#10;XatsludXWQ+utg648B5v70cj3ST8phE8fG4aLwJRJcXcQlpdWqu4Zps1K1rHbCf5KQ32D1loJg0G&#10;PUPds8DI3snfoLTkDjw0YcJBZ9A0kotUA1YzzV9U89gxK1ItSI63Z5r8/4Plnw5fHJF1SReUGKZR&#10;oicxBPIWBrKI7PTWF+j0aNEtDHiNKqdKvX0A/s0TA9uOmVbcOQd9J1iN2U3jy+zi6YjjI0jVf4Qa&#10;w7B9gAQ0NE5H6pAMguio0vGsTEyF4+Vini/nOZo42uZX85vVLGmXseL5uXU+vBegSdyU1KH0CZ4d&#10;HnyI6bDi2SVG86BkvZNKpYNrq61y5MCwTXbpSxW8cFOG9Bh+er0cGfgrRJ6+P0FoGbDfldQlXZ2d&#10;WBF5e2fq1I2BSTXuMWVlTkRG7kYWw1ANJ2EqqI9IqYOxr3EOcdOB+0FJjz1dUv99z5ygRH0wKMvN&#10;dLGIQ5AOi+U1ckjcpaW6tDDDEaqkgZJxuw3j4Oytk22HkcZGMHCHUjYykRw1H7M65Y19m7g/zVgc&#10;jMtz8vr1J9j8BAAA//8DAFBLAwQUAAYACAAAACEA8IsSQtwAAAAKAQAADwAAAGRycy9kb3ducmV2&#10;LnhtbEyPQU/DMAyF70j8h8hIXBBLVhiU0nSakOAG0jZ+gNeEtlrtVE22ln+POcHJ78lPz5/L9Uy9&#10;OvsxdoEtLBcGlOc6uI4bC5/719scVEzIDvvA3sK3j7CuLi9KLFyYeOvPu9QoKeFYoIU2paHQOtat&#10;J4yLMHiW3VcYCZPYsdFuxEnKqdeZMQ+asGO50OLgX1pfH3cnsvCOjDPRdnMTEn3QlB3fHvfG2uur&#10;efMMKvk5/YXhF1/QoRKmQzixi6oXn62eJCrCyJRAbu5EHCys8vsl6KrU/1+ofgAAAP//AwBQSwEC&#10;LQAUAAYACAAAACEAtoM4kv4AAADhAQAAEwAAAAAAAAAAAAAAAAAAAAAAW0NvbnRlbnRfVHlwZXNd&#10;LnhtbFBLAQItABQABgAIAAAAIQA4/SH/1gAAAJQBAAALAAAAAAAAAAAAAAAAAC8BAABfcmVscy8u&#10;cmVsc1BLAQItABQABgAIAAAAIQAfZgtfKgIAAFEEAAAOAAAAAAAAAAAAAAAAAC4CAABkcnMvZTJv&#10;RG9jLnhtbFBLAQItABQABgAIAAAAIQDwixJC3AAAAAoBAAAPAAAAAAAAAAAAAAAAAIQEAABkcnMv&#10;ZG93bnJldi54bWxQSwUGAAAAAAQABADzAAAAjQUAAAAA&#10;" strokeweight=".25pt">
                <v:textbox>
                  <w:txbxContent>
                    <w:p w:rsidR="007302BA" w:rsidRPr="00420040" w:rsidRDefault="007302BA" w:rsidP="00E475D4">
                      <w:pPr>
                        <w:rPr>
                          <w:rFonts w:cs="Arial"/>
                          <w:sz w:val="22"/>
                          <w:szCs w:val="22"/>
                        </w:rPr>
                      </w:pPr>
                      <w:r>
                        <w:rPr>
                          <w:sz w:val="22"/>
                        </w:rPr>
                        <w:t>Resumen:</w:t>
                      </w:r>
                    </w:p>
                    <w:p w:rsidR="007302BA" w:rsidRDefault="007302BA" w:rsidP="00E8776E">
                      <w:pPr>
                        <w:rPr>
                          <w:rFonts w:cs="Arial"/>
                          <w:i/>
                          <w:sz w:val="22"/>
                          <w:szCs w:val="22"/>
                        </w:rPr>
                      </w:pPr>
                    </w:p>
                    <w:p w:rsidR="007302BA" w:rsidRPr="007B026E" w:rsidRDefault="007302BA" w:rsidP="007954BD">
                      <w:pPr>
                        <w:jc w:val="both"/>
                        <w:rPr>
                          <w:rFonts w:cs="Arial"/>
                          <w:sz w:val="22"/>
                          <w:szCs w:val="22"/>
                        </w:rPr>
                      </w:pPr>
                      <w:r>
                        <w:rPr>
                          <w:sz w:val="22"/>
                        </w:rPr>
                        <w:t>Mediante las Resoluciones 11.27 y 10.11, la Conferencia de las Partes en la CMS estableció políticas y mandatos en relación con el sector de la energía. En particular, en la Resolución.11.27 se dieron instrucciones a la Secretaría para que estableciera un Equipo de tareas de múltiples partes interesadas sobre la conciliación de determinados desarrollos del sector energético con la conservación de las especies migratorias (Equipo de tareas sobre la energía), y presentara informe sobre los progresos realizados respecto del Equipo de tareas sobre la energía (ETF) a la Conferencia de las Partes en su 12ª reunión (COP12).</w:t>
                      </w:r>
                    </w:p>
                    <w:p w:rsidR="007302BA" w:rsidRDefault="007302BA" w:rsidP="007954BD">
                      <w:pPr>
                        <w:jc w:val="both"/>
                        <w:rPr>
                          <w:rFonts w:cs="Arial"/>
                          <w:sz w:val="21"/>
                          <w:szCs w:val="21"/>
                        </w:rPr>
                      </w:pPr>
                    </w:p>
                    <w:p w:rsidR="007302BA" w:rsidRDefault="007302BA" w:rsidP="00C44D89">
                      <w:pPr>
                        <w:jc w:val="both"/>
                        <w:rPr>
                          <w:rFonts w:cs="Arial"/>
                          <w:sz w:val="22"/>
                          <w:szCs w:val="22"/>
                        </w:rPr>
                      </w:pPr>
                      <w:r>
                        <w:rPr>
                          <w:sz w:val="22"/>
                        </w:rPr>
                        <w:t xml:space="preserve">En el presente informe se resume el estado de las actividades realizadas a mayo de 2017. </w:t>
                      </w:r>
                    </w:p>
                    <w:p w:rsidR="007302BA" w:rsidRPr="00291D46" w:rsidRDefault="007302BA" w:rsidP="007954BD">
                      <w:pPr>
                        <w:jc w:val="both"/>
                        <w:rPr>
                          <w:rFonts w:cs="Arial"/>
                          <w:sz w:val="21"/>
                          <w:szCs w:val="21"/>
                        </w:rPr>
                      </w:pPr>
                    </w:p>
                    <w:p w:rsidR="007302BA" w:rsidRPr="00291D46" w:rsidRDefault="007302BA" w:rsidP="007954BD">
                      <w:pPr>
                        <w:jc w:val="both"/>
                        <w:rPr>
                          <w:rFonts w:cs="Arial"/>
                          <w:sz w:val="22"/>
                          <w:szCs w:val="22"/>
                        </w:rPr>
                      </w:pPr>
                      <w:r>
                        <w:rPr>
                          <w:sz w:val="22"/>
                        </w:rPr>
                        <w:t xml:space="preserve">La aplicación de las actividades que se describen en este informe y que se han emprendido de conformidad con las resoluciones antes mencionadas contribuirá a la aplicación de las Metas 1, 3, 4, 5, 7, 8, 9, 10, 11 y15 del Plan Estratégico 2015 – 2023 para las especies migratorias. </w:t>
                      </w:r>
                    </w:p>
                    <w:p w:rsidR="007302BA" w:rsidRPr="00291D46" w:rsidRDefault="007302BA" w:rsidP="007954BD">
                      <w:pPr>
                        <w:jc w:val="both"/>
                        <w:rPr>
                          <w:rFonts w:cs="Arial"/>
                          <w:sz w:val="21"/>
                          <w:szCs w:val="21"/>
                        </w:rPr>
                      </w:pPr>
                    </w:p>
                  </w:txbxContent>
                </v:textbox>
              </v:shape>
            </w:pict>
          </mc:Fallback>
        </mc:AlternateContent>
      </w:r>
    </w:p>
    <w:p w:rsidR="007302BA" w:rsidRPr="00C169ED" w:rsidRDefault="007302BA" w:rsidP="00D605A4">
      <w:pPr>
        <w:rPr>
          <w:rFonts w:cs="Arial"/>
          <w:sz w:val="21"/>
          <w:szCs w:val="21"/>
        </w:rPr>
      </w:pPr>
    </w:p>
    <w:p w:rsidR="007302BA" w:rsidRPr="00C169ED" w:rsidRDefault="007302BA" w:rsidP="00D605A4">
      <w:pPr>
        <w:rPr>
          <w:rFonts w:cs="Arial"/>
          <w:sz w:val="21"/>
          <w:szCs w:val="21"/>
        </w:rPr>
      </w:pPr>
    </w:p>
    <w:p w:rsidR="007302BA" w:rsidRPr="00C169ED" w:rsidRDefault="007302BA" w:rsidP="00D605A4">
      <w:pPr>
        <w:rPr>
          <w:rFonts w:cs="Arial"/>
          <w:sz w:val="21"/>
          <w:szCs w:val="21"/>
        </w:rPr>
      </w:pPr>
    </w:p>
    <w:p w:rsidR="007302BA" w:rsidRPr="00C169ED" w:rsidRDefault="007302BA" w:rsidP="00D605A4">
      <w:pPr>
        <w:rPr>
          <w:rFonts w:cs="Arial"/>
          <w:sz w:val="21"/>
          <w:szCs w:val="21"/>
        </w:rPr>
      </w:pPr>
    </w:p>
    <w:p w:rsidR="007302BA" w:rsidRPr="00C169ED" w:rsidRDefault="007302BA" w:rsidP="00D605A4">
      <w:pPr>
        <w:rPr>
          <w:rFonts w:cs="Arial"/>
          <w:sz w:val="21"/>
          <w:szCs w:val="21"/>
        </w:rPr>
      </w:pPr>
    </w:p>
    <w:p w:rsidR="007302BA" w:rsidRPr="00C169ED" w:rsidRDefault="007302BA" w:rsidP="00D605A4">
      <w:pPr>
        <w:rPr>
          <w:rFonts w:cs="Arial"/>
          <w:sz w:val="21"/>
          <w:szCs w:val="21"/>
        </w:rPr>
      </w:pPr>
    </w:p>
    <w:p w:rsidR="007302BA" w:rsidRPr="00C169ED" w:rsidRDefault="007302BA" w:rsidP="00D605A4">
      <w:pPr>
        <w:rPr>
          <w:rFonts w:cs="Arial"/>
          <w:sz w:val="21"/>
          <w:szCs w:val="21"/>
        </w:rPr>
      </w:pPr>
    </w:p>
    <w:p w:rsidR="007302BA" w:rsidRPr="00C169ED" w:rsidRDefault="007302BA" w:rsidP="00D605A4">
      <w:pPr>
        <w:rPr>
          <w:rFonts w:cs="Arial"/>
          <w:sz w:val="21"/>
          <w:szCs w:val="21"/>
        </w:rPr>
      </w:pPr>
    </w:p>
    <w:p w:rsidR="007302BA" w:rsidRPr="00C169ED" w:rsidRDefault="007302BA" w:rsidP="00D605A4">
      <w:pPr>
        <w:rPr>
          <w:rFonts w:cs="Arial"/>
          <w:sz w:val="21"/>
          <w:szCs w:val="21"/>
        </w:rPr>
      </w:pPr>
    </w:p>
    <w:p w:rsidR="007302BA" w:rsidRPr="00C169ED" w:rsidRDefault="007302BA" w:rsidP="00D605A4">
      <w:pPr>
        <w:rPr>
          <w:rFonts w:cs="Arial"/>
          <w:sz w:val="21"/>
          <w:szCs w:val="21"/>
        </w:rPr>
      </w:pPr>
    </w:p>
    <w:p w:rsidR="007302BA" w:rsidRPr="00C169ED" w:rsidRDefault="007302BA" w:rsidP="00D605A4">
      <w:pPr>
        <w:rPr>
          <w:rFonts w:cs="Arial"/>
          <w:sz w:val="21"/>
          <w:szCs w:val="21"/>
        </w:rPr>
      </w:pPr>
    </w:p>
    <w:p w:rsidR="007302BA" w:rsidRPr="00C169ED" w:rsidRDefault="007302BA" w:rsidP="00D605A4">
      <w:pPr>
        <w:rPr>
          <w:rFonts w:cs="Arial"/>
          <w:sz w:val="21"/>
          <w:szCs w:val="21"/>
        </w:rPr>
      </w:pPr>
    </w:p>
    <w:p w:rsidR="007302BA" w:rsidRPr="00C169ED" w:rsidRDefault="007302BA" w:rsidP="00D605A4">
      <w:pPr>
        <w:rPr>
          <w:rFonts w:cs="Arial"/>
          <w:sz w:val="21"/>
          <w:szCs w:val="21"/>
        </w:rPr>
      </w:pPr>
    </w:p>
    <w:p w:rsidR="007302BA" w:rsidRPr="00C169ED" w:rsidRDefault="007302BA" w:rsidP="00D605A4">
      <w:pPr>
        <w:rPr>
          <w:rFonts w:cs="Arial"/>
          <w:sz w:val="21"/>
          <w:szCs w:val="21"/>
        </w:rPr>
      </w:pPr>
    </w:p>
    <w:p w:rsidR="007302BA" w:rsidRPr="00C169ED" w:rsidRDefault="007302BA" w:rsidP="00D605A4">
      <w:pPr>
        <w:rPr>
          <w:rFonts w:cs="Arial"/>
          <w:sz w:val="21"/>
          <w:szCs w:val="21"/>
        </w:rPr>
      </w:pPr>
    </w:p>
    <w:p w:rsidR="007302BA" w:rsidRPr="00C169ED" w:rsidRDefault="007302BA" w:rsidP="00D605A4">
      <w:pPr>
        <w:rPr>
          <w:rFonts w:cs="Arial"/>
          <w:sz w:val="21"/>
          <w:szCs w:val="21"/>
        </w:rPr>
      </w:pPr>
    </w:p>
    <w:p w:rsidR="007302BA" w:rsidRPr="00C169ED" w:rsidRDefault="007302BA" w:rsidP="00D605A4">
      <w:pPr>
        <w:rPr>
          <w:rFonts w:cs="Arial"/>
          <w:sz w:val="21"/>
          <w:szCs w:val="21"/>
        </w:rPr>
      </w:pPr>
    </w:p>
    <w:p w:rsidR="007302BA" w:rsidRPr="00C169ED" w:rsidRDefault="007302BA" w:rsidP="00D605A4">
      <w:pPr>
        <w:rPr>
          <w:rFonts w:cs="Arial"/>
          <w:sz w:val="21"/>
          <w:szCs w:val="21"/>
        </w:rPr>
      </w:pPr>
    </w:p>
    <w:p w:rsidR="007302BA" w:rsidRPr="00C169ED" w:rsidRDefault="007302BA" w:rsidP="00D605A4">
      <w:pPr>
        <w:rPr>
          <w:rFonts w:cs="Arial"/>
          <w:sz w:val="21"/>
          <w:szCs w:val="21"/>
        </w:rPr>
      </w:pPr>
    </w:p>
    <w:p w:rsidR="007302BA" w:rsidRDefault="007302BA" w:rsidP="00D605A4">
      <w:pPr>
        <w:rPr>
          <w:rFonts w:cs="Arial"/>
          <w:sz w:val="22"/>
          <w:szCs w:val="22"/>
        </w:rPr>
      </w:pPr>
    </w:p>
    <w:p w:rsidR="007302BA" w:rsidRDefault="007302BA" w:rsidP="00D605A4">
      <w:pPr>
        <w:rPr>
          <w:rFonts w:cs="Arial"/>
          <w:sz w:val="22"/>
          <w:szCs w:val="22"/>
        </w:rPr>
      </w:pPr>
    </w:p>
    <w:p w:rsidR="007302BA" w:rsidRDefault="007302BA" w:rsidP="00D605A4">
      <w:pPr>
        <w:rPr>
          <w:rFonts w:cs="Arial"/>
          <w:sz w:val="22"/>
          <w:szCs w:val="22"/>
        </w:rPr>
      </w:pPr>
    </w:p>
    <w:p w:rsidR="007302BA" w:rsidRDefault="007302BA" w:rsidP="00D605A4">
      <w:pPr>
        <w:rPr>
          <w:rFonts w:cs="Arial"/>
          <w:sz w:val="22"/>
          <w:szCs w:val="22"/>
        </w:rPr>
      </w:pPr>
    </w:p>
    <w:p w:rsidR="007302BA" w:rsidRDefault="007302BA" w:rsidP="00D605A4">
      <w:pPr>
        <w:rPr>
          <w:rFonts w:cs="Arial"/>
          <w:sz w:val="22"/>
          <w:szCs w:val="22"/>
        </w:rPr>
      </w:pPr>
    </w:p>
    <w:p w:rsidR="007302BA" w:rsidRDefault="007302BA" w:rsidP="00D605A4">
      <w:pPr>
        <w:rPr>
          <w:rFonts w:cs="Arial"/>
          <w:sz w:val="22"/>
          <w:szCs w:val="22"/>
        </w:rPr>
      </w:pPr>
    </w:p>
    <w:p w:rsidR="007302BA" w:rsidRDefault="007302BA" w:rsidP="00D605A4">
      <w:pPr>
        <w:rPr>
          <w:rFonts w:cs="Arial"/>
          <w:sz w:val="22"/>
          <w:szCs w:val="22"/>
        </w:rPr>
      </w:pPr>
    </w:p>
    <w:p w:rsidR="007302BA" w:rsidRDefault="007302BA" w:rsidP="00D605A4">
      <w:pPr>
        <w:rPr>
          <w:rFonts w:cs="Arial"/>
          <w:sz w:val="22"/>
          <w:szCs w:val="22"/>
        </w:rPr>
      </w:pPr>
    </w:p>
    <w:p w:rsidR="007302BA" w:rsidRDefault="007302BA" w:rsidP="00D605A4">
      <w:pPr>
        <w:rPr>
          <w:rFonts w:cs="Arial"/>
          <w:sz w:val="22"/>
          <w:szCs w:val="22"/>
        </w:rPr>
      </w:pPr>
    </w:p>
    <w:tbl>
      <w:tblPr>
        <w:tblW w:w="999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30"/>
        <w:gridCol w:w="6840"/>
        <w:gridCol w:w="1620"/>
      </w:tblGrid>
      <w:tr w:rsidR="007302BA" w:rsidTr="00120956">
        <w:trPr>
          <w:trHeight w:val="1322"/>
        </w:trPr>
        <w:tc>
          <w:tcPr>
            <w:tcW w:w="1530" w:type="dxa"/>
            <w:tcBorders>
              <w:right w:val="nil"/>
            </w:tcBorders>
          </w:tcPr>
          <w:p w:rsidR="007302BA" w:rsidRPr="00120956" w:rsidRDefault="003F3DCD" w:rsidP="009C40FD">
            <w:pPr>
              <w:rPr>
                <w:rFonts w:ascii="Times New Roman" w:hAnsi="Times New Roman"/>
                <w:sz w:val="20"/>
                <w:szCs w:val="20"/>
              </w:rPr>
            </w:pPr>
            <w:r>
              <w:rPr>
                <w:noProof/>
                <w:lang w:val="en-US" w:eastAsia="en-US"/>
              </w:rPr>
              <w:drawing>
                <wp:anchor distT="0" distB="0" distL="114300" distR="114300" simplePos="0" relativeHeight="251659264" behindDoc="0" locked="0" layoutInCell="1" allowOverlap="1">
                  <wp:simplePos x="0" y="0"/>
                  <wp:positionH relativeFrom="column">
                    <wp:posOffset>-59055</wp:posOffset>
                  </wp:positionH>
                  <wp:positionV relativeFrom="paragraph">
                    <wp:posOffset>182880</wp:posOffset>
                  </wp:positionV>
                  <wp:extent cx="932180" cy="438150"/>
                  <wp:effectExtent l="0" t="0" r="1270" b="0"/>
                  <wp:wrapSquare wrapText="bothSides"/>
                  <wp:docPr id="5" name="Picture 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2180" cy="438150"/>
                          </a:xfrm>
                          <a:prstGeom prst="rect">
                            <a:avLst/>
                          </a:prstGeom>
                          <a:noFill/>
                        </pic:spPr>
                      </pic:pic>
                    </a:graphicData>
                  </a:graphic>
                  <wp14:sizeRelH relativeFrom="page">
                    <wp14:pctWidth>0</wp14:pctWidth>
                  </wp14:sizeRelH>
                  <wp14:sizeRelV relativeFrom="page">
                    <wp14:pctHeight>0</wp14:pctHeight>
                  </wp14:sizeRelV>
                </wp:anchor>
              </w:drawing>
            </w:r>
          </w:p>
        </w:tc>
        <w:tc>
          <w:tcPr>
            <w:tcW w:w="6840" w:type="dxa"/>
            <w:tcBorders>
              <w:left w:val="nil"/>
              <w:right w:val="nil"/>
            </w:tcBorders>
          </w:tcPr>
          <w:p w:rsidR="007302BA" w:rsidRPr="00120956" w:rsidRDefault="003F3DCD" w:rsidP="00120956">
            <w:pPr>
              <w:spacing w:before="20"/>
              <w:jc w:val="both"/>
              <w:rPr>
                <w:rFonts w:ascii="Times New Roman" w:hAnsi="Times New Roman"/>
                <w:sz w:val="20"/>
                <w:szCs w:val="20"/>
              </w:rPr>
            </w:pPr>
            <w:r>
              <w:rPr>
                <w:noProof/>
                <w:lang w:val="en-US" w:eastAsia="en-US"/>
              </w:rPr>
              <w:drawing>
                <wp:anchor distT="0" distB="0" distL="114300" distR="114300" simplePos="0" relativeHeight="251660288" behindDoc="0" locked="0" layoutInCell="1" allowOverlap="1">
                  <wp:simplePos x="0" y="0"/>
                  <wp:positionH relativeFrom="column">
                    <wp:posOffset>4259580</wp:posOffset>
                  </wp:positionH>
                  <wp:positionV relativeFrom="paragraph">
                    <wp:posOffset>97155</wp:posOffset>
                  </wp:positionV>
                  <wp:extent cx="1037590" cy="579755"/>
                  <wp:effectExtent l="0" t="0" r="0" b="0"/>
                  <wp:wrapNone/>
                  <wp:docPr id="6" name="Picture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7590" cy="579755"/>
                          </a:xfrm>
                          <a:prstGeom prst="rect">
                            <a:avLst/>
                          </a:prstGeom>
                          <a:noFill/>
                        </pic:spPr>
                      </pic:pic>
                    </a:graphicData>
                  </a:graphic>
                  <wp14:sizeRelH relativeFrom="page">
                    <wp14:pctWidth>0</wp14:pctWidth>
                  </wp14:sizeRelH>
                  <wp14:sizeRelV relativeFrom="page">
                    <wp14:pctHeight>0</wp14:pctHeight>
                  </wp14:sizeRelV>
                </wp:anchor>
              </w:drawing>
            </w:r>
            <w:r w:rsidR="007302BA">
              <w:rPr>
                <w:rFonts w:ascii="Times New Roman" w:hAnsi="Times New Roman"/>
              </w:rPr>
              <w:t>El Gobierno de la República Federal de Alemania a través del Ministerio Federal de Medio Ambiente, Conservación de la Naturaleza, Construcción y Seguridad Nuclear (BMUB) fue reconocido Campeón Plus por su generoso apoyo y compromiso en favor de la "Conciliación del desarrollo del sector energético con la conservación de las especies migratorias" para el período 2015-2017. El Equipo de tareas sobre la energía se ha financiado con la contribución aportada por Alemania en el marco del Programa de defensores de las especies migratorias.</w:t>
            </w:r>
          </w:p>
        </w:tc>
        <w:tc>
          <w:tcPr>
            <w:tcW w:w="1620" w:type="dxa"/>
            <w:tcBorders>
              <w:left w:val="nil"/>
            </w:tcBorders>
          </w:tcPr>
          <w:p w:rsidR="007302BA" w:rsidRPr="00120956" w:rsidRDefault="007302BA" w:rsidP="009C40FD">
            <w:pPr>
              <w:rPr>
                <w:rFonts w:ascii="Times New Roman" w:hAnsi="Times New Roman"/>
                <w:sz w:val="20"/>
                <w:szCs w:val="20"/>
              </w:rPr>
            </w:pPr>
          </w:p>
        </w:tc>
      </w:tr>
    </w:tbl>
    <w:p w:rsidR="007302BA" w:rsidRDefault="007302BA" w:rsidP="00D605A4">
      <w:pPr>
        <w:tabs>
          <w:tab w:val="left" w:pos="1020"/>
        </w:tabs>
        <w:rPr>
          <w:rFonts w:cs="Arial"/>
          <w:sz w:val="22"/>
          <w:szCs w:val="22"/>
        </w:rPr>
        <w:sectPr w:rsidR="007302BA" w:rsidSect="0052082F">
          <w:headerReference w:type="even" r:id="rId12"/>
          <w:headerReference w:type="default" r:id="rId13"/>
          <w:footerReference w:type="even" r:id="rId14"/>
          <w:footerReference w:type="default" r:id="rId15"/>
          <w:headerReference w:type="first" r:id="rId16"/>
          <w:footerReference w:type="first" r:id="rId17"/>
          <w:endnotePr>
            <w:numFmt w:val="decimal"/>
          </w:endnotePr>
          <w:pgSz w:w="11905" w:h="16837" w:code="9"/>
          <w:pgMar w:top="1008" w:right="1411" w:bottom="1152" w:left="1411" w:header="432" w:footer="432" w:gutter="0"/>
          <w:cols w:space="720"/>
          <w:noEndnote/>
          <w:titlePg/>
          <w:rtlGutter/>
          <w:docGrid w:linePitch="272"/>
        </w:sectPr>
      </w:pPr>
    </w:p>
    <w:p w:rsidR="007302BA" w:rsidRPr="00420040" w:rsidRDefault="007302BA" w:rsidP="0006289C">
      <w:pPr>
        <w:pStyle w:val="Heading2"/>
        <w:keepNext w:val="0"/>
        <w:ind w:left="-90" w:right="-367"/>
        <w:jc w:val="center"/>
        <w:rPr>
          <w:rFonts w:cs="Arial"/>
          <w:sz w:val="22"/>
          <w:szCs w:val="22"/>
        </w:rPr>
      </w:pPr>
      <w:r>
        <w:rPr>
          <w:sz w:val="22"/>
        </w:rPr>
        <w:lastRenderedPageBreak/>
        <w:t xml:space="preserve">ENERGÍA Y ESPECIES MIGRATORIAS </w:t>
      </w:r>
    </w:p>
    <w:p w:rsidR="007302BA" w:rsidRPr="00CD0FE9" w:rsidRDefault="007302BA" w:rsidP="007910DD">
      <w:pPr>
        <w:jc w:val="both"/>
        <w:rPr>
          <w:rFonts w:cs="Arial"/>
          <w:sz w:val="22"/>
          <w:szCs w:val="22"/>
        </w:rPr>
      </w:pPr>
    </w:p>
    <w:p w:rsidR="007302BA" w:rsidRPr="00CD0FE9" w:rsidRDefault="007302BA" w:rsidP="007910DD">
      <w:pPr>
        <w:jc w:val="both"/>
        <w:rPr>
          <w:rFonts w:cs="Arial"/>
          <w:sz w:val="22"/>
          <w:szCs w:val="22"/>
        </w:rPr>
      </w:pPr>
    </w:p>
    <w:p w:rsidR="007302BA" w:rsidRPr="00CD0FE9" w:rsidRDefault="007302BA" w:rsidP="007910DD">
      <w:pPr>
        <w:jc w:val="both"/>
        <w:rPr>
          <w:rFonts w:cs="Arial"/>
          <w:sz w:val="22"/>
          <w:szCs w:val="22"/>
          <w:u w:val="single"/>
        </w:rPr>
      </w:pPr>
      <w:r>
        <w:rPr>
          <w:sz w:val="22"/>
          <w:u w:val="single"/>
        </w:rPr>
        <w:t>Antecedentes</w:t>
      </w:r>
    </w:p>
    <w:p w:rsidR="007302BA" w:rsidRPr="00CD7355" w:rsidRDefault="007302BA" w:rsidP="007910DD">
      <w:pPr>
        <w:ind w:left="360"/>
        <w:contextualSpacing/>
        <w:jc w:val="both"/>
        <w:rPr>
          <w:rFonts w:cs="Arial"/>
          <w:sz w:val="22"/>
          <w:szCs w:val="22"/>
        </w:rPr>
      </w:pPr>
    </w:p>
    <w:p w:rsidR="007302BA" w:rsidRDefault="007302BA" w:rsidP="003E75AF">
      <w:pPr>
        <w:numPr>
          <w:ilvl w:val="0"/>
          <w:numId w:val="2"/>
        </w:numPr>
        <w:contextualSpacing/>
        <w:jc w:val="both"/>
        <w:rPr>
          <w:rFonts w:cs="Arial"/>
          <w:sz w:val="22"/>
          <w:szCs w:val="22"/>
        </w:rPr>
      </w:pPr>
      <w:r>
        <w:rPr>
          <w:sz w:val="22"/>
        </w:rPr>
        <w:t>La CMS ha reconocido desde hace mucho tiempo que un suministro de energía suficiente y estable es de vital importancia para la sociedad y que, en particular, las fuentes de energía renovables pueden contribuir en medida considerable al logro de este objetivo.  Sin embargo, ha reconocido también que la infraestructura para el despliegue y la distribución de energía puede producir un impacto considerable sobre las especies migratorias.</w:t>
      </w:r>
    </w:p>
    <w:p w:rsidR="007302BA" w:rsidRDefault="007302BA" w:rsidP="007954BD">
      <w:pPr>
        <w:pStyle w:val="ListParagraph"/>
        <w:rPr>
          <w:rFonts w:cs="Arial"/>
          <w:sz w:val="22"/>
          <w:szCs w:val="22"/>
        </w:rPr>
      </w:pPr>
    </w:p>
    <w:p w:rsidR="007302BA" w:rsidRPr="007954BD" w:rsidRDefault="007302BA" w:rsidP="003C0016">
      <w:pPr>
        <w:numPr>
          <w:ilvl w:val="0"/>
          <w:numId w:val="2"/>
        </w:numPr>
        <w:contextualSpacing/>
        <w:jc w:val="both"/>
        <w:rPr>
          <w:rFonts w:cs="Arial"/>
          <w:sz w:val="22"/>
          <w:szCs w:val="22"/>
        </w:rPr>
      </w:pPr>
      <w:r>
        <w:rPr>
          <w:sz w:val="22"/>
        </w:rPr>
        <w:t>En la séptima reunión de la Conferencia de las Partes (COP7) mediante la Resolución 7.4 "Electrocución de las aves migratorias" y la Resolución 7.5 "Turbinas eólicas y especies migratorias" se abordó el tema de los efectos de los tendidos eléctricos y de las turbinas eólicas en las especies migratorias.</w:t>
      </w:r>
    </w:p>
    <w:p w:rsidR="007302BA" w:rsidRDefault="007302BA" w:rsidP="007954BD">
      <w:pPr>
        <w:pStyle w:val="ListParagraph"/>
        <w:rPr>
          <w:rFonts w:cs="Arial"/>
          <w:sz w:val="22"/>
          <w:szCs w:val="22"/>
        </w:rPr>
      </w:pPr>
    </w:p>
    <w:p w:rsidR="007302BA" w:rsidRPr="00C776F1" w:rsidRDefault="007302BA" w:rsidP="00E50FB9">
      <w:pPr>
        <w:numPr>
          <w:ilvl w:val="0"/>
          <w:numId w:val="2"/>
        </w:numPr>
        <w:contextualSpacing/>
        <w:jc w:val="both"/>
        <w:rPr>
          <w:rFonts w:cs="Arial"/>
          <w:sz w:val="22"/>
          <w:szCs w:val="22"/>
        </w:rPr>
      </w:pPr>
      <w:r>
        <w:rPr>
          <w:sz w:val="22"/>
        </w:rPr>
        <w:t xml:space="preserve">La CMS emprendió nuevos trabajos sobre los efectos de los tendidos eléctricos en las especies migratorias en colaboración con el Acuerdo sobre la conservación de las aves acuáticas migratorias de África y Eurasia (AEWA) y el RWE </w:t>
      </w:r>
      <w:proofErr w:type="spellStart"/>
      <w:r>
        <w:rPr>
          <w:sz w:val="22"/>
        </w:rPr>
        <w:t>Rhein-Ruhr</w:t>
      </w:r>
      <w:proofErr w:type="spellEnd"/>
      <w:r>
        <w:rPr>
          <w:sz w:val="22"/>
        </w:rPr>
        <w:t xml:space="preserve"> </w:t>
      </w:r>
      <w:proofErr w:type="spellStart"/>
      <w:r>
        <w:rPr>
          <w:sz w:val="22"/>
        </w:rPr>
        <w:t>Netzservice</w:t>
      </w:r>
      <w:proofErr w:type="spellEnd"/>
      <w:r>
        <w:rPr>
          <w:sz w:val="22"/>
        </w:rPr>
        <w:t xml:space="preserve"> </w:t>
      </w:r>
      <w:proofErr w:type="spellStart"/>
      <w:r>
        <w:rPr>
          <w:sz w:val="22"/>
        </w:rPr>
        <w:t>GmbH</w:t>
      </w:r>
      <w:proofErr w:type="spellEnd"/>
      <w:r>
        <w:rPr>
          <w:sz w:val="22"/>
        </w:rPr>
        <w:t>, con la preparación de un análisis de los conflictos entre las aves migratorias y las redes de distribución de la electricidad en la región de África y Eurasia</w:t>
      </w:r>
      <w:r>
        <w:rPr>
          <w:color w:val="000000"/>
          <w:sz w:val="22"/>
        </w:rPr>
        <w:t xml:space="preserve"> y </w:t>
      </w:r>
      <w:r>
        <w:rPr>
          <w:sz w:val="22"/>
        </w:rPr>
        <w:t>unas directrices sobre cómo evitar o mitigar los efectos de los tendidos eléctricos en las aves migratorias en la región de África y Eurasia.  En su 10ª reunión, la Conferencia de las Partes (COP10), acogió con beneplácito las directrices y aprobó la Resolución 10.11 'Tendidos eléctricos y aves migratorias".</w:t>
      </w:r>
    </w:p>
    <w:p w:rsidR="007302BA" w:rsidRPr="00C776F1" w:rsidRDefault="007302BA" w:rsidP="00A53652">
      <w:pPr>
        <w:pStyle w:val="ListParagraph"/>
        <w:rPr>
          <w:rFonts w:cs="Arial"/>
          <w:sz w:val="22"/>
          <w:szCs w:val="22"/>
        </w:rPr>
      </w:pPr>
    </w:p>
    <w:p w:rsidR="007302BA" w:rsidRDefault="007302BA" w:rsidP="00E50FB9">
      <w:pPr>
        <w:numPr>
          <w:ilvl w:val="0"/>
          <w:numId w:val="2"/>
        </w:numPr>
        <w:contextualSpacing/>
        <w:jc w:val="both"/>
        <w:rPr>
          <w:rFonts w:cs="Arial"/>
          <w:sz w:val="22"/>
          <w:szCs w:val="22"/>
        </w:rPr>
      </w:pPr>
      <w:r>
        <w:rPr>
          <w:sz w:val="22"/>
        </w:rPr>
        <w:t>En la quinta sesión de la Reunión de las Partes en el AEWA (MOP5) aprobó sucesivamente las Directrices mediante la Resolución 5.10 "Revisión y adopción de directrices sobre la conservación", y aprobó la Resolución 5.11 del AEWA "Tendidos eléctricos y aves acuáticas migratorias".</w:t>
      </w:r>
    </w:p>
    <w:p w:rsidR="007302BA" w:rsidRPr="00120956" w:rsidRDefault="007302BA" w:rsidP="007954BD">
      <w:pPr>
        <w:pStyle w:val="ListParagraph"/>
        <w:widowControl/>
        <w:autoSpaceDE/>
        <w:autoSpaceDN/>
        <w:adjustRightInd/>
        <w:spacing w:after="160" w:line="259" w:lineRule="auto"/>
        <w:ind w:left="360"/>
        <w:jc w:val="both"/>
        <w:rPr>
          <w:rFonts w:cs="Arial"/>
          <w:sz w:val="22"/>
          <w:szCs w:val="22"/>
        </w:rPr>
      </w:pPr>
    </w:p>
    <w:p w:rsidR="007302BA" w:rsidRPr="00120956" w:rsidRDefault="007302BA" w:rsidP="00F6660A">
      <w:pPr>
        <w:pStyle w:val="ListParagraph"/>
        <w:widowControl/>
        <w:numPr>
          <w:ilvl w:val="0"/>
          <w:numId w:val="2"/>
        </w:numPr>
        <w:autoSpaceDE/>
        <w:autoSpaceDN/>
        <w:adjustRightInd/>
        <w:spacing w:after="160" w:line="259" w:lineRule="auto"/>
        <w:jc w:val="both"/>
        <w:rPr>
          <w:rFonts w:cs="Arial"/>
          <w:sz w:val="22"/>
          <w:szCs w:val="22"/>
        </w:rPr>
      </w:pPr>
      <w:r>
        <w:rPr>
          <w:sz w:val="22"/>
        </w:rPr>
        <w:t xml:space="preserve">Se aplicó un enfoque análogo para avanzar los trabajos sobre el impacto de las tecnologías de energía renovable en las especies migratorias. La CMS trabajó en colaboración con el AEWA, </w:t>
      </w:r>
      <w:proofErr w:type="spellStart"/>
      <w:r>
        <w:rPr>
          <w:sz w:val="22"/>
        </w:rPr>
        <w:t>BirdLife</w:t>
      </w:r>
      <w:proofErr w:type="spellEnd"/>
      <w:r>
        <w:rPr>
          <w:sz w:val="22"/>
        </w:rPr>
        <w:t xml:space="preserve"> International y la Agencia Internacional de Energías Renovables (IRENA) para producir un informe de examen sobre efectos documentados y potenciales de la implementación de tecnologías de energía renovable en las especies migratorias, y una compilación de directrices para mitigar los efectos en las especies migratorias. Mediante la Resolución 11.27 "Energía renovable y especies migratorias", la Conferencia de las Partes en su 11ª reunión (COP11), aprobó el documento "Tecnologías de energías renovables y especies migratorias: directrices para su despliegue sostenible </w:t>
      </w:r>
    </w:p>
    <w:p w:rsidR="007302BA" w:rsidRPr="00120956" w:rsidRDefault="007302BA" w:rsidP="00F6660A">
      <w:pPr>
        <w:pStyle w:val="ListParagraph"/>
        <w:widowControl/>
        <w:autoSpaceDE/>
        <w:autoSpaceDN/>
        <w:adjustRightInd/>
        <w:spacing w:after="160" w:line="259" w:lineRule="auto"/>
        <w:ind w:left="360"/>
        <w:jc w:val="both"/>
        <w:rPr>
          <w:rFonts w:cs="Arial"/>
          <w:sz w:val="22"/>
          <w:szCs w:val="22"/>
        </w:rPr>
      </w:pPr>
    </w:p>
    <w:p w:rsidR="007302BA" w:rsidRPr="00120956" w:rsidRDefault="007302BA" w:rsidP="007954BD">
      <w:pPr>
        <w:pStyle w:val="ListParagraph"/>
        <w:widowControl/>
        <w:numPr>
          <w:ilvl w:val="0"/>
          <w:numId w:val="2"/>
        </w:numPr>
        <w:autoSpaceDE/>
        <w:autoSpaceDN/>
        <w:adjustRightInd/>
        <w:spacing w:after="160" w:line="259" w:lineRule="auto"/>
        <w:jc w:val="both"/>
        <w:rPr>
          <w:rFonts w:cs="Arial"/>
          <w:sz w:val="22"/>
          <w:szCs w:val="22"/>
        </w:rPr>
      </w:pPr>
      <w:r>
        <w:rPr>
          <w:sz w:val="22"/>
        </w:rPr>
        <w:t>En la Resolución.11.27 se dan también instrucciones a la Secretaría para que convoque un Equipo de tareas de múltiples partes interesadas sobre la conciliación de determinados desarrollos del sector energético con la conservación de las especies migratorias (Equipo de tareas sobre la energía) a fin de:</w:t>
      </w:r>
    </w:p>
    <w:p w:rsidR="007302BA" w:rsidRPr="00120956" w:rsidRDefault="007302BA" w:rsidP="000B05A6">
      <w:pPr>
        <w:widowControl/>
        <w:numPr>
          <w:ilvl w:val="0"/>
          <w:numId w:val="12"/>
        </w:numPr>
        <w:autoSpaceDE/>
        <w:autoSpaceDN/>
        <w:adjustRightInd/>
        <w:spacing w:after="160" w:line="259" w:lineRule="auto"/>
        <w:contextualSpacing/>
        <w:jc w:val="both"/>
        <w:rPr>
          <w:rFonts w:cs="Arial"/>
          <w:sz w:val="22"/>
          <w:szCs w:val="22"/>
        </w:rPr>
      </w:pPr>
      <w:r>
        <w:rPr>
          <w:sz w:val="22"/>
        </w:rPr>
        <w:t>promover los beneficios de las decisiones vigentes;</w:t>
      </w:r>
    </w:p>
    <w:p w:rsidR="007302BA" w:rsidRPr="00120956" w:rsidRDefault="007302BA" w:rsidP="000B05A6">
      <w:pPr>
        <w:widowControl/>
        <w:numPr>
          <w:ilvl w:val="0"/>
          <w:numId w:val="12"/>
        </w:numPr>
        <w:autoSpaceDE/>
        <w:autoSpaceDN/>
        <w:adjustRightInd/>
        <w:spacing w:after="160" w:line="259" w:lineRule="auto"/>
        <w:contextualSpacing/>
        <w:jc w:val="both"/>
        <w:rPr>
          <w:rFonts w:cs="Arial"/>
          <w:sz w:val="22"/>
          <w:szCs w:val="22"/>
        </w:rPr>
      </w:pPr>
      <w:r>
        <w:rPr>
          <w:sz w:val="22"/>
        </w:rPr>
        <w:t xml:space="preserve">alentar a las Partes a </w:t>
      </w:r>
      <w:proofErr w:type="spellStart"/>
      <w:r>
        <w:rPr>
          <w:sz w:val="22"/>
        </w:rPr>
        <w:t>apliicar</w:t>
      </w:r>
      <w:proofErr w:type="spellEnd"/>
      <w:r>
        <w:rPr>
          <w:sz w:val="22"/>
        </w:rPr>
        <w:t xml:space="preserve"> las actuales orientaciones y decisiones;</w:t>
      </w:r>
    </w:p>
    <w:p w:rsidR="007302BA" w:rsidRPr="00120956" w:rsidRDefault="007302BA" w:rsidP="000B05A6">
      <w:pPr>
        <w:widowControl/>
        <w:numPr>
          <w:ilvl w:val="0"/>
          <w:numId w:val="12"/>
        </w:numPr>
        <w:autoSpaceDE/>
        <w:autoSpaceDN/>
        <w:adjustRightInd/>
        <w:spacing w:after="160" w:line="259" w:lineRule="auto"/>
        <w:contextualSpacing/>
        <w:jc w:val="both"/>
        <w:rPr>
          <w:rFonts w:cs="Arial"/>
          <w:sz w:val="22"/>
          <w:szCs w:val="22"/>
        </w:rPr>
      </w:pPr>
      <w:r>
        <w:rPr>
          <w:sz w:val="22"/>
        </w:rPr>
        <w:t>desarrollar cualesquiera nuevas directrices necesarias y planes de acción según corresponda;</w:t>
      </w:r>
    </w:p>
    <w:p w:rsidR="007302BA" w:rsidRPr="00120956" w:rsidRDefault="007302BA" w:rsidP="007954BD">
      <w:pPr>
        <w:widowControl/>
        <w:numPr>
          <w:ilvl w:val="0"/>
          <w:numId w:val="12"/>
        </w:numPr>
        <w:autoSpaceDE/>
        <w:autoSpaceDN/>
        <w:adjustRightInd/>
        <w:spacing w:after="160" w:line="259" w:lineRule="auto"/>
        <w:contextualSpacing/>
        <w:jc w:val="both"/>
        <w:rPr>
          <w:rFonts w:cs="Arial"/>
          <w:sz w:val="22"/>
          <w:szCs w:val="22"/>
        </w:rPr>
      </w:pPr>
      <w:r>
        <w:rPr>
          <w:sz w:val="22"/>
        </w:rPr>
        <w:t>formular recomendaciones sobre las respuestas adecuadas a problemas y deficiencias de conocimiento específicos;</w:t>
      </w:r>
    </w:p>
    <w:p w:rsidR="007302BA" w:rsidRPr="00120956" w:rsidRDefault="007302BA" w:rsidP="0004609D">
      <w:pPr>
        <w:pStyle w:val="ListParagraph"/>
        <w:widowControl/>
        <w:autoSpaceDE/>
        <w:autoSpaceDN/>
        <w:adjustRightInd/>
        <w:spacing w:after="160" w:line="259" w:lineRule="auto"/>
        <w:ind w:left="360"/>
        <w:jc w:val="both"/>
        <w:rPr>
          <w:rFonts w:cs="Arial"/>
          <w:sz w:val="22"/>
          <w:szCs w:val="22"/>
        </w:rPr>
      </w:pPr>
      <w:r>
        <w:rPr>
          <w:sz w:val="22"/>
        </w:rPr>
        <w:t>y presente informe sobre los progresos realizados respecto del Equipo de tareas sobre la energía para la COP12 en 2017.</w:t>
      </w:r>
    </w:p>
    <w:p w:rsidR="007302BA" w:rsidRPr="00CD0FE9" w:rsidRDefault="007302BA" w:rsidP="007910DD">
      <w:pPr>
        <w:rPr>
          <w:rFonts w:cs="Arial"/>
          <w:sz w:val="22"/>
          <w:szCs w:val="22"/>
        </w:rPr>
      </w:pPr>
    </w:p>
    <w:p w:rsidR="007302BA" w:rsidRPr="00CD0FE9" w:rsidRDefault="007302BA" w:rsidP="007910DD">
      <w:pPr>
        <w:rPr>
          <w:rFonts w:cs="Arial"/>
          <w:sz w:val="22"/>
          <w:szCs w:val="22"/>
          <w:u w:val="single"/>
        </w:rPr>
      </w:pPr>
      <w:r>
        <w:rPr>
          <w:sz w:val="22"/>
          <w:u w:val="single"/>
        </w:rPr>
        <w:t xml:space="preserve">Establecimiento y funcionamiento del Equipo de tareas sobre la energía </w:t>
      </w:r>
    </w:p>
    <w:p w:rsidR="007302BA" w:rsidRPr="00CD0FE9" w:rsidRDefault="007302BA" w:rsidP="007910DD">
      <w:pPr>
        <w:rPr>
          <w:rFonts w:cs="Arial"/>
          <w:sz w:val="22"/>
          <w:szCs w:val="22"/>
        </w:rPr>
      </w:pPr>
    </w:p>
    <w:p w:rsidR="007302BA" w:rsidRPr="00534D99" w:rsidRDefault="007302BA" w:rsidP="00A702A1">
      <w:pPr>
        <w:pStyle w:val="ListParagraph"/>
        <w:numPr>
          <w:ilvl w:val="0"/>
          <w:numId w:val="2"/>
        </w:numPr>
        <w:jc w:val="both"/>
        <w:rPr>
          <w:rFonts w:cs="Arial"/>
          <w:sz w:val="22"/>
          <w:szCs w:val="22"/>
        </w:rPr>
      </w:pPr>
      <w:r>
        <w:rPr>
          <w:sz w:val="22"/>
        </w:rPr>
        <w:t>Las actividades para el establecimiento y puesta en marcha del Equipo de tareas sobre la energía han recibido el apoyo de una contribución voluntaria del Gobierno de la República Federal de Alemania, a través del Ministerio Federal de Medio Ambiente, Conservación de la Naturaleza, Construcción y Seguridad Nuclear (BMUB) en el marco del Programa de defensores de las especies migratorias.</w:t>
      </w:r>
      <w:r>
        <w:t xml:space="preserve"> </w:t>
      </w:r>
    </w:p>
    <w:p w:rsidR="007302BA" w:rsidRPr="00534D99" w:rsidRDefault="007302BA" w:rsidP="00534D99">
      <w:pPr>
        <w:pStyle w:val="ListParagraph"/>
        <w:rPr>
          <w:rFonts w:cs="Arial"/>
          <w:sz w:val="22"/>
          <w:szCs w:val="22"/>
        </w:rPr>
      </w:pPr>
    </w:p>
    <w:p w:rsidR="007302BA" w:rsidRPr="00C776F1" w:rsidRDefault="007302BA" w:rsidP="00B05A07">
      <w:pPr>
        <w:pStyle w:val="ListParagraph"/>
        <w:numPr>
          <w:ilvl w:val="0"/>
          <w:numId w:val="2"/>
        </w:numPr>
        <w:jc w:val="both"/>
        <w:rPr>
          <w:rFonts w:cs="Arial"/>
          <w:sz w:val="22"/>
          <w:szCs w:val="22"/>
        </w:rPr>
      </w:pPr>
      <w:r>
        <w:rPr>
          <w:sz w:val="22"/>
        </w:rPr>
        <w:t xml:space="preserve">De conformidad con el mandato que figura en la Resolución 11.27, el Equipo de tareas sobre la energía se ha convocado con un alcance geográfico inicial que comprende África y Eurasia; un ámbito taxonómico inicial sobre las aves migratorias; y un </w:t>
      </w:r>
      <w:r>
        <w:rPr>
          <w:color w:val="000000"/>
          <w:spacing w:val="-2"/>
          <w:sz w:val="22"/>
        </w:rPr>
        <w:t xml:space="preserve">enfoque inicial centrado en los tendidos eléctricos y las tecnologías de producción hidroeléctrica, eólica y solar.  </w:t>
      </w:r>
      <w:r>
        <w:rPr>
          <w:color w:val="000000"/>
          <w:sz w:val="22"/>
        </w:rPr>
        <w:t>Se espera que el momento y el alcance de la posible ampliación del ámbito de trabajo del Equipo de tareas lo decidan los propios miembros del Equipo de tareas sobre la energía, y debería depender de la financiación disponible.</w:t>
      </w:r>
    </w:p>
    <w:p w:rsidR="007302BA" w:rsidRPr="00C776F1" w:rsidRDefault="007302BA" w:rsidP="00C776F1">
      <w:pPr>
        <w:rPr>
          <w:rFonts w:cs="Arial"/>
          <w:sz w:val="22"/>
          <w:szCs w:val="22"/>
        </w:rPr>
      </w:pPr>
    </w:p>
    <w:p w:rsidR="007302BA" w:rsidRPr="004C2726" w:rsidRDefault="007302BA" w:rsidP="00A702A1">
      <w:pPr>
        <w:pStyle w:val="ListParagraph"/>
        <w:numPr>
          <w:ilvl w:val="0"/>
          <w:numId w:val="2"/>
        </w:numPr>
        <w:jc w:val="both"/>
        <w:rPr>
          <w:rFonts w:cs="Arial"/>
          <w:sz w:val="22"/>
          <w:szCs w:val="22"/>
        </w:rPr>
      </w:pPr>
      <w:r>
        <w:rPr>
          <w:sz w:val="22"/>
        </w:rPr>
        <w:t xml:space="preserve">Con el objetivo principal de obtener asesoramiento sobre la composición inicial de la Equipo de tareas sobre la energía, la Secretaría estableció un pequeño grupo consultivo, integrado por miembros de las secretarías de la CMS y del AEWA, el Presidente del Comité Técnico del AEWA, y representantes del BMUB y </w:t>
      </w:r>
      <w:proofErr w:type="spellStart"/>
      <w:r>
        <w:rPr>
          <w:sz w:val="22"/>
        </w:rPr>
        <w:t>BirdLife</w:t>
      </w:r>
      <w:proofErr w:type="spellEnd"/>
      <w:r>
        <w:rPr>
          <w:sz w:val="22"/>
        </w:rPr>
        <w:t xml:space="preserve"> International. Este Grupo consultivo se reunió dos veces físicamente en los márgenes de la MOP6 del AEWA y de la primera reunión del Comité del período de sesiones del Consejo Científico de la CMS, y una vez por teleconferencia.</w:t>
      </w:r>
    </w:p>
    <w:p w:rsidR="007302BA" w:rsidRPr="00C776F1" w:rsidRDefault="007302BA" w:rsidP="004C2726">
      <w:pPr>
        <w:pStyle w:val="ListParagraph"/>
        <w:rPr>
          <w:rFonts w:cs="Arial"/>
          <w:sz w:val="22"/>
          <w:szCs w:val="22"/>
        </w:rPr>
      </w:pPr>
    </w:p>
    <w:p w:rsidR="007302BA" w:rsidRPr="00A12338" w:rsidRDefault="007302BA" w:rsidP="00A12338">
      <w:pPr>
        <w:pStyle w:val="ListParagraph"/>
        <w:numPr>
          <w:ilvl w:val="0"/>
          <w:numId w:val="2"/>
        </w:numPr>
        <w:jc w:val="both"/>
        <w:rPr>
          <w:rFonts w:cs="Arial"/>
          <w:sz w:val="22"/>
          <w:szCs w:val="22"/>
        </w:rPr>
      </w:pPr>
      <w:r>
        <w:rPr>
          <w:sz w:val="22"/>
        </w:rPr>
        <w:t xml:space="preserve">Basándose en el asesoramiento del Grupo consultivo, la Secretaría envió invitaciones a los posibles miembros en julio de 2016.  En el momento de redactar el presente informe, la lista de miembros comprende una variedad de actores, gubernamentales, intergubernamentales y no gubernamentales, a saber: los Gobiernos de Alemania, Bulgaria, Egipto, Ghana, Hungría, Israel, </w:t>
      </w:r>
      <w:proofErr w:type="spellStart"/>
      <w:r>
        <w:rPr>
          <w:sz w:val="22"/>
        </w:rPr>
        <w:t>Kenya</w:t>
      </w:r>
      <w:proofErr w:type="spellEnd"/>
      <w:r>
        <w:rPr>
          <w:sz w:val="22"/>
        </w:rPr>
        <w:t xml:space="preserve">, Nigeria y Sudáfrica; </w:t>
      </w:r>
      <w:proofErr w:type="spellStart"/>
      <w:r>
        <w:rPr>
          <w:sz w:val="22"/>
        </w:rPr>
        <w:t>Power-Africa</w:t>
      </w:r>
      <w:proofErr w:type="spellEnd"/>
      <w:r>
        <w:rPr>
          <w:sz w:val="22"/>
        </w:rPr>
        <w:t xml:space="preserve"> USAID, las Secretarías de la CMS y del AEWA, la Unión Africana, el Banco Europeo para la Reconstrucción y el Desarrollo, IRENA, </w:t>
      </w:r>
      <w:proofErr w:type="spellStart"/>
      <w:r>
        <w:rPr>
          <w:sz w:val="22"/>
        </w:rPr>
        <w:t>Renewable</w:t>
      </w:r>
      <w:proofErr w:type="spellEnd"/>
      <w:r>
        <w:rPr>
          <w:sz w:val="22"/>
        </w:rPr>
        <w:t xml:space="preserve"> </w:t>
      </w:r>
      <w:proofErr w:type="spellStart"/>
      <w:r>
        <w:rPr>
          <w:sz w:val="22"/>
        </w:rPr>
        <w:t>Grid</w:t>
      </w:r>
      <w:proofErr w:type="spellEnd"/>
      <w:r>
        <w:rPr>
          <w:sz w:val="22"/>
        </w:rPr>
        <w:t xml:space="preserve"> </w:t>
      </w:r>
      <w:proofErr w:type="spellStart"/>
      <w:r>
        <w:rPr>
          <w:sz w:val="22"/>
        </w:rPr>
        <w:t>Initiative</w:t>
      </w:r>
      <w:proofErr w:type="spellEnd"/>
      <w:r>
        <w:rPr>
          <w:sz w:val="22"/>
        </w:rPr>
        <w:t xml:space="preserve"> (Iniciativa de la red de energías renovables), </w:t>
      </w:r>
      <w:proofErr w:type="spellStart"/>
      <w:r>
        <w:rPr>
          <w:sz w:val="22"/>
        </w:rPr>
        <w:t>BirdLife</w:t>
      </w:r>
      <w:proofErr w:type="spellEnd"/>
      <w:r>
        <w:rPr>
          <w:sz w:val="22"/>
        </w:rPr>
        <w:t xml:space="preserve"> International y la British Trust </w:t>
      </w:r>
      <w:proofErr w:type="spellStart"/>
      <w:r>
        <w:rPr>
          <w:sz w:val="22"/>
        </w:rPr>
        <w:t>for</w:t>
      </w:r>
      <w:proofErr w:type="spellEnd"/>
      <w:r>
        <w:rPr>
          <w:sz w:val="22"/>
        </w:rPr>
        <w:t xml:space="preserve"> </w:t>
      </w:r>
      <w:proofErr w:type="spellStart"/>
      <w:r>
        <w:rPr>
          <w:sz w:val="22"/>
        </w:rPr>
        <w:t>Ornithology</w:t>
      </w:r>
      <w:proofErr w:type="spellEnd"/>
      <w:r>
        <w:rPr>
          <w:sz w:val="22"/>
        </w:rPr>
        <w:t xml:space="preserve">. Unas pocas organizaciones participan en el Equipo de tareas en calidad de observadores, a saber: </w:t>
      </w:r>
      <w:proofErr w:type="spellStart"/>
      <w:r>
        <w:rPr>
          <w:sz w:val="22"/>
        </w:rPr>
        <w:t>BirdLIfe</w:t>
      </w:r>
      <w:proofErr w:type="spellEnd"/>
      <w:r>
        <w:rPr>
          <w:sz w:val="22"/>
        </w:rPr>
        <w:t xml:space="preserve"> South </w:t>
      </w:r>
      <w:proofErr w:type="spellStart"/>
      <w:r>
        <w:rPr>
          <w:sz w:val="22"/>
        </w:rPr>
        <w:t>Africa</w:t>
      </w:r>
      <w:proofErr w:type="spellEnd"/>
      <w:r>
        <w:rPr>
          <w:sz w:val="22"/>
        </w:rPr>
        <w:t xml:space="preserve">, </w:t>
      </w:r>
      <w:proofErr w:type="spellStart"/>
      <w:r>
        <w:rPr>
          <w:sz w:val="22"/>
        </w:rPr>
        <w:t>Nature</w:t>
      </w:r>
      <w:proofErr w:type="spellEnd"/>
      <w:r>
        <w:rPr>
          <w:sz w:val="22"/>
        </w:rPr>
        <w:t xml:space="preserve"> </w:t>
      </w:r>
      <w:proofErr w:type="spellStart"/>
      <w:r>
        <w:rPr>
          <w:sz w:val="22"/>
        </w:rPr>
        <w:t>Kenya</w:t>
      </w:r>
      <w:proofErr w:type="spellEnd"/>
      <w:r>
        <w:rPr>
          <w:sz w:val="22"/>
        </w:rPr>
        <w:t xml:space="preserve">, </w:t>
      </w:r>
      <w:proofErr w:type="spellStart"/>
      <w:r>
        <w:rPr>
          <w:sz w:val="22"/>
        </w:rPr>
        <w:t>Nature</w:t>
      </w:r>
      <w:proofErr w:type="spellEnd"/>
      <w:r>
        <w:rPr>
          <w:sz w:val="22"/>
        </w:rPr>
        <w:t xml:space="preserve"> </w:t>
      </w:r>
      <w:proofErr w:type="spellStart"/>
      <w:r>
        <w:rPr>
          <w:sz w:val="22"/>
        </w:rPr>
        <w:t>Conservation</w:t>
      </w:r>
      <w:proofErr w:type="spellEnd"/>
      <w:r>
        <w:rPr>
          <w:sz w:val="22"/>
        </w:rPr>
        <w:t xml:space="preserve"> Egypt, y la Unión alemana para la conservación y la biodiversidad de la naturaleza. Se están realizando esfuerzos para ampliar el número de miembros del Equipo de tareas, sobre la base de la orientación proporcionada por el Equipo de tareas sobre la energía en su primera reunión del (véase a continuación). Se ha puesto </w:t>
      </w:r>
      <w:r w:rsidRPr="00A53416">
        <w:rPr>
          <w:sz w:val="22"/>
        </w:rPr>
        <w:t>a disposición</w:t>
      </w:r>
      <w:r>
        <w:t xml:space="preserve"> </w:t>
      </w:r>
      <w:r>
        <w:rPr>
          <w:sz w:val="22"/>
        </w:rPr>
        <w:t>una lista constantemente actualizada de los miembros y observadores en el sitio web del Equipo de tareas sobre la energía (</w:t>
      </w:r>
      <w:hyperlink r:id="rId18">
        <w:r>
          <w:rPr>
            <w:rStyle w:val="Hyperlink"/>
            <w:sz w:val="22"/>
          </w:rPr>
          <w:t>Listas de miembros y observadores del ETF</w:t>
        </w:r>
      </w:hyperlink>
      <w:r>
        <w:rPr>
          <w:sz w:val="22"/>
        </w:rPr>
        <w:t>).</w:t>
      </w:r>
    </w:p>
    <w:p w:rsidR="007302BA" w:rsidRPr="00215A1A" w:rsidRDefault="007302BA" w:rsidP="00215A1A">
      <w:pPr>
        <w:pStyle w:val="ListParagraph"/>
        <w:rPr>
          <w:rFonts w:cs="Arial"/>
          <w:sz w:val="22"/>
          <w:szCs w:val="22"/>
        </w:rPr>
      </w:pPr>
    </w:p>
    <w:p w:rsidR="007302BA" w:rsidRDefault="007302BA" w:rsidP="00072C44">
      <w:pPr>
        <w:pStyle w:val="ListParagraph"/>
        <w:numPr>
          <w:ilvl w:val="0"/>
          <w:numId w:val="2"/>
        </w:numPr>
        <w:jc w:val="both"/>
        <w:rPr>
          <w:rFonts w:cs="Arial"/>
          <w:sz w:val="22"/>
          <w:szCs w:val="22"/>
        </w:rPr>
      </w:pPr>
      <w:r>
        <w:rPr>
          <w:sz w:val="22"/>
        </w:rPr>
        <w:t xml:space="preserve">En consonancia con el mandato del Equipo de tareas sobre la energía, y gracias a la contribución financiera ya mencionada del BMUB, se nombró un coordinador de </w:t>
      </w:r>
      <w:proofErr w:type="spellStart"/>
      <w:r>
        <w:rPr>
          <w:sz w:val="22"/>
        </w:rPr>
        <w:t>BirdLife</w:t>
      </w:r>
      <w:proofErr w:type="spellEnd"/>
      <w:r>
        <w:rPr>
          <w:sz w:val="22"/>
        </w:rPr>
        <w:t xml:space="preserve"> International para el Equipo de tareas sobre la energía con arreglo a un acuerdo con la Secretaría de la CMS, con el fin de, entre otras cosas:</w:t>
      </w:r>
    </w:p>
    <w:p w:rsidR="007302BA" w:rsidRPr="007954BD" w:rsidRDefault="007302BA" w:rsidP="00072C44">
      <w:pPr>
        <w:pStyle w:val="ListParagraph"/>
        <w:rPr>
          <w:rFonts w:cs="Arial"/>
          <w:sz w:val="22"/>
          <w:szCs w:val="22"/>
        </w:rPr>
      </w:pPr>
    </w:p>
    <w:p w:rsidR="007302BA" w:rsidRPr="00120956" w:rsidRDefault="007302BA" w:rsidP="00072C44">
      <w:pPr>
        <w:widowControl/>
        <w:numPr>
          <w:ilvl w:val="0"/>
          <w:numId w:val="13"/>
        </w:numPr>
        <w:autoSpaceDE/>
        <w:autoSpaceDN/>
        <w:adjustRightInd/>
        <w:spacing w:after="160" w:line="259" w:lineRule="auto"/>
        <w:contextualSpacing/>
        <w:jc w:val="both"/>
        <w:rPr>
          <w:rFonts w:cs="Arial"/>
          <w:sz w:val="22"/>
          <w:szCs w:val="22"/>
        </w:rPr>
      </w:pPr>
      <w:r>
        <w:rPr>
          <w:sz w:val="22"/>
        </w:rPr>
        <w:t>organizar las reuniones del Equipo de tareas sobre la energía;</w:t>
      </w:r>
    </w:p>
    <w:p w:rsidR="007302BA" w:rsidRPr="00120956" w:rsidRDefault="007302BA" w:rsidP="00072C44">
      <w:pPr>
        <w:widowControl/>
        <w:numPr>
          <w:ilvl w:val="0"/>
          <w:numId w:val="13"/>
        </w:numPr>
        <w:autoSpaceDE/>
        <w:autoSpaceDN/>
        <w:adjustRightInd/>
        <w:spacing w:after="160" w:line="259" w:lineRule="auto"/>
        <w:contextualSpacing/>
        <w:jc w:val="both"/>
        <w:rPr>
          <w:rFonts w:cs="Arial"/>
          <w:sz w:val="22"/>
          <w:szCs w:val="22"/>
        </w:rPr>
      </w:pPr>
      <w:r>
        <w:rPr>
          <w:sz w:val="22"/>
        </w:rPr>
        <w:t>mantener y moderar la plataforma de comunicación del Equipo de tareas sobre la energía (sitio web y espacio de trabajo en línea interno);</w:t>
      </w:r>
    </w:p>
    <w:p w:rsidR="007302BA" w:rsidRPr="00120956" w:rsidRDefault="007302BA" w:rsidP="00072C44">
      <w:pPr>
        <w:widowControl/>
        <w:numPr>
          <w:ilvl w:val="0"/>
          <w:numId w:val="13"/>
        </w:numPr>
        <w:autoSpaceDE/>
        <w:autoSpaceDN/>
        <w:adjustRightInd/>
        <w:spacing w:after="160" w:line="259" w:lineRule="auto"/>
        <w:contextualSpacing/>
        <w:jc w:val="both"/>
        <w:rPr>
          <w:rFonts w:cs="Arial"/>
          <w:sz w:val="22"/>
          <w:szCs w:val="22"/>
        </w:rPr>
      </w:pPr>
      <w:r>
        <w:rPr>
          <w:sz w:val="22"/>
        </w:rPr>
        <w:t>facilitar la implementación de las decisiones del Equipo de tareas sobre la energía, según sea necesario;</w:t>
      </w:r>
    </w:p>
    <w:p w:rsidR="007302BA" w:rsidRPr="00120956" w:rsidRDefault="007302BA" w:rsidP="00072C44">
      <w:pPr>
        <w:widowControl/>
        <w:numPr>
          <w:ilvl w:val="0"/>
          <w:numId w:val="13"/>
        </w:numPr>
        <w:autoSpaceDE/>
        <w:autoSpaceDN/>
        <w:adjustRightInd/>
        <w:spacing w:after="160" w:line="259" w:lineRule="auto"/>
        <w:contextualSpacing/>
        <w:jc w:val="both"/>
        <w:rPr>
          <w:rFonts w:cs="Arial"/>
          <w:sz w:val="22"/>
          <w:szCs w:val="22"/>
        </w:rPr>
      </w:pPr>
      <w:r>
        <w:rPr>
          <w:sz w:val="22"/>
        </w:rPr>
        <w:t>facilitar la recaudación de fondos y la movilización de recursos en apoyo de las actividades del Equipo de tareas sobre la energía; y</w:t>
      </w:r>
    </w:p>
    <w:p w:rsidR="007302BA" w:rsidRPr="00120956" w:rsidRDefault="007302BA" w:rsidP="00B70B4A">
      <w:pPr>
        <w:widowControl/>
        <w:numPr>
          <w:ilvl w:val="0"/>
          <w:numId w:val="13"/>
        </w:numPr>
        <w:autoSpaceDE/>
        <w:autoSpaceDN/>
        <w:adjustRightInd/>
        <w:spacing w:after="160" w:line="259" w:lineRule="auto"/>
        <w:contextualSpacing/>
        <w:jc w:val="both"/>
        <w:rPr>
          <w:rFonts w:cs="Arial"/>
          <w:sz w:val="22"/>
          <w:szCs w:val="22"/>
        </w:rPr>
      </w:pPr>
      <w:r>
        <w:rPr>
          <w:sz w:val="22"/>
        </w:rPr>
        <w:t>facilitar la colaboración con las partes interesadas dentro y fuera del Equipo de tareas sobre la energía;</w:t>
      </w:r>
    </w:p>
    <w:p w:rsidR="007302BA" w:rsidRPr="00120956" w:rsidRDefault="007302BA" w:rsidP="0093261E">
      <w:pPr>
        <w:widowControl/>
        <w:autoSpaceDE/>
        <w:autoSpaceDN/>
        <w:adjustRightInd/>
        <w:spacing w:after="160" w:line="259" w:lineRule="auto"/>
        <w:ind w:left="720"/>
        <w:contextualSpacing/>
        <w:jc w:val="both"/>
        <w:rPr>
          <w:rFonts w:cs="Arial"/>
          <w:sz w:val="22"/>
          <w:szCs w:val="22"/>
        </w:rPr>
      </w:pPr>
    </w:p>
    <w:p w:rsidR="007302BA" w:rsidRPr="00120956" w:rsidRDefault="007302BA" w:rsidP="004E4C34">
      <w:pPr>
        <w:widowControl/>
        <w:numPr>
          <w:ilvl w:val="0"/>
          <w:numId w:val="2"/>
        </w:numPr>
        <w:autoSpaceDE/>
        <w:autoSpaceDN/>
        <w:adjustRightInd/>
        <w:spacing w:after="160" w:line="259" w:lineRule="auto"/>
        <w:contextualSpacing/>
        <w:jc w:val="both"/>
        <w:rPr>
          <w:rFonts w:cs="Arial"/>
          <w:sz w:val="22"/>
          <w:szCs w:val="22"/>
        </w:rPr>
      </w:pPr>
      <w:r>
        <w:rPr>
          <w:sz w:val="22"/>
        </w:rPr>
        <w:lastRenderedPageBreak/>
        <w:t>En el momento de redactar este informe, la Secretaría y el Coordinador se habían dirigido ya a posibles interesados que no habían respondido a anteriores comunicaciones iniciales, y habían contactado también a posibles nuevos miembros.  Antes de la primera reunión, varios de estos posibles miembros habían expresado su interés en unirse al Equipo de tareas sobre la energía en una fase posterior, y habían pedido que se les mantuviera informados de los acontecimientos después de la reunión del ETF</w:t>
      </w:r>
      <w:proofErr w:type="gramStart"/>
      <w:r>
        <w:rPr>
          <w:sz w:val="22"/>
        </w:rPr>
        <w:t>1 .</w:t>
      </w:r>
      <w:proofErr w:type="gramEnd"/>
      <w:r>
        <w:rPr>
          <w:sz w:val="22"/>
        </w:rPr>
        <w:t xml:space="preserve"> </w:t>
      </w:r>
    </w:p>
    <w:p w:rsidR="007302BA" w:rsidRPr="00B05A07" w:rsidRDefault="007302BA" w:rsidP="00B05A07">
      <w:pPr>
        <w:pStyle w:val="ListParagraph"/>
        <w:numPr>
          <w:ilvl w:val="0"/>
          <w:numId w:val="2"/>
        </w:numPr>
        <w:jc w:val="both"/>
      </w:pPr>
      <w:r w:rsidRPr="00A53416">
        <w:rPr>
          <w:sz w:val="22"/>
        </w:rPr>
        <w:t>Se han establecido</w:t>
      </w:r>
      <w:r>
        <w:t xml:space="preserve"> </w:t>
      </w:r>
      <w:r>
        <w:rPr>
          <w:sz w:val="22"/>
        </w:rPr>
        <w:t>las páginas web dedicadas al Equipo de tareas sobre la energía (</w:t>
      </w:r>
      <w:hyperlink r:id="rId19">
        <w:r>
          <w:rPr>
            <w:rStyle w:val="Hyperlink"/>
            <w:sz w:val="22"/>
          </w:rPr>
          <w:t>Sitio web del ETF</w:t>
        </w:r>
      </w:hyperlink>
      <w:r>
        <w:rPr>
          <w:sz w:val="22"/>
        </w:rPr>
        <w:t xml:space="preserve">) en el sitio web de la CMS, mantenidas por la Secretaría de la CMS y el coordinador del Equipo de tareas. Las páginas web comprenden un Espacio de trabajo en línea para facilitar los contactos entre los miembros y la labor del Equipo de tareas entre reuniones.  </w:t>
      </w:r>
    </w:p>
    <w:p w:rsidR="007302BA" w:rsidRPr="000F5EED" w:rsidRDefault="007302BA" w:rsidP="00FC0371">
      <w:pPr>
        <w:pStyle w:val="ListParagraph"/>
        <w:ind w:left="360"/>
        <w:jc w:val="both"/>
        <w:rPr>
          <w:rFonts w:cs="Arial"/>
          <w:b/>
          <w:sz w:val="22"/>
          <w:szCs w:val="22"/>
          <w:highlight w:val="green"/>
        </w:rPr>
      </w:pPr>
    </w:p>
    <w:p w:rsidR="007302BA" w:rsidRPr="00CD0FE9" w:rsidRDefault="007302BA" w:rsidP="005D581B">
      <w:pPr>
        <w:widowControl/>
        <w:autoSpaceDE/>
        <w:autoSpaceDN/>
        <w:adjustRightInd/>
        <w:rPr>
          <w:rFonts w:cs="Arial"/>
          <w:sz w:val="22"/>
          <w:szCs w:val="22"/>
          <w:u w:val="single"/>
        </w:rPr>
      </w:pPr>
      <w:r>
        <w:rPr>
          <w:sz w:val="22"/>
          <w:u w:val="single"/>
        </w:rPr>
        <w:t xml:space="preserve">Primera reunión del Equipo de tareas sobre la energía y reunión de seguimiento a distancia  </w:t>
      </w:r>
    </w:p>
    <w:p w:rsidR="007302BA" w:rsidRDefault="007302BA" w:rsidP="00CC3A63">
      <w:pPr>
        <w:pStyle w:val="ListParagraph"/>
        <w:ind w:left="360"/>
        <w:jc w:val="both"/>
        <w:rPr>
          <w:rFonts w:cs="Arial"/>
          <w:sz w:val="22"/>
          <w:szCs w:val="22"/>
          <w:highlight w:val="green"/>
        </w:rPr>
      </w:pPr>
    </w:p>
    <w:p w:rsidR="007302BA" w:rsidRDefault="007302BA" w:rsidP="00A23865">
      <w:pPr>
        <w:widowControl/>
        <w:numPr>
          <w:ilvl w:val="0"/>
          <w:numId w:val="2"/>
        </w:numPr>
        <w:autoSpaceDE/>
        <w:autoSpaceDN/>
        <w:adjustRightInd/>
        <w:spacing w:after="120"/>
        <w:jc w:val="both"/>
        <w:rPr>
          <w:rFonts w:cs="Arial"/>
          <w:sz w:val="22"/>
          <w:szCs w:val="22"/>
        </w:rPr>
      </w:pPr>
      <w:r>
        <w:rPr>
          <w:sz w:val="22"/>
        </w:rPr>
        <w:t xml:space="preserve">El Equipo de tareas sobre la energía celebró su primera reunión en Ciudad del Cabo (Sudáfrica), el 1-2 de diciembre de 2016. El informe de la reunión puede </w:t>
      </w:r>
      <w:r w:rsidRPr="00A53416">
        <w:rPr>
          <w:sz w:val="22"/>
        </w:rPr>
        <w:t>consultarse clicando</w:t>
      </w:r>
      <w:r>
        <w:t xml:space="preserve"> </w:t>
      </w:r>
      <w:hyperlink r:id="rId20">
        <w:r>
          <w:rPr>
            <w:rStyle w:val="Hyperlink"/>
            <w:sz w:val="22"/>
          </w:rPr>
          <w:t>aquí</w:t>
        </w:r>
      </w:hyperlink>
      <w:r>
        <w:t>.</w:t>
      </w:r>
    </w:p>
    <w:p w:rsidR="007302BA" w:rsidRDefault="007302BA" w:rsidP="00A23865">
      <w:pPr>
        <w:widowControl/>
        <w:numPr>
          <w:ilvl w:val="0"/>
          <w:numId w:val="2"/>
        </w:numPr>
        <w:autoSpaceDE/>
        <w:autoSpaceDN/>
        <w:adjustRightInd/>
        <w:spacing w:after="120"/>
        <w:jc w:val="both"/>
        <w:rPr>
          <w:rFonts w:cs="Arial"/>
          <w:sz w:val="22"/>
          <w:szCs w:val="22"/>
        </w:rPr>
      </w:pPr>
      <w:r>
        <w:rPr>
          <w:sz w:val="22"/>
        </w:rPr>
        <w:t>Entre los principales resultados de la reunión cabe señalar los siguientes:</w:t>
      </w:r>
    </w:p>
    <w:p w:rsidR="007302BA" w:rsidRPr="00C776F1" w:rsidRDefault="007302BA" w:rsidP="00C776F1">
      <w:pPr>
        <w:pStyle w:val="ListParagraph"/>
        <w:numPr>
          <w:ilvl w:val="0"/>
          <w:numId w:val="13"/>
        </w:numPr>
        <w:jc w:val="both"/>
        <w:rPr>
          <w:rFonts w:cs="Arial"/>
          <w:sz w:val="22"/>
          <w:szCs w:val="22"/>
        </w:rPr>
      </w:pPr>
      <w:r w:rsidRPr="00A53416">
        <w:rPr>
          <w:sz w:val="22"/>
        </w:rPr>
        <w:t>la elaboración y adopción del</w:t>
      </w:r>
      <w:r>
        <w:t xml:space="preserve"> </w:t>
      </w:r>
      <w:hyperlink r:id="rId21">
        <w:r>
          <w:rPr>
            <w:rStyle w:val="Hyperlink"/>
            <w:sz w:val="22"/>
          </w:rPr>
          <w:t>Modus Operandi</w:t>
        </w:r>
      </w:hyperlink>
      <w:r>
        <w:t xml:space="preserve"> </w:t>
      </w:r>
      <w:r w:rsidRPr="00A53416">
        <w:rPr>
          <w:sz w:val="22"/>
        </w:rPr>
        <w:t>del Equipo de tareas, con arreglo a la Resolución 11.27 y ampliando el mandato otorgado en la misma;</w:t>
      </w:r>
    </w:p>
    <w:p w:rsidR="007302BA" w:rsidRDefault="007302BA" w:rsidP="00C776F1">
      <w:pPr>
        <w:pStyle w:val="ListParagraph"/>
        <w:numPr>
          <w:ilvl w:val="0"/>
          <w:numId w:val="13"/>
        </w:numPr>
        <w:jc w:val="both"/>
        <w:rPr>
          <w:rFonts w:cs="Arial"/>
          <w:sz w:val="22"/>
          <w:szCs w:val="22"/>
        </w:rPr>
      </w:pPr>
      <w:r>
        <w:rPr>
          <w:sz w:val="22"/>
        </w:rPr>
        <w:t xml:space="preserve">la elaboración y adopción de un </w:t>
      </w:r>
      <w:hyperlink r:id="rId22">
        <w:r>
          <w:rPr>
            <w:rStyle w:val="Hyperlink"/>
            <w:sz w:val="22"/>
          </w:rPr>
          <w:t>Plan de trabajo para el Equipo de tareas sobre la energía para 2017-2018</w:t>
        </w:r>
      </w:hyperlink>
      <w:r>
        <w:rPr>
          <w:sz w:val="22"/>
        </w:rPr>
        <w:t>, según las pautas establecidas en el mandato del Equipo de tareas, conforme se define en la Resolución 11.27;</w:t>
      </w:r>
    </w:p>
    <w:p w:rsidR="007302BA" w:rsidRDefault="007302BA" w:rsidP="00C776F1">
      <w:pPr>
        <w:pStyle w:val="ListParagraph"/>
        <w:numPr>
          <w:ilvl w:val="0"/>
          <w:numId w:val="13"/>
        </w:numPr>
        <w:jc w:val="both"/>
        <w:rPr>
          <w:rFonts w:cs="Arial"/>
          <w:sz w:val="22"/>
          <w:szCs w:val="22"/>
        </w:rPr>
      </w:pPr>
      <w:r>
        <w:rPr>
          <w:sz w:val="22"/>
        </w:rPr>
        <w:t>la adopción de una "</w:t>
      </w:r>
      <w:hyperlink r:id="rId23">
        <w:r>
          <w:rPr>
            <w:rStyle w:val="Hyperlink"/>
            <w:sz w:val="22"/>
          </w:rPr>
          <w:t>Declaración de Ciudad del Cabo</w:t>
        </w:r>
      </w:hyperlink>
      <w:r>
        <w:rPr>
          <w:sz w:val="22"/>
        </w:rPr>
        <w:t xml:space="preserve">" para que sirva como instrumento para informar a las partes interesadas sobre los objetivos del Equipo de tareas sobre la energía y su enfoque para conseguirlos. </w:t>
      </w:r>
    </w:p>
    <w:p w:rsidR="007302BA" w:rsidRDefault="007302BA" w:rsidP="00E672F8">
      <w:pPr>
        <w:pStyle w:val="ListParagraph"/>
        <w:widowControl/>
        <w:numPr>
          <w:ilvl w:val="0"/>
          <w:numId w:val="13"/>
        </w:numPr>
        <w:autoSpaceDE/>
        <w:autoSpaceDN/>
        <w:adjustRightInd/>
        <w:jc w:val="both"/>
        <w:rPr>
          <w:rFonts w:cs="Arial"/>
          <w:sz w:val="22"/>
          <w:szCs w:val="22"/>
        </w:rPr>
      </w:pPr>
      <w:r>
        <w:rPr>
          <w:sz w:val="22"/>
        </w:rPr>
        <w:t>el establecimiento de un Grupo de trabajo técnico del Equipo de tareas sobre la energía con la tarea de realizar un determinado número de actividades, entre ellas: determinar las principales prioridades de investigación y comunicarlas al Equipo de tareas sobre la energía e informarle acerca de los futuros compromisos con las instituciones de investigación; examinar el material de orientación existente para identificar las lagunas, y preparar una serie de notas técnicas para acompañarlas a las actuales directrices de la CMS/AEWA si fuera necesario; y convocar un proceso de examen y comparar los actuales instrumentos de creación de mapas de sensibilidad, y formular recomendaciones sobre estas cuestiones al Equipo de tareas sobre la energía.</w:t>
      </w:r>
    </w:p>
    <w:p w:rsidR="007302BA" w:rsidRPr="00EB0B55" w:rsidRDefault="007302BA" w:rsidP="00C776F1">
      <w:pPr>
        <w:pStyle w:val="ListParagraph"/>
        <w:widowControl/>
        <w:autoSpaceDE/>
        <w:autoSpaceDN/>
        <w:adjustRightInd/>
        <w:jc w:val="both"/>
        <w:rPr>
          <w:rFonts w:cs="Arial"/>
          <w:sz w:val="22"/>
          <w:szCs w:val="22"/>
        </w:rPr>
      </w:pPr>
    </w:p>
    <w:p w:rsidR="007302BA" w:rsidRPr="00EB0B55" w:rsidRDefault="007302BA" w:rsidP="00EB0B55">
      <w:pPr>
        <w:widowControl/>
        <w:numPr>
          <w:ilvl w:val="0"/>
          <w:numId w:val="2"/>
        </w:numPr>
        <w:autoSpaceDE/>
        <w:autoSpaceDN/>
        <w:adjustRightInd/>
        <w:spacing w:after="120"/>
        <w:jc w:val="both"/>
        <w:rPr>
          <w:rFonts w:cs="Arial"/>
          <w:sz w:val="22"/>
          <w:szCs w:val="22"/>
        </w:rPr>
      </w:pPr>
      <w:r>
        <w:rPr>
          <w:sz w:val="22"/>
        </w:rPr>
        <w:t xml:space="preserve">El 6 de abril de 2017 se celebró una reunión a distancia por teleconferencia, en la que los miembros analizaron la evolución y el seguimiento de la primera reunión del Equipo de tareas sobre la energía. </w:t>
      </w:r>
    </w:p>
    <w:p w:rsidR="007302BA" w:rsidRDefault="007302BA" w:rsidP="00715B47">
      <w:pPr>
        <w:pStyle w:val="ListParagraph"/>
        <w:widowControl/>
        <w:numPr>
          <w:ilvl w:val="0"/>
          <w:numId w:val="2"/>
        </w:numPr>
        <w:autoSpaceDE/>
        <w:autoSpaceDN/>
        <w:adjustRightInd/>
        <w:jc w:val="both"/>
        <w:rPr>
          <w:rFonts w:cs="Arial"/>
          <w:sz w:val="22"/>
          <w:szCs w:val="22"/>
        </w:rPr>
      </w:pPr>
      <w:r>
        <w:rPr>
          <w:sz w:val="22"/>
        </w:rPr>
        <w:t>La segunda reunión del Equipo de tareas sobre la energía se tiene previsto celebrar en Bonn (Alemania) el 14-15 de septiembre de 2017, en los locales de la Secretaría de la CMS.</w:t>
      </w:r>
    </w:p>
    <w:p w:rsidR="007302BA" w:rsidRDefault="007302BA" w:rsidP="00C776F1">
      <w:pPr>
        <w:pStyle w:val="ListParagraph"/>
        <w:widowControl/>
        <w:autoSpaceDE/>
        <w:autoSpaceDN/>
        <w:adjustRightInd/>
        <w:ind w:left="360"/>
        <w:jc w:val="both"/>
        <w:rPr>
          <w:rFonts w:cs="Arial"/>
          <w:sz w:val="22"/>
          <w:szCs w:val="22"/>
        </w:rPr>
      </w:pPr>
    </w:p>
    <w:p w:rsidR="007302BA" w:rsidRDefault="007302BA" w:rsidP="00715B47">
      <w:pPr>
        <w:pStyle w:val="ListParagraph"/>
        <w:widowControl/>
        <w:numPr>
          <w:ilvl w:val="0"/>
          <w:numId w:val="2"/>
        </w:numPr>
        <w:autoSpaceDE/>
        <w:autoSpaceDN/>
        <w:adjustRightInd/>
        <w:jc w:val="both"/>
        <w:rPr>
          <w:rFonts w:cs="Arial"/>
          <w:sz w:val="22"/>
          <w:szCs w:val="22"/>
        </w:rPr>
      </w:pPr>
      <w:r>
        <w:rPr>
          <w:sz w:val="22"/>
        </w:rPr>
        <w:t xml:space="preserve">El Equipo de tareas espera poder presentar a la COP12, en la forma de un documento de información, una descripción más detallada de las actividades del Equipo de tareas sobre la energía, incluidos los principales resultados de su segunda reunión.  </w:t>
      </w:r>
    </w:p>
    <w:p w:rsidR="007302BA" w:rsidRPr="00C412ED" w:rsidRDefault="007302BA" w:rsidP="00EA36BD">
      <w:pPr>
        <w:pStyle w:val="ListParagraph"/>
        <w:widowControl/>
        <w:autoSpaceDE/>
        <w:autoSpaceDN/>
        <w:adjustRightInd/>
        <w:ind w:left="360"/>
        <w:jc w:val="both"/>
        <w:rPr>
          <w:rFonts w:cs="Arial"/>
          <w:sz w:val="22"/>
          <w:szCs w:val="22"/>
        </w:rPr>
      </w:pPr>
    </w:p>
    <w:p w:rsidR="007302BA" w:rsidRPr="00CD0FE9" w:rsidRDefault="007302BA" w:rsidP="00EA36BD">
      <w:pPr>
        <w:jc w:val="both"/>
        <w:rPr>
          <w:rFonts w:cs="Arial"/>
          <w:sz w:val="22"/>
          <w:szCs w:val="22"/>
          <w:u w:val="single"/>
        </w:rPr>
      </w:pPr>
      <w:r>
        <w:rPr>
          <w:sz w:val="22"/>
          <w:u w:val="single"/>
        </w:rPr>
        <w:t>Otras actividades de divulgación relacionadas y creación de una red</w:t>
      </w:r>
    </w:p>
    <w:p w:rsidR="007302BA" w:rsidRPr="00CD0FE9" w:rsidRDefault="007302BA" w:rsidP="00EA36BD">
      <w:pPr>
        <w:rPr>
          <w:rFonts w:cs="Arial"/>
          <w:sz w:val="22"/>
          <w:szCs w:val="22"/>
        </w:rPr>
      </w:pPr>
    </w:p>
    <w:p w:rsidR="007302BA" w:rsidRPr="00B05A07" w:rsidRDefault="007302BA" w:rsidP="00C776F1">
      <w:pPr>
        <w:numPr>
          <w:ilvl w:val="0"/>
          <w:numId w:val="2"/>
        </w:numPr>
        <w:contextualSpacing/>
        <w:jc w:val="both"/>
        <w:rPr>
          <w:rFonts w:cs="Arial"/>
          <w:sz w:val="22"/>
          <w:szCs w:val="22"/>
        </w:rPr>
      </w:pPr>
      <w:r>
        <w:rPr>
          <w:sz w:val="22"/>
        </w:rPr>
        <w:t xml:space="preserve">En noviembre de 2015, en los márgenes de la MOP6 del AEWA, la secretaría de la CMS y </w:t>
      </w:r>
      <w:proofErr w:type="spellStart"/>
      <w:r>
        <w:rPr>
          <w:sz w:val="22"/>
        </w:rPr>
        <w:t>BirdLife</w:t>
      </w:r>
      <w:proofErr w:type="spellEnd"/>
      <w:r>
        <w:rPr>
          <w:sz w:val="22"/>
        </w:rPr>
        <w:t xml:space="preserve"> International organizaron un acto paralelo titulado "Energía y aves migratorias: soluciones para un futuro más brillante". Puede consultarse una reseña del acto paralelo a través de </w:t>
      </w:r>
      <w:hyperlink r:id="rId24">
        <w:r>
          <w:rPr>
            <w:rStyle w:val="Hyperlink"/>
            <w:sz w:val="22"/>
          </w:rPr>
          <w:t>este enlace</w:t>
        </w:r>
      </w:hyperlink>
      <w:r>
        <w:rPr>
          <w:sz w:val="22"/>
        </w:rPr>
        <w:t>.</w:t>
      </w:r>
    </w:p>
    <w:p w:rsidR="007302BA" w:rsidRPr="00A72541" w:rsidRDefault="007302BA" w:rsidP="00EA36BD">
      <w:pPr>
        <w:ind w:left="360"/>
        <w:contextualSpacing/>
        <w:rPr>
          <w:rFonts w:cs="Arial"/>
          <w:sz w:val="22"/>
          <w:szCs w:val="22"/>
        </w:rPr>
      </w:pPr>
    </w:p>
    <w:p w:rsidR="007302BA" w:rsidRPr="00A72541" w:rsidRDefault="007302BA" w:rsidP="00EA36BD">
      <w:pPr>
        <w:numPr>
          <w:ilvl w:val="0"/>
          <w:numId w:val="2"/>
        </w:numPr>
        <w:contextualSpacing/>
        <w:jc w:val="both"/>
        <w:rPr>
          <w:rFonts w:cs="Arial"/>
          <w:sz w:val="22"/>
          <w:szCs w:val="22"/>
        </w:rPr>
      </w:pPr>
      <w:r w:rsidRPr="00A53416">
        <w:rPr>
          <w:sz w:val="22"/>
        </w:rPr>
        <w:t xml:space="preserve">En mayo de 2016, la familia de la CMS y </w:t>
      </w:r>
      <w:proofErr w:type="spellStart"/>
      <w:r w:rsidRPr="00A53416">
        <w:rPr>
          <w:sz w:val="22"/>
        </w:rPr>
        <w:t>BirdLife</w:t>
      </w:r>
      <w:proofErr w:type="spellEnd"/>
      <w:r w:rsidRPr="00A53416">
        <w:rPr>
          <w:sz w:val="22"/>
        </w:rPr>
        <w:t xml:space="preserve"> International organizaron un acto paralelo </w:t>
      </w:r>
      <w:r w:rsidRPr="00A53416">
        <w:rPr>
          <w:sz w:val="22"/>
        </w:rPr>
        <w:lastRenderedPageBreak/>
        <w:t>en la segunda sesión de la Asamblea de las Naciones Unidas para el Medio Ambiente (UNEA) a fin de promover las directrices destinadas a asegurar que las instalaciones de energías renovables se desplieguen de manera que no perjudiquen a las especies migratorias, tales como las aves y los murciélagos</w:t>
      </w:r>
      <w:r>
        <w:t xml:space="preserve"> (</w:t>
      </w:r>
      <w:hyperlink r:id="rId25">
        <w:r>
          <w:rPr>
            <w:rStyle w:val="Hyperlink"/>
            <w:sz w:val="22"/>
          </w:rPr>
          <w:t xml:space="preserve">UNEA2 </w:t>
        </w:r>
        <w:proofErr w:type="spellStart"/>
        <w:r>
          <w:rPr>
            <w:rStyle w:val="Hyperlink"/>
            <w:sz w:val="22"/>
          </w:rPr>
          <w:t>side</w:t>
        </w:r>
        <w:proofErr w:type="spellEnd"/>
        <w:r>
          <w:rPr>
            <w:rStyle w:val="Hyperlink"/>
            <w:sz w:val="22"/>
          </w:rPr>
          <w:t xml:space="preserve"> </w:t>
        </w:r>
        <w:proofErr w:type="spellStart"/>
        <w:r>
          <w:rPr>
            <w:rStyle w:val="Hyperlink"/>
            <w:sz w:val="22"/>
          </w:rPr>
          <w:t>event</w:t>
        </w:r>
        <w:proofErr w:type="spellEnd"/>
      </w:hyperlink>
    </w:p>
    <w:p w:rsidR="007302BA" w:rsidRDefault="007302BA" w:rsidP="00EA36BD">
      <w:pPr>
        <w:pStyle w:val="ListParagraph"/>
        <w:rPr>
          <w:rFonts w:cs="Arial"/>
          <w:sz w:val="22"/>
          <w:szCs w:val="22"/>
        </w:rPr>
      </w:pPr>
    </w:p>
    <w:p w:rsidR="007302BA" w:rsidRDefault="007302BA" w:rsidP="00EA36BD">
      <w:pPr>
        <w:numPr>
          <w:ilvl w:val="0"/>
          <w:numId w:val="2"/>
        </w:numPr>
        <w:contextualSpacing/>
        <w:jc w:val="both"/>
        <w:rPr>
          <w:rFonts w:cs="Arial"/>
          <w:sz w:val="22"/>
          <w:szCs w:val="22"/>
        </w:rPr>
      </w:pPr>
      <w:r w:rsidRPr="00A53416">
        <w:rPr>
          <w:sz w:val="22"/>
        </w:rPr>
        <w:t>Se organizó un acto paralelo sobre "Conciliación de determinados desarrollos del sector energético con la conservación de las especies migratorias" en la 46ª reunión del Órgano Subsidiario de Ejecución (OSE 46) y el Órgano Subsidiario de Asesoramiento Científico y Tecnológico (OSACT 46) así como en la tercera parte de la primera reunión del Grupo de trabajo ad hoc sobre el acuerdo de París, APA (1-3), celebrado del 8 al 18 de mayo de 2017, en Bonn (Alemania)</w:t>
      </w:r>
      <w:r>
        <w:t xml:space="preserve"> (</w:t>
      </w:r>
      <w:hyperlink r:id="rId26">
        <w:r>
          <w:rPr>
            <w:rStyle w:val="Hyperlink"/>
            <w:sz w:val="22"/>
          </w:rPr>
          <w:t>acto paralelo de la CMNUCC</w:t>
        </w:r>
      </w:hyperlink>
      <w:r>
        <w:t>).</w:t>
      </w:r>
      <w:r>
        <w:rPr>
          <w:sz w:val="22"/>
        </w:rPr>
        <w:t xml:space="preserve"> </w:t>
      </w:r>
    </w:p>
    <w:p w:rsidR="007302BA" w:rsidRPr="00CD7355" w:rsidRDefault="007302BA" w:rsidP="00EA36BD">
      <w:pPr>
        <w:ind w:left="360"/>
        <w:contextualSpacing/>
        <w:jc w:val="both"/>
        <w:rPr>
          <w:rFonts w:cs="Arial"/>
          <w:sz w:val="22"/>
          <w:szCs w:val="22"/>
        </w:rPr>
      </w:pPr>
    </w:p>
    <w:p w:rsidR="007302BA" w:rsidRDefault="007302BA" w:rsidP="00EA36BD">
      <w:pPr>
        <w:rPr>
          <w:rFonts w:cs="Arial"/>
          <w:sz w:val="22"/>
          <w:szCs w:val="22"/>
          <w:u w:val="single"/>
        </w:rPr>
      </w:pPr>
      <w:r>
        <w:rPr>
          <w:sz w:val="22"/>
          <w:u w:val="single"/>
        </w:rPr>
        <w:t>Revocación y consolidación de las resoluciones relativas a la energía</w:t>
      </w:r>
    </w:p>
    <w:p w:rsidR="007302BA" w:rsidRDefault="007302BA" w:rsidP="00EA36BD">
      <w:pPr>
        <w:rPr>
          <w:rFonts w:cs="Arial"/>
          <w:sz w:val="22"/>
          <w:szCs w:val="22"/>
          <w:u w:val="single"/>
        </w:rPr>
      </w:pPr>
    </w:p>
    <w:p w:rsidR="007302BA" w:rsidRPr="00C776F1" w:rsidRDefault="007302BA" w:rsidP="00C776F1">
      <w:pPr>
        <w:pStyle w:val="ListParagraph"/>
        <w:numPr>
          <w:ilvl w:val="0"/>
          <w:numId w:val="2"/>
        </w:numPr>
        <w:jc w:val="both"/>
        <w:rPr>
          <w:rFonts w:cs="Arial"/>
          <w:sz w:val="22"/>
          <w:szCs w:val="22"/>
          <w:u w:val="single"/>
        </w:rPr>
      </w:pPr>
      <w:r>
        <w:rPr>
          <w:sz w:val="22"/>
        </w:rPr>
        <w:t xml:space="preserve">En el ámbito del proceso iniciado por la Resolución 11.6 "Examen de decisiones", se ha examinado la Resolución 11.27 y se propone una revocación parcial en el documento 21.1.33. </w:t>
      </w:r>
    </w:p>
    <w:p w:rsidR="007302BA" w:rsidRPr="003F5A47" w:rsidRDefault="007302BA" w:rsidP="00EA36BD">
      <w:pPr>
        <w:pStyle w:val="ListParagraph"/>
        <w:ind w:left="360"/>
        <w:jc w:val="both"/>
        <w:rPr>
          <w:rFonts w:cs="Arial"/>
          <w:sz w:val="22"/>
          <w:szCs w:val="22"/>
        </w:rPr>
      </w:pPr>
    </w:p>
    <w:p w:rsidR="007302BA" w:rsidRPr="00CD0FE9" w:rsidRDefault="007302BA" w:rsidP="00EA36BD">
      <w:pPr>
        <w:rPr>
          <w:rFonts w:cs="Arial"/>
          <w:sz w:val="22"/>
          <w:szCs w:val="22"/>
        </w:rPr>
      </w:pPr>
      <w:r>
        <w:rPr>
          <w:sz w:val="22"/>
          <w:u w:val="single"/>
        </w:rPr>
        <w:t>Medidas que se recomiendan</w:t>
      </w:r>
    </w:p>
    <w:p w:rsidR="007302BA" w:rsidRPr="00CD0FE9" w:rsidRDefault="007302BA" w:rsidP="00EA36BD">
      <w:pPr>
        <w:rPr>
          <w:rFonts w:cs="Arial"/>
          <w:sz w:val="22"/>
          <w:szCs w:val="22"/>
        </w:rPr>
      </w:pPr>
    </w:p>
    <w:p w:rsidR="007302BA" w:rsidRPr="00CD0FE9" w:rsidRDefault="007302BA" w:rsidP="00EA36BD">
      <w:pPr>
        <w:numPr>
          <w:ilvl w:val="0"/>
          <w:numId w:val="2"/>
        </w:numPr>
        <w:jc w:val="both"/>
        <w:rPr>
          <w:rFonts w:cs="Arial"/>
          <w:sz w:val="22"/>
          <w:szCs w:val="22"/>
        </w:rPr>
      </w:pPr>
      <w:r>
        <w:rPr>
          <w:sz w:val="22"/>
        </w:rPr>
        <w:t>Se recomienda a la Conferencia de las Partes que:</w:t>
      </w:r>
    </w:p>
    <w:p w:rsidR="007302BA" w:rsidRPr="00CD0FE9" w:rsidRDefault="007302BA" w:rsidP="00EA36BD">
      <w:pPr>
        <w:jc w:val="both"/>
        <w:rPr>
          <w:rFonts w:cs="Arial"/>
          <w:sz w:val="22"/>
          <w:szCs w:val="22"/>
        </w:rPr>
      </w:pPr>
    </w:p>
    <w:p w:rsidR="007302BA" w:rsidRPr="00A53416" w:rsidRDefault="007302BA" w:rsidP="00EA36BD">
      <w:pPr>
        <w:widowControl/>
        <w:numPr>
          <w:ilvl w:val="0"/>
          <w:numId w:val="3"/>
        </w:numPr>
        <w:autoSpaceDE/>
        <w:adjustRightInd/>
        <w:contextualSpacing/>
        <w:jc w:val="both"/>
        <w:rPr>
          <w:rFonts w:cs="Arial"/>
          <w:sz w:val="22"/>
          <w:szCs w:val="22"/>
          <w:lang w:val="it-IT"/>
        </w:rPr>
      </w:pPr>
      <w:r w:rsidRPr="00A53416">
        <w:rPr>
          <w:sz w:val="22"/>
          <w:lang w:val="it-IT"/>
        </w:rPr>
        <w:t>tome nota del presente documento;</w:t>
      </w:r>
    </w:p>
    <w:p w:rsidR="007302BA" w:rsidRPr="00A53416" w:rsidRDefault="007302BA" w:rsidP="00EA36BD">
      <w:pPr>
        <w:pStyle w:val="ListParagraph"/>
        <w:rPr>
          <w:rFonts w:cs="Arial"/>
          <w:sz w:val="22"/>
          <w:szCs w:val="22"/>
          <w:highlight w:val="green"/>
          <w:lang w:val="it-IT"/>
        </w:rPr>
      </w:pPr>
    </w:p>
    <w:p w:rsidR="007302BA" w:rsidRPr="001308EC" w:rsidRDefault="007302BA" w:rsidP="00196F84">
      <w:pPr>
        <w:widowControl/>
        <w:numPr>
          <w:ilvl w:val="0"/>
          <w:numId w:val="3"/>
        </w:numPr>
        <w:autoSpaceDE/>
        <w:adjustRightInd/>
        <w:contextualSpacing/>
        <w:jc w:val="both"/>
        <w:rPr>
          <w:rFonts w:cs="Arial"/>
          <w:sz w:val="22"/>
          <w:szCs w:val="22"/>
        </w:rPr>
      </w:pPr>
      <w:r>
        <w:rPr>
          <w:sz w:val="22"/>
        </w:rPr>
        <w:t>apruebe el proyecto de Decisión que figura en el Anexo 1 de este documento.</w:t>
      </w:r>
    </w:p>
    <w:p w:rsidR="007302BA" w:rsidRDefault="007302BA">
      <w:pPr>
        <w:widowControl/>
        <w:autoSpaceDE/>
        <w:autoSpaceDN/>
        <w:adjustRightInd/>
        <w:rPr>
          <w:rFonts w:cs="Arial"/>
          <w:b/>
          <w:bCs/>
          <w:sz w:val="22"/>
          <w:szCs w:val="22"/>
        </w:rPr>
      </w:pPr>
    </w:p>
    <w:p w:rsidR="007302BA" w:rsidRDefault="007302BA">
      <w:pPr>
        <w:widowControl/>
        <w:autoSpaceDE/>
        <w:autoSpaceDN/>
        <w:adjustRightInd/>
        <w:rPr>
          <w:rFonts w:cs="Arial"/>
          <w:b/>
          <w:bCs/>
          <w:sz w:val="22"/>
          <w:szCs w:val="22"/>
        </w:rPr>
        <w:sectPr w:rsidR="007302BA" w:rsidSect="00EC6FC3">
          <w:headerReference w:type="first" r:id="rId27"/>
          <w:footerReference w:type="first" r:id="rId28"/>
          <w:endnotePr>
            <w:numFmt w:val="decimal"/>
          </w:endnotePr>
          <w:pgSz w:w="11905" w:h="16837" w:code="9"/>
          <w:pgMar w:top="1008" w:right="1411" w:bottom="1152" w:left="1411" w:header="432" w:footer="432" w:gutter="0"/>
          <w:cols w:space="720"/>
          <w:noEndnote/>
          <w:titlePg/>
          <w:docGrid w:linePitch="272"/>
        </w:sectPr>
      </w:pPr>
    </w:p>
    <w:p w:rsidR="007302BA" w:rsidRPr="00B97CF4" w:rsidRDefault="007302BA" w:rsidP="00B97CF4">
      <w:pPr>
        <w:jc w:val="right"/>
        <w:rPr>
          <w:rFonts w:cs="Arial"/>
          <w:b/>
          <w:sz w:val="22"/>
          <w:szCs w:val="22"/>
        </w:rPr>
      </w:pPr>
      <w:r>
        <w:rPr>
          <w:b/>
          <w:sz w:val="22"/>
        </w:rPr>
        <w:lastRenderedPageBreak/>
        <w:t>Anexo 1</w:t>
      </w:r>
    </w:p>
    <w:p w:rsidR="007302BA" w:rsidRDefault="007302BA" w:rsidP="00B97CF4">
      <w:pPr>
        <w:jc w:val="center"/>
        <w:rPr>
          <w:rFonts w:cs="Arial"/>
          <w:sz w:val="22"/>
          <w:szCs w:val="22"/>
        </w:rPr>
      </w:pPr>
    </w:p>
    <w:p w:rsidR="007302BA" w:rsidRPr="00CD0FE9" w:rsidRDefault="007302BA" w:rsidP="00B97CF4">
      <w:pPr>
        <w:jc w:val="center"/>
        <w:rPr>
          <w:rFonts w:cs="Arial"/>
          <w:sz w:val="22"/>
          <w:szCs w:val="22"/>
        </w:rPr>
      </w:pPr>
      <w:r>
        <w:rPr>
          <w:sz w:val="22"/>
        </w:rPr>
        <w:t>PROYECTO DE DECISIÓN</w:t>
      </w:r>
    </w:p>
    <w:p w:rsidR="007302BA" w:rsidRPr="00CD0FE9" w:rsidRDefault="007302BA" w:rsidP="00B97CF4">
      <w:pPr>
        <w:jc w:val="center"/>
        <w:rPr>
          <w:rFonts w:cs="Arial"/>
          <w:sz w:val="22"/>
          <w:szCs w:val="22"/>
        </w:rPr>
      </w:pPr>
    </w:p>
    <w:p w:rsidR="007302BA" w:rsidRDefault="007302BA" w:rsidP="00B97CF4">
      <w:pPr>
        <w:pBdr>
          <w:top w:val="single" w:sz="6" w:space="0" w:color="FFFFFF"/>
          <w:left w:val="single" w:sz="6" w:space="0" w:color="FFFFFF"/>
          <w:bottom w:val="single" w:sz="6" w:space="0" w:color="FFFFFF"/>
          <w:right w:val="single" w:sz="6" w:space="0" w:color="FFFFFF"/>
        </w:pBdr>
        <w:jc w:val="center"/>
        <w:outlineLvl w:val="1"/>
        <w:rPr>
          <w:rFonts w:cs="Arial"/>
          <w:b/>
          <w:caps/>
          <w:sz w:val="22"/>
          <w:szCs w:val="22"/>
        </w:rPr>
      </w:pPr>
      <w:r>
        <w:rPr>
          <w:b/>
          <w:caps/>
          <w:sz w:val="22"/>
        </w:rPr>
        <w:t>APOYO AL EQUIPO DE TAREAS SOBRE LA ENERGÍA</w:t>
      </w:r>
    </w:p>
    <w:p w:rsidR="007302BA" w:rsidRDefault="007302BA" w:rsidP="00B97CF4">
      <w:pPr>
        <w:pBdr>
          <w:top w:val="single" w:sz="6" w:space="0" w:color="FFFFFF"/>
          <w:left w:val="single" w:sz="6" w:space="0" w:color="FFFFFF"/>
          <w:bottom w:val="single" w:sz="6" w:space="0" w:color="FFFFFF"/>
          <w:right w:val="single" w:sz="6" w:space="0" w:color="FFFFFF"/>
        </w:pBdr>
        <w:jc w:val="center"/>
        <w:outlineLvl w:val="1"/>
        <w:rPr>
          <w:rFonts w:cs="Arial"/>
          <w:b/>
          <w:caps/>
          <w:sz w:val="22"/>
          <w:szCs w:val="22"/>
        </w:rPr>
      </w:pPr>
    </w:p>
    <w:p w:rsidR="007302BA" w:rsidRPr="00CD0FE9" w:rsidRDefault="007302BA" w:rsidP="00B97CF4">
      <w:pPr>
        <w:jc w:val="both"/>
        <w:rPr>
          <w:rFonts w:cs="Arial"/>
          <w:sz w:val="22"/>
          <w:szCs w:val="22"/>
        </w:rPr>
      </w:pPr>
    </w:p>
    <w:p w:rsidR="007302BA" w:rsidRPr="00CD0FE9" w:rsidRDefault="007302BA" w:rsidP="00B97CF4">
      <w:pPr>
        <w:jc w:val="both"/>
        <w:rPr>
          <w:rFonts w:cs="Arial"/>
          <w:b/>
          <w:i/>
          <w:sz w:val="22"/>
          <w:szCs w:val="22"/>
        </w:rPr>
      </w:pPr>
      <w:r>
        <w:rPr>
          <w:b/>
          <w:i/>
          <w:sz w:val="22"/>
        </w:rPr>
        <w:t>Dirigida a las Partes, las organizaciones intergubernamentales y no gubernamentales y otros interesados del sector de la energía</w:t>
      </w:r>
    </w:p>
    <w:p w:rsidR="007302BA" w:rsidRPr="00CD0FE9" w:rsidRDefault="007302BA" w:rsidP="00B97CF4">
      <w:pPr>
        <w:jc w:val="both"/>
        <w:rPr>
          <w:rFonts w:cs="Arial"/>
          <w:sz w:val="22"/>
          <w:szCs w:val="22"/>
        </w:rPr>
      </w:pPr>
    </w:p>
    <w:p w:rsidR="007302BA" w:rsidRPr="00CD0FE9" w:rsidRDefault="007302BA" w:rsidP="00B97CF4">
      <w:pPr>
        <w:jc w:val="both"/>
        <w:rPr>
          <w:rFonts w:cs="Arial"/>
          <w:sz w:val="22"/>
          <w:szCs w:val="22"/>
        </w:rPr>
      </w:pPr>
      <w:r>
        <w:rPr>
          <w:sz w:val="22"/>
        </w:rPr>
        <w:t>12.AA</w:t>
      </w:r>
      <w:r>
        <w:tab/>
      </w:r>
      <w:r>
        <w:rPr>
          <w:sz w:val="22"/>
        </w:rPr>
        <w:t>Se alienta a las Partes, las organizaciones intergubernamentales y no gubernamentales y otros interesados del sector de la energía a que</w:t>
      </w:r>
    </w:p>
    <w:p w:rsidR="007302BA" w:rsidRPr="00CD0FE9" w:rsidRDefault="007302BA" w:rsidP="00B97CF4">
      <w:pPr>
        <w:jc w:val="both"/>
        <w:rPr>
          <w:rFonts w:cs="Arial"/>
          <w:sz w:val="22"/>
          <w:szCs w:val="22"/>
        </w:rPr>
      </w:pPr>
    </w:p>
    <w:p w:rsidR="007302BA" w:rsidRPr="001308EC" w:rsidRDefault="007302BA" w:rsidP="001308EC">
      <w:pPr>
        <w:widowControl/>
        <w:numPr>
          <w:ilvl w:val="0"/>
          <w:numId w:val="6"/>
        </w:numPr>
        <w:autoSpaceDE/>
        <w:adjustRightInd/>
        <w:contextualSpacing/>
        <w:jc w:val="both"/>
        <w:rPr>
          <w:rFonts w:cs="Arial"/>
          <w:sz w:val="22"/>
          <w:szCs w:val="22"/>
        </w:rPr>
      </w:pPr>
      <w:r>
        <w:rPr>
          <w:sz w:val="22"/>
        </w:rPr>
        <w:t>Examinen la posibilidad de contribuir a la aplicación del Plan de trabajo del Equipo de tareas sobre la energía, incluso mediante la prestación de asistencia financiera y técnica para respaldar las actividades en curso del Equipo de tareas sobre la energía.</w:t>
      </w:r>
    </w:p>
    <w:p w:rsidR="007302BA" w:rsidRPr="00CD0FE9" w:rsidRDefault="007302BA" w:rsidP="00B97CF4">
      <w:pPr>
        <w:pStyle w:val="Heading2"/>
        <w:keepNext w:val="0"/>
        <w:ind w:right="-367"/>
        <w:rPr>
          <w:rFonts w:cs="Arial"/>
          <w:sz w:val="22"/>
          <w:szCs w:val="22"/>
        </w:rPr>
      </w:pPr>
    </w:p>
    <w:sectPr w:rsidR="007302BA" w:rsidRPr="00CD0FE9" w:rsidSect="00EC6FC3">
      <w:headerReference w:type="first" r:id="rId29"/>
      <w:endnotePr>
        <w:numFmt w:val="decimal"/>
      </w:endnotePr>
      <w:pgSz w:w="11905" w:h="16837" w:code="9"/>
      <w:pgMar w:top="1008" w:right="1411" w:bottom="1152" w:left="1411" w:header="432" w:footer="432" w:gutter="0"/>
      <w:cols w:space="720"/>
      <w:noEndnote/>
      <w:titlePg/>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2BA" w:rsidRDefault="007302BA">
      <w:r>
        <w:separator/>
      </w:r>
    </w:p>
  </w:endnote>
  <w:endnote w:type="continuationSeparator" w:id="0">
    <w:p w:rsidR="007302BA" w:rsidRDefault="00730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2BA" w:rsidRPr="00922791" w:rsidRDefault="007302BA" w:rsidP="00056DC1">
    <w:pPr>
      <w:pStyle w:val="Footer"/>
      <w:ind w:right="-367"/>
      <w:jc w:val="center"/>
      <w:rPr>
        <w:rFonts w:cs="Arial"/>
        <w:szCs w:val="18"/>
      </w:rPr>
    </w:pPr>
    <w:r w:rsidRPr="00922791">
      <w:rPr>
        <w:rFonts w:cs="Arial"/>
        <w:szCs w:val="18"/>
      </w:rPr>
      <w:fldChar w:fldCharType="begin"/>
    </w:r>
    <w:r w:rsidRPr="00922791">
      <w:rPr>
        <w:rFonts w:cs="Arial"/>
        <w:szCs w:val="18"/>
      </w:rPr>
      <w:instrText xml:space="preserve"> PAGE   \* MERGEFORMAT </w:instrText>
    </w:r>
    <w:r w:rsidRPr="00922791">
      <w:rPr>
        <w:rFonts w:cs="Arial"/>
        <w:szCs w:val="18"/>
      </w:rPr>
      <w:fldChar w:fldCharType="separate"/>
    </w:r>
    <w:r w:rsidR="003B0B60">
      <w:rPr>
        <w:rFonts w:cs="Arial"/>
        <w:noProof/>
        <w:szCs w:val="18"/>
      </w:rPr>
      <w:t>4</w:t>
    </w:r>
    <w:r w:rsidRPr="00922791">
      <w:rPr>
        <w:rFonts w:cs="Arial"/>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2BA" w:rsidRPr="00EC6FC3" w:rsidRDefault="007302BA" w:rsidP="00056DC1">
    <w:pPr>
      <w:pStyle w:val="Footer"/>
      <w:ind w:right="-367"/>
      <w:jc w:val="center"/>
      <w:rPr>
        <w:rFonts w:cs="Arial"/>
        <w:szCs w:val="18"/>
      </w:rPr>
    </w:pPr>
    <w:r w:rsidRPr="00EC6FC3">
      <w:rPr>
        <w:rFonts w:cs="Arial"/>
        <w:szCs w:val="18"/>
      </w:rPr>
      <w:fldChar w:fldCharType="begin"/>
    </w:r>
    <w:r w:rsidRPr="00EC6FC3">
      <w:rPr>
        <w:rFonts w:cs="Arial"/>
        <w:szCs w:val="18"/>
      </w:rPr>
      <w:instrText xml:space="preserve"> PAGE   \* MERGEFORMAT </w:instrText>
    </w:r>
    <w:r w:rsidRPr="00EC6FC3">
      <w:rPr>
        <w:rFonts w:cs="Arial"/>
        <w:szCs w:val="18"/>
      </w:rPr>
      <w:fldChar w:fldCharType="separate"/>
    </w:r>
    <w:r w:rsidR="003B0B60">
      <w:rPr>
        <w:rFonts w:cs="Arial"/>
        <w:noProof/>
        <w:szCs w:val="18"/>
      </w:rPr>
      <w:t>5</w:t>
    </w:r>
    <w:r w:rsidRPr="00EC6FC3">
      <w:rPr>
        <w:rFonts w:cs="Arial"/>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2BA" w:rsidRPr="003B0B60" w:rsidRDefault="007302BA" w:rsidP="003B0B60">
    <w:pPr>
      <w:pStyle w:val="Footer"/>
    </w:pPr>
    <w:bookmarkStart w:id="0" w:name="_GoBack"/>
    <w:bookmarkEnd w:id="0"/>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2BA" w:rsidRPr="00EC6FC3" w:rsidRDefault="007302BA" w:rsidP="00015E07">
    <w:pPr>
      <w:pStyle w:val="Footer"/>
      <w:tabs>
        <w:tab w:val="clear" w:pos="8640"/>
        <w:tab w:val="right" w:pos="9083"/>
      </w:tabs>
      <w:jc w:val="center"/>
      <w:rPr>
        <w:rFonts w:cs="Arial"/>
        <w:szCs w:val="18"/>
      </w:rPr>
    </w:pPr>
    <w:r>
      <w:tab/>
    </w:r>
    <w:r w:rsidRPr="00EC6FC3">
      <w:rPr>
        <w:rFonts w:cs="Arial"/>
        <w:szCs w:val="18"/>
      </w:rPr>
      <w:fldChar w:fldCharType="begin"/>
    </w:r>
    <w:r w:rsidRPr="00EC6FC3">
      <w:rPr>
        <w:rFonts w:cs="Arial"/>
        <w:szCs w:val="18"/>
      </w:rPr>
      <w:instrText xml:space="preserve"> PAGE   \* MERGEFORMAT </w:instrText>
    </w:r>
    <w:r w:rsidRPr="00EC6FC3">
      <w:rPr>
        <w:rFonts w:cs="Arial"/>
        <w:szCs w:val="18"/>
      </w:rPr>
      <w:fldChar w:fldCharType="separate"/>
    </w:r>
    <w:r w:rsidR="003B0B60">
      <w:rPr>
        <w:rFonts w:cs="Arial"/>
        <w:noProof/>
        <w:szCs w:val="18"/>
      </w:rPr>
      <w:t>6</w:t>
    </w:r>
    <w:r w:rsidRPr="00EC6FC3">
      <w:rPr>
        <w:rFonts w:cs="Arial"/>
        <w:szCs w:val="18"/>
      </w:rPr>
      <w:fldChar w:fldCharType="end"/>
    </w:r>
    <w:r>
      <w:tab/>
    </w:r>
  </w:p>
  <w:p w:rsidR="007302BA" w:rsidRPr="00D605A4" w:rsidRDefault="007302BA"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2BA" w:rsidRDefault="007302BA">
      <w:r>
        <w:separator/>
      </w:r>
    </w:p>
  </w:footnote>
  <w:footnote w:type="continuationSeparator" w:id="0">
    <w:p w:rsidR="007302BA" w:rsidRDefault="007302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2BA" w:rsidRPr="00D605A4" w:rsidRDefault="007302BA" w:rsidP="00EC6FC3">
    <w:pPr>
      <w:pStyle w:val="Header"/>
      <w:pBdr>
        <w:bottom w:val="single" w:sz="4" w:space="1" w:color="auto"/>
      </w:pBdr>
      <w:rPr>
        <w:rFonts w:cs="Arial"/>
        <w:i/>
        <w:szCs w:val="18"/>
      </w:rPr>
    </w:pPr>
    <w:r>
      <w:rPr>
        <w:i/>
      </w:rPr>
      <w:t>UNEP/CMS/COP12/Doc.24.4.6</w:t>
    </w:r>
  </w:p>
  <w:p w:rsidR="007302BA" w:rsidRPr="00EC6FC3" w:rsidRDefault="007302BA" w:rsidP="00EC6F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2BA" w:rsidRPr="00497E66" w:rsidRDefault="007302BA" w:rsidP="00EC6FC3">
    <w:pPr>
      <w:pStyle w:val="Heading1"/>
      <w:keepNext w:val="0"/>
      <w:pBdr>
        <w:bottom w:val="single" w:sz="4" w:space="1" w:color="auto"/>
      </w:pBdr>
      <w:tabs>
        <w:tab w:val="clear" w:pos="-720"/>
      </w:tabs>
      <w:ind w:left="261" w:right="11" w:hanging="261"/>
      <w:jc w:val="right"/>
      <w:rPr>
        <w:rFonts w:cs="Arial"/>
        <w:b w:val="0"/>
        <w:i/>
        <w:sz w:val="18"/>
        <w:szCs w:val="18"/>
      </w:rPr>
    </w:pPr>
    <w:r>
      <w:rPr>
        <w:b w:val="0"/>
        <w:i/>
        <w:sz w:val="18"/>
      </w:rPr>
      <w:t>UNEP/CMS/COP12/Doc.24.4.6</w:t>
    </w:r>
  </w:p>
  <w:p w:rsidR="007302BA" w:rsidRPr="00497E66" w:rsidRDefault="007302BA"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2BA" w:rsidRDefault="00CF4870" w:rsidP="00894D19">
    <w:pPr>
      <w:pStyle w:val="Header"/>
    </w:pPr>
    <w:r w:rsidRPr="00CF4870">
      <w:rPr>
        <w:rFonts w:ascii="Times New Roman" w:hAnsi="Times New Roman"/>
        <w:noProof/>
        <w:sz w:val="20"/>
        <w:szCs w:val="24"/>
        <w:lang w:val="en-US" w:eastAsia="en-US"/>
      </w:rPr>
      <w:drawing>
        <wp:anchor distT="0" distB="0" distL="114300" distR="114300" simplePos="0" relativeHeight="251661312" behindDoc="1" locked="0" layoutInCell="1" allowOverlap="1" wp14:anchorId="7562572F" wp14:editId="58B78F46">
          <wp:simplePos x="0" y="0"/>
          <wp:positionH relativeFrom="column">
            <wp:posOffset>-139065</wp:posOffset>
          </wp:positionH>
          <wp:positionV relativeFrom="paragraph">
            <wp:posOffset>-19050</wp:posOffset>
          </wp:positionV>
          <wp:extent cx="939165" cy="506730"/>
          <wp:effectExtent l="0" t="0" r="0" b="0"/>
          <wp:wrapTight wrapText="bothSides">
            <wp:wrapPolygon edited="0">
              <wp:start x="2191" y="2436"/>
              <wp:lineTo x="1314" y="14617"/>
              <wp:lineTo x="1314" y="18677"/>
              <wp:lineTo x="19716" y="18677"/>
              <wp:lineTo x="19278" y="5684"/>
              <wp:lineTo x="18840" y="2436"/>
              <wp:lineTo x="2191" y="2436"/>
            </wp:wrapPolygon>
          </wp:wrapTight>
          <wp:docPr id="10" name="Picture 10" descr="UNEnvironment_Logo_Span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Spanish_Shor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003F3DCD">
      <w:rPr>
        <w:noProof/>
        <w:lang w:val="en-US" w:eastAsia="en-US"/>
      </w:rPr>
      <w:drawing>
        <wp:anchor distT="0" distB="0" distL="114300" distR="114300" simplePos="0" relativeHeight="251659264" behindDoc="1" locked="0" layoutInCell="1" allowOverlap="1">
          <wp:simplePos x="0" y="0"/>
          <wp:positionH relativeFrom="column">
            <wp:posOffset>716280</wp:posOffset>
          </wp:positionH>
          <wp:positionV relativeFrom="paragraph">
            <wp:posOffset>-75565</wp:posOffset>
          </wp:positionV>
          <wp:extent cx="431165" cy="441325"/>
          <wp:effectExtent l="0" t="0" r="6985" b="0"/>
          <wp:wrapTight wrapText="bothSides">
            <wp:wrapPolygon edited="0">
              <wp:start x="0" y="0"/>
              <wp:lineTo x="0" y="20512"/>
              <wp:lineTo x="20996" y="20512"/>
              <wp:lineTo x="20996" y="0"/>
              <wp:lineTo x="0"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pic:spPr>
              </pic:pic>
            </a:graphicData>
          </a:graphic>
          <wp14:sizeRelH relativeFrom="page">
            <wp14:pctWidth>0</wp14:pctWidth>
          </wp14:sizeRelH>
          <wp14:sizeRelV relativeFrom="page">
            <wp14:pctHeight>0</wp14:pctHeight>
          </wp14:sizeRelV>
        </wp:anchor>
      </w:drawing>
    </w:r>
  </w:p>
  <w:p w:rsidR="007302BA" w:rsidRDefault="007302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2BA" w:rsidRPr="00D605A4" w:rsidRDefault="007302BA" w:rsidP="00EC6FC3">
    <w:pPr>
      <w:pStyle w:val="Header"/>
      <w:pBdr>
        <w:bottom w:val="single" w:sz="4" w:space="1" w:color="auto"/>
      </w:pBdr>
      <w:rPr>
        <w:rFonts w:cs="Arial"/>
        <w:i/>
        <w:szCs w:val="18"/>
      </w:rPr>
    </w:pPr>
    <w:r>
      <w:rPr>
        <w:i/>
      </w:rPr>
      <w:t>UNEP/CMS/COP12/Doc.24.4.6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2BA" w:rsidRPr="00385F22" w:rsidRDefault="007302BA" w:rsidP="00EC6FC3">
    <w:pPr>
      <w:pStyle w:val="Header"/>
      <w:pBdr>
        <w:bottom w:val="single" w:sz="4" w:space="1" w:color="auto"/>
      </w:pBdr>
      <w:rPr>
        <w:rFonts w:cs="Arial"/>
        <w:i/>
        <w:szCs w:val="18"/>
        <w:lang w:val="en-US"/>
      </w:rPr>
    </w:pPr>
    <w:r w:rsidRPr="00385F22">
      <w:rPr>
        <w:i/>
        <w:lang w:val="en-US"/>
      </w:rPr>
      <w:t>UNEP/CMS/COP12/Doc.24.4.6/</w:t>
    </w:r>
    <w:proofErr w:type="spellStart"/>
    <w:r w:rsidRPr="00385F22">
      <w:rPr>
        <w:i/>
        <w:lang w:val="en-US"/>
      </w:rPr>
      <w:t>Anexo</w:t>
    </w:r>
    <w:proofErr w:type="spellEnd"/>
    <w:r w:rsidRPr="00385F22">
      <w:rPr>
        <w:i/>
        <w:lang w:val="en-US"/>
      </w:rPr>
      <w:t xml:space="preserv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3337743"/>
    <w:multiLevelType w:val="hybridMultilevel"/>
    <w:tmpl w:val="42E813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780F21"/>
    <w:multiLevelType w:val="hybridMultilevel"/>
    <w:tmpl w:val="0D20EA36"/>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 w15:restartNumberingAfterBreak="0">
    <w:nsid w:val="0A807B23"/>
    <w:multiLevelType w:val="hybridMultilevel"/>
    <w:tmpl w:val="62AAAED8"/>
    <w:lvl w:ilvl="0" w:tplc="FAB0E0B8">
      <w:start w:val="1"/>
      <w:numFmt w:val="bullet"/>
      <w:lvlText w:val=""/>
      <w:lvlJc w:val="left"/>
      <w:pPr>
        <w:ind w:left="720" w:hanging="360"/>
      </w:pPr>
      <w:rPr>
        <w:rFonts w:ascii="Symbol" w:hAnsi="Symbol" w:hint="default"/>
        <w:color w:val="44546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C5EAF"/>
    <w:multiLevelType w:val="hybridMultilevel"/>
    <w:tmpl w:val="420059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D0E7BC5"/>
    <w:multiLevelType w:val="hybridMultilevel"/>
    <w:tmpl w:val="35BCBB94"/>
    <w:lvl w:ilvl="0" w:tplc="7064083C">
      <w:start w:val="5"/>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D96A58"/>
    <w:multiLevelType w:val="hybridMultilevel"/>
    <w:tmpl w:val="AEFC8A2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232B6076"/>
    <w:multiLevelType w:val="hybridMultilevel"/>
    <w:tmpl w:val="95161ABA"/>
    <w:lvl w:ilvl="0" w:tplc="FAB0E0B8">
      <w:start w:val="1"/>
      <w:numFmt w:val="bullet"/>
      <w:lvlText w:val=""/>
      <w:lvlJc w:val="left"/>
      <w:pPr>
        <w:ind w:left="720" w:hanging="360"/>
      </w:pPr>
      <w:rPr>
        <w:rFonts w:ascii="Symbol" w:hAnsi="Symbol" w:hint="default"/>
        <w:color w:val="44546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26759F"/>
    <w:multiLevelType w:val="hybridMultilevel"/>
    <w:tmpl w:val="534CF7DA"/>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9" w15:restartNumberingAfterBreak="0">
    <w:nsid w:val="37A0372A"/>
    <w:multiLevelType w:val="multilevel"/>
    <w:tmpl w:val="D9926594"/>
    <w:lvl w:ilvl="0">
      <w:start w:val="1"/>
      <w:numFmt w:val="decimal"/>
      <w:lvlText w:val="%1."/>
      <w:lvlJc w:val="left"/>
      <w:pPr>
        <w:ind w:left="360" w:hanging="360"/>
      </w:pPr>
      <w:rPr>
        <w:rFonts w:cs="Times New Roman"/>
        <w:i w:val="0"/>
      </w:rPr>
    </w:lvl>
    <w:lvl w:ilvl="1">
      <w:start w:val="1"/>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10" w15:restartNumberingAfterBreak="0">
    <w:nsid w:val="3E200771"/>
    <w:multiLevelType w:val="hybridMultilevel"/>
    <w:tmpl w:val="D97261F6"/>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1" w15:restartNumberingAfterBreak="0">
    <w:nsid w:val="48605515"/>
    <w:multiLevelType w:val="hybridMultilevel"/>
    <w:tmpl w:val="97868F92"/>
    <w:lvl w:ilvl="0" w:tplc="FAB0E0B8">
      <w:start w:val="1"/>
      <w:numFmt w:val="bullet"/>
      <w:lvlText w:val=""/>
      <w:lvlJc w:val="left"/>
      <w:pPr>
        <w:ind w:left="720" w:hanging="360"/>
      </w:pPr>
      <w:rPr>
        <w:rFonts w:ascii="Symbol" w:hAnsi="Symbol" w:hint="default"/>
        <w:color w:val="44546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7C66B8"/>
    <w:multiLevelType w:val="hybridMultilevel"/>
    <w:tmpl w:val="3514A814"/>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3" w15:restartNumberingAfterBreak="0">
    <w:nsid w:val="5E564857"/>
    <w:multiLevelType w:val="hybridMultilevel"/>
    <w:tmpl w:val="C5DABF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9A23F83"/>
    <w:multiLevelType w:val="hybridMultilevel"/>
    <w:tmpl w:val="15FE1772"/>
    <w:lvl w:ilvl="0" w:tplc="F8EAD8B2">
      <w:start w:val="1"/>
      <w:numFmt w:val="decimal"/>
      <w:lvlText w:val="%1."/>
      <w:lvlJc w:val="left"/>
      <w:pPr>
        <w:ind w:left="360" w:hanging="360"/>
      </w:pPr>
      <w:rPr>
        <w:rFonts w:cs="Times New Roman"/>
        <w:sz w:val="22"/>
        <w:szCs w:val="22"/>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5" w15:restartNumberingAfterBreak="0">
    <w:nsid w:val="6AAF7842"/>
    <w:multiLevelType w:val="hybridMultilevel"/>
    <w:tmpl w:val="C1323E34"/>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6" w15:restartNumberingAfterBreak="0">
    <w:nsid w:val="719832AF"/>
    <w:multiLevelType w:val="hybridMultilevel"/>
    <w:tmpl w:val="2A568B0A"/>
    <w:lvl w:ilvl="0" w:tplc="04090001">
      <w:start w:val="1"/>
      <w:numFmt w:val="bullet"/>
      <w:lvlText w:val=""/>
      <w:lvlJc w:val="left"/>
      <w:pPr>
        <w:ind w:left="1080" w:hanging="360"/>
      </w:pPr>
      <w:rPr>
        <w:rFonts w:ascii="Symbol" w:hAnsi="Symbol" w:hint="default"/>
      </w:rPr>
    </w:lvl>
    <w:lvl w:ilvl="1" w:tplc="04070019">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17" w15:restartNumberingAfterBreak="0">
    <w:nsid w:val="7B36076D"/>
    <w:multiLevelType w:val="hybridMultilevel"/>
    <w:tmpl w:val="3AA2A316"/>
    <w:lvl w:ilvl="0" w:tplc="7C3A19F6">
      <w:start w:val="1"/>
      <w:numFmt w:val="lowerLetter"/>
      <w:lvlText w:val="%1)"/>
      <w:lvlJc w:val="left"/>
      <w:pPr>
        <w:ind w:left="1440" w:hanging="720"/>
      </w:pPr>
      <w:rPr>
        <w:rFonts w:cs="Times New Roman"/>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4"/>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
  </w:num>
  <w:num w:numId="12">
    <w:abstractNumId w:val="11"/>
  </w:num>
  <w:num w:numId="13">
    <w:abstractNumId w:val="7"/>
  </w:num>
  <w:num w:numId="14">
    <w:abstractNumId w:val="1"/>
  </w:num>
  <w:num w:numId="15">
    <w:abstractNumId w:val="13"/>
  </w:num>
  <w:num w:numId="16">
    <w:abstractNumId w:val="16"/>
  </w:num>
  <w:num w:numId="17">
    <w:abstractNumId w:val="5"/>
  </w:num>
  <w:num w:numId="18">
    <w:abstractNumId w:val="4"/>
  </w:num>
  <w:num w:numId="1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15E07"/>
    <w:rsid w:val="000254DF"/>
    <w:rsid w:val="00031A88"/>
    <w:rsid w:val="0003449E"/>
    <w:rsid w:val="00036C53"/>
    <w:rsid w:val="0004609D"/>
    <w:rsid w:val="000518C2"/>
    <w:rsid w:val="00056DC1"/>
    <w:rsid w:val="00060156"/>
    <w:rsid w:val="0006289C"/>
    <w:rsid w:val="00070BBC"/>
    <w:rsid w:val="00072C44"/>
    <w:rsid w:val="00073C92"/>
    <w:rsid w:val="00080F03"/>
    <w:rsid w:val="00085CC7"/>
    <w:rsid w:val="000900E1"/>
    <w:rsid w:val="000905FF"/>
    <w:rsid w:val="0009076A"/>
    <w:rsid w:val="000A5570"/>
    <w:rsid w:val="000B05A6"/>
    <w:rsid w:val="000B3EED"/>
    <w:rsid w:val="000B6220"/>
    <w:rsid w:val="000C1A02"/>
    <w:rsid w:val="000C21B1"/>
    <w:rsid w:val="000C3C87"/>
    <w:rsid w:val="000C4A98"/>
    <w:rsid w:val="000C7460"/>
    <w:rsid w:val="000E01C1"/>
    <w:rsid w:val="000E09AD"/>
    <w:rsid w:val="000E5378"/>
    <w:rsid w:val="000F0694"/>
    <w:rsid w:val="000F0B93"/>
    <w:rsid w:val="000F0D2D"/>
    <w:rsid w:val="000F1156"/>
    <w:rsid w:val="000F52BA"/>
    <w:rsid w:val="000F5784"/>
    <w:rsid w:val="000F5EED"/>
    <w:rsid w:val="00103E55"/>
    <w:rsid w:val="00106461"/>
    <w:rsid w:val="001111A9"/>
    <w:rsid w:val="00113FE7"/>
    <w:rsid w:val="00114B15"/>
    <w:rsid w:val="001151A3"/>
    <w:rsid w:val="0011776E"/>
    <w:rsid w:val="00120956"/>
    <w:rsid w:val="001245DF"/>
    <w:rsid w:val="001308EC"/>
    <w:rsid w:val="00130BFD"/>
    <w:rsid w:val="00134864"/>
    <w:rsid w:val="001419C7"/>
    <w:rsid w:val="00150AC4"/>
    <w:rsid w:val="001610CA"/>
    <w:rsid w:val="00161BDC"/>
    <w:rsid w:val="00162D88"/>
    <w:rsid w:val="0016698F"/>
    <w:rsid w:val="00166ABA"/>
    <w:rsid w:val="00171F0C"/>
    <w:rsid w:val="001743FD"/>
    <w:rsid w:val="001764E6"/>
    <w:rsid w:val="001808F1"/>
    <w:rsid w:val="00187068"/>
    <w:rsid w:val="00187634"/>
    <w:rsid w:val="0018764B"/>
    <w:rsid w:val="00196F84"/>
    <w:rsid w:val="001A33B6"/>
    <w:rsid w:val="001B21E8"/>
    <w:rsid w:val="001B3512"/>
    <w:rsid w:val="001C069F"/>
    <w:rsid w:val="001C6038"/>
    <w:rsid w:val="001D0529"/>
    <w:rsid w:val="001D7C28"/>
    <w:rsid w:val="001F60A1"/>
    <w:rsid w:val="00200759"/>
    <w:rsid w:val="00200A67"/>
    <w:rsid w:val="00201F88"/>
    <w:rsid w:val="00202332"/>
    <w:rsid w:val="002038C6"/>
    <w:rsid w:val="00215A1A"/>
    <w:rsid w:val="002210F4"/>
    <w:rsid w:val="0022261A"/>
    <w:rsid w:val="00224DAD"/>
    <w:rsid w:val="00254721"/>
    <w:rsid w:val="002570E2"/>
    <w:rsid w:val="00257709"/>
    <w:rsid w:val="002600D2"/>
    <w:rsid w:val="00263159"/>
    <w:rsid w:val="0026465B"/>
    <w:rsid w:val="002779F7"/>
    <w:rsid w:val="002825DA"/>
    <w:rsid w:val="00283152"/>
    <w:rsid w:val="00287939"/>
    <w:rsid w:val="00291D46"/>
    <w:rsid w:val="00293E87"/>
    <w:rsid w:val="002A0A1C"/>
    <w:rsid w:val="002A380C"/>
    <w:rsid w:val="002A75B9"/>
    <w:rsid w:val="002B06A0"/>
    <w:rsid w:val="002B6B1A"/>
    <w:rsid w:val="002B7B52"/>
    <w:rsid w:val="002C187A"/>
    <w:rsid w:val="002C20F1"/>
    <w:rsid w:val="002C75CC"/>
    <w:rsid w:val="002D2863"/>
    <w:rsid w:val="002D5EC0"/>
    <w:rsid w:val="002E3DEA"/>
    <w:rsid w:val="002E6B2D"/>
    <w:rsid w:val="002E7CC2"/>
    <w:rsid w:val="002F4474"/>
    <w:rsid w:val="002F50FF"/>
    <w:rsid w:val="002F6A9E"/>
    <w:rsid w:val="002F6F9B"/>
    <w:rsid w:val="0031011F"/>
    <w:rsid w:val="003271D4"/>
    <w:rsid w:val="003331C6"/>
    <w:rsid w:val="003408E9"/>
    <w:rsid w:val="00345044"/>
    <w:rsid w:val="00351095"/>
    <w:rsid w:val="00353880"/>
    <w:rsid w:val="00354A9C"/>
    <w:rsid w:val="0036307C"/>
    <w:rsid w:val="00364973"/>
    <w:rsid w:val="00364C8C"/>
    <w:rsid w:val="00372347"/>
    <w:rsid w:val="00376331"/>
    <w:rsid w:val="003779D4"/>
    <w:rsid w:val="00382398"/>
    <w:rsid w:val="00385F22"/>
    <w:rsid w:val="003909E4"/>
    <w:rsid w:val="00392EBC"/>
    <w:rsid w:val="003A207B"/>
    <w:rsid w:val="003A3E30"/>
    <w:rsid w:val="003A70FE"/>
    <w:rsid w:val="003B0B60"/>
    <w:rsid w:val="003B0C35"/>
    <w:rsid w:val="003B219E"/>
    <w:rsid w:val="003C0016"/>
    <w:rsid w:val="003C115D"/>
    <w:rsid w:val="003C773E"/>
    <w:rsid w:val="003D3404"/>
    <w:rsid w:val="003E0954"/>
    <w:rsid w:val="003E0FE0"/>
    <w:rsid w:val="003E21B3"/>
    <w:rsid w:val="003E75AF"/>
    <w:rsid w:val="003F13E3"/>
    <w:rsid w:val="003F1ED6"/>
    <w:rsid w:val="003F3DCD"/>
    <w:rsid w:val="003F5A47"/>
    <w:rsid w:val="00411CF3"/>
    <w:rsid w:val="00411E65"/>
    <w:rsid w:val="00412DE9"/>
    <w:rsid w:val="00416DB7"/>
    <w:rsid w:val="00420040"/>
    <w:rsid w:val="004228B7"/>
    <w:rsid w:val="00423388"/>
    <w:rsid w:val="00426D73"/>
    <w:rsid w:val="00427917"/>
    <w:rsid w:val="00447D75"/>
    <w:rsid w:val="004522F5"/>
    <w:rsid w:val="00454913"/>
    <w:rsid w:val="00457441"/>
    <w:rsid w:val="004579F6"/>
    <w:rsid w:val="004656D0"/>
    <w:rsid w:val="004659B1"/>
    <w:rsid w:val="00465B53"/>
    <w:rsid w:val="004706C9"/>
    <w:rsid w:val="004731CC"/>
    <w:rsid w:val="00473ABD"/>
    <w:rsid w:val="0048048D"/>
    <w:rsid w:val="00482DCA"/>
    <w:rsid w:val="00497E66"/>
    <w:rsid w:val="004B5D10"/>
    <w:rsid w:val="004B6CFD"/>
    <w:rsid w:val="004C204D"/>
    <w:rsid w:val="004C2726"/>
    <w:rsid w:val="004C2C84"/>
    <w:rsid w:val="004C5BB1"/>
    <w:rsid w:val="004C719A"/>
    <w:rsid w:val="004D0436"/>
    <w:rsid w:val="004D0936"/>
    <w:rsid w:val="004E4C34"/>
    <w:rsid w:val="004E7ED7"/>
    <w:rsid w:val="004F243D"/>
    <w:rsid w:val="004F3D8D"/>
    <w:rsid w:val="004F60F5"/>
    <w:rsid w:val="0050154D"/>
    <w:rsid w:val="00504C1C"/>
    <w:rsid w:val="005076F1"/>
    <w:rsid w:val="00512B91"/>
    <w:rsid w:val="005158EB"/>
    <w:rsid w:val="0052082F"/>
    <w:rsid w:val="00534D99"/>
    <w:rsid w:val="00542FCC"/>
    <w:rsid w:val="005467D3"/>
    <w:rsid w:val="005567CA"/>
    <w:rsid w:val="0055762E"/>
    <w:rsid w:val="00565445"/>
    <w:rsid w:val="00575334"/>
    <w:rsid w:val="00583768"/>
    <w:rsid w:val="00590B80"/>
    <w:rsid w:val="00593736"/>
    <w:rsid w:val="005A3019"/>
    <w:rsid w:val="005A3181"/>
    <w:rsid w:val="005A453E"/>
    <w:rsid w:val="005B0F06"/>
    <w:rsid w:val="005B5547"/>
    <w:rsid w:val="005B6141"/>
    <w:rsid w:val="005C3F15"/>
    <w:rsid w:val="005D0671"/>
    <w:rsid w:val="005D581B"/>
    <w:rsid w:val="005E4999"/>
    <w:rsid w:val="005F3989"/>
    <w:rsid w:val="005F4303"/>
    <w:rsid w:val="005F7B20"/>
    <w:rsid w:val="00601B52"/>
    <w:rsid w:val="0060280B"/>
    <w:rsid w:val="00604422"/>
    <w:rsid w:val="00620809"/>
    <w:rsid w:val="00623F5D"/>
    <w:rsid w:val="0064189B"/>
    <w:rsid w:val="00642B21"/>
    <w:rsid w:val="00647BE0"/>
    <w:rsid w:val="00651341"/>
    <w:rsid w:val="00652CF4"/>
    <w:rsid w:val="00653575"/>
    <w:rsid w:val="00653619"/>
    <w:rsid w:val="0066571C"/>
    <w:rsid w:val="00666C79"/>
    <w:rsid w:val="00666F8B"/>
    <w:rsid w:val="00667C8E"/>
    <w:rsid w:val="00670E5F"/>
    <w:rsid w:val="006815B2"/>
    <w:rsid w:val="006826E0"/>
    <w:rsid w:val="00682B31"/>
    <w:rsid w:val="006864E1"/>
    <w:rsid w:val="00691001"/>
    <w:rsid w:val="006975EB"/>
    <w:rsid w:val="006979C5"/>
    <w:rsid w:val="006A421D"/>
    <w:rsid w:val="006B1037"/>
    <w:rsid w:val="006C0915"/>
    <w:rsid w:val="006C542F"/>
    <w:rsid w:val="006D1D79"/>
    <w:rsid w:val="006E0B0E"/>
    <w:rsid w:val="006E11CE"/>
    <w:rsid w:val="006E56AD"/>
    <w:rsid w:val="006E5763"/>
    <w:rsid w:val="006F426A"/>
    <w:rsid w:val="0070445C"/>
    <w:rsid w:val="007044EF"/>
    <w:rsid w:val="00705F89"/>
    <w:rsid w:val="007101BB"/>
    <w:rsid w:val="00713308"/>
    <w:rsid w:val="00715B47"/>
    <w:rsid w:val="007164DF"/>
    <w:rsid w:val="00725A91"/>
    <w:rsid w:val="00727E01"/>
    <w:rsid w:val="007302BA"/>
    <w:rsid w:val="00732DAE"/>
    <w:rsid w:val="007343FB"/>
    <w:rsid w:val="00742591"/>
    <w:rsid w:val="00745222"/>
    <w:rsid w:val="00747AAB"/>
    <w:rsid w:val="00752E19"/>
    <w:rsid w:val="00757614"/>
    <w:rsid w:val="007728B4"/>
    <w:rsid w:val="0077622E"/>
    <w:rsid w:val="00777FE4"/>
    <w:rsid w:val="00780D3D"/>
    <w:rsid w:val="0079075D"/>
    <w:rsid w:val="007907B8"/>
    <w:rsid w:val="007910DD"/>
    <w:rsid w:val="00794C7C"/>
    <w:rsid w:val="007954BD"/>
    <w:rsid w:val="007B026E"/>
    <w:rsid w:val="007C1468"/>
    <w:rsid w:val="007C41D7"/>
    <w:rsid w:val="007D4781"/>
    <w:rsid w:val="007F16FB"/>
    <w:rsid w:val="007F1BBA"/>
    <w:rsid w:val="00803BDE"/>
    <w:rsid w:val="0081600F"/>
    <w:rsid w:val="00823EC9"/>
    <w:rsid w:val="0082722D"/>
    <w:rsid w:val="008274F7"/>
    <w:rsid w:val="0083080E"/>
    <w:rsid w:val="00843843"/>
    <w:rsid w:val="008441F9"/>
    <w:rsid w:val="00846A99"/>
    <w:rsid w:val="008622D2"/>
    <w:rsid w:val="008641D1"/>
    <w:rsid w:val="00866821"/>
    <w:rsid w:val="00870FB9"/>
    <w:rsid w:val="00872F67"/>
    <w:rsid w:val="008735EB"/>
    <w:rsid w:val="008874D9"/>
    <w:rsid w:val="008879E9"/>
    <w:rsid w:val="00893346"/>
    <w:rsid w:val="00894D19"/>
    <w:rsid w:val="008A0D8D"/>
    <w:rsid w:val="008A11D6"/>
    <w:rsid w:val="008B1A69"/>
    <w:rsid w:val="008C1A39"/>
    <w:rsid w:val="008C4DC5"/>
    <w:rsid w:val="008C5A34"/>
    <w:rsid w:val="008C6F5E"/>
    <w:rsid w:val="008C7AB5"/>
    <w:rsid w:val="008D1B43"/>
    <w:rsid w:val="008E49B6"/>
    <w:rsid w:val="008E7DFB"/>
    <w:rsid w:val="008F07A3"/>
    <w:rsid w:val="008F165B"/>
    <w:rsid w:val="008F52A4"/>
    <w:rsid w:val="008F7327"/>
    <w:rsid w:val="0090059C"/>
    <w:rsid w:val="00904FCE"/>
    <w:rsid w:val="00905128"/>
    <w:rsid w:val="009076C8"/>
    <w:rsid w:val="00915BBE"/>
    <w:rsid w:val="00921D62"/>
    <w:rsid w:val="00922791"/>
    <w:rsid w:val="00927CD6"/>
    <w:rsid w:val="0093261E"/>
    <w:rsid w:val="00933572"/>
    <w:rsid w:val="009363C7"/>
    <w:rsid w:val="00936E38"/>
    <w:rsid w:val="0095504B"/>
    <w:rsid w:val="00972D36"/>
    <w:rsid w:val="00973BFB"/>
    <w:rsid w:val="00980406"/>
    <w:rsid w:val="0098250F"/>
    <w:rsid w:val="00984C1D"/>
    <w:rsid w:val="00994621"/>
    <w:rsid w:val="00996D85"/>
    <w:rsid w:val="009A005D"/>
    <w:rsid w:val="009A1FBB"/>
    <w:rsid w:val="009A2C8F"/>
    <w:rsid w:val="009A603B"/>
    <w:rsid w:val="009A7B65"/>
    <w:rsid w:val="009C40FD"/>
    <w:rsid w:val="009D2AD6"/>
    <w:rsid w:val="009D3A07"/>
    <w:rsid w:val="009D3EEA"/>
    <w:rsid w:val="009D4711"/>
    <w:rsid w:val="009D59AF"/>
    <w:rsid w:val="009D5DA6"/>
    <w:rsid w:val="009E3A84"/>
    <w:rsid w:val="009E72D7"/>
    <w:rsid w:val="009E7ACC"/>
    <w:rsid w:val="009F450E"/>
    <w:rsid w:val="009F54DA"/>
    <w:rsid w:val="00A05B01"/>
    <w:rsid w:val="00A06984"/>
    <w:rsid w:val="00A12338"/>
    <w:rsid w:val="00A1324E"/>
    <w:rsid w:val="00A23865"/>
    <w:rsid w:val="00A27BE3"/>
    <w:rsid w:val="00A339B9"/>
    <w:rsid w:val="00A36C77"/>
    <w:rsid w:val="00A40EDF"/>
    <w:rsid w:val="00A50DCB"/>
    <w:rsid w:val="00A53416"/>
    <w:rsid w:val="00A53652"/>
    <w:rsid w:val="00A55C8C"/>
    <w:rsid w:val="00A568DF"/>
    <w:rsid w:val="00A654B6"/>
    <w:rsid w:val="00A702A1"/>
    <w:rsid w:val="00A72541"/>
    <w:rsid w:val="00A73A79"/>
    <w:rsid w:val="00A75CB5"/>
    <w:rsid w:val="00A933CA"/>
    <w:rsid w:val="00A93C52"/>
    <w:rsid w:val="00AA488A"/>
    <w:rsid w:val="00AA7368"/>
    <w:rsid w:val="00AB4FF9"/>
    <w:rsid w:val="00AB563E"/>
    <w:rsid w:val="00AC5E29"/>
    <w:rsid w:val="00AD0289"/>
    <w:rsid w:val="00AD1D8E"/>
    <w:rsid w:val="00AD3CD8"/>
    <w:rsid w:val="00AD6F79"/>
    <w:rsid w:val="00AE4600"/>
    <w:rsid w:val="00AE7B21"/>
    <w:rsid w:val="00AF1980"/>
    <w:rsid w:val="00AF2021"/>
    <w:rsid w:val="00AF79FC"/>
    <w:rsid w:val="00B002BC"/>
    <w:rsid w:val="00B011DB"/>
    <w:rsid w:val="00B016F8"/>
    <w:rsid w:val="00B025B7"/>
    <w:rsid w:val="00B05A07"/>
    <w:rsid w:val="00B13830"/>
    <w:rsid w:val="00B2226C"/>
    <w:rsid w:val="00B30A04"/>
    <w:rsid w:val="00B347E0"/>
    <w:rsid w:val="00B471BD"/>
    <w:rsid w:val="00B50C2D"/>
    <w:rsid w:val="00B64904"/>
    <w:rsid w:val="00B70B4A"/>
    <w:rsid w:val="00B71654"/>
    <w:rsid w:val="00B749E5"/>
    <w:rsid w:val="00B8022A"/>
    <w:rsid w:val="00B97CF4"/>
    <w:rsid w:val="00BA60CE"/>
    <w:rsid w:val="00BB4BAC"/>
    <w:rsid w:val="00BB7AB8"/>
    <w:rsid w:val="00BC0BB6"/>
    <w:rsid w:val="00BC5607"/>
    <w:rsid w:val="00BD1EB8"/>
    <w:rsid w:val="00BE0D1D"/>
    <w:rsid w:val="00BE144C"/>
    <w:rsid w:val="00BE2448"/>
    <w:rsid w:val="00BE24D4"/>
    <w:rsid w:val="00BE2918"/>
    <w:rsid w:val="00BF2BE7"/>
    <w:rsid w:val="00BF4512"/>
    <w:rsid w:val="00C05102"/>
    <w:rsid w:val="00C06ABC"/>
    <w:rsid w:val="00C07142"/>
    <w:rsid w:val="00C07B32"/>
    <w:rsid w:val="00C1353E"/>
    <w:rsid w:val="00C13FA6"/>
    <w:rsid w:val="00C169ED"/>
    <w:rsid w:val="00C26E6B"/>
    <w:rsid w:val="00C276A7"/>
    <w:rsid w:val="00C412ED"/>
    <w:rsid w:val="00C434C6"/>
    <w:rsid w:val="00C44645"/>
    <w:rsid w:val="00C44D89"/>
    <w:rsid w:val="00C45F84"/>
    <w:rsid w:val="00C5440A"/>
    <w:rsid w:val="00C5484D"/>
    <w:rsid w:val="00C618F2"/>
    <w:rsid w:val="00C667BA"/>
    <w:rsid w:val="00C73207"/>
    <w:rsid w:val="00C75731"/>
    <w:rsid w:val="00C7602A"/>
    <w:rsid w:val="00C776F1"/>
    <w:rsid w:val="00C80124"/>
    <w:rsid w:val="00C82160"/>
    <w:rsid w:val="00C82ED9"/>
    <w:rsid w:val="00C8332A"/>
    <w:rsid w:val="00C858E8"/>
    <w:rsid w:val="00C87D68"/>
    <w:rsid w:val="00C9281B"/>
    <w:rsid w:val="00CA367A"/>
    <w:rsid w:val="00CA7AC3"/>
    <w:rsid w:val="00CA7BC6"/>
    <w:rsid w:val="00CB1D26"/>
    <w:rsid w:val="00CB321E"/>
    <w:rsid w:val="00CC3515"/>
    <w:rsid w:val="00CC3A63"/>
    <w:rsid w:val="00CC4C21"/>
    <w:rsid w:val="00CC57AD"/>
    <w:rsid w:val="00CC5FCF"/>
    <w:rsid w:val="00CD0FE9"/>
    <w:rsid w:val="00CD6CE4"/>
    <w:rsid w:val="00CD7355"/>
    <w:rsid w:val="00CE5B83"/>
    <w:rsid w:val="00CF4870"/>
    <w:rsid w:val="00CF6EDD"/>
    <w:rsid w:val="00D03D59"/>
    <w:rsid w:val="00D05922"/>
    <w:rsid w:val="00D107A3"/>
    <w:rsid w:val="00D14233"/>
    <w:rsid w:val="00D147EA"/>
    <w:rsid w:val="00D21383"/>
    <w:rsid w:val="00D32450"/>
    <w:rsid w:val="00D3271A"/>
    <w:rsid w:val="00D4164A"/>
    <w:rsid w:val="00D42AE1"/>
    <w:rsid w:val="00D46C91"/>
    <w:rsid w:val="00D47D91"/>
    <w:rsid w:val="00D503EA"/>
    <w:rsid w:val="00D51DF6"/>
    <w:rsid w:val="00D53DE9"/>
    <w:rsid w:val="00D605A4"/>
    <w:rsid w:val="00D61B13"/>
    <w:rsid w:val="00D624EC"/>
    <w:rsid w:val="00D7746A"/>
    <w:rsid w:val="00D77638"/>
    <w:rsid w:val="00D838FE"/>
    <w:rsid w:val="00D8406F"/>
    <w:rsid w:val="00D859C7"/>
    <w:rsid w:val="00D876AC"/>
    <w:rsid w:val="00D87EDB"/>
    <w:rsid w:val="00D9021F"/>
    <w:rsid w:val="00D96650"/>
    <w:rsid w:val="00DA1080"/>
    <w:rsid w:val="00DA12C2"/>
    <w:rsid w:val="00DB30A6"/>
    <w:rsid w:val="00DB4337"/>
    <w:rsid w:val="00DB60A7"/>
    <w:rsid w:val="00DD2310"/>
    <w:rsid w:val="00DD5541"/>
    <w:rsid w:val="00DD6A9E"/>
    <w:rsid w:val="00E0080C"/>
    <w:rsid w:val="00E0114B"/>
    <w:rsid w:val="00E12853"/>
    <w:rsid w:val="00E21C3D"/>
    <w:rsid w:val="00E23367"/>
    <w:rsid w:val="00E31B92"/>
    <w:rsid w:val="00E43D6E"/>
    <w:rsid w:val="00E467C6"/>
    <w:rsid w:val="00E475D4"/>
    <w:rsid w:val="00E50FB9"/>
    <w:rsid w:val="00E56175"/>
    <w:rsid w:val="00E60399"/>
    <w:rsid w:val="00E6515B"/>
    <w:rsid w:val="00E672F8"/>
    <w:rsid w:val="00E7026A"/>
    <w:rsid w:val="00E72283"/>
    <w:rsid w:val="00E74D1C"/>
    <w:rsid w:val="00E8776E"/>
    <w:rsid w:val="00E918B5"/>
    <w:rsid w:val="00E9237A"/>
    <w:rsid w:val="00EA0B88"/>
    <w:rsid w:val="00EA36BD"/>
    <w:rsid w:val="00EA7651"/>
    <w:rsid w:val="00EB0B55"/>
    <w:rsid w:val="00EB2285"/>
    <w:rsid w:val="00EB2C01"/>
    <w:rsid w:val="00EB6283"/>
    <w:rsid w:val="00EC3BB5"/>
    <w:rsid w:val="00EC4294"/>
    <w:rsid w:val="00EC681E"/>
    <w:rsid w:val="00EC6CD8"/>
    <w:rsid w:val="00EC6FC3"/>
    <w:rsid w:val="00ED02D3"/>
    <w:rsid w:val="00ED477B"/>
    <w:rsid w:val="00ED5E31"/>
    <w:rsid w:val="00ED7FF0"/>
    <w:rsid w:val="00EE4815"/>
    <w:rsid w:val="00EE64C1"/>
    <w:rsid w:val="00F05AA0"/>
    <w:rsid w:val="00F061CB"/>
    <w:rsid w:val="00F11793"/>
    <w:rsid w:val="00F24050"/>
    <w:rsid w:val="00F248AA"/>
    <w:rsid w:val="00F306C5"/>
    <w:rsid w:val="00F31539"/>
    <w:rsid w:val="00F42178"/>
    <w:rsid w:val="00F43CAF"/>
    <w:rsid w:val="00F444EC"/>
    <w:rsid w:val="00F4530F"/>
    <w:rsid w:val="00F45FE3"/>
    <w:rsid w:val="00F54D03"/>
    <w:rsid w:val="00F62146"/>
    <w:rsid w:val="00F6347A"/>
    <w:rsid w:val="00F6660A"/>
    <w:rsid w:val="00F7503A"/>
    <w:rsid w:val="00F76B75"/>
    <w:rsid w:val="00F81FEF"/>
    <w:rsid w:val="00F978B9"/>
    <w:rsid w:val="00FA4C8C"/>
    <w:rsid w:val="00FA61AF"/>
    <w:rsid w:val="00FB2C17"/>
    <w:rsid w:val="00FB5474"/>
    <w:rsid w:val="00FC0371"/>
    <w:rsid w:val="00FC7633"/>
    <w:rsid w:val="00FD3A06"/>
    <w:rsid w:val="00FD7D14"/>
    <w:rsid w:val="00FE0805"/>
    <w:rsid w:val="00FE6F1E"/>
    <w:rsid w:val="00FE79B8"/>
    <w:rsid w:val="00FF0E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CE8F309D-13D1-49D4-8BAB-200DD9A08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it-IT" w:eastAsia="it-IT"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79F7"/>
    <w:pPr>
      <w:widowControl w:val="0"/>
      <w:autoSpaceDE w:val="0"/>
      <w:autoSpaceDN w:val="0"/>
      <w:adjustRightInd w:val="0"/>
    </w:pPr>
    <w:rPr>
      <w:sz w:val="18"/>
      <w:szCs w:val="24"/>
      <w:lang w:val="es-ES" w:eastAsia="es-ES"/>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rPr>
  </w:style>
  <w:style w:type="paragraph" w:styleId="Heading4">
    <w:name w:val="heading 4"/>
    <w:basedOn w:val="Normal"/>
    <w:next w:val="Normal"/>
    <w:link w:val="Heading4Char"/>
    <w:uiPriority w:val="99"/>
    <w:qFormat/>
    <w:rsid w:val="002779F7"/>
    <w:pPr>
      <w:keepNext/>
      <w:outlineLvl w:val="3"/>
    </w:pPr>
    <w:rPr>
      <w:b/>
      <w:bCs/>
      <w:szCs w:val="20"/>
    </w:rPr>
  </w:style>
  <w:style w:type="paragraph" w:styleId="Heading5">
    <w:name w:val="heading 5"/>
    <w:basedOn w:val="Normal"/>
    <w:next w:val="Normal"/>
    <w:link w:val="Heading5Char"/>
    <w:uiPriority w:val="99"/>
    <w:qFormat/>
    <w:rsid w:val="002779F7"/>
    <w:pPr>
      <w:keepNext/>
      <w:jc w:val="both"/>
      <w:outlineLvl w:val="4"/>
    </w:pPr>
    <w:rPr>
      <w:b/>
      <w:i/>
      <w:iCs/>
      <w:sz w:val="22"/>
      <w:u w:val="single"/>
    </w:rPr>
  </w:style>
  <w:style w:type="paragraph" w:styleId="Heading6">
    <w:name w:val="heading 6"/>
    <w:basedOn w:val="Normal"/>
    <w:next w:val="Normal"/>
    <w:link w:val="Heading6Char"/>
    <w:uiPriority w:val="99"/>
    <w:qFormat/>
    <w:rsid w:val="002779F7"/>
    <w:pPr>
      <w:keepNext/>
      <w:outlineLvl w:val="5"/>
    </w:pPr>
    <w:rPr>
      <w:i/>
      <w:iCs/>
      <w:sz w:val="23"/>
      <w:szCs w:val="23"/>
    </w:rPr>
  </w:style>
  <w:style w:type="paragraph" w:styleId="Heading7">
    <w:name w:val="heading 7"/>
    <w:basedOn w:val="Normal"/>
    <w:next w:val="Normal"/>
    <w:link w:val="Heading7Char"/>
    <w:uiPriority w:val="99"/>
    <w:qFormat/>
    <w:rsid w:val="002779F7"/>
    <w:pPr>
      <w:keepNext/>
      <w:jc w:val="center"/>
      <w:outlineLvl w:val="6"/>
    </w:pPr>
    <w:rPr>
      <w:b/>
      <w:bCs/>
      <w:sz w:val="26"/>
      <w:szCs w:val="26"/>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cs="Arial"/>
      <w:sz w:val="24"/>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cs="Arial"/>
      <w:b/>
      <w:bCs/>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b/>
      <w:kern w:val="32"/>
      <w:sz w:val="32"/>
      <w:lang w:val="es-ES" w:eastAsia="es-ES"/>
    </w:rPr>
  </w:style>
  <w:style w:type="character" w:customStyle="1" w:styleId="Heading2Char">
    <w:name w:val="Heading 2 Char"/>
    <w:basedOn w:val="DefaultParagraphFont"/>
    <w:link w:val="Heading2"/>
    <w:uiPriority w:val="99"/>
    <w:semiHidden/>
    <w:locked/>
    <w:rPr>
      <w:rFonts w:ascii="Cambria" w:hAnsi="Cambria"/>
      <w:b/>
      <w:i/>
      <w:sz w:val="28"/>
      <w:lang w:val="es-ES" w:eastAsia="es-ES"/>
    </w:rPr>
  </w:style>
  <w:style w:type="character" w:customStyle="1" w:styleId="Heading3Char">
    <w:name w:val="Heading 3 Char"/>
    <w:basedOn w:val="DefaultParagraphFont"/>
    <w:link w:val="Heading3"/>
    <w:uiPriority w:val="99"/>
    <w:semiHidden/>
    <w:locked/>
    <w:rPr>
      <w:rFonts w:ascii="Cambria" w:hAnsi="Cambria"/>
      <w:b/>
      <w:sz w:val="26"/>
      <w:lang w:val="es-ES" w:eastAsia="es-ES"/>
    </w:rPr>
  </w:style>
  <w:style w:type="character" w:customStyle="1" w:styleId="Heading4Char">
    <w:name w:val="Heading 4 Char"/>
    <w:basedOn w:val="DefaultParagraphFont"/>
    <w:link w:val="Heading4"/>
    <w:uiPriority w:val="99"/>
    <w:semiHidden/>
    <w:locked/>
    <w:rPr>
      <w:rFonts w:ascii="Calibri" w:hAnsi="Calibri"/>
      <w:b/>
      <w:sz w:val="28"/>
      <w:lang w:val="es-ES" w:eastAsia="es-ES"/>
    </w:rPr>
  </w:style>
  <w:style w:type="character" w:customStyle="1" w:styleId="Heading5Char">
    <w:name w:val="Heading 5 Char"/>
    <w:basedOn w:val="DefaultParagraphFont"/>
    <w:link w:val="Heading5"/>
    <w:uiPriority w:val="99"/>
    <w:semiHidden/>
    <w:locked/>
    <w:rPr>
      <w:rFonts w:ascii="Calibri" w:hAnsi="Calibri"/>
      <w:b/>
      <w:i/>
      <w:sz w:val="26"/>
      <w:lang w:val="es-ES" w:eastAsia="es-ES"/>
    </w:rPr>
  </w:style>
  <w:style w:type="character" w:customStyle="1" w:styleId="Heading6Char">
    <w:name w:val="Heading 6 Char"/>
    <w:basedOn w:val="DefaultParagraphFont"/>
    <w:link w:val="Heading6"/>
    <w:uiPriority w:val="99"/>
    <w:semiHidden/>
    <w:locked/>
    <w:rPr>
      <w:rFonts w:ascii="Calibri" w:hAnsi="Calibri"/>
      <w:b/>
      <w:lang w:val="es-ES" w:eastAsia="es-ES"/>
    </w:rPr>
  </w:style>
  <w:style w:type="character" w:customStyle="1" w:styleId="Heading7Char">
    <w:name w:val="Heading 7 Char"/>
    <w:basedOn w:val="DefaultParagraphFont"/>
    <w:link w:val="Heading7"/>
    <w:uiPriority w:val="99"/>
    <w:semiHidden/>
    <w:locked/>
    <w:rPr>
      <w:rFonts w:ascii="Calibri" w:hAnsi="Calibri"/>
      <w:sz w:val="24"/>
      <w:lang w:val="es-ES" w:eastAsia="es-ES"/>
    </w:rPr>
  </w:style>
  <w:style w:type="character" w:customStyle="1" w:styleId="Heading8Char">
    <w:name w:val="Heading 8 Char"/>
    <w:basedOn w:val="DefaultParagraphFont"/>
    <w:link w:val="Heading8"/>
    <w:uiPriority w:val="99"/>
    <w:semiHidden/>
    <w:locked/>
    <w:rPr>
      <w:rFonts w:ascii="Calibri" w:hAnsi="Calibri"/>
      <w:i/>
      <w:sz w:val="24"/>
      <w:lang w:val="es-ES" w:eastAsia="es-ES"/>
    </w:rPr>
  </w:style>
  <w:style w:type="character" w:customStyle="1" w:styleId="Heading9Char">
    <w:name w:val="Heading 9 Char"/>
    <w:basedOn w:val="DefaultParagraphFont"/>
    <w:link w:val="Heading9"/>
    <w:uiPriority w:val="99"/>
    <w:semiHidden/>
    <w:locked/>
    <w:rPr>
      <w:rFonts w:ascii="Cambria" w:hAnsi="Cambria"/>
      <w:lang w:val="es-ES" w:eastAsia="es-ES"/>
    </w:rPr>
  </w:style>
  <w:style w:type="character" w:styleId="FootnoteReference">
    <w:name w:val="footnote reference"/>
    <w:basedOn w:val="DefaultParagraphFont"/>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s-ES" w:eastAsia="es-ES"/>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sz w:val="18"/>
      <w:szCs w:val="24"/>
      <w:lang w:val="es-ES" w:eastAsia="es-ES"/>
    </w:rPr>
  </w:style>
  <w:style w:type="paragraph" w:customStyle="1" w:styleId="footnotetex">
    <w:name w:val="footnote tex"/>
    <w:uiPriority w:val="99"/>
    <w:rsid w:val="002779F7"/>
    <w:pPr>
      <w:widowControl w:val="0"/>
      <w:autoSpaceDE w:val="0"/>
      <w:autoSpaceDN w:val="0"/>
      <w:adjustRightInd w:val="0"/>
      <w:jc w:val="both"/>
    </w:pPr>
    <w:rPr>
      <w:sz w:val="18"/>
      <w:szCs w:val="24"/>
      <w:lang w:val="es-ES" w:eastAsia="es-ES"/>
    </w:rPr>
  </w:style>
  <w:style w:type="character" w:styleId="PageNumber">
    <w:name w:val="page number"/>
    <w:basedOn w:val="DefaultParagraphFont"/>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rPr>
  </w:style>
  <w:style w:type="character" w:customStyle="1" w:styleId="HeaderChar">
    <w:name w:val="Header Char"/>
    <w:basedOn w:val="DefaultParagraphFont"/>
    <w:link w:val="Header"/>
    <w:uiPriority w:val="99"/>
    <w:locked/>
    <w:rsid w:val="003B0C35"/>
    <w:rPr>
      <w:lang w:val="es-ES" w:eastAsia="es-E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basedOn w:val="DefaultParagraphFont"/>
    <w:link w:val="Footer"/>
    <w:uiPriority w:val="99"/>
    <w:locked/>
    <w:rPr>
      <w:sz w:val="24"/>
      <w:lang w:val="es-ES" w:eastAsia="es-ES"/>
    </w:rPr>
  </w:style>
  <w:style w:type="paragraph" w:styleId="BodyTextIndent">
    <w:name w:val="Body Text Indent"/>
    <w:basedOn w:val="Normal"/>
    <w:link w:val="BodyTextIndentChar"/>
    <w:uiPriority w:val="99"/>
    <w:rsid w:val="002779F7"/>
    <w:pPr>
      <w:ind w:left="720" w:hanging="720"/>
      <w:jc w:val="both"/>
    </w:pPr>
    <w:rPr>
      <w:sz w:val="22"/>
    </w:rPr>
  </w:style>
  <w:style w:type="character" w:customStyle="1" w:styleId="BodyTextIndentChar">
    <w:name w:val="Body Text Indent Char"/>
    <w:basedOn w:val="DefaultParagraphFont"/>
    <w:link w:val="BodyTextIndent"/>
    <w:uiPriority w:val="99"/>
    <w:semiHidden/>
    <w:locked/>
    <w:rPr>
      <w:sz w:val="24"/>
      <w:lang w:val="es-ES" w:eastAsia="es-ES"/>
    </w:rPr>
  </w:style>
  <w:style w:type="paragraph" w:styleId="BodyText">
    <w:name w:val="Body Text"/>
    <w:basedOn w:val="Normal"/>
    <w:link w:val="BodyTextChar"/>
    <w:uiPriority w:val="99"/>
    <w:rsid w:val="002779F7"/>
    <w:pPr>
      <w:jc w:val="both"/>
    </w:pPr>
    <w:rPr>
      <w:sz w:val="22"/>
    </w:rPr>
  </w:style>
  <w:style w:type="character" w:customStyle="1" w:styleId="BodyTextChar">
    <w:name w:val="Body Text Char"/>
    <w:basedOn w:val="DefaultParagraphFont"/>
    <w:link w:val="BodyText"/>
    <w:uiPriority w:val="99"/>
    <w:semiHidden/>
    <w:locked/>
    <w:rPr>
      <w:sz w:val="24"/>
      <w:lang w:val="es-ES" w:eastAsia="es-ES"/>
    </w:rPr>
  </w:style>
  <w:style w:type="character" w:styleId="Hyperlink">
    <w:name w:val="Hyperlink"/>
    <w:basedOn w:val="DefaultParagraphFont"/>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basedOn w:val="DefaultParagraphFont"/>
    <w:link w:val="FootnoteText"/>
    <w:uiPriority w:val="99"/>
    <w:semiHidden/>
    <w:locked/>
    <w:rPr>
      <w:sz w:val="20"/>
      <w:lang w:val="es-ES" w:eastAsia="es-ES"/>
    </w:rPr>
  </w:style>
  <w:style w:type="paragraph" w:styleId="BodyText2">
    <w:name w:val="Body Text 2"/>
    <w:basedOn w:val="Normal"/>
    <w:link w:val="BodyText2Char"/>
    <w:uiPriority w:val="99"/>
    <w:rsid w:val="002779F7"/>
    <w:rPr>
      <w:sz w:val="22"/>
    </w:rPr>
  </w:style>
  <w:style w:type="character" w:customStyle="1" w:styleId="BodyText2Char">
    <w:name w:val="Body Text 2 Char"/>
    <w:basedOn w:val="DefaultParagraphFont"/>
    <w:link w:val="BodyText2"/>
    <w:uiPriority w:val="99"/>
    <w:semiHidden/>
    <w:locked/>
    <w:rPr>
      <w:sz w:val="24"/>
      <w:lang w:val="es-ES" w:eastAsia="es-E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lang w:val="es-ES" w:eastAsia="es-E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rPr>
  </w:style>
  <w:style w:type="character" w:customStyle="1" w:styleId="BodyText3Char">
    <w:name w:val="Body Text 3 Char"/>
    <w:basedOn w:val="DefaultParagraphFont"/>
    <w:link w:val="BodyText3"/>
    <w:uiPriority w:val="99"/>
    <w:semiHidden/>
    <w:locked/>
    <w:rPr>
      <w:sz w:val="16"/>
      <w:lang w:val="es-ES" w:eastAsia="es-E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basedOn w:val="DefaultParagraphFont"/>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cs="Arial"/>
      <w:b/>
      <w:bCs/>
      <w:sz w:val="32"/>
      <w:szCs w:val="22"/>
    </w:rPr>
  </w:style>
  <w:style w:type="character" w:customStyle="1" w:styleId="TitleChar">
    <w:name w:val="Title Char"/>
    <w:basedOn w:val="DefaultParagraphFont"/>
    <w:link w:val="Title"/>
    <w:uiPriority w:val="99"/>
    <w:locked/>
    <w:rPr>
      <w:rFonts w:ascii="Cambria" w:hAnsi="Cambria"/>
      <w:b/>
      <w:kern w:val="28"/>
      <w:sz w:val="32"/>
      <w:lang w:val="es-ES" w:eastAsia="es-ES"/>
    </w:rPr>
  </w:style>
  <w:style w:type="paragraph" w:customStyle="1" w:styleId="ColorfulList-Accent11">
    <w:name w:val="Colorful List - Accent 11"/>
    <w:basedOn w:val="Normal"/>
    <w:uiPriority w:val="99"/>
    <w:rsid w:val="001419C7"/>
    <w:pPr>
      <w:widowControl/>
      <w:autoSpaceDE/>
      <w:autoSpaceDN/>
      <w:adjustRightInd/>
      <w:ind w:left="720"/>
    </w:pPr>
    <w:rPr>
      <w:sz w:val="24"/>
    </w:rPr>
  </w:style>
  <w:style w:type="character" w:styleId="CommentReference">
    <w:name w:val="annotation reference"/>
    <w:basedOn w:val="DefaultParagraphFont"/>
    <w:uiPriority w:val="99"/>
    <w:semiHidden/>
    <w:rsid w:val="00DA1080"/>
    <w:rPr>
      <w:rFonts w:cs="Times New Roman"/>
      <w:sz w:val="18"/>
    </w:rPr>
  </w:style>
  <w:style w:type="paragraph" w:styleId="CommentText">
    <w:name w:val="annotation text"/>
    <w:basedOn w:val="Normal"/>
    <w:link w:val="CommentTextChar"/>
    <w:uiPriority w:val="99"/>
    <w:rsid w:val="00DA1080"/>
    <w:rPr>
      <w:sz w:val="24"/>
    </w:rPr>
  </w:style>
  <w:style w:type="character" w:customStyle="1" w:styleId="CommentTextChar">
    <w:name w:val="Comment Text Char"/>
    <w:basedOn w:val="DefaultParagraphFont"/>
    <w:link w:val="CommentText"/>
    <w:uiPriority w:val="99"/>
    <w:locked/>
    <w:rsid w:val="00DA1080"/>
    <w:rPr>
      <w:sz w:val="24"/>
      <w:lang w:val="es-ES" w:eastAsia="es-E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basedOn w:val="CommentTextChar"/>
    <w:link w:val="CommentSubject"/>
    <w:uiPriority w:val="99"/>
    <w:semiHidden/>
    <w:locked/>
    <w:rsid w:val="00DA1080"/>
    <w:rPr>
      <w:b/>
      <w:sz w:val="24"/>
      <w:lang w:val="es-ES" w:eastAsia="es-ES"/>
    </w:rPr>
  </w:style>
  <w:style w:type="paragraph" w:styleId="ListParagraph">
    <w:name w:val="List Paragraph"/>
    <w:basedOn w:val="Normal"/>
    <w:uiPriority w:val="99"/>
    <w:qFormat/>
    <w:rsid w:val="00F81FEF"/>
    <w:pPr>
      <w:ind w:left="720"/>
      <w:contextualSpacing/>
    </w:pPr>
  </w:style>
  <w:style w:type="character" w:styleId="Emphasis">
    <w:name w:val="Emphasis"/>
    <w:basedOn w:val="DefaultParagraphFont"/>
    <w:uiPriority w:val="99"/>
    <w:qFormat/>
    <w:rsid w:val="00F81FEF"/>
    <w:rPr>
      <w:rFonts w:cs="Times New Roman"/>
      <w:i/>
    </w:rPr>
  </w:style>
  <w:style w:type="paragraph" w:customStyle="1" w:styleId="Default">
    <w:name w:val="Default"/>
    <w:basedOn w:val="Normal"/>
    <w:uiPriority w:val="99"/>
    <w:rsid w:val="00CC57AD"/>
    <w:pPr>
      <w:widowControl/>
      <w:adjustRightInd/>
    </w:pPr>
    <w:rPr>
      <w:color w:val="000000"/>
      <w:sz w:val="24"/>
    </w:rPr>
  </w:style>
  <w:style w:type="table" w:styleId="TableGrid">
    <w:name w:val="Table Grid"/>
    <w:basedOn w:val="TableNormal"/>
    <w:uiPriority w:val="99"/>
    <w:locked/>
    <w:rsid w:val="00CC5FCF"/>
    <w:rPr>
      <w:rFonts w:ascii="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7566">
      <w:marLeft w:val="0"/>
      <w:marRight w:val="0"/>
      <w:marTop w:val="0"/>
      <w:marBottom w:val="0"/>
      <w:divBdr>
        <w:top w:val="none" w:sz="0" w:space="0" w:color="auto"/>
        <w:left w:val="none" w:sz="0" w:space="0" w:color="auto"/>
        <w:bottom w:val="none" w:sz="0" w:space="0" w:color="auto"/>
        <w:right w:val="none" w:sz="0" w:space="0" w:color="auto"/>
      </w:divBdr>
    </w:div>
    <w:div w:id="3897567">
      <w:marLeft w:val="0"/>
      <w:marRight w:val="0"/>
      <w:marTop w:val="0"/>
      <w:marBottom w:val="0"/>
      <w:divBdr>
        <w:top w:val="none" w:sz="0" w:space="0" w:color="auto"/>
        <w:left w:val="none" w:sz="0" w:space="0" w:color="auto"/>
        <w:bottom w:val="none" w:sz="0" w:space="0" w:color="auto"/>
        <w:right w:val="none" w:sz="0" w:space="0" w:color="auto"/>
      </w:divBdr>
    </w:div>
    <w:div w:id="3897568">
      <w:marLeft w:val="0"/>
      <w:marRight w:val="0"/>
      <w:marTop w:val="0"/>
      <w:marBottom w:val="0"/>
      <w:divBdr>
        <w:top w:val="none" w:sz="0" w:space="0" w:color="auto"/>
        <w:left w:val="none" w:sz="0" w:space="0" w:color="auto"/>
        <w:bottom w:val="none" w:sz="0" w:space="0" w:color="auto"/>
        <w:right w:val="none" w:sz="0" w:space="0" w:color="auto"/>
      </w:divBdr>
      <w:divsChild>
        <w:div w:id="3897569">
          <w:marLeft w:val="0"/>
          <w:marRight w:val="0"/>
          <w:marTop w:val="0"/>
          <w:marBottom w:val="0"/>
          <w:divBdr>
            <w:top w:val="none" w:sz="0" w:space="0" w:color="auto"/>
            <w:left w:val="none" w:sz="0" w:space="0" w:color="auto"/>
            <w:bottom w:val="none" w:sz="0" w:space="0" w:color="auto"/>
            <w:right w:val="none" w:sz="0" w:space="0" w:color="auto"/>
          </w:divBdr>
        </w:div>
        <w:div w:id="3897571">
          <w:marLeft w:val="0"/>
          <w:marRight w:val="0"/>
          <w:marTop w:val="0"/>
          <w:marBottom w:val="0"/>
          <w:divBdr>
            <w:top w:val="none" w:sz="0" w:space="0" w:color="auto"/>
            <w:left w:val="none" w:sz="0" w:space="0" w:color="auto"/>
            <w:bottom w:val="none" w:sz="0" w:space="0" w:color="auto"/>
            <w:right w:val="none" w:sz="0" w:space="0" w:color="auto"/>
          </w:divBdr>
        </w:div>
        <w:div w:id="3897572">
          <w:marLeft w:val="0"/>
          <w:marRight w:val="0"/>
          <w:marTop w:val="0"/>
          <w:marBottom w:val="0"/>
          <w:divBdr>
            <w:top w:val="none" w:sz="0" w:space="0" w:color="auto"/>
            <w:left w:val="none" w:sz="0" w:space="0" w:color="auto"/>
            <w:bottom w:val="none" w:sz="0" w:space="0" w:color="auto"/>
            <w:right w:val="none" w:sz="0" w:space="0" w:color="auto"/>
          </w:divBdr>
        </w:div>
        <w:div w:id="3897573">
          <w:marLeft w:val="0"/>
          <w:marRight w:val="0"/>
          <w:marTop w:val="0"/>
          <w:marBottom w:val="0"/>
          <w:divBdr>
            <w:top w:val="none" w:sz="0" w:space="0" w:color="auto"/>
            <w:left w:val="none" w:sz="0" w:space="0" w:color="auto"/>
            <w:bottom w:val="none" w:sz="0" w:space="0" w:color="auto"/>
            <w:right w:val="none" w:sz="0" w:space="0" w:color="auto"/>
          </w:divBdr>
        </w:div>
      </w:divsChild>
    </w:div>
    <w:div w:id="38975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toryspecies.org/en/champ" TargetMode="External"/><Relationship Id="rId13" Type="http://schemas.openxmlformats.org/officeDocument/2006/relationships/header" Target="header2.xml"/><Relationship Id="rId18" Type="http://schemas.openxmlformats.org/officeDocument/2006/relationships/hyperlink" Target="http://www.cms.int/en/taskforce/energy-task-force" TargetMode="External"/><Relationship Id="rId26" Type="http://schemas.openxmlformats.org/officeDocument/2006/relationships/hyperlink" Target="http://www.cms.int/es/node/12076" TargetMode="External"/><Relationship Id="rId3" Type="http://schemas.openxmlformats.org/officeDocument/2006/relationships/settings" Target="settings.xml"/><Relationship Id="rId21" Type="http://schemas.openxmlformats.org/officeDocument/2006/relationships/hyperlink" Target="http://www.cms.int/sites/default/files/uploads/meetings/energy-taskforce/Modus_Operandi_post-ETF1_Final.pdf" TargetMode="Externa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unepineurope.org/index.php?option=com_content&amp;view=article&amp;id=552:unea-2-green-energy-and-migratory-species-can-coexist&amp;catid=117&amp;Itemid=108" TargetMode="Externa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yperlink" Target="http://www.cms.int/sites/default/files/document/ETF1_Meeting_Report_Final.pdf" TargetMode="External"/><Relationship Id="rId29"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www.unep-aewa.org/en/news/making-energy-bird-friendly-highlights-aewa-mop6"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www.cms.int/sites/default/files/uploads/meetings/energy-taskforce/ETF1_CapeTownDeclaration.pdf" TargetMode="External"/><Relationship Id="rId28" Type="http://schemas.openxmlformats.org/officeDocument/2006/relationships/footer" Target="footer4.xml"/><Relationship Id="rId10" Type="http://schemas.openxmlformats.org/officeDocument/2006/relationships/hyperlink" Target="http://www.bmub.bund.de/" TargetMode="External"/><Relationship Id="rId19" Type="http://schemas.openxmlformats.org/officeDocument/2006/relationships/hyperlink" Target="http://www.cms.int/en/taskforce/energy-task-forc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hyperlink" Target="http://www.cms.int/manage/sites/default/files/document/ETF_Work-Plan-2017-2018.pdf" TargetMode="External"/><Relationship Id="rId27" Type="http://schemas.openxmlformats.org/officeDocument/2006/relationships/header" Target="header4.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COP11_Template_English_new</Template>
  <TotalTime>1</TotalTime>
  <Pages>6</Pages>
  <Words>2151</Words>
  <Characters>12294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17ª REUNIÓN DE LA</vt:lpstr>
    </vt:vector>
  </TitlesOfParts>
  <Company>United Nations Volunteers (UNV) programme</Company>
  <LinksUpToDate>false</LinksUpToDate>
  <CharactersWithSpaces>14417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17ª REUNIÓN DE LA</dc:title>
  <dc:subject/>
  <dc:creator>barbara.schoenberg@cms.int</dc:creator>
  <cp:keywords/>
  <dc:description/>
  <cp:lastModifiedBy>Ximena Cancino</cp:lastModifiedBy>
  <cp:revision>3</cp:revision>
  <cp:lastPrinted>2017-06-16T07:48:00Z</cp:lastPrinted>
  <dcterms:created xsi:type="dcterms:W3CDTF">2017-06-16T07:47:00Z</dcterms:created>
  <dcterms:modified xsi:type="dcterms:W3CDTF">2017-06-16T07:48:00Z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