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03B14" w14:textId="5D7E2026" w:rsidR="00F702CF" w:rsidRPr="00450650" w:rsidRDefault="00F702CF" w:rsidP="00F702CF">
      <w:pPr>
        <w:widowControl/>
        <w:jc w:val="right"/>
        <w:rPr>
          <w:sz w:val="24"/>
          <w:lang w:val="en-GB"/>
        </w:rPr>
      </w:pPr>
      <w:r w:rsidRPr="00450650">
        <w:rPr>
          <w:sz w:val="24"/>
          <w:lang w:val="en-GB"/>
        </w:rPr>
        <w:t>UNEP/CMS/COP11/CRP</w:t>
      </w:r>
      <w:r>
        <w:rPr>
          <w:sz w:val="24"/>
          <w:lang w:val="en-GB"/>
        </w:rPr>
        <w:t>18</w:t>
      </w:r>
    </w:p>
    <w:p w14:paraId="1FC8889E" w14:textId="1C0D9DD3" w:rsidR="008C3C29" w:rsidRPr="00F702CF" w:rsidRDefault="00CF0207" w:rsidP="004C390F">
      <w:pPr>
        <w:pBdr>
          <w:top w:val="single" w:sz="6" w:space="0" w:color="FFFFFF"/>
          <w:left w:val="single" w:sz="6" w:space="0" w:color="FFFFFF"/>
          <w:bottom w:val="single" w:sz="6" w:space="0" w:color="FFFFFF"/>
          <w:right w:val="single" w:sz="6" w:space="0" w:color="FFFFFF"/>
        </w:pBdr>
        <w:autoSpaceDE/>
        <w:autoSpaceDN/>
        <w:adjustRightInd/>
        <w:jc w:val="right"/>
        <w:outlineLvl w:val="1"/>
        <w:rPr>
          <w:rFonts w:eastAsia="ヒラギノ角ゴ Pro W3"/>
          <w:caps/>
          <w:color w:val="000000"/>
          <w:sz w:val="24"/>
          <w:lang w:val="en-GB"/>
        </w:rPr>
      </w:pPr>
      <w:r w:rsidRPr="00F702CF">
        <w:rPr>
          <w:rFonts w:eastAsia="ヒラギノ角ゴ Pro W3"/>
          <w:caps/>
          <w:color w:val="000000"/>
          <w:sz w:val="24"/>
          <w:lang w:val="en-GB"/>
        </w:rPr>
        <w:t>7 N</w:t>
      </w:r>
      <w:r w:rsidR="00F702CF" w:rsidRPr="00F702CF">
        <w:rPr>
          <w:rFonts w:eastAsia="ヒラギノ角ゴ Pro W3"/>
          <w:color w:val="000000"/>
          <w:sz w:val="24"/>
          <w:lang w:val="en-GB"/>
        </w:rPr>
        <w:t>ovember</w:t>
      </w:r>
      <w:r w:rsidRPr="00F702CF">
        <w:rPr>
          <w:rFonts w:eastAsia="ヒラギノ角ゴ Pro W3"/>
          <w:caps/>
          <w:color w:val="000000"/>
          <w:sz w:val="24"/>
          <w:lang w:val="en-GB"/>
        </w:rPr>
        <w:t xml:space="preserve"> 2014</w:t>
      </w:r>
    </w:p>
    <w:p w14:paraId="6B2DE39F" w14:textId="77777777" w:rsidR="00567EE1" w:rsidRDefault="00567EE1" w:rsidP="004C390F">
      <w:pPr>
        <w:pBdr>
          <w:top w:val="single" w:sz="6" w:space="0" w:color="FFFFFF"/>
          <w:left w:val="single" w:sz="6" w:space="0" w:color="FFFFFF"/>
          <w:bottom w:val="single" w:sz="6" w:space="0" w:color="FFFFFF"/>
          <w:right w:val="single" w:sz="6" w:space="0" w:color="FFFFFF"/>
        </w:pBdr>
        <w:autoSpaceDE/>
        <w:autoSpaceDN/>
        <w:adjustRightInd/>
        <w:jc w:val="right"/>
        <w:outlineLvl w:val="1"/>
        <w:rPr>
          <w:rFonts w:eastAsia="ヒラギノ角ゴ Pro W3"/>
          <w:b/>
          <w:caps/>
          <w:color w:val="000000"/>
          <w:sz w:val="24"/>
          <w:lang w:val="en-GB"/>
        </w:rPr>
      </w:pPr>
    </w:p>
    <w:p w14:paraId="6D80A7BA" w14:textId="77777777" w:rsidR="00F702CF" w:rsidRDefault="00F702CF" w:rsidP="004C390F">
      <w:pPr>
        <w:pBdr>
          <w:top w:val="single" w:sz="6" w:space="0" w:color="FFFFFF"/>
          <w:left w:val="single" w:sz="6" w:space="0" w:color="FFFFFF"/>
          <w:bottom w:val="single" w:sz="6" w:space="0" w:color="FFFFFF"/>
          <w:right w:val="single" w:sz="6" w:space="0" w:color="FFFFFF"/>
        </w:pBdr>
        <w:autoSpaceDE/>
        <w:autoSpaceDN/>
        <w:adjustRightInd/>
        <w:jc w:val="right"/>
        <w:outlineLvl w:val="1"/>
        <w:rPr>
          <w:rFonts w:eastAsia="ヒラギノ角ゴ Pro W3"/>
          <w:b/>
          <w:caps/>
          <w:color w:val="000000"/>
          <w:sz w:val="24"/>
          <w:lang w:val="en-GB"/>
        </w:rPr>
      </w:pPr>
    </w:p>
    <w:p w14:paraId="6B6ADB3B" w14:textId="77777777" w:rsidR="00F702CF" w:rsidRPr="008768F6" w:rsidRDefault="00F702CF" w:rsidP="00F702CF">
      <w:pPr>
        <w:widowControl/>
        <w:jc w:val="center"/>
        <w:rPr>
          <w:i/>
          <w:iCs/>
          <w:sz w:val="24"/>
        </w:rPr>
      </w:pPr>
      <w:r w:rsidRPr="008768F6">
        <w:rPr>
          <w:i/>
          <w:iCs/>
          <w:sz w:val="24"/>
        </w:rPr>
        <w:t>Amendments proposed in session</w:t>
      </w:r>
    </w:p>
    <w:p w14:paraId="453B8F4C" w14:textId="77777777" w:rsidR="00F702CF" w:rsidRDefault="00F702CF" w:rsidP="004C390F">
      <w:pPr>
        <w:pBdr>
          <w:top w:val="single" w:sz="6" w:space="0" w:color="FFFFFF"/>
          <w:left w:val="single" w:sz="6" w:space="0" w:color="FFFFFF"/>
          <w:bottom w:val="single" w:sz="6" w:space="0" w:color="FFFFFF"/>
          <w:right w:val="single" w:sz="6" w:space="0" w:color="FFFFFF"/>
        </w:pBdr>
        <w:autoSpaceDE/>
        <w:autoSpaceDN/>
        <w:adjustRightInd/>
        <w:jc w:val="right"/>
        <w:outlineLvl w:val="1"/>
        <w:rPr>
          <w:rFonts w:eastAsia="ヒラギノ角ゴ Pro W3"/>
          <w:b/>
          <w:caps/>
          <w:color w:val="000000"/>
          <w:sz w:val="24"/>
          <w:lang w:val="en-GB"/>
        </w:rPr>
      </w:pPr>
    </w:p>
    <w:p w14:paraId="18F537F2" w14:textId="77777777" w:rsidR="00F702CF" w:rsidRDefault="00F702CF" w:rsidP="004C390F">
      <w:pPr>
        <w:pBdr>
          <w:top w:val="single" w:sz="6" w:space="0" w:color="FFFFFF"/>
          <w:left w:val="single" w:sz="6" w:space="0" w:color="FFFFFF"/>
          <w:bottom w:val="single" w:sz="6" w:space="0" w:color="FFFFFF"/>
          <w:right w:val="single" w:sz="6" w:space="0" w:color="FFFFFF"/>
        </w:pBdr>
        <w:autoSpaceDE/>
        <w:autoSpaceDN/>
        <w:adjustRightInd/>
        <w:jc w:val="right"/>
        <w:outlineLvl w:val="1"/>
        <w:rPr>
          <w:rFonts w:eastAsia="ヒラギノ角ゴ Pro W3"/>
          <w:b/>
          <w:caps/>
          <w:color w:val="000000"/>
          <w:sz w:val="24"/>
          <w:lang w:val="en-GB"/>
        </w:rPr>
      </w:pPr>
    </w:p>
    <w:p w14:paraId="5A823CE0" w14:textId="4DB058BC" w:rsidR="00692EB7" w:rsidRPr="00C03BD4" w:rsidRDefault="00692EB7" w:rsidP="00692EB7">
      <w:pPr>
        <w:pBdr>
          <w:top w:val="single" w:sz="6" w:space="0" w:color="FFFFFF"/>
          <w:left w:val="single" w:sz="6" w:space="0" w:color="FFFFFF"/>
          <w:bottom w:val="single" w:sz="6" w:space="0" w:color="FFFFFF"/>
          <w:right w:val="single" w:sz="6" w:space="0" w:color="FFFFFF"/>
        </w:pBdr>
        <w:autoSpaceDE/>
        <w:autoSpaceDN/>
        <w:adjustRightInd/>
        <w:jc w:val="center"/>
        <w:outlineLvl w:val="1"/>
        <w:rPr>
          <w:rFonts w:eastAsia="ヒラギノ角ゴ Pro W3"/>
          <w:b/>
          <w:caps/>
          <w:color w:val="000000"/>
          <w:sz w:val="24"/>
          <w:lang w:val="en-GB"/>
        </w:rPr>
      </w:pPr>
      <w:r w:rsidRPr="00C03BD4">
        <w:rPr>
          <w:rFonts w:eastAsia="ヒラギノ角ゴ Pro W3"/>
          <w:b/>
          <w:caps/>
          <w:color w:val="000000"/>
          <w:sz w:val="24"/>
          <w:lang w:val="en-GB"/>
        </w:rPr>
        <w:t>DRAFT RESOLUTION</w:t>
      </w:r>
    </w:p>
    <w:p w14:paraId="51664FCA" w14:textId="77777777" w:rsidR="00692EB7" w:rsidRPr="00F702CF" w:rsidRDefault="00692EB7" w:rsidP="00692EB7">
      <w:pPr>
        <w:autoSpaceDE/>
        <w:autoSpaceDN/>
        <w:adjustRightInd/>
        <w:jc w:val="center"/>
        <w:rPr>
          <w:rFonts w:eastAsia="ヒラギノ角ゴ Pro W3"/>
          <w:color w:val="000000"/>
          <w:sz w:val="24"/>
          <w:lang w:val="en-GB"/>
        </w:rPr>
      </w:pPr>
    </w:p>
    <w:p w14:paraId="5D0FE03B" w14:textId="77777777" w:rsidR="00692EB7" w:rsidRPr="00C03BD4" w:rsidRDefault="00692EB7" w:rsidP="00692EB7">
      <w:pPr>
        <w:autoSpaceDE/>
        <w:autoSpaceDN/>
        <w:adjustRightInd/>
        <w:jc w:val="center"/>
        <w:rPr>
          <w:rFonts w:eastAsia="ヒラギノ角ゴ Pro W3"/>
          <w:b/>
          <w:caps/>
          <w:color w:val="000000"/>
          <w:sz w:val="24"/>
          <w:lang w:val="en-GB"/>
        </w:rPr>
      </w:pPr>
      <w:r w:rsidRPr="00C03BD4">
        <w:rPr>
          <w:rFonts w:eastAsia="ヒラギノ角ゴ Pro W3"/>
          <w:b/>
          <w:caps/>
          <w:color w:val="000000"/>
          <w:sz w:val="24"/>
          <w:lang w:val="en-GB"/>
        </w:rPr>
        <w:t>ADVANCING ecological networks</w:t>
      </w:r>
    </w:p>
    <w:p w14:paraId="451A2E32" w14:textId="77777777" w:rsidR="00692EB7" w:rsidRPr="00C03BD4" w:rsidRDefault="00692EB7" w:rsidP="00692EB7">
      <w:pPr>
        <w:autoSpaceDE/>
        <w:autoSpaceDN/>
        <w:adjustRightInd/>
        <w:jc w:val="center"/>
        <w:rPr>
          <w:rFonts w:eastAsia="ヒラギノ角ゴ Pro W3"/>
          <w:color w:val="000000"/>
          <w:sz w:val="24"/>
          <w:lang w:val="en-GB"/>
        </w:rPr>
      </w:pPr>
      <w:r w:rsidRPr="00C03BD4">
        <w:rPr>
          <w:rFonts w:eastAsia="ヒラギノ角ゴ Pro W3"/>
          <w:b/>
          <w:caps/>
          <w:color w:val="000000"/>
          <w:sz w:val="24"/>
          <w:lang w:val="en-GB"/>
        </w:rPr>
        <w:t>TO ADDRESS THE NEEDS OF migratory species</w:t>
      </w:r>
    </w:p>
    <w:p w14:paraId="186B0A2F" w14:textId="77777777" w:rsidR="00692EB7" w:rsidRPr="00C03BD4" w:rsidRDefault="00692EB7" w:rsidP="00692EB7">
      <w:pPr>
        <w:autoSpaceDE/>
        <w:autoSpaceDN/>
        <w:adjustRightInd/>
        <w:jc w:val="both"/>
        <w:rPr>
          <w:rFonts w:eastAsia="ヒラギノ角ゴ Pro W3"/>
          <w:color w:val="000000"/>
          <w:sz w:val="24"/>
          <w:lang w:val="en-GB"/>
        </w:rPr>
      </w:pPr>
    </w:p>
    <w:p w14:paraId="5D7274A1" w14:textId="77777777" w:rsidR="00692EB7" w:rsidRPr="00C03BD4" w:rsidRDefault="00692EB7" w:rsidP="00692EB7">
      <w:pPr>
        <w:autoSpaceDE/>
        <w:autoSpaceDN/>
        <w:adjustRightInd/>
        <w:jc w:val="both"/>
        <w:rPr>
          <w:rFonts w:eastAsia="ヒラギノ角ゴ Pro W3"/>
          <w:i/>
          <w:color w:val="000000"/>
          <w:sz w:val="24"/>
          <w:lang w:val="en-GB"/>
        </w:rPr>
      </w:pPr>
    </w:p>
    <w:p w14:paraId="0AF1303D"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 xml:space="preserve">Deeply concerned </w:t>
      </w:r>
      <w:r>
        <w:rPr>
          <w:rFonts w:eastAsia="ヒラギノ角ゴ Pro W3"/>
          <w:color w:val="000000"/>
          <w:sz w:val="24"/>
          <w:lang w:val="en-GB"/>
        </w:rPr>
        <w:t xml:space="preserve">that </w:t>
      </w:r>
      <w:r w:rsidRPr="00C03BD4">
        <w:rPr>
          <w:rFonts w:eastAsia="ヒラギノ角ゴ Pro W3"/>
          <w:color w:val="000000"/>
          <w:sz w:val="24"/>
          <w:lang w:val="en-GB"/>
        </w:rPr>
        <w:t>habitats for migratory species are becoming increasingly fragmented across terrestrial, freshwater and marine biomes;</w:t>
      </w:r>
    </w:p>
    <w:p w14:paraId="61D44F47"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28F23CB2"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Recalling</w:t>
      </w:r>
      <w:r w:rsidRPr="00C03BD4">
        <w:rPr>
          <w:rFonts w:eastAsia="ヒラギノ角ゴ Pro W3"/>
          <w:color w:val="000000"/>
          <w:sz w:val="24"/>
          <w:lang w:val="en-GB"/>
        </w:rPr>
        <w:t xml:space="preserve"> Resolution 10.3 on the role of ecological networks in the conservation of migratory species highlighting the critical importance of connectivity for conservation and management in the CMS context, inviting the exploration of the applicability of ecological networks to marine migratory species and assigning to Parties, the Scientific Council and the Secretariat a number of tasks for </w:t>
      </w:r>
      <w:r>
        <w:rPr>
          <w:rFonts w:eastAsia="ヒラギノ角ゴ Pro W3"/>
          <w:color w:val="000000"/>
          <w:sz w:val="24"/>
          <w:lang w:val="en-GB"/>
        </w:rPr>
        <w:t>the 11</w:t>
      </w:r>
      <w:r w:rsidRPr="00C340D1">
        <w:rPr>
          <w:rFonts w:eastAsia="ヒラギノ角ゴ Pro W3"/>
          <w:color w:val="000000"/>
          <w:sz w:val="24"/>
          <w:vertAlign w:val="superscript"/>
          <w:lang w:val="en-GB"/>
        </w:rPr>
        <w:t>th</w:t>
      </w:r>
      <w:r>
        <w:rPr>
          <w:rFonts w:eastAsia="ヒラギノ角ゴ Pro W3"/>
          <w:color w:val="000000"/>
          <w:sz w:val="24"/>
          <w:lang w:val="en-GB"/>
        </w:rPr>
        <w:t xml:space="preserve"> Meeting of the Conference of the Parties </w:t>
      </w:r>
      <w:r w:rsidRPr="00C03BD4">
        <w:rPr>
          <w:rFonts w:eastAsia="ヒラギノ角ゴ Pro W3"/>
          <w:color w:val="000000"/>
          <w:sz w:val="24"/>
          <w:lang w:val="en-GB"/>
        </w:rPr>
        <w:t>and beyond;</w:t>
      </w:r>
    </w:p>
    <w:p w14:paraId="700F53B3"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170AEE78"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 xml:space="preserve">Further recalling </w:t>
      </w:r>
      <w:r w:rsidRPr="00C03BD4">
        <w:rPr>
          <w:rFonts w:eastAsia="ヒラギノ角ゴ Pro W3"/>
          <w:color w:val="000000"/>
          <w:sz w:val="24"/>
          <w:lang w:val="en-GB"/>
        </w:rPr>
        <w:t>Resolution 10.19 on climate change 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p w14:paraId="196B2F90"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400C631B" w14:textId="7695BC09" w:rsidR="00692EB7" w:rsidRPr="00C340D1" w:rsidRDefault="00692EB7" w:rsidP="00F702CF">
      <w:pPr>
        <w:autoSpaceDE/>
        <w:autoSpaceDN/>
        <w:adjustRightInd/>
        <w:ind w:firstLine="720"/>
        <w:jc w:val="both"/>
        <w:rPr>
          <w:rFonts w:eastAsia="ヒラギノ角ゴ Pro W3"/>
          <w:color w:val="000000"/>
          <w:sz w:val="24"/>
        </w:rPr>
      </w:pPr>
      <w:r w:rsidRPr="00C03BD4">
        <w:rPr>
          <w:rFonts w:eastAsia="ヒラギノ角ゴ Pro W3"/>
          <w:i/>
          <w:color w:val="000000"/>
          <w:sz w:val="24"/>
          <w:lang w:val="en-GB"/>
        </w:rPr>
        <w:t>Reaffirming</w:t>
      </w:r>
      <w:r w:rsidRPr="00C03BD4">
        <w:rPr>
          <w:rFonts w:eastAsia="ヒラギノ角ゴ Pro W3"/>
          <w:color w:val="000000"/>
          <w:sz w:val="24"/>
          <w:lang w:val="en-GB"/>
        </w:rPr>
        <w:t xml:space="preserve"> Target 10 of the Strategic Plan for Migratory Species 2015-2023</w:t>
      </w:r>
      <w:r>
        <w:rPr>
          <w:rFonts w:eastAsia="ヒラギノ角ゴ Pro W3"/>
          <w:color w:val="000000"/>
          <w:sz w:val="24"/>
          <w:lang w:val="en-GB"/>
        </w:rPr>
        <w:t xml:space="preserve"> (UNEP/CMS/COP11/Doc.15.2)</w:t>
      </w:r>
      <w:r w:rsidRPr="00C03BD4">
        <w:rPr>
          <w:rFonts w:eastAsia="ヒラギノ角ゴ Pro W3"/>
          <w:color w:val="000000"/>
          <w:sz w:val="24"/>
          <w:lang w:val="en-GB"/>
        </w:rPr>
        <w:t>, which states that “all key habitats and sites for migratory species are identified and included in area-based conservation measures so as to maintain their quality, integrity, resilience and functioning in accordance with the implementation of Aichi Target 11”, which in turn calls for at least 17% of terrestrial and inland water and 10% of coastal and marine areas being “conserved through effectively and equitably managed, ecologically representative and well-connected systems of protected areas and other effective area-based conservation measures, and integrated into the wider landscapes and seascapes”;</w:t>
      </w:r>
    </w:p>
    <w:p w14:paraId="3642DAB3"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3DCCE157"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Welcoming</w:t>
      </w:r>
      <w:r w:rsidRPr="00C03BD4">
        <w:rPr>
          <w:rFonts w:eastAsia="ヒラギノ角ゴ Pro W3"/>
          <w:color w:val="000000"/>
          <w:sz w:val="24"/>
          <w:lang w:val="en-GB"/>
        </w:rPr>
        <w:t xml:space="preserve"> the progress made in producing a strategic review on </w:t>
      </w:r>
      <w:r w:rsidRPr="00487841">
        <w:rPr>
          <w:rFonts w:eastAsia="ヒラギノ角ゴ Pro W3"/>
          <w:color w:val="000000"/>
          <w:sz w:val="24"/>
          <w:lang w:val="en-GB"/>
        </w:rPr>
        <w:t>ecological networks thanks to a voluntary contribution from Norway (UNEP/CMS/COP11/Doc.23.4.1.</w:t>
      </w:r>
      <w:r>
        <w:rPr>
          <w:rFonts w:eastAsia="ヒラギノ角ゴ Pro W3"/>
          <w:color w:val="000000"/>
          <w:sz w:val="24"/>
          <w:lang w:val="en-GB"/>
        </w:rPr>
        <w:t>2</w:t>
      </w:r>
      <w:r w:rsidRPr="00487841">
        <w:rPr>
          <w:rFonts w:eastAsia="ヒラギノ角ゴ Pro W3"/>
          <w:color w:val="000000"/>
          <w:sz w:val="24"/>
          <w:lang w:val="en-GB"/>
        </w:rPr>
        <w:t>) and a compilation of case studies illustrating how ecological networks have been applied</w:t>
      </w:r>
      <w:r w:rsidRPr="00C03BD4">
        <w:rPr>
          <w:rFonts w:eastAsia="ヒラギノ角ゴ Pro W3"/>
          <w:color w:val="000000"/>
          <w:sz w:val="24"/>
          <w:lang w:val="en-GB"/>
        </w:rPr>
        <w:t xml:space="preserve"> as a conservation strategy to different taxonomic groups of CMS-listed species (</w:t>
      </w:r>
      <w:r w:rsidRPr="0091376D">
        <w:rPr>
          <w:rFonts w:eastAsia="ヒラギノ角ゴ Pro W3"/>
          <w:color w:val="000000"/>
          <w:sz w:val="24"/>
          <w:lang w:val="en-GB"/>
        </w:rPr>
        <w:t>UNEP/CMS/</w:t>
      </w:r>
      <w:r>
        <w:rPr>
          <w:rFonts w:eastAsia="ヒラギノ角ゴ Pro W3"/>
          <w:color w:val="000000"/>
          <w:sz w:val="24"/>
          <w:lang w:val="en-GB"/>
        </w:rPr>
        <w:t>COP11</w:t>
      </w:r>
      <w:r w:rsidRPr="0091376D">
        <w:rPr>
          <w:rFonts w:eastAsia="ヒラギノ角ゴ Pro W3"/>
          <w:color w:val="000000"/>
          <w:sz w:val="24"/>
          <w:lang w:val="en-GB"/>
        </w:rPr>
        <w:t>/Inf.</w:t>
      </w:r>
      <w:r>
        <w:rPr>
          <w:rFonts w:eastAsia="ヒラギノ角ゴ Pro W3"/>
          <w:color w:val="000000"/>
          <w:sz w:val="24"/>
          <w:lang w:val="en-GB"/>
        </w:rPr>
        <w:t>22</w:t>
      </w:r>
      <w:r w:rsidRPr="00C03BD4">
        <w:rPr>
          <w:rFonts w:eastAsia="ヒラギノ角ゴ Pro W3"/>
          <w:color w:val="000000"/>
          <w:sz w:val="24"/>
          <w:lang w:val="en-GB"/>
        </w:rPr>
        <w:t>) as requested by Resolution 10.3;</w:t>
      </w:r>
    </w:p>
    <w:p w14:paraId="77ED980D"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70EF1591"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Expressing satisfaction</w:t>
      </w:r>
      <w:r w:rsidRPr="00C03BD4">
        <w:rPr>
          <w:rFonts w:eastAsia="ヒラギノ角ゴ Pro W3"/>
          <w:color w:val="000000"/>
          <w:sz w:val="24"/>
          <w:lang w:val="en-GB"/>
        </w:rPr>
        <w:t xml:space="preserve"> with the formal establishment and launch of a Network of Sites of Importance for Marine Turtles within the framework of the CMS</w:t>
      </w:r>
      <w:r>
        <w:rPr>
          <w:rFonts w:eastAsia="ヒラギノ角ゴ Pro W3"/>
          <w:color w:val="000000"/>
          <w:sz w:val="24"/>
          <w:lang w:val="en-GB"/>
        </w:rPr>
        <w:t xml:space="preserve"> </w:t>
      </w:r>
      <w:r w:rsidRPr="00C03BD4">
        <w:rPr>
          <w:rFonts w:eastAsia="ヒラギノ角ゴ Pro W3"/>
          <w:color w:val="000000"/>
          <w:sz w:val="24"/>
          <w:lang w:val="en-GB"/>
        </w:rPr>
        <w:t>Indian Ocean – South-East Asia Marine Turtle Memorandum of Understanding (IOSEA) with particular emphasis on the development of robust criteria intended to lend credibility to the site selection process;</w:t>
      </w:r>
    </w:p>
    <w:p w14:paraId="1F1B5CC8"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77C316EE" w14:textId="77777777" w:rsidR="00692EB7"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lastRenderedPageBreak/>
        <w:t>Recognizing</w:t>
      </w:r>
      <w:r w:rsidRPr="00C03BD4">
        <w:rPr>
          <w:rFonts w:eastAsia="ヒラギノ角ゴ Pro W3"/>
          <w:color w:val="000000"/>
          <w:sz w:val="24"/>
          <w:lang w:val="en-GB"/>
        </w:rPr>
        <w:t xml:space="preserve"> that transboundary </w:t>
      </w:r>
      <w:r>
        <w:rPr>
          <w:rFonts w:eastAsia="ヒラギノ角ゴ Pro W3"/>
          <w:color w:val="000000"/>
          <w:sz w:val="24"/>
          <w:lang w:val="en-GB"/>
        </w:rPr>
        <w:t xml:space="preserve">area-based conservation measures including networks of protected and other management areas </w:t>
      </w:r>
      <w:r w:rsidRPr="00C03BD4">
        <w:rPr>
          <w:rFonts w:eastAsia="ヒラギノ角ゴ Pro W3"/>
          <w:color w:val="000000"/>
          <w:sz w:val="24"/>
          <w:lang w:val="en-GB"/>
        </w:rPr>
        <w:t>can play an important role in improving the conservation status of migratory species</w:t>
      </w:r>
      <w:r>
        <w:rPr>
          <w:rFonts w:eastAsia="ヒラギノ角ゴ Pro W3"/>
          <w:color w:val="000000"/>
          <w:sz w:val="24"/>
          <w:lang w:val="en-GB"/>
        </w:rPr>
        <w:t xml:space="preserve"> by contributing to ecological networks and promoting connectivity particularly when animals migrate for long distances across or outside national jurisdictional boundaries;</w:t>
      </w:r>
    </w:p>
    <w:p w14:paraId="1253A419" w14:textId="77777777" w:rsidR="00692EB7" w:rsidRPr="00C340D1" w:rsidRDefault="00692EB7" w:rsidP="00F702CF">
      <w:pPr>
        <w:autoSpaceDE/>
        <w:autoSpaceDN/>
        <w:adjustRightInd/>
        <w:ind w:firstLine="720"/>
        <w:jc w:val="both"/>
        <w:rPr>
          <w:rFonts w:eastAsia="ヒラギノ角ゴ Pro W3"/>
          <w:color w:val="000000"/>
          <w:sz w:val="24"/>
        </w:rPr>
      </w:pPr>
    </w:p>
    <w:p w14:paraId="2DCAFB78" w14:textId="77777777" w:rsidR="00692EB7" w:rsidRDefault="00692EB7" w:rsidP="00F702CF">
      <w:pPr>
        <w:autoSpaceDE/>
        <w:autoSpaceDN/>
        <w:adjustRightInd/>
        <w:ind w:firstLine="720"/>
        <w:jc w:val="both"/>
        <w:rPr>
          <w:rFonts w:eastAsia="ヒラギノ角ゴ Pro W3"/>
          <w:color w:val="000000"/>
          <w:sz w:val="24"/>
          <w:lang w:val="en-GB"/>
        </w:rPr>
      </w:pPr>
      <w:r>
        <w:rPr>
          <w:rFonts w:eastAsia="ヒラギノ角ゴ Pro W3"/>
          <w:i/>
          <w:color w:val="000000"/>
          <w:sz w:val="24"/>
          <w:lang w:val="en-GB"/>
        </w:rPr>
        <w:t>A</w:t>
      </w:r>
      <w:r w:rsidRPr="00C03BD4">
        <w:rPr>
          <w:rFonts w:eastAsia="ヒラギノ角ゴ Pro W3"/>
          <w:i/>
          <w:color w:val="000000"/>
          <w:sz w:val="24"/>
          <w:lang w:val="en-GB"/>
        </w:rPr>
        <w:t>cknowledging</w:t>
      </w:r>
      <w:r w:rsidRPr="00C03BD4">
        <w:rPr>
          <w:rFonts w:eastAsia="ヒラギノ角ゴ Pro W3"/>
          <w:color w:val="000000"/>
          <w:sz w:val="24"/>
          <w:lang w:val="en-GB"/>
        </w:rPr>
        <w:t xml:space="preserve"> progress</w:t>
      </w:r>
      <w:r>
        <w:rPr>
          <w:rFonts w:eastAsia="ヒラギノ角ゴ Pro W3"/>
          <w:color w:val="000000"/>
          <w:sz w:val="24"/>
          <w:lang w:val="en-GB"/>
        </w:rPr>
        <w:t xml:space="preserve"> made by some Parties and other Range States with the establishment of transboundary area-based conservation measures as a basis for ecological networks and promoting connectivity</w:t>
      </w:r>
      <w:r w:rsidRPr="00C03BD4">
        <w:rPr>
          <w:rFonts w:eastAsia="ヒラギノ角ゴ Pro W3"/>
          <w:color w:val="000000"/>
          <w:sz w:val="24"/>
          <w:lang w:val="en-GB"/>
        </w:rPr>
        <w:t>, for example through the KAZA Treaty on Transfrontier Conservation Areas (TFCA), signed by Angola, Botswana, Namibia, Zambia and Zimbabwe on 18 August 2011, which is a large ecological region of 519,912 km</w:t>
      </w:r>
      <w:r w:rsidRPr="00C03BD4">
        <w:rPr>
          <w:rFonts w:eastAsia="ヒラギノ角ゴ Pro W3"/>
          <w:color w:val="000000"/>
          <w:sz w:val="24"/>
          <w:vertAlign w:val="superscript"/>
          <w:lang w:val="en-GB"/>
        </w:rPr>
        <w:t>2</w:t>
      </w:r>
      <w:r w:rsidRPr="00C03BD4">
        <w:rPr>
          <w:rFonts w:eastAsia="ヒラギノ角ゴ Pro W3"/>
          <w:color w:val="000000"/>
          <w:sz w:val="24"/>
          <w:lang w:val="en-GB"/>
        </w:rPr>
        <w:t xml:space="preserve"> in the five countries encompassing 36 national parks, game reserves, forest reserves and community conservancies, and further </w:t>
      </w:r>
      <w:r w:rsidRPr="00C03BD4">
        <w:rPr>
          <w:rFonts w:eastAsia="ヒラギノ角ゴ Pro W3"/>
          <w:i/>
          <w:color w:val="000000"/>
          <w:sz w:val="24"/>
          <w:lang w:val="en-GB"/>
        </w:rPr>
        <w:t>recalling</w:t>
      </w:r>
      <w:r w:rsidRPr="00C03BD4">
        <w:rPr>
          <w:rFonts w:eastAsia="ヒラギノ角ゴ Pro W3"/>
          <w:color w:val="000000"/>
          <w:sz w:val="24"/>
          <w:lang w:val="en-GB"/>
        </w:rPr>
        <w:t xml:space="preserve"> that the KAZA region is home to at least 50% of all African elephants (Appendix II), 25% of African wild dogs (Appendix II) and substantial numbers of migratory birds and other CMS-listed species;</w:t>
      </w:r>
    </w:p>
    <w:p w14:paraId="5F1E00C2" w14:textId="77777777" w:rsidR="00692EB7" w:rsidRDefault="00692EB7" w:rsidP="00F702CF">
      <w:pPr>
        <w:autoSpaceDE/>
        <w:autoSpaceDN/>
        <w:adjustRightInd/>
        <w:ind w:firstLine="720"/>
        <w:jc w:val="both"/>
        <w:rPr>
          <w:rFonts w:eastAsia="ヒラギノ角ゴ Pro W3"/>
          <w:color w:val="000000"/>
          <w:sz w:val="24"/>
          <w:lang w:val="en-GB"/>
        </w:rPr>
      </w:pPr>
    </w:p>
    <w:p w14:paraId="1D100E56"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790ED3">
        <w:rPr>
          <w:rFonts w:eastAsia="ヒラギノ角ゴ Pro W3"/>
          <w:i/>
          <w:color w:val="000000"/>
          <w:sz w:val="24"/>
          <w:lang w:val="en-GB"/>
        </w:rPr>
        <w:t xml:space="preserve">Acknowledging </w:t>
      </w:r>
      <w:r w:rsidRPr="00790ED3">
        <w:rPr>
          <w:rFonts w:eastAsia="ヒラギノ角ゴ Pro W3"/>
          <w:color w:val="000000"/>
          <w:sz w:val="24"/>
          <w:lang w:val="en-GB"/>
        </w:rPr>
        <w:t>that the Important Bird and Biodiversity Areas</w:t>
      </w:r>
      <w:r w:rsidR="00C936AB">
        <w:rPr>
          <w:rFonts w:eastAsia="ヒラギノ角ゴ Pro W3"/>
          <w:color w:val="000000"/>
          <w:sz w:val="24"/>
          <w:lang w:val="en-GB"/>
        </w:rPr>
        <w:t xml:space="preserve"> (IBA</w:t>
      </w:r>
      <w:r w:rsidR="00B023A8">
        <w:rPr>
          <w:rFonts w:eastAsia="ヒラギノ角ゴ Pro W3"/>
          <w:color w:val="000000"/>
          <w:sz w:val="24"/>
          <w:lang w:val="en-GB"/>
        </w:rPr>
        <w:t>s</w:t>
      </w:r>
      <w:r w:rsidR="00C936AB">
        <w:rPr>
          <w:rFonts w:eastAsia="ヒラギノ角ゴ Pro W3"/>
          <w:color w:val="000000"/>
          <w:sz w:val="24"/>
          <w:lang w:val="en-GB"/>
        </w:rPr>
        <w:t>)</w:t>
      </w:r>
      <w:r>
        <w:rPr>
          <w:rFonts w:eastAsia="ヒラギノ角ゴ Pro W3"/>
          <w:color w:val="000000"/>
          <w:sz w:val="24"/>
          <w:lang w:val="en-GB"/>
        </w:rPr>
        <w:t>, both terrestrial and marine,</w:t>
      </w:r>
      <w:r w:rsidRPr="00790ED3">
        <w:rPr>
          <w:rFonts w:eastAsia="ヒラギノ角ゴ Pro W3"/>
          <w:color w:val="000000"/>
          <w:sz w:val="24"/>
          <w:lang w:val="en-GB"/>
        </w:rPr>
        <w:t xml:space="preserve"> identified by BirdLife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w:t>
      </w:r>
      <w:r w:rsidR="00C936AB">
        <w:rPr>
          <w:rFonts w:eastAsia="ヒラギノ角ゴ Pro W3"/>
          <w:color w:val="000000"/>
          <w:sz w:val="24"/>
          <w:lang w:val="en-GB"/>
        </w:rPr>
        <w:t>, taking note in particular of the list of IB</w:t>
      </w:r>
      <w:r w:rsidR="00B023A8">
        <w:rPr>
          <w:rFonts w:eastAsia="ヒラギノ角ゴ Pro W3"/>
          <w:color w:val="000000"/>
          <w:sz w:val="24"/>
          <w:lang w:val="en-GB"/>
        </w:rPr>
        <w:t>As in Danger which need imminent decisive action to protect them from damaging impacts</w:t>
      </w:r>
      <w:r>
        <w:rPr>
          <w:rFonts w:eastAsia="ヒラギノ角ゴ Pro W3"/>
          <w:color w:val="000000"/>
          <w:sz w:val="24"/>
          <w:lang w:val="en-GB"/>
        </w:rPr>
        <w:t>;</w:t>
      </w:r>
    </w:p>
    <w:p w14:paraId="0C02B663"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5F1BAFD5"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 xml:space="preserve">Taking note with interest </w:t>
      </w:r>
      <w:r w:rsidRPr="00C03BD4">
        <w:rPr>
          <w:rFonts w:eastAsia="ヒラギノ角ゴ Pro W3"/>
          <w:color w:val="000000"/>
          <w:sz w:val="24"/>
          <w:lang w:val="en-GB"/>
        </w:rPr>
        <w:t xml:space="preserve">of </w:t>
      </w:r>
      <w:r w:rsidRPr="00C03BD4">
        <w:rPr>
          <w:rFonts w:eastAsia="ヒラギノ角ゴ Pro W3"/>
          <w:iCs/>
          <w:color w:val="000000"/>
          <w:sz w:val="24"/>
          <w:lang w:val="en-GB"/>
        </w:rPr>
        <w:t xml:space="preserve">several IUCN processes which may contribute to the conservation of migratory species and, when adopted, promote ecological networks and connectivity, including </w:t>
      </w:r>
      <w:r w:rsidRPr="00C03BD4">
        <w:rPr>
          <w:rFonts w:eastAsia="ヒラギノ角ゴ Pro W3"/>
          <w:color w:val="000000"/>
          <w:sz w:val="24"/>
          <w:lang w:val="en-GB"/>
        </w:rPr>
        <w:t>the draft IUCN WCPA Best Practice Guideline on Transboundary Conservation drafted by the IUCN WCPA Transboundary Conservation Specialist Group</w:t>
      </w:r>
      <w:r>
        <w:rPr>
          <w:rFonts w:eastAsia="ヒラギノ角ゴ Pro W3"/>
          <w:color w:val="000000"/>
          <w:sz w:val="24"/>
          <w:lang w:val="en-GB"/>
        </w:rPr>
        <w:t xml:space="preserve">, the IUCN WCPA / </w:t>
      </w:r>
      <w:r w:rsidRPr="006A3962">
        <w:rPr>
          <w:rFonts w:eastAsia="ヒラギノ角ゴ Pro W3"/>
          <w:color w:val="000000"/>
          <w:sz w:val="24"/>
          <w:lang w:val="en-GB"/>
        </w:rPr>
        <w:t>SSC Joint Taskforce on Protected Areas and Biodiversity work on a standard to identify Key Biodiversity Areas</w:t>
      </w:r>
      <w:r>
        <w:rPr>
          <w:rFonts w:eastAsia="ヒラギノ角ゴ Pro W3"/>
          <w:color w:val="000000"/>
          <w:sz w:val="24"/>
          <w:lang w:val="en-GB"/>
        </w:rPr>
        <w:t xml:space="preserve"> (KBAs)</w:t>
      </w:r>
      <w:r w:rsidRPr="00C03BD4">
        <w:rPr>
          <w:rFonts w:eastAsia="ヒラギノ角ゴ Pro W3"/>
          <w:color w:val="000000"/>
          <w:sz w:val="24"/>
          <w:lang w:val="en-GB"/>
        </w:rPr>
        <w:t xml:space="preserve"> and the IUCN Joint SSC/WCPA Marine Mammal Protected Areas Task Force process to develop criteria for identifying Important Marine Mammal Areas (IMMAs);</w:t>
      </w:r>
    </w:p>
    <w:p w14:paraId="44355D3D"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4E46C55A"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color w:val="000000"/>
          <w:sz w:val="24"/>
          <w:lang w:val="en-GB"/>
        </w:rPr>
        <w:t>Acknowledging</w:t>
      </w:r>
      <w:r w:rsidRPr="00C03BD4">
        <w:rPr>
          <w:rFonts w:eastAsia="ヒラギノ角ゴ Pro W3"/>
          <w:color w:val="000000"/>
          <w:sz w:val="24"/>
          <w:lang w:val="en-GB"/>
        </w:rPr>
        <w:t xml:space="preserve"> 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Centres (DLR and Roscosmos) by the end of 2015;</w:t>
      </w:r>
    </w:p>
    <w:p w14:paraId="0C0DDF85"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0B44B248"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t>Recognizing</w:t>
      </w:r>
      <w:r w:rsidRPr="00C03BD4">
        <w:rPr>
          <w:rFonts w:eastAsia="ヒラギノ角ゴ Pro W3"/>
          <w:color w:val="000000"/>
          <w:sz w:val="24"/>
          <w:lang w:val="en-GB"/>
        </w:rPr>
        <w:t xml:space="preserve"> that to meet their needs throughout their life history stages marine migratory species depend on a range of habitats across their migratory range </w:t>
      </w:r>
      <w:r>
        <w:rPr>
          <w:rFonts w:eastAsia="ヒラギノ角ゴ Pro W3"/>
          <w:color w:val="000000"/>
          <w:sz w:val="24"/>
          <w:lang w:val="en-GB"/>
        </w:rPr>
        <w:t xml:space="preserve">whether in marine areas </w:t>
      </w:r>
      <w:r w:rsidRPr="00C03BD4">
        <w:rPr>
          <w:rFonts w:eastAsia="ヒラギノ角ゴ Pro W3"/>
          <w:color w:val="000000"/>
          <w:sz w:val="24"/>
          <w:lang w:val="en-GB"/>
        </w:rPr>
        <w:t>within and</w:t>
      </w:r>
      <w:r>
        <w:rPr>
          <w:rFonts w:eastAsia="ヒラギノ角ゴ Pro W3"/>
          <w:color w:val="000000"/>
          <w:sz w:val="24"/>
          <w:lang w:val="en-GB"/>
        </w:rPr>
        <w:t>/or</w:t>
      </w:r>
      <w:r w:rsidRPr="00C03BD4">
        <w:rPr>
          <w:rFonts w:eastAsia="ヒラギノ角ゴ Pro W3"/>
          <w:color w:val="000000"/>
          <w:sz w:val="24"/>
          <w:lang w:val="en-GB"/>
        </w:rPr>
        <w:t xml:space="preserve"> beyond the limits of national jurisdiction;</w:t>
      </w:r>
    </w:p>
    <w:p w14:paraId="65783A23"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505B4394"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t>Further recognizing</w:t>
      </w:r>
      <w:r w:rsidRPr="00C03BD4">
        <w:rPr>
          <w:rFonts w:eastAsia="ヒラギノ角ゴ Pro W3"/>
          <w:color w:val="000000"/>
          <w:sz w:val="24"/>
          <w:lang w:val="en-GB"/>
        </w:rPr>
        <w:t xml:space="preserve"> </w:t>
      </w:r>
      <w:r>
        <w:rPr>
          <w:rFonts w:eastAsia="ヒラギノ角ゴ Pro W3"/>
          <w:color w:val="000000"/>
          <w:sz w:val="24"/>
          <w:lang w:val="en-GB"/>
        </w:rPr>
        <w:t xml:space="preserve">CMS’s approach to </w:t>
      </w:r>
      <w:r w:rsidRPr="00F374DA">
        <w:rPr>
          <w:rFonts w:eastAsia="ヒラギノ角ゴ Pro W3"/>
          <w:color w:val="000000"/>
          <w:sz w:val="24"/>
          <w:lang w:val="en-GB"/>
        </w:rPr>
        <w:t xml:space="preserve">coordinated conservation and management </w:t>
      </w:r>
      <w:r w:rsidRPr="007A3DB8">
        <w:rPr>
          <w:rFonts w:eastAsia="ヒラギノ角ゴ Pro W3"/>
          <w:color w:val="000000"/>
          <w:sz w:val="24"/>
          <w:lang w:val="en-GB"/>
        </w:rPr>
        <w:t>measures across</w:t>
      </w:r>
      <w:r w:rsidRPr="00F374DA">
        <w:rPr>
          <w:rFonts w:eastAsia="ヒラギノ角ゴ Pro W3"/>
          <w:color w:val="000000"/>
          <w:sz w:val="24"/>
          <w:lang w:val="en-GB"/>
        </w:rPr>
        <w:t xml:space="preserve"> a migratory range</w:t>
      </w:r>
      <w:r w:rsidRPr="00F374DA" w:rsidDel="00B121FD">
        <w:rPr>
          <w:rFonts w:eastAsia="ヒラギノ角ゴ Pro W3"/>
          <w:color w:val="000000"/>
          <w:sz w:val="24"/>
          <w:lang w:val="en-GB"/>
        </w:rPr>
        <w:t xml:space="preserve"> </w:t>
      </w:r>
      <w:r>
        <w:rPr>
          <w:rFonts w:eastAsia="ヒラギノ角ゴ Pro W3"/>
          <w:color w:val="000000"/>
          <w:sz w:val="24"/>
          <w:lang w:val="en-GB"/>
        </w:rPr>
        <w:t>can contribute to the development of ecological networks and promote connectivity</w:t>
      </w:r>
      <w:r w:rsidRPr="00C03BD4">
        <w:rPr>
          <w:rFonts w:eastAsia="ヒラギノ角ゴ Pro W3"/>
          <w:color w:val="000000"/>
          <w:sz w:val="24"/>
          <w:lang w:val="en-GB"/>
        </w:rPr>
        <w:t xml:space="preserve"> </w:t>
      </w:r>
      <w:r>
        <w:rPr>
          <w:rFonts w:eastAsia="ヒラギノ角ゴ Pro W3"/>
          <w:color w:val="000000"/>
          <w:sz w:val="24"/>
          <w:lang w:val="en-GB"/>
        </w:rPr>
        <w:t xml:space="preserve">that are </w:t>
      </w:r>
      <w:r w:rsidRPr="00C03BD4">
        <w:rPr>
          <w:rFonts w:eastAsia="ヒラギノ角ゴ Pro W3"/>
          <w:color w:val="000000"/>
          <w:sz w:val="24"/>
          <w:lang w:val="en-GB"/>
        </w:rPr>
        <w:t xml:space="preserve">fully consistent with the </w:t>
      </w:r>
      <w:r>
        <w:rPr>
          <w:rFonts w:eastAsia="ヒラギノ角ゴ Pro W3"/>
          <w:color w:val="000000"/>
          <w:sz w:val="24"/>
          <w:lang w:val="en-GB"/>
        </w:rPr>
        <w:t>l</w:t>
      </w:r>
      <w:r w:rsidRPr="00C03BD4">
        <w:rPr>
          <w:rFonts w:eastAsia="ヒラギノ角ゴ Pro W3"/>
          <w:color w:val="000000"/>
          <w:sz w:val="24"/>
          <w:lang w:val="en-GB"/>
        </w:rPr>
        <w:t xml:space="preserve">aw of the </w:t>
      </w:r>
      <w:r>
        <w:rPr>
          <w:rFonts w:eastAsia="ヒラギノ角ゴ Pro W3"/>
          <w:color w:val="000000"/>
          <w:sz w:val="24"/>
          <w:lang w:val="en-GB"/>
        </w:rPr>
        <w:t>s</w:t>
      </w:r>
      <w:r w:rsidRPr="00C03BD4">
        <w:rPr>
          <w:rFonts w:eastAsia="ヒラギノ角ゴ Pro W3"/>
          <w:color w:val="000000"/>
          <w:sz w:val="24"/>
          <w:lang w:val="en-GB"/>
        </w:rPr>
        <w:t xml:space="preserve">ea </w:t>
      </w:r>
      <w:r>
        <w:rPr>
          <w:rFonts w:eastAsia="ヒラギノ角ゴ Pro W3"/>
          <w:color w:val="000000"/>
          <w:sz w:val="24"/>
          <w:lang w:val="en-GB"/>
        </w:rPr>
        <w:t xml:space="preserve">by </w:t>
      </w:r>
      <w:r w:rsidRPr="00C03BD4">
        <w:rPr>
          <w:rFonts w:eastAsia="ヒラギノ角ゴ Pro W3"/>
          <w:color w:val="000000"/>
          <w:sz w:val="24"/>
          <w:lang w:val="en-GB"/>
        </w:rPr>
        <w:t>provid</w:t>
      </w:r>
      <w:r>
        <w:rPr>
          <w:rFonts w:eastAsia="ヒラギノ角ゴ Pro W3"/>
          <w:color w:val="000000"/>
          <w:sz w:val="24"/>
          <w:lang w:val="en-GB"/>
        </w:rPr>
        <w:t>ing</w:t>
      </w:r>
      <w:r w:rsidRPr="00C03BD4">
        <w:rPr>
          <w:rFonts w:eastAsia="ヒラギノ角ゴ Pro W3"/>
          <w:color w:val="000000"/>
          <w:sz w:val="24"/>
          <w:lang w:val="en-GB"/>
        </w:rPr>
        <w:t xml:space="preserve"> the basis for like-minded Range States to take individual actions at national level and regarding their flag vessels </w:t>
      </w:r>
      <w:r>
        <w:rPr>
          <w:rFonts w:eastAsia="ヒラギノ角ゴ Pro W3"/>
          <w:color w:val="000000"/>
          <w:sz w:val="24"/>
          <w:lang w:val="en-GB"/>
        </w:rPr>
        <w:t xml:space="preserve">in marine areas </w:t>
      </w:r>
      <w:r w:rsidRPr="00C03BD4">
        <w:rPr>
          <w:rFonts w:eastAsia="ヒラギノ角ゴ Pro W3"/>
          <w:color w:val="000000"/>
          <w:sz w:val="24"/>
          <w:lang w:val="en-GB"/>
        </w:rPr>
        <w:t>within and beyond the limits of national jurisdiction and to coordinate these actions across the migration range of the species concerned;</w:t>
      </w:r>
    </w:p>
    <w:p w14:paraId="583C7010" w14:textId="77777777" w:rsidR="00692EB7" w:rsidRPr="00C03BD4" w:rsidRDefault="00692EB7" w:rsidP="00F702CF">
      <w:pPr>
        <w:autoSpaceDE/>
        <w:autoSpaceDN/>
        <w:adjustRightInd/>
        <w:ind w:firstLine="720"/>
        <w:rPr>
          <w:rFonts w:eastAsia="ヒラギノ角ゴ Pro W3"/>
          <w:color w:val="000000"/>
          <w:sz w:val="24"/>
          <w:lang w:val="en-GB"/>
        </w:rPr>
      </w:pPr>
    </w:p>
    <w:p w14:paraId="21A3F3DA" w14:textId="77777777" w:rsidR="00692EB7"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lastRenderedPageBreak/>
        <w:t>Aware</w:t>
      </w:r>
      <w:r w:rsidRPr="00C03BD4">
        <w:rPr>
          <w:rFonts w:eastAsia="ヒラギノ角ゴ Pro W3"/>
          <w:color w:val="000000"/>
          <w:sz w:val="24"/>
          <w:lang w:val="en-GB"/>
        </w:rPr>
        <w:t xml:space="preserve"> 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w:t>
      </w:r>
      <w:r>
        <w:rPr>
          <w:rFonts w:eastAsia="ヒラギノ角ゴ Pro W3"/>
          <w:color w:val="000000"/>
          <w:sz w:val="24"/>
          <w:lang w:val="en-GB"/>
        </w:rPr>
        <w:t xml:space="preserve">and environmental impact assessment </w:t>
      </w:r>
      <w:r w:rsidRPr="00C03BD4">
        <w:rPr>
          <w:rFonts w:eastAsia="ヒラギノ角ゴ Pro W3"/>
          <w:color w:val="000000"/>
          <w:sz w:val="24"/>
          <w:lang w:val="en-GB"/>
        </w:rPr>
        <w:t>in marine areas beyond the limits of national jurisdiction;</w:t>
      </w:r>
    </w:p>
    <w:p w14:paraId="29CEA419"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777A2BDE"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t>Recalling</w:t>
      </w:r>
      <w:r w:rsidRPr="00C03BD4">
        <w:rPr>
          <w:rFonts w:eastAsia="ヒラギノ角ゴ Pro W3"/>
          <w:color w:val="000000"/>
          <w:sz w:val="24"/>
          <w:lang w:val="en-GB"/>
        </w:rPr>
        <w:t xml:space="preserve"> Resolution 10.3 acknowledging the processes, workshop</w:t>
      </w:r>
      <w:r>
        <w:rPr>
          <w:rFonts w:eastAsia="ヒラギノ角ゴ Pro W3"/>
          <w:color w:val="000000"/>
          <w:sz w:val="24"/>
          <w:lang w:val="en-GB"/>
        </w:rPr>
        <w:t>s</w:t>
      </w:r>
      <w:r w:rsidRPr="00C03BD4">
        <w:rPr>
          <w:rFonts w:eastAsia="ヒラギノ角ゴ Pro W3"/>
          <w:color w:val="000000"/>
          <w:sz w:val="24"/>
          <w:lang w:val="en-GB"/>
        </w:rPr>
        <w:t xml:space="preserve"> and tools underway within the Convention on Biological Diversity can assist in identifying habitats important for the lifecycles of marine migratory species listed on the CMS Appendices;</w:t>
      </w:r>
    </w:p>
    <w:p w14:paraId="24F1ED38"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702643B3" w14:textId="56A8BEAD"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t>Welcoming</w:t>
      </w:r>
      <w:r w:rsidRPr="00C03BD4">
        <w:rPr>
          <w:rFonts w:eastAsia="ヒラギノ角ゴ Pro W3"/>
          <w:color w:val="000000"/>
          <w:sz w:val="24"/>
          <w:lang w:val="en-GB"/>
        </w:rPr>
        <w:t xml:space="preserve"> the progress made in the process being undertaken by the Convention on Biological Diversity, which has convened regional workshops covering approximately </w:t>
      </w:r>
      <w:r>
        <w:rPr>
          <w:rFonts w:eastAsia="ヒラギノ角ゴ Pro W3"/>
          <w:color w:val="000000"/>
          <w:sz w:val="24"/>
          <w:lang w:val="en-GB"/>
        </w:rPr>
        <w:t>6</w:t>
      </w:r>
      <w:r w:rsidRPr="00C03BD4">
        <w:rPr>
          <w:rFonts w:eastAsia="ヒラギノ角ゴ Pro W3"/>
          <w:color w:val="000000"/>
          <w:sz w:val="24"/>
          <w:lang w:val="en-GB"/>
        </w:rPr>
        <w:t>8% of world ocean areas, to scientifically describe Ecologically or Biologically S</w:t>
      </w:r>
      <w:r w:rsidR="00DA419F">
        <w:rPr>
          <w:rFonts w:eastAsia="ヒラギノ角ゴ Pro W3"/>
          <w:color w:val="000000"/>
          <w:sz w:val="24"/>
          <w:lang w:val="en-GB"/>
        </w:rPr>
        <w:t>ignificant Marine Areas (EBSAs)</w:t>
      </w:r>
      <w:r w:rsidRPr="00F2216C">
        <w:rPr>
          <w:rFonts w:eastAsia="ヒラギノ角ゴ Pro W3"/>
          <w:color w:val="000000"/>
          <w:sz w:val="24"/>
          <w:lang w:val="en-GB"/>
        </w:rPr>
        <w:t>;</w:t>
      </w:r>
    </w:p>
    <w:p w14:paraId="07001960" w14:textId="77777777" w:rsidR="00692EB7" w:rsidRPr="00C03BD4" w:rsidRDefault="00692EB7" w:rsidP="00F702CF">
      <w:pPr>
        <w:autoSpaceDE/>
        <w:autoSpaceDN/>
        <w:adjustRightInd/>
        <w:ind w:firstLine="720"/>
        <w:jc w:val="both"/>
        <w:rPr>
          <w:rFonts w:eastAsia="ヒラギノ角ゴ Pro W3"/>
          <w:color w:val="000000"/>
          <w:sz w:val="24"/>
          <w:lang w:val="en-GB"/>
        </w:rPr>
      </w:pPr>
    </w:p>
    <w:p w14:paraId="29DA285B" w14:textId="77777777"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t>Considering</w:t>
      </w:r>
      <w:r w:rsidRPr="00C03BD4">
        <w:rPr>
          <w:rFonts w:eastAsia="ヒラギノ角ゴ Pro W3"/>
          <w:color w:val="000000"/>
          <w:sz w:val="24"/>
          <w:lang w:val="en-GB"/>
        </w:rPr>
        <w:t xml:space="preserve"> that </w:t>
      </w:r>
      <w:r>
        <w:rPr>
          <w:rFonts w:eastAsia="ヒラギノ角ゴ Pro W3"/>
          <w:color w:val="000000"/>
          <w:sz w:val="24"/>
          <w:lang w:val="en-GB"/>
        </w:rPr>
        <w:t>some</w:t>
      </w:r>
      <w:r w:rsidRPr="00C03BD4">
        <w:rPr>
          <w:rFonts w:eastAsia="ヒラギノ角ゴ Pro W3"/>
          <w:color w:val="000000"/>
          <w:sz w:val="24"/>
          <w:lang w:val="en-GB"/>
        </w:rPr>
        <w:t xml:space="preserve"> of the scientific criteria applied to describe EBSAs are particularly relevant to marine migratory species, namely ‘special importance of life history stages of species’, ‘importance for threatened, endangered or declining species and/or habitats’, ‘vulnerability, fragility, sensitivity or slow recovery’ and ‘biological productivity’;</w:t>
      </w:r>
    </w:p>
    <w:p w14:paraId="314AF28B" w14:textId="77777777" w:rsidR="00692EB7" w:rsidRDefault="00692EB7" w:rsidP="00F702CF">
      <w:pPr>
        <w:autoSpaceDE/>
        <w:autoSpaceDN/>
        <w:adjustRightInd/>
        <w:ind w:firstLine="720"/>
        <w:jc w:val="both"/>
        <w:rPr>
          <w:rFonts w:eastAsia="ヒラギノ角ゴ Pro W3"/>
          <w:i/>
          <w:iCs/>
          <w:color w:val="000000"/>
          <w:sz w:val="24"/>
          <w:lang w:val="en-GB"/>
        </w:rPr>
      </w:pPr>
    </w:p>
    <w:p w14:paraId="23477CEA" w14:textId="77777777" w:rsidR="00393471" w:rsidRPr="00F2216C" w:rsidRDefault="00393471" w:rsidP="00F702CF">
      <w:pPr>
        <w:autoSpaceDE/>
        <w:autoSpaceDN/>
        <w:adjustRightInd/>
        <w:ind w:firstLine="720"/>
        <w:jc w:val="both"/>
        <w:rPr>
          <w:rFonts w:eastAsia="ヒラギノ角ゴ Pro W3"/>
          <w:i/>
          <w:iCs/>
          <w:color w:val="000000"/>
          <w:sz w:val="24"/>
        </w:rPr>
      </w:pPr>
      <w:r w:rsidRPr="00F2216C">
        <w:rPr>
          <w:rFonts w:eastAsia="ヒラギノ角ゴ Pro W3"/>
          <w:i/>
          <w:iCs/>
          <w:color w:val="000000"/>
          <w:sz w:val="24"/>
        </w:rPr>
        <w:t xml:space="preserve">Recognizing </w:t>
      </w:r>
      <w:r w:rsidRPr="00F2216C">
        <w:rPr>
          <w:rFonts w:eastAsia="ヒラギノ角ゴ Pro W3"/>
          <w:iCs/>
          <w:color w:val="000000"/>
          <w:sz w:val="24"/>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r w:rsidR="00F2216C" w:rsidRPr="00F2216C">
        <w:rPr>
          <w:rFonts w:eastAsia="ヒラギノ角ゴ Pro W3"/>
          <w:iCs/>
          <w:color w:val="000000"/>
          <w:sz w:val="24"/>
        </w:rPr>
        <w:t>;</w:t>
      </w:r>
    </w:p>
    <w:p w14:paraId="088FDC40" w14:textId="77777777" w:rsidR="00393471" w:rsidRPr="00393471" w:rsidRDefault="00393471" w:rsidP="00F702CF">
      <w:pPr>
        <w:autoSpaceDE/>
        <w:autoSpaceDN/>
        <w:adjustRightInd/>
        <w:ind w:firstLine="720"/>
        <w:jc w:val="both"/>
        <w:rPr>
          <w:rFonts w:eastAsia="ヒラギノ角ゴ Pro W3"/>
          <w:i/>
          <w:iCs/>
          <w:color w:val="000000"/>
          <w:sz w:val="24"/>
          <w:highlight w:val="yellow"/>
        </w:rPr>
      </w:pPr>
    </w:p>
    <w:p w14:paraId="1201426B" w14:textId="77777777" w:rsidR="00393471" w:rsidRPr="007C1F98" w:rsidRDefault="00393471" w:rsidP="00F702CF">
      <w:pPr>
        <w:autoSpaceDE/>
        <w:autoSpaceDN/>
        <w:adjustRightInd/>
        <w:ind w:firstLine="720"/>
        <w:jc w:val="both"/>
        <w:rPr>
          <w:rFonts w:eastAsia="ヒラギノ角ゴ Pro W3"/>
          <w:iCs/>
          <w:color w:val="000000"/>
          <w:sz w:val="24"/>
        </w:rPr>
      </w:pPr>
      <w:r w:rsidRPr="00F702CF">
        <w:rPr>
          <w:rFonts w:eastAsia="ヒラギノ角ゴ Pro W3"/>
          <w:i/>
          <w:iCs/>
          <w:color w:val="000000"/>
          <w:sz w:val="24"/>
        </w:rPr>
        <w:t>Also recognizing</w:t>
      </w:r>
      <w:r w:rsidRPr="007C1F98">
        <w:rPr>
          <w:rFonts w:eastAsia="ヒラギノ角ゴ Pro W3"/>
          <w:iCs/>
          <w:color w:val="000000"/>
          <w:sz w:val="24"/>
        </w:rPr>
        <w:t xml:space="preserve"> the importance of promoting the development of ecologically coherent networks of EBSAs</w:t>
      </w:r>
      <w:r w:rsidR="007C1F98" w:rsidRPr="007C1F98">
        <w:rPr>
          <w:rFonts w:eastAsia="ヒラギノ角ゴ Pro W3"/>
          <w:iCs/>
          <w:color w:val="000000"/>
          <w:sz w:val="24"/>
        </w:rPr>
        <w:t>;</w:t>
      </w:r>
    </w:p>
    <w:p w14:paraId="555DBB11" w14:textId="77777777" w:rsidR="00393471" w:rsidRPr="00393471" w:rsidRDefault="00393471" w:rsidP="00F702CF">
      <w:pPr>
        <w:autoSpaceDE/>
        <w:autoSpaceDN/>
        <w:adjustRightInd/>
        <w:ind w:firstLine="720"/>
        <w:jc w:val="both"/>
        <w:rPr>
          <w:rFonts w:eastAsia="ヒラギノ角ゴ Pro W3"/>
          <w:i/>
          <w:iCs/>
          <w:color w:val="000000"/>
          <w:sz w:val="24"/>
          <w:highlight w:val="yellow"/>
        </w:rPr>
      </w:pPr>
    </w:p>
    <w:p w14:paraId="7E9A101C" w14:textId="77777777" w:rsidR="00692EB7" w:rsidRPr="00C03BD4" w:rsidRDefault="00692EB7" w:rsidP="00F702CF">
      <w:pPr>
        <w:autoSpaceDE/>
        <w:autoSpaceDN/>
        <w:adjustRightInd/>
        <w:ind w:firstLine="720"/>
        <w:jc w:val="both"/>
        <w:rPr>
          <w:rFonts w:eastAsia="ヒラギノ角ゴ Pro W3"/>
          <w:color w:val="000000"/>
          <w:spacing w:val="-2"/>
          <w:sz w:val="24"/>
          <w:lang w:val="en-GB"/>
        </w:rPr>
      </w:pPr>
      <w:r w:rsidRPr="00C03BD4">
        <w:rPr>
          <w:rFonts w:eastAsia="ヒラギノ角ゴ Pro W3"/>
          <w:i/>
          <w:iCs/>
          <w:color w:val="000000"/>
          <w:spacing w:val="-2"/>
          <w:sz w:val="24"/>
          <w:lang w:val="en-GB"/>
        </w:rPr>
        <w:t>Aware</w:t>
      </w:r>
      <w:r w:rsidRPr="00C03BD4">
        <w:rPr>
          <w:rFonts w:eastAsia="ヒラギノ角ゴ Pro W3"/>
          <w:color w:val="000000"/>
          <w:spacing w:val="-2"/>
          <w:sz w:val="24"/>
          <w:lang w:val="en-GB"/>
        </w:rPr>
        <w:t xml:space="preserve"> that marine migratory species provide a useful basis to further review the potential contribution of </w:t>
      </w:r>
      <w:r>
        <w:rPr>
          <w:rFonts w:eastAsia="ヒラギノ角ゴ Pro W3"/>
          <w:color w:val="000000"/>
          <w:spacing w:val="-2"/>
          <w:sz w:val="24"/>
          <w:lang w:val="en-GB"/>
        </w:rPr>
        <w:t xml:space="preserve">the </w:t>
      </w:r>
      <w:r w:rsidRPr="003A0ABB">
        <w:rPr>
          <w:rFonts w:eastAsia="ヒラギノ角ゴ Pro W3"/>
          <w:color w:val="000000"/>
          <w:spacing w:val="-2"/>
          <w:sz w:val="24"/>
        </w:rPr>
        <w:t xml:space="preserve">scientific data and information </w:t>
      </w:r>
      <w:r>
        <w:rPr>
          <w:rFonts w:eastAsia="ヒラギノ角ゴ Pro W3"/>
          <w:color w:val="000000"/>
          <w:spacing w:val="-2"/>
          <w:sz w:val="24"/>
        </w:rPr>
        <w:t xml:space="preserve">used </w:t>
      </w:r>
      <w:r w:rsidRPr="003A0ABB">
        <w:rPr>
          <w:rFonts w:eastAsia="ヒラギノ角ゴ Pro W3"/>
          <w:color w:val="000000"/>
          <w:spacing w:val="-2"/>
          <w:sz w:val="24"/>
        </w:rPr>
        <w:t>to descri</w:t>
      </w:r>
      <w:r>
        <w:rPr>
          <w:rFonts w:eastAsia="ヒラギノ角ゴ Pro W3"/>
          <w:color w:val="000000"/>
          <w:spacing w:val="-2"/>
          <w:sz w:val="24"/>
        </w:rPr>
        <w:t xml:space="preserve">be </w:t>
      </w:r>
      <w:r w:rsidRPr="00C03BD4">
        <w:rPr>
          <w:rFonts w:eastAsia="ヒラギノ角ゴ Pro W3"/>
          <w:color w:val="000000"/>
          <w:spacing w:val="-2"/>
          <w:sz w:val="24"/>
          <w:lang w:val="en-GB"/>
        </w:rPr>
        <w:t xml:space="preserve">EBSAs to </w:t>
      </w:r>
      <w:r>
        <w:rPr>
          <w:rFonts w:eastAsia="ヒラギノ角ゴ Pro W3"/>
          <w:color w:val="000000"/>
          <w:spacing w:val="-2"/>
          <w:sz w:val="24"/>
          <w:lang w:val="en-GB"/>
        </w:rPr>
        <w:t xml:space="preserve">the development of </w:t>
      </w:r>
      <w:r w:rsidRPr="00C03BD4">
        <w:rPr>
          <w:rFonts w:eastAsia="ヒラギノ角ゴ Pro W3"/>
          <w:color w:val="000000"/>
          <w:spacing w:val="-2"/>
          <w:sz w:val="24"/>
          <w:lang w:val="en-GB"/>
        </w:rPr>
        <w:t xml:space="preserve">ecological networks and </w:t>
      </w:r>
      <w:r>
        <w:rPr>
          <w:rFonts w:eastAsia="ヒラギノ角ゴ Pro W3"/>
          <w:color w:val="000000"/>
          <w:spacing w:val="-2"/>
          <w:sz w:val="24"/>
          <w:lang w:val="en-GB"/>
        </w:rPr>
        <w:t xml:space="preserve">the promotion of </w:t>
      </w:r>
      <w:r w:rsidRPr="00C03BD4">
        <w:rPr>
          <w:rFonts w:eastAsia="ヒラギノ角ゴ Pro W3"/>
          <w:color w:val="000000"/>
          <w:spacing w:val="-2"/>
          <w:sz w:val="24"/>
          <w:lang w:val="en-GB"/>
        </w:rPr>
        <w:t xml:space="preserve">connectivity by exploring whether </w:t>
      </w:r>
      <w:r>
        <w:rPr>
          <w:rFonts w:eastAsia="ヒラギノ角ゴ Pro W3"/>
          <w:color w:val="000000"/>
          <w:spacing w:val="-2"/>
          <w:sz w:val="24"/>
          <w:lang w:val="en-GB"/>
        </w:rPr>
        <w:t>this data and information</w:t>
      </w:r>
      <w:r w:rsidRPr="00C03BD4">
        <w:rPr>
          <w:rFonts w:eastAsia="ヒラギノ角ゴ Pro W3"/>
          <w:color w:val="000000"/>
          <w:spacing w:val="-2"/>
          <w:sz w:val="24"/>
          <w:lang w:val="en-GB"/>
        </w:rPr>
        <w:t xml:space="preserve"> could contribute to</w:t>
      </w:r>
      <w:r>
        <w:rPr>
          <w:rFonts w:eastAsia="ヒラギノ角ゴ Pro W3"/>
          <w:color w:val="000000"/>
          <w:spacing w:val="-2"/>
          <w:sz w:val="24"/>
          <w:lang w:val="en-GB"/>
        </w:rPr>
        <w:t xml:space="preserve"> identifying areas</w:t>
      </w:r>
      <w:r w:rsidRPr="00C03BD4">
        <w:rPr>
          <w:rFonts w:eastAsia="ヒラギノ角ゴ Pro W3"/>
          <w:color w:val="000000"/>
          <w:spacing w:val="-2"/>
          <w:sz w:val="24"/>
          <w:lang w:val="en-GB"/>
        </w:rPr>
        <w:t xml:space="preserve"> meeting the needs of marine migratory species which use multiple habitats throughout the stages of their life history and across their migration range; and</w:t>
      </w:r>
    </w:p>
    <w:p w14:paraId="7768FCAD" w14:textId="77777777" w:rsidR="00692EB7" w:rsidRPr="00C03BD4" w:rsidRDefault="00692EB7" w:rsidP="00F702CF">
      <w:pPr>
        <w:autoSpaceDE/>
        <w:autoSpaceDN/>
        <w:adjustRightInd/>
        <w:ind w:firstLine="720"/>
        <w:jc w:val="both"/>
        <w:rPr>
          <w:rFonts w:eastAsia="ヒラギノ角ゴ Pro W3"/>
          <w:color w:val="000000"/>
          <w:sz w:val="24"/>
        </w:rPr>
      </w:pPr>
    </w:p>
    <w:p w14:paraId="11B27874" w14:textId="3A3A3A0C" w:rsidR="00692EB7" w:rsidRPr="00C03BD4" w:rsidRDefault="00692EB7" w:rsidP="00F702CF">
      <w:pPr>
        <w:autoSpaceDE/>
        <w:autoSpaceDN/>
        <w:adjustRightInd/>
        <w:ind w:firstLine="720"/>
        <w:jc w:val="both"/>
        <w:rPr>
          <w:rFonts w:eastAsia="ヒラギノ角ゴ Pro W3"/>
          <w:color w:val="000000"/>
          <w:sz w:val="24"/>
          <w:lang w:val="en-GB"/>
        </w:rPr>
      </w:pPr>
      <w:r w:rsidRPr="00C03BD4">
        <w:rPr>
          <w:rFonts w:eastAsia="ヒラギノ角ゴ Pro W3"/>
          <w:i/>
          <w:iCs/>
          <w:color w:val="000000"/>
          <w:sz w:val="24"/>
          <w:lang w:val="en-GB"/>
        </w:rPr>
        <w:t>Welcoming</w:t>
      </w:r>
      <w:r w:rsidRPr="00C03BD4">
        <w:rPr>
          <w:rFonts w:eastAsia="ヒラギノ角ゴ Pro W3"/>
          <w:color w:val="000000"/>
          <w:sz w:val="24"/>
          <w:lang w:val="en-GB"/>
        </w:rPr>
        <w:t xml:space="preserve"> 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w:t>
      </w:r>
      <w:r>
        <w:rPr>
          <w:rFonts w:eastAsia="ヒラギノ角ゴ Pro W3"/>
          <w:color w:val="000000"/>
          <w:sz w:val="24"/>
          <w:lang w:val="en-GB"/>
        </w:rPr>
        <w:t xml:space="preserve">for the scientific data and information describing EBSAs </w:t>
      </w:r>
      <w:r w:rsidRPr="00C03BD4">
        <w:rPr>
          <w:rFonts w:eastAsia="ヒラギノ角ゴ Pro W3"/>
          <w:color w:val="000000"/>
          <w:sz w:val="24"/>
          <w:lang w:val="en-GB"/>
        </w:rPr>
        <w:t xml:space="preserve">to </w:t>
      </w:r>
      <w:r>
        <w:rPr>
          <w:rFonts w:eastAsia="ヒラギノ角ゴ Pro W3"/>
          <w:color w:val="000000"/>
          <w:sz w:val="24"/>
          <w:lang w:val="en-GB"/>
        </w:rPr>
        <w:t>c</w:t>
      </w:r>
      <w:r w:rsidRPr="008665DF">
        <w:rPr>
          <w:rFonts w:eastAsia="ヒラギノ角ゴ Pro W3"/>
          <w:color w:val="000000"/>
          <w:sz w:val="24"/>
          <w:lang w:val="en-GB"/>
        </w:rPr>
        <w:t>ontribute to the conservation of migratory species in marine areas within and beyond the limits of national jurisdiction, particularly with respect to ecological networks and connectivity</w:t>
      </w:r>
      <w:r w:rsidR="004A0C22">
        <w:rPr>
          <w:rFonts w:eastAsia="ヒラギノ角ゴ Pro W3"/>
          <w:color w:val="000000"/>
          <w:sz w:val="24"/>
          <w:lang w:val="en-GB"/>
        </w:rPr>
        <w:t>.</w:t>
      </w:r>
    </w:p>
    <w:p w14:paraId="06C3BA82" w14:textId="77777777" w:rsidR="00692EB7" w:rsidRPr="00C03BD4" w:rsidRDefault="00692EB7" w:rsidP="00692EB7">
      <w:pPr>
        <w:autoSpaceDE/>
        <w:autoSpaceDN/>
        <w:adjustRightInd/>
        <w:jc w:val="both"/>
        <w:rPr>
          <w:rFonts w:eastAsia="ヒラギノ角ゴ Pro W3"/>
          <w:color w:val="000000"/>
          <w:sz w:val="24"/>
          <w:lang w:val="en-GB"/>
        </w:rPr>
      </w:pPr>
    </w:p>
    <w:p w14:paraId="1DD6C1D4" w14:textId="77777777" w:rsidR="00692EB7" w:rsidRPr="00C03BD4" w:rsidRDefault="00692EB7" w:rsidP="00692EB7">
      <w:pPr>
        <w:autoSpaceDE/>
        <w:autoSpaceDN/>
        <w:adjustRightInd/>
        <w:jc w:val="both"/>
        <w:rPr>
          <w:rFonts w:eastAsia="ヒラギノ角ゴ Pro W3"/>
          <w:color w:val="000000"/>
          <w:sz w:val="24"/>
          <w:lang w:val="en-GB"/>
        </w:rPr>
      </w:pPr>
    </w:p>
    <w:p w14:paraId="52D6A91F" w14:textId="77777777" w:rsidR="00692EB7" w:rsidRPr="00C03BD4" w:rsidRDefault="00692EB7" w:rsidP="00692EB7">
      <w:pPr>
        <w:autoSpaceDE/>
        <w:autoSpaceDN/>
        <w:adjustRightInd/>
        <w:jc w:val="center"/>
        <w:rPr>
          <w:rFonts w:eastAsia="ヒラギノ角ゴ Pro W3"/>
          <w:color w:val="000000"/>
          <w:sz w:val="24"/>
          <w:lang w:val="en-GB"/>
        </w:rPr>
      </w:pPr>
      <w:r w:rsidRPr="00C03BD4">
        <w:rPr>
          <w:rFonts w:eastAsia="ヒラギノ角ゴ Pro W3"/>
          <w:i/>
          <w:color w:val="000000"/>
          <w:sz w:val="24"/>
          <w:lang w:val="en-GB"/>
        </w:rPr>
        <w:t>The Conference of the Parties to the</w:t>
      </w:r>
    </w:p>
    <w:p w14:paraId="1022F291" w14:textId="77777777" w:rsidR="00692EB7" w:rsidRPr="00C03BD4" w:rsidRDefault="00692EB7" w:rsidP="00692EB7">
      <w:pPr>
        <w:autoSpaceDE/>
        <w:autoSpaceDN/>
        <w:adjustRightInd/>
        <w:jc w:val="center"/>
        <w:rPr>
          <w:rFonts w:eastAsia="ヒラギノ角ゴ Pro W3"/>
          <w:i/>
          <w:color w:val="000000"/>
          <w:sz w:val="24"/>
          <w:lang w:val="en-GB"/>
        </w:rPr>
      </w:pPr>
      <w:r w:rsidRPr="00C03BD4">
        <w:rPr>
          <w:rFonts w:eastAsia="ヒラギノ角ゴ Pro W3"/>
          <w:i/>
          <w:color w:val="000000"/>
          <w:sz w:val="24"/>
          <w:lang w:val="en-GB"/>
        </w:rPr>
        <w:t>Convention on the Conservation of Migratory Species of Wild Animals</w:t>
      </w:r>
    </w:p>
    <w:p w14:paraId="27C05229" w14:textId="77777777" w:rsidR="00692EB7" w:rsidRPr="00C03BD4" w:rsidRDefault="00692EB7" w:rsidP="00692EB7">
      <w:pPr>
        <w:autoSpaceDE/>
        <w:autoSpaceDN/>
        <w:adjustRightInd/>
        <w:jc w:val="both"/>
        <w:rPr>
          <w:rFonts w:eastAsia="ヒラギノ角ゴ Pro W3"/>
          <w:color w:val="000000"/>
          <w:sz w:val="24"/>
          <w:lang w:val="en-GB"/>
        </w:rPr>
      </w:pPr>
    </w:p>
    <w:p w14:paraId="181CAC30" w14:textId="77777777" w:rsidR="00692EB7" w:rsidRPr="00C03BD4" w:rsidRDefault="00692EB7" w:rsidP="00F702CF">
      <w:pPr>
        <w:pStyle w:val="ListParagraph"/>
        <w:numPr>
          <w:ilvl w:val="0"/>
          <w:numId w:val="19"/>
        </w:numPr>
        <w:tabs>
          <w:tab w:val="left" w:pos="709"/>
        </w:tabs>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Expresses its gratitude</w:t>
      </w:r>
      <w:r w:rsidRPr="00C03BD4">
        <w:rPr>
          <w:rFonts w:eastAsia="ヒラギノ角ゴ Pro W3"/>
          <w:color w:val="000000"/>
          <w:sz w:val="24"/>
          <w:lang w:val="en-GB"/>
        </w:rPr>
        <w:t xml:space="preserve"> to the Government of Norway for funding the work on</w:t>
      </w:r>
      <w:r>
        <w:rPr>
          <w:rFonts w:eastAsia="ヒラギノ角ゴ Pro W3"/>
          <w:color w:val="000000"/>
          <w:sz w:val="24"/>
          <w:lang w:val="en-GB"/>
        </w:rPr>
        <w:t xml:space="preserve"> the strategic review and case studies on</w:t>
      </w:r>
      <w:r w:rsidRPr="00C03BD4">
        <w:rPr>
          <w:rFonts w:eastAsia="ヒラギノ角ゴ Pro W3"/>
          <w:color w:val="000000"/>
          <w:sz w:val="24"/>
          <w:lang w:val="en-GB"/>
        </w:rPr>
        <w:t xml:space="preserve"> ecological networks intersessionally;</w:t>
      </w:r>
    </w:p>
    <w:p w14:paraId="56195C24" w14:textId="77777777" w:rsidR="00692EB7" w:rsidRPr="00C03BD4" w:rsidRDefault="00692EB7" w:rsidP="00F702CF">
      <w:pPr>
        <w:numPr>
          <w:ilvl w:val="0"/>
          <w:numId w:val="19"/>
        </w:numPr>
        <w:tabs>
          <w:tab w:val="left" w:pos="709"/>
        </w:tabs>
        <w:autoSpaceDE/>
        <w:autoSpaceDN/>
        <w:adjustRightInd/>
        <w:jc w:val="both"/>
        <w:rPr>
          <w:rFonts w:eastAsia="ヒラギノ角ゴ Pro W3"/>
          <w:color w:val="000000"/>
          <w:sz w:val="24"/>
          <w:lang w:val="en-GB"/>
        </w:rPr>
      </w:pPr>
      <w:r w:rsidRPr="00C03BD4">
        <w:rPr>
          <w:rFonts w:eastAsia="ヒラギノ角ゴ Pro W3"/>
          <w:i/>
          <w:color w:val="000000"/>
          <w:sz w:val="24"/>
          <w:lang w:val="en-GB"/>
        </w:rPr>
        <w:lastRenderedPageBreak/>
        <w:t xml:space="preserve">Takes note </w:t>
      </w:r>
      <w:r w:rsidRPr="00C03BD4">
        <w:rPr>
          <w:rFonts w:eastAsia="ヒラギノ角ゴ Pro W3"/>
          <w:color w:val="000000"/>
          <w:sz w:val="24"/>
          <w:lang w:val="en-GB"/>
        </w:rPr>
        <w:t>of the compilation of case studies on ecological networks (</w:t>
      </w:r>
      <w:r w:rsidRPr="0091376D">
        <w:rPr>
          <w:rFonts w:eastAsia="ヒラギノ角ゴ Pro W3"/>
          <w:color w:val="000000"/>
          <w:sz w:val="24"/>
          <w:lang w:val="en-GB"/>
        </w:rPr>
        <w:t>UNEP/CMS/</w:t>
      </w:r>
      <w:r>
        <w:rPr>
          <w:rFonts w:eastAsia="ヒラギノ角ゴ Pro W3"/>
          <w:color w:val="000000"/>
          <w:sz w:val="24"/>
          <w:lang w:val="en-GB"/>
        </w:rPr>
        <w:t>COP11</w:t>
      </w:r>
      <w:r w:rsidRPr="0091376D">
        <w:rPr>
          <w:rFonts w:eastAsia="ヒラギノ角ゴ Pro W3"/>
          <w:color w:val="000000"/>
          <w:sz w:val="24"/>
          <w:lang w:val="en-GB"/>
        </w:rPr>
        <w:t>/Inf.</w:t>
      </w:r>
      <w:r>
        <w:rPr>
          <w:rFonts w:eastAsia="ヒラギノ角ゴ Pro W3"/>
          <w:color w:val="000000"/>
          <w:sz w:val="24"/>
          <w:lang w:val="en-GB"/>
        </w:rPr>
        <w:t>22</w:t>
      </w:r>
      <w:r w:rsidRPr="00C03BD4">
        <w:rPr>
          <w:rFonts w:eastAsia="ヒラギノ角ゴ Pro W3"/>
          <w:color w:val="000000"/>
          <w:sz w:val="24"/>
          <w:lang w:val="en-GB"/>
        </w:rPr>
        <w:t>);</w:t>
      </w:r>
    </w:p>
    <w:p w14:paraId="25F0AA05" w14:textId="77777777" w:rsidR="00692EB7" w:rsidRPr="00C03BD4" w:rsidRDefault="00692EB7" w:rsidP="00692EB7">
      <w:pPr>
        <w:autoSpaceDE/>
        <w:autoSpaceDN/>
        <w:adjustRightInd/>
        <w:jc w:val="both"/>
        <w:rPr>
          <w:rFonts w:eastAsia="ヒラギノ角ゴ Pro W3"/>
          <w:color w:val="000000"/>
          <w:sz w:val="24"/>
          <w:lang w:val="en-GB"/>
        </w:rPr>
      </w:pPr>
    </w:p>
    <w:p w14:paraId="1CB74C99" w14:textId="77777777" w:rsidR="00692EB7" w:rsidRPr="00C03BD4" w:rsidRDefault="00692EB7" w:rsidP="00F702CF">
      <w:pPr>
        <w:numPr>
          <w:ilvl w:val="0"/>
          <w:numId w:val="19"/>
        </w:numPr>
        <w:tabs>
          <w:tab w:val="left" w:pos="709"/>
        </w:tabs>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 xml:space="preserve">Endorses </w:t>
      </w:r>
      <w:r w:rsidRPr="00C03BD4">
        <w:rPr>
          <w:rFonts w:eastAsia="ヒラギノ角ゴ Pro W3"/>
          <w:color w:val="000000"/>
          <w:sz w:val="24"/>
          <w:lang w:val="en-GB"/>
        </w:rPr>
        <w:t xml:space="preserve">the </w:t>
      </w:r>
      <w:r w:rsidRPr="00487841">
        <w:rPr>
          <w:rFonts w:eastAsia="ヒラギノ角ゴ Pro W3"/>
          <w:color w:val="000000"/>
          <w:sz w:val="24"/>
          <w:lang w:val="en-GB"/>
        </w:rPr>
        <w:t>recommendations made in the strategic review on ecological networks (UNEP/CMS/COP11/Doc.23.4.1.</w:t>
      </w:r>
      <w:r>
        <w:rPr>
          <w:rFonts w:eastAsia="ヒラギノ角ゴ Pro W3"/>
          <w:color w:val="000000"/>
          <w:sz w:val="24"/>
          <w:lang w:val="en-GB"/>
        </w:rPr>
        <w:t>2</w:t>
      </w:r>
      <w:r w:rsidRPr="00487841">
        <w:rPr>
          <w:rFonts w:eastAsia="ヒラギノ角ゴ Pro W3"/>
          <w:color w:val="000000"/>
          <w:sz w:val="24"/>
          <w:lang w:val="en-GB"/>
        </w:rPr>
        <w:t>), included</w:t>
      </w:r>
      <w:r w:rsidRPr="00C03BD4">
        <w:rPr>
          <w:rFonts w:eastAsia="ヒラギノ角ゴ Pro W3"/>
          <w:color w:val="000000"/>
          <w:sz w:val="24"/>
          <w:lang w:val="en-GB"/>
        </w:rPr>
        <w:t xml:space="preserve"> in Annex I to this Resolution;</w:t>
      </w:r>
    </w:p>
    <w:p w14:paraId="3F0247B3" w14:textId="77777777" w:rsidR="00692EB7" w:rsidRPr="00C03BD4" w:rsidRDefault="00692EB7" w:rsidP="00692EB7">
      <w:pPr>
        <w:autoSpaceDE/>
        <w:autoSpaceDN/>
        <w:adjustRightInd/>
        <w:jc w:val="both"/>
        <w:rPr>
          <w:rFonts w:eastAsia="ヒラギノ角ゴ Pro W3"/>
          <w:color w:val="000000"/>
          <w:sz w:val="24"/>
          <w:lang w:val="en-GB"/>
        </w:rPr>
      </w:pPr>
    </w:p>
    <w:p w14:paraId="558567C1" w14:textId="0CE9812C" w:rsidR="00692EB7" w:rsidRPr="00C03BD4"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 xml:space="preserve">Requests </w:t>
      </w:r>
      <w:r w:rsidRPr="00C03BD4">
        <w:rPr>
          <w:rFonts w:eastAsia="ヒラギノ角ゴ Pro W3"/>
          <w:color w:val="000000"/>
          <w:sz w:val="24"/>
          <w:lang w:val="en-GB"/>
        </w:rPr>
        <w:t>Parties</w:t>
      </w:r>
      <w:r w:rsidRPr="00C03BD4">
        <w:rPr>
          <w:rFonts w:eastAsia="ヒラギノ角ゴ Pro W3"/>
          <w:i/>
          <w:color w:val="000000"/>
          <w:sz w:val="24"/>
          <w:lang w:val="en-GB"/>
        </w:rPr>
        <w:t xml:space="preserve"> </w:t>
      </w:r>
      <w:r w:rsidRPr="00C03BD4">
        <w:rPr>
          <w:rFonts w:eastAsia="ヒラギノ角ゴ Pro W3"/>
          <w:color w:val="000000"/>
          <w:sz w:val="24"/>
          <w:lang w:val="en-GB"/>
        </w:rPr>
        <w:t>and</w:t>
      </w:r>
      <w:r w:rsidRPr="00C03BD4">
        <w:rPr>
          <w:rFonts w:eastAsia="ヒラギノ角ゴ Pro W3"/>
          <w:i/>
          <w:color w:val="000000"/>
          <w:sz w:val="24"/>
          <w:lang w:val="en-GB"/>
        </w:rPr>
        <w:t xml:space="preserve"> invites </w:t>
      </w:r>
      <w:r w:rsidRPr="00C03BD4">
        <w:rPr>
          <w:rFonts w:eastAsia="ヒラギノ角ゴ Pro W3"/>
          <w:iCs/>
          <w:color w:val="000000"/>
          <w:sz w:val="24"/>
          <w:lang w:val="en-GB"/>
        </w:rPr>
        <w:t>all</w:t>
      </w:r>
      <w:r w:rsidRPr="00C03BD4">
        <w:rPr>
          <w:rFonts w:eastAsia="ヒラギノ角ゴ Pro W3"/>
          <w:i/>
          <w:color w:val="000000"/>
          <w:sz w:val="24"/>
          <w:lang w:val="en-GB"/>
        </w:rPr>
        <w:t xml:space="preserve"> </w:t>
      </w:r>
      <w:r w:rsidRPr="00C03BD4">
        <w:rPr>
          <w:rFonts w:eastAsia="ヒラギノ角ゴ Pro W3"/>
          <w:color w:val="000000"/>
          <w:sz w:val="24"/>
          <w:lang w:val="en-GB"/>
        </w:rPr>
        <w:t>other Range States, partner organizations and the private sector to provide financial resources and in-kind support to assist in implementing the recommendations within this Resolution, including Annex I;</w:t>
      </w:r>
    </w:p>
    <w:p w14:paraId="79EA4D1F" w14:textId="77777777" w:rsidR="00692EB7" w:rsidRPr="00C03BD4" w:rsidRDefault="00692EB7" w:rsidP="006D2E05">
      <w:pPr>
        <w:autoSpaceDE/>
        <w:autoSpaceDN/>
        <w:adjustRightInd/>
        <w:rPr>
          <w:rFonts w:eastAsia="ヒラギノ角ゴ Pro W3"/>
          <w:color w:val="000000"/>
          <w:sz w:val="24"/>
          <w:lang w:val="en-GB"/>
        </w:rPr>
      </w:pPr>
    </w:p>
    <w:p w14:paraId="2C9DA1B0" w14:textId="77777777" w:rsidR="00692EB7" w:rsidRPr="00C03BD4"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Encourages</w:t>
      </w:r>
      <w:r w:rsidRPr="00C03BD4">
        <w:rPr>
          <w:rFonts w:eastAsia="ヒラギノ角ゴ Pro W3"/>
          <w:color w:val="000000"/>
          <w:sz w:val="24"/>
          <w:lang w:val="en-GB"/>
        </w:rPr>
        <w:t xml:space="preserve"> Parties to provide financial resources and in-kind support to underpin and strengthen existing ecological network initiatives within the CMS Family of instruments, including the Western/Central Asian Site Network for the Siberian Crane and other Migratory Waterbirds, </w:t>
      </w:r>
      <w:r w:rsidR="002C11C7">
        <w:rPr>
          <w:rFonts w:eastAsia="ヒラギノ角ゴ Pro W3"/>
          <w:color w:val="000000"/>
          <w:sz w:val="24"/>
          <w:lang w:val="en-GB"/>
        </w:rPr>
        <w:t>the Critical Site Network of African Eurasian Waterbird Agreement,</w:t>
      </w:r>
      <w:r w:rsidR="0007475F">
        <w:rPr>
          <w:rFonts w:eastAsia="ヒラギノ角ゴ Pro W3"/>
          <w:color w:val="000000"/>
          <w:sz w:val="24"/>
          <w:lang w:val="en-GB"/>
        </w:rPr>
        <w:t xml:space="preserve"> </w:t>
      </w:r>
      <w:r w:rsidRPr="00C03BD4">
        <w:rPr>
          <w:rFonts w:eastAsia="ヒラギノ角ゴ Pro W3"/>
          <w:color w:val="000000"/>
          <w:sz w:val="24"/>
          <w:lang w:val="en-GB"/>
        </w:rPr>
        <w:t>and the newly launched CMS/IOSEA Network of Sites of Importance for Marine Turtles</w:t>
      </w:r>
      <w:r w:rsidR="002C11C7">
        <w:rPr>
          <w:rFonts w:eastAsia="ヒラギノ角ゴ Pro W3"/>
          <w:color w:val="000000"/>
          <w:sz w:val="24"/>
          <w:lang w:val="en-GB"/>
        </w:rPr>
        <w:t xml:space="preserve"> and East Asian – Australasian Flyway Site Network</w:t>
      </w:r>
      <w:r w:rsidRPr="00C03BD4">
        <w:rPr>
          <w:rFonts w:eastAsia="ヒラギノ角ゴ Pro W3"/>
          <w:color w:val="000000"/>
          <w:sz w:val="24"/>
          <w:lang w:val="en-GB"/>
        </w:rPr>
        <w:t>;</w:t>
      </w:r>
    </w:p>
    <w:p w14:paraId="3650A77E" w14:textId="77777777" w:rsidR="00692EB7" w:rsidRPr="00C03BD4" w:rsidRDefault="00692EB7" w:rsidP="006D2E05">
      <w:pPr>
        <w:autoSpaceDE/>
        <w:autoSpaceDN/>
        <w:adjustRightInd/>
        <w:jc w:val="both"/>
        <w:rPr>
          <w:rFonts w:eastAsia="ヒラギノ角ゴ Pro W3"/>
          <w:color w:val="000000"/>
          <w:sz w:val="24"/>
          <w:lang w:val="en-GB"/>
        </w:rPr>
      </w:pPr>
    </w:p>
    <w:p w14:paraId="4F365C59" w14:textId="77777777" w:rsidR="00692EB7" w:rsidRPr="00C03BD4"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Calls upon</w:t>
      </w:r>
      <w:r w:rsidRPr="00C03BD4">
        <w:rPr>
          <w:rFonts w:eastAsia="ヒラギノ角ゴ Pro W3"/>
          <w:color w:val="000000"/>
          <w:sz w:val="24"/>
          <w:lang w:val="en-GB"/>
        </w:rPr>
        <w:t xml:space="preserve"> Parties to </w:t>
      </w:r>
      <w:r>
        <w:rPr>
          <w:rFonts w:eastAsia="ヒラギノ角ゴ Pro W3"/>
          <w:color w:val="000000"/>
          <w:sz w:val="24"/>
          <w:lang w:val="en-GB"/>
        </w:rPr>
        <w:t>develop</w:t>
      </w:r>
      <w:r w:rsidRPr="00C03BD4">
        <w:rPr>
          <w:rFonts w:eastAsia="ヒラギノ角ゴ Pro W3"/>
          <w:color w:val="000000"/>
          <w:sz w:val="24"/>
          <w:lang w:val="en-GB"/>
        </w:rPr>
        <w:t xml:space="preserve"> transboundary </w:t>
      </w:r>
      <w:r>
        <w:rPr>
          <w:rFonts w:eastAsia="ヒラギノ角ゴ Pro W3"/>
          <w:color w:val="000000"/>
          <w:sz w:val="24"/>
          <w:lang w:val="en-GB"/>
        </w:rPr>
        <w:t xml:space="preserve">area-based conservation measures including </w:t>
      </w:r>
      <w:r w:rsidRPr="00C03BD4">
        <w:rPr>
          <w:rFonts w:eastAsia="ヒラギノ角ゴ Pro W3"/>
          <w:color w:val="000000"/>
          <w:sz w:val="24"/>
          <w:lang w:val="en-GB"/>
        </w:rPr>
        <w:t xml:space="preserve">protected </w:t>
      </w:r>
      <w:r>
        <w:rPr>
          <w:rFonts w:eastAsia="ヒラギノ角ゴ Pro W3"/>
          <w:color w:val="000000"/>
          <w:sz w:val="24"/>
          <w:lang w:val="en-GB"/>
        </w:rPr>
        <w:t xml:space="preserve">and other </w:t>
      </w:r>
      <w:r w:rsidRPr="00C03BD4">
        <w:rPr>
          <w:rFonts w:eastAsia="ヒラギノ角ゴ Pro W3"/>
          <w:color w:val="000000"/>
          <w:sz w:val="24"/>
          <w:lang w:val="en-GB"/>
        </w:rPr>
        <w:t>area systems</w:t>
      </w:r>
      <w:r>
        <w:rPr>
          <w:rFonts w:eastAsia="ヒラギノ角ゴ Pro W3"/>
          <w:color w:val="000000"/>
          <w:sz w:val="24"/>
          <w:lang w:val="en-GB"/>
        </w:rPr>
        <w:t>,</w:t>
      </w:r>
      <w:r w:rsidRPr="00C03BD4">
        <w:rPr>
          <w:rFonts w:eastAsia="ヒラギノ角ゴ Pro W3"/>
          <w:color w:val="000000"/>
          <w:sz w:val="24"/>
          <w:lang w:val="en-GB"/>
        </w:rPr>
        <w:t xml:space="preserve"> when implementing the CMS ecological network mandate and to strengthen and build upon existing </w:t>
      </w:r>
      <w:r>
        <w:rPr>
          <w:rFonts w:eastAsia="ヒラギノ角ゴ Pro W3"/>
          <w:color w:val="000000"/>
          <w:sz w:val="24"/>
          <w:lang w:val="en-GB"/>
        </w:rPr>
        <w:t>initiatives</w:t>
      </w:r>
      <w:r w:rsidRPr="00C03BD4">
        <w:rPr>
          <w:rFonts w:eastAsia="ヒラギノ角ゴ Pro W3"/>
          <w:color w:val="000000"/>
          <w:sz w:val="24"/>
          <w:lang w:val="en-GB"/>
        </w:rPr>
        <w:t>, including the KAZA TFCA;</w:t>
      </w:r>
    </w:p>
    <w:p w14:paraId="7381986C" w14:textId="77777777" w:rsidR="00692EB7" w:rsidRPr="00C03BD4" w:rsidRDefault="00692EB7" w:rsidP="006D2E05">
      <w:pPr>
        <w:autoSpaceDE/>
        <w:autoSpaceDN/>
        <w:adjustRightInd/>
        <w:rPr>
          <w:rFonts w:eastAsia="ヒラギノ角ゴ Pro W3"/>
          <w:color w:val="000000"/>
          <w:sz w:val="24"/>
          <w:lang w:val="en-GB"/>
        </w:rPr>
      </w:pPr>
    </w:p>
    <w:p w14:paraId="4DC15C1F" w14:textId="77777777" w:rsidR="00692EB7" w:rsidRPr="00C03BD4"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Urges</w:t>
      </w:r>
      <w:r w:rsidRPr="00C03BD4">
        <w:rPr>
          <w:rFonts w:eastAsia="ヒラギノ角ゴ Pro W3"/>
          <w:color w:val="000000"/>
          <w:sz w:val="24"/>
          <w:lang w:val="en-GB"/>
        </w:rPr>
        <w:t xml:space="preserve"> Parties to promote ecological networks and connectivity through, for example, the development of further site networks within the CMS Family or other fora and processes, that use scientifically robust criteria to </w:t>
      </w:r>
      <w:r>
        <w:rPr>
          <w:rFonts w:eastAsia="ヒラギノ角ゴ Pro W3"/>
          <w:color w:val="000000"/>
          <w:sz w:val="24"/>
          <w:lang w:val="en-GB"/>
        </w:rPr>
        <w:t xml:space="preserve">describe and </w:t>
      </w:r>
      <w:r w:rsidRPr="00C03BD4">
        <w:rPr>
          <w:rFonts w:eastAsia="ヒラギノ角ゴ Pro W3"/>
          <w:color w:val="000000"/>
          <w:sz w:val="24"/>
          <w:lang w:val="en-GB"/>
        </w:rPr>
        <w:t>identify important sites for migratory species and promote their internationally coordinated conservation and management, with support from the CMS Scientific Council, as appropriate;</w:t>
      </w:r>
    </w:p>
    <w:p w14:paraId="0DF7F8E4" w14:textId="77777777" w:rsidR="00692EB7" w:rsidRPr="00C03BD4" w:rsidRDefault="00692EB7" w:rsidP="006D2E05">
      <w:pPr>
        <w:autoSpaceDE/>
        <w:autoSpaceDN/>
        <w:adjustRightInd/>
        <w:jc w:val="both"/>
        <w:rPr>
          <w:rFonts w:eastAsia="ヒラギノ角ゴ Pro W3"/>
          <w:color w:val="000000"/>
          <w:sz w:val="24"/>
          <w:lang w:val="en-GB"/>
        </w:rPr>
      </w:pPr>
    </w:p>
    <w:p w14:paraId="7D13FE51" w14:textId="77777777" w:rsidR="00692EB7" w:rsidRPr="00C03BD4" w:rsidRDefault="00692EB7" w:rsidP="006D2E05">
      <w:pPr>
        <w:keepLines/>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Invites</w:t>
      </w:r>
      <w:r w:rsidRPr="00C03BD4">
        <w:rPr>
          <w:rFonts w:eastAsia="ヒラギノ角ゴ Pro W3"/>
          <w:color w:val="000000"/>
          <w:sz w:val="24"/>
          <w:lang w:val="en-GB"/>
        </w:rPr>
        <w:t xml:space="preserve"> Non-Parties to collaborate closely with Parties in the management of transboundary populations of CMS-listed species, including </w:t>
      </w:r>
      <w:r>
        <w:rPr>
          <w:rFonts w:eastAsia="ヒラギノ角ゴ Pro W3"/>
          <w:color w:val="000000"/>
          <w:sz w:val="24"/>
          <w:lang w:val="en-GB"/>
        </w:rPr>
        <w:t xml:space="preserve">by </w:t>
      </w:r>
      <w:r w:rsidRPr="00C03BD4">
        <w:rPr>
          <w:rFonts w:eastAsia="ヒラギノ角ゴ Pro W3"/>
          <w:color w:val="000000"/>
          <w:sz w:val="24"/>
          <w:lang w:val="en-GB"/>
        </w:rPr>
        <w:t xml:space="preserve">joining CMS and its associated instruments, to </w:t>
      </w:r>
      <w:r>
        <w:rPr>
          <w:rFonts w:eastAsia="ヒラギノ角ゴ Pro W3"/>
          <w:color w:val="000000"/>
          <w:sz w:val="24"/>
          <w:lang w:val="en-GB"/>
        </w:rPr>
        <w:t>support the development and</w:t>
      </w:r>
      <w:r w:rsidRPr="00C03BD4">
        <w:rPr>
          <w:rFonts w:eastAsia="ヒラギノ角ゴ Pro W3"/>
          <w:color w:val="000000"/>
          <w:sz w:val="24"/>
          <w:lang w:val="en-GB"/>
        </w:rPr>
        <w:t xml:space="preserve"> implementation of ecological networks globally;</w:t>
      </w:r>
    </w:p>
    <w:p w14:paraId="0310722D" w14:textId="77777777" w:rsidR="003E0319" w:rsidRDefault="003E0319" w:rsidP="006D2E05">
      <w:pPr>
        <w:rPr>
          <w:rFonts w:eastAsia="ヒラギノ角ゴ Pro W3"/>
          <w:color w:val="000000"/>
          <w:sz w:val="24"/>
          <w:lang w:val="en-GB"/>
        </w:rPr>
      </w:pPr>
    </w:p>
    <w:p w14:paraId="28F8C87E" w14:textId="1B89CEB1" w:rsidR="003E0319" w:rsidRDefault="00B373FD" w:rsidP="006D2E05">
      <w:pPr>
        <w:jc w:val="both"/>
        <w:rPr>
          <w:sz w:val="24"/>
        </w:rPr>
      </w:pPr>
      <w:r>
        <w:rPr>
          <w:rFonts w:eastAsia="ヒラギノ角ゴ Pro W3"/>
          <w:color w:val="000000"/>
          <w:sz w:val="24"/>
          <w:lang w:val="en-GB"/>
        </w:rPr>
        <w:t>8</w:t>
      </w:r>
      <w:r w:rsidR="006D2E05">
        <w:rPr>
          <w:rFonts w:eastAsia="ヒラギノ角ゴ Pro W3"/>
          <w:color w:val="000000"/>
          <w:sz w:val="24"/>
          <w:lang w:val="en-GB"/>
        </w:rPr>
        <w:t xml:space="preserve"> </w:t>
      </w:r>
      <w:r>
        <w:rPr>
          <w:rFonts w:eastAsia="ヒラギノ角ゴ Pro W3"/>
          <w:color w:val="000000"/>
          <w:sz w:val="24"/>
          <w:lang w:val="en-GB"/>
        </w:rPr>
        <w:t xml:space="preserve">bis. </w:t>
      </w:r>
      <w:r w:rsidR="006D2E05">
        <w:rPr>
          <w:rFonts w:eastAsia="ヒラギノ角ゴ Pro W3"/>
          <w:color w:val="000000"/>
          <w:sz w:val="24"/>
          <w:lang w:val="en-GB"/>
        </w:rPr>
        <w:tab/>
      </w:r>
      <w:r w:rsidRPr="00A67418">
        <w:rPr>
          <w:i/>
          <w:sz w:val="24"/>
        </w:rPr>
        <w:t>Urges</w:t>
      </w:r>
      <w:r w:rsidRPr="00C36114">
        <w:rPr>
          <w:sz w:val="24"/>
        </w:rPr>
        <w:t xml:space="preserve"> Parties to address immediate threats to national sites important for migratory species within ecological network</w:t>
      </w:r>
      <w:r w:rsidR="003A7589">
        <w:rPr>
          <w:sz w:val="24"/>
        </w:rPr>
        <w:t>s</w:t>
      </w:r>
      <w:r w:rsidRPr="00C36114">
        <w:rPr>
          <w:sz w:val="24"/>
        </w:rPr>
        <w:t>, making use, where appropriate, of international lists of threatened sites, such as the ‘World Heritage in Danger’ list of UNESCO, the ‘Montreux Record’ of Ramsar and the ‘IBAs in Danger’ list of BirdLife International</w:t>
      </w:r>
      <w:r w:rsidR="00530B9D">
        <w:rPr>
          <w:sz w:val="24"/>
        </w:rPr>
        <w:t>;</w:t>
      </w:r>
      <w:r w:rsidR="00144FF1">
        <w:rPr>
          <w:sz w:val="24"/>
        </w:rPr>
        <w:t xml:space="preserve"> </w:t>
      </w:r>
    </w:p>
    <w:p w14:paraId="74DA3587" w14:textId="77777777" w:rsidR="00D839D3" w:rsidRDefault="00D839D3" w:rsidP="006D2E05">
      <w:pPr>
        <w:rPr>
          <w:sz w:val="24"/>
        </w:rPr>
      </w:pPr>
      <w:bookmarkStart w:id="0" w:name="_GoBack"/>
      <w:bookmarkEnd w:id="0"/>
    </w:p>
    <w:p w14:paraId="13D58BA9" w14:textId="6C4F0883" w:rsidR="000A3536" w:rsidRDefault="000A3536" w:rsidP="008B17B0">
      <w:pPr>
        <w:jc w:val="both"/>
        <w:rPr>
          <w:sz w:val="24"/>
        </w:rPr>
      </w:pPr>
      <w:r>
        <w:rPr>
          <w:rFonts w:eastAsia="ヒラギノ角ゴ Pro W3"/>
          <w:color w:val="000000"/>
          <w:sz w:val="24"/>
          <w:lang w:val="en-GB"/>
        </w:rPr>
        <w:t>8</w:t>
      </w:r>
      <w:r w:rsidR="006D2E05">
        <w:rPr>
          <w:rFonts w:eastAsia="ヒラギノ角ゴ Pro W3"/>
          <w:color w:val="000000"/>
          <w:sz w:val="24"/>
          <w:lang w:val="en-GB"/>
        </w:rPr>
        <w:t xml:space="preserve"> </w:t>
      </w:r>
      <w:r>
        <w:rPr>
          <w:rFonts w:eastAsia="ヒラギノ角ゴ Pro W3"/>
          <w:color w:val="000000"/>
          <w:sz w:val="24"/>
          <w:lang w:val="en-GB"/>
        </w:rPr>
        <w:t xml:space="preserve">ter. </w:t>
      </w:r>
      <w:r w:rsidR="006D2E05">
        <w:rPr>
          <w:rFonts w:eastAsia="ヒラギノ角ゴ Pro W3"/>
          <w:color w:val="000000"/>
          <w:sz w:val="24"/>
          <w:lang w:val="en-GB"/>
        </w:rPr>
        <w:tab/>
      </w:r>
      <w:r w:rsidRPr="00F702CF">
        <w:rPr>
          <w:i/>
          <w:sz w:val="24"/>
        </w:rPr>
        <w:t>Urges</w:t>
      </w:r>
      <w:r w:rsidRPr="00C36114">
        <w:rPr>
          <w:sz w:val="24"/>
        </w:rPr>
        <w:t xml:space="preserve"> </w:t>
      </w:r>
      <w:r w:rsidR="006F316C" w:rsidRPr="006F316C">
        <w:rPr>
          <w:i/>
          <w:sz w:val="24"/>
        </w:rPr>
        <w:t>further</w:t>
      </w:r>
      <w:r w:rsidR="006F316C">
        <w:rPr>
          <w:sz w:val="24"/>
        </w:rPr>
        <w:t xml:space="preserve"> </w:t>
      </w:r>
      <w:r w:rsidRPr="00C36114">
        <w:rPr>
          <w:sz w:val="24"/>
        </w:rPr>
        <w:t>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BirdLife International</w:t>
      </w:r>
      <w:r>
        <w:rPr>
          <w:sz w:val="24"/>
        </w:rPr>
        <w:t xml:space="preserve"> and the International Waterbird Census coordinated by Wetlands International; </w:t>
      </w:r>
    </w:p>
    <w:p w14:paraId="72447B58" w14:textId="2B526ABD" w:rsidR="00D839D3" w:rsidRDefault="00D839D3" w:rsidP="006D2E05">
      <w:pPr>
        <w:rPr>
          <w:sz w:val="24"/>
        </w:rPr>
      </w:pPr>
    </w:p>
    <w:p w14:paraId="39FA4BC1" w14:textId="77777777" w:rsidR="00692EB7" w:rsidRPr="00C03BD4"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t>Further invites</w:t>
      </w:r>
      <w:r w:rsidRPr="00C03BD4">
        <w:rPr>
          <w:rFonts w:eastAsia="ヒラギノ角ゴ Pro W3"/>
          <w:color w:val="000000"/>
          <w:sz w:val="24"/>
          <w:lang w:val="en-GB"/>
        </w:rPr>
        <w:t xml:space="preserve"> the Convention on Biological Diversity, the Ramsar Convention on Wetlands, the World Heritage Convention, the IUCN World Commission on Protected Areas (WCPA) and others to </w:t>
      </w:r>
      <w:r w:rsidRPr="00790ED3">
        <w:rPr>
          <w:rFonts w:eastAsia="ヒラギノ角ゴ Pro W3"/>
          <w:color w:val="000000"/>
          <w:sz w:val="24"/>
          <w:lang w:val="en-GB"/>
        </w:rPr>
        <w:t>use existing ecological networks, such as the Important Bird and Biodiversity Areas of BirdLife International</w:t>
      </w:r>
      <w:r>
        <w:rPr>
          <w:rFonts w:eastAsia="ヒラギノ角ゴ Pro W3"/>
          <w:color w:val="000000"/>
          <w:sz w:val="24"/>
          <w:lang w:val="en-GB"/>
        </w:rPr>
        <w:t>,</w:t>
      </w:r>
      <w:r w:rsidRPr="00790ED3">
        <w:rPr>
          <w:rFonts w:eastAsia="ヒラギノ角ゴ Pro W3"/>
          <w:color w:val="000000"/>
          <w:sz w:val="24"/>
          <w:lang w:val="en-GB"/>
        </w:rPr>
        <w:t xml:space="preserve"> to assess and identify gaps in protected area coverage</w:t>
      </w:r>
      <w:r>
        <w:rPr>
          <w:rFonts w:eastAsia="ヒラギノ角ゴ Pro W3"/>
          <w:color w:val="000000"/>
          <w:sz w:val="24"/>
          <w:lang w:val="en-GB"/>
        </w:rPr>
        <w:t>,</w:t>
      </w:r>
      <w:r w:rsidRPr="00790ED3">
        <w:rPr>
          <w:rFonts w:eastAsia="ヒラギノ角ゴ Pro W3"/>
          <w:color w:val="000000"/>
          <w:sz w:val="24"/>
          <w:lang w:val="en-GB"/>
        </w:rPr>
        <w:t xml:space="preserve"> and secure conservation and sustainable management</w:t>
      </w:r>
      <w:r>
        <w:rPr>
          <w:rFonts w:eastAsia="ヒラギノ角ゴ Pro W3"/>
          <w:color w:val="000000"/>
          <w:sz w:val="24"/>
          <w:lang w:val="en-GB"/>
        </w:rPr>
        <w:t xml:space="preserve"> of these networks</w:t>
      </w:r>
      <w:r w:rsidRPr="00790ED3">
        <w:rPr>
          <w:rFonts w:eastAsia="ヒラギノ角ゴ Pro W3"/>
          <w:color w:val="000000"/>
          <w:sz w:val="24"/>
          <w:lang w:val="en-GB"/>
        </w:rPr>
        <w:t>, as appropriate</w:t>
      </w:r>
      <w:r w:rsidRPr="00C03BD4">
        <w:rPr>
          <w:rFonts w:eastAsia="ヒラギノ角ゴ Pro W3"/>
          <w:color w:val="000000"/>
          <w:sz w:val="24"/>
          <w:lang w:val="en-GB"/>
        </w:rPr>
        <w:t>;</w:t>
      </w:r>
    </w:p>
    <w:p w14:paraId="70CAD770" w14:textId="77777777" w:rsidR="005B3873" w:rsidRPr="00C03BD4" w:rsidRDefault="005B3873" w:rsidP="006D2E05">
      <w:pPr>
        <w:autoSpaceDE/>
        <w:autoSpaceDN/>
        <w:adjustRightInd/>
        <w:rPr>
          <w:rFonts w:eastAsia="ヒラギノ角ゴ Pro W3"/>
          <w:color w:val="000000"/>
          <w:sz w:val="24"/>
          <w:lang w:val="en-GB"/>
        </w:rPr>
      </w:pPr>
    </w:p>
    <w:p w14:paraId="30B7D368" w14:textId="77777777" w:rsidR="00692EB7" w:rsidRPr="00C03BD4"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color w:val="000000"/>
          <w:sz w:val="24"/>
          <w:lang w:val="en-GB"/>
        </w:rPr>
        <w:lastRenderedPageBreak/>
        <w:t>Requests</w:t>
      </w:r>
      <w:r w:rsidRPr="00C03BD4">
        <w:rPr>
          <w:rFonts w:eastAsia="ヒラギノ角ゴ Pro W3"/>
          <w:color w:val="000000"/>
          <w:sz w:val="24"/>
          <w:lang w:val="en-GB"/>
        </w:rPr>
        <w:t xml:space="preserve"> Parties to adopt and implement </w:t>
      </w:r>
      <w:r>
        <w:rPr>
          <w:rFonts w:eastAsia="ヒラギノ角ゴ Pro W3"/>
          <w:color w:val="000000"/>
          <w:sz w:val="24"/>
          <w:lang w:val="en-GB"/>
        </w:rPr>
        <w:t xml:space="preserve">those </w:t>
      </w:r>
      <w:r w:rsidRPr="00C03BD4">
        <w:rPr>
          <w:rFonts w:eastAsia="ヒラギノ角ゴ Pro W3"/>
          <w:color w:val="000000"/>
          <w:sz w:val="24"/>
          <w:lang w:val="en-GB"/>
        </w:rPr>
        <w:t xml:space="preserve">guidelines developed within CMS </w:t>
      </w:r>
      <w:r>
        <w:rPr>
          <w:rFonts w:eastAsia="ヒラギノ角ゴ Pro W3"/>
          <w:color w:val="000000"/>
          <w:sz w:val="24"/>
          <w:lang w:val="en-GB"/>
        </w:rPr>
        <w:t>and</w:t>
      </w:r>
      <w:r w:rsidRPr="00C03BD4">
        <w:rPr>
          <w:rFonts w:eastAsia="ヒラギノ角ゴ Pro W3"/>
          <w:color w:val="000000"/>
          <w:sz w:val="24"/>
          <w:lang w:val="en-GB"/>
        </w:rPr>
        <w:t xml:space="preserve"> other relevant processes, </w:t>
      </w:r>
      <w:r>
        <w:rPr>
          <w:rFonts w:eastAsia="ヒラギノ角ゴ Pro W3"/>
          <w:color w:val="000000"/>
          <w:sz w:val="24"/>
          <w:lang w:val="en-GB"/>
        </w:rPr>
        <w:t>which aim</w:t>
      </w:r>
      <w:r w:rsidRPr="00C03BD4">
        <w:rPr>
          <w:rFonts w:eastAsia="ヒラギノ角ゴ Pro W3"/>
          <w:color w:val="000000"/>
          <w:sz w:val="24"/>
          <w:lang w:val="en-GB"/>
        </w:rPr>
        <w:t xml:space="preserve"> to </w:t>
      </w:r>
      <w:r>
        <w:rPr>
          <w:rFonts w:eastAsia="ヒラギノ角ゴ Pro W3"/>
          <w:color w:val="000000"/>
          <w:sz w:val="24"/>
          <w:lang w:val="en-GB"/>
        </w:rPr>
        <w:t xml:space="preserve">promote connectivity and </w:t>
      </w:r>
      <w:r w:rsidRPr="00C03BD4">
        <w:rPr>
          <w:rFonts w:eastAsia="ヒラギノ角ゴ Pro W3"/>
          <w:color w:val="000000"/>
          <w:sz w:val="24"/>
          <w:lang w:val="en-GB"/>
        </w:rPr>
        <w:t xml:space="preserve">halt </w:t>
      </w:r>
      <w:r>
        <w:rPr>
          <w:rFonts w:eastAsia="ヒラギノ角ゴ Pro W3"/>
          <w:color w:val="000000"/>
          <w:sz w:val="24"/>
          <w:lang w:val="en-GB"/>
        </w:rPr>
        <w:t>its</w:t>
      </w:r>
      <w:r w:rsidRPr="00C03BD4">
        <w:rPr>
          <w:rFonts w:eastAsia="ヒラギノ角ゴ Pro W3"/>
          <w:color w:val="000000"/>
          <w:sz w:val="24"/>
          <w:lang w:val="en-GB"/>
        </w:rPr>
        <w:t xml:space="preserve"> loss, </w:t>
      </w:r>
      <w:r>
        <w:rPr>
          <w:rFonts w:eastAsia="ヒラギノ角ゴ Pro W3"/>
          <w:color w:val="000000"/>
          <w:sz w:val="24"/>
          <w:lang w:val="en-GB"/>
        </w:rPr>
        <w:t>for example through the provision of practical guidance to avoid</w:t>
      </w:r>
      <w:r w:rsidRPr="00C03BD4">
        <w:rPr>
          <w:rFonts w:eastAsia="ヒラギノ角ゴ Pro W3"/>
          <w:color w:val="000000"/>
          <w:sz w:val="24"/>
          <w:lang w:val="en-GB"/>
        </w:rPr>
        <w:t xml:space="preserve"> infrastructure development projects</w:t>
      </w:r>
      <w:r>
        <w:rPr>
          <w:rFonts w:eastAsia="ヒラギノ角ゴ Pro W3"/>
          <w:color w:val="000000"/>
          <w:sz w:val="24"/>
          <w:lang w:val="en-GB"/>
        </w:rPr>
        <w:t xml:space="preserve"> disrupting the movement of migratory species</w:t>
      </w:r>
      <w:r w:rsidRPr="00C03BD4">
        <w:rPr>
          <w:rFonts w:eastAsia="ヒラギノ角ゴ Pro W3"/>
          <w:color w:val="000000"/>
          <w:sz w:val="24"/>
          <w:lang w:val="en-GB"/>
        </w:rPr>
        <w:t>;</w:t>
      </w:r>
    </w:p>
    <w:p w14:paraId="17361008" w14:textId="77777777" w:rsidR="00692EB7" w:rsidRPr="00C03BD4" w:rsidRDefault="00692EB7" w:rsidP="006D2E05">
      <w:pPr>
        <w:autoSpaceDE/>
        <w:autoSpaceDN/>
        <w:adjustRightInd/>
        <w:rPr>
          <w:rFonts w:eastAsia="ヒラギノ角ゴ Pro W3"/>
          <w:color w:val="000000"/>
          <w:sz w:val="24"/>
          <w:lang w:val="en-GB"/>
        </w:rPr>
      </w:pPr>
    </w:p>
    <w:p w14:paraId="1011AED1" w14:textId="77777777" w:rsidR="00692EB7" w:rsidRPr="00C03BD4" w:rsidRDefault="00692EB7" w:rsidP="006D2E05">
      <w:pPr>
        <w:numPr>
          <w:ilvl w:val="0"/>
          <w:numId w:val="19"/>
        </w:numPr>
        <w:autoSpaceDE/>
        <w:autoSpaceDN/>
        <w:adjustRightInd/>
        <w:jc w:val="both"/>
        <w:rPr>
          <w:rFonts w:eastAsia="ヒラギノ角ゴ Pro W3"/>
          <w:i/>
          <w:color w:val="000000"/>
          <w:sz w:val="24"/>
          <w:lang w:val="en-GB"/>
        </w:rPr>
      </w:pPr>
      <w:r w:rsidRPr="00C03BD4">
        <w:rPr>
          <w:rFonts w:eastAsia="ヒラギノ角ゴ Pro W3"/>
          <w:i/>
          <w:color w:val="000000"/>
          <w:sz w:val="24"/>
          <w:lang w:val="en-GB"/>
        </w:rPr>
        <w:t xml:space="preserve">Encourages </w:t>
      </w:r>
      <w:r w:rsidRPr="00C03BD4">
        <w:rPr>
          <w:rFonts w:eastAsia="ヒラギノ角ゴ Pro W3"/>
          <w:iCs/>
          <w:color w:val="000000"/>
          <w:sz w:val="24"/>
          <w:lang w:val="en-GB"/>
        </w:rPr>
        <w:t>Parties, other Range States and relevant organizations to apply the IUCN WCPA Best Practice Guideline on Transboundary Conservation</w:t>
      </w:r>
      <w:r>
        <w:rPr>
          <w:rFonts w:eastAsia="ヒラギノ角ゴ Pro W3"/>
          <w:iCs/>
          <w:color w:val="000000"/>
          <w:sz w:val="24"/>
          <w:lang w:val="en-GB"/>
        </w:rPr>
        <w:t xml:space="preserve">, the IUCN WCPA / </w:t>
      </w:r>
      <w:r w:rsidRPr="006A3962">
        <w:rPr>
          <w:rFonts w:eastAsia="ヒラギノ角ゴ Pro W3"/>
          <w:iCs/>
          <w:color w:val="000000"/>
          <w:sz w:val="24"/>
          <w:lang w:val="en-GB"/>
        </w:rPr>
        <w:t>SSC Joint Taskforce on Protected Areas and Biodiversity</w:t>
      </w:r>
      <w:r>
        <w:rPr>
          <w:rFonts w:eastAsia="ヒラギノ角ゴ Pro W3"/>
          <w:iCs/>
          <w:color w:val="000000"/>
          <w:sz w:val="24"/>
          <w:lang w:val="en-GB"/>
        </w:rPr>
        <w:t>’s</w:t>
      </w:r>
      <w:r w:rsidRPr="006A3962">
        <w:rPr>
          <w:rFonts w:eastAsia="ヒラギノ角ゴ Pro W3"/>
          <w:iCs/>
          <w:color w:val="000000"/>
          <w:sz w:val="24"/>
          <w:lang w:val="en-GB"/>
        </w:rPr>
        <w:t xml:space="preserve"> Key Biodiversity Areas</w:t>
      </w:r>
      <w:r>
        <w:rPr>
          <w:rFonts w:eastAsia="ヒラギノ角ゴ Pro W3"/>
          <w:iCs/>
          <w:color w:val="000000"/>
          <w:sz w:val="24"/>
          <w:lang w:val="en-GB"/>
        </w:rPr>
        <w:t xml:space="preserve"> standard</w:t>
      </w:r>
      <w:r w:rsidRPr="00C03BD4">
        <w:rPr>
          <w:rFonts w:eastAsia="ヒラギノ角ゴ Pro W3"/>
          <w:iCs/>
          <w:color w:val="000000"/>
          <w:sz w:val="24"/>
          <w:lang w:val="en-GB"/>
        </w:rPr>
        <w:t xml:space="preserve"> and the criteria for identifying Important Marine Mammal Areas (IMMAs) developed by the IUCN Joint SSC/WCPA Marine Mammal Protected Areas Task Force once adopted by IUCN</w:t>
      </w:r>
      <w:r w:rsidRPr="00C03BD4">
        <w:rPr>
          <w:rFonts w:eastAsia="ヒラギノ角ゴ Pro W3"/>
          <w:color w:val="000000"/>
          <w:sz w:val="24"/>
          <w:lang w:val="en-GB"/>
        </w:rPr>
        <w:t>;</w:t>
      </w:r>
    </w:p>
    <w:p w14:paraId="1AACB70A" w14:textId="77777777" w:rsidR="00F04024" w:rsidRPr="00F702CF" w:rsidRDefault="00F04024" w:rsidP="006D2E05">
      <w:pPr>
        <w:autoSpaceDE/>
        <w:autoSpaceDN/>
        <w:adjustRightInd/>
        <w:rPr>
          <w:rFonts w:eastAsia="ヒラギノ角ゴ Pro W3"/>
          <w:color w:val="000000"/>
          <w:sz w:val="24"/>
          <w:lang w:val="en-GB"/>
        </w:rPr>
      </w:pPr>
    </w:p>
    <w:p w14:paraId="6EF6AA70" w14:textId="5252C361" w:rsidR="00692EB7" w:rsidRPr="00C03BD4" w:rsidRDefault="00692EB7" w:rsidP="006D2E05">
      <w:pPr>
        <w:numPr>
          <w:ilvl w:val="0"/>
          <w:numId w:val="19"/>
        </w:numPr>
        <w:autoSpaceDE/>
        <w:autoSpaceDN/>
        <w:adjustRightInd/>
        <w:jc w:val="both"/>
        <w:rPr>
          <w:rFonts w:eastAsia="ヒラギノ角ゴ Pro W3"/>
          <w:i/>
          <w:color w:val="000000"/>
          <w:sz w:val="24"/>
          <w:lang w:val="en-GB"/>
        </w:rPr>
      </w:pPr>
      <w:r w:rsidRPr="00C03BD4">
        <w:rPr>
          <w:rFonts w:eastAsia="ヒラギノ角ゴ Pro W3"/>
          <w:i/>
          <w:color w:val="000000"/>
          <w:sz w:val="24"/>
          <w:lang w:val="en-GB"/>
        </w:rPr>
        <w:t>Calls upon</w:t>
      </w:r>
      <w:r w:rsidRPr="00C03BD4">
        <w:rPr>
          <w:rFonts w:eastAsia="ヒラギノ角ゴ Pro W3"/>
          <w:color w:val="000000"/>
          <w:sz w:val="24"/>
          <w:lang w:val="en-GB"/>
        </w:rPr>
        <w:t xml:space="preserve"> Parties and </w:t>
      </w:r>
      <w:r w:rsidRPr="00C03BD4">
        <w:rPr>
          <w:rFonts w:eastAsia="ヒラギノ角ゴ Pro W3"/>
          <w:i/>
          <w:color w:val="000000"/>
          <w:sz w:val="24"/>
          <w:lang w:val="en-GB"/>
        </w:rPr>
        <w:t>invites</w:t>
      </w:r>
      <w:r w:rsidRPr="00C03BD4">
        <w:rPr>
          <w:rFonts w:eastAsia="ヒラギノ角ゴ Pro W3"/>
          <w:color w:val="000000"/>
          <w:sz w:val="24"/>
          <w:lang w:val="en-GB"/>
        </w:rPr>
        <w:t xml:space="preserve"> other Range States and relevant organizations </w:t>
      </w:r>
      <w:r w:rsidRPr="007A3DB8">
        <w:rPr>
          <w:rFonts w:eastAsia="ヒラギノ角ゴ Pro W3"/>
          <w:color w:val="000000"/>
          <w:sz w:val="24"/>
          <w:lang w:val="en-GB"/>
        </w:rPr>
        <w:t>to use</w:t>
      </w:r>
      <w:r w:rsidRPr="00C03BD4">
        <w:rPr>
          <w:rFonts w:eastAsia="ヒラギノ角ゴ Pro W3"/>
          <w:color w:val="000000"/>
          <w:sz w:val="24"/>
          <w:lang w:val="en-GB"/>
        </w:rPr>
        <w:t xml:space="preserve"> </w:t>
      </w:r>
      <w:r w:rsidR="00205633">
        <w:rPr>
          <w:rFonts w:eastAsia="ヒラギノ角ゴ Pro W3"/>
          <w:color w:val="000000"/>
          <w:sz w:val="24"/>
          <w:lang w:val="en-GB"/>
        </w:rPr>
        <w:t>tools such a</w:t>
      </w:r>
      <w:r w:rsidR="00F87401">
        <w:rPr>
          <w:rFonts w:eastAsia="ヒラギノ角ゴ Pro W3"/>
          <w:color w:val="000000"/>
          <w:sz w:val="24"/>
          <w:lang w:val="en-GB"/>
        </w:rPr>
        <w:t>s</w:t>
      </w:r>
      <w:r w:rsidR="00205633">
        <w:rPr>
          <w:rFonts w:eastAsia="ヒラギノ角ゴ Pro W3"/>
          <w:color w:val="000000"/>
          <w:sz w:val="24"/>
          <w:lang w:val="en-GB"/>
        </w:rPr>
        <w:t xml:space="preserve"> </w:t>
      </w:r>
      <w:r w:rsidRPr="00C03BD4">
        <w:rPr>
          <w:rFonts w:eastAsia="ヒラギノ角ゴ Pro W3"/>
          <w:color w:val="000000"/>
          <w:sz w:val="24"/>
          <w:lang w:val="en-GB"/>
        </w:rPr>
        <w:t>Movebank, ICARUS and other tools to better understand the movements of CMS-listed species, including the selection of those endangered species whose conservation status would most benefit from a better understanding of their movement ecology</w:t>
      </w:r>
      <w:r w:rsidR="00205633">
        <w:rPr>
          <w:rFonts w:eastAsia="ヒラギノ角ゴ Pro W3"/>
          <w:color w:val="000000"/>
          <w:sz w:val="24"/>
          <w:lang w:val="en-GB"/>
        </w:rPr>
        <w:t>, while avoiding actions which may enable the unauthorised tracking</w:t>
      </w:r>
      <w:r w:rsidR="006D0D25">
        <w:rPr>
          <w:rFonts w:eastAsia="ヒラギノ角ゴ Pro W3"/>
          <w:color w:val="000000"/>
          <w:sz w:val="24"/>
          <w:lang w:val="en-GB"/>
        </w:rPr>
        <w:t xml:space="preserve"> of individual animals and facilitate poaching</w:t>
      </w:r>
      <w:r w:rsidRPr="00C03BD4">
        <w:rPr>
          <w:rFonts w:eastAsia="ヒラギノ角ゴ Pro W3"/>
          <w:color w:val="000000"/>
          <w:sz w:val="24"/>
          <w:lang w:val="en-GB"/>
        </w:rPr>
        <w:t>;</w:t>
      </w:r>
    </w:p>
    <w:p w14:paraId="07F57730" w14:textId="77777777" w:rsidR="00692EB7" w:rsidRDefault="00692EB7" w:rsidP="006D2E05">
      <w:pPr>
        <w:autoSpaceDE/>
        <w:autoSpaceDN/>
        <w:adjustRightInd/>
        <w:rPr>
          <w:rFonts w:eastAsia="ヒラギノ角ゴ Pro W3"/>
          <w:i/>
          <w:color w:val="000000"/>
          <w:sz w:val="24"/>
          <w:lang w:val="en-GB"/>
        </w:rPr>
      </w:pPr>
    </w:p>
    <w:p w14:paraId="26EE24A6" w14:textId="39DF3145" w:rsidR="00393471" w:rsidRPr="008441E0" w:rsidRDefault="00C97215" w:rsidP="006D2E05">
      <w:pPr>
        <w:numPr>
          <w:ilvl w:val="0"/>
          <w:numId w:val="19"/>
        </w:numPr>
        <w:autoSpaceDE/>
        <w:autoSpaceDN/>
        <w:adjustRightInd/>
        <w:jc w:val="both"/>
        <w:rPr>
          <w:rFonts w:eastAsia="ヒラギノ角ゴ Pro W3"/>
          <w:color w:val="000000"/>
          <w:sz w:val="24"/>
          <w:lang w:val="en-GB"/>
        </w:rPr>
      </w:pPr>
      <w:r w:rsidRPr="008441E0">
        <w:rPr>
          <w:rFonts w:eastAsia="ヒラギノ角ゴ Pro W3"/>
          <w:i/>
          <w:color w:val="000000"/>
          <w:sz w:val="24"/>
          <w:lang w:val="en-GB"/>
        </w:rPr>
        <w:t xml:space="preserve">Encourages </w:t>
      </w:r>
      <w:r w:rsidRPr="008441E0">
        <w:rPr>
          <w:rFonts w:eastAsia="ヒラギノ角ゴ Pro W3"/>
          <w:color w:val="000000"/>
          <w:sz w:val="24"/>
          <w:lang w:val="en-GB"/>
        </w:rPr>
        <w:t>CMS Parties to engage</w:t>
      </w:r>
      <w:r w:rsidR="00892D42" w:rsidRPr="008441E0">
        <w:rPr>
          <w:rFonts w:eastAsia="ヒラギノ角ゴ Pro W3"/>
          <w:color w:val="000000"/>
          <w:sz w:val="24"/>
          <w:lang w:val="en-GB"/>
        </w:rPr>
        <w:t xml:space="preserve"> i</w:t>
      </w:r>
      <w:r w:rsidRPr="008441E0">
        <w:rPr>
          <w:rFonts w:eastAsia="ヒラギノ角ゴ Pro W3"/>
          <w:color w:val="000000"/>
          <w:sz w:val="24"/>
          <w:lang w:val="en-GB"/>
        </w:rPr>
        <w:t xml:space="preserve">n the ongoing work </w:t>
      </w:r>
      <w:r w:rsidR="00892D42" w:rsidRPr="008441E0">
        <w:rPr>
          <w:rFonts w:eastAsia="ヒラギノ角ゴ Pro W3"/>
          <w:color w:val="000000"/>
          <w:sz w:val="24"/>
          <w:lang w:val="en-GB"/>
        </w:rPr>
        <w:t xml:space="preserve">taking place within </w:t>
      </w:r>
      <w:r w:rsidRPr="008441E0">
        <w:rPr>
          <w:rFonts w:eastAsia="ヒラギノ角ゴ Pro W3"/>
          <w:color w:val="000000"/>
          <w:sz w:val="24"/>
          <w:lang w:val="en-GB"/>
        </w:rPr>
        <w:t>the Convention on B</w:t>
      </w:r>
      <w:r w:rsidR="00892D42" w:rsidRPr="008441E0">
        <w:rPr>
          <w:rFonts w:eastAsia="ヒラギノ角ゴ Pro W3"/>
          <w:color w:val="000000"/>
          <w:sz w:val="24"/>
          <w:lang w:val="en-GB"/>
        </w:rPr>
        <w:t>iological</w:t>
      </w:r>
      <w:r w:rsidRPr="008441E0">
        <w:rPr>
          <w:rFonts w:eastAsia="ヒラギノ角ゴ Pro W3"/>
          <w:color w:val="000000"/>
          <w:sz w:val="24"/>
          <w:lang w:val="en-GB"/>
        </w:rPr>
        <w:t xml:space="preserve"> Diversity </w:t>
      </w:r>
      <w:r w:rsidR="00892D42" w:rsidRPr="008441E0">
        <w:rPr>
          <w:rFonts w:eastAsia="ヒラギノ角ゴ Pro W3"/>
          <w:color w:val="000000"/>
          <w:sz w:val="24"/>
          <w:lang w:val="en-GB"/>
        </w:rPr>
        <w:t xml:space="preserve">to develop </w:t>
      </w:r>
      <w:r w:rsidRPr="008441E0">
        <w:rPr>
          <w:rFonts w:eastAsia="ヒラギノ角ゴ Pro W3"/>
          <w:color w:val="000000"/>
          <w:sz w:val="24"/>
          <w:lang w:val="en-GB"/>
        </w:rPr>
        <w:t>EBSA description</w:t>
      </w:r>
      <w:r w:rsidR="00892D42" w:rsidRPr="008441E0">
        <w:rPr>
          <w:rFonts w:eastAsia="ヒラギノ角ゴ Pro W3"/>
          <w:color w:val="000000"/>
          <w:sz w:val="24"/>
          <w:lang w:val="en-GB"/>
        </w:rPr>
        <w:t>s</w:t>
      </w:r>
      <w:r w:rsidR="00393471" w:rsidRPr="008441E0">
        <w:rPr>
          <w:rFonts w:eastAsia="ヒラギノ角ゴ Pro W3"/>
          <w:color w:val="000000"/>
          <w:sz w:val="24"/>
          <w:lang w:val="en-GB"/>
        </w:rPr>
        <w:t xml:space="preserve">, </w:t>
      </w:r>
      <w:r w:rsidRPr="008441E0">
        <w:rPr>
          <w:rFonts w:eastAsia="ヒラギノ角ゴ Pro W3"/>
          <w:color w:val="000000"/>
          <w:sz w:val="24"/>
          <w:lang w:val="en-GB"/>
        </w:rPr>
        <w:t>noting that CBD COP decision XI/17 states that the description of areas meeting the EBSA scientific criteria is an evolving process to allow for updates</w:t>
      </w:r>
      <w:r w:rsidR="008441E0" w:rsidRPr="008441E0">
        <w:rPr>
          <w:rFonts w:eastAsia="ヒラギノ角ゴ Pro W3"/>
          <w:color w:val="000000"/>
          <w:sz w:val="24"/>
          <w:lang w:val="en-GB"/>
        </w:rPr>
        <w:t>;</w:t>
      </w:r>
    </w:p>
    <w:p w14:paraId="1900ACE1" w14:textId="77777777" w:rsidR="00393471" w:rsidRPr="00393471" w:rsidRDefault="00393471" w:rsidP="006D2E05">
      <w:pPr>
        <w:autoSpaceDE/>
        <w:autoSpaceDN/>
        <w:adjustRightInd/>
        <w:jc w:val="both"/>
        <w:rPr>
          <w:rFonts w:eastAsia="ヒラギノ角ゴ Pro W3"/>
          <w:color w:val="000000"/>
          <w:sz w:val="24"/>
          <w:lang w:val="en-GB"/>
        </w:rPr>
      </w:pPr>
    </w:p>
    <w:p w14:paraId="49F4EC89" w14:textId="77777777" w:rsidR="00692EB7" w:rsidRPr="00393471" w:rsidRDefault="00692EB7" w:rsidP="006D2E05">
      <w:pPr>
        <w:numPr>
          <w:ilvl w:val="0"/>
          <w:numId w:val="19"/>
        </w:numPr>
        <w:autoSpaceDE/>
        <w:autoSpaceDN/>
        <w:adjustRightInd/>
        <w:jc w:val="both"/>
        <w:rPr>
          <w:rFonts w:eastAsia="ヒラギノ角ゴ Pro W3"/>
          <w:i/>
          <w:color w:val="000000"/>
          <w:sz w:val="24"/>
          <w:lang w:val="en-GB"/>
        </w:rPr>
      </w:pPr>
      <w:r w:rsidRPr="00393471">
        <w:rPr>
          <w:rFonts w:eastAsia="ヒラギノ角ゴ Pro W3"/>
          <w:i/>
          <w:iCs/>
          <w:color w:val="000000"/>
          <w:sz w:val="24"/>
          <w:lang w:val="en-GB"/>
        </w:rPr>
        <w:t xml:space="preserve">Calls </w:t>
      </w:r>
      <w:r w:rsidRPr="00393471">
        <w:rPr>
          <w:rFonts w:eastAsia="ヒラギノ角ゴ Pro W3"/>
          <w:color w:val="000000"/>
          <w:sz w:val="24"/>
          <w:lang w:val="en-GB"/>
        </w:rPr>
        <w:t>on 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w:t>
      </w:r>
    </w:p>
    <w:p w14:paraId="54231178" w14:textId="77777777" w:rsidR="00692EB7" w:rsidRPr="00C03BD4" w:rsidRDefault="00692EB7" w:rsidP="006D2E05">
      <w:pPr>
        <w:autoSpaceDE/>
        <w:autoSpaceDN/>
        <w:adjustRightInd/>
        <w:rPr>
          <w:rFonts w:eastAsia="ヒラギノ角ゴ Pro W3"/>
          <w:color w:val="000000"/>
          <w:sz w:val="24"/>
          <w:lang w:val="en-GB"/>
        </w:rPr>
      </w:pPr>
    </w:p>
    <w:p w14:paraId="6062104B" w14:textId="265AEAAB" w:rsidR="00692EB7" w:rsidRPr="006D2E05" w:rsidRDefault="00692EB7" w:rsidP="006D2E05">
      <w:pPr>
        <w:numPr>
          <w:ilvl w:val="0"/>
          <w:numId w:val="19"/>
        </w:numPr>
        <w:autoSpaceDE/>
        <w:autoSpaceDN/>
        <w:adjustRightInd/>
        <w:jc w:val="both"/>
        <w:rPr>
          <w:rFonts w:eastAsia="ヒラギノ角ゴ Pro W3"/>
          <w:color w:val="000000"/>
          <w:sz w:val="24"/>
          <w:lang w:val="en-GB"/>
        </w:rPr>
      </w:pPr>
      <w:r w:rsidRPr="00C03BD4">
        <w:rPr>
          <w:rFonts w:eastAsia="ヒラギノ角ゴ Pro W3"/>
          <w:i/>
          <w:iCs/>
          <w:color w:val="000000"/>
          <w:sz w:val="24"/>
          <w:lang w:val="en-GB"/>
        </w:rPr>
        <w:t xml:space="preserve">Invites </w:t>
      </w:r>
      <w:r w:rsidRPr="00C03BD4">
        <w:rPr>
          <w:rFonts w:eastAsia="ヒラギノ角ゴ Pro W3"/>
          <w:color w:val="000000"/>
          <w:sz w:val="24"/>
          <w:lang w:val="en-GB"/>
        </w:rPr>
        <w:t xml:space="preserve">Parties, other Range States and competent international organizations to consider the results of the </w:t>
      </w:r>
      <w:r>
        <w:rPr>
          <w:rFonts w:eastAsia="ヒラギノ角ゴ Pro W3"/>
          <w:color w:val="000000"/>
          <w:sz w:val="24"/>
          <w:lang w:val="en-GB"/>
        </w:rPr>
        <w:t xml:space="preserve">initial </w:t>
      </w:r>
      <w:r w:rsidRPr="00C03BD4">
        <w:rPr>
          <w:rFonts w:eastAsia="ヒラギノ角ゴ Pro W3"/>
          <w:color w:val="000000"/>
          <w:sz w:val="24"/>
          <w:lang w:val="en-GB"/>
        </w:rPr>
        <w:t>GOBI review (</w:t>
      </w:r>
      <w:r w:rsidRPr="0091376D">
        <w:rPr>
          <w:rFonts w:eastAsia="ヒラギノ角ゴ Pro W3"/>
          <w:color w:val="000000"/>
          <w:sz w:val="24"/>
          <w:lang w:val="en-GB"/>
        </w:rPr>
        <w:t>UNEP/CMS/</w:t>
      </w:r>
      <w:r>
        <w:rPr>
          <w:rFonts w:eastAsia="ヒラギノ角ゴ Pro W3"/>
          <w:color w:val="000000"/>
          <w:sz w:val="24"/>
          <w:lang w:val="en-GB"/>
        </w:rPr>
        <w:t>COP11</w:t>
      </w:r>
      <w:r w:rsidRPr="0091376D">
        <w:rPr>
          <w:rFonts w:eastAsia="ヒラギノ角ゴ Pro W3"/>
          <w:color w:val="000000"/>
          <w:sz w:val="24"/>
          <w:lang w:val="en-GB"/>
        </w:rPr>
        <w:t>/Inf.</w:t>
      </w:r>
      <w:r>
        <w:rPr>
          <w:rFonts w:eastAsia="ヒラギノ角ゴ Pro W3"/>
          <w:color w:val="000000"/>
          <w:sz w:val="24"/>
          <w:lang w:val="en-GB"/>
        </w:rPr>
        <w:t>23</w:t>
      </w:r>
      <w:r w:rsidRPr="00C03BD4">
        <w:rPr>
          <w:rFonts w:eastAsia="ヒラギノ角ゴ Pro W3"/>
          <w:color w:val="000000"/>
          <w:sz w:val="24"/>
          <w:lang w:val="en-GB"/>
        </w:rPr>
        <w:t xml:space="preserve">) with respect to EBSAs and marine migratory species as they further engage in the EBSA process and </w:t>
      </w:r>
      <w:r w:rsidRPr="00C340D1">
        <w:rPr>
          <w:rFonts w:eastAsia="ヒラギノ角ゴ Pro W3"/>
          <w:i/>
          <w:iCs/>
          <w:color w:val="000000"/>
          <w:sz w:val="24"/>
          <w:lang w:val="en-GB"/>
        </w:rPr>
        <w:t>further invites</w:t>
      </w:r>
      <w:r>
        <w:rPr>
          <w:rFonts w:eastAsia="ヒラギノ角ゴ Pro W3"/>
          <w:color w:val="000000"/>
          <w:sz w:val="24"/>
          <w:lang w:val="en-GB"/>
        </w:rPr>
        <w:t xml:space="preserve"> </w:t>
      </w:r>
      <w:r w:rsidRPr="00C03BD4">
        <w:rPr>
          <w:rFonts w:eastAsia="ヒラギノ角ゴ Pro W3"/>
          <w:color w:val="000000"/>
          <w:sz w:val="24"/>
          <w:lang w:val="en-GB"/>
        </w:rPr>
        <w:t xml:space="preserve">a more in-depth review by GOBI </w:t>
      </w:r>
      <w:r w:rsidRPr="00C645CD">
        <w:rPr>
          <w:rFonts w:eastAsia="ヒラギノ角ゴ Pro W3"/>
          <w:color w:val="000000"/>
          <w:sz w:val="24"/>
          <w:lang w:val="en-GB"/>
        </w:rPr>
        <w:t>to explore the potential for the scientific data and information descri</w:t>
      </w:r>
      <w:r>
        <w:rPr>
          <w:rFonts w:eastAsia="ヒラギノ角ゴ Pro W3"/>
          <w:color w:val="000000"/>
          <w:sz w:val="24"/>
          <w:lang w:val="en-GB"/>
        </w:rPr>
        <w:t xml:space="preserve">bing </w:t>
      </w:r>
      <w:r w:rsidRPr="00C645CD">
        <w:rPr>
          <w:rFonts w:eastAsia="ヒラギノ角ゴ Pro W3"/>
          <w:color w:val="000000"/>
          <w:sz w:val="24"/>
          <w:lang w:val="en-GB"/>
        </w:rPr>
        <w:t xml:space="preserve">EBSAs to contribute to the conservation of migratory species in marine areas within and beyond the limits of national jurisdiction, particularly with respect to </w:t>
      </w:r>
      <w:r w:rsidRPr="006D2E05">
        <w:rPr>
          <w:rFonts w:eastAsia="ヒラギノ角ゴ Pro W3"/>
          <w:color w:val="000000"/>
          <w:sz w:val="24"/>
          <w:lang w:val="en-GB"/>
        </w:rPr>
        <w:t>ecological networks and connectivity;</w:t>
      </w:r>
    </w:p>
    <w:p w14:paraId="2D17F612" w14:textId="77777777" w:rsidR="00692EB7" w:rsidRPr="006D2E05" w:rsidRDefault="00692EB7" w:rsidP="006D2E05">
      <w:pPr>
        <w:autoSpaceDE/>
        <w:autoSpaceDN/>
        <w:adjustRightInd/>
        <w:rPr>
          <w:rFonts w:eastAsia="ヒラギノ角ゴ Pro W3"/>
          <w:color w:val="000000"/>
          <w:sz w:val="24"/>
          <w:lang w:val="en-GB"/>
        </w:rPr>
      </w:pPr>
    </w:p>
    <w:p w14:paraId="5CDAA3BD" w14:textId="76C59646" w:rsidR="006D2E05" w:rsidRDefault="00692EB7" w:rsidP="006D2E05">
      <w:pPr>
        <w:numPr>
          <w:ilvl w:val="0"/>
          <w:numId w:val="19"/>
        </w:numPr>
        <w:autoSpaceDE/>
        <w:autoSpaceDN/>
        <w:adjustRightInd/>
        <w:jc w:val="both"/>
        <w:rPr>
          <w:rFonts w:eastAsia="ヒラギノ角ゴ Pro W3"/>
          <w:color w:val="000000"/>
          <w:sz w:val="24"/>
          <w:shd w:val="clear" w:color="auto" w:fill="FFFF00"/>
          <w:lang w:val="en-GB"/>
        </w:rPr>
      </w:pPr>
      <w:r w:rsidRPr="006D2E05">
        <w:rPr>
          <w:rFonts w:eastAsia="ヒラギノ角ゴ Pro W3"/>
          <w:i/>
          <w:iCs/>
          <w:color w:val="000000"/>
          <w:sz w:val="24"/>
          <w:lang w:val="en-GB"/>
        </w:rPr>
        <w:t xml:space="preserve">Requests </w:t>
      </w:r>
      <w:r w:rsidRPr="006D2E05">
        <w:rPr>
          <w:rFonts w:eastAsia="ヒラギノ角ゴ Pro W3"/>
          <w:color w:val="000000"/>
          <w:sz w:val="24"/>
          <w:lang w:val="en-GB"/>
        </w:rPr>
        <w:t>the Secretariat to share the results of the initial GOBI review with relevant fora including the Convention on Biological Diversity;</w:t>
      </w:r>
    </w:p>
    <w:p w14:paraId="7A1F2764" w14:textId="77777777" w:rsidR="006D2E05" w:rsidRPr="00C151CD" w:rsidRDefault="006D2E05" w:rsidP="00C151CD">
      <w:pPr>
        <w:rPr>
          <w:rFonts w:eastAsia="ヒラギノ角ゴ Pro W3"/>
          <w:color w:val="000000"/>
          <w:sz w:val="24"/>
          <w:shd w:val="clear" w:color="auto" w:fill="FFFF00"/>
          <w:lang w:val="en-GB"/>
        </w:rPr>
      </w:pPr>
    </w:p>
    <w:p w14:paraId="61AE9DFA" w14:textId="646B5DB2" w:rsidR="006D2E05" w:rsidRDefault="006D2E05" w:rsidP="006D2E05">
      <w:pPr>
        <w:pStyle w:val="ListParagraph"/>
        <w:numPr>
          <w:ilvl w:val="0"/>
          <w:numId w:val="19"/>
        </w:numPr>
        <w:jc w:val="both"/>
        <w:rPr>
          <w:rFonts w:eastAsia="ヒラギノ角ゴ Pro W3"/>
          <w:sz w:val="24"/>
        </w:rPr>
      </w:pPr>
      <w:r w:rsidRPr="006D2E05">
        <w:rPr>
          <w:rFonts w:eastAsia="ヒラギノ角ゴ Pro W3"/>
          <w:sz w:val="24"/>
        </w:rPr>
        <w:t>Encourages 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 and</w:t>
      </w:r>
    </w:p>
    <w:p w14:paraId="05F64FCF" w14:textId="77777777" w:rsidR="006D2E05" w:rsidRPr="006D2E05" w:rsidRDefault="006D2E05" w:rsidP="006D2E05">
      <w:pPr>
        <w:pStyle w:val="ListParagraph"/>
        <w:ind w:left="0"/>
        <w:jc w:val="both"/>
        <w:rPr>
          <w:rFonts w:eastAsia="ヒラギノ角ゴ Pro W3"/>
          <w:sz w:val="24"/>
        </w:rPr>
      </w:pPr>
    </w:p>
    <w:p w14:paraId="610951BC" w14:textId="185F3510" w:rsidR="00884CDC" w:rsidRDefault="00692EB7" w:rsidP="006D2E05">
      <w:pPr>
        <w:pStyle w:val="ListParagraph"/>
        <w:numPr>
          <w:ilvl w:val="0"/>
          <w:numId w:val="19"/>
        </w:numPr>
        <w:jc w:val="both"/>
      </w:pPr>
      <w:r w:rsidRPr="006D2E05">
        <w:rPr>
          <w:rFonts w:eastAsia="ヒラギノ角ゴ Pro W3"/>
          <w:i/>
          <w:iCs/>
          <w:color w:val="000000"/>
          <w:sz w:val="24"/>
          <w:lang w:val="en-GB"/>
        </w:rPr>
        <w:t>Reaffirms</w:t>
      </w:r>
      <w:r w:rsidRPr="006D2E05">
        <w:rPr>
          <w:rFonts w:eastAsia="ヒラギノ角ゴ Pro W3"/>
          <w:color w:val="000000"/>
          <w:sz w:val="24"/>
          <w:lang w:val="en-GB"/>
        </w:rPr>
        <w:t xml:space="preserve"> Resolution 10.3 on Ecological Networks and </w:t>
      </w:r>
      <w:r w:rsidRPr="006D2E05">
        <w:rPr>
          <w:rFonts w:eastAsia="ヒラギノ角ゴ Pro W3"/>
          <w:i/>
          <w:color w:val="000000"/>
          <w:sz w:val="24"/>
          <w:lang w:val="en-GB"/>
        </w:rPr>
        <w:t xml:space="preserve">urges </w:t>
      </w:r>
      <w:r w:rsidRPr="006D2E05">
        <w:rPr>
          <w:rFonts w:eastAsia="ヒラギノ角ゴ Pro W3"/>
          <w:color w:val="000000"/>
          <w:sz w:val="24"/>
          <w:lang w:val="en-GB"/>
        </w:rPr>
        <w:t>Parties, the Scientific Council and the Secretariat to address outstanding or recurring actions.</w:t>
      </w:r>
    </w:p>
    <w:sectPr w:rsidR="00884CDC" w:rsidSect="00F702CF">
      <w:footerReference w:type="default" r:id="rId8"/>
      <w:pgSz w:w="11907" w:h="16840" w:code="9"/>
      <w:pgMar w:top="1418" w:right="1418" w:bottom="1418" w:left="1418" w:header="510"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2110" w14:textId="77777777" w:rsidR="00F702CF" w:rsidRDefault="00F702CF" w:rsidP="00F702CF">
      <w:r>
        <w:separator/>
      </w:r>
    </w:p>
  </w:endnote>
  <w:endnote w:type="continuationSeparator" w:id="0">
    <w:p w14:paraId="61961F7B" w14:textId="77777777" w:rsidR="00F702CF" w:rsidRDefault="00F702CF" w:rsidP="00F7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51011"/>
      <w:docPartObj>
        <w:docPartGallery w:val="Page Numbers (Bottom of Page)"/>
        <w:docPartUnique/>
      </w:docPartObj>
    </w:sdtPr>
    <w:sdtEndPr>
      <w:rPr>
        <w:noProof/>
      </w:rPr>
    </w:sdtEndPr>
    <w:sdtContent>
      <w:p w14:paraId="38B0CF25" w14:textId="1AE24404" w:rsidR="00F702CF" w:rsidRDefault="00F702CF" w:rsidP="00F702CF">
        <w:pPr>
          <w:pStyle w:val="Footer"/>
          <w:ind w:firstLine="4321"/>
          <w:jc w:val="center"/>
          <w:rPr>
            <w:noProof/>
          </w:rPr>
        </w:pPr>
        <w:r>
          <w:fldChar w:fldCharType="begin"/>
        </w:r>
        <w:r>
          <w:instrText xml:space="preserve"> PAGE   \* MERGEFORMAT </w:instrText>
        </w:r>
        <w:r>
          <w:fldChar w:fldCharType="separate"/>
        </w:r>
        <w:r w:rsidR="008B17B0">
          <w:rPr>
            <w:noProof/>
          </w:rPr>
          <w:t>5</w:t>
        </w:r>
        <w:r>
          <w:rPr>
            <w:noProof/>
          </w:rPr>
          <w:fldChar w:fldCharType="end"/>
        </w:r>
        <w:r>
          <w:rPr>
            <w:noProof/>
          </w:rPr>
          <w:tab/>
          <w:t xml:space="preserve">                                               UNEP/CMS/COP11/CRP18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7C30" w14:textId="77777777" w:rsidR="00F702CF" w:rsidRDefault="00F702CF" w:rsidP="00F702CF">
      <w:r>
        <w:separator/>
      </w:r>
    </w:p>
  </w:footnote>
  <w:footnote w:type="continuationSeparator" w:id="0">
    <w:p w14:paraId="500A86AD" w14:textId="77777777" w:rsidR="00F702CF" w:rsidRDefault="00F702CF" w:rsidP="00F70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7FA2"/>
    <w:multiLevelType w:val="multilevel"/>
    <w:tmpl w:val="4AE82C2E"/>
    <w:lvl w:ilvl="0">
      <w:start w:val="1"/>
      <w:numFmt w:val="decimal"/>
      <w:lvlText w:val="%1."/>
      <w:lvlJc w:val="left"/>
      <w:pPr>
        <w:ind w:left="0" w:firstLine="0"/>
      </w:pPr>
      <w:rPr>
        <w:rFonts w:hint="default"/>
        <w:i w:val="0"/>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6DC567A7"/>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B7"/>
    <w:rsid w:val="0007475F"/>
    <w:rsid w:val="000A3536"/>
    <w:rsid w:val="000D524A"/>
    <w:rsid w:val="0010183F"/>
    <w:rsid w:val="00144FF1"/>
    <w:rsid w:val="00205633"/>
    <w:rsid w:val="00233C98"/>
    <w:rsid w:val="00247640"/>
    <w:rsid w:val="002B2754"/>
    <w:rsid w:val="002C11C7"/>
    <w:rsid w:val="00393471"/>
    <w:rsid w:val="003A7589"/>
    <w:rsid w:val="003E0319"/>
    <w:rsid w:val="00472020"/>
    <w:rsid w:val="00475EA4"/>
    <w:rsid w:val="004A0C22"/>
    <w:rsid w:val="004C390F"/>
    <w:rsid w:val="00530B9D"/>
    <w:rsid w:val="00567EE1"/>
    <w:rsid w:val="005A1DEC"/>
    <w:rsid w:val="005A794A"/>
    <w:rsid w:val="005B3873"/>
    <w:rsid w:val="005D0BF3"/>
    <w:rsid w:val="005D451E"/>
    <w:rsid w:val="0062620D"/>
    <w:rsid w:val="00692EB7"/>
    <w:rsid w:val="006B1580"/>
    <w:rsid w:val="006B256E"/>
    <w:rsid w:val="006D0D25"/>
    <w:rsid w:val="006D2E05"/>
    <w:rsid w:val="006F316C"/>
    <w:rsid w:val="00734D33"/>
    <w:rsid w:val="007B7716"/>
    <w:rsid w:val="007C1F98"/>
    <w:rsid w:val="007D633F"/>
    <w:rsid w:val="007E7793"/>
    <w:rsid w:val="008441E0"/>
    <w:rsid w:val="008527FE"/>
    <w:rsid w:val="0087616A"/>
    <w:rsid w:val="00884CDC"/>
    <w:rsid w:val="00892D42"/>
    <w:rsid w:val="008B17B0"/>
    <w:rsid w:val="008B34FA"/>
    <w:rsid w:val="008B4034"/>
    <w:rsid w:val="008C3C29"/>
    <w:rsid w:val="008E7D05"/>
    <w:rsid w:val="009107E2"/>
    <w:rsid w:val="009311C7"/>
    <w:rsid w:val="00950768"/>
    <w:rsid w:val="00981EA6"/>
    <w:rsid w:val="009B5EA1"/>
    <w:rsid w:val="009C0969"/>
    <w:rsid w:val="009D50AB"/>
    <w:rsid w:val="009D526E"/>
    <w:rsid w:val="00A205B8"/>
    <w:rsid w:val="00A5268F"/>
    <w:rsid w:val="00AB063A"/>
    <w:rsid w:val="00AB34B6"/>
    <w:rsid w:val="00B023A8"/>
    <w:rsid w:val="00B373FD"/>
    <w:rsid w:val="00C151CD"/>
    <w:rsid w:val="00C27572"/>
    <w:rsid w:val="00C40D7C"/>
    <w:rsid w:val="00C50E74"/>
    <w:rsid w:val="00C936AB"/>
    <w:rsid w:val="00C97215"/>
    <w:rsid w:val="00CB7AD8"/>
    <w:rsid w:val="00CF0207"/>
    <w:rsid w:val="00D172C4"/>
    <w:rsid w:val="00D41278"/>
    <w:rsid w:val="00D839D3"/>
    <w:rsid w:val="00DA419F"/>
    <w:rsid w:val="00DA4A1F"/>
    <w:rsid w:val="00EB7093"/>
    <w:rsid w:val="00F03B98"/>
    <w:rsid w:val="00F04024"/>
    <w:rsid w:val="00F2216C"/>
    <w:rsid w:val="00F702CF"/>
    <w:rsid w:val="00F8740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BB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B7"/>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5A1DEC"/>
    <w:pPr>
      <w:keepNext/>
      <w:keepLines/>
      <w:numPr>
        <w:numId w:val="18"/>
      </w:numPr>
      <w:spacing w:before="480"/>
      <w:outlineLvl w:val="0"/>
    </w:pPr>
    <w:rPr>
      <w:rFonts w:asciiTheme="majorHAnsi" w:eastAsiaTheme="majorEastAsia" w:hAnsiTheme="majorHAnsi" w:cstheme="majorBidi"/>
      <w:bCs/>
      <w:szCs w:val="32"/>
    </w:rPr>
  </w:style>
  <w:style w:type="paragraph" w:styleId="Heading2">
    <w:name w:val="heading 2"/>
    <w:basedOn w:val="Normal"/>
    <w:next w:val="Normal"/>
    <w:link w:val="Heading2Char"/>
    <w:uiPriority w:val="9"/>
    <w:unhideWhenUsed/>
    <w:qFormat/>
    <w:rsid w:val="005A1DEC"/>
    <w:pPr>
      <w:keepNext/>
      <w:keepLines/>
      <w:numPr>
        <w:ilvl w:val="1"/>
        <w:numId w:val="18"/>
      </w:numPr>
      <w:spacing w:before="20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rsid w:val="005A1DEC"/>
    <w:pPr>
      <w:keepNext/>
      <w:keepLines/>
      <w:numPr>
        <w:ilvl w:val="2"/>
        <w:numId w:val="18"/>
      </w:numPr>
      <w:spacing w:before="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5A1DEC"/>
    <w:pPr>
      <w:keepNext/>
      <w:keepLines/>
      <w:numPr>
        <w:ilvl w:val="3"/>
        <w:numId w:val="18"/>
      </w:numPr>
      <w:spacing w:before="20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5A1DEC"/>
    <w:pPr>
      <w:keepNext/>
      <w:keepLines/>
      <w:numPr>
        <w:ilvl w:val="4"/>
        <w:numId w:val="18"/>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5A1DEC"/>
    <w:pPr>
      <w:keepNext/>
      <w:keepLines/>
      <w:numPr>
        <w:ilvl w:val="5"/>
        <w:numId w:val="18"/>
      </w:num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A1DEC"/>
    <w:pPr>
      <w:keepNext/>
      <w:keepLines/>
      <w:numPr>
        <w:ilvl w:val="6"/>
        <w:numId w:val="18"/>
      </w:numPr>
      <w:spacing w:before="20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5A1DE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5A1DEC"/>
    <w:pPr>
      <w:keepNext/>
      <w:keepLines/>
      <w:numPr>
        <w:ilvl w:val="8"/>
        <w:numId w:val="18"/>
      </w:numPr>
      <w:spacing w:before="20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DEC"/>
    <w:rPr>
      <w:rFonts w:asciiTheme="majorHAnsi" w:eastAsiaTheme="majorEastAsia" w:hAnsiTheme="majorHAnsi" w:cstheme="majorBidi"/>
      <w:bCs/>
      <w:szCs w:val="32"/>
    </w:rPr>
  </w:style>
  <w:style w:type="character" w:customStyle="1" w:styleId="Heading2Char">
    <w:name w:val="Heading 2 Char"/>
    <w:basedOn w:val="DefaultParagraphFont"/>
    <w:link w:val="Heading2"/>
    <w:uiPriority w:val="9"/>
    <w:rsid w:val="005A1DE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semiHidden/>
    <w:rsid w:val="005A1DEC"/>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5A1DEC"/>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5A1DE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5A1DEC"/>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A1DEC"/>
    <w:rPr>
      <w:rFonts w:asciiTheme="majorHAnsi" w:eastAsiaTheme="majorEastAsia" w:hAnsiTheme="majorHAnsi" w:cstheme="majorBidi"/>
      <w:iCs/>
    </w:rPr>
  </w:style>
  <w:style w:type="character" w:customStyle="1" w:styleId="Heading9Char">
    <w:name w:val="Heading 9 Char"/>
    <w:basedOn w:val="DefaultParagraphFont"/>
    <w:link w:val="Heading9"/>
    <w:uiPriority w:val="9"/>
    <w:rsid w:val="005A1DEC"/>
    <w:rPr>
      <w:rFonts w:asciiTheme="majorHAnsi" w:eastAsiaTheme="majorEastAsia" w:hAnsiTheme="majorHAnsi" w:cstheme="majorBidi"/>
      <w:iCs/>
      <w:szCs w:val="20"/>
    </w:rPr>
  </w:style>
  <w:style w:type="character" w:customStyle="1" w:styleId="Heading8Char">
    <w:name w:val="Heading 8 Char"/>
    <w:basedOn w:val="DefaultParagraphFont"/>
    <w:link w:val="Heading8"/>
    <w:uiPriority w:val="9"/>
    <w:rsid w:val="005A1DEC"/>
    <w:rPr>
      <w:rFonts w:asciiTheme="majorHAnsi" w:eastAsiaTheme="majorEastAsia" w:hAnsiTheme="majorHAnsi" w:cstheme="majorBidi"/>
      <w:color w:val="404040" w:themeColor="text1" w:themeTint="BF"/>
      <w:szCs w:val="20"/>
    </w:rPr>
  </w:style>
  <w:style w:type="paragraph" w:styleId="ListParagraph">
    <w:name w:val="List Paragraph"/>
    <w:basedOn w:val="Normal"/>
    <w:uiPriority w:val="34"/>
    <w:qFormat/>
    <w:rsid w:val="00692EB7"/>
    <w:pPr>
      <w:ind w:left="720"/>
      <w:contextualSpacing/>
    </w:pPr>
  </w:style>
  <w:style w:type="paragraph" w:styleId="BalloonText">
    <w:name w:val="Balloon Text"/>
    <w:basedOn w:val="Normal"/>
    <w:link w:val="BalloonTextChar"/>
    <w:uiPriority w:val="99"/>
    <w:semiHidden/>
    <w:unhideWhenUsed/>
    <w:rsid w:val="007E7793"/>
    <w:rPr>
      <w:rFonts w:ascii="Tahoma" w:hAnsi="Tahoma" w:cs="Tahoma"/>
      <w:sz w:val="16"/>
      <w:szCs w:val="16"/>
    </w:rPr>
  </w:style>
  <w:style w:type="character" w:customStyle="1" w:styleId="BalloonTextChar">
    <w:name w:val="Balloon Text Char"/>
    <w:basedOn w:val="DefaultParagraphFont"/>
    <w:link w:val="BalloonText"/>
    <w:uiPriority w:val="99"/>
    <w:semiHidden/>
    <w:rsid w:val="007E7793"/>
    <w:rPr>
      <w:rFonts w:ascii="Tahoma" w:eastAsia="Times New Roman" w:hAnsi="Tahoma" w:cs="Tahoma"/>
      <w:sz w:val="16"/>
      <w:szCs w:val="16"/>
    </w:rPr>
  </w:style>
  <w:style w:type="paragraph" w:styleId="Header">
    <w:name w:val="header"/>
    <w:basedOn w:val="Normal"/>
    <w:link w:val="HeaderChar"/>
    <w:uiPriority w:val="99"/>
    <w:unhideWhenUsed/>
    <w:rsid w:val="00F702CF"/>
    <w:pPr>
      <w:tabs>
        <w:tab w:val="center" w:pos="4680"/>
        <w:tab w:val="right" w:pos="9360"/>
      </w:tabs>
    </w:pPr>
  </w:style>
  <w:style w:type="character" w:customStyle="1" w:styleId="HeaderChar">
    <w:name w:val="Header Char"/>
    <w:basedOn w:val="DefaultParagraphFont"/>
    <w:link w:val="Header"/>
    <w:uiPriority w:val="99"/>
    <w:rsid w:val="00F702CF"/>
    <w:rPr>
      <w:rFonts w:ascii="Times New Roman" w:eastAsia="Times New Roman" w:hAnsi="Times New Roman" w:cs="Times New Roman"/>
      <w:sz w:val="20"/>
    </w:rPr>
  </w:style>
  <w:style w:type="paragraph" w:styleId="Footer">
    <w:name w:val="footer"/>
    <w:basedOn w:val="Normal"/>
    <w:link w:val="FooterChar"/>
    <w:uiPriority w:val="99"/>
    <w:unhideWhenUsed/>
    <w:rsid w:val="00F702CF"/>
    <w:pPr>
      <w:tabs>
        <w:tab w:val="center" w:pos="4680"/>
        <w:tab w:val="right" w:pos="9360"/>
      </w:tabs>
    </w:pPr>
  </w:style>
  <w:style w:type="character" w:customStyle="1" w:styleId="FooterChar">
    <w:name w:val="Footer Char"/>
    <w:basedOn w:val="DefaultParagraphFont"/>
    <w:link w:val="Footer"/>
    <w:uiPriority w:val="99"/>
    <w:rsid w:val="00F702CF"/>
    <w:rPr>
      <w:rFonts w:ascii="Times New Roman" w:eastAsia="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B7"/>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5A1DEC"/>
    <w:pPr>
      <w:keepNext/>
      <w:keepLines/>
      <w:numPr>
        <w:numId w:val="18"/>
      </w:numPr>
      <w:spacing w:before="480"/>
      <w:outlineLvl w:val="0"/>
    </w:pPr>
    <w:rPr>
      <w:rFonts w:asciiTheme="majorHAnsi" w:eastAsiaTheme="majorEastAsia" w:hAnsiTheme="majorHAnsi" w:cstheme="majorBidi"/>
      <w:bCs/>
      <w:szCs w:val="32"/>
    </w:rPr>
  </w:style>
  <w:style w:type="paragraph" w:styleId="Heading2">
    <w:name w:val="heading 2"/>
    <w:basedOn w:val="Normal"/>
    <w:next w:val="Normal"/>
    <w:link w:val="Heading2Char"/>
    <w:uiPriority w:val="9"/>
    <w:unhideWhenUsed/>
    <w:qFormat/>
    <w:rsid w:val="005A1DEC"/>
    <w:pPr>
      <w:keepNext/>
      <w:keepLines/>
      <w:numPr>
        <w:ilvl w:val="1"/>
        <w:numId w:val="18"/>
      </w:numPr>
      <w:spacing w:before="20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rsid w:val="005A1DEC"/>
    <w:pPr>
      <w:keepNext/>
      <w:keepLines/>
      <w:numPr>
        <w:ilvl w:val="2"/>
        <w:numId w:val="18"/>
      </w:numPr>
      <w:spacing w:before="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5A1DEC"/>
    <w:pPr>
      <w:keepNext/>
      <w:keepLines/>
      <w:numPr>
        <w:ilvl w:val="3"/>
        <w:numId w:val="18"/>
      </w:numPr>
      <w:spacing w:before="20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5A1DEC"/>
    <w:pPr>
      <w:keepNext/>
      <w:keepLines/>
      <w:numPr>
        <w:ilvl w:val="4"/>
        <w:numId w:val="18"/>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5A1DEC"/>
    <w:pPr>
      <w:keepNext/>
      <w:keepLines/>
      <w:numPr>
        <w:ilvl w:val="5"/>
        <w:numId w:val="18"/>
      </w:num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A1DEC"/>
    <w:pPr>
      <w:keepNext/>
      <w:keepLines/>
      <w:numPr>
        <w:ilvl w:val="6"/>
        <w:numId w:val="18"/>
      </w:numPr>
      <w:spacing w:before="20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5A1DE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5A1DEC"/>
    <w:pPr>
      <w:keepNext/>
      <w:keepLines/>
      <w:numPr>
        <w:ilvl w:val="8"/>
        <w:numId w:val="18"/>
      </w:numPr>
      <w:spacing w:before="20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DEC"/>
    <w:rPr>
      <w:rFonts w:asciiTheme="majorHAnsi" w:eastAsiaTheme="majorEastAsia" w:hAnsiTheme="majorHAnsi" w:cstheme="majorBidi"/>
      <w:bCs/>
      <w:szCs w:val="32"/>
    </w:rPr>
  </w:style>
  <w:style w:type="character" w:customStyle="1" w:styleId="Heading2Char">
    <w:name w:val="Heading 2 Char"/>
    <w:basedOn w:val="DefaultParagraphFont"/>
    <w:link w:val="Heading2"/>
    <w:uiPriority w:val="9"/>
    <w:rsid w:val="005A1DE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semiHidden/>
    <w:rsid w:val="005A1DEC"/>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5A1DEC"/>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5A1DE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5A1DEC"/>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A1DEC"/>
    <w:rPr>
      <w:rFonts w:asciiTheme="majorHAnsi" w:eastAsiaTheme="majorEastAsia" w:hAnsiTheme="majorHAnsi" w:cstheme="majorBidi"/>
      <w:iCs/>
    </w:rPr>
  </w:style>
  <w:style w:type="character" w:customStyle="1" w:styleId="Heading9Char">
    <w:name w:val="Heading 9 Char"/>
    <w:basedOn w:val="DefaultParagraphFont"/>
    <w:link w:val="Heading9"/>
    <w:uiPriority w:val="9"/>
    <w:rsid w:val="005A1DEC"/>
    <w:rPr>
      <w:rFonts w:asciiTheme="majorHAnsi" w:eastAsiaTheme="majorEastAsia" w:hAnsiTheme="majorHAnsi" w:cstheme="majorBidi"/>
      <w:iCs/>
      <w:szCs w:val="20"/>
    </w:rPr>
  </w:style>
  <w:style w:type="character" w:customStyle="1" w:styleId="Heading8Char">
    <w:name w:val="Heading 8 Char"/>
    <w:basedOn w:val="DefaultParagraphFont"/>
    <w:link w:val="Heading8"/>
    <w:uiPriority w:val="9"/>
    <w:rsid w:val="005A1DEC"/>
    <w:rPr>
      <w:rFonts w:asciiTheme="majorHAnsi" w:eastAsiaTheme="majorEastAsia" w:hAnsiTheme="majorHAnsi" w:cstheme="majorBidi"/>
      <w:color w:val="404040" w:themeColor="text1" w:themeTint="BF"/>
      <w:szCs w:val="20"/>
    </w:rPr>
  </w:style>
  <w:style w:type="paragraph" w:styleId="ListParagraph">
    <w:name w:val="List Paragraph"/>
    <w:basedOn w:val="Normal"/>
    <w:uiPriority w:val="34"/>
    <w:qFormat/>
    <w:rsid w:val="00692EB7"/>
    <w:pPr>
      <w:ind w:left="720"/>
      <w:contextualSpacing/>
    </w:pPr>
  </w:style>
  <w:style w:type="paragraph" w:styleId="BalloonText">
    <w:name w:val="Balloon Text"/>
    <w:basedOn w:val="Normal"/>
    <w:link w:val="BalloonTextChar"/>
    <w:uiPriority w:val="99"/>
    <w:semiHidden/>
    <w:unhideWhenUsed/>
    <w:rsid w:val="007E7793"/>
    <w:rPr>
      <w:rFonts w:ascii="Tahoma" w:hAnsi="Tahoma" w:cs="Tahoma"/>
      <w:sz w:val="16"/>
      <w:szCs w:val="16"/>
    </w:rPr>
  </w:style>
  <w:style w:type="character" w:customStyle="1" w:styleId="BalloonTextChar">
    <w:name w:val="Balloon Text Char"/>
    <w:basedOn w:val="DefaultParagraphFont"/>
    <w:link w:val="BalloonText"/>
    <w:uiPriority w:val="99"/>
    <w:semiHidden/>
    <w:rsid w:val="007E7793"/>
    <w:rPr>
      <w:rFonts w:ascii="Tahoma" w:eastAsia="Times New Roman" w:hAnsi="Tahoma" w:cs="Tahoma"/>
      <w:sz w:val="16"/>
      <w:szCs w:val="16"/>
    </w:rPr>
  </w:style>
  <w:style w:type="paragraph" w:styleId="Header">
    <w:name w:val="header"/>
    <w:basedOn w:val="Normal"/>
    <w:link w:val="HeaderChar"/>
    <w:uiPriority w:val="99"/>
    <w:unhideWhenUsed/>
    <w:rsid w:val="00F702CF"/>
    <w:pPr>
      <w:tabs>
        <w:tab w:val="center" w:pos="4680"/>
        <w:tab w:val="right" w:pos="9360"/>
      </w:tabs>
    </w:pPr>
  </w:style>
  <w:style w:type="character" w:customStyle="1" w:styleId="HeaderChar">
    <w:name w:val="Header Char"/>
    <w:basedOn w:val="DefaultParagraphFont"/>
    <w:link w:val="Header"/>
    <w:uiPriority w:val="99"/>
    <w:rsid w:val="00F702CF"/>
    <w:rPr>
      <w:rFonts w:ascii="Times New Roman" w:eastAsia="Times New Roman" w:hAnsi="Times New Roman" w:cs="Times New Roman"/>
      <w:sz w:val="20"/>
    </w:rPr>
  </w:style>
  <w:style w:type="paragraph" w:styleId="Footer">
    <w:name w:val="footer"/>
    <w:basedOn w:val="Normal"/>
    <w:link w:val="FooterChar"/>
    <w:uiPriority w:val="99"/>
    <w:unhideWhenUsed/>
    <w:rsid w:val="00F702CF"/>
    <w:pPr>
      <w:tabs>
        <w:tab w:val="center" w:pos="4680"/>
        <w:tab w:val="right" w:pos="9360"/>
      </w:tabs>
    </w:pPr>
  </w:style>
  <w:style w:type="character" w:customStyle="1" w:styleId="FooterChar">
    <w:name w:val="Footer Char"/>
    <w:basedOn w:val="DefaultParagraphFont"/>
    <w:link w:val="Footer"/>
    <w:uiPriority w:val="99"/>
    <w:rsid w:val="00F702CF"/>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Glowka</dc:creator>
  <cp:lastModifiedBy>Catherine Lehmann (UNEP/AEWA Secretariat)</cp:lastModifiedBy>
  <cp:revision>2</cp:revision>
  <cp:lastPrinted>2014-11-07T21:20:00Z</cp:lastPrinted>
  <dcterms:created xsi:type="dcterms:W3CDTF">2014-11-07T22:06:00Z</dcterms:created>
  <dcterms:modified xsi:type="dcterms:W3CDTF">2014-11-07T22:06:00Z</dcterms:modified>
</cp:coreProperties>
</file>