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054"/>
        <w:gridCol w:w="4230"/>
      </w:tblGrid>
      <w:tr w:rsidR="00002A97" w:rsidRPr="008C25CF" w14:paraId="7D39B68F" w14:textId="77777777" w:rsidTr="005B488D">
        <w:trPr>
          <w:trHeight w:val="1328"/>
        </w:trPr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5D99ADA" w14:textId="77777777" w:rsidR="00002A97" w:rsidRPr="008C25CF" w:rsidRDefault="00002A97" w:rsidP="00002A9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s-ES"/>
              </w:rPr>
            </w:pPr>
            <w:r w:rsidRPr="008C25CF">
              <w:rPr>
                <w:rFonts w:eastAsia="Times New Roman" w:cs="Arial"/>
                <w:noProof/>
                <w:szCs w:val="24"/>
                <w:lang w:val="es-ES"/>
              </w:rPr>
              <w:drawing>
                <wp:inline distT="0" distB="0" distL="0" distR="0" wp14:anchorId="7E2D7EDA" wp14:editId="32685FB7">
                  <wp:extent cx="742950" cy="771525"/>
                  <wp:effectExtent l="0" t="0" r="0" b="9525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l="-2531" t="-740" r="-2531" b="-7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236548F9" w14:textId="77777777" w:rsidR="00002A97" w:rsidRPr="008C25CF" w:rsidRDefault="00002A97" w:rsidP="004D0321">
            <w:pPr>
              <w:keepNext/>
              <w:widowControl w:val="0"/>
              <w:suppressAutoHyphens/>
              <w:autoSpaceDE w:val="0"/>
              <w:autoSpaceDN w:val="0"/>
              <w:spacing w:before="120" w:after="0" w:line="240" w:lineRule="auto"/>
              <w:ind w:left="-115"/>
              <w:textAlignment w:val="baseline"/>
              <w:outlineLvl w:val="1"/>
              <w:rPr>
                <w:rFonts w:ascii="Calibri" w:eastAsia="Calibri" w:hAnsi="Calibri" w:cs="Times New Roman"/>
                <w:lang w:val="es-ES"/>
              </w:rPr>
            </w:pPr>
            <w:r w:rsidRPr="008C25CF">
              <w:rPr>
                <w:rFonts w:eastAsia="Times New Roman" w:cs="Arial"/>
                <w:b/>
                <w:bCs/>
                <w:sz w:val="32"/>
                <w:szCs w:val="24"/>
                <w:lang w:val="es-ES" w:eastAsia="es-ES"/>
              </w:rPr>
              <w:t>CONVENCIÓN SOBRE</w:t>
            </w:r>
          </w:p>
          <w:p w14:paraId="7FAD4F72" w14:textId="77777777" w:rsidR="00002A97" w:rsidRPr="008C25CF" w:rsidRDefault="00002A97" w:rsidP="00002A97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ascii="Calibri" w:eastAsia="Calibri" w:hAnsi="Calibri" w:cs="Times New Roman"/>
                <w:lang w:val="es-ES"/>
              </w:rPr>
            </w:pPr>
            <w:r w:rsidRPr="008C25CF">
              <w:rPr>
                <w:rFonts w:eastAsia="Times New Roman" w:cs="Arial"/>
                <w:b/>
                <w:bCs/>
                <w:sz w:val="32"/>
                <w:szCs w:val="24"/>
                <w:lang w:val="es-ES" w:eastAsia="es-ES"/>
              </w:rPr>
              <w:t>LAS ESPECIES</w:t>
            </w:r>
          </w:p>
          <w:p w14:paraId="36CDC432" w14:textId="77777777" w:rsidR="00002A97" w:rsidRPr="008C25CF" w:rsidRDefault="00002A97" w:rsidP="00002A97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ascii="Calibri" w:eastAsia="Calibri" w:hAnsi="Calibri" w:cs="Times New Roman"/>
                <w:lang w:val="es-ES"/>
              </w:rPr>
            </w:pPr>
            <w:r w:rsidRPr="008C25CF">
              <w:rPr>
                <w:rFonts w:eastAsia="Times New Roman" w:cs="Arial"/>
                <w:b/>
                <w:bCs/>
                <w:sz w:val="32"/>
                <w:szCs w:val="24"/>
                <w:lang w:val="es-ES" w:eastAsia="es-ES"/>
              </w:rPr>
              <w:t>MIGRATORIAS</w:t>
            </w:r>
          </w:p>
        </w:tc>
        <w:tc>
          <w:tcPr>
            <w:tcW w:w="42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0EEC8EB4" w14:textId="0A1A6629" w:rsidR="00002A97" w:rsidRPr="008C25CF" w:rsidRDefault="00002A97" w:rsidP="00773816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240" w:after="120" w:line="240" w:lineRule="auto"/>
              <w:ind w:left="345"/>
              <w:textAlignment w:val="baseline"/>
              <w:rPr>
                <w:rFonts w:ascii="Calibri" w:eastAsia="Calibri" w:hAnsi="Calibri" w:cs="Times New Roman"/>
                <w:lang w:val="es-ES"/>
              </w:rPr>
            </w:pPr>
            <w:r w:rsidRPr="008C25CF">
              <w:rPr>
                <w:rFonts w:eastAsia="Times New Roman" w:cs="Arial"/>
                <w:szCs w:val="24"/>
                <w:lang w:val="es-ES" w:eastAsia="es-ES"/>
              </w:rPr>
              <w:t>UNEP/CMS/</w:t>
            </w:r>
            <w:r w:rsidR="00773816">
              <w:rPr>
                <w:rFonts w:eastAsia="Times New Roman" w:cs="Arial"/>
                <w:szCs w:val="24"/>
                <w:lang w:val="es-ES" w:eastAsia="es-ES"/>
              </w:rPr>
              <w:t>COP13/</w:t>
            </w:r>
            <w:r w:rsidR="00773B45" w:rsidRPr="008C25CF">
              <w:rPr>
                <w:rFonts w:eastAsia="Times New Roman" w:cs="Arial"/>
                <w:szCs w:val="24"/>
                <w:lang w:val="es-ES" w:eastAsia="es-ES"/>
              </w:rPr>
              <w:t>I</w:t>
            </w:r>
            <w:r w:rsidR="0062506B" w:rsidRPr="008C25CF">
              <w:rPr>
                <w:rFonts w:eastAsia="Times New Roman" w:cs="Arial"/>
                <w:szCs w:val="24"/>
                <w:lang w:val="es-ES" w:eastAsia="es-ES"/>
              </w:rPr>
              <w:t>nforme/Anexo 2</w:t>
            </w:r>
          </w:p>
          <w:p w14:paraId="2C911AB9" w14:textId="77777777" w:rsidR="00002A97" w:rsidRPr="008C25CF" w:rsidRDefault="00002A97" w:rsidP="00773816">
            <w:pPr>
              <w:widowControl w:val="0"/>
              <w:suppressAutoHyphens/>
              <w:autoSpaceDE w:val="0"/>
              <w:autoSpaceDN w:val="0"/>
              <w:spacing w:after="120" w:line="240" w:lineRule="auto"/>
              <w:ind w:left="345"/>
              <w:textAlignment w:val="baseline"/>
              <w:rPr>
                <w:rFonts w:eastAsia="Times New Roman" w:cs="Arial"/>
                <w:szCs w:val="24"/>
                <w:lang w:val="es-ES" w:eastAsia="es-ES"/>
              </w:rPr>
            </w:pPr>
            <w:r w:rsidRPr="008C25CF">
              <w:rPr>
                <w:rFonts w:eastAsia="Times New Roman" w:cs="Arial"/>
                <w:szCs w:val="24"/>
                <w:lang w:val="es-ES" w:eastAsia="es-ES"/>
              </w:rPr>
              <w:t>Español</w:t>
            </w:r>
            <w:bookmarkStart w:id="0" w:name="_GoBack"/>
            <w:bookmarkEnd w:id="0"/>
          </w:p>
          <w:p w14:paraId="55BB06EB" w14:textId="77777777" w:rsidR="00002A97" w:rsidRPr="008C25CF" w:rsidRDefault="00002A97" w:rsidP="00773816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45"/>
              <w:textAlignment w:val="baseline"/>
              <w:rPr>
                <w:rFonts w:ascii="Calibri" w:eastAsia="Calibri" w:hAnsi="Calibri" w:cs="Times New Roman"/>
                <w:lang w:val="es-ES"/>
              </w:rPr>
            </w:pPr>
            <w:r w:rsidRPr="008C25CF">
              <w:rPr>
                <w:rFonts w:eastAsia="Times New Roman" w:cs="Arial"/>
                <w:szCs w:val="24"/>
                <w:lang w:val="es-ES" w:eastAsia="es-ES"/>
              </w:rPr>
              <w:t>Original: Inglés</w:t>
            </w:r>
          </w:p>
          <w:p w14:paraId="03054BCD" w14:textId="77777777" w:rsidR="00002A97" w:rsidRPr="008C25CF" w:rsidRDefault="00002A97" w:rsidP="00002A9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</w:tr>
    </w:tbl>
    <w:p w14:paraId="0E2F4D4A" w14:textId="77777777" w:rsidR="0062506B" w:rsidRPr="0062506B" w:rsidRDefault="0062506B" w:rsidP="0062506B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Calibri" w:cs="Arial"/>
          <w:lang w:val="es-ES" w:bidi="en-US"/>
        </w:rPr>
      </w:pPr>
      <w:bookmarkStart w:id="1" w:name="_Hlk41396149"/>
      <w:r w:rsidRPr="0062506B">
        <w:rPr>
          <w:rFonts w:eastAsia="Times New Roman" w:cs="Arial"/>
          <w:lang w:val="es-ES" w:eastAsia="es-ES" w:bidi="en-US"/>
        </w:rPr>
        <w:t>13ª REUNIÓN DE LA CONFERENCIA DE LAS PARTES</w:t>
      </w:r>
    </w:p>
    <w:p w14:paraId="47B4C35C" w14:textId="77777777" w:rsidR="0062506B" w:rsidRPr="0062506B" w:rsidRDefault="0062506B" w:rsidP="0062506B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eastAsia="Calibri" w:cs="Arial"/>
          <w:lang w:val="es-ES" w:bidi="en-US"/>
        </w:rPr>
      </w:pPr>
      <w:r w:rsidRPr="0062506B">
        <w:rPr>
          <w:rFonts w:eastAsia="Times New Roman" w:cs="Arial"/>
          <w:bCs/>
          <w:lang w:val="es-ES" w:eastAsia="es-ES" w:bidi="en-US"/>
        </w:rPr>
        <w:t>Gandhinagar. India, 17 – 22 de febrero 2020</w:t>
      </w:r>
    </w:p>
    <w:bookmarkEnd w:id="1"/>
    <w:p w14:paraId="53E25CB7" w14:textId="77777777" w:rsidR="00002A97" w:rsidRPr="008C25CF" w:rsidRDefault="00002A97" w:rsidP="00002A97">
      <w:pPr>
        <w:widowControl w:val="0"/>
        <w:tabs>
          <w:tab w:val="left" w:pos="7020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14:paraId="2E0BC833" w14:textId="77777777" w:rsidR="00AC09AE" w:rsidRPr="008C25CF" w:rsidRDefault="00AC09AE" w:rsidP="00002A97">
      <w:pPr>
        <w:widowControl w:val="0"/>
        <w:tabs>
          <w:tab w:val="left" w:pos="7020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14:paraId="09FCA753" w14:textId="74AE6F52" w:rsidR="0062506B" w:rsidRPr="008C25CF" w:rsidRDefault="0062506B" w:rsidP="0062506B">
      <w:pPr>
        <w:tabs>
          <w:tab w:val="left" w:pos="9356"/>
        </w:tabs>
        <w:spacing w:after="0" w:line="240" w:lineRule="auto"/>
        <w:ind w:left="706" w:right="230" w:hanging="562"/>
        <w:jc w:val="center"/>
        <w:rPr>
          <w:rFonts w:eastAsia="Calibri" w:cs="Arial"/>
          <w:b/>
          <w:lang w:val="es-ES" w:bidi="en-US"/>
        </w:rPr>
      </w:pPr>
      <w:r w:rsidRPr="008C25CF">
        <w:rPr>
          <w:rFonts w:eastAsia="Calibri" w:cs="Arial"/>
          <w:b/>
          <w:lang w:val="es-ES" w:bidi="en-US"/>
        </w:rPr>
        <w:t>DOCUMENTOS APROBADOS POR LA COP13 DE LA CMS</w:t>
      </w:r>
    </w:p>
    <w:p w14:paraId="62F18430" w14:textId="666918C0" w:rsidR="0062506B" w:rsidRPr="008C25CF" w:rsidRDefault="0062506B" w:rsidP="0062506B">
      <w:pPr>
        <w:tabs>
          <w:tab w:val="left" w:pos="9356"/>
        </w:tabs>
        <w:spacing w:after="0" w:line="240" w:lineRule="auto"/>
        <w:ind w:left="706" w:right="230" w:hanging="562"/>
        <w:jc w:val="center"/>
        <w:rPr>
          <w:rFonts w:eastAsia="Calibri" w:cs="Arial"/>
          <w:b/>
          <w:lang w:val="es-ES" w:bidi="en-US"/>
        </w:rPr>
      </w:pPr>
    </w:p>
    <w:p w14:paraId="68E76C7E" w14:textId="77777777" w:rsidR="0062506B" w:rsidRPr="0062506B" w:rsidRDefault="0062506B" w:rsidP="0062506B">
      <w:pPr>
        <w:tabs>
          <w:tab w:val="left" w:pos="9356"/>
        </w:tabs>
        <w:spacing w:after="0" w:line="240" w:lineRule="auto"/>
        <w:ind w:left="706" w:right="230" w:hanging="562"/>
        <w:jc w:val="center"/>
        <w:rPr>
          <w:rFonts w:eastAsia="Calibri" w:cs="Arial"/>
          <w:b/>
          <w:lang w:val="es-ES" w:bidi="en-US"/>
        </w:rPr>
      </w:pPr>
    </w:p>
    <w:p w14:paraId="3CABCA0F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bCs/>
          <w:lang w:val="es-ES" w:bidi="en-US"/>
        </w:rPr>
        <w:t>UNEP/CMS/COP13/Doc</w:t>
      </w:r>
      <w:r w:rsidRPr="0062506B">
        <w:rPr>
          <w:rFonts w:eastAsia="Calibri" w:cs="Arial"/>
          <w:lang w:val="es-ES" w:bidi="en-US"/>
        </w:rPr>
        <w:t xml:space="preserve">.13.1 </w:t>
      </w:r>
      <w:r w:rsidRPr="0062506B">
        <w:rPr>
          <w:rFonts w:eastAsia="Calibri" w:cs="Arial"/>
          <w:i/>
          <w:lang w:val="es-ES" w:bidi="en-US"/>
        </w:rPr>
        <w:t>Ejecución del presupuesto de la CMS 2018-2020*</w:t>
      </w:r>
    </w:p>
    <w:p w14:paraId="2573700D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bCs/>
          <w:lang w:val="es-ES" w:bidi="en-US"/>
        </w:rPr>
        <w:t>UNEP/CMS/COP13/</w:t>
      </w:r>
      <w:r w:rsidRPr="0062506B">
        <w:rPr>
          <w:rFonts w:eastAsia="Calibri" w:cs="Arial"/>
          <w:lang w:val="es-ES" w:bidi="en-US"/>
        </w:rPr>
        <w:t xml:space="preserve">CRP.13.2 </w:t>
      </w:r>
      <w:r w:rsidRPr="0062506B">
        <w:rPr>
          <w:rFonts w:eastAsia="Calibri" w:cs="Arial"/>
          <w:i/>
          <w:lang w:val="es-ES" w:bidi="en-US"/>
        </w:rPr>
        <w:t xml:space="preserve">Asuntos Administrativos y financieros </w:t>
      </w:r>
      <w:r w:rsidRPr="0062506B">
        <w:rPr>
          <w:rFonts w:eastAsia="Calibri" w:cs="Arial"/>
          <w:iCs/>
          <w:lang w:val="es-ES" w:bidi="en-US"/>
        </w:rPr>
        <w:t>y sus seis anexos</w:t>
      </w:r>
    </w:p>
    <w:p w14:paraId="589E6AF4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773816">
        <w:rPr>
          <w:rFonts w:eastAsia="Calibri" w:cs="Arial"/>
          <w:bCs/>
          <w:lang w:bidi="en-US"/>
        </w:rPr>
        <w:t>UNEP/CMS/COP13/</w:t>
      </w:r>
      <w:r w:rsidRPr="00773816">
        <w:rPr>
          <w:rFonts w:eastAsia="Calibri" w:cs="Arial"/>
          <w:lang w:bidi="en-US"/>
        </w:rPr>
        <w:t xml:space="preserve">CRP.13.2/Anexo 6. </w:t>
      </w:r>
      <w:r w:rsidRPr="0062506B">
        <w:rPr>
          <w:rFonts w:eastAsia="Calibri" w:cs="Arial"/>
          <w:i/>
          <w:lang w:val="es-ES" w:bidi="en-US"/>
        </w:rPr>
        <w:t>Programa de trabajo propuesto para el ciclo del periodo de sesiones entre la COP13 y la COP 14</w:t>
      </w:r>
    </w:p>
    <w:p w14:paraId="5079F060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UNEP/CMS/COP13/CRP14.1 </w:t>
      </w:r>
      <w:r w:rsidRPr="0062506B">
        <w:rPr>
          <w:rFonts w:eastAsia="Calibri" w:cs="Arial"/>
          <w:i/>
          <w:iCs/>
          <w:lang w:val="es-ES" w:bidi="en-US"/>
        </w:rPr>
        <w:t>Plan estratégico</w:t>
      </w:r>
    </w:p>
    <w:p w14:paraId="710775A1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i/>
          <w:lang w:val="es-ES" w:bidi="en-US"/>
        </w:rPr>
      </w:pPr>
      <w:r w:rsidRPr="0062506B">
        <w:rPr>
          <w:rFonts w:eastAsia="Calibri" w:cs="Arial"/>
          <w:bCs/>
          <w:lang w:val="es-ES" w:bidi="en-US"/>
        </w:rPr>
        <w:t xml:space="preserve">UNEP/CMS/COP13CRP14.2/Rev.2 </w:t>
      </w:r>
      <w:r w:rsidRPr="0062506B">
        <w:rPr>
          <w:rFonts w:eastAsia="Calibri" w:cs="Arial"/>
          <w:bCs/>
          <w:i/>
          <w:lang w:val="es-ES" w:bidi="en-US"/>
        </w:rPr>
        <w:t>Opciones para el seguimiento del plan estratégico para las especies migratorias 2015 - 2023</w:t>
      </w:r>
    </w:p>
    <w:p w14:paraId="46388AC3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i/>
          <w:lang w:val="es-ES" w:bidi="en-US"/>
        </w:rPr>
      </w:pPr>
      <w:r w:rsidRPr="0062506B">
        <w:rPr>
          <w:rFonts w:eastAsia="Calibri" w:cs="Arial"/>
          <w:lang w:val="es-ES" w:bidi="en-US"/>
        </w:rPr>
        <w:t>UNEP/CMS/COP13/CRP17</w:t>
      </w:r>
      <w:r w:rsidRPr="0062506B">
        <w:rPr>
          <w:rFonts w:eastAsia="Calibri" w:cs="Arial"/>
          <w:i/>
          <w:lang w:val="es-ES" w:bidi="en-US"/>
        </w:rPr>
        <w:t xml:space="preserve"> Contribución de la CMS al Marco Mundial de Biodiversidad posterior a 2020</w:t>
      </w:r>
    </w:p>
    <w:p w14:paraId="02303CA0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i/>
          <w:lang w:val="es-ES" w:bidi="en-US"/>
        </w:rPr>
      </w:pPr>
      <w:r w:rsidRPr="0062506B">
        <w:rPr>
          <w:rFonts w:eastAsia="Calibri" w:cs="Arial"/>
          <w:lang w:val="es-ES" w:bidi="en-US"/>
        </w:rPr>
        <w:t>UNEP/CMS/COP13/CRP18</w:t>
      </w:r>
      <w:r w:rsidRPr="0062506B">
        <w:rPr>
          <w:rFonts w:eastAsia="Calibri" w:cs="Arial"/>
          <w:i/>
          <w:lang w:val="es-ES" w:bidi="en-US"/>
        </w:rPr>
        <w:t xml:space="preserve"> Sinergias y asociaciones</w:t>
      </w:r>
    </w:p>
    <w:p w14:paraId="0F927B2D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i/>
          <w:lang w:val="es-ES" w:bidi="en-US"/>
        </w:rPr>
      </w:pPr>
      <w:r w:rsidRPr="0062506B">
        <w:rPr>
          <w:rFonts w:eastAsia="Calibri" w:cs="Arial"/>
          <w:lang w:val="es-ES" w:bidi="en-US"/>
        </w:rPr>
        <w:t>UNEP/CMS/COP13/CRP18.1/Rev.1</w:t>
      </w:r>
      <w:r w:rsidRPr="0062506B">
        <w:rPr>
          <w:rFonts w:eastAsia="Calibri" w:cs="Arial"/>
          <w:i/>
          <w:lang w:val="es-ES" w:bidi="en-US"/>
        </w:rPr>
        <w:t xml:space="preserve"> Cooperación con la Plataforma Intergubernamental Científico-normativa sobre Biodiversidad y Servicios Ecosistémicos (IPBES) y la CMS</w:t>
      </w:r>
    </w:p>
    <w:p w14:paraId="018C37E8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i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UNEP/CMS/COP13/CRP18.2 </w:t>
      </w:r>
      <w:r w:rsidRPr="0062506B">
        <w:rPr>
          <w:rFonts w:eastAsia="Calibri" w:cs="Arial"/>
          <w:i/>
          <w:lang w:val="es-ES" w:bidi="en-US"/>
        </w:rPr>
        <w:t>Día Mundial de las Aves Migratorias</w:t>
      </w:r>
    </w:p>
    <w:p w14:paraId="7B497F7E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UNEP/CMS/COP13/CRP20 </w:t>
      </w:r>
      <w:r w:rsidRPr="0062506B">
        <w:rPr>
          <w:rFonts w:eastAsia="Calibri" w:cs="Arial"/>
          <w:i/>
          <w:lang w:val="es-ES" w:bidi="en-US"/>
        </w:rPr>
        <w:t>Informes nacionales</w:t>
      </w:r>
    </w:p>
    <w:p w14:paraId="4DACF82A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UNEP/CMS/COP13/CRP21 </w:t>
      </w:r>
      <w:r w:rsidRPr="0062506B">
        <w:rPr>
          <w:rFonts w:eastAsia="Calibri" w:cs="Arial"/>
          <w:i/>
          <w:lang w:val="es-ES" w:bidi="en-US"/>
        </w:rPr>
        <w:t>Aplicación del Artículo III de la Convención relativa al comercio internacional de las especies incluidas en los Apéndices</w:t>
      </w:r>
    </w:p>
    <w:p w14:paraId="7FB93E24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UNEP/CMS/COP13/CRP22 </w:t>
      </w:r>
      <w:r w:rsidRPr="0062506B">
        <w:rPr>
          <w:rFonts w:eastAsia="Calibri" w:cs="Arial"/>
          <w:i/>
          <w:lang w:val="es-ES" w:bidi="en-US"/>
        </w:rPr>
        <w:t>Mecanismo de revisión y Programa de legislación nacional</w:t>
      </w:r>
    </w:p>
    <w:p w14:paraId="0091F7F3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UNEP/CMS/COP13/Doc.23.2 </w:t>
      </w:r>
      <w:r w:rsidRPr="0062506B">
        <w:rPr>
          <w:rFonts w:eastAsia="Calibri" w:cs="Arial"/>
          <w:i/>
          <w:lang w:val="es-ES" w:bidi="en-US"/>
        </w:rPr>
        <w:t>Revisión de Resoluciones: Decisiones 12.11 y 12.12 *</w:t>
      </w:r>
    </w:p>
    <w:p w14:paraId="7AE1C4F8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UNEP/CMS/COP13/CRP24 </w:t>
      </w:r>
      <w:r w:rsidRPr="0062506B">
        <w:rPr>
          <w:rFonts w:eastAsia="Calibri" w:cs="Arial"/>
          <w:i/>
          <w:lang w:val="es-ES" w:bidi="en-US"/>
        </w:rPr>
        <w:t>Revisión del Estado de conservación de las especies migratorias</w:t>
      </w:r>
    </w:p>
    <w:p w14:paraId="424E57EE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UNEP/CMS/COP13/Doc.25 </w:t>
      </w:r>
      <w:r w:rsidRPr="0062506B">
        <w:rPr>
          <w:rFonts w:eastAsia="Calibri" w:cs="Arial"/>
          <w:i/>
          <w:lang w:val="es-ES" w:bidi="en-US"/>
        </w:rPr>
        <w:t>Progreso hacia el desarrollo de un atlas sobre la migración animal *</w:t>
      </w:r>
      <w:r w:rsidRPr="0062506B">
        <w:rPr>
          <w:rFonts w:eastAsia="Calibri" w:cs="Arial"/>
          <w:lang w:val="es-ES" w:bidi="en-US"/>
        </w:rPr>
        <w:t xml:space="preserve"> </w:t>
      </w:r>
    </w:p>
    <w:p w14:paraId="529011D0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i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UNEP/CMS/COP13/CRP26.1.1 </w:t>
      </w:r>
      <w:r w:rsidRPr="0062506B">
        <w:rPr>
          <w:rFonts w:eastAsia="Calibri" w:cs="Arial"/>
          <w:i/>
          <w:lang w:val="es-ES" w:bidi="en-US"/>
        </w:rPr>
        <w:t>Prevención de la matanza, captura y comercio ilegal de las aves migratorias</w:t>
      </w:r>
    </w:p>
    <w:p w14:paraId="7C0835EB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i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UNEP/CMS/COP13/CRP26.1.2 </w:t>
      </w:r>
      <w:r w:rsidRPr="0062506B">
        <w:rPr>
          <w:rFonts w:eastAsia="Calibri" w:cs="Arial"/>
          <w:i/>
          <w:lang w:val="es-ES" w:bidi="en-US"/>
        </w:rPr>
        <w:t>Plan de acción para las aves terrestres migratorias de la región de África-Eurasia (AEMLAP)</w:t>
      </w:r>
    </w:p>
    <w:p w14:paraId="62098502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UNEP/CMS/COP13/CRP26.1.3 </w:t>
      </w:r>
      <w:r w:rsidRPr="0062506B">
        <w:rPr>
          <w:rFonts w:eastAsia="Calibri" w:cs="Arial"/>
          <w:i/>
          <w:lang w:val="es-ES" w:bidi="en-US"/>
        </w:rPr>
        <w:t>Prevención del envenenamiento de aves migratorias</w:t>
      </w:r>
    </w:p>
    <w:p w14:paraId="22409BAF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UNEP/CMS/COP13/CRP26.1.4/Rev.1 </w:t>
      </w:r>
      <w:r w:rsidRPr="0062506B">
        <w:rPr>
          <w:rFonts w:eastAsia="Calibri" w:cs="Arial"/>
          <w:i/>
          <w:lang w:val="es-ES" w:bidi="en-US"/>
        </w:rPr>
        <w:t>Corredores aéreos</w:t>
      </w:r>
    </w:p>
    <w:p w14:paraId="23A14904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UNEP/CMS/COP13/CRP26.1.5 </w:t>
      </w:r>
      <w:r w:rsidRPr="0062506B">
        <w:rPr>
          <w:rFonts w:eastAsia="Calibri" w:cs="Arial"/>
          <w:i/>
          <w:lang w:val="es-ES" w:bidi="en-US"/>
        </w:rPr>
        <w:t>Planes de acción para las aves</w:t>
      </w:r>
    </w:p>
    <w:p w14:paraId="7D7ADA05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t>UNEP/CMS/COP13/CRP26.2.1M</w:t>
      </w:r>
      <w:r w:rsidRPr="0062506B">
        <w:rPr>
          <w:rFonts w:eastAsia="Calibri" w:cs="Arial"/>
          <w:i/>
          <w:lang w:val="es-ES" w:bidi="en-US"/>
        </w:rPr>
        <w:t>medidas de conservación pertinentes para especies que figuran en la lista de la CMS y evidentes a partir de la identificación de áreas importantes de mamíferos marinos (AIMM)</w:t>
      </w:r>
    </w:p>
    <w:p w14:paraId="6D0ADB2A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UNEP/CMS/COP13/CRP26.2.2 </w:t>
      </w:r>
      <w:r w:rsidRPr="0062506B">
        <w:rPr>
          <w:rFonts w:eastAsia="Calibri" w:cs="Arial"/>
          <w:i/>
          <w:lang w:val="es-ES" w:bidi="en-US"/>
        </w:rPr>
        <w:t>Ruido marino</w:t>
      </w:r>
    </w:p>
    <w:p w14:paraId="5486C315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lastRenderedPageBreak/>
        <w:t xml:space="preserve">UNEP/CMS/COP13/CRP26.2.3 </w:t>
      </w:r>
      <w:r w:rsidRPr="0062506B">
        <w:rPr>
          <w:rFonts w:eastAsia="Calibri" w:cs="Arial"/>
          <w:i/>
          <w:lang w:val="es-ES" w:bidi="en-US"/>
        </w:rPr>
        <w:t>Captura incidental</w:t>
      </w:r>
    </w:p>
    <w:p w14:paraId="50F6DAF7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i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UNEP/CMS/COP13/Doc.26.2.4/Rev.1 </w:t>
      </w:r>
      <w:r w:rsidRPr="0062506B">
        <w:rPr>
          <w:rFonts w:eastAsia="Calibri" w:cs="Arial"/>
          <w:i/>
          <w:lang w:val="es-ES" w:bidi="en-US"/>
        </w:rPr>
        <w:t>Carne de animales salvajes acuático *</w:t>
      </w:r>
    </w:p>
    <w:p w14:paraId="293B0382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i/>
          <w:lang w:val="es-ES" w:bidi="en-US"/>
        </w:rPr>
      </w:pPr>
      <w:r w:rsidRPr="0062506B">
        <w:rPr>
          <w:rFonts w:eastAsia="Calibri" w:cs="Arial"/>
          <w:lang w:val="es-ES" w:bidi="en-US"/>
        </w:rPr>
        <w:t>UNEP/CMS/COP13/CRP26.2.5</w:t>
      </w:r>
      <w:r w:rsidRPr="0062506B">
        <w:rPr>
          <w:rFonts w:eastAsia="Calibri" w:cs="Arial"/>
          <w:i/>
          <w:lang w:val="es-ES" w:bidi="en-US"/>
        </w:rPr>
        <w:t xml:space="preserve"> Observación de fauna marina silvestre</w:t>
      </w:r>
    </w:p>
    <w:p w14:paraId="58025A88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i/>
          <w:lang w:val="es-ES" w:bidi="en-US"/>
        </w:rPr>
      </w:pPr>
      <w:r w:rsidRPr="0062506B">
        <w:rPr>
          <w:rFonts w:eastAsia="Calibri" w:cs="Arial"/>
          <w:lang w:val="es-ES" w:bidi="en-US"/>
        </w:rPr>
        <w:t>UNEP/CMS/COP13/CRP26.2.6</w:t>
      </w:r>
      <w:r w:rsidRPr="0062506B">
        <w:rPr>
          <w:rFonts w:eastAsia="Calibri" w:cs="Arial"/>
          <w:i/>
          <w:lang w:val="es-ES" w:bidi="en-US"/>
        </w:rPr>
        <w:t xml:space="preserve"> Tortugas marinas</w:t>
      </w:r>
    </w:p>
    <w:p w14:paraId="6D57F81C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i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UNEP/CMS/COP13/CRP26.2.7 </w:t>
      </w:r>
      <w:r w:rsidRPr="0062506B">
        <w:rPr>
          <w:rFonts w:eastAsia="Calibri" w:cs="Arial"/>
          <w:i/>
          <w:lang w:val="es-ES" w:bidi="en-US"/>
        </w:rPr>
        <w:t xml:space="preserve">Especies de </w:t>
      </w:r>
      <w:proofErr w:type="spellStart"/>
      <w:r w:rsidRPr="0062506B">
        <w:rPr>
          <w:rFonts w:eastAsia="Calibri" w:cs="Arial"/>
          <w:i/>
          <w:lang w:val="es-ES" w:bidi="en-US"/>
        </w:rPr>
        <w:t>Condrictios</w:t>
      </w:r>
      <w:proofErr w:type="spellEnd"/>
      <w:r w:rsidRPr="0062506B">
        <w:rPr>
          <w:rFonts w:eastAsia="Calibri" w:cs="Arial"/>
          <w:i/>
          <w:lang w:val="es-ES" w:bidi="en-US"/>
        </w:rPr>
        <w:t xml:space="preserve"> (tiburones, rayas y quimeras)</w:t>
      </w:r>
    </w:p>
    <w:p w14:paraId="62D628CE" w14:textId="2E6647CE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i/>
          <w:lang w:val="es-ES" w:bidi="en-US"/>
        </w:rPr>
      </w:pPr>
      <w:r w:rsidRPr="0062506B">
        <w:rPr>
          <w:rFonts w:eastAsia="Calibri" w:cs="Arial"/>
          <w:lang w:val="es-ES" w:bidi="en-US"/>
        </w:rPr>
        <w:t>UNEP/CMS/COP13/CRP26.2.8</w:t>
      </w:r>
      <w:r w:rsidRPr="0062506B">
        <w:rPr>
          <w:rFonts w:eastAsia="Calibri" w:cs="Arial"/>
          <w:i/>
          <w:lang w:val="es-ES" w:bidi="en-US"/>
        </w:rPr>
        <w:t xml:space="preserve"> Captura de cetáceos en su ambiente natural para fines</w:t>
      </w:r>
      <w:r w:rsidRPr="008C25CF">
        <w:rPr>
          <w:rFonts w:eastAsia="Calibri" w:cs="Arial"/>
          <w:i/>
          <w:lang w:val="es-ES" w:bidi="en-US"/>
        </w:rPr>
        <w:t xml:space="preserve"> </w:t>
      </w:r>
      <w:r w:rsidRPr="0062506B">
        <w:rPr>
          <w:rFonts w:eastAsia="Calibri" w:cs="Arial"/>
          <w:i/>
          <w:lang w:val="es-ES" w:bidi="en-US"/>
        </w:rPr>
        <w:t>comerciales</w:t>
      </w:r>
    </w:p>
    <w:p w14:paraId="4CE8508F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i/>
          <w:lang w:val="es-ES" w:bidi="en-US"/>
        </w:rPr>
      </w:pPr>
      <w:r w:rsidRPr="0062506B">
        <w:rPr>
          <w:rFonts w:eastAsia="Calibri" w:cs="Arial"/>
          <w:lang w:val="es-ES" w:bidi="en-US"/>
        </w:rPr>
        <w:t>UNEP/CMS/COP13/CRP26.2.9</w:t>
      </w:r>
      <w:r w:rsidRPr="0062506B">
        <w:rPr>
          <w:rFonts w:eastAsia="Calibri" w:cs="Arial"/>
          <w:i/>
          <w:lang w:val="es-ES" w:bidi="en-US"/>
        </w:rPr>
        <w:t xml:space="preserve"> Anguila europea</w:t>
      </w:r>
    </w:p>
    <w:p w14:paraId="0767631B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i/>
          <w:lang w:val="es-ES" w:bidi="en-US"/>
        </w:rPr>
      </w:pPr>
      <w:r w:rsidRPr="0062506B">
        <w:rPr>
          <w:rFonts w:eastAsia="Calibri" w:cs="Arial"/>
          <w:lang w:val="es-ES" w:bidi="en-US"/>
        </w:rPr>
        <w:t>UNEP/CMS/COP13/CRP26.2.10</w:t>
      </w:r>
      <w:r w:rsidRPr="0062506B">
        <w:rPr>
          <w:rFonts w:eastAsia="Calibri" w:cs="Arial"/>
          <w:i/>
          <w:lang w:val="es-ES" w:bidi="en-US"/>
        </w:rPr>
        <w:t xml:space="preserve"> Programa mundial de trabajo para los Cetáceos</w:t>
      </w:r>
    </w:p>
    <w:p w14:paraId="2451BE87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i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UNEP/CMS/COP13/CRP26.3.1 </w:t>
      </w:r>
      <w:r w:rsidRPr="0062506B">
        <w:rPr>
          <w:rFonts w:eastAsia="Calibri" w:cs="Arial"/>
          <w:i/>
          <w:lang w:val="es-ES" w:bidi="en-US"/>
        </w:rPr>
        <w:t>Iniciativa conjunta de la CITES-CMS para los carnívoros africanos</w:t>
      </w:r>
    </w:p>
    <w:p w14:paraId="6F0711F7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UNEP/CMS/COP13/CRP26.3.2 </w:t>
      </w:r>
      <w:r w:rsidRPr="0062506B">
        <w:rPr>
          <w:rFonts w:eastAsia="Calibri" w:cs="Arial"/>
          <w:i/>
          <w:lang w:val="es-ES" w:bidi="en-US"/>
        </w:rPr>
        <w:t xml:space="preserve">Conservación del asno salvaje africano. </w:t>
      </w:r>
      <w:r w:rsidRPr="0062506B">
        <w:rPr>
          <w:rFonts w:eastAsia="Calibri" w:cs="Arial"/>
          <w:lang w:val="es-ES" w:bidi="en-US"/>
        </w:rPr>
        <w:t xml:space="preserve">(Equus </w:t>
      </w:r>
      <w:proofErr w:type="spellStart"/>
      <w:r w:rsidRPr="0062506B">
        <w:rPr>
          <w:rFonts w:eastAsia="Calibri" w:cs="Arial"/>
          <w:lang w:val="es-ES" w:bidi="en-US"/>
        </w:rPr>
        <w:t>africanus</w:t>
      </w:r>
      <w:proofErr w:type="spellEnd"/>
      <w:r w:rsidRPr="0062506B">
        <w:rPr>
          <w:rFonts w:eastAsia="Calibri" w:cs="Arial"/>
          <w:lang w:val="es-ES" w:bidi="en-US"/>
        </w:rPr>
        <w:t>)</w:t>
      </w:r>
    </w:p>
    <w:p w14:paraId="7D491129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UNEP/CMS/COP13/CRP26.3.3 </w:t>
      </w:r>
      <w:r w:rsidRPr="0062506B">
        <w:rPr>
          <w:rFonts w:eastAsia="Calibri" w:cs="Arial"/>
          <w:i/>
          <w:lang w:val="es-ES" w:bidi="en-US"/>
        </w:rPr>
        <w:t>Plan de acción para el elefante africano</w:t>
      </w:r>
    </w:p>
    <w:p w14:paraId="77244967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UNEP/CMS/COP13/CRP26.3.4 </w:t>
      </w:r>
      <w:r w:rsidRPr="0062506B">
        <w:rPr>
          <w:rFonts w:eastAsia="Calibri" w:cs="Arial"/>
          <w:i/>
          <w:lang w:val="es-ES" w:bidi="en-US"/>
        </w:rPr>
        <w:t xml:space="preserve">Megafauna </w:t>
      </w:r>
      <w:proofErr w:type="spellStart"/>
      <w:r w:rsidRPr="0062506B">
        <w:rPr>
          <w:rFonts w:eastAsia="Calibri" w:cs="Arial"/>
          <w:i/>
          <w:lang w:val="es-ES" w:bidi="en-US"/>
        </w:rPr>
        <w:t>Sahelo</w:t>
      </w:r>
      <w:proofErr w:type="spellEnd"/>
      <w:r w:rsidRPr="0062506B">
        <w:rPr>
          <w:rFonts w:eastAsia="Calibri" w:cs="Arial"/>
          <w:i/>
          <w:lang w:val="es-ES" w:bidi="en-US"/>
        </w:rPr>
        <w:t>-Sahariana</w:t>
      </w:r>
    </w:p>
    <w:p w14:paraId="4620E9D5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i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UNEP/CMS/COP13/CRP26.3.5 </w:t>
      </w:r>
      <w:r w:rsidRPr="0062506B">
        <w:rPr>
          <w:rFonts w:eastAsia="Calibri" w:cs="Arial"/>
          <w:i/>
          <w:lang w:val="es-ES" w:bidi="en-US"/>
        </w:rPr>
        <w:t>Iniciativa para los mamíferos de Asia Central (CAMI)</w:t>
      </w:r>
    </w:p>
    <w:p w14:paraId="77B75C21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i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UNEP/CMS/COP13/Doc.26.4.1/Rev.1 </w:t>
      </w:r>
      <w:r w:rsidRPr="0062506B">
        <w:rPr>
          <w:rFonts w:eastAsia="Calibri" w:cs="Arial"/>
          <w:i/>
          <w:lang w:val="es-ES" w:bidi="en-US"/>
        </w:rPr>
        <w:t>Implicaciones de conservación que derivan de la cultura animal y la complejidad social *</w:t>
      </w:r>
    </w:p>
    <w:p w14:paraId="50565054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UNEP/CMS/COP13/CRP26.4.2.1 </w:t>
      </w:r>
      <w:r w:rsidRPr="0062506B">
        <w:rPr>
          <w:rFonts w:eastAsia="Calibri" w:cs="Arial"/>
          <w:i/>
          <w:lang w:val="es-ES" w:bidi="en-US"/>
        </w:rPr>
        <w:t>Energías renovables y especies migratorias</w:t>
      </w:r>
    </w:p>
    <w:p w14:paraId="1A54878D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UNEP/CMS/COP13/CRP26.4.2.2 </w:t>
      </w:r>
      <w:r w:rsidRPr="0062506B">
        <w:rPr>
          <w:rFonts w:eastAsia="Calibri" w:cs="Arial"/>
          <w:i/>
          <w:lang w:val="es-ES" w:bidi="en-US"/>
        </w:rPr>
        <w:t>Tendidos eléctricos y aves migratorias</w:t>
      </w:r>
    </w:p>
    <w:p w14:paraId="37E0E851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UNEP/CMS/COP13/CRP26.4.3/Rev.1 </w:t>
      </w:r>
      <w:r w:rsidRPr="0062506B">
        <w:rPr>
          <w:rFonts w:eastAsia="Calibri" w:cs="Arial"/>
          <w:i/>
          <w:lang w:val="es-ES" w:bidi="en-US"/>
        </w:rPr>
        <w:t>Tratamiento del uso no sostenible de la carne de especies migratorias de animales salvajes</w:t>
      </w:r>
    </w:p>
    <w:p w14:paraId="4A3D38D4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i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UNEP/CMS/COP13/CRP26.4.4 </w:t>
      </w:r>
      <w:r w:rsidRPr="0062506B">
        <w:rPr>
          <w:rFonts w:eastAsia="Calibri" w:cs="Arial"/>
          <w:i/>
          <w:lang w:val="es-ES" w:bidi="en-US"/>
        </w:rPr>
        <w:t>Mejora en las formas de abordar la conectividad en la conservación de las especies migratorias</w:t>
      </w:r>
    </w:p>
    <w:p w14:paraId="29B9E8D8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UNEP/CMS/COP13/CRP26.4.5 </w:t>
      </w:r>
      <w:r w:rsidRPr="0062506B">
        <w:rPr>
          <w:rFonts w:eastAsia="Calibri" w:cs="Arial"/>
          <w:i/>
          <w:lang w:val="es-ES" w:bidi="en-US"/>
        </w:rPr>
        <w:t>Áreas de conservación transfronterizas para las especies migratorias</w:t>
      </w:r>
    </w:p>
    <w:p w14:paraId="5C26796A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UNEP/CMS/COP13/CRP26.4.6 </w:t>
      </w:r>
      <w:r w:rsidRPr="0062506B">
        <w:rPr>
          <w:rFonts w:eastAsia="Calibri" w:cs="Arial"/>
          <w:i/>
          <w:lang w:val="es-ES" w:bidi="en-US"/>
        </w:rPr>
        <w:t>Participación comunitaria y medios de vida</w:t>
      </w:r>
    </w:p>
    <w:p w14:paraId="4B0CB445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i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UNEP/CMS/COP13/CRP26.4.7 </w:t>
      </w:r>
      <w:r w:rsidRPr="0062506B">
        <w:rPr>
          <w:rFonts w:eastAsia="Calibri" w:cs="Arial"/>
          <w:i/>
          <w:lang w:val="es-ES" w:bidi="en-US"/>
        </w:rPr>
        <w:t>Efectos de la contaminación por plástico sobre las especies acuáticas, terrestres y de aves</w:t>
      </w:r>
    </w:p>
    <w:p w14:paraId="416C8FF6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UNEP/CMS/COP13/CRP26.4.8 </w:t>
      </w:r>
      <w:r w:rsidRPr="0062506B">
        <w:rPr>
          <w:rFonts w:eastAsia="Calibri" w:cs="Arial"/>
          <w:i/>
          <w:lang w:val="es-ES" w:bidi="en-US"/>
        </w:rPr>
        <w:t>Cambio climático y especies migratorias</w:t>
      </w:r>
    </w:p>
    <w:p w14:paraId="7CDBA27C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UNEP/CMS/COP13/CRP26.4.9 </w:t>
      </w:r>
      <w:r w:rsidRPr="0062506B">
        <w:rPr>
          <w:rFonts w:eastAsia="Calibri" w:cs="Arial"/>
          <w:i/>
          <w:lang w:val="es-ES" w:bidi="en-US"/>
        </w:rPr>
        <w:t>Directrices sobre la contaminación lumínica para la vida silvestre incluidas las tortugas marinas, aves marinas y aves costeras migratorias</w:t>
      </w:r>
    </w:p>
    <w:p w14:paraId="10F57240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i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UNEP/CMS/COP13/CRP26.4.10 </w:t>
      </w:r>
      <w:r w:rsidRPr="0062506B">
        <w:rPr>
          <w:rFonts w:eastAsia="Calibri" w:cs="Arial"/>
          <w:i/>
          <w:lang w:val="es-ES" w:bidi="en-US"/>
        </w:rPr>
        <w:t xml:space="preserve">La disminución de los insectos y su amenaza a las poblaciones migratorias de animales insectívoros ** </w:t>
      </w:r>
    </w:p>
    <w:p w14:paraId="332CB6D3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UNEP/CMS/COP13/CRP26.4.11 </w:t>
      </w:r>
      <w:r w:rsidRPr="0062506B">
        <w:rPr>
          <w:rFonts w:eastAsia="Calibri" w:cs="Arial"/>
          <w:i/>
          <w:lang w:val="es-ES" w:bidi="en-US"/>
        </w:rPr>
        <w:t>Desarrollo de infraestructura y las especies migratorias</w:t>
      </w:r>
    </w:p>
    <w:p w14:paraId="556E919F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i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UNEP/CMS/COP13/CRP27.2 </w:t>
      </w:r>
      <w:r w:rsidRPr="0062506B">
        <w:rPr>
          <w:rFonts w:eastAsia="Calibri" w:cs="Arial"/>
          <w:i/>
          <w:lang w:val="es-ES" w:bidi="en-US"/>
        </w:rPr>
        <w:t>Directrices para la preparación y evaluación las propuestas de enmienda a los Apéndices de la CMS</w:t>
      </w:r>
    </w:p>
    <w:p w14:paraId="0DD559DB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i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UNEP/CMS/COP13/Doc.27.3 </w:t>
      </w:r>
      <w:r w:rsidRPr="0062506B">
        <w:rPr>
          <w:rFonts w:eastAsia="Calibri" w:cs="Arial"/>
          <w:i/>
          <w:lang w:val="es-ES" w:bidi="en-US"/>
        </w:rPr>
        <w:t xml:space="preserve">Desglose de las familias y géneros de aves que se incluyen en el Apéndice II * </w:t>
      </w:r>
    </w:p>
    <w:p w14:paraId="4CE4D8E9" w14:textId="77777777" w:rsidR="0062506B" w:rsidRPr="0062506B" w:rsidRDefault="0062506B" w:rsidP="0062506B">
      <w:pPr>
        <w:numPr>
          <w:ilvl w:val="0"/>
          <w:numId w:val="12"/>
        </w:numPr>
        <w:tabs>
          <w:tab w:val="left" w:pos="9356"/>
        </w:tabs>
        <w:spacing w:before="84" w:after="0" w:line="240" w:lineRule="auto"/>
        <w:ind w:left="540" w:right="225" w:hanging="540"/>
        <w:jc w:val="both"/>
        <w:rPr>
          <w:rFonts w:eastAsia="Calibri" w:cs="Arial"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UNEP/CMS/COP13/CRP27.4 </w:t>
      </w:r>
      <w:r w:rsidRPr="0062506B">
        <w:rPr>
          <w:rFonts w:eastAsia="Calibri" w:cs="Arial"/>
          <w:i/>
          <w:lang w:val="es-ES" w:bidi="en-US"/>
        </w:rPr>
        <w:t>Reservas con respecto a las enmiendas de los Apéndices I y II de la Convención</w:t>
      </w:r>
    </w:p>
    <w:p w14:paraId="02623EE3" w14:textId="77777777" w:rsidR="0062506B" w:rsidRPr="0062506B" w:rsidRDefault="0062506B" w:rsidP="0062506B">
      <w:pPr>
        <w:tabs>
          <w:tab w:val="left" w:pos="9356"/>
        </w:tabs>
        <w:spacing w:before="84" w:after="0" w:line="240" w:lineRule="auto"/>
        <w:ind w:left="709" w:right="225" w:hanging="567"/>
        <w:jc w:val="both"/>
        <w:rPr>
          <w:rFonts w:eastAsia="Calibri" w:cs="Arial"/>
          <w:lang w:val="es-ES" w:bidi="en-US"/>
        </w:rPr>
      </w:pPr>
    </w:p>
    <w:p w14:paraId="0E132E95" w14:textId="74A7175D" w:rsidR="0062506B" w:rsidRPr="008C25CF" w:rsidRDefault="0062506B" w:rsidP="0062506B">
      <w:pPr>
        <w:tabs>
          <w:tab w:val="left" w:pos="9356"/>
        </w:tabs>
        <w:spacing w:after="120" w:line="240" w:lineRule="auto"/>
        <w:ind w:right="230"/>
        <w:jc w:val="both"/>
        <w:rPr>
          <w:rFonts w:eastAsia="Calibri" w:cs="Arial"/>
          <w:i/>
          <w:lang w:val="es-ES" w:bidi="en-US"/>
        </w:rPr>
      </w:pPr>
      <w:r w:rsidRPr="0062506B">
        <w:rPr>
          <w:rFonts w:eastAsia="Calibri" w:cs="Arial"/>
          <w:lang w:val="es-ES" w:bidi="en-US"/>
        </w:rPr>
        <w:t xml:space="preserve">* </w:t>
      </w:r>
      <w:r w:rsidRPr="0062506B">
        <w:rPr>
          <w:rFonts w:eastAsia="Calibri" w:cs="Arial"/>
          <w:i/>
          <w:lang w:val="es-ES" w:bidi="en-US"/>
        </w:rPr>
        <w:t xml:space="preserve">Estos documentos fueron aprobados sin enmiendas por el Comité Plenario; y fueron adoptados por la Conferencia de las Partes sin ser considerados como </w:t>
      </w:r>
      <w:proofErr w:type="spellStart"/>
      <w:r w:rsidRPr="0062506B">
        <w:rPr>
          <w:rFonts w:eastAsia="Calibri" w:cs="Arial"/>
          <w:i/>
          <w:lang w:val="es-ES" w:bidi="en-US"/>
        </w:rPr>
        <w:t>CRPs</w:t>
      </w:r>
      <w:proofErr w:type="spellEnd"/>
      <w:r w:rsidRPr="008C25CF">
        <w:rPr>
          <w:rFonts w:eastAsia="Calibri" w:cs="Arial"/>
          <w:i/>
          <w:lang w:val="es-ES" w:bidi="en-US"/>
        </w:rPr>
        <w:t>.</w:t>
      </w:r>
    </w:p>
    <w:p w14:paraId="15B89603" w14:textId="74A7175D" w:rsidR="00E81B4A" w:rsidRPr="008C25CF" w:rsidRDefault="0062506B" w:rsidP="0062506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lang w:val="es-ES" w:eastAsia="es-ES"/>
        </w:rPr>
      </w:pPr>
      <w:r w:rsidRPr="008C25CF">
        <w:rPr>
          <w:rFonts w:eastAsia="Calibri" w:cs="Arial"/>
          <w:i/>
          <w:lang w:val="es-ES" w:bidi="en-US"/>
        </w:rPr>
        <w:t>** Según lo revisado y recomendado por el CP el 22 de febrero de 2020</w:t>
      </w:r>
    </w:p>
    <w:p w14:paraId="52262E4C" w14:textId="77777777" w:rsidR="00BC5707" w:rsidRPr="008C25CF" w:rsidRDefault="00BC5707" w:rsidP="0062506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lang w:val="es-ES" w:eastAsia="es-ES"/>
        </w:rPr>
      </w:pPr>
    </w:p>
    <w:sectPr w:rsidR="00BC5707" w:rsidRPr="008C25CF" w:rsidSect="005B488D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D9B5B" w14:textId="77777777" w:rsidR="00002A97" w:rsidRDefault="00002A97" w:rsidP="00002A97">
      <w:pPr>
        <w:spacing w:after="0" w:line="240" w:lineRule="auto"/>
      </w:pPr>
      <w:r>
        <w:separator/>
      </w:r>
    </w:p>
  </w:endnote>
  <w:endnote w:type="continuationSeparator" w:id="0">
    <w:p w14:paraId="30BD55E1" w14:textId="77777777" w:rsidR="00002A97" w:rsidRDefault="00002A97" w:rsidP="0000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5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8BAACEA" w14:textId="6ADB021A" w:rsidR="008C60D8" w:rsidRPr="008C60D8" w:rsidRDefault="008C60D8">
        <w:pPr>
          <w:pStyle w:val="Footer"/>
          <w:jc w:val="center"/>
          <w:rPr>
            <w:sz w:val="18"/>
            <w:szCs w:val="18"/>
          </w:rPr>
        </w:pPr>
        <w:r w:rsidRPr="008C60D8">
          <w:rPr>
            <w:sz w:val="18"/>
            <w:szCs w:val="18"/>
          </w:rPr>
          <w:fldChar w:fldCharType="begin"/>
        </w:r>
        <w:r w:rsidRPr="008C60D8">
          <w:rPr>
            <w:sz w:val="18"/>
            <w:szCs w:val="18"/>
          </w:rPr>
          <w:instrText xml:space="preserve"> PAGE   \* MERGEFORMAT </w:instrText>
        </w:r>
        <w:r w:rsidRPr="008C60D8">
          <w:rPr>
            <w:sz w:val="18"/>
            <w:szCs w:val="18"/>
          </w:rPr>
          <w:fldChar w:fldCharType="separate"/>
        </w:r>
        <w:r w:rsidRPr="008C60D8">
          <w:rPr>
            <w:noProof/>
            <w:sz w:val="18"/>
            <w:szCs w:val="18"/>
          </w:rPr>
          <w:t>2</w:t>
        </w:r>
        <w:r w:rsidRPr="008C60D8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949419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F3171" w14:textId="1099E1A9" w:rsidR="00D70275" w:rsidRPr="00D70275" w:rsidRDefault="00773816">
        <w:pPr>
          <w:pStyle w:val="Footer"/>
          <w:jc w:val="center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D9CA2" w14:textId="77777777" w:rsidR="00002A97" w:rsidRDefault="00002A97" w:rsidP="00002A97">
      <w:pPr>
        <w:spacing w:after="0" w:line="240" w:lineRule="auto"/>
      </w:pPr>
      <w:r>
        <w:separator/>
      </w:r>
    </w:p>
  </w:footnote>
  <w:footnote w:type="continuationSeparator" w:id="0">
    <w:p w14:paraId="7D05E1C0" w14:textId="77777777" w:rsidR="00002A97" w:rsidRDefault="00002A97" w:rsidP="0000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4F84" w14:textId="71E515A2" w:rsidR="00D70275" w:rsidRPr="00002A97" w:rsidRDefault="00D70275" w:rsidP="00002A97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002A97">
      <w:rPr>
        <w:rFonts w:eastAsia="Times New Roman" w:cs="Arial"/>
        <w:i/>
        <w:sz w:val="18"/>
        <w:szCs w:val="18"/>
        <w:lang w:val="fr-FR" w:eastAsia="es-ES"/>
      </w:rPr>
      <w:t>UNEP/CMS/</w:t>
    </w:r>
    <w:r w:rsidR="009039F7">
      <w:rPr>
        <w:rFonts w:eastAsia="Times New Roman" w:cs="Arial"/>
        <w:i/>
        <w:sz w:val="18"/>
        <w:szCs w:val="18"/>
        <w:lang w:val="fr-FR" w:eastAsia="es-ES"/>
      </w:rPr>
      <w:t>COP13/Informe/</w:t>
    </w:r>
    <w:proofErr w:type="spellStart"/>
    <w:r w:rsidR="009039F7">
      <w:rPr>
        <w:rFonts w:eastAsia="Times New Roman" w:cs="Arial"/>
        <w:i/>
        <w:sz w:val="18"/>
        <w:szCs w:val="18"/>
        <w:lang w:val="fr-FR" w:eastAsia="es-ES"/>
      </w:rPr>
      <w:t>Anexo</w:t>
    </w:r>
    <w:proofErr w:type="spellEnd"/>
    <w:r w:rsidR="009039F7">
      <w:rPr>
        <w:rFonts w:eastAsia="Times New Roman" w:cs="Arial"/>
        <w:i/>
        <w:sz w:val="18"/>
        <w:szCs w:val="18"/>
        <w:lang w:val="fr-FR" w:eastAsia="es-ES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05EF6" w14:textId="7413E07B" w:rsidR="006F22B0" w:rsidRPr="00002A97" w:rsidRDefault="004D0321" w:rsidP="006F22B0">
    <w:pPr>
      <w:widowControl w:val="0"/>
      <w:tabs>
        <w:tab w:val="center" w:pos="4153"/>
        <w:tab w:val="right" w:pos="8306"/>
      </w:tabs>
      <w:suppressAutoHyphens/>
      <w:autoSpaceDE w:val="0"/>
      <w:autoSpaceDN w:val="0"/>
      <w:spacing w:after="0" w:line="240" w:lineRule="auto"/>
      <w:jc w:val="right"/>
      <w:textAlignment w:val="baseline"/>
      <w:rPr>
        <w:rFonts w:eastAsia="Times New Roman" w:cs="Times New Roman"/>
        <w:sz w:val="18"/>
        <w:szCs w:val="20"/>
        <w:lang w:val="es-ES" w:eastAsia="es-ES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997B4D0" wp14:editId="55398DE6">
          <wp:simplePos x="0" y="0"/>
          <wp:positionH relativeFrom="margin">
            <wp:posOffset>-76200</wp:posOffset>
          </wp:positionH>
          <wp:positionV relativeFrom="page">
            <wp:posOffset>238125</wp:posOffset>
          </wp:positionV>
          <wp:extent cx="752475" cy="752475"/>
          <wp:effectExtent l="0" t="0" r="9525" b="9525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Environment_Logo_Spanish_Full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B0" w:rsidRPr="00002A97">
      <w:rPr>
        <w:rFonts w:eastAsia="Times New Roman" w:cs="Times New Roman"/>
        <w:noProof/>
        <w:sz w:val="18"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 wp14:anchorId="3A8450B3" wp14:editId="5E576EF8">
          <wp:simplePos x="0" y="0"/>
          <wp:positionH relativeFrom="column">
            <wp:posOffset>5609587</wp:posOffset>
          </wp:positionH>
          <wp:positionV relativeFrom="paragraph">
            <wp:posOffset>78108</wp:posOffset>
          </wp:positionV>
          <wp:extent cx="619121" cy="288922"/>
          <wp:effectExtent l="0" t="0" r="0" b="0"/>
          <wp:wrapTight wrapText="bothSides">
            <wp:wrapPolygon edited="0">
              <wp:start x="0" y="0"/>
              <wp:lineTo x="0" y="19939"/>
              <wp:lineTo x="20603" y="19939"/>
              <wp:lineTo x="20603" y="0"/>
              <wp:lineTo x="0" y="0"/>
            </wp:wrapPolygon>
          </wp:wrapTight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1" cy="2889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F22B0" w:rsidRPr="00002A97">
      <w:rPr>
        <w:rFonts w:eastAsia="Times New Roman" w:cs="Times New Roman"/>
        <w:noProof/>
        <w:sz w:val="18"/>
        <w:szCs w:val="20"/>
      </w:rPr>
      <w:drawing>
        <wp:anchor distT="0" distB="0" distL="114300" distR="114300" simplePos="0" relativeHeight="251659264" behindDoc="0" locked="0" layoutInCell="1" allowOverlap="1" wp14:anchorId="2EC18EEC" wp14:editId="5294C8C7">
          <wp:simplePos x="0" y="0"/>
          <wp:positionH relativeFrom="column">
            <wp:posOffset>716276</wp:posOffset>
          </wp:positionH>
          <wp:positionV relativeFrom="paragraph">
            <wp:posOffset>-75566</wp:posOffset>
          </wp:positionV>
          <wp:extent cx="431167" cy="441326"/>
          <wp:effectExtent l="0" t="0" r="6983" b="0"/>
          <wp:wrapTight wrapText="bothSides">
            <wp:wrapPolygon edited="0">
              <wp:start x="0" y="0"/>
              <wp:lineTo x="0" y="20512"/>
              <wp:lineTo x="20995" y="20512"/>
              <wp:lineTo x="20995" y="0"/>
              <wp:lineTo x="0" y="0"/>
            </wp:wrapPolygon>
          </wp:wrapTight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2780" t="-1236" r="60236" b="48836"/>
                  <a:stretch>
                    <a:fillRect/>
                  </a:stretch>
                </pic:blipFill>
                <pic:spPr>
                  <a:xfrm>
                    <a:off x="0" y="0"/>
                    <a:ext cx="431167" cy="4413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97DB2F" w14:textId="77777777" w:rsidR="00B40E07" w:rsidRPr="006F22B0" w:rsidRDefault="00B40E07" w:rsidP="006F2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409"/>
    <w:multiLevelType w:val="hybridMultilevel"/>
    <w:tmpl w:val="9078CAB6"/>
    <w:lvl w:ilvl="0" w:tplc="3D6816F8">
      <w:start w:val="1"/>
      <w:numFmt w:val="decimal"/>
      <w:pStyle w:val="Firstnumbering1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22C7"/>
    <w:multiLevelType w:val="hybridMultilevel"/>
    <w:tmpl w:val="80DAB9C6"/>
    <w:lvl w:ilvl="0" w:tplc="87DEB022">
      <w:start w:val="1"/>
      <w:numFmt w:val="lowerLetter"/>
      <w:pStyle w:val="Secondnumberinga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C7F"/>
    <w:multiLevelType w:val="hybridMultilevel"/>
    <w:tmpl w:val="00BA1968"/>
    <w:lvl w:ilvl="0" w:tplc="EE1E7ABA">
      <w:start w:val="1"/>
      <w:numFmt w:val="lowerRoman"/>
      <w:pStyle w:val="Thirdnumberingi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30108"/>
    <w:multiLevelType w:val="hybridMultilevel"/>
    <w:tmpl w:val="7AA21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933BFE"/>
    <w:multiLevelType w:val="hybridMultilevel"/>
    <w:tmpl w:val="C33EC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57185"/>
    <w:multiLevelType w:val="hybridMultilevel"/>
    <w:tmpl w:val="1444C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F7345"/>
    <w:multiLevelType w:val="hybridMultilevel"/>
    <w:tmpl w:val="D75C8D50"/>
    <w:lvl w:ilvl="0" w:tplc="C9649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D4FA4"/>
    <w:multiLevelType w:val="hybridMultilevel"/>
    <w:tmpl w:val="CDE69C9E"/>
    <w:lvl w:ilvl="0" w:tplc="D0E21E14">
      <w:start w:val="1"/>
      <w:numFmt w:val="upperLetter"/>
      <w:pStyle w:val="FourthnumberingA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D1E50"/>
    <w:multiLevelType w:val="hybridMultilevel"/>
    <w:tmpl w:val="271238F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15909506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1B2A54"/>
    <w:multiLevelType w:val="hybridMultilevel"/>
    <w:tmpl w:val="F39657B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15909506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176E72"/>
    <w:multiLevelType w:val="hybridMultilevel"/>
    <w:tmpl w:val="5CEC345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206986"/>
    <w:multiLevelType w:val="hybridMultilevel"/>
    <w:tmpl w:val="F39657B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15909506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97"/>
    <w:rsid w:val="00002A97"/>
    <w:rsid w:val="000E192F"/>
    <w:rsid w:val="00127CCF"/>
    <w:rsid w:val="00144F1C"/>
    <w:rsid w:val="00192411"/>
    <w:rsid w:val="0024152C"/>
    <w:rsid w:val="002F7EC2"/>
    <w:rsid w:val="00390575"/>
    <w:rsid w:val="004C7808"/>
    <w:rsid w:val="004D0321"/>
    <w:rsid w:val="005330F7"/>
    <w:rsid w:val="00563598"/>
    <w:rsid w:val="005B488D"/>
    <w:rsid w:val="0062506B"/>
    <w:rsid w:val="006F22B0"/>
    <w:rsid w:val="00773816"/>
    <w:rsid w:val="00773B45"/>
    <w:rsid w:val="00790422"/>
    <w:rsid w:val="007C212E"/>
    <w:rsid w:val="00810C64"/>
    <w:rsid w:val="008C25CF"/>
    <w:rsid w:val="008C60D8"/>
    <w:rsid w:val="009014C2"/>
    <w:rsid w:val="009039F7"/>
    <w:rsid w:val="00943D15"/>
    <w:rsid w:val="009D13C1"/>
    <w:rsid w:val="00AC09AE"/>
    <w:rsid w:val="00B104EC"/>
    <w:rsid w:val="00B40E07"/>
    <w:rsid w:val="00BC5707"/>
    <w:rsid w:val="00BF7838"/>
    <w:rsid w:val="00C41DAD"/>
    <w:rsid w:val="00D70275"/>
    <w:rsid w:val="00E607BD"/>
    <w:rsid w:val="00E77A9F"/>
    <w:rsid w:val="00E81B4A"/>
    <w:rsid w:val="00EF1D13"/>
    <w:rsid w:val="00F13FB9"/>
    <w:rsid w:val="00F147ED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42A4"/>
  <w15:chartTrackingRefBased/>
  <w15:docId w15:val="{7F5A1F93-24F7-4A43-8283-27B66827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97"/>
  </w:style>
  <w:style w:type="paragraph" w:styleId="Footer">
    <w:name w:val="footer"/>
    <w:basedOn w:val="Normal"/>
    <w:link w:val="FooterChar"/>
    <w:uiPriority w:val="99"/>
    <w:unhideWhenUsed/>
    <w:rsid w:val="0000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97"/>
  </w:style>
  <w:style w:type="paragraph" w:styleId="BalloonText">
    <w:name w:val="Balloon Text"/>
    <w:basedOn w:val="Normal"/>
    <w:link w:val="BalloonTextChar"/>
    <w:uiPriority w:val="99"/>
    <w:semiHidden/>
    <w:unhideWhenUsed/>
    <w:rsid w:val="00E8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4A"/>
    <w:rPr>
      <w:rFonts w:ascii="Segoe UI" w:hAnsi="Segoe UI" w:cs="Segoe UI"/>
      <w:sz w:val="18"/>
      <w:szCs w:val="18"/>
    </w:rPr>
  </w:style>
  <w:style w:type="paragraph" w:customStyle="1" w:styleId="Title1">
    <w:name w:val="Title1"/>
    <w:basedOn w:val="Normal"/>
    <w:link w:val="TITLEChar"/>
    <w:qFormat/>
    <w:rsid w:val="00F147ED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/>
      <w:autoSpaceDE w:val="0"/>
      <w:autoSpaceDN w:val="0"/>
      <w:spacing w:after="120" w:line="240" w:lineRule="auto"/>
      <w:jc w:val="center"/>
      <w:textAlignment w:val="baseline"/>
      <w:outlineLvl w:val="1"/>
    </w:pPr>
    <w:rPr>
      <w:rFonts w:eastAsia="Times New Roman" w:cs="Arial"/>
      <w:b/>
      <w:bCs/>
      <w:caps/>
      <w:sz w:val="24"/>
      <w:szCs w:val="24"/>
      <w:lang w:val="es-ES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F147ED"/>
    <w:pPr>
      <w:ind w:left="720"/>
      <w:contextualSpacing/>
    </w:pPr>
  </w:style>
  <w:style w:type="character" w:customStyle="1" w:styleId="TITLEChar">
    <w:name w:val="TITLE Char"/>
    <w:basedOn w:val="DefaultParagraphFont"/>
    <w:link w:val="Title1"/>
    <w:rsid w:val="00F147ED"/>
    <w:rPr>
      <w:rFonts w:eastAsia="Times New Roman" w:cs="Arial"/>
      <w:b/>
      <w:bCs/>
      <w:caps/>
      <w:sz w:val="24"/>
      <w:szCs w:val="24"/>
      <w:lang w:val="es-ES" w:eastAsia="es-ES"/>
    </w:rPr>
  </w:style>
  <w:style w:type="paragraph" w:customStyle="1" w:styleId="Firstnumbering1">
    <w:name w:val="First numbering 1."/>
    <w:basedOn w:val="ListParagraph"/>
    <w:link w:val="Firstnumbering1Char"/>
    <w:qFormat/>
    <w:rsid w:val="000E192F"/>
    <w:pPr>
      <w:widowControl w:val="0"/>
      <w:numPr>
        <w:numId w:val="1"/>
      </w:numPr>
      <w:suppressAutoHyphens/>
      <w:autoSpaceDE w:val="0"/>
      <w:autoSpaceDN w:val="0"/>
      <w:spacing w:after="0" w:line="240" w:lineRule="auto"/>
      <w:ind w:left="567" w:hanging="567"/>
      <w:jc w:val="both"/>
      <w:textAlignment w:val="baseline"/>
    </w:pPr>
    <w:rPr>
      <w:rFonts w:eastAsia="Times New Roman" w:cs="Arial"/>
      <w:lang w:val="es-ES" w:eastAsia="es-ES"/>
    </w:rPr>
  </w:style>
  <w:style w:type="paragraph" w:customStyle="1" w:styleId="Secondnumberinga">
    <w:name w:val="Second numbering a)."/>
    <w:basedOn w:val="ListParagraph"/>
    <w:link w:val="SecondnumberingaChar"/>
    <w:qFormat/>
    <w:rsid w:val="000E192F"/>
    <w:pPr>
      <w:numPr>
        <w:numId w:val="2"/>
      </w:numPr>
      <w:spacing w:after="0" w:line="240" w:lineRule="auto"/>
      <w:ind w:left="1134" w:hanging="283"/>
      <w:jc w:val="both"/>
    </w:pPr>
    <w:rPr>
      <w:lang w:val="es-E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47ED"/>
  </w:style>
  <w:style w:type="character" w:customStyle="1" w:styleId="Firstnumbering1Char">
    <w:name w:val="First numbering 1. Char"/>
    <w:basedOn w:val="ListParagraphChar"/>
    <w:link w:val="Firstnumbering1"/>
    <w:rsid w:val="000E192F"/>
    <w:rPr>
      <w:rFonts w:eastAsia="Times New Roman" w:cs="Arial"/>
      <w:lang w:val="es-ES" w:eastAsia="es-ES"/>
    </w:rPr>
  </w:style>
  <w:style w:type="character" w:customStyle="1" w:styleId="SecondnumberingaChar">
    <w:name w:val="Second numbering a). Char"/>
    <w:basedOn w:val="ListParagraphChar"/>
    <w:link w:val="Secondnumberinga"/>
    <w:rsid w:val="000E192F"/>
    <w:rPr>
      <w:lang w:val="es-ES"/>
    </w:rPr>
  </w:style>
  <w:style w:type="paragraph" w:customStyle="1" w:styleId="Thirdnumberingi">
    <w:name w:val="Third numbering i)."/>
    <w:basedOn w:val="ListParagraph"/>
    <w:link w:val="ThirdnumberingiChar"/>
    <w:qFormat/>
    <w:rsid w:val="00943D15"/>
    <w:pPr>
      <w:numPr>
        <w:numId w:val="3"/>
      </w:numPr>
      <w:spacing w:after="0" w:line="240" w:lineRule="auto"/>
      <w:ind w:left="1560" w:hanging="284"/>
    </w:pPr>
    <w:rPr>
      <w:lang w:val="es-ES"/>
    </w:rPr>
  </w:style>
  <w:style w:type="paragraph" w:customStyle="1" w:styleId="FourthnumberingA">
    <w:name w:val="Fourth numbering A."/>
    <w:basedOn w:val="ListParagraph"/>
    <w:link w:val="FourthnumberingAChar"/>
    <w:qFormat/>
    <w:rsid w:val="00943D15"/>
    <w:pPr>
      <w:numPr>
        <w:numId w:val="4"/>
      </w:numPr>
      <w:spacing w:after="0" w:line="240" w:lineRule="auto"/>
      <w:ind w:left="1985" w:hanging="284"/>
    </w:pPr>
    <w:rPr>
      <w:lang w:val="es-ES"/>
    </w:rPr>
  </w:style>
  <w:style w:type="character" w:customStyle="1" w:styleId="ThirdnumberingiChar">
    <w:name w:val="Third numbering i). Char"/>
    <w:basedOn w:val="ListParagraphChar"/>
    <w:link w:val="Thirdnumberingi"/>
    <w:rsid w:val="00943D15"/>
    <w:rPr>
      <w:lang w:val="es-ES"/>
    </w:rPr>
  </w:style>
  <w:style w:type="character" w:customStyle="1" w:styleId="FourthnumberingAChar">
    <w:name w:val="Fourth numbering A. Char"/>
    <w:basedOn w:val="ListParagraphChar"/>
    <w:link w:val="FourthnumberingA"/>
    <w:rsid w:val="00943D15"/>
    <w:rPr>
      <w:lang w:val="es-ES"/>
    </w:rPr>
  </w:style>
  <w:style w:type="character" w:styleId="Hyperlink">
    <w:name w:val="Hyperlink"/>
    <w:basedOn w:val="DefaultParagraphFont"/>
    <w:uiPriority w:val="99"/>
    <w:unhideWhenUsed/>
    <w:rsid w:val="00AC09AE"/>
    <w:rPr>
      <w:color w:val="0563C1" w:themeColor="hyperlink"/>
      <w:u w:val="single"/>
    </w:rPr>
  </w:style>
  <w:style w:type="character" w:styleId="FootnoteReference">
    <w:name w:val="footnote reference"/>
    <w:uiPriority w:val="99"/>
    <w:semiHidden/>
    <w:rsid w:val="00810C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Victoria Cancino Ordenes</cp:lastModifiedBy>
  <cp:revision>3</cp:revision>
  <cp:lastPrinted>2020-05-26T14:15:00Z</cp:lastPrinted>
  <dcterms:created xsi:type="dcterms:W3CDTF">2020-05-26T14:15:00Z</dcterms:created>
  <dcterms:modified xsi:type="dcterms:W3CDTF">2020-05-26T14:19:00Z</dcterms:modified>
</cp:coreProperties>
</file>